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88" w:lineRule="auto" w:before="37"/>
        <w:ind w:left="3493" w:right="3395" w:firstLine="508"/>
        <w:jc w:val="left"/>
        <w:rPr>
          <w:sz w:val="24"/>
        </w:rPr>
      </w:pPr>
      <w:bookmarkStart w:name="new-england-surgery-center-llc-responses" w:id="1"/>
      <w:bookmarkEnd w:id="1"/>
      <w:r>
        <w:rPr/>
      </w:r>
      <w:bookmarkStart w:name="new-england-surgery-center-responses" w:id="2"/>
      <w:bookmarkEnd w:id="2"/>
      <w:r>
        <w:rPr/>
      </w:r>
      <w:r>
        <w:rPr>
          <w:sz w:val="24"/>
        </w:rPr>
        <w:t>New England Surgery Center, LLC Applicant Questions for DoN #20072809-AS</w:t>
      </w:r>
    </w:p>
    <w:p>
      <w:pPr>
        <w:pStyle w:val="BodyText"/>
        <w:rPr>
          <w:sz w:val="24"/>
        </w:rPr>
      </w:pPr>
    </w:p>
    <w:p>
      <w:pPr>
        <w:pStyle w:val="ListParagraph"/>
        <w:numPr>
          <w:ilvl w:val="0"/>
          <w:numId w:val="1"/>
        </w:numPr>
        <w:tabs>
          <w:tab w:pos="1300" w:val="left" w:leader="none"/>
        </w:tabs>
        <w:spacing w:line="259" w:lineRule="auto" w:before="185" w:after="0"/>
        <w:ind w:left="1299" w:right="1088" w:hanging="360"/>
        <w:jc w:val="left"/>
        <w:rPr>
          <w:rFonts w:ascii="Calibri"/>
          <w:sz w:val="22"/>
        </w:rPr>
      </w:pPr>
      <w:r>
        <w:rPr>
          <w:rFonts w:ascii="Calibri"/>
          <w:sz w:val="22"/>
        </w:rPr>
        <w:t>Provide the Payer mix and APM contract percentage for New England Surgery Center (NESC) using the table provided below. Provide a year for the</w:t>
      </w:r>
      <w:r>
        <w:rPr>
          <w:rFonts w:ascii="Calibri"/>
          <w:spacing w:val="-8"/>
          <w:sz w:val="22"/>
        </w:rPr>
        <w:t> </w:t>
      </w:r>
      <w:r>
        <w:rPr>
          <w:rFonts w:ascii="Calibri"/>
          <w:sz w:val="22"/>
        </w:rPr>
        <w:t>data.</w:t>
      </w:r>
    </w:p>
    <w:p>
      <w:pPr>
        <w:pStyle w:val="BodyText"/>
        <w:spacing w:before="8"/>
        <w:rPr>
          <w:sz w:val="23"/>
        </w:rPr>
      </w:pPr>
    </w:p>
    <w:p>
      <w:pPr>
        <w:pStyle w:val="BodyText"/>
        <w:spacing w:line="259" w:lineRule="auto"/>
        <w:ind w:left="1659" w:right="889"/>
      </w:pPr>
      <w:r>
        <w:rPr/>
        <w:t>New England Surgery Center is a free-standing ambulatory surgery center and not affiliated with any ACO or APM program. There are no Primary Care Physician affiliations.  (NESC software does not break payer mix by</w:t>
      </w:r>
      <w:r>
        <w:rPr>
          <w:spacing w:val="-2"/>
        </w:rPr>
        <w:t> </w:t>
      </w:r>
      <w:r>
        <w:rPr/>
        <w:t>PPO/HMO/Indemnity)</w:t>
      </w:r>
    </w:p>
    <w:p>
      <w:pPr>
        <w:pStyle w:val="BodyText"/>
        <w:spacing w:before="12"/>
        <w:rPr>
          <w:sz w:val="23"/>
        </w:rPr>
      </w:pPr>
    </w:p>
    <w:tbl>
      <w:tblPr>
        <w:tblW w:w="0" w:type="auto"/>
        <w:jc w:val="left"/>
        <w:tblInd w:w="1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1"/>
        <w:gridCol w:w="737"/>
        <w:gridCol w:w="785"/>
        <w:gridCol w:w="804"/>
        <w:gridCol w:w="2436"/>
        <w:gridCol w:w="803"/>
        <w:gridCol w:w="849"/>
        <w:gridCol w:w="807"/>
      </w:tblGrid>
      <w:tr>
        <w:trPr>
          <w:trHeight w:val="805" w:hRule="atLeast"/>
        </w:trPr>
        <w:tc>
          <w:tcPr>
            <w:tcW w:w="3737" w:type="dxa"/>
            <w:gridSpan w:val="4"/>
          </w:tcPr>
          <w:p>
            <w:pPr>
              <w:pStyle w:val="TableParagraph"/>
              <w:ind w:left="297" w:right="284"/>
              <w:jc w:val="center"/>
              <w:rPr>
                <w:sz w:val="22"/>
              </w:rPr>
            </w:pPr>
            <w:r>
              <w:rPr>
                <w:sz w:val="22"/>
              </w:rPr>
              <w:t>APM Contract Percentages (for any system-affiliated Primary Care</w:t>
            </w:r>
          </w:p>
          <w:p>
            <w:pPr>
              <w:pStyle w:val="TableParagraph"/>
              <w:spacing w:line="250" w:lineRule="exact"/>
              <w:ind w:left="295" w:right="284"/>
              <w:jc w:val="center"/>
              <w:rPr>
                <w:sz w:val="22"/>
              </w:rPr>
            </w:pPr>
            <w:r>
              <w:rPr>
                <w:sz w:val="22"/>
              </w:rPr>
              <w:t>Physicians)</w:t>
            </w:r>
          </w:p>
        </w:tc>
        <w:tc>
          <w:tcPr>
            <w:tcW w:w="4895" w:type="dxa"/>
            <w:gridSpan w:val="4"/>
          </w:tcPr>
          <w:p>
            <w:pPr>
              <w:pStyle w:val="TableParagraph"/>
              <w:spacing w:line="268" w:lineRule="exact"/>
              <w:ind w:left="527"/>
              <w:rPr>
                <w:sz w:val="22"/>
              </w:rPr>
            </w:pPr>
            <w:r>
              <w:rPr>
                <w:sz w:val="22"/>
              </w:rPr>
              <w:t>Payer Mix-Lists Percentages (Must = 100%)</w:t>
            </w:r>
          </w:p>
        </w:tc>
      </w:tr>
      <w:tr>
        <w:trPr>
          <w:trHeight w:val="268" w:hRule="atLeast"/>
        </w:trPr>
        <w:tc>
          <w:tcPr>
            <w:tcW w:w="1411" w:type="dxa"/>
          </w:tcPr>
          <w:p>
            <w:pPr>
              <w:pStyle w:val="TableParagraph"/>
              <w:rPr>
                <w:rFonts w:ascii="Times New Roman"/>
                <w:sz w:val="18"/>
              </w:rPr>
            </w:pPr>
          </w:p>
        </w:tc>
        <w:tc>
          <w:tcPr>
            <w:tcW w:w="737" w:type="dxa"/>
          </w:tcPr>
          <w:p>
            <w:pPr>
              <w:pStyle w:val="TableParagraph"/>
              <w:spacing w:line="248" w:lineRule="exact"/>
              <w:ind w:left="108"/>
              <w:rPr>
                <w:sz w:val="22"/>
              </w:rPr>
            </w:pPr>
            <w:r>
              <w:rPr>
                <w:sz w:val="22"/>
              </w:rPr>
              <w:t>FY17</w:t>
            </w:r>
          </w:p>
        </w:tc>
        <w:tc>
          <w:tcPr>
            <w:tcW w:w="785" w:type="dxa"/>
          </w:tcPr>
          <w:p>
            <w:pPr>
              <w:pStyle w:val="TableParagraph"/>
              <w:spacing w:line="248" w:lineRule="exact"/>
              <w:ind w:left="107"/>
              <w:rPr>
                <w:sz w:val="22"/>
              </w:rPr>
            </w:pPr>
            <w:r>
              <w:rPr>
                <w:sz w:val="22"/>
              </w:rPr>
              <w:t>FY18</w:t>
            </w:r>
          </w:p>
        </w:tc>
        <w:tc>
          <w:tcPr>
            <w:tcW w:w="804" w:type="dxa"/>
          </w:tcPr>
          <w:p>
            <w:pPr>
              <w:pStyle w:val="TableParagraph"/>
              <w:spacing w:line="248" w:lineRule="exact"/>
              <w:ind w:left="107"/>
              <w:rPr>
                <w:sz w:val="22"/>
              </w:rPr>
            </w:pPr>
            <w:r>
              <w:rPr>
                <w:sz w:val="22"/>
              </w:rPr>
              <w:t>FY19</w:t>
            </w:r>
          </w:p>
        </w:tc>
        <w:tc>
          <w:tcPr>
            <w:tcW w:w="2436" w:type="dxa"/>
          </w:tcPr>
          <w:p>
            <w:pPr>
              <w:pStyle w:val="TableParagraph"/>
              <w:rPr>
                <w:rFonts w:ascii="Times New Roman"/>
                <w:sz w:val="18"/>
              </w:rPr>
            </w:pPr>
          </w:p>
        </w:tc>
        <w:tc>
          <w:tcPr>
            <w:tcW w:w="803" w:type="dxa"/>
          </w:tcPr>
          <w:p>
            <w:pPr>
              <w:pStyle w:val="TableParagraph"/>
              <w:spacing w:line="248" w:lineRule="exact"/>
              <w:ind w:left="107"/>
              <w:rPr>
                <w:sz w:val="22"/>
              </w:rPr>
            </w:pPr>
            <w:r>
              <w:rPr>
                <w:sz w:val="22"/>
              </w:rPr>
              <w:t>FY17</w:t>
            </w:r>
          </w:p>
        </w:tc>
        <w:tc>
          <w:tcPr>
            <w:tcW w:w="849" w:type="dxa"/>
          </w:tcPr>
          <w:p>
            <w:pPr>
              <w:pStyle w:val="TableParagraph"/>
              <w:spacing w:line="248" w:lineRule="exact"/>
              <w:ind w:left="147"/>
              <w:rPr>
                <w:sz w:val="22"/>
              </w:rPr>
            </w:pPr>
            <w:r>
              <w:rPr>
                <w:sz w:val="22"/>
              </w:rPr>
              <w:t>FY18</w:t>
            </w:r>
          </w:p>
        </w:tc>
        <w:tc>
          <w:tcPr>
            <w:tcW w:w="807" w:type="dxa"/>
          </w:tcPr>
          <w:p>
            <w:pPr>
              <w:pStyle w:val="TableParagraph"/>
              <w:spacing w:line="248" w:lineRule="exact"/>
              <w:ind w:left="83" w:right="231"/>
              <w:jc w:val="center"/>
              <w:rPr>
                <w:sz w:val="22"/>
              </w:rPr>
            </w:pPr>
            <w:r>
              <w:rPr>
                <w:sz w:val="22"/>
              </w:rPr>
              <w:t>FY18</w:t>
            </w:r>
          </w:p>
        </w:tc>
      </w:tr>
      <w:tr>
        <w:trPr>
          <w:trHeight w:val="286" w:hRule="atLeast"/>
        </w:trPr>
        <w:tc>
          <w:tcPr>
            <w:tcW w:w="1411" w:type="dxa"/>
            <w:tcBorders>
              <w:bottom w:val="nil"/>
            </w:tcBorders>
          </w:tcPr>
          <w:p>
            <w:pPr>
              <w:pStyle w:val="TableParagraph"/>
              <w:spacing w:line="267" w:lineRule="exact"/>
              <w:ind w:left="107"/>
              <w:rPr>
                <w:sz w:val="22"/>
              </w:rPr>
            </w:pPr>
            <w:r>
              <w:rPr>
                <w:sz w:val="22"/>
              </w:rPr>
              <w:t>AXC and</w:t>
            </w:r>
          </w:p>
        </w:tc>
        <w:tc>
          <w:tcPr>
            <w:tcW w:w="737" w:type="dxa"/>
            <w:tcBorders>
              <w:bottom w:val="nil"/>
            </w:tcBorders>
          </w:tcPr>
          <w:p>
            <w:pPr>
              <w:pStyle w:val="TableParagraph"/>
              <w:rPr>
                <w:rFonts w:ascii="Times New Roman"/>
                <w:sz w:val="20"/>
              </w:rPr>
            </w:pPr>
          </w:p>
        </w:tc>
        <w:tc>
          <w:tcPr>
            <w:tcW w:w="785" w:type="dxa"/>
            <w:tcBorders>
              <w:bottom w:val="nil"/>
            </w:tcBorders>
          </w:tcPr>
          <w:p>
            <w:pPr>
              <w:pStyle w:val="TableParagraph"/>
              <w:rPr>
                <w:rFonts w:ascii="Times New Roman"/>
                <w:sz w:val="20"/>
              </w:rPr>
            </w:pPr>
          </w:p>
        </w:tc>
        <w:tc>
          <w:tcPr>
            <w:tcW w:w="804" w:type="dxa"/>
            <w:tcBorders>
              <w:bottom w:val="nil"/>
            </w:tcBorders>
          </w:tcPr>
          <w:p>
            <w:pPr>
              <w:pStyle w:val="TableParagraph"/>
              <w:rPr>
                <w:rFonts w:ascii="Times New Roman"/>
                <w:sz w:val="20"/>
              </w:rPr>
            </w:pPr>
          </w:p>
        </w:tc>
        <w:tc>
          <w:tcPr>
            <w:tcW w:w="2436" w:type="dxa"/>
            <w:tcBorders>
              <w:bottom w:val="nil"/>
            </w:tcBorders>
          </w:tcPr>
          <w:p>
            <w:pPr>
              <w:pStyle w:val="TableParagraph"/>
              <w:spacing w:line="267" w:lineRule="exact"/>
              <w:ind w:left="107"/>
              <w:rPr>
                <w:sz w:val="22"/>
              </w:rPr>
            </w:pPr>
            <w:r>
              <w:rPr>
                <w:sz w:val="22"/>
              </w:rPr>
              <w:t>Commercial</w:t>
            </w:r>
          </w:p>
        </w:tc>
        <w:tc>
          <w:tcPr>
            <w:tcW w:w="803" w:type="dxa"/>
            <w:tcBorders>
              <w:bottom w:val="nil"/>
            </w:tcBorders>
          </w:tcPr>
          <w:p>
            <w:pPr>
              <w:pStyle w:val="TableParagraph"/>
              <w:spacing w:line="267" w:lineRule="exact"/>
              <w:ind w:left="107"/>
              <w:rPr>
                <w:sz w:val="22"/>
              </w:rPr>
            </w:pPr>
            <w:r>
              <w:rPr>
                <w:sz w:val="22"/>
              </w:rPr>
              <w:t>35.0%</w:t>
            </w:r>
          </w:p>
        </w:tc>
        <w:tc>
          <w:tcPr>
            <w:tcW w:w="849" w:type="dxa"/>
            <w:tcBorders>
              <w:bottom w:val="nil"/>
            </w:tcBorders>
          </w:tcPr>
          <w:p>
            <w:pPr>
              <w:pStyle w:val="TableParagraph"/>
              <w:spacing w:line="267" w:lineRule="exact"/>
              <w:ind w:left="67"/>
              <w:rPr>
                <w:sz w:val="22"/>
              </w:rPr>
            </w:pPr>
            <w:r>
              <w:rPr>
                <w:sz w:val="22"/>
              </w:rPr>
              <w:t>38.8%</w:t>
            </w:r>
          </w:p>
        </w:tc>
        <w:tc>
          <w:tcPr>
            <w:tcW w:w="807" w:type="dxa"/>
            <w:tcBorders>
              <w:bottom w:val="nil"/>
            </w:tcBorders>
          </w:tcPr>
          <w:p>
            <w:pPr>
              <w:pStyle w:val="TableParagraph"/>
              <w:spacing w:line="267" w:lineRule="exact"/>
              <w:ind w:left="87" w:right="120"/>
              <w:jc w:val="center"/>
              <w:rPr>
                <w:sz w:val="22"/>
              </w:rPr>
            </w:pPr>
            <w:r>
              <w:rPr>
                <w:sz w:val="22"/>
              </w:rPr>
              <w:t>40.0%</w:t>
            </w:r>
          </w:p>
        </w:tc>
      </w:tr>
      <w:tr>
        <w:trPr>
          <w:trHeight w:val="267" w:hRule="atLeast"/>
        </w:trPr>
        <w:tc>
          <w:tcPr>
            <w:tcW w:w="1411" w:type="dxa"/>
            <w:tcBorders>
              <w:top w:val="nil"/>
              <w:bottom w:val="nil"/>
            </w:tcBorders>
          </w:tcPr>
          <w:p>
            <w:pPr>
              <w:pStyle w:val="TableParagraph"/>
              <w:spacing w:line="247" w:lineRule="exact"/>
              <w:ind w:left="107"/>
              <w:rPr>
                <w:sz w:val="22"/>
              </w:rPr>
            </w:pPr>
            <w:r>
              <w:rPr>
                <w:sz w:val="22"/>
              </w:rPr>
              <w:t>APM</w:t>
            </w:r>
          </w:p>
        </w:tc>
        <w:tc>
          <w:tcPr>
            <w:tcW w:w="737" w:type="dxa"/>
            <w:tcBorders>
              <w:top w:val="nil"/>
              <w:bottom w:val="nil"/>
            </w:tcBorders>
          </w:tcPr>
          <w:p>
            <w:pPr>
              <w:pStyle w:val="TableParagraph"/>
              <w:spacing w:line="247" w:lineRule="exact"/>
              <w:ind w:left="108"/>
              <w:rPr>
                <w:sz w:val="22"/>
              </w:rPr>
            </w:pPr>
            <w:r>
              <w:rPr>
                <w:sz w:val="22"/>
              </w:rPr>
              <w:t>N/A</w:t>
            </w:r>
          </w:p>
        </w:tc>
        <w:tc>
          <w:tcPr>
            <w:tcW w:w="785" w:type="dxa"/>
            <w:tcBorders>
              <w:top w:val="nil"/>
              <w:bottom w:val="nil"/>
            </w:tcBorders>
          </w:tcPr>
          <w:p>
            <w:pPr>
              <w:pStyle w:val="TableParagraph"/>
              <w:spacing w:line="247" w:lineRule="exact"/>
              <w:ind w:left="107"/>
              <w:rPr>
                <w:sz w:val="22"/>
              </w:rPr>
            </w:pPr>
            <w:r>
              <w:rPr>
                <w:sz w:val="22"/>
              </w:rPr>
              <w:t>N/A</w:t>
            </w:r>
          </w:p>
        </w:tc>
        <w:tc>
          <w:tcPr>
            <w:tcW w:w="804" w:type="dxa"/>
            <w:tcBorders>
              <w:top w:val="nil"/>
              <w:bottom w:val="nil"/>
            </w:tcBorders>
          </w:tcPr>
          <w:p>
            <w:pPr>
              <w:pStyle w:val="TableParagraph"/>
              <w:spacing w:line="247" w:lineRule="exact"/>
              <w:ind w:left="107"/>
              <w:rPr>
                <w:sz w:val="22"/>
              </w:rPr>
            </w:pPr>
            <w:r>
              <w:rPr>
                <w:sz w:val="22"/>
              </w:rPr>
              <w:t>N/A</w:t>
            </w:r>
          </w:p>
        </w:tc>
        <w:tc>
          <w:tcPr>
            <w:tcW w:w="2436" w:type="dxa"/>
            <w:tcBorders>
              <w:top w:val="nil"/>
              <w:bottom w:val="nil"/>
            </w:tcBorders>
          </w:tcPr>
          <w:p>
            <w:pPr>
              <w:pStyle w:val="TableParagraph"/>
              <w:spacing w:line="247" w:lineRule="exact"/>
              <w:ind w:left="107"/>
              <w:rPr>
                <w:sz w:val="22"/>
              </w:rPr>
            </w:pPr>
            <w:r>
              <w:rPr>
                <w:sz w:val="22"/>
              </w:rPr>
              <w:t>MassHealth</w:t>
            </w:r>
          </w:p>
        </w:tc>
        <w:tc>
          <w:tcPr>
            <w:tcW w:w="803" w:type="dxa"/>
            <w:tcBorders>
              <w:top w:val="nil"/>
              <w:bottom w:val="nil"/>
            </w:tcBorders>
          </w:tcPr>
          <w:p>
            <w:pPr>
              <w:pStyle w:val="TableParagraph"/>
              <w:spacing w:line="247" w:lineRule="exact"/>
              <w:ind w:left="107"/>
              <w:rPr>
                <w:sz w:val="22"/>
              </w:rPr>
            </w:pPr>
            <w:r>
              <w:rPr>
                <w:sz w:val="22"/>
              </w:rPr>
              <w:t>2.3%</w:t>
            </w:r>
          </w:p>
        </w:tc>
        <w:tc>
          <w:tcPr>
            <w:tcW w:w="849" w:type="dxa"/>
            <w:tcBorders>
              <w:top w:val="nil"/>
              <w:bottom w:val="nil"/>
            </w:tcBorders>
          </w:tcPr>
          <w:p>
            <w:pPr>
              <w:pStyle w:val="TableParagraph"/>
              <w:spacing w:line="247" w:lineRule="exact"/>
              <w:ind w:left="67"/>
              <w:rPr>
                <w:sz w:val="22"/>
              </w:rPr>
            </w:pPr>
            <w:r>
              <w:rPr>
                <w:sz w:val="22"/>
              </w:rPr>
              <w:t>2.7%</w:t>
            </w:r>
          </w:p>
        </w:tc>
        <w:tc>
          <w:tcPr>
            <w:tcW w:w="807" w:type="dxa"/>
            <w:tcBorders>
              <w:top w:val="nil"/>
              <w:bottom w:val="nil"/>
            </w:tcBorders>
          </w:tcPr>
          <w:p>
            <w:pPr>
              <w:pStyle w:val="TableParagraph"/>
              <w:spacing w:line="247" w:lineRule="exact"/>
              <w:ind w:left="88" w:right="229"/>
              <w:jc w:val="center"/>
              <w:rPr>
                <w:sz w:val="22"/>
              </w:rPr>
            </w:pPr>
            <w:r>
              <w:rPr>
                <w:sz w:val="22"/>
              </w:rPr>
              <w:t>2.1%</w:t>
            </w:r>
          </w:p>
        </w:tc>
      </w:tr>
      <w:tr>
        <w:trPr>
          <w:trHeight w:val="251" w:hRule="atLeast"/>
        </w:trPr>
        <w:tc>
          <w:tcPr>
            <w:tcW w:w="1411" w:type="dxa"/>
            <w:tcBorders>
              <w:top w:val="nil"/>
            </w:tcBorders>
          </w:tcPr>
          <w:p>
            <w:pPr>
              <w:pStyle w:val="TableParagraph"/>
              <w:spacing w:line="232" w:lineRule="exact"/>
              <w:ind w:left="107"/>
              <w:rPr>
                <w:sz w:val="22"/>
              </w:rPr>
            </w:pPr>
            <w:r>
              <w:rPr>
                <w:sz w:val="22"/>
              </w:rPr>
              <w:t>Contracts</w:t>
            </w:r>
          </w:p>
        </w:tc>
        <w:tc>
          <w:tcPr>
            <w:tcW w:w="737" w:type="dxa"/>
            <w:tcBorders>
              <w:top w:val="nil"/>
            </w:tcBorders>
          </w:tcPr>
          <w:p>
            <w:pPr>
              <w:pStyle w:val="TableParagraph"/>
              <w:rPr>
                <w:rFonts w:ascii="Times New Roman"/>
                <w:sz w:val="18"/>
              </w:rPr>
            </w:pPr>
          </w:p>
        </w:tc>
        <w:tc>
          <w:tcPr>
            <w:tcW w:w="785" w:type="dxa"/>
            <w:tcBorders>
              <w:top w:val="nil"/>
            </w:tcBorders>
          </w:tcPr>
          <w:p>
            <w:pPr>
              <w:pStyle w:val="TableParagraph"/>
              <w:rPr>
                <w:rFonts w:ascii="Times New Roman"/>
                <w:sz w:val="18"/>
              </w:rPr>
            </w:pPr>
          </w:p>
        </w:tc>
        <w:tc>
          <w:tcPr>
            <w:tcW w:w="804" w:type="dxa"/>
            <w:tcBorders>
              <w:top w:val="nil"/>
            </w:tcBorders>
          </w:tcPr>
          <w:p>
            <w:pPr>
              <w:pStyle w:val="TableParagraph"/>
              <w:rPr>
                <w:rFonts w:ascii="Times New Roman"/>
                <w:sz w:val="18"/>
              </w:rPr>
            </w:pPr>
          </w:p>
        </w:tc>
        <w:tc>
          <w:tcPr>
            <w:tcW w:w="2436" w:type="dxa"/>
            <w:tcBorders>
              <w:top w:val="nil"/>
            </w:tcBorders>
          </w:tcPr>
          <w:p>
            <w:pPr>
              <w:pStyle w:val="TableParagraph"/>
              <w:spacing w:line="232" w:lineRule="exact"/>
              <w:ind w:left="107"/>
              <w:rPr>
                <w:sz w:val="22"/>
              </w:rPr>
            </w:pPr>
            <w:r>
              <w:rPr>
                <w:sz w:val="22"/>
              </w:rPr>
              <w:t>Managed Medicaid</w:t>
            </w:r>
          </w:p>
        </w:tc>
        <w:tc>
          <w:tcPr>
            <w:tcW w:w="803" w:type="dxa"/>
            <w:tcBorders>
              <w:top w:val="nil"/>
            </w:tcBorders>
          </w:tcPr>
          <w:p>
            <w:pPr>
              <w:pStyle w:val="TableParagraph"/>
              <w:spacing w:line="232" w:lineRule="exact"/>
              <w:ind w:left="107"/>
              <w:rPr>
                <w:sz w:val="22"/>
              </w:rPr>
            </w:pPr>
            <w:r>
              <w:rPr>
                <w:sz w:val="22"/>
              </w:rPr>
              <w:t>13.5%</w:t>
            </w:r>
          </w:p>
        </w:tc>
        <w:tc>
          <w:tcPr>
            <w:tcW w:w="849" w:type="dxa"/>
            <w:tcBorders>
              <w:top w:val="nil"/>
            </w:tcBorders>
          </w:tcPr>
          <w:p>
            <w:pPr>
              <w:pStyle w:val="TableParagraph"/>
              <w:spacing w:line="232" w:lineRule="exact"/>
              <w:ind w:left="67"/>
              <w:rPr>
                <w:sz w:val="22"/>
              </w:rPr>
            </w:pPr>
            <w:r>
              <w:rPr>
                <w:sz w:val="22"/>
              </w:rPr>
              <w:t>8.7%</w:t>
            </w:r>
          </w:p>
        </w:tc>
        <w:tc>
          <w:tcPr>
            <w:tcW w:w="807" w:type="dxa"/>
            <w:tcBorders>
              <w:top w:val="nil"/>
            </w:tcBorders>
          </w:tcPr>
          <w:p>
            <w:pPr>
              <w:pStyle w:val="TableParagraph"/>
              <w:spacing w:line="232" w:lineRule="exact"/>
              <w:ind w:left="88" w:right="120"/>
              <w:jc w:val="center"/>
              <w:rPr>
                <w:sz w:val="22"/>
              </w:rPr>
            </w:pPr>
            <w:r>
              <w:rPr>
                <w:sz w:val="22"/>
              </w:rPr>
              <w:t>11.4%</w:t>
            </w:r>
          </w:p>
        </w:tc>
      </w:tr>
      <w:tr>
        <w:trPr>
          <w:trHeight w:val="285" w:hRule="atLeast"/>
        </w:trPr>
        <w:tc>
          <w:tcPr>
            <w:tcW w:w="1411" w:type="dxa"/>
            <w:tcBorders>
              <w:bottom w:val="nil"/>
            </w:tcBorders>
          </w:tcPr>
          <w:p>
            <w:pPr>
              <w:pStyle w:val="TableParagraph"/>
              <w:spacing w:line="265" w:lineRule="exact"/>
              <w:ind w:left="107"/>
              <w:rPr>
                <w:sz w:val="22"/>
              </w:rPr>
            </w:pPr>
            <w:r>
              <w:rPr>
                <w:sz w:val="22"/>
              </w:rPr>
              <w:t>Non-ACO</w:t>
            </w:r>
          </w:p>
        </w:tc>
        <w:tc>
          <w:tcPr>
            <w:tcW w:w="737" w:type="dxa"/>
            <w:tcBorders>
              <w:bottom w:val="nil"/>
            </w:tcBorders>
          </w:tcPr>
          <w:p>
            <w:pPr>
              <w:pStyle w:val="TableParagraph"/>
              <w:spacing w:line="265" w:lineRule="exact"/>
              <w:ind w:left="158"/>
              <w:rPr>
                <w:sz w:val="22"/>
              </w:rPr>
            </w:pPr>
            <w:r>
              <w:rPr>
                <w:sz w:val="22"/>
              </w:rPr>
              <w:t>N/A</w:t>
            </w:r>
          </w:p>
        </w:tc>
        <w:tc>
          <w:tcPr>
            <w:tcW w:w="785" w:type="dxa"/>
            <w:tcBorders>
              <w:bottom w:val="nil"/>
            </w:tcBorders>
          </w:tcPr>
          <w:p>
            <w:pPr>
              <w:pStyle w:val="TableParagraph"/>
              <w:spacing w:line="265" w:lineRule="exact"/>
              <w:ind w:left="107"/>
              <w:rPr>
                <w:sz w:val="22"/>
              </w:rPr>
            </w:pPr>
            <w:r>
              <w:rPr>
                <w:sz w:val="22"/>
              </w:rPr>
              <w:t>N/A</w:t>
            </w:r>
          </w:p>
        </w:tc>
        <w:tc>
          <w:tcPr>
            <w:tcW w:w="804" w:type="dxa"/>
            <w:tcBorders>
              <w:bottom w:val="nil"/>
            </w:tcBorders>
          </w:tcPr>
          <w:p>
            <w:pPr>
              <w:pStyle w:val="TableParagraph"/>
              <w:spacing w:line="265" w:lineRule="exact"/>
              <w:ind w:left="107"/>
              <w:rPr>
                <w:sz w:val="22"/>
              </w:rPr>
            </w:pPr>
            <w:r>
              <w:rPr>
                <w:sz w:val="22"/>
              </w:rPr>
              <w:t>N/A</w:t>
            </w:r>
          </w:p>
        </w:tc>
        <w:tc>
          <w:tcPr>
            <w:tcW w:w="2436" w:type="dxa"/>
            <w:tcBorders>
              <w:bottom w:val="nil"/>
            </w:tcBorders>
          </w:tcPr>
          <w:p>
            <w:pPr>
              <w:pStyle w:val="TableParagraph"/>
              <w:spacing w:line="265" w:lineRule="exact"/>
              <w:ind w:left="107"/>
              <w:rPr>
                <w:sz w:val="22"/>
              </w:rPr>
            </w:pPr>
            <w:r>
              <w:rPr>
                <w:sz w:val="22"/>
              </w:rPr>
              <w:t>Commercial Medicare</w:t>
            </w:r>
          </w:p>
        </w:tc>
        <w:tc>
          <w:tcPr>
            <w:tcW w:w="803" w:type="dxa"/>
            <w:tcBorders>
              <w:bottom w:val="nil"/>
            </w:tcBorders>
          </w:tcPr>
          <w:p>
            <w:pPr>
              <w:pStyle w:val="TableParagraph"/>
              <w:spacing w:line="265" w:lineRule="exact"/>
              <w:ind w:left="107"/>
              <w:rPr>
                <w:sz w:val="22"/>
              </w:rPr>
            </w:pPr>
            <w:r>
              <w:rPr>
                <w:sz w:val="22"/>
              </w:rPr>
              <w:t>6.4%</w:t>
            </w:r>
          </w:p>
        </w:tc>
        <w:tc>
          <w:tcPr>
            <w:tcW w:w="849" w:type="dxa"/>
            <w:tcBorders>
              <w:bottom w:val="nil"/>
            </w:tcBorders>
          </w:tcPr>
          <w:p>
            <w:pPr>
              <w:pStyle w:val="TableParagraph"/>
              <w:spacing w:line="265" w:lineRule="exact"/>
              <w:ind w:left="67"/>
              <w:rPr>
                <w:sz w:val="22"/>
              </w:rPr>
            </w:pPr>
            <w:r>
              <w:rPr>
                <w:sz w:val="22"/>
              </w:rPr>
              <w:t>6.0%</w:t>
            </w:r>
          </w:p>
        </w:tc>
        <w:tc>
          <w:tcPr>
            <w:tcW w:w="807" w:type="dxa"/>
            <w:tcBorders>
              <w:bottom w:val="nil"/>
            </w:tcBorders>
          </w:tcPr>
          <w:p>
            <w:pPr>
              <w:pStyle w:val="TableParagraph"/>
              <w:spacing w:line="265" w:lineRule="exact"/>
              <w:ind w:left="88" w:right="229"/>
              <w:jc w:val="center"/>
              <w:rPr>
                <w:sz w:val="22"/>
              </w:rPr>
            </w:pPr>
            <w:r>
              <w:rPr>
                <w:sz w:val="22"/>
              </w:rPr>
              <w:t>6.3%</w:t>
            </w:r>
          </w:p>
        </w:tc>
      </w:tr>
      <w:tr>
        <w:trPr>
          <w:trHeight w:val="268" w:hRule="atLeast"/>
        </w:trPr>
        <w:tc>
          <w:tcPr>
            <w:tcW w:w="1411" w:type="dxa"/>
            <w:tcBorders>
              <w:top w:val="nil"/>
              <w:bottom w:val="nil"/>
            </w:tcBorders>
          </w:tcPr>
          <w:p>
            <w:pPr>
              <w:pStyle w:val="TableParagraph"/>
              <w:spacing w:line="249" w:lineRule="exact"/>
              <w:ind w:left="107"/>
              <w:rPr>
                <w:sz w:val="22"/>
              </w:rPr>
            </w:pPr>
            <w:r>
              <w:rPr>
                <w:sz w:val="22"/>
              </w:rPr>
              <w:t>and Non-</w:t>
            </w:r>
          </w:p>
        </w:tc>
        <w:tc>
          <w:tcPr>
            <w:tcW w:w="737" w:type="dxa"/>
            <w:tcBorders>
              <w:top w:val="nil"/>
              <w:bottom w:val="nil"/>
            </w:tcBorders>
          </w:tcPr>
          <w:p>
            <w:pPr>
              <w:pStyle w:val="TableParagraph"/>
              <w:rPr>
                <w:rFonts w:ascii="Times New Roman"/>
                <w:sz w:val="18"/>
              </w:rPr>
            </w:pPr>
          </w:p>
        </w:tc>
        <w:tc>
          <w:tcPr>
            <w:tcW w:w="785" w:type="dxa"/>
            <w:tcBorders>
              <w:top w:val="nil"/>
              <w:bottom w:val="nil"/>
            </w:tcBorders>
          </w:tcPr>
          <w:p>
            <w:pPr>
              <w:pStyle w:val="TableParagraph"/>
              <w:rPr>
                <w:rFonts w:ascii="Times New Roman"/>
                <w:sz w:val="18"/>
              </w:rPr>
            </w:pPr>
          </w:p>
        </w:tc>
        <w:tc>
          <w:tcPr>
            <w:tcW w:w="804" w:type="dxa"/>
            <w:tcBorders>
              <w:top w:val="nil"/>
              <w:bottom w:val="nil"/>
            </w:tcBorders>
          </w:tcPr>
          <w:p>
            <w:pPr>
              <w:pStyle w:val="TableParagraph"/>
              <w:rPr>
                <w:rFonts w:ascii="Times New Roman"/>
                <w:sz w:val="18"/>
              </w:rPr>
            </w:pPr>
          </w:p>
        </w:tc>
        <w:tc>
          <w:tcPr>
            <w:tcW w:w="2436" w:type="dxa"/>
            <w:tcBorders>
              <w:top w:val="nil"/>
              <w:bottom w:val="nil"/>
            </w:tcBorders>
          </w:tcPr>
          <w:p>
            <w:pPr>
              <w:pStyle w:val="TableParagraph"/>
              <w:spacing w:line="249" w:lineRule="exact"/>
              <w:ind w:left="107"/>
              <w:rPr>
                <w:sz w:val="22"/>
              </w:rPr>
            </w:pPr>
            <w:r>
              <w:rPr>
                <w:sz w:val="22"/>
              </w:rPr>
              <w:t>Medicare FFS</w:t>
            </w:r>
          </w:p>
        </w:tc>
        <w:tc>
          <w:tcPr>
            <w:tcW w:w="803" w:type="dxa"/>
            <w:tcBorders>
              <w:top w:val="nil"/>
              <w:bottom w:val="nil"/>
            </w:tcBorders>
          </w:tcPr>
          <w:p>
            <w:pPr>
              <w:pStyle w:val="TableParagraph"/>
              <w:spacing w:line="249" w:lineRule="exact"/>
              <w:ind w:left="107"/>
              <w:rPr>
                <w:sz w:val="22"/>
              </w:rPr>
            </w:pPr>
            <w:r>
              <w:rPr>
                <w:sz w:val="22"/>
              </w:rPr>
              <w:t>34.7%</w:t>
            </w:r>
          </w:p>
        </w:tc>
        <w:tc>
          <w:tcPr>
            <w:tcW w:w="849" w:type="dxa"/>
            <w:tcBorders>
              <w:top w:val="nil"/>
              <w:bottom w:val="nil"/>
            </w:tcBorders>
          </w:tcPr>
          <w:p>
            <w:pPr>
              <w:pStyle w:val="TableParagraph"/>
              <w:spacing w:line="249" w:lineRule="exact"/>
              <w:ind w:left="67"/>
              <w:rPr>
                <w:sz w:val="22"/>
              </w:rPr>
            </w:pPr>
            <w:r>
              <w:rPr>
                <w:sz w:val="22"/>
              </w:rPr>
              <w:t>35.8%</w:t>
            </w:r>
          </w:p>
        </w:tc>
        <w:tc>
          <w:tcPr>
            <w:tcW w:w="807" w:type="dxa"/>
            <w:tcBorders>
              <w:top w:val="nil"/>
              <w:bottom w:val="nil"/>
            </w:tcBorders>
          </w:tcPr>
          <w:p>
            <w:pPr>
              <w:pStyle w:val="TableParagraph"/>
              <w:spacing w:line="249" w:lineRule="exact"/>
              <w:ind w:left="88" w:right="120"/>
              <w:jc w:val="center"/>
              <w:rPr>
                <w:sz w:val="22"/>
              </w:rPr>
            </w:pPr>
            <w:r>
              <w:rPr>
                <w:sz w:val="22"/>
              </w:rPr>
              <w:t>32.8%</w:t>
            </w:r>
          </w:p>
        </w:tc>
      </w:tr>
      <w:tr>
        <w:trPr>
          <w:trHeight w:val="268" w:hRule="atLeast"/>
        </w:trPr>
        <w:tc>
          <w:tcPr>
            <w:tcW w:w="1411" w:type="dxa"/>
            <w:tcBorders>
              <w:top w:val="nil"/>
              <w:bottom w:val="nil"/>
            </w:tcBorders>
          </w:tcPr>
          <w:p>
            <w:pPr>
              <w:pStyle w:val="TableParagraph"/>
              <w:spacing w:line="249" w:lineRule="exact"/>
              <w:ind w:left="107"/>
              <w:rPr>
                <w:sz w:val="22"/>
              </w:rPr>
            </w:pPr>
            <w:r>
              <w:rPr>
                <w:sz w:val="22"/>
              </w:rPr>
              <w:t>APM</w:t>
            </w:r>
          </w:p>
        </w:tc>
        <w:tc>
          <w:tcPr>
            <w:tcW w:w="737" w:type="dxa"/>
            <w:tcBorders>
              <w:top w:val="nil"/>
              <w:bottom w:val="nil"/>
            </w:tcBorders>
          </w:tcPr>
          <w:p>
            <w:pPr>
              <w:pStyle w:val="TableParagraph"/>
              <w:rPr>
                <w:rFonts w:ascii="Times New Roman"/>
                <w:sz w:val="18"/>
              </w:rPr>
            </w:pPr>
          </w:p>
        </w:tc>
        <w:tc>
          <w:tcPr>
            <w:tcW w:w="785" w:type="dxa"/>
            <w:tcBorders>
              <w:top w:val="nil"/>
              <w:bottom w:val="nil"/>
            </w:tcBorders>
          </w:tcPr>
          <w:p>
            <w:pPr>
              <w:pStyle w:val="TableParagraph"/>
              <w:rPr>
                <w:rFonts w:ascii="Times New Roman"/>
                <w:sz w:val="18"/>
              </w:rPr>
            </w:pPr>
          </w:p>
        </w:tc>
        <w:tc>
          <w:tcPr>
            <w:tcW w:w="804" w:type="dxa"/>
            <w:tcBorders>
              <w:top w:val="nil"/>
              <w:bottom w:val="nil"/>
            </w:tcBorders>
          </w:tcPr>
          <w:p>
            <w:pPr>
              <w:pStyle w:val="TableParagraph"/>
              <w:rPr>
                <w:rFonts w:ascii="Times New Roman"/>
                <w:sz w:val="18"/>
              </w:rPr>
            </w:pPr>
          </w:p>
        </w:tc>
        <w:tc>
          <w:tcPr>
            <w:tcW w:w="2436" w:type="dxa"/>
            <w:tcBorders>
              <w:top w:val="nil"/>
              <w:bottom w:val="nil"/>
            </w:tcBorders>
          </w:tcPr>
          <w:p>
            <w:pPr>
              <w:pStyle w:val="TableParagraph"/>
              <w:spacing w:line="249" w:lineRule="exact"/>
              <w:ind w:left="107"/>
              <w:rPr>
                <w:sz w:val="22"/>
              </w:rPr>
            </w:pPr>
            <w:r>
              <w:rPr>
                <w:sz w:val="22"/>
              </w:rPr>
              <w:t>All Other</w:t>
            </w:r>
          </w:p>
        </w:tc>
        <w:tc>
          <w:tcPr>
            <w:tcW w:w="803" w:type="dxa"/>
            <w:tcBorders>
              <w:top w:val="nil"/>
              <w:bottom w:val="nil"/>
            </w:tcBorders>
          </w:tcPr>
          <w:p>
            <w:pPr>
              <w:pStyle w:val="TableParagraph"/>
              <w:spacing w:line="249" w:lineRule="exact"/>
              <w:ind w:left="107"/>
              <w:rPr>
                <w:sz w:val="22"/>
              </w:rPr>
            </w:pPr>
            <w:r>
              <w:rPr>
                <w:sz w:val="22"/>
              </w:rPr>
              <w:t>8.1%</w:t>
            </w:r>
          </w:p>
        </w:tc>
        <w:tc>
          <w:tcPr>
            <w:tcW w:w="849" w:type="dxa"/>
            <w:tcBorders>
              <w:top w:val="nil"/>
              <w:bottom w:val="nil"/>
            </w:tcBorders>
          </w:tcPr>
          <w:p>
            <w:pPr>
              <w:pStyle w:val="TableParagraph"/>
              <w:spacing w:line="249" w:lineRule="exact"/>
              <w:ind w:left="67"/>
              <w:rPr>
                <w:sz w:val="22"/>
              </w:rPr>
            </w:pPr>
            <w:r>
              <w:rPr>
                <w:sz w:val="22"/>
              </w:rPr>
              <w:t>8.0%</w:t>
            </w:r>
          </w:p>
        </w:tc>
        <w:tc>
          <w:tcPr>
            <w:tcW w:w="807" w:type="dxa"/>
            <w:tcBorders>
              <w:top w:val="nil"/>
              <w:bottom w:val="nil"/>
            </w:tcBorders>
          </w:tcPr>
          <w:p>
            <w:pPr>
              <w:pStyle w:val="TableParagraph"/>
              <w:spacing w:line="249" w:lineRule="exact"/>
              <w:ind w:left="88" w:right="229"/>
              <w:jc w:val="center"/>
              <w:rPr>
                <w:sz w:val="22"/>
              </w:rPr>
            </w:pPr>
            <w:r>
              <w:rPr>
                <w:sz w:val="22"/>
              </w:rPr>
              <w:t>7.4%</w:t>
            </w:r>
          </w:p>
        </w:tc>
      </w:tr>
      <w:tr>
        <w:trPr>
          <w:trHeight w:val="251" w:hRule="atLeast"/>
        </w:trPr>
        <w:tc>
          <w:tcPr>
            <w:tcW w:w="1411" w:type="dxa"/>
            <w:tcBorders>
              <w:top w:val="nil"/>
            </w:tcBorders>
          </w:tcPr>
          <w:p>
            <w:pPr>
              <w:pStyle w:val="TableParagraph"/>
              <w:spacing w:line="232" w:lineRule="exact"/>
              <w:ind w:left="107"/>
              <w:rPr>
                <w:sz w:val="22"/>
              </w:rPr>
            </w:pPr>
            <w:r>
              <w:rPr>
                <w:sz w:val="22"/>
              </w:rPr>
              <w:t>Contracts</w:t>
            </w:r>
          </w:p>
        </w:tc>
        <w:tc>
          <w:tcPr>
            <w:tcW w:w="737" w:type="dxa"/>
            <w:tcBorders>
              <w:top w:val="nil"/>
            </w:tcBorders>
          </w:tcPr>
          <w:p>
            <w:pPr>
              <w:pStyle w:val="TableParagraph"/>
              <w:rPr>
                <w:rFonts w:ascii="Times New Roman"/>
                <w:sz w:val="18"/>
              </w:rPr>
            </w:pPr>
          </w:p>
        </w:tc>
        <w:tc>
          <w:tcPr>
            <w:tcW w:w="785" w:type="dxa"/>
            <w:tcBorders>
              <w:top w:val="nil"/>
            </w:tcBorders>
          </w:tcPr>
          <w:p>
            <w:pPr>
              <w:pStyle w:val="TableParagraph"/>
              <w:rPr>
                <w:rFonts w:ascii="Times New Roman"/>
                <w:sz w:val="18"/>
              </w:rPr>
            </w:pPr>
          </w:p>
        </w:tc>
        <w:tc>
          <w:tcPr>
            <w:tcW w:w="804" w:type="dxa"/>
            <w:tcBorders>
              <w:top w:val="nil"/>
            </w:tcBorders>
          </w:tcPr>
          <w:p>
            <w:pPr>
              <w:pStyle w:val="TableParagraph"/>
              <w:rPr>
                <w:rFonts w:ascii="Times New Roman"/>
                <w:sz w:val="18"/>
              </w:rPr>
            </w:pPr>
          </w:p>
        </w:tc>
        <w:tc>
          <w:tcPr>
            <w:tcW w:w="2436" w:type="dxa"/>
            <w:tcBorders>
              <w:top w:val="nil"/>
            </w:tcBorders>
          </w:tcPr>
          <w:p>
            <w:pPr>
              <w:pStyle w:val="TableParagraph"/>
              <w:rPr>
                <w:rFonts w:ascii="Times New Roman"/>
                <w:sz w:val="18"/>
              </w:rPr>
            </w:pPr>
          </w:p>
        </w:tc>
        <w:tc>
          <w:tcPr>
            <w:tcW w:w="803" w:type="dxa"/>
            <w:tcBorders>
              <w:top w:val="nil"/>
            </w:tcBorders>
          </w:tcPr>
          <w:p>
            <w:pPr>
              <w:pStyle w:val="TableParagraph"/>
              <w:rPr>
                <w:rFonts w:ascii="Times New Roman"/>
                <w:sz w:val="18"/>
              </w:rPr>
            </w:pPr>
          </w:p>
        </w:tc>
        <w:tc>
          <w:tcPr>
            <w:tcW w:w="849" w:type="dxa"/>
            <w:tcBorders>
              <w:top w:val="nil"/>
            </w:tcBorders>
          </w:tcPr>
          <w:p>
            <w:pPr>
              <w:pStyle w:val="TableParagraph"/>
              <w:rPr>
                <w:rFonts w:ascii="Times New Roman"/>
                <w:sz w:val="18"/>
              </w:rPr>
            </w:pPr>
          </w:p>
        </w:tc>
        <w:tc>
          <w:tcPr>
            <w:tcW w:w="807" w:type="dxa"/>
            <w:tcBorders>
              <w:top w:val="nil"/>
            </w:tcBorders>
          </w:tcPr>
          <w:p>
            <w:pPr>
              <w:pStyle w:val="TableParagraph"/>
              <w:rPr>
                <w:rFonts w:ascii="Times New Roman"/>
                <w:sz w:val="18"/>
              </w:rPr>
            </w:pPr>
          </w:p>
        </w:tc>
      </w:tr>
    </w:tbl>
    <w:p>
      <w:pPr>
        <w:pStyle w:val="BodyText"/>
        <w:spacing w:before="6"/>
        <w:rPr>
          <w:sz w:val="23"/>
        </w:rPr>
      </w:pPr>
    </w:p>
    <w:p>
      <w:pPr>
        <w:pStyle w:val="BodyText"/>
        <w:ind w:left="939"/>
      </w:pPr>
      <w:r>
        <w:rPr/>
        <w:t>Factor 1 requires the Applicant to demonstrate Patient Panel Need for the Proposed Project</w:t>
      </w:r>
    </w:p>
    <w:p>
      <w:pPr>
        <w:pStyle w:val="ListParagraph"/>
        <w:numPr>
          <w:ilvl w:val="0"/>
          <w:numId w:val="1"/>
        </w:numPr>
        <w:tabs>
          <w:tab w:pos="1350" w:val="left" w:leader="none"/>
          <w:tab w:pos="1351" w:val="left" w:leader="none"/>
        </w:tabs>
        <w:spacing w:line="240" w:lineRule="auto" w:before="22" w:after="0"/>
        <w:ind w:left="1350" w:right="0" w:hanging="412"/>
        <w:jc w:val="left"/>
        <w:rPr>
          <w:rFonts w:ascii="Calibri"/>
          <w:sz w:val="22"/>
        </w:rPr>
      </w:pPr>
      <w:r>
        <w:rPr>
          <w:rFonts w:ascii="Calibri"/>
          <w:sz w:val="22"/>
        </w:rPr>
        <w:t>The application states that the surgery center is performing more complex</w:t>
      </w:r>
      <w:r>
        <w:rPr>
          <w:rFonts w:ascii="Calibri"/>
          <w:spacing w:val="-10"/>
          <w:sz w:val="22"/>
        </w:rPr>
        <w:t> </w:t>
      </w:r>
      <w:r>
        <w:rPr>
          <w:rFonts w:ascii="Calibri"/>
          <w:sz w:val="22"/>
        </w:rPr>
        <w:t>procedures.</w:t>
      </w:r>
    </w:p>
    <w:p>
      <w:pPr>
        <w:pStyle w:val="ListParagraph"/>
        <w:numPr>
          <w:ilvl w:val="1"/>
          <w:numId w:val="1"/>
        </w:numPr>
        <w:tabs>
          <w:tab w:pos="1659" w:val="left" w:leader="none"/>
          <w:tab w:pos="1660" w:val="left" w:leader="none"/>
        </w:tabs>
        <w:spacing w:line="240" w:lineRule="auto" w:before="19" w:after="0"/>
        <w:ind w:left="1659" w:right="0" w:hanging="521"/>
        <w:jc w:val="left"/>
        <w:rPr>
          <w:rFonts w:ascii="Calibri"/>
          <w:sz w:val="22"/>
        </w:rPr>
      </w:pPr>
      <w:r>
        <w:rPr>
          <w:rFonts w:ascii="Calibri"/>
          <w:sz w:val="22"/>
        </w:rPr>
        <w:t>Explain Patient Panel need for these more complex procedures</w:t>
      </w:r>
      <w:r>
        <w:rPr>
          <w:rFonts w:ascii="Calibri"/>
          <w:spacing w:val="-11"/>
          <w:sz w:val="22"/>
        </w:rPr>
        <w:t> </w:t>
      </w:r>
      <w:r>
        <w:rPr>
          <w:rFonts w:ascii="Calibri"/>
          <w:sz w:val="22"/>
        </w:rPr>
        <w:t>(pg.3)</w:t>
      </w:r>
    </w:p>
    <w:p>
      <w:pPr>
        <w:pStyle w:val="BodyText"/>
        <w:spacing w:before="7"/>
        <w:rPr>
          <w:sz w:val="25"/>
        </w:rPr>
      </w:pPr>
    </w:p>
    <w:p>
      <w:pPr>
        <w:pStyle w:val="BodyText"/>
        <w:ind w:left="1659" w:right="982"/>
      </w:pPr>
      <w:r>
        <w:rPr/>
        <w:t>A key growth area in the ASC setting is the ability to perform more complex surgeries, such as the Vertiflex, MILD, SI Joint stabilization and neurostimulator implantation procedures for pain and the Fusion image guided sinus surgeries. Some of this growth is fueled by Medicare changing numerous procedures from inpatient to outpatient status. In Massachusetts the population, 65 or older, is slightly higher than the U.S. population with a rate of 15%. Lumbar spinal stenosis (LSS) is a common degenerative spinal condition causing significant pain and functional disability, especially in the elderly. The MILD procedure (percutaneous laminotomy/laminectomy) is only performed on patients 65 or older who have not had success with epidural steroid injections (ESI).</w:t>
      </w:r>
    </w:p>
    <w:p>
      <w:pPr>
        <w:pStyle w:val="BodyText"/>
      </w:pPr>
    </w:p>
    <w:p>
      <w:pPr>
        <w:pStyle w:val="BodyText"/>
        <w:spacing w:line="259" w:lineRule="auto"/>
        <w:ind w:left="1658" w:right="950"/>
      </w:pPr>
      <w:r>
        <w:rPr/>
        <w:t>Complex Fusion sinus cases allow better visualization of sinus anatomy and sinus disease. With better visualization and understanding of the patient's anatomy, more complete surgery can be carried out at the first attempt, and carried out more safely. It is generally perceived that IGS (image guided surgery) is critical to certain cases for verifying the location of vital structures</w:t>
      </w:r>
    </w:p>
    <w:p>
      <w:pPr>
        <w:spacing w:after="0" w:line="259" w:lineRule="auto"/>
        <w:sectPr>
          <w:type w:val="continuous"/>
          <w:pgSz w:w="12240" w:h="15840"/>
          <w:pgMar w:top="1400" w:bottom="280" w:left="500" w:right="580"/>
        </w:sectPr>
      </w:pPr>
    </w:p>
    <w:p>
      <w:pPr>
        <w:pStyle w:val="BodyText"/>
        <w:spacing w:line="259" w:lineRule="auto" w:before="37"/>
        <w:ind w:left="1659" w:right="878"/>
      </w:pPr>
      <w:r>
        <w:rPr/>
        <w:t>surrounding the paranasal sinuses and minimizing the risk of injury. Intuitively, this would result in improved patient-based outcomes and lower complications or revision rates.</w:t>
      </w:r>
      <w:hyperlink w:history="true" w:anchor="_bookmark0">
        <w:r>
          <w:rPr>
            <w:vertAlign w:val="superscript"/>
          </w:rPr>
          <w:t>1</w:t>
        </w:r>
        <w:r>
          <w:rPr>
            <w:vertAlign w:val="baseline"/>
          </w:rPr>
          <w:t> </w:t>
        </w:r>
      </w:hyperlink>
      <w:hyperlink w:history="true" w:anchor="_bookmark1">
        <w:r>
          <w:rPr>
            <w:vertAlign w:val="superscript"/>
          </w:rPr>
          <w:t>2</w:t>
        </w:r>
      </w:hyperlink>
    </w:p>
    <w:p>
      <w:pPr>
        <w:pStyle w:val="BodyText"/>
        <w:spacing w:before="159"/>
        <w:ind w:left="1660" w:right="878"/>
      </w:pPr>
      <w:r>
        <w:rPr/>
        <w:t>Approximately 90% of the population will at some point experience low back pain. Predisposing factors for SI joint pain include leg length discrepancies, older age, osteoarthritis, previous spine surgery and trauma.  Sacroiliac joint pain treatments have included physical therapy, chiropractic manipulation, injections, prolotherapy, radio frequency lesioning, peripheral nerve stimulation and sacroiliac joint fusion.</w:t>
      </w:r>
      <w:hyperlink w:history="true" w:anchor="_bookmark2">
        <w:r>
          <w:rPr>
            <w:vertAlign w:val="superscript"/>
          </w:rPr>
          <w:t>3</w:t>
        </w:r>
      </w:hyperlink>
      <w:r>
        <w:rPr>
          <w:vertAlign w:val="baseline"/>
        </w:rPr>
        <w:t>  A minimally invasive technique created by “PainTEQ” has been developed specifically for interventional pain management physicians. This procedure is performed using local anesthesia along with either monitored anesthesia care (MAC) or general anesthesia. Three months post fusion, 60% patients had 100% pain relief while 40% had 50-80% pain relief.</w:t>
      </w:r>
      <w:hyperlink w:history="true" w:anchor="_bookmark3">
        <w:r>
          <w:rPr>
            <w:vertAlign w:val="superscript"/>
          </w:rPr>
          <w:t>4</w:t>
        </w:r>
      </w:hyperlink>
    </w:p>
    <w:p>
      <w:pPr>
        <w:pStyle w:val="BodyText"/>
      </w:pPr>
    </w:p>
    <w:p>
      <w:pPr>
        <w:pStyle w:val="BodyText"/>
        <w:ind w:left="1660" w:right="982"/>
        <w:rPr>
          <w:rFonts w:ascii="Arial"/>
          <w:sz w:val="24"/>
        </w:rPr>
      </w:pPr>
      <w:r>
        <w:rPr>
          <w:color w:val="231F20"/>
        </w:rPr>
        <w:t>Spinal cord stimulation (SCS), for which electrodes are placed into the dorsal epidural space, is an available treatment of a variety of chronic neuropathic pain conditions such as failed back surgery syndrome and complex regional pain syndrome (CRPS</w:t>
      </w:r>
      <w:r>
        <w:rPr>
          <w:rFonts w:ascii="Arial"/>
          <w:color w:val="231F20"/>
          <w:sz w:val="24"/>
        </w:rPr>
        <w:t>). </w:t>
      </w:r>
      <w:r>
        <w:rPr>
          <w:color w:val="231F20"/>
        </w:rPr>
        <w:t>An estimated 40% to 50% of CRPS subjects achieved clinically meaningful pain relief with SCS</w:t>
      </w:r>
      <w:r>
        <w:rPr>
          <w:rFonts w:ascii="Arial"/>
          <w:color w:val="231F20"/>
          <w:sz w:val="24"/>
        </w:rPr>
        <w:t>.</w:t>
      </w:r>
    </w:p>
    <w:p>
      <w:pPr>
        <w:pStyle w:val="BodyText"/>
        <w:spacing w:before="3"/>
        <w:rPr>
          <w:rFonts w:ascii="Arial"/>
          <w:sz w:val="25"/>
        </w:rPr>
      </w:pPr>
    </w:p>
    <w:p>
      <w:pPr>
        <w:pStyle w:val="ListParagraph"/>
        <w:numPr>
          <w:ilvl w:val="2"/>
          <w:numId w:val="1"/>
        </w:numPr>
        <w:tabs>
          <w:tab w:pos="2020" w:val="left" w:leader="none"/>
          <w:tab w:pos="2021" w:val="left" w:leader="none"/>
        </w:tabs>
        <w:spacing w:line="240" w:lineRule="auto" w:before="0" w:after="0"/>
        <w:ind w:left="2020" w:right="0" w:hanging="361"/>
        <w:jc w:val="left"/>
        <w:rPr>
          <w:rFonts w:ascii="Calibri"/>
          <w:sz w:val="22"/>
        </w:rPr>
      </w:pPr>
      <w:r>
        <w:rPr>
          <w:rFonts w:ascii="Calibri"/>
          <w:sz w:val="22"/>
        </w:rPr>
        <w:t>What data informed the decision to shift to more complex</w:t>
      </w:r>
      <w:r>
        <w:rPr>
          <w:rFonts w:ascii="Calibri"/>
          <w:spacing w:val="-5"/>
          <w:sz w:val="22"/>
        </w:rPr>
        <w:t> </w:t>
      </w:r>
      <w:r>
        <w:rPr>
          <w:rFonts w:ascii="Calibri"/>
          <w:sz w:val="22"/>
        </w:rPr>
        <w:t>surgeries?</w:t>
      </w:r>
    </w:p>
    <w:p>
      <w:pPr>
        <w:pStyle w:val="BodyText"/>
        <w:spacing w:before="8"/>
        <w:rPr>
          <w:sz w:val="23"/>
        </w:rPr>
      </w:pPr>
    </w:p>
    <w:p>
      <w:pPr>
        <w:pStyle w:val="BodyText"/>
        <w:ind w:left="2020" w:right="862"/>
      </w:pPr>
      <w:r>
        <w:rPr/>
        <w:t>The applicant has a Medicare base of approximately 40%. With the aging population comes more complex medical issues. The above average incidence and prevalence of these specific complex conditions, compounded by the increase in the populations that tend to have them, has resulted in a decrease in NESC’s operating room availability. As the OR demand for these complex cases continues, available OR time will continue to decline resulting in the vital need for expanded surgical capacity for NESC’s Patient Panel (primarily comprised of Essex County residents with these diverse and serious health</w:t>
      </w:r>
      <w:r>
        <w:rPr>
          <w:spacing w:val="-10"/>
        </w:rPr>
        <w:t> </w:t>
      </w:r>
      <w:r>
        <w:rPr/>
        <w:t>conditions).</w:t>
      </w:r>
    </w:p>
    <w:p>
      <w:pPr>
        <w:pStyle w:val="BodyText"/>
        <w:spacing w:before="8"/>
        <w:rPr>
          <w:sz w:val="23"/>
        </w:rPr>
      </w:pPr>
    </w:p>
    <w:p>
      <w:pPr>
        <w:pStyle w:val="ListParagraph"/>
        <w:numPr>
          <w:ilvl w:val="2"/>
          <w:numId w:val="1"/>
        </w:numPr>
        <w:tabs>
          <w:tab w:pos="2021" w:val="left" w:leader="none"/>
        </w:tabs>
        <w:spacing w:line="259" w:lineRule="auto" w:before="0" w:after="0"/>
        <w:ind w:left="2020" w:right="1591" w:hanging="361"/>
        <w:jc w:val="left"/>
        <w:rPr>
          <w:rFonts w:ascii="Calibri"/>
          <w:sz w:val="22"/>
        </w:rPr>
      </w:pPr>
      <w:r>
        <w:rPr>
          <w:rFonts w:ascii="Calibri"/>
          <w:sz w:val="22"/>
        </w:rPr>
        <w:t>Can you provide evidence to demonstrate the benefit of these procedures, including improved outcomes and quality of life for</w:t>
      </w:r>
      <w:r>
        <w:rPr>
          <w:rFonts w:ascii="Calibri"/>
          <w:spacing w:val="-10"/>
          <w:sz w:val="22"/>
        </w:rPr>
        <w:t> </w:t>
      </w:r>
      <w:r>
        <w:rPr>
          <w:rFonts w:ascii="Calibri"/>
          <w:sz w:val="22"/>
        </w:rPr>
        <w:t>patients?</w:t>
      </w:r>
    </w:p>
    <w:p>
      <w:pPr>
        <w:pStyle w:val="BodyText"/>
        <w:spacing w:before="10"/>
        <w:rPr>
          <w:sz w:val="23"/>
        </w:rPr>
      </w:pPr>
    </w:p>
    <w:p>
      <w:pPr>
        <w:pStyle w:val="BodyText"/>
        <w:spacing w:before="1"/>
        <w:ind w:left="2020" w:right="1183"/>
      </w:pPr>
      <w:r>
        <w:rPr/>
        <w:t>Evidence of the benefits of the MILD procedure were documented in the MiDAS ENCORE Study, Cleveland Clinic Study and Jain Paper. Historically, definitive treatment of spinal stenosis has been decompressive surgery, which exposes patients to</w:t>
      </w:r>
    </w:p>
    <w:p>
      <w:pPr>
        <w:pStyle w:val="BodyText"/>
        <w:spacing w:line="259" w:lineRule="auto"/>
        <w:ind w:left="2019" w:right="852"/>
      </w:pPr>
      <w:r>
        <w:rPr/>
        <w:t>complications, extensive recovery periods and an economic healthcare burden. All patients who have had the procedure show evidence of significant improvement in function, mobility and pain improvement and typically resume normal activity within 24 hours.</w:t>
      </w:r>
      <w:hyperlink w:history="true" w:anchor="_bookmark4">
        <w:r>
          <w:rPr>
            <w:vertAlign w:val="superscript"/>
          </w:rPr>
          <w:t>5</w:t>
        </w:r>
      </w:hyperlink>
    </w:p>
    <w:p>
      <w:pPr>
        <w:pStyle w:val="BodyText"/>
        <w:spacing w:before="7"/>
        <w:rPr>
          <w:sz w:val="23"/>
        </w:rPr>
      </w:pPr>
    </w:p>
    <w:p>
      <w:pPr>
        <w:pStyle w:val="BodyText"/>
        <w:ind w:left="2019" w:right="950"/>
      </w:pPr>
      <w:r>
        <w:rPr/>
        <w:t>BurstDR™ stimulation is a physician-designed form of spinal cord stimulation (SCS) clinically proven to provide superior outcomes for patients with chronic pain over traditional SCS</w:t>
      </w:r>
    </w:p>
    <w:p>
      <w:pPr>
        <w:pStyle w:val="BodyText"/>
        <w:spacing w:before="8"/>
        <w:rPr>
          <w:sz w:val="20"/>
        </w:rPr>
      </w:pPr>
      <w:r>
        <w:rPr/>
        <w:pict>
          <v:rect style="position:absolute;margin-left:72pt;margin-top:14.596924pt;width:144pt;height:.72pt;mso-position-horizontal-relative:page;mso-position-vertical-relative:paragraph;z-index:-15728640;mso-wrap-distance-left:0;mso-wrap-distance-right:0" filled="true" fillcolor="#000000" stroked="false">
            <v:fill type="solid"/>
            <w10:wrap type="topAndBottom"/>
          </v:rect>
        </w:pict>
      </w:r>
    </w:p>
    <w:p>
      <w:pPr>
        <w:spacing w:line="115" w:lineRule="exact" w:before="37"/>
        <w:ind w:left="940" w:right="0" w:firstLine="0"/>
        <w:jc w:val="left"/>
        <w:rPr>
          <w:sz w:val="13"/>
        </w:rPr>
      </w:pPr>
      <w:bookmarkStart w:name="_bookmark0" w:id="3"/>
      <w:bookmarkEnd w:id="3"/>
      <w:r>
        <w:rPr/>
      </w:r>
      <w:r>
        <w:rPr>
          <w:w w:val="99"/>
          <w:sz w:val="13"/>
        </w:rPr>
        <w:t>1</w:t>
      </w:r>
    </w:p>
    <w:p>
      <w:pPr>
        <w:spacing w:line="141" w:lineRule="exact" w:before="0"/>
        <w:ind w:left="1096" w:right="0" w:firstLine="0"/>
        <w:jc w:val="left"/>
        <w:rPr>
          <w:sz w:val="16"/>
        </w:rPr>
      </w:pPr>
      <w:r>
        <w:rPr>
          <w:sz w:val="16"/>
        </w:rPr>
        <w:t>Department of Surgery–Otolaryngology Head and Neck Surgery, University of Adelaide, Adelaide, SA, Australia</w:t>
      </w:r>
    </w:p>
    <w:p>
      <w:pPr>
        <w:spacing w:line="104" w:lineRule="exact" w:before="0"/>
        <w:ind w:left="940" w:right="0" w:firstLine="0"/>
        <w:jc w:val="left"/>
        <w:rPr>
          <w:sz w:val="13"/>
        </w:rPr>
      </w:pPr>
      <w:bookmarkStart w:name="_bookmark1" w:id="4"/>
      <w:bookmarkEnd w:id="4"/>
      <w:r>
        <w:rPr/>
      </w:r>
      <w:r>
        <w:rPr>
          <w:w w:val="99"/>
          <w:sz w:val="13"/>
        </w:rPr>
        <w:t>2</w:t>
      </w:r>
    </w:p>
    <w:p>
      <w:pPr>
        <w:spacing w:line="152" w:lineRule="exact" w:before="0"/>
        <w:ind w:left="1050" w:right="0" w:firstLine="0"/>
        <w:jc w:val="left"/>
        <w:rPr>
          <w:sz w:val="16"/>
        </w:rPr>
      </w:pPr>
      <w:r>
        <w:rPr>
          <w:sz w:val="16"/>
        </w:rPr>
        <w:t>Queensland Skull Base Unit and Department of Otolaryngology–Head and Neck Surgery, Princess Alexandra Hospital and School of Medicine,</w:t>
      </w:r>
    </w:p>
    <w:p>
      <w:pPr>
        <w:spacing w:line="178" w:lineRule="exact" w:before="11"/>
        <w:ind w:left="939" w:right="0" w:firstLine="0"/>
        <w:jc w:val="left"/>
        <w:rPr>
          <w:sz w:val="16"/>
        </w:rPr>
      </w:pPr>
      <w:r>
        <w:rPr>
          <w:sz w:val="16"/>
        </w:rPr>
        <w:t>University of Queensland, Brisbane, QLD, Australia</w:t>
      </w:r>
    </w:p>
    <w:p>
      <w:pPr>
        <w:spacing w:line="87" w:lineRule="exact" w:before="0"/>
        <w:ind w:left="940" w:right="0" w:firstLine="0"/>
        <w:jc w:val="left"/>
        <w:rPr>
          <w:sz w:val="13"/>
        </w:rPr>
      </w:pPr>
      <w:bookmarkStart w:name="_bookmark2" w:id="5"/>
      <w:bookmarkEnd w:id="5"/>
      <w:r>
        <w:rPr/>
      </w:r>
      <w:r>
        <w:rPr>
          <w:w w:val="99"/>
          <w:sz w:val="13"/>
        </w:rPr>
        <w:t>3</w:t>
      </w:r>
    </w:p>
    <w:p>
      <w:pPr>
        <w:spacing w:line="164" w:lineRule="exact" w:before="0"/>
        <w:ind w:left="1050" w:right="0" w:firstLine="0"/>
        <w:jc w:val="left"/>
        <w:rPr>
          <w:sz w:val="16"/>
        </w:rPr>
      </w:pPr>
      <w:r>
        <w:rPr>
          <w:sz w:val="16"/>
        </w:rPr>
        <w:t>Expert Rev Neurotherapy. 2013 Jan; 13(1):99-116. Doi:10.1586/em.12.148. Sacroiliac joint pain: a comprehensive review of epidemiology,</w:t>
      </w:r>
    </w:p>
    <w:p>
      <w:pPr>
        <w:spacing w:line="182" w:lineRule="exact" w:before="11"/>
        <w:ind w:left="939" w:right="0" w:firstLine="0"/>
        <w:jc w:val="left"/>
        <w:rPr>
          <w:sz w:val="16"/>
        </w:rPr>
      </w:pPr>
      <w:r>
        <w:rPr>
          <w:sz w:val="16"/>
        </w:rPr>
        <w:t>diagnosis and treatment. Cohen SP1, Chen Y, Neufeld NJ</w:t>
      </w:r>
    </w:p>
    <w:p>
      <w:pPr>
        <w:pStyle w:val="ListParagraph"/>
        <w:numPr>
          <w:ilvl w:val="0"/>
          <w:numId w:val="2"/>
        </w:numPr>
        <w:tabs>
          <w:tab w:pos="1060" w:val="left" w:leader="none"/>
        </w:tabs>
        <w:spacing w:line="256" w:lineRule="exact" w:before="0" w:after="0"/>
        <w:ind w:left="1060" w:right="0" w:hanging="120"/>
        <w:jc w:val="left"/>
        <w:rPr>
          <w:rFonts w:ascii="Calibri" w:hAnsi="Calibri"/>
          <w:sz w:val="14"/>
        </w:rPr>
      </w:pPr>
      <w:bookmarkStart w:name="_bookmark3" w:id="6"/>
      <w:bookmarkEnd w:id="6"/>
      <w:r>
        <w:rPr/>
      </w:r>
      <w:bookmarkStart w:name="_bookmark3" w:id="7"/>
      <w:bookmarkEnd w:id="7"/>
      <w:r>
        <w:rPr>
          <w:rFonts w:ascii="Calibri" w:hAnsi="Calibri"/>
          <w:sz w:val="16"/>
        </w:rPr>
        <w:t>S</w:t>
      </w:r>
      <w:r>
        <w:rPr>
          <w:rFonts w:ascii="Calibri" w:hAnsi="Calibri"/>
          <w:sz w:val="16"/>
        </w:rPr>
        <w:t>acroiliac (si) Joint Pain Marc Rad –</w:t>
      </w:r>
      <w:r>
        <w:rPr>
          <w:rFonts w:ascii="Calibri" w:hAnsi="Calibri"/>
          <w:spacing w:val="-8"/>
          <w:sz w:val="16"/>
        </w:rPr>
        <w:t> </w:t>
      </w:r>
      <w:r>
        <w:rPr>
          <w:rFonts w:ascii="Calibri" w:hAnsi="Calibri"/>
          <w:sz w:val="16"/>
        </w:rPr>
        <w:t>https</w:t>
      </w:r>
      <w:hyperlink r:id="rId5">
        <w:r>
          <w:rPr>
            <w:rFonts w:ascii="Calibri" w:hAnsi="Calibri"/>
            <w:sz w:val="16"/>
          </w:rPr>
          <w:t>//www.ncbi.nlm.nih.gov/books/NBK470299</w:t>
        </w:r>
      </w:hyperlink>
    </w:p>
    <w:p>
      <w:pPr>
        <w:pStyle w:val="ListParagraph"/>
        <w:numPr>
          <w:ilvl w:val="0"/>
          <w:numId w:val="2"/>
        </w:numPr>
        <w:tabs>
          <w:tab w:pos="1051" w:val="left" w:leader="none"/>
        </w:tabs>
        <w:spacing w:line="259" w:lineRule="exact" w:before="0" w:after="0"/>
        <w:ind w:left="1050" w:right="0" w:hanging="111"/>
        <w:jc w:val="left"/>
        <w:rPr>
          <w:rFonts w:ascii="Calibri" w:hAnsi="Calibri"/>
          <w:sz w:val="13"/>
        </w:rPr>
      </w:pPr>
      <w:bookmarkStart w:name="_bookmark4" w:id="8"/>
      <w:bookmarkEnd w:id="8"/>
      <w:r>
        <w:rPr/>
      </w:r>
      <w:bookmarkStart w:name="_bookmark4" w:id="9"/>
      <w:bookmarkEnd w:id="9"/>
      <w:r>
        <w:rPr>
          <w:rFonts w:ascii="Calibri" w:hAnsi="Calibri"/>
          <w:color w:val="231F20"/>
          <w:sz w:val="16"/>
        </w:rPr>
        <w:t>R</w:t>
      </w:r>
      <w:r>
        <w:rPr>
          <w:rFonts w:ascii="Calibri" w:hAnsi="Calibri"/>
          <w:color w:val="231F20"/>
          <w:sz w:val="16"/>
        </w:rPr>
        <w:t>egional Anesthesia and Pain Medicine • Volume 00, Number 00, Month</w:t>
      </w:r>
      <w:r>
        <w:rPr>
          <w:rFonts w:ascii="Calibri" w:hAnsi="Calibri"/>
          <w:color w:val="231F20"/>
          <w:spacing w:val="-16"/>
          <w:sz w:val="16"/>
        </w:rPr>
        <w:t> </w:t>
      </w:r>
      <w:r>
        <w:rPr>
          <w:rFonts w:ascii="Calibri" w:hAnsi="Calibri"/>
          <w:color w:val="231F20"/>
          <w:sz w:val="16"/>
        </w:rPr>
        <w:t>2018</w:t>
      </w:r>
    </w:p>
    <w:p>
      <w:pPr>
        <w:spacing w:after="0" w:line="259" w:lineRule="exact"/>
        <w:jc w:val="left"/>
        <w:rPr>
          <w:rFonts w:ascii="Calibri" w:hAnsi="Calibri"/>
          <w:sz w:val="13"/>
        </w:rPr>
        <w:sectPr>
          <w:pgSz w:w="12240" w:h="15840"/>
          <w:pgMar w:top="1400" w:bottom="280" w:left="500" w:right="580"/>
        </w:sectPr>
      </w:pPr>
    </w:p>
    <w:p>
      <w:pPr>
        <w:pStyle w:val="BodyText"/>
        <w:spacing w:before="37"/>
        <w:ind w:left="2019" w:right="1054"/>
      </w:pPr>
      <w:r>
        <w:rPr/>
        <w:t>therapy. The brain receives information in two ways: neurons travel through the central nervous system at steady, singular intervals (known as tonic waves) or in clustered “burst” waves BurstDR stimulation was evaluated in a large-scale clinical trial known as the SUNBURST study. The study enrolled 100 patients in 20 centers across the U.S., and found BurstDR delivered:</w:t>
      </w:r>
    </w:p>
    <w:p>
      <w:pPr>
        <w:pStyle w:val="BodyText"/>
        <w:spacing w:before="6"/>
      </w:pPr>
    </w:p>
    <w:p>
      <w:pPr>
        <w:pStyle w:val="ListParagraph"/>
        <w:numPr>
          <w:ilvl w:val="1"/>
          <w:numId w:val="2"/>
        </w:numPr>
        <w:tabs>
          <w:tab w:pos="2181" w:val="left" w:leader="none"/>
        </w:tabs>
        <w:spacing w:line="240" w:lineRule="auto" w:before="0" w:after="0"/>
        <w:ind w:left="2020" w:right="1091" w:firstLine="0"/>
        <w:jc w:val="left"/>
        <w:rPr>
          <w:rFonts w:ascii="Calibri" w:hAnsi="Calibri"/>
          <w:sz w:val="22"/>
        </w:rPr>
      </w:pPr>
      <w:r>
        <w:rPr>
          <w:rFonts w:ascii="Calibri" w:hAnsi="Calibri"/>
          <w:b/>
          <w:sz w:val="22"/>
        </w:rPr>
        <w:t>Superior pain relief: </w:t>
      </w:r>
      <w:r>
        <w:rPr>
          <w:rFonts w:ascii="Calibri" w:hAnsi="Calibri"/>
          <w:sz w:val="22"/>
        </w:rPr>
        <w:t>Patients receiving BurstDR stimulation achieved superior pain relief and greater treatment success when compared to traditional tonic</w:t>
      </w:r>
      <w:r>
        <w:rPr>
          <w:rFonts w:ascii="Calibri" w:hAnsi="Calibri"/>
          <w:spacing w:val="-8"/>
          <w:sz w:val="22"/>
        </w:rPr>
        <w:t> </w:t>
      </w:r>
      <w:r>
        <w:rPr>
          <w:rFonts w:ascii="Calibri" w:hAnsi="Calibri"/>
          <w:sz w:val="22"/>
        </w:rPr>
        <w:t>SCS.</w:t>
      </w:r>
    </w:p>
    <w:p>
      <w:pPr>
        <w:pStyle w:val="ListParagraph"/>
        <w:numPr>
          <w:ilvl w:val="1"/>
          <w:numId w:val="2"/>
        </w:numPr>
        <w:tabs>
          <w:tab w:pos="2181" w:val="left" w:leader="none"/>
        </w:tabs>
        <w:spacing w:line="240" w:lineRule="auto" w:before="142" w:after="0"/>
        <w:ind w:left="2019" w:right="1250" w:firstLine="0"/>
        <w:jc w:val="left"/>
        <w:rPr>
          <w:rFonts w:ascii="Calibri" w:hAnsi="Calibri"/>
          <w:sz w:val="22"/>
        </w:rPr>
      </w:pPr>
      <w:r>
        <w:rPr>
          <w:rFonts w:ascii="Calibri" w:hAnsi="Calibri"/>
          <w:b/>
          <w:sz w:val="22"/>
        </w:rPr>
        <w:t>Patient preference: </w:t>
      </w:r>
      <w:r>
        <w:rPr>
          <w:rFonts w:ascii="Calibri" w:hAnsi="Calibri"/>
          <w:sz w:val="22"/>
        </w:rPr>
        <w:t>A majority of patients preferred BurstDR stimulation to traditional tonic SCS for the treatment of their chronic</w:t>
      </w:r>
      <w:r>
        <w:rPr>
          <w:rFonts w:ascii="Calibri" w:hAnsi="Calibri"/>
          <w:spacing w:val="-8"/>
          <w:sz w:val="22"/>
        </w:rPr>
        <w:t> </w:t>
      </w:r>
      <w:r>
        <w:rPr>
          <w:rFonts w:ascii="Calibri" w:hAnsi="Calibri"/>
          <w:sz w:val="22"/>
        </w:rPr>
        <w:t>pain.</w:t>
      </w:r>
      <w:hyperlink w:history="true" w:anchor="_bookmark5">
        <w:r>
          <w:rPr>
            <w:rFonts w:ascii="Calibri" w:hAnsi="Calibri"/>
            <w:sz w:val="22"/>
            <w:vertAlign w:val="superscript"/>
          </w:rPr>
          <w:t>6</w:t>
        </w:r>
      </w:hyperlink>
    </w:p>
    <w:p>
      <w:pPr>
        <w:pStyle w:val="BodyText"/>
        <w:spacing w:before="10"/>
        <w:rPr>
          <w:sz w:val="23"/>
        </w:rPr>
      </w:pPr>
    </w:p>
    <w:p>
      <w:pPr>
        <w:pStyle w:val="BodyText"/>
        <w:spacing w:line="259" w:lineRule="auto"/>
        <w:ind w:left="2018" w:right="982"/>
      </w:pPr>
      <w:r>
        <w:rPr/>
        <w:t>The use of image-guided surgery (IGS) has played an important and expanding role in endoscopic sinus surgery (ESS) over the past 2 decades. IGS is critical, in certain cases, for verifying the location of vital structures surrounding the paranasal sinuses and minimizing the risk of injury. It may also provide additional information to assist in complete clearance of pathology while maintaining safety. This will result in improved patient-based outcomes and lower complications or revision rates. We are trying to provide care to patients with more extensive disease to avoid referring them to an academic center in town, causing the patients inconvenience and the additional cost from having the procedure performed there.</w:t>
      </w:r>
      <w:hyperlink w:history="true" w:anchor="_bookmark6">
        <w:r>
          <w:rPr>
            <w:vertAlign w:val="superscript"/>
          </w:rPr>
          <w:t>7</w:t>
        </w:r>
      </w:hyperlink>
    </w:p>
    <w:p>
      <w:pPr>
        <w:pStyle w:val="ListParagraph"/>
        <w:numPr>
          <w:ilvl w:val="2"/>
          <w:numId w:val="1"/>
        </w:numPr>
        <w:tabs>
          <w:tab w:pos="2020" w:val="left" w:leader="none"/>
        </w:tabs>
        <w:spacing w:line="259" w:lineRule="auto" w:before="157" w:after="0"/>
        <w:ind w:left="2019" w:right="1323" w:hanging="360"/>
        <w:jc w:val="left"/>
        <w:rPr>
          <w:rFonts w:ascii="Calibri"/>
          <w:sz w:val="22"/>
        </w:rPr>
      </w:pPr>
      <w:r>
        <w:rPr>
          <w:rFonts w:ascii="Calibri"/>
          <w:sz w:val="22"/>
        </w:rPr>
        <w:t>What percentage of current surgeries do these complex procedures represent? Do you expect this to change after project</w:t>
      </w:r>
      <w:r>
        <w:rPr>
          <w:rFonts w:ascii="Calibri"/>
          <w:spacing w:val="-6"/>
          <w:sz w:val="22"/>
        </w:rPr>
        <w:t> </w:t>
      </w:r>
      <w:r>
        <w:rPr>
          <w:rFonts w:ascii="Calibri"/>
          <w:sz w:val="22"/>
        </w:rPr>
        <w:t>implementation?</w:t>
      </w:r>
    </w:p>
    <w:p>
      <w:pPr>
        <w:pStyle w:val="BodyText"/>
        <w:spacing w:before="8"/>
        <w:rPr>
          <w:sz w:val="23"/>
        </w:rPr>
      </w:pPr>
    </w:p>
    <w:p>
      <w:pPr>
        <w:pStyle w:val="BodyText"/>
        <w:spacing w:line="259" w:lineRule="auto"/>
        <w:ind w:left="2019" w:right="1183"/>
      </w:pPr>
      <w:r>
        <w:rPr/>
        <w:t>The percentage of current surgeries that these more complex procedures represent is 97% of all pain procedures are complex. Currently, the four surgeons performing pain procedures share one full day per week. As the two newer pain surgeons have indicated that they could utilize an additional day.</w:t>
      </w:r>
    </w:p>
    <w:p>
      <w:pPr>
        <w:pStyle w:val="BodyText"/>
        <w:spacing w:line="259" w:lineRule="auto"/>
        <w:ind w:left="2018" w:right="950"/>
      </w:pPr>
      <w:r>
        <w:rPr/>
        <w:t>12% of all otolaryngology cases are complex. The four surgeons who perform these procedures originally had nine full OR days. OR availability has been reduced to five days in order to accommodate additional in orthopedics and urology. The additional OR capacity would allow otolaryngology to return to 9 full days to accommodate demand.</w:t>
      </w:r>
    </w:p>
    <w:p>
      <w:pPr>
        <w:pStyle w:val="BodyText"/>
        <w:spacing w:before="7"/>
        <w:rPr>
          <w:sz w:val="23"/>
        </w:rPr>
      </w:pPr>
    </w:p>
    <w:p>
      <w:pPr>
        <w:pStyle w:val="ListParagraph"/>
        <w:numPr>
          <w:ilvl w:val="1"/>
          <w:numId w:val="1"/>
        </w:numPr>
        <w:tabs>
          <w:tab w:pos="1658" w:val="left" w:leader="none"/>
          <w:tab w:pos="1659" w:val="left" w:leader="none"/>
        </w:tabs>
        <w:spacing w:line="259" w:lineRule="auto" w:before="0" w:after="0"/>
        <w:ind w:left="1658" w:right="1614" w:hanging="531"/>
        <w:jc w:val="left"/>
        <w:rPr>
          <w:rFonts w:ascii="Calibri"/>
          <w:sz w:val="22"/>
        </w:rPr>
      </w:pPr>
      <w:r>
        <w:rPr>
          <w:rFonts w:ascii="Calibri"/>
          <w:sz w:val="22"/>
        </w:rPr>
        <w:t>The application notes the recent addition of four general surgeons and three orthopedic surgeons.</w:t>
      </w:r>
    </w:p>
    <w:p>
      <w:pPr>
        <w:pStyle w:val="ListParagraph"/>
        <w:numPr>
          <w:ilvl w:val="2"/>
          <w:numId w:val="1"/>
        </w:numPr>
        <w:tabs>
          <w:tab w:pos="2018" w:val="left" w:leader="none"/>
          <w:tab w:pos="2019" w:val="left" w:leader="none"/>
        </w:tabs>
        <w:spacing w:line="256" w:lineRule="auto" w:before="1" w:after="0"/>
        <w:ind w:left="2018" w:right="1194" w:hanging="361"/>
        <w:jc w:val="left"/>
        <w:rPr>
          <w:rFonts w:ascii="Calibri"/>
          <w:sz w:val="22"/>
        </w:rPr>
      </w:pPr>
      <w:r>
        <w:rPr>
          <w:rFonts w:ascii="Calibri"/>
          <w:sz w:val="22"/>
        </w:rPr>
        <w:t>How will the addition of these surgeons impact the volume and range of surgical services offered at</w:t>
      </w:r>
      <w:r>
        <w:rPr>
          <w:rFonts w:ascii="Calibri"/>
          <w:spacing w:val="-1"/>
          <w:sz w:val="22"/>
        </w:rPr>
        <w:t> </w:t>
      </w:r>
      <w:r>
        <w:rPr>
          <w:rFonts w:ascii="Calibri"/>
          <w:sz w:val="22"/>
        </w:rPr>
        <w:t>NESC?</w:t>
      </w:r>
    </w:p>
    <w:p>
      <w:pPr>
        <w:pStyle w:val="BodyText"/>
        <w:rPr>
          <w:sz w:val="24"/>
        </w:rPr>
      </w:pPr>
    </w:p>
    <w:p>
      <w:pPr>
        <w:pStyle w:val="BodyText"/>
        <w:spacing w:before="1"/>
        <w:ind w:left="2018" w:right="857"/>
        <w:jc w:val="both"/>
      </w:pPr>
      <w:r>
        <w:rPr/>
        <w:t>When we first began our application process there were three orthopedic surgeons and four general surgeons. We now have four orthopedic surgeons. Previously, our orthopedic cases consisted of shoulder and knee arthroscopies. The addition of these four surgeons increases our surgical services by adding foot, ankle and hand procedures that include open reduction</w:t>
      </w:r>
    </w:p>
    <w:p>
      <w:pPr>
        <w:pStyle w:val="BodyText"/>
        <w:spacing w:before="10"/>
        <w:rPr>
          <w:sz w:val="16"/>
        </w:rPr>
      </w:pPr>
      <w:r>
        <w:rPr/>
        <w:pict>
          <v:rect style="position:absolute;margin-left:72pt;margin-top:12.242657pt;width:144pt;height:.72pt;mso-position-horizontal-relative:page;mso-position-vertical-relative:paragraph;z-index:-15728128;mso-wrap-distance-left:0;mso-wrap-distance-right:0" filled="true" fillcolor="#000000" stroked="false">
            <v:fill type="solid"/>
            <w10:wrap type="topAndBottom"/>
          </v:rect>
        </w:pict>
      </w:r>
    </w:p>
    <w:p>
      <w:pPr>
        <w:pStyle w:val="ListParagraph"/>
        <w:numPr>
          <w:ilvl w:val="0"/>
          <w:numId w:val="2"/>
        </w:numPr>
        <w:tabs>
          <w:tab w:pos="1051" w:val="left" w:leader="none"/>
        </w:tabs>
        <w:spacing w:line="259" w:lineRule="exact" w:before="40" w:after="0"/>
        <w:ind w:left="1050" w:right="0" w:hanging="111"/>
        <w:jc w:val="left"/>
        <w:rPr>
          <w:rFonts w:ascii="Calibri" w:hAnsi="Calibri"/>
          <w:sz w:val="13"/>
        </w:rPr>
      </w:pPr>
      <w:bookmarkStart w:name="_bookmark5" w:id="10"/>
      <w:bookmarkEnd w:id="10"/>
      <w:r>
        <w:rPr/>
      </w:r>
      <w:bookmarkStart w:name="_bookmark5" w:id="11"/>
      <w:bookmarkEnd w:id="11"/>
      <w:r>
        <w:rPr>
          <w:rFonts w:ascii="Calibri" w:hAnsi="Calibri"/>
          <w:sz w:val="16"/>
        </w:rPr>
        <w:t>S</w:t>
      </w:r>
      <w:r>
        <w:rPr>
          <w:rFonts w:ascii="Calibri" w:hAnsi="Calibri"/>
          <w:sz w:val="16"/>
        </w:rPr>
        <w:t>t. Jude Medical™ Proclaim™ Neurostimulation System Clinician’s Manual. Plano, TX.</w:t>
      </w:r>
      <w:r>
        <w:rPr>
          <w:rFonts w:ascii="Calibri" w:hAnsi="Calibri"/>
          <w:spacing w:val="-7"/>
          <w:sz w:val="16"/>
        </w:rPr>
        <w:t> </w:t>
      </w:r>
      <w:r>
        <w:rPr>
          <w:rFonts w:ascii="Calibri" w:hAnsi="Calibri"/>
          <w:sz w:val="16"/>
        </w:rPr>
        <w:t>2016.</w:t>
      </w:r>
    </w:p>
    <w:p>
      <w:pPr>
        <w:pStyle w:val="ListParagraph"/>
        <w:numPr>
          <w:ilvl w:val="0"/>
          <w:numId w:val="2"/>
        </w:numPr>
        <w:tabs>
          <w:tab w:pos="1060" w:val="left" w:leader="none"/>
        </w:tabs>
        <w:spacing w:line="261" w:lineRule="auto" w:before="0" w:after="0"/>
        <w:ind w:left="940" w:right="2379" w:hanging="1"/>
        <w:jc w:val="left"/>
        <w:rPr>
          <w:rFonts w:ascii="Calibri" w:hAnsi="Calibri"/>
          <w:sz w:val="14"/>
        </w:rPr>
      </w:pPr>
      <w:bookmarkStart w:name="_bookmark6" w:id="12"/>
      <w:bookmarkEnd w:id="12"/>
      <w:r>
        <w:rPr/>
      </w:r>
      <w:bookmarkStart w:name="_bookmark6" w:id="13"/>
      <w:bookmarkEnd w:id="13"/>
      <w:r>
        <w:rPr>
          <w:rFonts w:ascii="Calibri" w:hAnsi="Calibri"/>
          <w:sz w:val="16"/>
        </w:rPr>
        <w:t>A</w:t>
      </w:r>
      <w:r>
        <w:rPr>
          <w:rFonts w:ascii="Calibri" w:hAnsi="Calibri"/>
          <w:sz w:val="16"/>
        </w:rPr>
        <w:t>merican</w:t>
      </w:r>
      <w:r>
        <w:rPr>
          <w:rFonts w:ascii="Calibri" w:hAnsi="Calibri"/>
          <w:spacing w:val="-4"/>
          <w:sz w:val="16"/>
        </w:rPr>
        <w:t> </w:t>
      </w:r>
      <w:r>
        <w:rPr>
          <w:rFonts w:ascii="Calibri" w:hAnsi="Calibri"/>
          <w:sz w:val="16"/>
        </w:rPr>
        <w:t>Academy</w:t>
      </w:r>
      <w:r>
        <w:rPr>
          <w:rFonts w:ascii="Calibri" w:hAnsi="Calibri"/>
          <w:spacing w:val="-3"/>
          <w:sz w:val="16"/>
        </w:rPr>
        <w:t> </w:t>
      </w:r>
      <w:r>
        <w:rPr>
          <w:rFonts w:ascii="Calibri" w:hAnsi="Calibri"/>
          <w:sz w:val="16"/>
        </w:rPr>
        <w:t>of</w:t>
      </w:r>
      <w:r>
        <w:rPr>
          <w:rFonts w:ascii="Calibri" w:hAnsi="Calibri"/>
          <w:spacing w:val="-4"/>
          <w:sz w:val="16"/>
        </w:rPr>
        <w:t> </w:t>
      </w:r>
      <w:r>
        <w:rPr>
          <w:rFonts w:ascii="Calibri" w:hAnsi="Calibri"/>
          <w:sz w:val="16"/>
        </w:rPr>
        <w:t>Otolaryngology—Head</w:t>
      </w:r>
      <w:r>
        <w:rPr>
          <w:rFonts w:ascii="Calibri" w:hAnsi="Calibri"/>
          <w:spacing w:val="-3"/>
          <w:sz w:val="16"/>
        </w:rPr>
        <w:t> </w:t>
      </w:r>
      <w:r>
        <w:rPr>
          <w:rFonts w:ascii="Calibri" w:hAnsi="Calibri"/>
          <w:sz w:val="16"/>
        </w:rPr>
        <w:t>and</w:t>
      </w:r>
      <w:r>
        <w:rPr>
          <w:rFonts w:ascii="Calibri" w:hAnsi="Calibri"/>
          <w:spacing w:val="-3"/>
          <w:sz w:val="16"/>
        </w:rPr>
        <w:t> </w:t>
      </w:r>
      <w:r>
        <w:rPr>
          <w:rFonts w:ascii="Calibri" w:hAnsi="Calibri"/>
          <w:sz w:val="16"/>
        </w:rPr>
        <w:t>Neck</w:t>
      </w:r>
      <w:r>
        <w:rPr>
          <w:rFonts w:ascii="Calibri" w:hAnsi="Calibri"/>
          <w:spacing w:val="-4"/>
          <w:sz w:val="16"/>
        </w:rPr>
        <w:t> </w:t>
      </w:r>
      <w:r>
        <w:rPr>
          <w:rFonts w:ascii="Calibri" w:hAnsi="Calibri"/>
          <w:sz w:val="16"/>
        </w:rPr>
        <w:t>Surgery.</w:t>
      </w:r>
      <w:r>
        <w:rPr>
          <w:rFonts w:ascii="Calibri" w:hAnsi="Calibri"/>
          <w:spacing w:val="-2"/>
          <w:sz w:val="16"/>
        </w:rPr>
        <w:t> </w:t>
      </w:r>
      <w:r>
        <w:rPr>
          <w:rFonts w:ascii="Calibri" w:hAnsi="Calibri"/>
          <w:sz w:val="16"/>
        </w:rPr>
        <w:t>Intra-operative</w:t>
      </w:r>
      <w:r>
        <w:rPr>
          <w:rFonts w:ascii="Calibri" w:hAnsi="Calibri"/>
          <w:spacing w:val="-3"/>
          <w:sz w:val="16"/>
        </w:rPr>
        <w:t> </w:t>
      </w:r>
      <w:r>
        <w:rPr>
          <w:rFonts w:ascii="Calibri" w:hAnsi="Calibri"/>
          <w:sz w:val="16"/>
        </w:rPr>
        <w:t>use</w:t>
      </w:r>
      <w:r>
        <w:rPr>
          <w:rFonts w:ascii="Calibri" w:hAnsi="Calibri"/>
          <w:spacing w:val="-1"/>
          <w:sz w:val="16"/>
        </w:rPr>
        <w:t> </w:t>
      </w:r>
      <w:r>
        <w:rPr>
          <w:rFonts w:ascii="Calibri" w:hAnsi="Calibri"/>
          <w:sz w:val="16"/>
        </w:rPr>
        <w:t>of</w:t>
      </w:r>
      <w:r>
        <w:rPr>
          <w:rFonts w:ascii="Calibri" w:hAnsi="Calibri"/>
          <w:spacing w:val="-4"/>
          <w:sz w:val="16"/>
        </w:rPr>
        <w:t> </w:t>
      </w:r>
      <w:r>
        <w:rPr>
          <w:rFonts w:ascii="Calibri" w:hAnsi="Calibri"/>
          <w:sz w:val="16"/>
        </w:rPr>
        <w:t>computer</w:t>
      </w:r>
      <w:r>
        <w:rPr>
          <w:rFonts w:ascii="Calibri" w:hAnsi="Calibri"/>
          <w:spacing w:val="-4"/>
          <w:sz w:val="16"/>
        </w:rPr>
        <w:t> </w:t>
      </w:r>
      <w:r>
        <w:rPr>
          <w:rFonts w:ascii="Calibri" w:hAnsi="Calibri"/>
          <w:sz w:val="16"/>
        </w:rPr>
        <w:t>aided</w:t>
      </w:r>
      <w:r>
        <w:rPr>
          <w:rFonts w:ascii="Calibri" w:hAnsi="Calibri"/>
          <w:spacing w:val="-3"/>
          <w:sz w:val="16"/>
        </w:rPr>
        <w:t> </w:t>
      </w:r>
      <w:r>
        <w:rPr>
          <w:rFonts w:ascii="Calibri" w:hAnsi="Calibri"/>
          <w:sz w:val="16"/>
        </w:rPr>
        <w:t>surgery. http://</w:t>
      </w:r>
      <w:hyperlink r:id="rId6">
        <w:r>
          <w:rPr>
            <w:rFonts w:ascii="Calibri" w:hAnsi="Calibri"/>
            <w:sz w:val="16"/>
          </w:rPr>
          <w:t> www.entnet.org/Practice/policyIntraOperativeSurgery.cfm.Accessed </w:t>
        </w:r>
      </w:hyperlink>
      <w:r>
        <w:rPr>
          <w:rFonts w:ascii="Calibri" w:hAnsi="Calibri"/>
          <w:sz w:val="16"/>
        </w:rPr>
        <w:t>December 24,</w:t>
      </w:r>
      <w:r>
        <w:rPr>
          <w:rFonts w:ascii="Calibri" w:hAnsi="Calibri"/>
          <w:spacing w:val="-5"/>
          <w:sz w:val="16"/>
        </w:rPr>
        <w:t> </w:t>
      </w:r>
      <w:r>
        <w:rPr>
          <w:rFonts w:ascii="Calibri" w:hAnsi="Calibri"/>
          <w:sz w:val="16"/>
        </w:rPr>
        <w:t>2012.</w:t>
      </w:r>
    </w:p>
    <w:p>
      <w:pPr>
        <w:spacing w:after="0" w:line="261" w:lineRule="auto"/>
        <w:jc w:val="left"/>
        <w:rPr>
          <w:rFonts w:ascii="Calibri" w:hAnsi="Calibri"/>
          <w:sz w:val="14"/>
        </w:rPr>
        <w:sectPr>
          <w:pgSz w:w="12240" w:h="15840"/>
          <w:pgMar w:top="1400" w:bottom="280" w:left="500" w:right="580"/>
        </w:sectPr>
      </w:pPr>
    </w:p>
    <w:p>
      <w:pPr>
        <w:pStyle w:val="BodyText"/>
        <w:spacing w:before="37"/>
        <w:ind w:left="2019" w:right="1145"/>
      </w:pPr>
      <w:r>
        <w:rPr/>
        <w:t>of fractures to foot, ankle and hand, endoscopic and open carpal tunnel and an increased number of knee and shoulder arthroscopies. The majority of these cases require general anesthesia only available in our one OR. These surgeons have indicated that they plan to bring 5-10 cases more per week. The complexity of ankle or wrist open reductions and shoulder arthroscopies take approximately two hours.</w:t>
      </w:r>
    </w:p>
    <w:p>
      <w:pPr>
        <w:pStyle w:val="BodyText"/>
        <w:spacing w:before="8"/>
        <w:rPr>
          <w:sz w:val="23"/>
        </w:rPr>
      </w:pPr>
    </w:p>
    <w:p>
      <w:pPr>
        <w:pStyle w:val="BodyText"/>
        <w:spacing w:line="259" w:lineRule="auto"/>
        <w:ind w:left="2019" w:right="883"/>
      </w:pPr>
      <w:r>
        <w:rPr/>
        <w:t>The four general surgeons bring a multitude of different procedures that include, excision of malignant lesions, umbilical hernia repair and removal of soft tissue tumors. All general surgery cases are performed under general anesthesia. The volume of cases is reliant on OR time available and length of case, most taking approximately one hour.</w:t>
      </w:r>
    </w:p>
    <w:p>
      <w:pPr>
        <w:pStyle w:val="BodyText"/>
        <w:spacing w:before="8"/>
        <w:rPr>
          <w:sz w:val="23"/>
        </w:rPr>
      </w:pPr>
    </w:p>
    <w:p>
      <w:pPr>
        <w:pStyle w:val="BodyText"/>
        <w:ind w:left="2019" w:right="900"/>
      </w:pPr>
      <w:r>
        <w:rPr/>
        <w:t>Additionally, since the application was submitted, we have credentialed two additional urologists. They have increased our urology cases requiring general anesthesia by 20 cases per month. These cases include TURP (transurethral resection of the prostate), Pyronie disease repair and kidney stone removal. Due to increased procedure complexity the total operative time per procedure has increased from 71.01 minutes in 2017 to 76.83 minutes in 2019.</w:t>
      </w:r>
    </w:p>
    <w:p>
      <w:pPr>
        <w:pStyle w:val="BodyText"/>
        <w:spacing w:before="8"/>
        <w:rPr>
          <w:sz w:val="23"/>
        </w:rPr>
      </w:pPr>
    </w:p>
    <w:p>
      <w:pPr>
        <w:pStyle w:val="ListParagraph"/>
        <w:numPr>
          <w:ilvl w:val="2"/>
          <w:numId w:val="1"/>
        </w:numPr>
        <w:tabs>
          <w:tab w:pos="2020" w:val="left" w:leader="none"/>
        </w:tabs>
        <w:spacing w:line="259" w:lineRule="auto" w:before="1" w:after="0"/>
        <w:ind w:left="2019" w:right="986" w:hanging="361"/>
        <w:jc w:val="left"/>
        <w:rPr>
          <w:rFonts w:ascii="Calibri"/>
          <w:sz w:val="22"/>
        </w:rPr>
      </w:pPr>
      <w:r>
        <w:rPr>
          <w:rFonts w:ascii="Calibri"/>
          <w:sz w:val="22"/>
        </w:rPr>
        <w:t>The application and HCC Factor 4 report note national trends on conditions more prevalent in the age 65 and over population driving demand for surgical</w:t>
      </w:r>
      <w:r>
        <w:rPr>
          <w:rFonts w:ascii="Calibri"/>
          <w:spacing w:val="-11"/>
          <w:sz w:val="22"/>
        </w:rPr>
        <w:t> </w:t>
      </w:r>
      <w:r>
        <w:rPr>
          <w:rFonts w:ascii="Calibri"/>
          <w:sz w:val="22"/>
        </w:rPr>
        <w:t>services.</w:t>
      </w:r>
    </w:p>
    <w:p>
      <w:pPr>
        <w:pStyle w:val="ListParagraph"/>
        <w:numPr>
          <w:ilvl w:val="3"/>
          <w:numId w:val="1"/>
        </w:numPr>
        <w:tabs>
          <w:tab w:pos="2381" w:val="left" w:leader="none"/>
        </w:tabs>
        <w:spacing w:line="240" w:lineRule="auto" w:before="0" w:after="0"/>
        <w:ind w:left="2380" w:right="0" w:hanging="362"/>
        <w:jc w:val="left"/>
        <w:rPr>
          <w:rFonts w:ascii="Calibri"/>
          <w:sz w:val="22"/>
        </w:rPr>
      </w:pPr>
      <w:r>
        <w:rPr>
          <w:rFonts w:ascii="Calibri"/>
          <w:sz w:val="22"/>
        </w:rPr>
        <w:t>Is there regional data that you can share to understand how that manifests</w:t>
      </w:r>
      <w:r>
        <w:rPr>
          <w:rFonts w:ascii="Calibri"/>
          <w:spacing w:val="-23"/>
          <w:sz w:val="22"/>
        </w:rPr>
        <w:t> </w:t>
      </w:r>
      <w:r>
        <w:rPr>
          <w:rFonts w:ascii="Calibri"/>
          <w:sz w:val="22"/>
        </w:rPr>
        <w:t>locally?</w:t>
      </w:r>
    </w:p>
    <w:p>
      <w:pPr>
        <w:pStyle w:val="ListParagraph"/>
        <w:numPr>
          <w:ilvl w:val="3"/>
          <w:numId w:val="1"/>
        </w:numPr>
        <w:tabs>
          <w:tab w:pos="2381" w:val="left" w:leader="none"/>
        </w:tabs>
        <w:spacing w:line="259" w:lineRule="auto" w:before="20" w:after="0"/>
        <w:ind w:left="2380" w:right="1038" w:hanging="361"/>
        <w:jc w:val="left"/>
        <w:rPr>
          <w:rFonts w:ascii="Calibri"/>
          <w:sz w:val="22"/>
        </w:rPr>
      </w:pPr>
      <w:r>
        <w:rPr>
          <w:rFonts w:ascii="Calibri"/>
          <w:sz w:val="22"/>
        </w:rPr>
        <w:t>Explain how the increase in certain conditions is tied to the need for</w:t>
      </w:r>
      <w:r>
        <w:rPr>
          <w:rFonts w:ascii="Calibri"/>
          <w:spacing w:val="-36"/>
          <w:sz w:val="22"/>
        </w:rPr>
        <w:t> </w:t>
      </w:r>
      <w:r>
        <w:rPr>
          <w:rFonts w:ascii="Calibri"/>
          <w:sz w:val="22"/>
        </w:rPr>
        <w:t>expanded surgical capacity for the Patient</w:t>
      </w:r>
      <w:r>
        <w:rPr>
          <w:rFonts w:ascii="Calibri"/>
          <w:spacing w:val="-8"/>
          <w:sz w:val="22"/>
        </w:rPr>
        <w:t> </w:t>
      </w:r>
      <w:r>
        <w:rPr>
          <w:rFonts w:ascii="Calibri"/>
          <w:sz w:val="22"/>
        </w:rPr>
        <w:t>Panel.</w:t>
      </w:r>
    </w:p>
    <w:p>
      <w:pPr>
        <w:pStyle w:val="BodyText"/>
        <w:spacing w:before="11"/>
        <w:rPr>
          <w:sz w:val="23"/>
        </w:rPr>
      </w:pPr>
    </w:p>
    <w:p>
      <w:pPr>
        <w:pStyle w:val="BodyText"/>
        <w:spacing w:line="259" w:lineRule="auto"/>
        <w:ind w:left="2020" w:right="1112"/>
      </w:pPr>
      <w:r>
        <w:rPr/>
        <w:t>Older adults are high utilizers of health care services.</w:t>
      </w:r>
      <w:hyperlink w:history="true" w:anchor="_bookmark7">
        <w:r>
          <w:rPr>
            <w:vertAlign w:val="superscript"/>
          </w:rPr>
          <w:t>8</w:t>
        </w:r>
      </w:hyperlink>
      <w:r>
        <w:rPr>
          <w:vertAlign w:val="baseline"/>
        </w:rPr>
        <w:t> Local demand for the services provided by NESC is projected to increase in the near future, primarily as a result of changing trends in demographic characteristics and health indicators in Essex County, MA (NESC’s primary market service area). Each of these trends are discussed further below.</w:t>
      </w:r>
    </w:p>
    <w:p>
      <w:pPr>
        <w:pStyle w:val="BodyText"/>
        <w:spacing w:before="11"/>
        <w:rPr>
          <w:sz w:val="21"/>
        </w:rPr>
      </w:pPr>
    </w:p>
    <w:p>
      <w:pPr>
        <w:pStyle w:val="BodyText"/>
        <w:ind w:left="2020" w:right="853"/>
        <w:jc w:val="both"/>
      </w:pPr>
      <w:r>
        <w:rPr/>
        <w:t>The number of Essex County residents over the age of 65 is expected to increase from 142,934 in 2020 to 167,520 in 2025 (an increase of 17.2%).</w:t>
      </w:r>
      <w:hyperlink w:history="true" w:anchor="_bookmark8">
        <w:r>
          <w:rPr>
            <w:vertAlign w:val="superscript"/>
          </w:rPr>
          <w:t>9</w:t>
        </w:r>
      </w:hyperlink>
      <w:r>
        <w:rPr>
          <w:vertAlign w:val="baseline"/>
        </w:rPr>
        <w:t> This projected increase in the elderly population will increase demand for a variety of the healthcare services offered by NESC, as the elderly spend disproportionately more on healthcare expenses than the rest of the population.</w:t>
      </w:r>
      <w:hyperlink w:history="true" w:anchor="_bookmark9">
        <w:r>
          <w:rPr>
            <w:vertAlign w:val="superscript"/>
          </w:rPr>
          <w:t>10</w:t>
        </w:r>
      </w:hyperlink>
    </w:p>
    <w:p>
      <w:pPr>
        <w:pStyle w:val="BodyText"/>
        <w:spacing w:before="11"/>
        <w:rPr>
          <w:sz w:val="21"/>
        </w:rPr>
      </w:pPr>
    </w:p>
    <w:p>
      <w:pPr>
        <w:pStyle w:val="BodyText"/>
        <w:spacing w:before="1"/>
        <w:ind w:left="2019" w:right="856"/>
        <w:jc w:val="both"/>
      </w:pPr>
      <w:r>
        <w:rPr/>
        <w:t>In addition to increased demand for NESC services stemming from growth of the over-age- 65 population, the prevalence of chronic disease among the elder in Essex County has increased from 37% in 2007 to 39% in 2015, and has consistently remained above that of the</w:t>
      </w:r>
      <w:r>
        <w:rPr>
          <w:spacing w:val="9"/>
        </w:rPr>
        <w:t> </w:t>
      </w:r>
      <w:r>
        <w:rPr/>
        <w:t>peer</w:t>
      </w:r>
      <w:r>
        <w:rPr>
          <w:spacing w:val="10"/>
        </w:rPr>
        <w:t> </w:t>
      </w:r>
      <w:r>
        <w:rPr/>
        <w:t>counties</w:t>
      </w:r>
      <w:r>
        <w:rPr>
          <w:spacing w:val="10"/>
        </w:rPr>
        <w:t> </w:t>
      </w:r>
      <w:r>
        <w:rPr/>
        <w:t>(see</w:t>
      </w:r>
      <w:r>
        <w:rPr>
          <w:spacing w:val="10"/>
        </w:rPr>
        <w:t> </w:t>
      </w:r>
      <w:r>
        <w:rPr/>
        <w:t>Table</w:t>
      </w:r>
      <w:r>
        <w:rPr>
          <w:spacing w:val="10"/>
        </w:rPr>
        <w:t> </w:t>
      </w:r>
      <w:r>
        <w:rPr/>
        <w:t>1,</w:t>
      </w:r>
      <w:r>
        <w:rPr>
          <w:spacing w:val="10"/>
        </w:rPr>
        <w:t> </w:t>
      </w:r>
      <w:r>
        <w:rPr/>
        <w:t>Line</w:t>
      </w:r>
      <w:r>
        <w:rPr>
          <w:spacing w:val="10"/>
        </w:rPr>
        <w:t> </w:t>
      </w:r>
      <w:r>
        <w:rPr/>
        <w:t>7),</w:t>
      </w:r>
      <w:r>
        <w:rPr>
          <w:spacing w:val="10"/>
        </w:rPr>
        <w:t> </w:t>
      </w:r>
      <w:r>
        <w:rPr/>
        <w:t>Massachusetts</w:t>
      </w:r>
      <w:r>
        <w:rPr>
          <w:spacing w:val="10"/>
        </w:rPr>
        <w:t> </w:t>
      </w:r>
      <w:r>
        <w:rPr/>
        <w:t>and</w:t>
      </w:r>
      <w:r>
        <w:rPr>
          <w:spacing w:val="9"/>
        </w:rPr>
        <w:t> </w:t>
      </w:r>
      <w:r>
        <w:rPr/>
        <w:t>the</w:t>
      </w:r>
      <w:r>
        <w:rPr>
          <w:spacing w:val="9"/>
        </w:rPr>
        <w:t> </w:t>
      </w:r>
      <w:r>
        <w:rPr/>
        <w:t>U.S.</w:t>
      </w:r>
      <w:hyperlink w:history="true" w:anchor="_bookmark10">
        <w:r>
          <w:rPr>
            <w:vertAlign w:val="superscript"/>
          </w:rPr>
          <w:t>11</w:t>
        </w:r>
      </w:hyperlink>
      <w:r>
        <w:rPr>
          <w:vertAlign w:val="baseline"/>
        </w:rPr>
        <w:t> </w:t>
      </w:r>
      <w:r>
        <w:rPr>
          <w:spacing w:val="19"/>
          <w:vertAlign w:val="baseline"/>
        </w:rPr>
        <w:t> </w:t>
      </w:r>
      <w:r>
        <w:rPr>
          <w:vertAlign w:val="baseline"/>
        </w:rPr>
        <w:t>The</w:t>
      </w:r>
      <w:r>
        <w:rPr>
          <w:spacing w:val="10"/>
          <w:vertAlign w:val="baseline"/>
        </w:rPr>
        <w:t> </w:t>
      </w:r>
      <w:r>
        <w:rPr>
          <w:vertAlign w:val="baseline"/>
        </w:rPr>
        <w:t>increase</w:t>
      </w:r>
      <w:r>
        <w:rPr>
          <w:spacing w:val="10"/>
          <w:vertAlign w:val="baseline"/>
        </w:rPr>
        <w:t> </w:t>
      </w:r>
      <w:r>
        <w:rPr>
          <w:vertAlign w:val="baseline"/>
        </w:rPr>
        <w:t>of</w:t>
      </w:r>
      <w:r>
        <w:rPr>
          <w:spacing w:val="10"/>
          <w:vertAlign w:val="baseline"/>
        </w:rPr>
        <w:t> </w:t>
      </w:r>
      <w:r>
        <w:rPr>
          <w:vertAlign w:val="baseline"/>
        </w:rPr>
        <w:t>both:</w:t>
      </w:r>
    </w:p>
    <w:p>
      <w:pPr>
        <w:pStyle w:val="BodyText"/>
        <w:spacing w:before="1"/>
        <w:ind w:left="2020" w:right="858"/>
        <w:jc w:val="both"/>
      </w:pPr>
      <w:r>
        <w:rPr/>
        <w:t>(1) the over-age-65 population and (2) the prevalence of chronic disease among the elderly in</w:t>
      </w:r>
      <w:r>
        <w:rPr>
          <w:spacing w:val="12"/>
        </w:rPr>
        <w:t> </w:t>
      </w:r>
      <w:r>
        <w:rPr/>
        <w:t>Essex</w:t>
      </w:r>
      <w:r>
        <w:rPr>
          <w:spacing w:val="11"/>
        </w:rPr>
        <w:t> </w:t>
      </w:r>
      <w:r>
        <w:rPr/>
        <w:t>County,</w:t>
      </w:r>
      <w:r>
        <w:rPr>
          <w:spacing w:val="13"/>
        </w:rPr>
        <w:t> </w:t>
      </w:r>
      <w:r>
        <w:rPr/>
        <w:t>indicates</w:t>
      </w:r>
      <w:r>
        <w:rPr>
          <w:spacing w:val="11"/>
        </w:rPr>
        <w:t> </w:t>
      </w:r>
      <w:r>
        <w:rPr/>
        <w:t>the</w:t>
      </w:r>
      <w:r>
        <w:rPr>
          <w:spacing w:val="13"/>
        </w:rPr>
        <w:t> </w:t>
      </w:r>
      <w:r>
        <w:rPr/>
        <w:t>increased</w:t>
      </w:r>
      <w:r>
        <w:rPr>
          <w:spacing w:val="13"/>
        </w:rPr>
        <w:t> </w:t>
      </w:r>
      <w:r>
        <w:rPr/>
        <w:t>need</w:t>
      </w:r>
      <w:r>
        <w:rPr>
          <w:spacing w:val="12"/>
        </w:rPr>
        <w:t> </w:t>
      </w:r>
      <w:r>
        <w:rPr/>
        <w:t>for</w:t>
      </w:r>
      <w:r>
        <w:rPr>
          <w:spacing w:val="11"/>
        </w:rPr>
        <w:t> </w:t>
      </w:r>
      <w:r>
        <w:rPr/>
        <w:t>surgical</w:t>
      </w:r>
      <w:r>
        <w:rPr>
          <w:spacing w:val="12"/>
        </w:rPr>
        <w:t> </w:t>
      </w:r>
      <w:r>
        <w:rPr/>
        <w:t>services</w:t>
      </w:r>
      <w:r>
        <w:rPr>
          <w:spacing w:val="14"/>
        </w:rPr>
        <w:t> </w:t>
      </w:r>
      <w:r>
        <w:rPr/>
        <w:t>in</w:t>
      </w:r>
      <w:r>
        <w:rPr>
          <w:spacing w:val="10"/>
        </w:rPr>
        <w:t> </w:t>
      </w:r>
      <w:r>
        <w:rPr/>
        <w:t>NESC’s</w:t>
      </w:r>
      <w:r>
        <w:rPr>
          <w:spacing w:val="10"/>
        </w:rPr>
        <w:t> </w:t>
      </w:r>
      <w:r>
        <w:rPr/>
        <w:t>market</w:t>
      </w:r>
      <w:r>
        <w:rPr>
          <w:spacing w:val="14"/>
        </w:rPr>
        <w:t> </w:t>
      </w:r>
      <w:r>
        <w:rPr/>
        <w:t>service</w:t>
      </w:r>
    </w:p>
    <w:p>
      <w:pPr>
        <w:pStyle w:val="BodyText"/>
        <w:rPr>
          <w:sz w:val="25"/>
        </w:rPr>
      </w:pPr>
      <w:r>
        <w:rPr/>
        <w:pict>
          <v:rect style="position:absolute;margin-left:72pt;margin-top:17.221563pt;width:144pt;height:.72pt;mso-position-horizontal-relative:page;mso-position-vertical-relative:paragraph;z-index:-15727616;mso-wrap-distance-left:0;mso-wrap-distance-right:0" filled="true" fillcolor="#000000" stroked="false">
            <v:fill type="solid"/>
            <w10:wrap type="topAndBottom"/>
          </v:rect>
        </w:pict>
      </w:r>
    </w:p>
    <w:p>
      <w:pPr>
        <w:pStyle w:val="ListParagraph"/>
        <w:numPr>
          <w:ilvl w:val="0"/>
          <w:numId w:val="2"/>
        </w:numPr>
        <w:tabs>
          <w:tab w:pos="1051" w:val="left" w:leader="none"/>
        </w:tabs>
        <w:spacing w:line="254" w:lineRule="auto" w:before="37" w:after="0"/>
        <w:ind w:left="939" w:right="1194" w:firstLine="0"/>
        <w:jc w:val="left"/>
        <w:rPr>
          <w:rFonts w:ascii="Calibri"/>
          <w:sz w:val="13"/>
        </w:rPr>
      </w:pPr>
      <w:bookmarkStart w:name="_bookmark7" w:id="14"/>
      <w:bookmarkEnd w:id="14"/>
      <w:r>
        <w:rPr/>
      </w:r>
      <w:bookmarkStart w:name="_bookmark7" w:id="15"/>
      <w:bookmarkEnd w:id="15"/>
      <w:r>
        <w:rPr>
          <w:rFonts w:ascii="Calibri"/>
          <w:sz w:val="16"/>
        </w:rPr>
        <w:t>US</w:t>
      </w:r>
      <w:r>
        <w:rPr>
          <w:rFonts w:ascii="Calibri"/>
          <w:spacing w:val="-3"/>
          <w:sz w:val="16"/>
        </w:rPr>
        <w:t> </w:t>
      </w:r>
      <w:r>
        <w:rPr>
          <w:rFonts w:ascii="Calibri"/>
          <w:sz w:val="16"/>
        </w:rPr>
        <w:t>Health</w:t>
      </w:r>
      <w:r>
        <w:rPr>
          <w:rFonts w:ascii="Calibri"/>
          <w:spacing w:val="-3"/>
          <w:sz w:val="16"/>
        </w:rPr>
        <w:t> </w:t>
      </w:r>
      <w:r>
        <w:rPr>
          <w:rFonts w:ascii="Calibri"/>
          <w:sz w:val="16"/>
        </w:rPr>
        <w:t>Spending</w:t>
      </w:r>
      <w:r>
        <w:rPr>
          <w:rFonts w:ascii="Calibri"/>
          <w:spacing w:val="-2"/>
          <w:sz w:val="16"/>
        </w:rPr>
        <w:t> </w:t>
      </w:r>
      <w:r>
        <w:rPr>
          <w:rFonts w:ascii="Calibri"/>
          <w:sz w:val="16"/>
        </w:rPr>
        <w:t>Trends</w:t>
      </w:r>
      <w:r>
        <w:rPr>
          <w:rFonts w:ascii="Calibri"/>
          <w:spacing w:val="-3"/>
          <w:sz w:val="16"/>
        </w:rPr>
        <w:t> </w:t>
      </w:r>
      <w:r>
        <w:rPr>
          <w:rFonts w:ascii="Calibri"/>
          <w:sz w:val="16"/>
        </w:rPr>
        <w:t>by</w:t>
      </w:r>
      <w:r>
        <w:rPr>
          <w:rFonts w:ascii="Calibri"/>
          <w:spacing w:val="-3"/>
          <w:sz w:val="16"/>
        </w:rPr>
        <w:t> </w:t>
      </w:r>
      <w:r>
        <w:rPr>
          <w:rFonts w:ascii="Calibri"/>
          <w:sz w:val="16"/>
        </w:rPr>
        <w:t>Age</w:t>
      </w:r>
      <w:r>
        <w:rPr>
          <w:rFonts w:ascii="Calibri"/>
          <w:spacing w:val="-3"/>
          <w:sz w:val="16"/>
        </w:rPr>
        <w:t> </w:t>
      </w:r>
      <w:r>
        <w:rPr>
          <w:rFonts w:ascii="Calibri"/>
          <w:sz w:val="16"/>
        </w:rPr>
        <w:t>and</w:t>
      </w:r>
      <w:r>
        <w:rPr>
          <w:rFonts w:ascii="Calibri"/>
          <w:spacing w:val="-3"/>
          <w:sz w:val="16"/>
        </w:rPr>
        <w:t> </w:t>
      </w:r>
      <w:r>
        <w:rPr>
          <w:rFonts w:ascii="Calibri"/>
          <w:sz w:val="16"/>
        </w:rPr>
        <w:t>Gender:</w:t>
      </w:r>
      <w:r>
        <w:rPr>
          <w:rFonts w:ascii="Calibri"/>
          <w:spacing w:val="-2"/>
          <w:sz w:val="16"/>
        </w:rPr>
        <w:t> </w:t>
      </w:r>
      <w:r>
        <w:rPr>
          <w:rFonts w:ascii="Calibri"/>
          <w:sz w:val="16"/>
        </w:rPr>
        <w:t>Selected</w:t>
      </w:r>
      <w:r>
        <w:rPr>
          <w:rFonts w:ascii="Calibri"/>
          <w:spacing w:val="-3"/>
          <w:sz w:val="16"/>
        </w:rPr>
        <w:t> </w:t>
      </w:r>
      <w:r>
        <w:rPr>
          <w:rFonts w:ascii="Calibri"/>
          <w:sz w:val="16"/>
        </w:rPr>
        <w:t>years</w:t>
      </w:r>
      <w:r>
        <w:rPr>
          <w:rFonts w:ascii="Calibri"/>
          <w:spacing w:val="-1"/>
          <w:sz w:val="16"/>
        </w:rPr>
        <w:t> </w:t>
      </w:r>
      <w:r>
        <w:rPr>
          <w:rFonts w:ascii="Calibri"/>
          <w:sz w:val="16"/>
        </w:rPr>
        <w:t>2002-10,</w:t>
      </w:r>
      <w:r>
        <w:rPr>
          <w:rFonts w:ascii="Calibri"/>
          <w:spacing w:val="-3"/>
          <w:sz w:val="16"/>
        </w:rPr>
        <w:t> </w:t>
      </w:r>
      <w:r>
        <w:rPr>
          <w:rFonts w:ascii="Calibri"/>
          <w:sz w:val="16"/>
        </w:rPr>
        <w:t>David</w:t>
      </w:r>
      <w:r>
        <w:rPr>
          <w:rFonts w:ascii="Calibri"/>
          <w:spacing w:val="-3"/>
          <w:sz w:val="16"/>
        </w:rPr>
        <w:t> </w:t>
      </w:r>
      <w:r>
        <w:rPr>
          <w:rFonts w:ascii="Calibri"/>
          <w:sz w:val="16"/>
        </w:rPr>
        <w:t>Lassman,</w:t>
      </w:r>
      <w:r>
        <w:rPr>
          <w:rFonts w:ascii="Calibri"/>
          <w:spacing w:val="-2"/>
          <w:sz w:val="16"/>
        </w:rPr>
        <w:t> </w:t>
      </w:r>
      <w:r>
        <w:rPr>
          <w:rFonts w:ascii="Calibri"/>
          <w:sz w:val="16"/>
        </w:rPr>
        <w:t>Micah</w:t>
      </w:r>
      <w:r>
        <w:rPr>
          <w:rFonts w:ascii="Calibri"/>
          <w:spacing w:val="-3"/>
          <w:sz w:val="16"/>
        </w:rPr>
        <w:t> </w:t>
      </w:r>
      <w:r>
        <w:rPr>
          <w:rFonts w:ascii="Calibri"/>
          <w:sz w:val="16"/>
        </w:rPr>
        <w:t>Hartman,</w:t>
      </w:r>
      <w:r>
        <w:rPr>
          <w:rFonts w:ascii="Calibri"/>
          <w:spacing w:val="-2"/>
          <w:sz w:val="16"/>
        </w:rPr>
        <w:t> </w:t>
      </w:r>
      <w:r>
        <w:rPr>
          <w:rFonts w:ascii="Calibri"/>
          <w:sz w:val="16"/>
        </w:rPr>
        <w:t>Benjamin</w:t>
      </w:r>
      <w:r>
        <w:rPr>
          <w:rFonts w:ascii="Calibri"/>
          <w:spacing w:val="-3"/>
          <w:sz w:val="16"/>
        </w:rPr>
        <w:t> </w:t>
      </w:r>
      <w:r>
        <w:rPr>
          <w:rFonts w:ascii="Calibri"/>
          <w:sz w:val="16"/>
        </w:rPr>
        <w:t>Washington,</w:t>
      </w:r>
      <w:r>
        <w:rPr>
          <w:rFonts w:ascii="Calibri"/>
          <w:spacing w:val="-2"/>
          <w:sz w:val="16"/>
        </w:rPr>
        <w:t> </w:t>
      </w:r>
      <w:r>
        <w:rPr>
          <w:rFonts w:ascii="Calibri"/>
          <w:sz w:val="16"/>
        </w:rPr>
        <w:t>Kimberly Andrews, and Aaron Catlin, Health Affairs 2014 33:5,</w:t>
      </w:r>
      <w:r>
        <w:rPr>
          <w:rFonts w:ascii="Calibri"/>
          <w:spacing w:val="-6"/>
          <w:sz w:val="16"/>
        </w:rPr>
        <w:t> </w:t>
      </w:r>
      <w:r>
        <w:rPr>
          <w:rFonts w:ascii="Calibri"/>
          <w:sz w:val="16"/>
        </w:rPr>
        <w:t>815-822</w:t>
      </w:r>
    </w:p>
    <w:p>
      <w:pPr>
        <w:tabs>
          <w:tab w:pos="1299" w:val="left" w:leader="none"/>
        </w:tabs>
        <w:spacing w:line="156" w:lineRule="exact" w:before="0"/>
        <w:ind w:left="940" w:right="0" w:firstLine="0"/>
        <w:jc w:val="left"/>
        <w:rPr>
          <w:rFonts w:ascii="Times New Roman" w:hAnsi="Times New Roman"/>
          <w:sz w:val="15"/>
        </w:rPr>
      </w:pPr>
      <w:bookmarkStart w:name="_bookmark8" w:id="16"/>
      <w:bookmarkEnd w:id="16"/>
      <w:r>
        <w:rPr/>
      </w:r>
      <w:r>
        <w:rPr>
          <w:rFonts w:ascii="Times New Roman" w:hAnsi="Times New Roman"/>
          <w:sz w:val="15"/>
          <w:vertAlign w:val="superscript"/>
        </w:rPr>
        <w:t>9</w:t>
      </w:r>
      <w:r>
        <w:rPr>
          <w:rFonts w:ascii="Times New Roman" w:hAnsi="Times New Roman"/>
          <w:sz w:val="15"/>
          <w:vertAlign w:val="baseline"/>
        </w:rPr>
        <w:tab/>
        <w:t>“Pop-Facts Demographics, By Age, Race, and Sex: Essex County, MA” Spotlight, Environics Analytics,</w:t>
      </w:r>
      <w:r>
        <w:rPr>
          <w:rFonts w:ascii="Times New Roman" w:hAnsi="Times New Roman"/>
          <w:spacing w:val="-8"/>
          <w:sz w:val="15"/>
          <w:vertAlign w:val="baseline"/>
        </w:rPr>
        <w:t> </w:t>
      </w:r>
      <w:r>
        <w:rPr>
          <w:rFonts w:ascii="Times New Roman" w:hAnsi="Times New Roman"/>
          <w:sz w:val="15"/>
          <w:vertAlign w:val="baseline"/>
        </w:rPr>
        <w:t>2020</w:t>
      </w:r>
    </w:p>
    <w:p>
      <w:pPr>
        <w:tabs>
          <w:tab w:pos="1299" w:val="left" w:leader="none"/>
        </w:tabs>
        <w:spacing w:line="171" w:lineRule="exact" w:before="0"/>
        <w:ind w:left="940" w:right="0" w:firstLine="0"/>
        <w:jc w:val="left"/>
        <w:rPr>
          <w:rFonts w:ascii="Times New Roman" w:hAnsi="Times New Roman"/>
          <w:sz w:val="15"/>
        </w:rPr>
      </w:pPr>
      <w:bookmarkStart w:name="_bookmark9" w:id="17"/>
      <w:bookmarkEnd w:id="17"/>
      <w:r>
        <w:rPr/>
      </w:r>
      <w:r>
        <w:rPr>
          <w:rFonts w:ascii="Times New Roman" w:hAnsi="Times New Roman"/>
          <w:sz w:val="15"/>
          <w:vertAlign w:val="superscript"/>
        </w:rPr>
        <w:t>10</w:t>
      </w:r>
      <w:r>
        <w:rPr>
          <w:rFonts w:ascii="Times New Roman" w:hAnsi="Times New Roman"/>
          <w:sz w:val="15"/>
          <w:vertAlign w:val="baseline"/>
        </w:rPr>
        <w:tab/>
        <w:t>“US</w:t>
      </w:r>
      <w:r>
        <w:rPr>
          <w:rFonts w:ascii="Times New Roman" w:hAnsi="Times New Roman"/>
          <w:spacing w:val="-1"/>
          <w:sz w:val="15"/>
          <w:vertAlign w:val="baseline"/>
        </w:rPr>
        <w:t> </w:t>
      </w:r>
      <w:r>
        <w:rPr>
          <w:rFonts w:ascii="Times New Roman" w:hAnsi="Times New Roman"/>
          <w:sz w:val="15"/>
          <w:vertAlign w:val="baseline"/>
        </w:rPr>
        <w:t>Health</w:t>
      </w:r>
      <w:r>
        <w:rPr>
          <w:rFonts w:ascii="Times New Roman" w:hAnsi="Times New Roman"/>
          <w:spacing w:val="-2"/>
          <w:sz w:val="15"/>
          <w:vertAlign w:val="baseline"/>
        </w:rPr>
        <w:t> </w:t>
      </w:r>
      <w:r>
        <w:rPr>
          <w:rFonts w:ascii="Times New Roman" w:hAnsi="Times New Roman"/>
          <w:sz w:val="15"/>
          <w:vertAlign w:val="baseline"/>
        </w:rPr>
        <w:t>Spending</w:t>
      </w:r>
      <w:r>
        <w:rPr>
          <w:rFonts w:ascii="Times New Roman" w:hAnsi="Times New Roman"/>
          <w:spacing w:val="-1"/>
          <w:sz w:val="15"/>
          <w:vertAlign w:val="baseline"/>
        </w:rPr>
        <w:t> </w:t>
      </w:r>
      <w:r>
        <w:rPr>
          <w:rFonts w:ascii="Times New Roman" w:hAnsi="Times New Roman"/>
          <w:sz w:val="15"/>
          <w:vertAlign w:val="baseline"/>
        </w:rPr>
        <w:t>Trends</w:t>
      </w:r>
      <w:r>
        <w:rPr>
          <w:rFonts w:ascii="Times New Roman" w:hAnsi="Times New Roman"/>
          <w:spacing w:val="-2"/>
          <w:sz w:val="15"/>
          <w:vertAlign w:val="baseline"/>
        </w:rPr>
        <w:t> </w:t>
      </w:r>
      <w:r>
        <w:rPr>
          <w:rFonts w:ascii="Times New Roman" w:hAnsi="Times New Roman"/>
          <w:sz w:val="15"/>
          <w:vertAlign w:val="baseline"/>
        </w:rPr>
        <w:t>By</w:t>
      </w:r>
      <w:r>
        <w:rPr>
          <w:rFonts w:ascii="Times New Roman" w:hAnsi="Times New Roman"/>
          <w:spacing w:val="-4"/>
          <w:sz w:val="15"/>
          <w:vertAlign w:val="baseline"/>
        </w:rPr>
        <w:t> </w:t>
      </w:r>
      <w:r>
        <w:rPr>
          <w:rFonts w:ascii="Times New Roman" w:hAnsi="Times New Roman"/>
          <w:sz w:val="15"/>
          <w:vertAlign w:val="baseline"/>
        </w:rPr>
        <w:t>Age and</w:t>
      </w:r>
      <w:r>
        <w:rPr>
          <w:rFonts w:ascii="Times New Roman" w:hAnsi="Times New Roman"/>
          <w:spacing w:val="-2"/>
          <w:sz w:val="15"/>
          <w:vertAlign w:val="baseline"/>
        </w:rPr>
        <w:t> </w:t>
      </w:r>
      <w:r>
        <w:rPr>
          <w:rFonts w:ascii="Times New Roman" w:hAnsi="Times New Roman"/>
          <w:sz w:val="15"/>
          <w:vertAlign w:val="baseline"/>
        </w:rPr>
        <w:t>Gender:</w:t>
      </w:r>
      <w:r>
        <w:rPr>
          <w:rFonts w:ascii="Times New Roman" w:hAnsi="Times New Roman"/>
          <w:spacing w:val="-2"/>
          <w:sz w:val="15"/>
          <w:vertAlign w:val="baseline"/>
        </w:rPr>
        <w:t> </w:t>
      </w:r>
      <w:r>
        <w:rPr>
          <w:rFonts w:ascii="Times New Roman" w:hAnsi="Times New Roman"/>
          <w:sz w:val="15"/>
          <w:vertAlign w:val="baseline"/>
        </w:rPr>
        <w:t>Selected</w:t>
      </w:r>
      <w:r>
        <w:rPr>
          <w:rFonts w:ascii="Times New Roman" w:hAnsi="Times New Roman"/>
          <w:spacing w:val="-1"/>
          <w:sz w:val="15"/>
          <w:vertAlign w:val="baseline"/>
        </w:rPr>
        <w:t> </w:t>
      </w:r>
      <w:r>
        <w:rPr>
          <w:rFonts w:ascii="Times New Roman" w:hAnsi="Times New Roman"/>
          <w:sz w:val="15"/>
          <w:vertAlign w:val="baseline"/>
        </w:rPr>
        <w:t>Years</w:t>
      </w:r>
      <w:r>
        <w:rPr>
          <w:rFonts w:ascii="Times New Roman" w:hAnsi="Times New Roman"/>
          <w:spacing w:val="-2"/>
          <w:sz w:val="15"/>
          <w:vertAlign w:val="baseline"/>
        </w:rPr>
        <w:t> </w:t>
      </w:r>
      <w:r>
        <w:rPr>
          <w:rFonts w:ascii="Times New Roman" w:hAnsi="Times New Roman"/>
          <w:sz w:val="15"/>
          <w:vertAlign w:val="baseline"/>
        </w:rPr>
        <w:t>2002-10”</w:t>
      </w:r>
      <w:r>
        <w:rPr>
          <w:rFonts w:ascii="Times New Roman" w:hAnsi="Times New Roman"/>
          <w:spacing w:val="-3"/>
          <w:sz w:val="15"/>
          <w:vertAlign w:val="baseline"/>
        </w:rPr>
        <w:t> </w:t>
      </w:r>
      <w:r>
        <w:rPr>
          <w:rFonts w:ascii="Times New Roman" w:hAnsi="Times New Roman"/>
          <w:sz w:val="15"/>
          <w:vertAlign w:val="baseline"/>
        </w:rPr>
        <w:t>By</w:t>
      </w:r>
      <w:r>
        <w:rPr>
          <w:rFonts w:ascii="Times New Roman" w:hAnsi="Times New Roman"/>
          <w:spacing w:val="-3"/>
          <w:sz w:val="15"/>
          <w:vertAlign w:val="baseline"/>
        </w:rPr>
        <w:t> </w:t>
      </w:r>
      <w:r>
        <w:rPr>
          <w:rFonts w:ascii="Times New Roman" w:hAnsi="Times New Roman"/>
          <w:sz w:val="15"/>
          <w:vertAlign w:val="baseline"/>
        </w:rPr>
        <w:t>David</w:t>
      </w:r>
      <w:r>
        <w:rPr>
          <w:rFonts w:ascii="Times New Roman" w:hAnsi="Times New Roman"/>
          <w:spacing w:val="-2"/>
          <w:sz w:val="15"/>
          <w:vertAlign w:val="baseline"/>
        </w:rPr>
        <w:t> </w:t>
      </w:r>
      <w:r>
        <w:rPr>
          <w:rFonts w:ascii="Times New Roman" w:hAnsi="Times New Roman"/>
          <w:sz w:val="15"/>
          <w:vertAlign w:val="baseline"/>
        </w:rPr>
        <w:t>Lassman</w:t>
      </w:r>
      <w:r>
        <w:rPr>
          <w:rFonts w:ascii="Times New Roman" w:hAnsi="Times New Roman"/>
          <w:spacing w:val="-2"/>
          <w:sz w:val="15"/>
          <w:vertAlign w:val="baseline"/>
        </w:rPr>
        <w:t> </w:t>
      </w:r>
      <w:r>
        <w:rPr>
          <w:rFonts w:ascii="Times New Roman" w:hAnsi="Times New Roman"/>
          <w:sz w:val="15"/>
          <w:vertAlign w:val="baseline"/>
        </w:rPr>
        <w:t>et</w:t>
      </w:r>
      <w:r>
        <w:rPr>
          <w:rFonts w:ascii="Times New Roman" w:hAnsi="Times New Roman"/>
          <w:spacing w:val="2"/>
          <w:sz w:val="15"/>
          <w:vertAlign w:val="baseline"/>
        </w:rPr>
        <w:t> </w:t>
      </w:r>
      <w:r>
        <w:rPr>
          <w:rFonts w:ascii="Times New Roman" w:hAnsi="Times New Roman"/>
          <w:sz w:val="15"/>
          <w:vertAlign w:val="baseline"/>
        </w:rPr>
        <w:t>al., Health</w:t>
      </w:r>
      <w:r>
        <w:rPr>
          <w:rFonts w:ascii="Times New Roman" w:hAnsi="Times New Roman"/>
          <w:spacing w:val="-2"/>
          <w:sz w:val="15"/>
          <w:vertAlign w:val="baseline"/>
        </w:rPr>
        <w:t> </w:t>
      </w:r>
      <w:r>
        <w:rPr>
          <w:rFonts w:ascii="Times New Roman" w:hAnsi="Times New Roman"/>
          <w:sz w:val="15"/>
          <w:vertAlign w:val="baseline"/>
        </w:rPr>
        <w:t>Affairs,</w:t>
      </w:r>
      <w:r>
        <w:rPr>
          <w:rFonts w:ascii="Times New Roman" w:hAnsi="Times New Roman"/>
          <w:spacing w:val="-1"/>
          <w:sz w:val="15"/>
          <w:vertAlign w:val="baseline"/>
        </w:rPr>
        <w:t> </w:t>
      </w:r>
      <w:r>
        <w:rPr>
          <w:rFonts w:ascii="Times New Roman" w:hAnsi="Times New Roman"/>
          <w:sz w:val="15"/>
          <w:vertAlign w:val="baseline"/>
        </w:rPr>
        <w:t>Vol. 33, No.</w:t>
      </w:r>
      <w:r>
        <w:rPr>
          <w:rFonts w:ascii="Times New Roman" w:hAnsi="Times New Roman"/>
          <w:spacing w:val="-1"/>
          <w:sz w:val="15"/>
          <w:vertAlign w:val="baseline"/>
        </w:rPr>
        <w:t> </w:t>
      </w:r>
      <w:r>
        <w:rPr>
          <w:rFonts w:ascii="Times New Roman" w:hAnsi="Times New Roman"/>
          <w:sz w:val="15"/>
          <w:vertAlign w:val="baseline"/>
        </w:rPr>
        <w:t>5</w:t>
      </w:r>
      <w:r>
        <w:rPr>
          <w:rFonts w:ascii="Times New Roman" w:hAnsi="Times New Roman"/>
          <w:spacing w:val="-2"/>
          <w:sz w:val="15"/>
          <w:vertAlign w:val="baseline"/>
        </w:rPr>
        <w:t> </w:t>
      </w:r>
      <w:r>
        <w:rPr>
          <w:rFonts w:ascii="Times New Roman" w:hAnsi="Times New Roman"/>
          <w:sz w:val="15"/>
          <w:vertAlign w:val="baseline"/>
        </w:rPr>
        <w:t>(2014),</w:t>
      </w:r>
      <w:r>
        <w:rPr>
          <w:rFonts w:ascii="Times New Roman" w:hAnsi="Times New Roman"/>
          <w:spacing w:val="-2"/>
          <w:sz w:val="15"/>
          <w:vertAlign w:val="baseline"/>
        </w:rPr>
        <w:t> </w:t>
      </w:r>
      <w:r>
        <w:rPr>
          <w:rFonts w:ascii="Times New Roman" w:hAnsi="Times New Roman"/>
          <w:sz w:val="15"/>
          <w:vertAlign w:val="baseline"/>
        </w:rPr>
        <w:t>p.</w:t>
      </w:r>
      <w:r>
        <w:rPr>
          <w:rFonts w:ascii="Times New Roman" w:hAnsi="Times New Roman"/>
          <w:spacing w:val="-1"/>
          <w:sz w:val="15"/>
          <w:vertAlign w:val="baseline"/>
        </w:rPr>
        <w:t> </w:t>
      </w:r>
      <w:r>
        <w:rPr>
          <w:rFonts w:ascii="Times New Roman" w:hAnsi="Times New Roman"/>
          <w:sz w:val="15"/>
          <w:vertAlign w:val="baseline"/>
        </w:rPr>
        <w:t>820.</w:t>
      </w:r>
    </w:p>
    <w:p>
      <w:pPr>
        <w:tabs>
          <w:tab w:pos="1299" w:val="left" w:leader="none"/>
        </w:tabs>
        <w:spacing w:before="1"/>
        <w:ind w:left="1299" w:right="885" w:hanging="360"/>
        <w:jc w:val="left"/>
        <w:rPr>
          <w:rFonts w:ascii="Times New Roman" w:hAnsi="Times New Roman"/>
          <w:sz w:val="15"/>
        </w:rPr>
      </w:pPr>
      <w:bookmarkStart w:name="_bookmark10" w:id="18"/>
      <w:bookmarkEnd w:id="18"/>
      <w:r>
        <w:rPr/>
      </w:r>
      <w:r>
        <w:rPr>
          <w:rFonts w:ascii="Times New Roman" w:hAnsi="Times New Roman"/>
          <w:sz w:val="15"/>
          <w:vertAlign w:val="superscript"/>
        </w:rPr>
        <w:t>11</w:t>
      </w:r>
      <w:r>
        <w:rPr>
          <w:rFonts w:ascii="Times New Roman" w:hAnsi="Times New Roman"/>
          <w:sz w:val="15"/>
          <w:vertAlign w:val="baseline"/>
        </w:rPr>
        <w:tab/>
        <w:t>“Chronic Diseases Among Older Adults,” Impact Essex County, https://impactessexcounty.org/health/chronic-disease-among-older-adults (Accessed 10/20/22).</w:t>
      </w:r>
    </w:p>
    <w:p>
      <w:pPr>
        <w:spacing w:after="0"/>
        <w:jc w:val="left"/>
        <w:rPr>
          <w:rFonts w:ascii="Times New Roman" w:hAnsi="Times New Roman"/>
          <w:sz w:val="15"/>
        </w:rPr>
        <w:sectPr>
          <w:pgSz w:w="12240" w:h="15840"/>
          <w:pgMar w:top="1400" w:bottom="280" w:left="500" w:right="580"/>
        </w:sectPr>
      </w:pPr>
    </w:p>
    <w:p>
      <w:pPr>
        <w:pStyle w:val="BodyText"/>
        <w:spacing w:before="37"/>
        <w:ind w:left="2020" w:right="854"/>
        <w:jc w:val="both"/>
      </w:pPr>
      <w:r>
        <w:rPr/>
        <w:t>area. In particular, there is expected to be an increase in the demand for urological, orthopedic, and ophthalmologic surgical services (i.e., the primary surgical cases performed at NESC), as these are the most commonly-utilized surgical services by the over-age-65 population.</w:t>
      </w:r>
      <w:hyperlink w:history="true" w:anchor="_bookmark11">
        <w:r>
          <w:rPr>
            <w:vertAlign w:val="superscript"/>
          </w:rPr>
          <w:t>12</w:t>
        </w:r>
      </w:hyperlink>
    </w:p>
    <w:p>
      <w:pPr>
        <w:pStyle w:val="BodyText"/>
        <w:spacing w:before="10"/>
        <w:rPr>
          <w:sz w:val="21"/>
        </w:rPr>
      </w:pPr>
    </w:p>
    <w:p>
      <w:pPr>
        <w:pStyle w:val="BodyText"/>
        <w:spacing w:before="1"/>
        <w:ind w:left="2019" w:right="853"/>
        <w:jc w:val="both"/>
      </w:pPr>
      <w:r>
        <w:rPr/>
        <w:t>In addition to the elderly, those individuals with certain health determinants require more healthcare services than the rest of the population. For example, the percentage of the Essex County adult population considered to be obese has increased from 19% in 2004 to 25% in 2016 (see Table 1).</w:t>
      </w:r>
      <w:hyperlink w:history="true" w:anchor="_bookmark12">
        <w:r>
          <w:rPr>
            <w:vertAlign w:val="superscript"/>
          </w:rPr>
          <w:t>13</w:t>
        </w:r>
      </w:hyperlink>
      <w:r>
        <w:rPr>
          <w:vertAlign w:val="baseline"/>
        </w:rPr>
        <w:t> Individuals with obesity are more likely to require surgical services relative to individuals who are not overweight.</w:t>
      </w:r>
      <w:hyperlink w:history="true" w:anchor="_bookmark13">
        <w:r>
          <w:rPr>
            <w:vertAlign w:val="superscript"/>
          </w:rPr>
          <w:t>14</w:t>
        </w:r>
      </w:hyperlink>
      <w:r>
        <w:rPr>
          <w:vertAlign w:val="baseline"/>
        </w:rPr>
        <w:t> Specifically, individuals with obesity are 20 times more likely to need a knee replacement than individuals who are not overweight.</w:t>
      </w:r>
      <w:hyperlink w:history="true" w:anchor="_bookmark14">
        <w:r>
          <w:rPr>
            <w:vertAlign w:val="superscript"/>
          </w:rPr>
          <w:t>15</w:t>
        </w:r>
        <w:r>
          <w:rPr>
            <w:vertAlign w:val="baseline"/>
          </w:rPr>
          <w:t> </w:t>
        </w:r>
      </w:hyperlink>
      <w:r>
        <w:rPr>
          <w:vertAlign w:val="baseline"/>
        </w:rPr>
        <w:t>The increased obesity in Essex County indicates that there will be an increase in the need for orthopedic surgical procedures at NESC in the</w:t>
      </w:r>
      <w:r>
        <w:rPr>
          <w:spacing w:val="-14"/>
          <w:vertAlign w:val="baseline"/>
        </w:rPr>
        <w:t> </w:t>
      </w:r>
      <w:r>
        <w:rPr>
          <w:vertAlign w:val="baseline"/>
        </w:rPr>
        <w:t>future.</w:t>
      </w:r>
    </w:p>
    <w:p>
      <w:pPr>
        <w:pStyle w:val="BodyText"/>
        <w:spacing w:before="9"/>
        <w:rPr>
          <w:sz w:val="20"/>
        </w:rPr>
      </w:pPr>
    </w:p>
    <w:p>
      <w:pPr>
        <w:pStyle w:val="BodyText"/>
        <w:ind w:left="2019" w:right="854"/>
        <w:jc w:val="both"/>
      </w:pPr>
      <w:r>
        <w:rPr/>
        <w:t>Finally, as compared to Massachusetts and the U.S., Essex County has a higher age-adjusted incidence rate per 100,000 population for all cases of cancer.</w:t>
      </w:r>
      <w:hyperlink w:history="true" w:anchor="_bookmark15">
        <w:r>
          <w:rPr>
            <w:vertAlign w:val="superscript"/>
          </w:rPr>
          <w:t>16</w:t>
        </w:r>
      </w:hyperlink>
      <w:r>
        <w:rPr>
          <w:vertAlign w:val="baseline"/>
        </w:rPr>
        <w:t> The cancers with the highest incidence in Essex County are breast, lung &amp; bronchus, prostate, colon &amp; rectum, and bladder (see Table 2).</w:t>
      </w:r>
      <w:hyperlink w:history="true" w:anchor="_bookmark16">
        <w:r>
          <w:rPr>
            <w:vertAlign w:val="superscript"/>
          </w:rPr>
          <w:t>17</w:t>
        </w:r>
      </w:hyperlink>
      <w:r>
        <w:rPr>
          <w:vertAlign w:val="baseline"/>
        </w:rPr>
        <w:t> The high incidence rates of cancer in Essex County result in the increasing demand for the multi-specialty surgical services offered by NESC.</w:t>
      </w:r>
    </w:p>
    <w:p>
      <w:pPr>
        <w:pStyle w:val="BodyText"/>
        <w:spacing w:before="12"/>
        <w:rPr>
          <w:sz w:val="21"/>
        </w:rPr>
      </w:pPr>
    </w:p>
    <w:p>
      <w:pPr>
        <w:pStyle w:val="BodyText"/>
        <w:ind w:left="2019" w:right="856"/>
        <w:jc w:val="both"/>
      </w:pPr>
      <w:r>
        <w:rPr/>
        <w:t>The above average incidence and prevalence of these specific conditions, compounded by the increase in the populations that tend to have these conditions, have resulted in a decrease in NESC’s operating room availability, which is projected to decrease further, resulting in the vital need for expanded surgical capacity for NESC’s Patient Panel (primarily comprised of Essex County residents with these diverse and serious health conditions).</w:t>
      </w:r>
    </w:p>
    <w:p>
      <w:pPr>
        <w:pStyle w:val="BodyText"/>
        <w:spacing w:before="10"/>
        <w:rPr>
          <w:sz w:val="23"/>
        </w:rPr>
      </w:pPr>
    </w:p>
    <w:p>
      <w:pPr>
        <w:pStyle w:val="ListParagraph"/>
        <w:numPr>
          <w:ilvl w:val="1"/>
          <w:numId w:val="1"/>
        </w:numPr>
        <w:tabs>
          <w:tab w:pos="1659" w:val="left" w:leader="none"/>
          <w:tab w:pos="1660" w:val="left" w:leader="none"/>
        </w:tabs>
        <w:spacing w:line="256" w:lineRule="auto" w:before="0" w:after="0"/>
        <w:ind w:left="1659" w:right="1136" w:hanging="509"/>
        <w:jc w:val="left"/>
        <w:rPr>
          <w:rFonts w:ascii="Calibri"/>
          <w:sz w:val="22"/>
        </w:rPr>
      </w:pPr>
      <w:r>
        <w:rPr>
          <w:rFonts w:ascii="Calibri"/>
          <w:sz w:val="22"/>
        </w:rPr>
        <w:t>Describe the criteria used to determine need for the addition of one enclosed pediatric room, and two additional post-op</w:t>
      </w:r>
      <w:r>
        <w:rPr>
          <w:rFonts w:ascii="Calibri"/>
          <w:spacing w:val="-9"/>
          <w:sz w:val="22"/>
        </w:rPr>
        <w:t> </w:t>
      </w:r>
      <w:r>
        <w:rPr>
          <w:rFonts w:ascii="Calibri"/>
          <w:sz w:val="22"/>
        </w:rPr>
        <w:t>beds.</w:t>
      </w:r>
    </w:p>
    <w:p>
      <w:pPr>
        <w:pStyle w:val="BodyText"/>
        <w:spacing w:before="1"/>
        <w:rPr>
          <w:sz w:val="24"/>
        </w:rPr>
      </w:pPr>
    </w:p>
    <w:p>
      <w:pPr>
        <w:pStyle w:val="BodyText"/>
        <w:spacing w:line="259" w:lineRule="auto"/>
        <w:ind w:left="1659" w:right="1088"/>
        <w:jc w:val="both"/>
      </w:pPr>
      <w:r>
        <w:rPr/>
        <w:t>The addition of requested post-op beds is required by the departments plan review State Compliance Checklist. When the center was originally built in 2010, we were required to have</w:t>
      </w:r>
    </w:p>
    <w:p>
      <w:pPr>
        <w:pStyle w:val="BodyText"/>
        <w:spacing w:line="259" w:lineRule="auto"/>
        <w:ind w:left="1658" w:right="974"/>
        <w:jc w:val="both"/>
      </w:pPr>
      <w:r>
        <w:rPr/>
        <w:t>1.5 post-op beds per OR. The new 12/2018 requirements are one patient care station for each operating room. The expansion would require one current post-op bed to be removed to allow for access to the expansion area. The new area would include the bed lost and the required</w:t>
      </w:r>
    </w:p>
    <w:p>
      <w:pPr>
        <w:pStyle w:val="BodyText"/>
        <w:rPr>
          <w:sz w:val="20"/>
        </w:rPr>
      </w:pPr>
    </w:p>
    <w:p>
      <w:pPr>
        <w:pStyle w:val="BodyText"/>
        <w:spacing w:before="5"/>
        <w:rPr>
          <w:sz w:val="26"/>
        </w:rPr>
      </w:pPr>
      <w:r>
        <w:rPr/>
        <w:pict>
          <v:rect style="position:absolute;margin-left:72pt;margin-top:18.089375pt;width:144pt;height:.72pt;mso-position-horizontal-relative:page;mso-position-vertical-relative:paragraph;z-index:-15727104;mso-wrap-distance-left:0;mso-wrap-distance-right:0" filled="true" fillcolor="#000000" stroked="false">
            <v:fill type="solid"/>
            <w10:wrap type="topAndBottom"/>
          </v:rect>
        </w:pict>
      </w:r>
    </w:p>
    <w:p>
      <w:pPr>
        <w:tabs>
          <w:tab w:pos="1299" w:val="left" w:leader="none"/>
        </w:tabs>
        <w:spacing w:before="68"/>
        <w:ind w:left="1300" w:right="1005" w:hanging="360"/>
        <w:jc w:val="left"/>
        <w:rPr>
          <w:rFonts w:ascii="Times New Roman" w:hAnsi="Times New Roman"/>
          <w:sz w:val="15"/>
        </w:rPr>
      </w:pPr>
      <w:bookmarkStart w:name="_bookmark11" w:id="19"/>
      <w:bookmarkEnd w:id="19"/>
      <w:r>
        <w:rPr/>
      </w:r>
      <w:r>
        <w:rPr>
          <w:rFonts w:ascii="Times New Roman" w:hAnsi="Times New Roman"/>
          <w:sz w:val="15"/>
          <w:vertAlign w:val="superscript"/>
        </w:rPr>
        <w:t>12</w:t>
      </w:r>
      <w:r>
        <w:rPr>
          <w:rFonts w:ascii="Times New Roman" w:hAnsi="Times New Roman"/>
          <w:sz w:val="15"/>
          <w:vertAlign w:val="baseline"/>
        </w:rPr>
        <w:tab/>
        <w:t>“Patterns of Surgical Care and Complications in Elderly Adults,” By Stacie Deiner, Benjamin Westlake, and Richard Dutton, Journal of the American Geriatrics Society, Vol. 62, </w:t>
      </w:r>
      <w:r>
        <w:rPr>
          <w:rFonts w:ascii="Times New Roman" w:hAnsi="Times New Roman"/>
          <w:spacing w:val="-2"/>
          <w:sz w:val="15"/>
          <w:vertAlign w:val="baseline"/>
        </w:rPr>
        <w:t>No. </w:t>
      </w:r>
      <w:r>
        <w:rPr>
          <w:rFonts w:ascii="Times New Roman" w:hAnsi="Times New Roman"/>
          <w:sz w:val="15"/>
          <w:vertAlign w:val="baseline"/>
        </w:rPr>
        <w:t>5, May 2014, https://</w:t>
      </w:r>
      <w:hyperlink r:id="rId7">
        <w:r>
          <w:rPr>
            <w:rFonts w:ascii="Times New Roman" w:hAnsi="Times New Roman"/>
            <w:sz w:val="15"/>
            <w:vertAlign w:val="baseline"/>
          </w:rPr>
          <w:t>www.ncbi.nlm.nih.gov/pmc/articles/PMC4024102/pdf/nihms568357.pdf </w:t>
        </w:r>
      </w:hyperlink>
      <w:r>
        <w:rPr>
          <w:rFonts w:ascii="Times New Roman" w:hAnsi="Times New Roman"/>
          <w:sz w:val="15"/>
          <w:vertAlign w:val="baseline"/>
        </w:rPr>
        <w:t>(Accessed 10/22/20).</w:t>
      </w:r>
    </w:p>
    <w:p>
      <w:pPr>
        <w:tabs>
          <w:tab w:pos="1299" w:val="left" w:leader="none"/>
        </w:tabs>
        <w:spacing w:before="1"/>
        <w:ind w:left="1300" w:right="1787" w:hanging="360"/>
        <w:jc w:val="left"/>
        <w:rPr>
          <w:rFonts w:ascii="Times New Roman" w:hAnsi="Times New Roman"/>
          <w:sz w:val="15"/>
        </w:rPr>
      </w:pPr>
      <w:bookmarkStart w:name="_bookmark12" w:id="20"/>
      <w:bookmarkEnd w:id="20"/>
      <w:r>
        <w:rPr/>
      </w:r>
      <w:r>
        <w:rPr>
          <w:rFonts w:ascii="Times New Roman" w:hAnsi="Times New Roman"/>
          <w:sz w:val="15"/>
          <w:vertAlign w:val="superscript"/>
        </w:rPr>
        <w:t>13</w:t>
      </w:r>
      <w:r>
        <w:rPr>
          <w:rFonts w:ascii="Times New Roman" w:hAnsi="Times New Roman"/>
          <w:sz w:val="15"/>
          <w:vertAlign w:val="baseline"/>
        </w:rPr>
        <w:tab/>
        <w:t>“Health Outcomes – Essex County,” County Health Rankings, </w:t>
      </w:r>
      <w:r>
        <w:rPr>
          <w:rFonts w:ascii="Times New Roman" w:hAnsi="Times New Roman"/>
          <w:spacing w:val="-1"/>
          <w:sz w:val="15"/>
          <w:vertAlign w:val="baseline"/>
        </w:rPr>
        <w:t>https://</w:t>
      </w:r>
      <w:hyperlink r:id="rId8">
        <w:r>
          <w:rPr>
            <w:rFonts w:ascii="Times New Roman" w:hAnsi="Times New Roman"/>
            <w:spacing w:val="-1"/>
            <w:sz w:val="15"/>
            <w:vertAlign w:val="baseline"/>
          </w:rPr>
          <w:t>www.countyhealthrankings.org/app/massachusetts/2020/rankings/essex/county/outcomes/overall/snapshot </w:t>
        </w:r>
      </w:hyperlink>
      <w:r>
        <w:rPr>
          <w:rFonts w:ascii="Times New Roman" w:hAnsi="Times New Roman"/>
          <w:sz w:val="15"/>
          <w:vertAlign w:val="baseline"/>
        </w:rPr>
        <w:t>(Accessed</w:t>
      </w:r>
      <w:r>
        <w:rPr>
          <w:rFonts w:ascii="Times New Roman" w:hAnsi="Times New Roman"/>
          <w:spacing w:val="-9"/>
          <w:sz w:val="15"/>
          <w:vertAlign w:val="baseline"/>
        </w:rPr>
        <w:t> </w:t>
      </w:r>
      <w:r>
        <w:rPr>
          <w:rFonts w:ascii="Times New Roman" w:hAnsi="Times New Roman"/>
          <w:sz w:val="15"/>
          <w:vertAlign w:val="baseline"/>
        </w:rPr>
        <w:t>10/22/20).</w:t>
      </w:r>
    </w:p>
    <w:p>
      <w:pPr>
        <w:tabs>
          <w:tab w:pos="1299" w:val="left" w:leader="none"/>
        </w:tabs>
        <w:spacing w:line="237" w:lineRule="auto" w:before="2"/>
        <w:ind w:left="1300" w:right="1157" w:hanging="360"/>
        <w:jc w:val="left"/>
        <w:rPr>
          <w:rFonts w:ascii="Times New Roman" w:hAnsi="Times New Roman"/>
          <w:sz w:val="15"/>
        </w:rPr>
      </w:pPr>
      <w:bookmarkStart w:name="_bookmark13" w:id="21"/>
      <w:bookmarkEnd w:id="21"/>
      <w:r>
        <w:rPr/>
      </w:r>
      <w:r>
        <w:rPr>
          <w:rFonts w:ascii="Times New Roman" w:hAnsi="Times New Roman"/>
          <w:sz w:val="15"/>
          <w:vertAlign w:val="superscript"/>
        </w:rPr>
        <w:t>14</w:t>
      </w:r>
      <w:r>
        <w:rPr>
          <w:rFonts w:ascii="Times New Roman" w:hAnsi="Times New Roman"/>
          <w:sz w:val="15"/>
          <w:vertAlign w:val="baseline"/>
        </w:rPr>
        <w:tab/>
        <w:t>“The Impact of Obesity on Bone and Joint Health,” American Academy of Orthopaedic Surgeons (AAOS), March 2015, </w:t>
      </w:r>
      <w:r>
        <w:rPr>
          <w:rFonts w:ascii="Times New Roman" w:hAnsi="Times New Roman"/>
          <w:spacing w:val="-1"/>
          <w:sz w:val="15"/>
          <w:u w:val="single"/>
          <w:vertAlign w:val="baseline"/>
        </w:rPr>
        <w:t>https://</w:t>
      </w:r>
      <w:hyperlink r:id="rId9">
        <w:r>
          <w:rPr>
            <w:rFonts w:ascii="Times New Roman" w:hAnsi="Times New Roman"/>
            <w:spacing w:val="-1"/>
            <w:sz w:val="15"/>
            <w:u w:val="single"/>
            <w:vertAlign w:val="baseline"/>
          </w:rPr>
          <w:t>www.aaos.org/contentassets/1cd7f41417ec4dd4b5c4c48532183b96/1184-the-impact-of-obesity-on-bone-and-joint-health1.pdf</w:t>
        </w:r>
        <w:r>
          <w:rPr>
            <w:rFonts w:ascii="Times New Roman" w:hAnsi="Times New Roman"/>
            <w:spacing w:val="-1"/>
            <w:sz w:val="15"/>
            <w:vertAlign w:val="baseline"/>
          </w:rPr>
          <w:t> </w:t>
        </w:r>
      </w:hyperlink>
      <w:r>
        <w:rPr>
          <w:rFonts w:ascii="Times New Roman" w:hAnsi="Times New Roman"/>
          <w:sz w:val="15"/>
          <w:vertAlign w:val="baseline"/>
        </w:rPr>
        <w:t>(Accessed 10/22/20).</w:t>
      </w:r>
    </w:p>
    <w:p>
      <w:pPr>
        <w:tabs>
          <w:tab w:pos="1299" w:val="left" w:leader="none"/>
        </w:tabs>
        <w:spacing w:before="3"/>
        <w:ind w:left="1300" w:right="1157" w:hanging="360"/>
        <w:jc w:val="left"/>
        <w:rPr>
          <w:rFonts w:ascii="Times New Roman" w:hAnsi="Times New Roman"/>
          <w:sz w:val="15"/>
        </w:rPr>
      </w:pPr>
      <w:bookmarkStart w:name="_bookmark14" w:id="22"/>
      <w:bookmarkEnd w:id="22"/>
      <w:r>
        <w:rPr/>
      </w:r>
      <w:r>
        <w:rPr>
          <w:rFonts w:ascii="Times New Roman" w:hAnsi="Times New Roman"/>
          <w:sz w:val="15"/>
          <w:vertAlign w:val="superscript"/>
        </w:rPr>
        <w:t>15</w:t>
      </w:r>
      <w:r>
        <w:rPr>
          <w:rFonts w:ascii="Times New Roman" w:hAnsi="Times New Roman"/>
          <w:sz w:val="15"/>
          <w:vertAlign w:val="baseline"/>
        </w:rPr>
        <w:tab/>
        <w:t>“The Impact of Obesity on Bone and Joint Health,” American Academy of Orthopaedic Surgeons (AAOS), March 2015, </w:t>
      </w:r>
      <w:r>
        <w:rPr>
          <w:rFonts w:ascii="Times New Roman" w:hAnsi="Times New Roman"/>
          <w:spacing w:val="-1"/>
          <w:sz w:val="15"/>
          <w:u w:val="single"/>
          <w:vertAlign w:val="baseline"/>
        </w:rPr>
        <w:t>https://</w:t>
      </w:r>
      <w:hyperlink r:id="rId9">
        <w:r>
          <w:rPr>
            <w:rFonts w:ascii="Times New Roman" w:hAnsi="Times New Roman"/>
            <w:spacing w:val="-1"/>
            <w:sz w:val="15"/>
            <w:u w:val="single"/>
            <w:vertAlign w:val="baseline"/>
          </w:rPr>
          <w:t>www.aaos.org/contentassets/1cd7f41417ec4dd4b5c4c48532183b96/1184-the-impact-of-obesity-on-bone-and-joint-health1.pdf</w:t>
        </w:r>
        <w:r>
          <w:rPr>
            <w:rFonts w:ascii="Times New Roman" w:hAnsi="Times New Roman"/>
            <w:spacing w:val="-1"/>
            <w:sz w:val="15"/>
            <w:vertAlign w:val="baseline"/>
          </w:rPr>
          <w:t> </w:t>
        </w:r>
      </w:hyperlink>
      <w:r>
        <w:rPr>
          <w:rFonts w:ascii="Times New Roman" w:hAnsi="Times New Roman"/>
          <w:sz w:val="15"/>
          <w:vertAlign w:val="baseline"/>
        </w:rPr>
        <w:t>(Accessed 10/22/20).</w:t>
      </w:r>
    </w:p>
    <w:p>
      <w:pPr>
        <w:tabs>
          <w:tab w:pos="1299" w:val="left" w:leader="none"/>
        </w:tabs>
        <w:spacing w:before="0"/>
        <w:ind w:left="1299" w:right="982" w:hanging="360"/>
        <w:jc w:val="left"/>
        <w:rPr>
          <w:rFonts w:ascii="Times New Roman" w:hAnsi="Times New Roman"/>
          <w:sz w:val="15"/>
        </w:rPr>
      </w:pPr>
      <w:bookmarkStart w:name="_bookmark15" w:id="23"/>
      <w:bookmarkEnd w:id="23"/>
      <w:r>
        <w:rPr/>
      </w:r>
      <w:r>
        <w:rPr>
          <w:rFonts w:ascii="Times New Roman" w:hAnsi="Times New Roman"/>
          <w:sz w:val="15"/>
          <w:vertAlign w:val="superscript"/>
        </w:rPr>
        <w:t>16</w:t>
      </w:r>
      <w:r>
        <w:rPr>
          <w:rFonts w:ascii="Times New Roman" w:hAnsi="Times New Roman"/>
          <w:sz w:val="15"/>
          <w:vertAlign w:val="baseline"/>
        </w:rPr>
        <w:tab/>
        <w:t>“Incidence Rate Report for Massachusetts by County, 2013-2017,” State Cancer Profiles, National Cancer Institute, </w:t>
      </w:r>
      <w:r>
        <w:rPr>
          <w:rFonts w:ascii="Times New Roman" w:hAnsi="Times New Roman"/>
          <w:spacing w:val="-1"/>
          <w:sz w:val="15"/>
          <w:vertAlign w:val="baseline"/>
        </w:rPr>
        <w:t>https://statecancerprofiles.cancer.gov/incidencerates/index.php?stateFIPS=25&amp;areatype=county&amp;cancer=001&amp;race=00&amp;sex=0&amp;age=001&amp;type=inc </w:t>
      </w:r>
      <w:r>
        <w:rPr>
          <w:rFonts w:ascii="Times New Roman" w:hAnsi="Times New Roman"/>
          <w:sz w:val="15"/>
          <w:vertAlign w:val="baseline"/>
        </w:rPr>
        <w:t>d&amp;sortVariableName=rate&amp;sortOrder=default&amp;output=0#results (Accessed</w:t>
      </w:r>
      <w:r>
        <w:rPr>
          <w:rFonts w:ascii="Times New Roman" w:hAnsi="Times New Roman"/>
          <w:spacing w:val="-3"/>
          <w:sz w:val="15"/>
          <w:vertAlign w:val="baseline"/>
        </w:rPr>
        <w:t> </w:t>
      </w:r>
      <w:r>
        <w:rPr>
          <w:rFonts w:ascii="Times New Roman" w:hAnsi="Times New Roman"/>
          <w:sz w:val="15"/>
          <w:vertAlign w:val="baseline"/>
        </w:rPr>
        <w:t>10/22/20).</w:t>
      </w:r>
    </w:p>
    <w:p>
      <w:pPr>
        <w:tabs>
          <w:tab w:pos="1299" w:val="left" w:leader="none"/>
        </w:tabs>
        <w:spacing w:before="0"/>
        <w:ind w:left="1299" w:right="982" w:hanging="360"/>
        <w:jc w:val="left"/>
        <w:rPr>
          <w:rFonts w:ascii="Times New Roman" w:hAnsi="Times New Roman"/>
          <w:sz w:val="15"/>
        </w:rPr>
      </w:pPr>
      <w:bookmarkStart w:name="_bookmark16" w:id="24"/>
      <w:bookmarkEnd w:id="24"/>
      <w:r>
        <w:rPr/>
      </w:r>
      <w:r>
        <w:rPr>
          <w:rFonts w:ascii="Times New Roman" w:hAnsi="Times New Roman"/>
          <w:sz w:val="15"/>
          <w:vertAlign w:val="superscript"/>
        </w:rPr>
        <w:t>17</w:t>
      </w:r>
      <w:r>
        <w:rPr>
          <w:rFonts w:ascii="Times New Roman" w:hAnsi="Times New Roman"/>
          <w:sz w:val="15"/>
          <w:vertAlign w:val="baseline"/>
        </w:rPr>
        <w:tab/>
        <w:t>“Incidence Rate Report for Massachusetts by County, 2013-2017,” State Cancer Profiles, National Cancer Institute, </w:t>
      </w:r>
      <w:r>
        <w:rPr>
          <w:rFonts w:ascii="Times New Roman" w:hAnsi="Times New Roman"/>
          <w:spacing w:val="-1"/>
          <w:sz w:val="15"/>
          <w:vertAlign w:val="baseline"/>
        </w:rPr>
        <w:t>https://statecancerprofiles.cancer.gov/incidencerates/index.php?stateFIPS=25&amp;areatype=county&amp;cancer=001&amp;race=00&amp;sex=0&amp;age=001&amp;type=inc </w:t>
      </w:r>
      <w:r>
        <w:rPr>
          <w:rFonts w:ascii="Times New Roman" w:hAnsi="Times New Roman"/>
          <w:sz w:val="15"/>
          <w:vertAlign w:val="baseline"/>
        </w:rPr>
        <w:t>d&amp;sortVariableName=rate&amp;sortOrder=default&amp;output=0#results (Accessed</w:t>
      </w:r>
      <w:r>
        <w:rPr>
          <w:rFonts w:ascii="Times New Roman" w:hAnsi="Times New Roman"/>
          <w:spacing w:val="-3"/>
          <w:sz w:val="15"/>
          <w:vertAlign w:val="baseline"/>
        </w:rPr>
        <w:t> </w:t>
      </w:r>
      <w:r>
        <w:rPr>
          <w:rFonts w:ascii="Times New Roman" w:hAnsi="Times New Roman"/>
          <w:sz w:val="15"/>
          <w:vertAlign w:val="baseline"/>
        </w:rPr>
        <w:t>10/22/20).</w:t>
      </w:r>
    </w:p>
    <w:p>
      <w:pPr>
        <w:spacing w:after="0"/>
        <w:jc w:val="left"/>
        <w:rPr>
          <w:rFonts w:ascii="Times New Roman" w:hAnsi="Times New Roman"/>
          <w:sz w:val="15"/>
        </w:rPr>
        <w:sectPr>
          <w:pgSz w:w="12240" w:h="15840"/>
          <w:pgMar w:top="1400" w:bottom="280" w:left="500" w:right="580"/>
        </w:sectPr>
      </w:pPr>
    </w:p>
    <w:p>
      <w:pPr>
        <w:pStyle w:val="BodyText"/>
        <w:spacing w:line="259" w:lineRule="auto" w:before="37"/>
        <w:ind w:left="1659" w:right="982"/>
      </w:pPr>
      <w:r>
        <w:rPr/>
        <w:t>additional bed. We currently have seven pre/post-procedure beds. After expansion the center would have nine pre/post-procedure and one enclosed pediatric room.</w:t>
      </w:r>
    </w:p>
    <w:p>
      <w:pPr>
        <w:pStyle w:val="BodyText"/>
        <w:spacing w:before="7"/>
        <w:rPr>
          <w:sz w:val="23"/>
        </w:rPr>
      </w:pPr>
    </w:p>
    <w:p>
      <w:pPr>
        <w:pStyle w:val="BodyText"/>
        <w:spacing w:line="259" w:lineRule="auto"/>
        <w:ind w:left="1660" w:right="982"/>
      </w:pPr>
      <w:r>
        <w:rPr/>
        <w:t>Pediatric cases performed most often are tonsils and adenoids. The surgeons require the patient to remain for two to three hours, to ensure there are no post-op complications. Children do not recover from anesthesia as easily as adults and spend a significant amount of time crying. Because the center performs cases on such a diverse group of patients, the crying child can be stressful to an older patient. The enclosed room would help to prevent this. With only one OR for general anesthesia, no OR time is available for a day with just pediatric cases.</w:t>
      </w:r>
    </w:p>
    <w:p>
      <w:pPr>
        <w:pStyle w:val="BodyText"/>
        <w:spacing w:before="9"/>
        <w:rPr>
          <w:sz w:val="23"/>
        </w:rPr>
      </w:pPr>
    </w:p>
    <w:p>
      <w:pPr>
        <w:pStyle w:val="ListParagraph"/>
        <w:numPr>
          <w:ilvl w:val="1"/>
          <w:numId w:val="1"/>
        </w:numPr>
        <w:tabs>
          <w:tab w:pos="1660" w:val="left" w:leader="none"/>
          <w:tab w:pos="1661" w:val="left" w:leader="none"/>
        </w:tabs>
        <w:spacing w:line="259" w:lineRule="auto" w:before="0" w:after="0"/>
        <w:ind w:left="1660" w:right="937" w:hanging="531"/>
        <w:jc w:val="left"/>
        <w:rPr>
          <w:rFonts w:ascii="Calibri"/>
          <w:sz w:val="22"/>
        </w:rPr>
      </w:pPr>
      <w:r>
        <w:rPr>
          <w:rFonts w:ascii="Calibri"/>
          <w:sz w:val="22"/>
        </w:rPr>
        <w:t>The application states that without the Proposed Project, cases would be turned away to higher cost HOPDs. However, the HCC Factor 4 report identified six potential NESC competitors in the market service area. Explain why a higher cost HOPD is the only alternative for the Patient Panel.</w:t>
      </w:r>
    </w:p>
    <w:p>
      <w:pPr>
        <w:pStyle w:val="BodyText"/>
        <w:spacing w:before="6"/>
        <w:rPr>
          <w:sz w:val="23"/>
        </w:rPr>
      </w:pPr>
    </w:p>
    <w:p>
      <w:pPr>
        <w:pStyle w:val="BodyText"/>
        <w:spacing w:line="259" w:lineRule="auto"/>
        <w:ind w:left="1659" w:right="883"/>
      </w:pPr>
      <w:r>
        <w:rPr/>
        <w:t>Of the six potential NESC competitors in our area, there are no multi-specialty free standing ambulatory surgery centers to provide the lower cost cases. Peabody Surgery Center was opened by a plastic surgeon and closed. It is now North Shore Plastics and performs office procedures. Two centers Mass General/North Shore and Lahey Outpatient Danvers are hospital outpatient facilities and bill HOPD rates leading to a higher cost to patients and insurers. Lahey Medical Center Peabody is an urgent care facility, where no surgery is performed, and also has primary care physicians’ offices, lab and x-ray. New England Pain Care only provides pain care treatments (e.g. injections, massage, physical therapy) and a minimal number of pain procedures. Lastly, Orthopedic Surgery Center of the North Shore is a limited multi-specialty facility. It was licensed for Orthopedics and has added pain and GI specialties in the past 10 years.</w:t>
      </w:r>
    </w:p>
    <w:p>
      <w:pPr>
        <w:pStyle w:val="BodyText"/>
        <w:spacing w:before="6"/>
        <w:rPr>
          <w:sz w:val="23"/>
        </w:rPr>
      </w:pPr>
    </w:p>
    <w:p>
      <w:pPr>
        <w:pStyle w:val="ListParagraph"/>
        <w:numPr>
          <w:ilvl w:val="0"/>
          <w:numId w:val="1"/>
        </w:numPr>
        <w:tabs>
          <w:tab w:pos="1300" w:val="left" w:leader="none"/>
        </w:tabs>
        <w:spacing w:line="259" w:lineRule="auto" w:before="0" w:after="0"/>
        <w:ind w:left="1299" w:right="936" w:hanging="360"/>
        <w:jc w:val="left"/>
        <w:rPr>
          <w:rFonts w:ascii="Calibri"/>
          <w:sz w:val="22"/>
        </w:rPr>
      </w:pPr>
      <w:r>
        <w:rPr>
          <w:rFonts w:ascii="Calibri"/>
          <w:sz w:val="22"/>
        </w:rPr>
        <w:t>In the application, it states that because of the additional volume from new surgeons, the operating room will meet or exceed its</w:t>
      </w:r>
      <w:r>
        <w:rPr>
          <w:rFonts w:ascii="Calibri"/>
          <w:spacing w:val="-8"/>
          <w:sz w:val="22"/>
        </w:rPr>
        <w:t> </w:t>
      </w:r>
      <w:r>
        <w:rPr>
          <w:rFonts w:ascii="Calibri"/>
          <w:sz w:val="22"/>
        </w:rPr>
        <w:t>capacity.</w:t>
      </w:r>
    </w:p>
    <w:p>
      <w:pPr>
        <w:pStyle w:val="ListParagraph"/>
        <w:numPr>
          <w:ilvl w:val="1"/>
          <w:numId w:val="1"/>
        </w:numPr>
        <w:tabs>
          <w:tab w:pos="1659" w:val="left" w:leader="none"/>
          <w:tab w:pos="1660" w:val="left" w:leader="none"/>
        </w:tabs>
        <w:spacing w:line="259" w:lineRule="auto" w:before="1" w:after="0"/>
        <w:ind w:left="1659" w:right="1354" w:hanging="521"/>
        <w:jc w:val="left"/>
        <w:rPr>
          <w:rFonts w:ascii="Calibri"/>
          <w:sz w:val="22"/>
        </w:rPr>
      </w:pPr>
      <w:r>
        <w:rPr>
          <w:rFonts w:ascii="Calibri"/>
          <w:sz w:val="22"/>
        </w:rPr>
        <w:t>The OR is currently seeing reserved time usage of 58-62%. How are you defining maximum capacity?</w:t>
      </w:r>
    </w:p>
    <w:p>
      <w:pPr>
        <w:pStyle w:val="BodyText"/>
        <w:spacing w:before="7"/>
        <w:rPr>
          <w:sz w:val="23"/>
        </w:rPr>
      </w:pPr>
    </w:p>
    <w:p>
      <w:pPr>
        <w:pStyle w:val="BodyText"/>
        <w:spacing w:before="1"/>
        <w:ind w:left="1659"/>
      </w:pPr>
      <w:r>
        <w:rPr/>
        <w:t>The applicant utilizes individual and group block scheduling for OR time. OR time is figured as</w:t>
      </w:r>
    </w:p>
    <w:p>
      <w:pPr>
        <w:pStyle w:val="BodyText"/>
        <w:spacing w:line="259" w:lineRule="auto" w:before="23"/>
        <w:ind w:left="1660" w:right="873"/>
      </w:pPr>
      <w:r>
        <w:rPr/>
        <w:t>9.5 hrs/day x 5 days = 47.5 hrs/wk. This allows 2,470 OR hours per year (not allowing for holidays). Optimal OR usage would be 75-80%, </w:t>
      </w:r>
      <w:r>
        <w:rPr>
          <w:color w:val="303030"/>
        </w:rPr>
        <w:t>utilization higher than 85% to 90% leads to patient delays and staff overtime.</w:t>
      </w:r>
      <w:hyperlink w:history="true" w:anchor="_bookmark17">
        <w:r>
          <w:rPr>
            <w:color w:val="303030"/>
            <w:vertAlign w:val="superscript"/>
          </w:rPr>
          <w:t>18</w:t>
        </w:r>
        <w:r>
          <w:rPr>
            <w:color w:val="303030"/>
            <w:vertAlign w:val="baseline"/>
          </w:rPr>
          <w:t> </w:t>
        </w:r>
      </w:hyperlink>
      <w:r>
        <w:rPr>
          <w:color w:val="303030"/>
          <w:vertAlign w:val="baseline"/>
        </w:rPr>
        <w:t>Over the past three years (2017-2019) OR block utilization has increased from 60.3% to 63.5%. O</w:t>
      </w:r>
      <w:r>
        <w:rPr>
          <w:color w:val="090909"/>
          <w:vertAlign w:val="baseline"/>
        </w:rPr>
        <w:t>ther time indicators used in the OR are anesthesia which takes 45% and time to prepare the OR. The ideal OR preparation time between one operation and another can be classified as of high performance if up to 25 minutes, NESC exceeds this with 15-20-minute turnovers.</w:t>
      </w:r>
    </w:p>
    <w:p>
      <w:pPr>
        <w:pStyle w:val="BodyText"/>
        <w:rPr>
          <w:sz w:val="20"/>
        </w:rPr>
      </w:pPr>
    </w:p>
    <w:p>
      <w:pPr>
        <w:pStyle w:val="BodyText"/>
        <w:rPr>
          <w:sz w:val="20"/>
        </w:rPr>
      </w:pPr>
    </w:p>
    <w:p>
      <w:pPr>
        <w:pStyle w:val="BodyText"/>
        <w:rPr>
          <w:sz w:val="20"/>
        </w:rPr>
      </w:pPr>
    </w:p>
    <w:p>
      <w:pPr>
        <w:pStyle w:val="BodyText"/>
        <w:spacing w:before="3"/>
        <w:rPr>
          <w:sz w:val="19"/>
        </w:rPr>
      </w:pPr>
      <w:r>
        <w:rPr/>
        <w:pict>
          <v:rect style="position:absolute;margin-left:72pt;margin-top:13.724336pt;width:144pt;height:.72pt;mso-position-horizontal-relative:page;mso-position-vertical-relative:paragraph;z-index:-15726592;mso-wrap-distance-left:0;mso-wrap-distance-right:0" filled="true" fillcolor="#000000" stroked="false">
            <v:fill type="solid"/>
            <w10:wrap type="topAndBottom"/>
          </v:rect>
        </w:pict>
      </w:r>
    </w:p>
    <w:p>
      <w:pPr>
        <w:spacing w:before="40"/>
        <w:ind w:left="940" w:right="0" w:firstLine="0"/>
        <w:jc w:val="left"/>
        <w:rPr>
          <w:sz w:val="16"/>
        </w:rPr>
      </w:pPr>
      <w:bookmarkStart w:name="_bookmark17" w:id="25"/>
      <w:bookmarkEnd w:id="25"/>
      <w:r>
        <w:rPr/>
      </w:r>
      <w:r>
        <w:rPr>
          <w:position w:val="10"/>
          <w:sz w:val="13"/>
        </w:rPr>
        <w:t>18 </w:t>
      </w:r>
      <w:r>
        <w:rPr>
          <w:sz w:val="16"/>
        </w:rPr>
        <w:t>Anesthesia &amp; Analgesia, May 2003, 96(4):1114-21, Pub Med</w:t>
      </w:r>
    </w:p>
    <w:p>
      <w:pPr>
        <w:spacing w:after="0"/>
        <w:jc w:val="left"/>
        <w:rPr>
          <w:sz w:val="16"/>
        </w:rPr>
        <w:sectPr>
          <w:pgSz w:w="12240" w:h="15840"/>
          <w:pgMar w:top="1400" w:bottom="280" w:left="500" w:right="580"/>
        </w:sectPr>
      </w:pPr>
    </w:p>
    <w:p>
      <w:pPr>
        <w:pStyle w:val="BodyText"/>
        <w:rPr>
          <w:sz w:val="14"/>
        </w:rPr>
      </w:pPr>
    </w:p>
    <w:p>
      <w:pPr>
        <w:pStyle w:val="ListParagraph"/>
        <w:numPr>
          <w:ilvl w:val="1"/>
          <w:numId w:val="1"/>
        </w:numPr>
        <w:tabs>
          <w:tab w:pos="1659" w:val="left" w:leader="none"/>
          <w:tab w:pos="1660" w:val="left" w:leader="none"/>
        </w:tabs>
        <w:spacing w:line="240" w:lineRule="auto" w:before="56" w:after="0"/>
        <w:ind w:left="1660" w:right="0" w:hanging="531"/>
        <w:jc w:val="left"/>
        <w:rPr>
          <w:rFonts w:ascii="Calibri"/>
          <w:sz w:val="22"/>
        </w:rPr>
      </w:pPr>
      <w:r>
        <w:rPr>
          <w:rFonts w:ascii="Calibri"/>
          <w:sz w:val="22"/>
        </w:rPr>
        <w:t>Explain the referring origin of current (and anticipated) NESC surgical</w:t>
      </w:r>
      <w:r>
        <w:rPr>
          <w:rFonts w:ascii="Calibri"/>
          <w:spacing w:val="-11"/>
          <w:sz w:val="22"/>
        </w:rPr>
        <w:t> </w:t>
      </w:r>
      <w:r>
        <w:rPr>
          <w:rFonts w:ascii="Calibri"/>
          <w:sz w:val="22"/>
        </w:rPr>
        <w:t>patients.</w:t>
      </w:r>
    </w:p>
    <w:p>
      <w:pPr>
        <w:pStyle w:val="BodyText"/>
        <w:spacing w:before="4"/>
        <w:rPr>
          <w:sz w:val="25"/>
        </w:rPr>
      </w:pPr>
    </w:p>
    <w:p>
      <w:pPr>
        <w:pStyle w:val="BodyText"/>
        <w:spacing w:line="259" w:lineRule="auto" w:before="1"/>
        <w:ind w:left="1659" w:right="982"/>
      </w:pPr>
      <w:r>
        <w:rPr/>
        <w:t>As a free-standing ambulatory surgery center, without ACO affiliation, we do not receive referrals directly. The surgeons that perform cases at the center receive referrals from primary care physicians in Essex County and surrounding areas.</w:t>
      </w:r>
    </w:p>
    <w:p>
      <w:pPr>
        <w:pStyle w:val="BodyText"/>
        <w:spacing w:before="8"/>
        <w:rPr>
          <w:sz w:val="23"/>
        </w:rPr>
      </w:pPr>
    </w:p>
    <w:p>
      <w:pPr>
        <w:pStyle w:val="BodyText"/>
        <w:spacing w:line="259" w:lineRule="auto"/>
        <w:ind w:left="939" w:right="1820"/>
      </w:pPr>
      <w:r>
        <w:rPr/>
        <w:t>Factor 1 requires us to consider “evidence of sound community engagement and consultation throughout the development of the Proposed Project.”</w:t>
      </w:r>
    </w:p>
    <w:p>
      <w:pPr>
        <w:pStyle w:val="ListParagraph"/>
        <w:numPr>
          <w:ilvl w:val="0"/>
          <w:numId w:val="1"/>
        </w:numPr>
        <w:tabs>
          <w:tab w:pos="1300" w:val="left" w:leader="none"/>
        </w:tabs>
        <w:spacing w:line="259" w:lineRule="auto" w:before="1" w:after="0"/>
        <w:ind w:left="1300" w:right="1457" w:hanging="361"/>
        <w:jc w:val="left"/>
        <w:rPr>
          <w:rFonts w:ascii="Calibri"/>
          <w:sz w:val="22"/>
        </w:rPr>
      </w:pPr>
      <w:r>
        <w:rPr>
          <w:rFonts w:ascii="Calibri"/>
          <w:sz w:val="22"/>
        </w:rPr>
        <w:t>List how many people attended the information sessions on November 5</w:t>
      </w:r>
      <w:r>
        <w:rPr>
          <w:rFonts w:ascii="Calibri"/>
          <w:sz w:val="22"/>
          <w:vertAlign w:val="superscript"/>
        </w:rPr>
        <w:t>th</w:t>
      </w:r>
      <w:r>
        <w:rPr>
          <w:rFonts w:ascii="Calibri"/>
          <w:sz w:val="22"/>
          <w:vertAlign w:val="baseline"/>
        </w:rPr>
        <w:t> and November 11</w:t>
      </w:r>
      <w:r>
        <w:rPr>
          <w:rFonts w:ascii="Calibri"/>
          <w:sz w:val="22"/>
          <w:vertAlign w:val="superscript"/>
        </w:rPr>
        <w:t>th</w:t>
      </w:r>
      <w:r>
        <w:rPr>
          <w:rFonts w:ascii="Calibri"/>
          <w:sz w:val="22"/>
          <w:vertAlign w:val="baseline"/>
        </w:rPr>
        <w:t> (other than staff or clinicians employed or working at</w:t>
      </w:r>
      <w:r>
        <w:rPr>
          <w:rFonts w:ascii="Calibri"/>
          <w:spacing w:val="-13"/>
          <w:sz w:val="22"/>
          <w:vertAlign w:val="baseline"/>
        </w:rPr>
        <w:t> </w:t>
      </w:r>
      <w:r>
        <w:rPr>
          <w:rFonts w:ascii="Calibri"/>
          <w:sz w:val="22"/>
          <w:vertAlign w:val="baseline"/>
        </w:rPr>
        <w:t>NESC.)</w:t>
      </w:r>
    </w:p>
    <w:p>
      <w:pPr>
        <w:pStyle w:val="BodyText"/>
        <w:spacing w:before="7"/>
        <w:rPr>
          <w:sz w:val="23"/>
        </w:rPr>
      </w:pPr>
    </w:p>
    <w:p>
      <w:pPr>
        <w:pStyle w:val="BodyText"/>
        <w:spacing w:line="259" w:lineRule="auto" w:before="1"/>
        <w:ind w:left="1299" w:right="878"/>
      </w:pPr>
      <w:r>
        <w:rPr/>
        <w:t>Information was highly publicized in the Essex County and surrounding areas, but there were only two total attendees. These were staff members of North Shore Medical Group that is located in the same building as our center. They came to the open house on November 5</w:t>
      </w:r>
      <w:r>
        <w:rPr>
          <w:vertAlign w:val="superscript"/>
        </w:rPr>
        <w:t>th</w:t>
      </w:r>
      <w:r>
        <w:rPr>
          <w:vertAlign w:val="baseline"/>
        </w:rPr>
        <w:t> as they were leaving work.</w:t>
      </w:r>
    </w:p>
    <w:p>
      <w:pPr>
        <w:pStyle w:val="BodyText"/>
        <w:spacing w:before="8"/>
        <w:rPr>
          <w:sz w:val="23"/>
        </w:rPr>
      </w:pPr>
    </w:p>
    <w:p>
      <w:pPr>
        <w:pStyle w:val="ListParagraph"/>
        <w:numPr>
          <w:ilvl w:val="1"/>
          <w:numId w:val="1"/>
        </w:numPr>
        <w:tabs>
          <w:tab w:pos="1659" w:val="left" w:leader="none"/>
          <w:tab w:pos="1660" w:val="left" w:leader="none"/>
        </w:tabs>
        <w:spacing w:line="259" w:lineRule="auto" w:before="0" w:after="0"/>
        <w:ind w:left="1659" w:right="1560" w:hanging="521"/>
        <w:jc w:val="left"/>
        <w:rPr>
          <w:rFonts w:ascii="Calibri"/>
          <w:sz w:val="22"/>
        </w:rPr>
      </w:pPr>
      <w:r>
        <w:rPr>
          <w:rFonts w:ascii="Calibri"/>
          <w:sz w:val="22"/>
        </w:rPr>
        <w:t>Provide any feedback received from participants engaged during the development of the Proposed</w:t>
      </w:r>
      <w:r>
        <w:rPr>
          <w:rFonts w:ascii="Calibri"/>
          <w:spacing w:val="-4"/>
          <w:sz w:val="22"/>
        </w:rPr>
        <w:t> </w:t>
      </w:r>
      <w:r>
        <w:rPr>
          <w:rFonts w:ascii="Calibri"/>
          <w:sz w:val="22"/>
        </w:rPr>
        <w:t>Project.</w:t>
      </w:r>
    </w:p>
    <w:p>
      <w:pPr>
        <w:pStyle w:val="BodyText"/>
        <w:spacing w:before="8"/>
        <w:rPr>
          <w:sz w:val="23"/>
        </w:rPr>
      </w:pPr>
    </w:p>
    <w:p>
      <w:pPr>
        <w:pStyle w:val="BodyText"/>
        <w:spacing w:line="259" w:lineRule="auto"/>
        <w:ind w:left="1659" w:right="1012"/>
      </w:pPr>
      <w:r>
        <w:rPr/>
        <w:t>All feedback to date has been enthusiastic and positive. Surgeons are voicing approval and hoping they will be able to move more cases to the center. Patients who were made aware of the project, by the information posted in the lobby, gave their “thumbs up” and were happy to see us growing and would recommend our facility to anyone needing surgery.</w:t>
      </w:r>
    </w:p>
    <w:p>
      <w:pPr>
        <w:pStyle w:val="BodyText"/>
        <w:spacing w:before="8"/>
        <w:rPr>
          <w:sz w:val="23"/>
        </w:rPr>
      </w:pPr>
    </w:p>
    <w:p>
      <w:pPr>
        <w:pStyle w:val="BodyText"/>
        <w:spacing w:before="1"/>
        <w:ind w:left="939"/>
      </w:pPr>
      <w:r>
        <w:rPr/>
        <w:t>In order to understand how the Proposed Project will improve health outcomes and quality of life:</w:t>
      </w:r>
    </w:p>
    <w:p>
      <w:pPr>
        <w:pStyle w:val="ListParagraph"/>
        <w:numPr>
          <w:ilvl w:val="0"/>
          <w:numId w:val="1"/>
        </w:numPr>
        <w:tabs>
          <w:tab w:pos="1300" w:val="left" w:leader="none"/>
        </w:tabs>
        <w:spacing w:line="256" w:lineRule="auto" w:before="21" w:after="0"/>
        <w:ind w:left="1299" w:right="1202" w:hanging="360"/>
        <w:jc w:val="left"/>
        <w:rPr>
          <w:rFonts w:ascii="Calibri"/>
          <w:sz w:val="22"/>
        </w:rPr>
      </w:pPr>
      <w:r>
        <w:rPr>
          <w:rFonts w:ascii="Calibri"/>
          <w:sz w:val="22"/>
        </w:rPr>
        <w:t>Describe the current wait times for surgeries for NESC patients and how they will be impacted by the proposed</w:t>
      </w:r>
      <w:r>
        <w:rPr>
          <w:rFonts w:ascii="Calibri"/>
          <w:spacing w:val="-3"/>
          <w:sz w:val="22"/>
        </w:rPr>
        <w:t> </w:t>
      </w:r>
      <w:r>
        <w:rPr>
          <w:rFonts w:ascii="Calibri"/>
          <w:sz w:val="22"/>
        </w:rPr>
        <w:t>Project.</w:t>
      </w:r>
    </w:p>
    <w:p>
      <w:pPr>
        <w:pStyle w:val="BodyText"/>
        <w:spacing w:before="1"/>
        <w:rPr>
          <w:sz w:val="24"/>
        </w:rPr>
      </w:pPr>
    </w:p>
    <w:p>
      <w:pPr>
        <w:pStyle w:val="BodyText"/>
        <w:spacing w:line="259" w:lineRule="auto"/>
        <w:ind w:left="1299" w:right="913"/>
      </w:pPr>
      <w:r>
        <w:rPr/>
        <w:t>Wait times vary by specialty. Due to a reduction in block time for otolaryngology, patient wait times are 5-10 days. The proposed project would bring the number of hours allotted to this group back to the original nine. Due to pain management cases all being performed in one day, shared by four surgeons, patients wait time is also 5-10 days. Orthopedics has three half days to allow four surgeons to book their cases, many of which require two hours plus for complicated ORIF of wrists or ankles. They can only get two cases completed in one half day. The project would allow additional OR time for these four</w:t>
      </w:r>
      <w:r>
        <w:rPr>
          <w:spacing w:val="-5"/>
        </w:rPr>
        <w:t> </w:t>
      </w:r>
      <w:r>
        <w:rPr/>
        <w:t>surgeons.</w:t>
      </w:r>
    </w:p>
    <w:p>
      <w:pPr>
        <w:pStyle w:val="BodyText"/>
        <w:spacing w:before="7"/>
        <w:rPr>
          <w:sz w:val="23"/>
        </w:rPr>
      </w:pPr>
    </w:p>
    <w:p>
      <w:pPr>
        <w:pStyle w:val="ListParagraph"/>
        <w:numPr>
          <w:ilvl w:val="0"/>
          <w:numId w:val="1"/>
        </w:numPr>
        <w:tabs>
          <w:tab w:pos="1300" w:val="left" w:leader="none"/>
        </w:tabs>
        <w:spacing w:line="259" w:lineRule="auto" w:before="0" w:after="0"/>
        <w:ind w:left="1299" w:right="883" w:hanging="360"/>
        <w:jc w:val="left"/>
        <w:rPr>
          <w:rFonts w:ascii="Calibri" w:hAnsi="Calibri"/>
          <w:sz w:val="22"/>
        </w:rPr>
      </w:pPr>
      <w:r>
        <w:rPr>
          <w:rFonts w:ascii="Calibri" w:hAnsi="Calibri"/>
          <w:sz w:val="22"/>
        </w:rPr>
        <w:t>The application describes a correlation between surgeon volume and quality of care (pg.14). Explain the implications for the Proposed Project and the Patient Panel’s quality of care and health outcomes?</w:t>
      </w:r>
    </w:p>
    <w:p>
      <w:pPr>
        <w:pStyle w:val="BodyText"/>
        <w:spacing w:before="8"/>
        <w:rPr>
          <w:sz w:val="23"/>
        </w:rPr>
      </w:pPr>
    </w:p>
    <w:p>
      <w:pPr>
        <w:pStyle w:val="BodyText"/>
        <w:spacing w:line="259" w:lineRule="auto"/>
        <w:ind w:left="1659" w:right="878"/>
      </w:pPr>
      <w:r>
        <w:rPr/>
        <w:t>As noted in the narrative, higher volume is correlated with higher quality of care and health outcomes. Surgeons can perform their procedures in a more convenient setting without delay due to trauma or urgent surgeries. ASCs can expedite the scheduling process and allow patients</w:t>
      </w:r>
    </w:p>
    <w:p>
      <w:pPr>
        <w:spacing w:after="0" w:line="259" w:lineRule="auto"/>
        <w:sectPr>
          <w:pgSz w:w="12240" w:h="15840"/>
          <w:pgMar w:top="1500" w:bottom="280" w:left="500" w:right="580"/>
        </w:sectPr>
      </w:pPr>
    </w:p>
    <w:p>
      <w:pPr>
        <w:pStyle w:val="BodyText"/>
        <w:spacing w:line="259" w:lineRule="auto" w:before="37"/>
        <w:ind w:left="1660" w:right="982"/>
      </w:pPr>
      <w:r>
        <w:rPr/>
        <w:t>to receive treatment in a timelier manner. Longer wait times result in decreased patient satisfaction,</w:t>
      </w:r>
      <w:hyperlink w:history="true" w:anchor="_bookmark18">
        <w:r>
          <w:rPr>
            <w:vertAlign w:val="superscript"/>
          </w:rPr>
          <w:t>19</w:t>
        </w:r>
      </w:hyperlink>
      <w:r>
        <w:rPr>
          <w:vertAlign w:val="baseline"/>
        </w:rPr>
        <w:t>and are associated with higher rates of medical complications. The patients look forward to a quicker return to work, life or sports.</w:t>
      </w:r>
    </w:p>
    <w:p>
      <w:pPr>
        <w:pStyle w:val="BodyText"/>
        <w:spacing w:before="8"/>
        <w:rPr>
          <w:sz w:val="23"/>
        </w:rPr>
      </w:pPr>
    </w:p>
    <w:p>
      <w:pPr>
        <w:pStyle w:val="ListParagraph"/>
        <w:numPr>
          <w:ilvl w:val="0"/>
          <w:numId w:val="1"/>
        </w:numPr>
        <w:tabs>
          <w:tab w:pos="1300" w:val="left" w:leader="none"/>
        </w:tabs>
        <w:spacing w:line="259" w:lineRule="auto" w:before="0" w:after="0"/>
        <w:ind w:left="1299" w:right="1025" w:hanging="360"/>
        <w:jc w:val="left"/>
        <w:rPr>
          <w:rFonts w:ascii="Calibri"/>
          <w:sz w:val="22"/>
        </w:rPr>
      </w:pPr>
      <w:r>
        <w:rPr>
          <w:rFonts w:ascii="Calibri"/>
          <w:sz w:val="22"/>
        </w:rPr>
        <w:t>The quality of care measures you site focus on adverse events (pg. 14). In order to demonstrate how the Proposed Project will add measurable public health value, provide quality and outcome measures that are most appropriate to the patients impacted by the services provided through the Proposed</w:t>
      </w:r>
      <w:r>
        <w:rPr>
          <w:rFonts w:ascii="Calibri"/>
          <w:spacing w:val="-3"/>
          <w:sz w:val="22"/>
        </w:rPr>
        <w:t> </w:t>
      </w:r>
      <w:r>
        <w:rPr>
          <w:rFonts w:ascii="Calibri"/>
          <w:sz w:val="22"/>
        </w:rPr>
        <w:t>Project.</w:t>
      </w:r>
    </w:p>
    <w:p>
      <w:pPr>
        <w:pStyle w:val="BodyText"/>
        <w:spacing w:before="8"/>
        <w:rPr>
          <w:sz w:val="23"/>
        </w:rPr>
      </w:pPr>
    </w:p>
    <w:p>
      <w:pPr>
        <w:pStyle w:val="BodyText"/>
        <w:spacing w:line="259" w:lineRule="auto"/>
        <w:ind w:left="1299" w:right="982"/>
      </w:pPr>
      <w:r>
        <w:rPr/>
        <w:t>The applicant provides a streamlined patient satisfaction survey both online and by paper to each patient seen at the facility. This survey measures quality indicators related to patient satisfaction and quality of care. There are 6 key elements of these surveys: (1) before patient procedure, (2) about the facility and staff (3) communications about patients’ procedure (4) patient recovery (5) overall rating of facility and (6) recommendation of facility. .</w:t>
      </w:r>
    </w:p>
    <w:p>
      <w:pPr>
        <w:pStyle w:val="BodyText"/>
        <w:spacing w:before="6"/>
        <w:rPr>
          <w:sz w:val="23"/>
        </w:rPr>
      </w:pPr>
    </w:p>
    <w:p>
      <w:pPr>
        <w:pStyle w:val="BodyText"/>
        <w:spacing w:line="259" w:lineRule="auto"/>
        <w:ind w:left="1299" w:right="878"/>
      </w:pPr>
      <w:r>
        <w:rPr/>
        <w:t>On the survey, patients are asked if they were able to discuss financial arrangements prior to their surgery. Due to replies to this question, the applicant added a staff member to the billing office who is responsible for checking all patient benefits and contacts the patient with information on deductibles, copays and coinsurances. No patient receives a surprise bill.</w:t>
      </w:r>
    </w:p>
    <w:p>
      <w:pPr>
        <w:pStyle w:val="BodyText"/>
        <w:spacing w:before="9"/>
        <w:rPr>
          <w:sz w:val="23"/>
        </w:rPr>
      </w:pPr>
    </w:p>
    <w:p>
      <w:pPr>
        <w:pStyle w:val="BodyText"/>
        <w:spacing w:line="259" w:lineRule="auto"/>
        <w:ind w:left="1299" w:right="982"/>
      </w:pPr>
      <w:r>
        <w:rPr/>
        <w:t>Patients are asked if all their contact with the center pre- and post-surgery was provided in a clear and concise manner and if all of their questions and concerns were addressed. With the changes required due to the pandemic, patient’s family or caregiver cannot wait in the facility. Prior to anesthesia, all patients are provided with post-surgery training in the pre-op area and when discharged, walked to their transportation and post-surgery information. Patients and family have been comfortable and understanding about this change.</w:t>
      </w:r>
    </w:p>
    <w:p>
      <w:pPr>
        <w:pStyle w:val="BodyText"/>
        <w:spacing w:before="6"/>
        <w:rPr>
          <w:sz w:val="23"/>
        </w:rPr>
      </w:pPr>
    </w:p>
    <w:p>
      <w:pPr>
        <w:pStyle w:val="BodyText"/>
        <w:spacing w:line="259" w:lineRule="auto" w:before="1"/>
        <w:ind w:left="1299" w:right="878"/>
      </w:pPr>
      <w:r>
        <w:rPr/>
        <w:t>In addition to the satisfaction survey, patients receive a call from one of the post-surgery nurses 24 hours after their surgery. They are questioned about adequate discharge instructions, pain, nausea and vomiting, signs or symptoms of infection or falls. Results of these calls are addressed during the call and reviewed by the Quality Improvement Committee.</w:t>
      </w:r>
    </w:p>
    <w:p>
      <w:pPr>
        <w:pStyle w:val="BodyText"/>
        <w:spacing w:before="8"/>
        <w:rPr>
          <w:sz w:val="23"/>
        </w:rPr>
      </w:pPr>
    </w:p>
    <w:p>
      <w:pPr>
        <w:pStyle w:val="BodyText"/>
        <w:spacing w:line="259" w:lineRule="auto"/>
        <w:ind w:left="1299" w:right="1030"/>
      </w:pPr>
      <w:r>
        <w:rPr/>
        <w:t>As previously mentioned, the applicant will continue to provide patients with improved quality of care, improved health outcomes in a more cost-effective way. Patients out-of-pocket expenses are greatly reduced by having their surgery at the ASC.</w:t>
      </w:r>
    </w:p>
    <w:p>
      <w:pPr>
        <w:pStyle w:val="BodyText"/>
        <w:spacing w:before="8"/>
        <w:rPr>
          <w:sz w:val="23"/>
        </w:rPr>
      </w:pPr>
    </w:p>
    <w:p>
      <w:pPr>
        <w:pStyle w:val="BodyText"/>
        <w:ind w:left="939"/>
      </w:pPr>
      <w:r>
        <w:rPr/>
        <w:t>With respect to health equity, we understand that NESC provides language access.</w:t>
      </w:r>
    </w:p>
    <w:p>
      <w:pPr>
        <w:pStyle w:val="ListParagraph"/>
        <w:numPr>
          <w:ilvl w:val="0"/>
          <w:numId w:val="1"/>
        </w:numPr>
        <w:tabs>
          <w:tab w:pos="1300" w:val="left" w:leader="none"/>
        </w:tabs>
        <w:spacing w:line="261" w:lineRule="auto" w:before="22" w:after="0"/>
        <w:ind w:left="1299" w:right="2628" w:hanging="360"/>
        <w:jc w:val="left"/>
        <w:rPr>
          <w:rFonts w:ascii="Calibri"/>
          <w:sz w:val="22"/>
        </w:rPr>
      </w:pPr>
      <w:r>
        <w:rPr>
          <w:rFonts w:ascii="Calibri"/>
          <w:sz w:val="22"/>
        </w:rPr>
        <w:t>Describe what else NESC is doing around CLAS. Refer to the guide on CLASS</w:t>
      </w:r>
      <w:hyperlink r:id="rId10">
        <w:r>
          <w:rPr>
            <w:rFonts w:ascii="Calibri"/>
            <w:color w:val="0563C1"/>
            <w:sz w:val="22"/>
            <w:u w:val="single" w:color="0563C1"/>
          </w:rPr>
          <w:t> https://www.mass.gov/lists/making-clas-happen-six-areas-for-action</w:t>
        </w:r>
        <w:r>
          <w:rPr>
            <w:rFonts w:ascii="Calibri"/>
            <w:color w:val="0563C1"/>
            <w:sz w:val="22"/>
          </w:rPr>
          <w:t> </w:t>
        </w:r>
      </w:hyperlink>
      <w:r>
        <w:rPr>
          <w:rFonts w:ascii="Calibri"/>
          <w:sz w:val="22"/>
        </w:rPr>
        <w:t>- if</w:t>
      </w:r>
      <w:r>
        <w:rPr>
          <w:rFonts w:ascii="Calibri"/>
          <w:spacing w:val="-24"/>
          <w:sz w:val="22"/>
        </w:rPr>
        <w:t> </w:t>
      </w:r>
      <w:r>
        <w:rPr>
          <w:rFonts w:ascii="Calibri"/>
          <w:sz w:val="22"/>
        </w:rPr>
        <w:t>needed.</w:t>
      </w:r>
    </w:p>
    <w:p>
      <w:pPr>
        <w:pStyle w:val="BodyText"/>
        <w:spacing w:before="9"/>
        <w:rPr>
          <w:sz w:val="18"/>
        </w:rPr>
      </w:pPr>
    </w:p>
    <w:p>
      <w:pPr>
        <w:pStyle w:val="BodyText"/>
        <w:spacing w:before="56"/>
        <w:ind w:left="1299" w:right="961"/>
      </w:pPr>
      <w:r>
        <w:rPr/>
        <w:t>NESC has embraced and appreciates the wealth of diversity reflected in its patients, employees and the community it serves. This allows us to be a more compassionate organization. In order to provide quality care and positive outcomes for all patients, the facility does not discriminate based</w:t>
      </w:r>
    </w:p>
    <w:p>
      <w:pPr>
        <w:pStyle w:val="BodyText"/>
        <w:spacing w:before="6"/>
        <w:rPr>
          <w:sz w:val="13"/>
        </w:rPr>
      </w:pPr>
      <w:r>
        <w:rPr/>
        <w:pict>
          <v:rect style="position:absolute;margin-left:72pt;margin-top:10.187031pt;width:144pt;height:.72pt;mso-position-horizontal-relative:page;mso-position-vertical-relative:paragraph;z-index:-15726080;mso-wrap-distance-left:0;mso-wrap-distance-right:0" filled="true" fillcolor="#000000" stroked="false">
            <v:fill type="solid"/>
            <w10:wrap type="topAndBottom"/>
          </v:rect>
        </w:pict>
      </w:r>
    </w:p>
    <w:p>
      <w:pPr>
        <w:spacing w:before="73"/>
        <w:ind w:left="940" w:right="0" w:firstLine="0"/>
        <w:jc w:val="left"/>
        <w:rPr>
          <w:sz w:val="20"/>
        </w:rPr>
      </w:pPr>
      <w:bookmarkStart w:name="_bookmark18" w:id="26"/>
      <w:bookmarkEnd w:id="26"/>
      <w:r>
        <w:rPr/>
      </w:r>
      <w:r>
        <w:rPr>
          <w:sz w:val="20"/>
          <w:vertAlign w:val="superscript"/>
        </w:rPr>
        <w:t>19</w:t>
      </w:r>
      <w:r>
        <w:rPr>
          <w:sz w:val="20"/>
          <w:vertAlign w:val="baseline"/>
        </w:rPr>
        <w:t> hhtps://</w:t>
      </w:r>
      <w:hyperlink r:id="rId11">
        <w:r>
          <w:rPr>
            <w:sz w:val="20"/>
            <w:vertAlign w:val="baseline"/>
          </w:rPr>
          <w:t>www.ncbi.nlm.nih.gov/pmc/araticles/PMC5513615</w:t>
        </w:r>
      </w:hyperlink>
    </w:p>
    <w:p>
      <w:pPr>
        <w:spacing w:after="0"/>
        <w:jc w:val="left"/>
        <w:rPr>
          <w:sz w:val="20"/>
        </w:rPr>
        <w:sectPr>
          <w:pgSz w:w="12240" w:h="15840"/>
          <w:pgMar w:top="1400" w:bottom="280" w:left="500" w:right="580"/>
        </w:sectPr>
      </w:pPr>
    </w:p>
    <w:p>
      <w:pPr>
        <w:pStyle w:val="BodyText"/>
        <w:spacing w:before="37"/>
        <w:ind w:left="1300" w:right="1048"/>
      </w:pPr>
      <w:r>
        <w:rPr/>
        <w:t>on race, education, health literacy, age, sexual orientation, ethnicity, religion, physical or mental disability, language, gender, gender expression, identity, income, or class (National Partnership for Action to End Health Disparities, 2011). All individuals have the right to be free of discrimination while accessing care or services. For the past 10+ years, the applicant has created a culture that does not tolerate bias by providing annual diversity training for all staff, surgeons and new hires, through HealthStream. This training is reviewed yearly and adjustments made in order to keep training topics relevant. Training on sexual harassment is provided through Paychex and surgeons are provided this information via written material. The Governing Board reviews all of the training yearly.</w:t>
      </w:r>
    </w:p>
    <w:p>
      <w:pPr>
        <w:pStyle w:val="BodyText"/>
        <w:spacing w:before="11"/>
        <w:rPr>
          <w:sz w:val="21"/>
        </w:rPr>
      </w:pPr>
    </w:p>
    <w:p>
      <w:pPr>
        <w:pStyle w:val="ListParagraph"/>
        <w:numPr>
          <w:ilvl w:val="0"/>
          <w:numId w:val="1"/>
        </w:numPr>
        <w:tabs>
          <w:tab w:pos="1301" w:val="left" w:leader="none"/>
        </w:tabs>
        <w:spacing w:line="259" w:lineRule="auto" w:before="0" w:after="0"/>
        <w:ind w:left="1300" w:right="1377" w:hanging="360"/>
        <w:jc w:val="left"/>
        <w:rPr>
          <w:rFonts w:ascii="Calibri"/>
          <w:sz w:val="22"/>
        </w:rPr>
      </w:pPr>
      <w:r>
        <w:rPr>
          <w:rFonts w:ascii="Calibri"/>
          <w:sz w:val="22"/>
        </w:rPr>
        <w:t>Provide the number of physicians performing procedures at the surgery center and the current percentage participating as Mass Health</w:t>
      </w:r>
      <w:r>
        <w:rPr>
          <w:rFonts w:ascii="Calibri"/>
          <w:spacing w:val="-11"/>
          <w:sz w:val="22"/>
        </w:rPr>
        <w:t> </w:t>
      </w:r>
      <w:r>
        <w:rPr>
          <w:rFonts w:ascii="Calibri"/>
          <w:sz w:val="22"/>
        </w:rPr>
        <w:t>Providers</w:t>
      </w:r>
    </w:p>
    <w:p>
      <w:pPr>
        <w:pStyle w:val="BodyText"/>
        <w:spacing w:before="8"/>
        <w:rPr>
          <w:sz w:val="23"/>
        </w:rPr>
      </w:pPr>
    </w:p>
    <w:p>
      <w:pPr>
        <w:pStyle w:val="BodyText"/>
        <w:spacing w:line="259" w:lineRule="auto"/>
        <w:ind w:left="1300" w:right="1787"/>
      </w:pPr>
      <w:r>
        <w:rPr/>
        <w:t>There are currently 24 surgeons performing procedures at the surgery center and 90% are participating Mass Health Providers, but not to all products.</w:t>
      </w:r>
    </w:p>
    <w:p>
      <w:pPr>
        <w:pStyle w:val="BodyText"/>
        <w:spacing w:before="10"/>
        <w:rPr>
          <w:sz w:val="23"/>
        </w:rPr>
      </w:pPr>
    </w:p>
    <w:p>
      <w:pPr>
        <w:pStyle w:val="ListParagraph"/>
        <w:numPr>
          <w:ilvl w:val="1"/>
          <w:numId w:val="1"/>
        </w:numPr>
        <w:tabs>
          <w:tab w:pos="1660" w:val="left" w:leader="none"/>
          <w:tab w:pos="1661" w:val="left" w:leader="none"/>
        </w:tabs>
        <w:spacing w:line="240" w:lineRule="auto" w:before="0" w:after="0"/>
        <w:ind w:left="1660" w:right="0" w:hanging="522"/>
        <w:jc w:val="left"/>
        <w:rPr>
          <w:rFonts w:ascii="Calibri"/>
          <w:sz w:val="22"/>
        </w:rPr>
      </w:pPr>
      <w:r>
        <w:rPr>
          <w:rFonts w:ascii="Calibri"/>
          <w:sz w:val="22"/>
        </w:rPr>
        <w:t>Describe any efforts underway to increase the percentage of MassHealth in the payer</w:t>
      </w:r>
      <w:r>
        <w:rPr>
          <w:rFonts w:ascii="Calibri"/>
          <w:spacing w:val="-20"/>
          <w:sz w:val="22"/>
        </w:rPr>
        <w:t> </w:t>
      </w:r>
      <w:r>
        <w:rPr>
          <w:rFonts w:ascii="Calibri"/>
          <w:sz w:val="22"/>
        </w:rPr>
        <w:t>mix?</w:t>
      </w:r>
    </w:p>
    <w:p>
      <w:pPr>
        <w:pStyle w:val="BodyText"/>
        <w:spacing w:before="6"/>
        <w:rPr>
          <w:sz w:val="25"/>
        </w:rPr>
      </w:pPr>
    </w:p>
    <w:p>
      <w:pPr>
        <w:pStyle w:val="BodyText"/>
        <w:spacing w:line="259" w:lineRule="auto"/>
        <w:ind w:left="1659" w:right="903"/>
      </w:pPr>
      <w:r>
        <w:rPr/>
        <w:t>MassHealth is the 3</w:t>
      </w:r>
      <w:r>
        <w:rPr>
          <w:vertAlign w:val="superscript"/>
        </w:rPr>
        <w:t>rd</w:t>
      </w:r>
      <w:r>
        <w:rPr>
          <w:vertAlign w:val="baseline"/>
        </w:rPr>
        <w:t> highest volume of payers for the applicant’s facility (Table 1) NESC contracts with all MassHealth products. The administrator works closely with Davina Maddox, provider representative at MassHealth, and was instrumental in providing case information that lead to an increase in the rate of payment ASC’s received, the first since 2010. With this increase, we have been in contact with all surgeons’ offices providing them with information on our ability to now perform most cases. The administrator has previously provided written testimony to the Massachusetts Health Policy Commission (HPC) regarding healthcare cost trends and how to assist the state in meeting its benchmark. Surgery centers are the cost- effective way to do this.</w:t>
      </w:r>
    </w:p>
    <w:p>
      <w:pPr>
        <w:pStyle w:val="BodyText"/>
        <w:spacing w:before="7"/>
        <w:rPr>
          <w:sz w:val="23"/>
        </w:rPr>
      </w:pPr>
    </w:p>
    <w:p>
      <w:pPr>
        <w:pStyle w:val="BodyText"/>
        <w:spacing w:line="256" w:lineRule="auto"/>
        <w:ind w:left="939" w:right="1409"/>
      </w:pPr>
      <w:r>
        <w:rPr/>
        <w:t>We understand that many of the activities related to continuity and care coordination occur at the surgeon’s office and/or PCP.</w:t>
      </w:r>
    </w:p>
    <w:p>
      <w:pPr>
        <w:pStyle w:val="ListParagraph"/>
        <w:numPr>
          <w:ilvl w:val="0"/>
          <w:numId w:val="1"/>
        </w:numPr>
        <w:tabs>
          <w:tab w:pos="1300" w:val="left" w:leader="none"/>
        </w:tabs>
        <w:spacing w:line="259" w:lineRule="auto" w:before="4" w:after="0"/>
        <w:ind w:left="1299" w:right="1077" w:hanging="360"/>
        <w:jc w:val="left"/>
        <w:rPr>
          <w:rFonts w:ascii="Calibri" w:hAnsi="Calibri"/>
          <w:sz w:val="22"/>
        </w:rPr>
      </w:pPr>
      <w:r>
        <w:rPr>
          <w:rFonts w:ascii="Calibri" w:hAnsi="Calibri"/>
          <w:sz w:val="22"/>
        </w:rPr>
        <w:t>Explain how patient records are shared between NESC, the surgeons’ offices and patient’s primary care physician.</w:t>
      </w:r>
    </w:p>
    <w:p>
      <w:pPr>
        <w:pStyle w:val="BodyText"/>
        <w:spacing w:before="8"/>
        <w:rPr>
          <w:sz w:val="23"/>
        </w:rPr>
      </w:pPr>
    </w:p>
    <w:p>
      <w:pPr>
        <w:pStyle w:val="BodyText"/>
        <w:spacing w:line="259" w:lineRule="auto"/>
        <w:ind w:left="1298" w:right="878"/>
      </w:pPr>
      <w:r>
        <w:rPr/>
        <w:t>It is typically the surgeon’s office, rather than NESC staff, that shares information with the patient’s primary care physician. However, if there are responses during review of the pre-op questionnaire, that staff determine require follow-up, the primary care physician or specialist is contacted by phone or fax.  Staff also have viewing access to Lahey Epic to review test results.  The center provides copies of the operative notes to the primary care physician and surgeon. A nurse contacts the patient the day after surgery and patients are asked about pain, mobility, medication, nausea and vomiting, signs of infection or if any falls have occurred. Any questions or concerns are addressed and if necessary, the patient is instructed to contact their surgeon or other specialist. The nurse making the post-op call will contact the surgeon’s office as</w:t>
      </w:r>
      <w:r>
        <w:rPr>
          <w:spacing w:val="-6"/>
        </w:rPr>
        <w:t> </w:t>
      </w:r>
      <w:r>
        <w:rPr/>
        <w:t>necessary.</w:t>
      </w:r>
    </w:p>
    <w:p>
      <w:pPr>
        <w:spacing w:after="0" w:line="259" w:lineRule="auto"/>
        <w:sectPr>
          <w:pgSz w:w="12240" w:h="15840"/>
          <w:pgMar w:top="1400" w:bottom="280" w:left="500" w:right="580"/>
        </w:sectPr>
      </w:pPr>
    </w:p>
    <w:p>
      <w:pPr>
        <w:pStyle w:val="BodyText"/>
        <w:rPr>
          <w:sz w:val="14"/>
        </w:rPr>
      </w:pPr>
    </w:p>
    <w:p>
      <w:pPr>
        <w:pStyle w:val="ListParagraph"/>
        <w:numPr>
          <w:ilvl w:val="1"/>
          <w:numId w:val="1"/>
        </w:numPr>
        <w:tabs>
          <w:tab w:pos="1659" w:val="left" w:leader="none"/>
          <w:tab w:pos="1660" w:val="left" w:leader="none"/>
        </w:tabs>
        <w:spacing w:line="240" w:lineRule="auto" w:before="56" w:after="0"/>
        <w:ind w:left="1659" w:right="0" w:hanging="521"/>
        <w:jc w:val="left"/>
        <w:rPr>
          <w:rFonts w:ascii="Calibri"/>
          <w:sz w:val="22"/>
        </w:rPr>
      </w:pPr>
      <w:r>
        <w:rPr>
          <w:rFonts w:ascii="Calibri"/>
          <w:sz w:val="22"/>
        </w:rPr>
        <w:t>Are there electronic interfaces to ensure interoperability?</w:t>
      </w:r>
    </w:p>
    <w:p>
      <w:pPr>
        <w:pStyle w:val="BodyText"/>
        <w:spacing w:before="4"/>
        <w:rPr>
          <w:sz w:val="25"/>
        </w:rPr>
      </w:pPr>
    </w:p>
    <w:p>
      <w:pPr>
        <w:pStyle w:val="BodyText"/>
        <w:spacing w:line="259" w:lineRule="auto" w:before="1"/>
        <w:ind w:left="1659" w:right="872"/>
      </w:pPr>
      <w:r>
        <w:rPr/>
        <w:t>The HITECH Act providing incentives for physicians and hospitals that implement an EHR, does not include ASCs, thus the center would have to bear the full cost of purchasing and installing an EHR. NESC does not have an EHR and the only form of interface is the ability to access Epic for patient test results, which has been provided by the local hospital.</w:t>
      </w:r>
    </w:p>
    <w:p>
      <w:pPr>
        <w:pStyle w:val="BodyText"/>
        <w:spacing w:before="8"/>
        <w:rPr>
          <w:sz w:val="23"/>
        </w:rPr>
      </w:pPr>
    </w:p>
    <w:p>
      <w:pPr>
        <w:pStyle w:val="ListParagraph"/>
        <w:numPr>
          <w:ilvl w:val="0"/>
          <w:numId w:val="1"/>
        </w:numPr>
        <w:tabs>
          <w:tab w:pos="1300" w:val="left" w:leader="none"/>
        </w:tabs>
        <w:spacing w:line="259" w:lineRule="auto" w:before="0" w:after="0"/>
        <w:ind w:left="1299" w:right="1449" w:hanging="360"/>
        <w:jc w:val="left"/>
        <w:rPr>
          <w:rFonts w:ascii="Calibri"/>
          <w:sz w:val="22"/>
        </w:rPr>
      </w:pPr>
      <w:r>
        <w:rPr>
          <w:rFonts w:ascii="Calibri"/>
          <w:sz w:val="22"/>
        </w:rPr>
        <w:t>How are services coordinated for patients requiring assistance with registration/pre-operative questionnaire?</w:t>
      </w:r>
    </w:p>
    <w:p>
      <w:pPr>
        <w:pStyle w:val="BodyText"/>
        <w:spacing w:before="8"/>
        <w:rPr>
          <w:sz w:val="23"/>
        </w:rPr>
      </w:pPr>
    </w:p>
    <w:p>
      <w:pPr>
        <w:pStyle w:val="BodyText"/>
        <w:spacing w:line="259" w:lineRule="auto"/>
        <w:ind w:left="1298" w:right="982"/>
      </w:pPr>
      <w:r>
        <w:rPr/>
        <w:t>Assistance for patients starts when their procedure is booked by a surgeon’s office. Booking sheets list special needs or equipment that will be needed for an upcoming date. If the patient is vision or hearing impaired or a patient has limited English, the preop nurse will contact CyraCom. CyraCom provides us with phone and video interpretation for all communication needs. Occasionally, we do need to contact the Massachusetts Commission for the Deaf and if they have an interpreter available, we use them. If questions regarding the patient’s health occur during review of the questionnaire, the primary care physician or another specialist is contacted.</w:t>
      </w:r>
    </w:p>
    <w:p>
      <w:pPr>
        <w:pStyle w:val="BodyText"/>
        <w:spacing w:before="7"/>
        <w:rPr>
          <w:sz w:val="23"/>
        </w:rPr>
      </w:pPr>
    </w:p>
    <w:p>
      <w:pPr>
        <w:pStyle w:val="ListParagraph"/>
        <w:numPr>
          <w:ilvl w:val="1"/>
          <w:numId w:val="1"/>
        </w:numPr>
        <w:tabs>
          <w:tab w:pos="1658" w:val="left" w:leader="none"/>
          <w:tab w:pos="1659" w:val="left" w:leader="none"/>
        </w:tabs>
        <w:spacing w:line="240" w:lineRule="auto" w:before="0" w:after="0"/>
        <w:ind w:left="1658" w:right="0" w:hanging="522"/>
        <w:jc w:val="left"/>
        <w:rPr>
          <w:rFonts w:ascii="Calibri"/>
          <w:sz w:val="22"/>
        </w:rPr>
      </w:pPr>
      <w:r>
        <w:rPr>
          <w:rFonts w:ascii="Calibri"/>
          <w:sz w:val="22"/>
        </w:rPr>
        <w:t>Describe the social needs that are identified by the questionnaire and how are they</w:t>
      </w:r>
      <w:r>
        <w:rPr>
          <w:rFonts w:ascii="Calibri"/>
          <w:spacing w:val="-12"/>
          <w:sz w:val="22"/>
        </w:rPr>
        <w:t> </w:t>
      </w:r>
      <w:r>
        <w:rPr>
          <w:rFonts w:ascii="Calibri"/>
          <w:sz w:val="22"/>
        </w:rPr>
        <w:t>addressed.</w:t>
      </w:r>
    </w:p>
    <w:p>
      <w:pPr>
        <w:pStyle w:val="BodyText"/>
        <w:spacing w:before="7"/>
        <w:rPr>
          <w:sz w:val="25"/>
        </w:rPr>
      </w:pPr>
    </w:p>
    <w:p>
      <w:pPr>
        <w:pStyle w:val="BodyText"/>
        <w:spacing w:line="259" w:lineRule="auto"/>
        <w:ind w:left="1657" w:right="899"/>
      </w:pPr>
      <w:r>
        <w:rPr/>
        <w:t>As a free-standing ambulatory surgery center, physician owned and not affiliated with any ACO, we provide day surgery to high-acuity patients. As such, we are not directly aligned with social services and community-based experts.  However, during their pre-op call a patient will be asked if they require assistance to ambulate, and if needed, wheelchairs are available. Ensuring the patient is safe at home is a priority of NESC so the patient is asked to identify the person who will be providing transportation to and from the appointment and who will be with them at home for the first 24 hours. They are asked if they feel safe at home, and if abuse is indicated, we provide contact information for the MA Statewide Domestic Violence</w:t>
      </w:r>
      <w:r>
        <w:rPr>
          <w:spacing w:val="-14"/>
        </w:rPr>
        <w:t> </w:t>
      </w:r>
      <w:r>
        <w:rPr/>
        <w:t>Hotline.</w:t>
      </w:r>
    </w:p>
    <w:p>
      <w:pPr>
        <w:pStyle w:val="BodyText"/>
        <w:spacing w:before="7"/>
        <w:rPr>
          <w:sz w:val="23"/>
        </w:rPr>
      </w:pPr>
    </w:p>
    <w:p>
      <w:pPr>
        <w:pStyle w:val="ListParagraph"/>
        <w:numPr>
          <w:ilvl w:val="1"/>
          <w:numId w:val="1"/>
        </w:numPr>
        <w:tabs>
          <w:tab w:pos="1657" w:val="left" w:leader="none"/>
          <w:tab w:pos="1658" w:val="left" w:leader="none"/>
        </w:tabs>
        <w:spacing w:line="240" w:lineRule="auto" w:before="0" w:after="0"/>
        <w:ind w:left="1657" w:right="0" w:hanging="532"/>
        <w:jc w:val="left"/>
        <w:rPr>
          <w:rFonts w:ascii="Calibri" w:hAnsi="Calibri"/>
          <w:sz w:val="22"/>
        </w:rPr>
      </w:pPr>
      <w:r>
        <w:rPr>
          <w:rFonts w:ascii="Calibri" w:hAnsi="Calibri"/>
          <w:sz w:val="22"/>
        </w:rPr>
        <w:t>Describe how the Applicant communicates with referring physicians’</w:t>
      </w:r>
      <w:r>
        <w:rPr>
          <w:rFonts w:ascii="Calibri" w:hAnsi="Calibri"/>
          <w:spacing w:val="-6"/>
          <w:sz w:val="22"/>
        </w:rPr>
        <w:t> </w:t>
      </w:r>
      <w:r>
        <w:rPr>
          <w:rFonts w:ascii="Calibri" w:hAnsi="Calibri"/>
          <w:sz w:val="22"/>
        </w:rPr>
        <w:t>post-procedure.</w:t>
      </w:r>
    </w:p>
    <w:p>
      <w:pPr>
        <w:pStyle w:val="BodyText"/>
        <w:spacing w:before="4"/>
        <w:rPr>
          <w:sz w:val="25"/>
        </w:rPr>
      </w:pPr>
    </w:p>
    <w:p>
      <w:pPr>
        <w:pStyle w:val="BodyText"/>
        <w:spacing w:line="259" w:lineRule="auto" w:before="1"/>
        <w:ind w:left="1657" w:right="881"/>
      </w:pPr>
      <w:r>
        <w:rPr/>
        <w:t>Surgical and OR notes and results are forwarded to surgeons and primary care providers for follow-up post-surgery either by mail or fax. If the patients have experienced a problem post- surgery and this is found during a post-surgery call, the nurse will contact the surgeon’s office by phone to provide this additional information to the surgeon who would share with the primary care physician.</w:t>
      </w:r>
    </w:p>
    <w:p>
      <w:pPr>
        <w:spacing w:after="0" w:line="259" w:lineRule="auto"/>
        <w:sectPr>
          <w:pgSz w:w="12240" w:h="15840"/>
          <w:pgMar w:top="1500" w:bottom="280" w:left="500" w:right="580"/>
        </w:sectPr>
      </w:pPr>
    </w:p>
    <w:p>
      <w:pPr>
        <w:pStyle w:val="Heading4"/>
        <w:spacing w:before="37"/>
        <w:ind w:left="81"/>
        <w:jc w:val="center"/>
        <w:rPr>
          <w:rFonts w:ascii="Calibri"/>
        </w:rPr>
      </w:pPr>
      <w:r>
        <w:rPr>
          <w:rFonts w:ascii="Calibri"/>
        </w:rPr>
        <w:t>TABLES</w:t>
      </w:r>
    </w:p>
    <w:p>
      <w:pPr>
        <w:pStyle w:val="BodyText"/>
        <w:spacing w:before="8"/>
        <w:rPr>
          <w:b/>
          <w:sz w:val="25"/>
        </w:rPr>
      </w:pPr>
    </w:p>
    <w:p>
      <w:pPr>
        <w:spacing w:before="0"/>
        <w:ind w:left="939" w:right="0" w:firstLine="0"/>
        <w:jc w:val="left"/>
        <w:rPr>
          <w:rFonts w:ascii="Times New Roman"/>
          <w:b/>
          <w:sz w:val="22"/>
        </w:rPr>
      </w:pPr>
      <w:r>
        <w:rPr>
          <w:rFonts w:ascii="Times New Roman"/>
          <w:b/>
          <w:sz w:val="22"/>
        </w:rPr>
        <w:t>Table 1: Summary of Essex County Characteristics</w:t>
      </w:r>
    </w:p>
    <w:p>
      <w:pPr>
        <w:pStyle w:val="BodyText"/>
        <w:spacing w:before="2"/>
        <w:rPr>
          <w:rFonts w:ascii="Times New Roman"/>
          <w:b/>
          <w:sz w:val="8"/>
        </w:rPr>
      </w:pPr>
    </w:p>
    <w:tbl>
      <w:tblPr>
        <w:tblW w:w="0" w:type="auto"/>
        <w:jc w:val="left"/>
        <w:tblInd w:w="88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58"/>
        <w:gridCol w:w="5067"/>
        <w:gridCol w:w="1601"/>
        <w:gridCol w:w="1205"/>
        <w:gridCol w:w="1289"/>
      </w:tblGrid>
      <w:tr>
        <w:trPr>
          <w:trHeight w:val="507" w:hRule="atLeast"/>
        </w:trPr>
        <w:tc>
          <w:tcPr>
            <w:tcW w:w="358" w:type="dxa"/>
            <w:tcBorders>
              <w:bottom w:val="single" w:sz="4" w:space="0" w:color="000000"/>
            </w:tcBorders>
            <w:shd w:val="clear" w:color="auto" w:fill="002060"/>
          </w:tcPr>
          <w:p>
            <w:pPr>
              <w:pStyle w:val="TableParagraph"/>
              <w:rPr>
                <w:rFonts w:ascii="Times New Roman"/>
                <w:sz w:val="16"/>
              </w:rPr>
            </w:pPr>
          </w:p>
        </w:tc>
        <w:tc>
          <w:tcPr>
            <w:tcW w:w="5067" w:type="dxa"/>
            <w:tcBorders>
              <w:bottom w:val="single" w:sz="4" w:space="0" w:color="000000"/>
              <w:right w:val="single" w:sz="4" w:space="0" w:color="000000"/>
            </w:tcBorders>
            <w:shd w:val="clear" w:color="auto" w:fill="002060"/>
          </w:tcPr>
          <w:p>
            <w:pPr>
              <w:pStyle w:val="TableParagraph"/>
              <w:spacing w:before="127"/>
              <w:ind w:left="1826" w:right="1828"/>
              <w:jc w:val="center"/>
              <w:rPr>
                <w:rFonts w:ascii="Times New Roman"/>
                <w:b/>
                <w:sz w:val="22"/>
              </w:rPr>
            </w:pPr>
            <w:r>
              <w:rPr>
                <w:rFonts w:ascii="Times New Roman"/>
                <w:b/>
                <w:color w:val="FFFFFF"/>
                <w:sz w:val="22"/>
              </w:rPr>
              <w:t>Characteristic</w:t>
            </w:r>
          </w:p>
        </w:tc>
        <w:tc>
          <w:tcPr>
            <w:tcW w:w="1601" w:type="dxa"/>
            <w:tcBorders>
              <w:left w:val="single" w:sz="4" w:space="0" w:color="000000"/>
              <w:bottom w:val="single" w:sz="4" w:space="0" w:color="000000"/>
              <w:right w:val="single" w:sz="4" w:space="0" w:color="000000"/>
            </w:tcBorders>
            <w:shd w:val="clear" w:color="auto" w:fill="002060"/>
          </w:tcPr>
          <w:p>
            <w:pPr>
              <w:pStyle w:val="TableParagraph"/>
              <w:spacing w:line="252" w:lineRule="exact" w:before="4"/>
              <w:ind w:left="471" w:right="221" w:hanging="221"/>
              <w:rPr>
                <w:rFonts w:ascii="Times New Roman"/>
                <w:b/>
                <w:sz w:val="22"/>
              </w:rPr>
            </w:pPr>
            <w:r>
              <w:rPr>
                <w:rFonts w:ascii="Times New Roman"/>
                <w:b/>
                <w:color w:val="FFFFFF"/>
                <w:sz w:val="22"/>
              </w:rPr>
              <w:t>Geographic Region</w:t>
            </w:r>
          </w:p>
        </w:tc>
        <w:tc>
          <w:tcPr>
            <w:tcW w:w="1205" w:type="dxa"/>
            <w:tcBorders>
              <w:left w:val="single" w:sz="4" w:space="0" w:color="000000"/>
              <w:bottom w:val="single" w:sz="4" w:space="0" w:color="000000"/>
              <w:right w:val="single" w:sz="4" w:space="0" w:color="000000"/>
            </w:tcBorders>
            <w:shd w:val="clear" w:color="auto" w:fill="002060"/>
          </w:tcPr>
          <w:p>
            <w:pPr>
              <w:pStyle w:val="TableParagraph"/>
              <w:spacing w:before="127"/>
              <w:ind w:left="87" w:right="74"/>
              <w:jc w:val="center"/>
              <w:rPr>
                <w:rFonts w:ascii="Times New Roman"/>
                <w:b/>
                <w:sz w:val="22"/>
              </w:rPr>
            </w:pPr>
            <w:r>
              <w:rPr>
                <w:rFonts w:ascii="Times New Roman"/>
                <w:b/>
                <w:color w:val="FFFFFF"/>
                <w:sz w:val="22"/>
              </w:rPr>
              <w:t>Number</w:t>
            </w:r>
          </w:p>
        </w:tc>
        <w:tc>
          <w:tcPr>
            <w:tcW w:w="1289" w:type="dxa"/>
            <w:tcBorders>
              <w:left w:val="single" w:sz="4" w:space="0" w:color="000000"/>
              <w:bottom w:val="single" w:sz="4" w:space="0" w:color="000000"/>
              <w:right w:val="single" w:sz="4" w:space="0" w:color="000000"/>
            </w:tcBorders>
            <w:shd w:val="clear" w:color="auto" w:fill="002060"/>
          </w:tcPr>
          <w:p>
            <w:pPr>
              <w:pStyle w:val="TableParagraph"/>
              <w:spacing w:line="252" w:lineRule="exact" w:before="4"/>
              <w:ind w:left="130" w:right="102" w:firstLine="283"/>
              <w:rPr>
                <w:rFonts w:ascii="Times New Roman"/>
                <w:b/>
                <w:sz w:val="22"/>
              </w:rPr>
            </w:pPr>
            <w:r>
              <w:rPr>
                <w:rFonts w:ascii="Times New Roman"/>
                <w:b/>
                <w:color w:val="FFFFFF"/>
                <w:sz w:val="22"/>
              </w:rPr>
              <w:t>% of Population</w:t>
            </w:r>
          </w:p>
        </w:tc>
      </w:tr>
      <w:tr>
        <w:trPr>
          <w:trHeight w:val="299" w:hRule="atLeast"/>
        </w:trPr>
        <w:tc>
          <w:tcPr>
            <w:tcW w:w="358" w:type="dxa"/>
            <w:tcBorders>
              <w:top w:val="single" w:sz="4" w:space="0" w:color="000000"/>
              <w:bottom w:val="single" w:sz="4" w:space="0" w:color="000000"/>
            </w:tcBorders>
          </w:tcPr>
          <w:p>
            <w:pPr>
              <w:pStyle w:val="TableParagraph"/>
              <w:spacing w:before="22"/>
              <w:ind w:right="93"/>
              <w:jc w:val="right"/>
              <w:rPr>
                <w:rFonts w:ascii="Times New Roman"/>
                <w:b/>
                <w:sz w:val="22"/>
              </w:rPr>
            </w:pPr>
            <w:r>
              <w:rPr>
                <w:rFonts w:ascii="Times New Roman"/>
                <w:b/>
                <w:w w:val="100"/>
                <w:sz w:val="22"/>
              </w:rPr>
              <w:t>1</w:t>
            </w:r>
          </w:p>
        </w:tc>
        <w:tc>
          <w:tcPr>
            <w:tcW w:w="5067" w:type="dxa"/>
            <w:tcBorders>
              <w:top w:val="single" w:sz="4" w:space="0" w:color="000000"/>
              <w:bottom w:val="single" w:sz="4" w:space="0" w:color="000000"/>
              <w:right w:val="single" w:sz="4" w:space="0" w:color="000000"/>
            </w:tcBorders>
          </w:tcPr>
          <w:p>
            <w:pPr>
              <w:pStyle w:val="TableParagraph"/>
              <w:spacing w:before="17"/>
              <w:ind w:left="92"/>
              <w:rPr>
                <w:rFonts w:ascii="Times New Roman"/>
                <w:sz w:val="22"/>
              </w:rPr>
            </w:pPr>
            <w:r>
              <w:rPr>
                <w:rFonts w:ascii="Times New Roman"/>
                <w:sz w:val="22"/>
              </w:rPr>
              <w:t>Population Ages 65+: 2020</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41"/>
              <w:ind w:left="95" w:right="81"/>
              <w:jc w:val="center"/>
              <w:rPr>
                <w:rFonts w:ascii="Times New Roman"/>
                <w:sz w:val="22"/>
              </w:rPr>
            </w:pPr>
            <w:r>
              <w:rPr>
                <w:rFonts w:ascii="Times New Roman"/>
                <w:sz w:val="22"/>
              </w:rPr>
              <w:t>Essex County</w:t>
            </w:r>
          </w:p>
        </w:tc>
        <w:tc>
          <w:tcPr>
            <w:tcW w:w="1205" w:type="dxa"/>
            <w:tcBorders>
              <w:top w:val="single" w:sz="4" w:space="0" w:color="000000"/>
              <w:left w:val="single" w:sz="4" w:space="0" w:color="000000"/>
              <w:bottom w:val="single" w:sz="4" w:space="0" w:color="000000"/>
              <w:right w:val="single" w:sz="4" w:space="0" w:color="000000"/>
            </w:tcBorders>
          </w:tcPr>
          <w:p>
            <w:pPr>
              <w:pStyle w:val="TableParagraph"/>
              <w:spacing w:before="10"/>
              <w:ind w:left="90" w:right="74"/>
              <w:jc w:val="center"/>
              <w:rPr>
                <w:rFonts w:ascii="Times New Roman"/>
                <w:sz w:val="23"/>
              </w:rPr>
            </w:pPr>
            <w:r>
              <w:rPr>
                <w:rFonts w:ascii="Times New Roman"/>
                <w:sz w:val="23"/>
              </w:rPr>
              <w:t>142,934</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432"/>
              <w:rPr>
                <w:rFonts w:ascii="Times New Roman"/>
                <w:sz w:val="23"/>
              </w:rPr>
            </w:pPr>
            <w:r>
              <w:rPr>
                <w:rFonts w:ascii="Times New Roman"/>
                <w:sz w:val="23"/>
              </w:rPr>
              <w:t>18%</w:t>
            </w:r>
          </w:p>
        </w:tc>
      </w:tr>
      <w:tr>
        <w:trPr>
          <w:trHeight w:val="299" w:hRule="atLeast"/>
        </w:trPr>
        <w:tc>
          <w:tcPr>
            <w:tcW w:w="358" w:type="dxa"/>
            <w:tcBorders>
              <w:top w:val="single" w:sz="4" w:space="0" w:color="000000"/>
              <w:bottom w:val="single" w:sz="4" w:space="0" w:color="000000"/>
            </w:tcBorders>
          </w:tcPr>
          <w:p>
            <w:pPr>
              <w:pStyle w:val="TableParagraph"/>
              <w:spacing w:before="22"/>
              <w:ind w:right="93"/>
              <w:jc w:val="right"/>
              <w:rPr>
                <w:rFonts w:ascii="Times New Roman"/>
                <w:b/>
                <w:sz w:val="22"/>
              </w:rPr>
            </w:pPr>
            <w:r>
              <w:rPr>
                <w:rFonts w:ascii="Times New Roman"/>
                <w:b/>
                <w:w w:val="100"/>
                <w:sz w:val="22"/>
              </w:rPr>
              <w:t>2</w:t>
            </w:r>
          </w:p>
        </w:tc>
        <w:tc>
          <w:tcPr>
            <w:tcW w:w="5067" w:type="dxa"/>
            <w:tcBorders>
              <w:top w:val="single" w:sz="4" w:space="0" w:color="000000"/>
              <w:bottom w:val="single" w:sz="4" w:space="0" w:color="000000"/>
              <w:right w:val="single" w:sz="4" w:space="0" w:color="000000"/>
            </w:tcBorders>
          </w:tcPr>
          <w:p>
            <w:pPr>
              <w:pStyle w:val="TableParagraph"/>
              <w:spacing w:before="17"/>
              <w:ind w:left="92"/>
              <w:rPr>
                <w:rFonts w:ascii="Times New Roman"/>
                <w:sz w:val="22"/>
              </w:rPr>
            </w:pPr>
            <w:r>
              <w:rPr>
                <w:rFonts w:ascii="Times New Roman"/>
                <w:sz w:val="22"/>
              </w:rPr>
              <w:t>Population Ages 65+: 2025</w:t>
            </w: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41"/>
              <w:ind w:left="95" w:right="81"/>
              <w:jc w:val="center"/>
              <w:rPr>
                <w:rFonts w:ascii="Times New Roman"/>
                <w:sz w:val="22"/>
              </w:rPr>
            </w:pPr>
            <w:r>
              <w:rPr>
                <w:rFonts w:ascii="Times New Roman"/>
                <w:sz w:val="22"/>
              </w:rPr>
              <w:t>Essex County</w:t>
            </w:r>
          </w:p>
        </w:tc>
        <w:tc>
          <w:tcPr>
            <w:tcW w:w="1205" w:type="dxa"/>
            <w:tcBorders>
              <w:top w:val="single" w:sz="4" w:space="0" w:color="000000"/>
              <w:left w:val="single" w:sz="4" w:space="0" w:color="000000"/>
              <w:bottom w:val="single" w:sz="4" w:space="0" w:color="000000"/>
              <w:right w:val="single" w:sz="4" w:space="0" w:color="000000"/>
            </w:tcBorders>
          </w:tcPr>
          <w:p>
            <w:pPr>
              <w:pStyle w:val="TableParagraph"/>
              <w:spacing w:before="17"/>
              <w:ind w:left="88" w:right="74"/>
              <w:jc w:val="center"/>
              <w:rPr>
                <w:rFonts w:ascii="Times New Roman"/>
                <w:sz w:val="22"/>
              </w:rPr>
            </w:pPr>
            <w:r>
              <w:rPr>
                <w:rFonts w:ascii="Times New Roman"/>
                <w:sz w:val="22"/>
              </w:rPr>
              <w:t>167,520</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spacing w:line="247" w:lineRule="exact"/>
              <w:ind w:left="442"/>
              <w:rPr>
                <w:rFonts w:ascii="Times New Roman"/>
                <w:sz w:val="22"/>
              </w:rPr>
            </w:pPr>
            <w:r>
              <w:rPr>
                <w:rFonts w:ascii="Times New Roman"/>
                <w:sz w:val="22"/>
              </w:rPr>
              <w:t>20%</w:t>
            </w:r>
          </w:p>
        </w:tc>
      </w:tr>
      <w:tr>
        <w:trPr>
          <w:trHeight w:val="299" w:hRule="atLeast"/>
        </w:trPr>
        <w:tc>
          <w:tcPr>
            <w:tcW w:w="358" w:type="dxa"/>
            <w:tcBorders>
              <w:top w:val="single" w:sz="4" w:space="0" w:color="000000"/>
              <w:bottom w:val="single" w:sz="4" w:space="0" w:color="000000"/>
            </w:tcBorders>
          </w:tcPr>
          <w:p>
            <w:pPr>
              <w:pStyle w:val="TableParagraph"/>
              <w:spacing w:before="22"/>
              <w:ind w:right="93"/>
              <w:jc w:val="right"/>
              <w:rPr>
                <w:rFonts w:ascii="Times New Roman"/>
                <w:b/>
                <w:sz w:val="22"/>
              </w:rPr>
            </w:pPr>
            <w:r>
              <w:rPr>
                <w:rFonts w:ascii="Times New Roman"/>
                <w:b/>
                <w:w w:val="100"/>
                <w:sz w:val="22"/>
              </w:rPr>
              <w:t>3</w:t>
            </w:r>
          </w:p>
        </w:tc>
        <w:tc>
          <w:tcPr>
            <w:tcW w:w="5067" w:type="dxa"/>
            <w:tcBorders>
              <w:top w:val="single" w:sz="4" w:space="0" w:color="000000"/>
              <w:bottom w:val="single" w:sz="4" w:space="0" w:color="000000"/>
              <w:right w:val="single" w:sz="4" w:space="0" w:color="000000"/>
            </w:tcBorders>
          </w:tcPr>
          <w:p>
            <w:pPr>
              <w:pStyle w:val="TableParagraph"/>
              <w:spacing w:before="17"/>
              <w:ind w:left="92"/>
              <w:rPr>
                <w:rFonts w:ascii="Times New Roman"/>
                <w:sz w:val="22"/>
              </w:rPr>
            </w:pPr>
            <w:r>
              <w:rPr>
                <w:rFonts w:ascii="Times New Roman"/>
                <w:sz w:val="22"/>
              </w:rPr>
              <w:t>Population Ages 65+ With a Chronic Disease: 2007</w:t>
            </w:r>
            <w:hyperlink w:history="true" w:anchor="_bookmark19">
              <w:r>
                <w:rPr>
                  <w:rFonts w:ascii="Times New Roman"/>
                  <w:sz w:val="22"/>
                  <w:vertAlign w:val="superscript"/>
                </w:rPr>
                <w:t>20</w:t>
              </w:r>
            </w:hyperlink>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41"/>
              <w:ind w:left="95" w:right="81"/>
              <w:jc w:val="center"/>
              <w:rPr>
                <w:rFonts w:ascii="Times New Roman"/>
                <w:sz w:val="22"/>
              </w:rPr>
            </w:pPr>
            <w:r>
              <w:rPr>
                <w:rFonts w:ascii="Times New Roman"/>
                <w:sz w:val="22"/>
              </w:rPr>
              <w:t>Essex County</w:t>
            </w:r>
          </w:p>
        </w:tc>
        <w:tc>
          <w:tcPr>
            <w:tcW w:w="1205" w:type="dxa"/>
            <w:tcBorders>
              <w:top w:val="single" w:sz="4" w:space="0" w:color="000000"/>
              <w:left w:val="single" w:sz="4" w:space="0" w:color="000000"/>
              <w:bottom w:val="single" w:sz="4" w:space="0" w:color="000000"/>
              <w:right w:val="single" w:sz="4" w:space="0" w:color="000000"/>
            </w:tcBorders>
          </w:tcPr>
          <w:p>
            <w:pPr>
              <w:pStyle w:val="TableParagraph"/>
              <w:spacing w:before="17"/>
              <w:ind w:left="88" w:right="74"/>
              <w:jc w:val="center"/>
              <w:rPr>
                <w:rFonts w:ascii="Times New Roman"/>
                <w:sz w:val="22"/>
              </w:rPr>
            </w:pPr>
            <w:r>
              <w:rPr>
                <w:rFonts w:ascii="Times New Roman"/>
                <w:sz w:val="22"/>
              </w:rPr>
              <w:t>38,881</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spacing w:before="17"/>
              <w:ind w:left="442"/>
              <w:rPr>
                <w:rFonts w:ascii="Times New Roman"/>
                <w:sz w:val="22"/>
              </w:rPr>
            </w:pPr>
            <w:r>
              <w:rPr>
                <w:rFonts w:ascii="Times New Roman"/>
                <w:sz w:val="22"/>
              </w:rPr>
              <w:t>37%</w:t>
            </w:r>
          </w:p>
        </w:tc>
      </w:tr>
      <w:tr>
        <w:trPr>
          <w:trHeight w:val="299" w:hRule="atLeast"/>
        </w:trPr>
        <w:tc>
          <w:tcPr>
            <w:tcW w:w="358" w:type="dxa"/>
            <w:tcBorders>
              <w:top w:val="single" w:sz="4" w:space="0" w:color="000000"/>
              <w:bottom w:val="single" w:sz="4" w:space="0" w:color="000000"/>
            </w:tcBorders>
          </w:tcPr>
          <w:p>
            <w:pPr>
              <w:pStyle w:val="TableParagraph"/>
              <w:spacing w:before="22"/>
              <w:ind w:right="93"/>
              <w:jc w:val="right"/>
              <w:rPr>
                <w:rFonts w:ascii="Times New Roman"/>
                <w:b/>
                <w:sz w:val="22"/>
              </w:rPr>
            </w:pPr>
            <w:r>
              <w:rPr>
                <w:rFonts w:ascii="Times New Roman"/>
                <w:b/>
                <w:w w:val="100"/>
                <w:sz w:val="22"/>
              </w:rPr>
              <w:t>4</w:t>
            </w:r>
          </w:p>
        </w:tc>
        <w:tc>
          <w:tcPr>
            <w:tcW w:w="5067" w:type="dxa"/>
            <w:vMerge w:val="restart"/>
            <w:tcBorders>
              <w:top w:val="single" w:sz="4" w:space="0" w:color="000000"/>
              <w:bottom w:val="single" w:sz="4" w:space="0" w:color="000000"/>
              <w:right w:val="single" w:sz="4" w:space="0" w:color="000000"/>
            </w:tcBorders>
          </w:tcPr>
          <w:p>
            <w:pPr>
              <w:pStyle w:val="TableParagraph"/>
              <w:rPr>
                <w:rFonts w:ascii="Times New Roman"/>
                <w:b/>
                <w:sz w:val="26"/>
              </w:rPr>
            </w:pPr>
          </w:p>
          <w:p>
            <w:pPr>
              <w:pStyle w:val="TableParagraph"/>
              <w:spacing w:before="184"/>
              <w:ind w:left="92"/>
              <w:rPr>
                <w:rFonts w:ascii="Times New Roman"/>
                <w:sz w:val="22"/>
              </w:rPr>
            </w:pPr>
            <w:r>
              <w:rPr>
                <w:rFonts w:ascii="Times New Roman"/>
                <w:sz w:val="22"/>
              </w:rPr>
              <w:t>Population Ages 65+ With a Chronic Disease: 2015</w:t>
            </w:r>
            <w:hyperlink w:history="true" w:anchor="_bookmark20">
              <w:r>
                <w:rPr>
                  <w:rFonts w:ascii="Times New Roman"/>
                  <w:sz w:val="22"/>
                  <w:vertAlign w:val="superscript"/>
                </w:rPr>
                <w:t>21</w:t>
              </w:r>
            </w:hyperlink>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41"/>
              <w:ind w:left="95" w:right="81"/>
              <w:jc w:val="center"/>
              <w:rPr>
                <w:rFonts w:ascii="Times New Roman"/>
                <w:sz w:val="22"/>
              </w:rPr>
            </w:pPr>
            <w:r>
              <w:rPr>
                <w:rFonts w:ascii="Times New Roman"/>
                <w:sz w:val="22"/>
              </w:rPr>
              <w:t>Essex County</w:t>
            </w:r>
          </w:p>
        </w:tc>
        <w:tc>
          <w:tcPr>
            <w:tcW w:w="1205" w:type="dxa"/>
            <w:tcBorders>
              <w:top w:val="single" w:sz="4" w:space="0" w:color="000000"/>
              <w:left w:val="single" w:sz="4" w:space="0" w:color="000000"/>
              <w:bottom w:val="single" w:sz="4" w:space="0" w:color="000000"/>
              <w:right w:val="single" w:sz="4" w:space="0" w:color="000000"/>
            </w:tcBorders>
          </w:tcPr>
          <w:p>
            <w:pPr>
              <w:pStyle w:val="TableParagraph"/>
              <w:spacing w:before="17"/>
              <w:ind w:left="88" w:right="74"/>
              <w:jc w:val="center"/>
              <w:rPr>
                <w:rFonts w:ascii="Times New Roman"/>
                <w:sz w:val="22"/>
              </w:rPr>
            </w:pPr>
            <w:r>
              <w:rPr>
                <w:rFonts w:ascii="Times New Roman"/>
                <w:sz w:val="22"/>
              </w:rPr>
              <w:t>55,744</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spacing w:before="17"/>
              <w:ind w:left="442"/>
              <w:rPr>
                <w:rFonts w:ascii="Times New Roman"/>
                <w:sz w:val="22"/>
              </w:rPr>
            </w:pPr>
            <w:r>
              <w:rPr>
                <w:rFonts w:ascii="Times New Roman"/>
                <w:sz w:val="22"/>
              </w:rPr>
              <w:t>39%</w:t>
            </w:r>
          </w:p>
        </w:tc>
      </w:tr>
      <w:tr>
        <w:trPr>
          <w:trHeight w:val="302" w:hRule="atLeast"/>
        </w:trPr>
        <w:tc>
          <w:tcPr>
            <w:tcW w:w="358" w:type="dxa"/>
            <w:tcBorders>
              <w:top w:val="single" w:sz="4" w:space="0" w:color="000000"/>
              <w:bottom w:val="single" w:sz="4" w:space="0" w:color="000000"/>
            </w:tcBorders>
          </w:tcPr>
          <w:p>
            <w:pPr>
              <w:pStyle w:val="TableParagraph"/>
              <w:spacing w:before="22"/>
              <w:ind w:right="93"/>
              <w:jc w:val="right"/>
              <w:rPr>
                <w:rFonts w:ascii="Times New Roman"/>
                <w:b/>
                <w:sz w:val="22"/>
              </w:rPr>
            </w:pPr>
            <w:r>
              <w:rPr>
                <w:rFonts w:ascii="Times New Roman"/>
                <w:b/>
                <w:w w:val="100"/>
                <w:sz w:val="22"/>
              </w:rPr>
              <w:t>5</w:t>
            </w:r>
          </w:p>
        </w:tc>
        <w:tc>
          <w:tcPr>
            <w:tcW w:w="5067" w:type="dxa"/>
            <w:vMerge/>
            <w:tcBorders>
              <w:top w:val="nil"/>
              <w:bottom w:val="single" w:sz="4" w:space="0" w:color="000000"/>
              <w:right w:val="single" w:sz="4" w:space="0" w:color="000000"/>
            </w:tcBorders>
          </w:tcPr>
          <w:p>
            <w:pPr>
              <w:rPr>
                <w:sz w:val="2"/>
                <w:szCs w:val="2"/>
              </w:rPr>
            </w:pP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240" w:lineRule="exact" w:before="41"/>
              <w:ind w:left="95" w:right="84"/>
              <w:jc w:val="center"/>
              <w:rPr>
                <w:rFonts w:ascii="Times New Roman"/>
                <w:sz w:val="22"/>
              </w:rPr>
            </w:pPr>
            <w:r>
              <w:rPr>
                <w:rFonts w:ascii="Times New Roman"/>
                <w:sz w:val="22"/>
              </w:rPr>
              <w:t>Massachusetts</w:t>
            </w:r>
          </w:p>
        </w:tc>
        <w:tc>
          <w:tcPr>
            <w:tcW w:w="1205" w:type="dxa"/>
            <w:tcBorders>
              <w:top w:val="single" w:sz="4" w:space="0" w:color="000000"/>
              <w:left w:val="single" w:sz="4" w:space="0" w:color="000000"/>
              <w:bottom w:val="single" w:sz="4" w:space="0" w:color="000000"/>
              <w:right w:val="single" w:sz="4" w:space="0" w:color="000000"/>
            </w:tcBorders>
          </w:tcPr>
          <w:p>
            <w:pPr>
              <w:pStyle w:val="TableParagraph"/>
              <w:spacing w:before="17"/>
              <w:ind w:left="88" w:right="74"/>
              <w:jc w:val="center"/>
              <w:rPr>
                <w:rFonts w:ascii="Times New Roman"/>
                <w:sz w:val="22"/>
              </w:rPr>
            </w:pPr>
            <w:r>
              <w:rPr>
                <w:rFonts w:ascii="Times New Roman"/>
                <w:sz w:val="22"/>
              </w:rPr>
              <w:t>459,089</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spacing w:before="17"/>
              <w:ind w:left="442"/>
              <w:rPr>
                <w:rFonts w:ascii="Times New Roman"/>
                <w:sz w:val="22"/>
              </w:rPr>
            </w:pPr>
            <w:r>
              <w:rPr>
                <w:rFonts w:ascii="Times New Roman"/>
                <w:sz w:val="22"/>
              </w:rPr>
              <w:t>38%</w:t>
            </w:r>
          </w:p>
        </w:tc>
      </w:tr>
      <w:tr>
        <w:trPr>
          <w:trHeight w:val="299" w:hRule="atLeast"/>
        </w:trPr>
        <w:tc>
          <w:tcPr>
            <w:tcW w:w="358" w:type="dxa"/>
            <w:tcBorders>
              <w:top w:val="single" w:sz="4" w:space="0" w:color="000000"/>
              <w:bottom w:val="single" w:sz="4" w:space="0" w:color="000000"/>
            </w:tcBorders>
          </w:tcPr>
          <w:p>
            <w:pPr>
              <w:pStyle w:val="TableParagraph"/>
              <w:spacing w:before="22"/>
              <w:ind w:right="93"/>
              <w:jc w:val="right"/>
              <w:rPr>
                <w:rFonts w:ascii="Times New Roman"/>
                <w:b/>
                <w:sz w:val="22"/>
              </w:rPr>
            </w:pPr>
            <w:r>
              <w:rPr>
                <w:rFonts w:ascii="Times New Roman"/>
                <w:b/>
                <w:w w:val="100"/>
                <w:sz w:val="22"/>
              </w:rPr>
              <w:t>6</w:t>
            </w:r>
          </w:p>
        </w:tc>
        <w:tc>
          <w:tcPr>
            <w:tcW w:w="5067" w:type="dxa"/>
            <w:vMerge/>
            <w:tcBorders>
              <w:top w:val="nil"/>
              <w:bottom w:val="single" w:sz="4" w:space="0" w:color="000000"/>
              <w:right w:val="single" w:sz="4" w:space="0" w:color="000000"/>
            </w:tcBorders>
          </w:tcPr>
          <w:p>
            <w:pPr>
              <w:rPr>
                <w:sz w:val="2"/>
                <w:szCs w:val="2"/>
              </w:rPr>
            </w:pP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240" w:lineRule="exact" w:before="39"/>
              <w:ind w:left="95" w:right="81"/>
              <w:jc w:val="center"/>
              <w:rPr>
                <w:rFonts w:ascii="Times New Roman"/>
                <w:sz w:val="22"/>
              </w:rPr>
            </w:pPr>
            <w:r>
              <w:rPr>
                <w:rFonts w:ascii="Times New Roman"/>
                <w:sz w:val="22"/>
              </w:rPr>
              <w:t>United States</w:t>
            </w:r>
          </w:p>
        </w:tc>
        <w:tc>
          <w:tcPr>
            <w:tcW w:w="1205" w:type="dxa"/>
            <w:tcBorders>
              <w:top w:val="single" w:sz="4" w:space="0" w:color="000000"/>
              <w:left w:val="single" w:sz="4" w:space="0" w:color="000000"/>
              <w:bottom w:val="single" w:sz="4" w:space="0" w:color="000000"/>
              <w:right w:val="single" w:sz="4" w:space="0" w:color="000000"/>
            </w:tcBorders>
          </w:tcPr>
          <w:p>
            <w:pPr>
              <w:pStyle w:val="TableParagraph"/>
              <w:spacing w:before="17"/>
              <w:ind w:left="90" w:right="74"/>
              <w:jc w:val="center"/>
              <w:rPr>
                <w:rFonts w:ascii="Times New Roman"/>
                <w:sz w:val="22"/>
              </w:rPr>
            </w:pPr>
            <w:r>
              <w:rPr>
                <w:rFonts w:ascii="Times New Roman"/>
                <w:sz w:val="22"/>
              </w:rPr>
              <w:t>20,886,696</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spacing w:before="17"/>
              <w:ind w:left="442"/>
              <w:rPr>
                <w:rFonts w:ascii="Times New Roman"/>
                <w:sz w:val="22"/>
              </w:rPr>
            </w:pPr>
            <w:r>
              <w:rPr>
                <w:rFonts w:ascii="Times New Roman"/>
                <w:sz w:val="22"/>
              </w:rPr>
              <w:t>38%</w:t>
            </w:r>
          </w:p>
        </w:tc>
      </w:tr>
      <w:tr>
        <w:trPr>
          <w:trHeight w:val="299" w:hRule="atLeast"/>
        </w:trPr>
        <w:tc>
          <w:tcPr>
            <w:tcW w:w="358" w:type="dxa"/>
            <w:tcBorders>
              <w:top w:val="single" w:sz="4" w:space="0" w:color="000000"/>
              <w:bottom w:val="single" w:sz="4" w:space="0" w:color="000000"/>
            </w:tcBorders>
          </w:tcPr>
          <w:p>
            <w:pPr>
              <w:pStyle w:val="TableParagraph"/>
              <w:spacing w:before="22"/>
              <w:ind w:right="93"/>
              <w:jc w:val="right"/>
              <w:rPr>
                <w:rFonts w:ascii="Times New Roman"/>
                <w:b/>
                <w:sz w:val="22"/>
              </w:rPr>
            </w:pPr>
            <w:r>
              <w:rPr>
                <w:rFonts w:ascii="Times New Roman"/>
                <w:b/>
                <w:w w:val="100"/>
                <w:sz w:val="22"/>
              </w:rPr>
              <w:t>7</w:t>
            </w:r>
          </w:p>
        </w:tc>
        <w:tc>
          <w:tcPr>
            <w:tcW w:w="5067" w:type="dxa"/>
            <w:vMerge/>
            <w:tcBorders>
              <w:top w:val="nil"/>
              <w:bottom w:val="single" w:sz="4" w:space="0" w:color="000000"/>
              <w:right w:val="single" w:sz="4" w:space="0" w:color="000000"/>
            </w:tcBorders>
          </w:tcPr>
          <w:p>
            <w:pPr>
              <w:rPr>
                <w:sz w:val="2"/>
                <w:szCs w:val="2"/>
              </w:rPr>
            </w:pPr>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41"/>
              <w:ind w:left="95" w:right="86"/>
              <w:jc w:val="center"/>
              <w:rPr>
                <w:rFonts w:ascii="Times New Roman"/>
                <w:sz w:val="22"/>
              </w:rPr>
            </w:pPr>
            <w:r>
              <w:rPr>
                <w:rFonts w:ascii="Times New Roman"/>
                <w:sz w:val="22"/>
              </w:rPr>
              <w:t>Peer Counties</w:t>
            </w:r>
            <w:hyperlink w:history="true" w:anchor="_bookmark21">
              <w:r>
                <w:rPr>
                  <w:rFonts w:ascii="Times New Roman"/>
                  <w:sz w:val="22"/>
                  <w:vertAlign w:val="superscript"/>
                </w:rPr>
                <w:t>22</w:t>
              </w:r>
            </w:hyperlink>
          </w:p>
        </w:tc>
        <w:tc>
          <w:tcPr>
            <w:tcW w:w="1205" w:type="dxa"/>
            <w:tcBorders>
              <w:top w:val="single" w:sz="4" w:space="0" w:color="000000"/>
              <w:left w:val="single" w:sz="4" w:space="0" w:color="000000"/>
              <w:bottom w:val="single" w:sz="4" w:space="0" w:color="000000"/>
              <w:right w:val="single" w:sz="4" w:space="0" w:color="000000"/>
            </w:tcBorders>
          </w:tcPr>
          <w:p>
            <w:pPr>
              <w:pStyle w:val="TableParagraph"/>
              <w:spacing w:before="17"/>
              <w:ind w:left="88" w:right="74"/>
              <w:jc w:val="center"/>
              <w:rPr>
                <w:rFonts w:ascii="Times New Roman"/>
                <w:sz w:val="22"/>
              </w:rPr>
            </w:pPr>
            <w:r>
              <w:rPr>
                <w:rFonts w:ascii="Times New Roman"/>
                <w:sz w:val="22"/>
              </w:rPr>
              <w:t>379,861</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spacing w:before="17"/>
              <w:ind w:left="442"/>
              <w:rPr>
                <w:rFonts w:ascii="Times New Roman"/>
                <w:sz w:val="22"/>
              </w:rPr>
            </w:pPr>
            <w:r>
              <w:rPr>
                <w:rFonts w:ascii="Times New Roman"/>
                <w:sz w:val="22"/>
              </w:rPr>
              <w:t>36%</w:t>
            </w:r>
          </w:p>
        </w:tc>
      </w:tr>
      <w:tr>
        <w:trPr>
          <w:trHeight w:val="299" w:hRule="atLeast"/>
        </w:trPr>
        <w:tc>
          <w:tcPr>
            <w:tcW w:w="358" w:type="dxa"/>
            <w:tcBorders>
              <w:top w:val="single" w:sz="4" w:space="0" w:color="000000"/>
              <w:bottom w:val="single" w:sz="4" w:space="0" w:color="000000"/>
            </w:tcBorders>
          </w:tcPr>
          <w:p>
            <w:pPr>
              <w:pStyle w:val="TableParagraph"/>
              <w:spacing w:before="22"/>
              <w:ind w:right="93"/>
              <w:jc w:val="right"/>
              <w:rPr>
                <w:rFonts w:ascii="Times New Roman"/>
                <w:b/>
                <w:sz w:val="22"/>
              </w:rPr>
            </w:pPr>
            <w:r>
              <w:rPr>
                <w:rFonts w:ascii="Times New Roman"/>
                <w:b/>
                <w:w w:val="100"/>
                <w:sz w:val="22"/>
              </w:rPr>
              <w:t>8</w:t>
            </w:r>
          </w:p>
        </w:tc>
        <w:tc>
          <w:tcPr>
            <w:tcW w:w="5067" w:type="dxa"/>
            <w:tcBorders>
              <w:top w:val="single" w:sz="4" w:space="0" w:color="000000"/>
              <w:bottom w:val="single" w:sz="4" w:space="0" w:color="000000"/>
              <w:right w:val="single" w:sz="4" w:space="0" w:color="000000"/>
            </w:tcBorders>
          </w:tcPr>
          <w:p>
            <w:pPr>
              <w:pStyle w:val="TableParagraph"/>
              <w:spacing w:before="17"/>
              <w:ind w:left="92"/>
              <w:rPr>
                <w:rFonts w:ascii="Times New Roman"/>
                <w:sz w:val="22"/>
              </w:rPr>
            </w:pPr>
            <w:r>
              <w:rPr>
                <w:rFonts w:ascii="Times New Roman"/>
                <w:sz w:val="22"/>
              </w:rPr>
              <w:t>Adult Population With Obesity: 2004</w:t>
            </w:r>
            <w:hyperlink w:history="true" w:anchor="_bookmark22">
              <w:r>
                <w:rPr>
                  <w:rFonts w:ascii="Times New Roman"/>
                  <w:sz w:val="22"/>
                  <w:vertAlign w:val="superscript"/>
                </w:rPr>
                <w:t>23</w:t>
              </w:r>
            </w:hyperlink>
          </w:p>
        </w:tc>
        <w:tc>
          <w:tcPr>
            <w:tcW w:w="1601"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41"/>
              <w:ind w:left="95" w:right="81"/>
              <w:jc w:val="center"/>
              <w:rPr>
                <w:rFonts w:ascii="Times New Roman"/>
                <w:sz w:val="22"/>
              </w:rPr>
            </w:pPr>
            <w:r>
              <w:rPr>
                <w:rFonts w:ascii="Times New Roman"/>
                <w:sz w:val="22"/>
              </w:rPr>
              <w:t>Essex County</w:t>
            </w:r>
          </w:p>
        </w:tc>
        <w:tc>
          <w:tcPr>
            <w:tcW w:w="1205" w:type="dxa"/>
            <w:tcBorders>
              <w:top w:val="single" w:sz="4" w:space="0" w:color="000000"/>
              <w:left w:val="single" w:sz="4" w:space="0" w:color="000000"/>
              <w:bottom w:val="single" w:sz="4" w:space="0" w:color="000000"/>
              <w:right w:val="single" w:sz="4" w:space="0" w:color="000000"/>
            </w:tcBorders>
          </w:tcPr>
          <w:p>
            <w:pPr>
              <w:pStyle w:val="TableParagraph"/>
              <w:spacing w:before="17"/>
              <w:ind w:left="88" w:right="74"/>
              <w:jc w:val="center"/>
              <w:rPr>
                <w:rFonts w:ascii="Times New Roman"/>
                <w:sz w:val="22"/>
              </w:rPr>
            </w:pPr>
            <w:r>
              <w:rPr>
                <w:rFonts w:ascii="Times New Roman"/>
                <w:sz w:val="22"/>
              </w:rPr>
              <w:t>108,503</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spacing w:before="17"/>
              <w:ind w:left="442"/>
              <w:rPr>
                <w:rFonts w:ascii="Times New Roman"/>
                <w:sz w:val="22"/>
              </w:rPr>
            </w:pPr>
            <w:r>
              <w:rPr>
                <w:rFonts w:ascii="Times New Roman"/>
                <w:sz w:val="22"/>
              </w:rPr>
              <w:t>19%</w:t>
            </w:r>
          </w:p>
        </w:tc>
      </w:tr>
      <w:tr>
        <w:trPr>
          <w:trHeight w:val="315" w:hRule="atLeast"/>
        </w:trPr>
        <w:tc>
          <w:tcPr>
            <w:tcW w:w="358" w:type="dxa"/>
            <w:tcBorders>
              <w:top w:val="single" w:sz="4" w:space="0" w:color="000000"/>
            </w:tcBorders>
          </w:tcPr>
          <w:p>
            <w:pPr>
              <w:pStyle w:val="TableParagraph"/>
              <w:spacing w:before="29"/>
              <w:ind w:right="93"/>
              <w:jc w:val="right"/>
              <w:rPr>
                <w:rFonts w:ascii="Times New Roman"/>
                <w:b/>
                <w:sz w:val="22"/>
              </w:rPr>
            </w:pPr>
            <w:r>
              <w:rPr>
                <w:rFonts w:ascii="Times New Roman"/>
                <w:b/>
                <w:w w:val="100"/>
                <w:sz w:val="22"/>
              </w:rPr>
              <w:t>9</w:t>
            </w:r>
          </w:p>
        </w:tc>
        <w:tc>
          <w:tcPr>
            <w:tcW w:w="5067" w:type="dxa"/>
            <w:tcBorders>
              <w:top w:val="single" w:sz="4" w:space="0" w:color="000000"/>
              <w:right w:val="single" w:sz="4" w:space="0" w:color="000000"/>
            </w:tcBorders>
          </w:tcPr>
          <w:p>
            <w:pPr>
              <w:pStyle w:val="TableParagraph"/>
              <w:spacing w:before="24"/>
              <w:ind w:left="92"/>
              <w:rPr>
                <w:rFonts w:ascii="Times New Roman"/>
                <w:sz w:val="22"/>
              </w:rPr>
            </w:pPr>
            <w:r>
              <w:rPr>
                <w:rFonts w:ascii="Times New Roman"/>
                <w:sz w:val="22"/>
              </w:rPr>
              <w:t>Adult Population With Obesity: 2016</w:t>
            </w:r>
            <w:hyperlink w:history="true" w:anchor="_bookmark23">
              <w:r>
                <w:rPr>
                  <w:rFonts w:ascii="Times New Roman"/>
                  <w:sz w:val="22"/>
                  <w:vertAlign w:val="superscript"/>
                </w:rPr>
                <w:t>24</w:t>
              </w:r>
            </w:hyperlink>
          </w:p>
        </w:tc>
        <w:tc>
          <w:tcPr>
            <w:tcW w:w="1601" w:type="dxa"/>
            <w:tcBorders>
              <w:top w:val="single" w:sz="4" w:space="0" w:color="000000"/>
              <w:left w:val="single" w:sz="4" w:space="0" w:color="000000"/>
              <w:right w:val="single" w:sz="4" w:space="0" w:color="000000"/>
            </w:tcBorders>
          </w:tcPr>
          <w:p>
            <w:pPr>
              <w:pStyle w:val="TableParagraph"/>
              <w:spacing w:line="240" w:lineRule="exact" w:before="56"/>
              <w:ind w:left="95" w:right="81"/>
              <w:jc w:val="center"/>
              <w:rPr>
                <w:rFonts w:ascii="Times New Roman"/>
                <w:sz w:val="22"/>
              </w:rPr>
            </w:pPr>
            <w:r>
              <w:rPr>
                <w:rFonts w:ascii="Times New Roman"/>
                <w:sz w:val="22"/>
              </w:rPr>
              <w:t>Essex County</w:t>
            </w:r>
          </w:p>
        </w:tc>
        <w:tc>
          <w:tcPr>
            <w:tcW w:w="1205" w:type="dxa"/>
            <w:tcBorders>
              <w:top w:val="single" w:sz="4" w:space="0" w:color="000000"/>
              <w:left w:val="single" w:sz="4" w:space="0" w:color="000000"/>
              <w:right w:val="single" w:sz="4" w:space="0" w:color="000000"/>
            </w:tcBorders>
          </w:tcPr>
          <w:p>
            <w:pPr>
              <w:pStyle w:val="TableParagraph"/>
              <w:spacing w:before="25"/>
              <w:ind w:left="88" w:right="74"/>
              <w:jc w:val="center"/>
              <w:rPr>
                <w:rFonts w:ascii="Times New Roman"/>
                <w:sz w:val="22"/>
              </w:rPr>
            </w:pPr>
            <w:r>
              <w:rPr>
                <w:rFonts w:ascii="Times New Roman"/>
                <w:sz w:val="22"/>
              </w:rPr>
              <w:t>157,644</w:t>
            </w:r>
          </w:p>
        </w:tc>
        <w:tc>
          <w:tcPr>
            <w:tcW w:w="1289" w:type="dxa"/>
            <w:tcBorders>
              <w:top w:val="single" w:sz="4" w:space="0" w:color="000000"/>
              <w:left w:val="single" w:sz="4" w:space="0" w:color="000000"/>
              <w:right w:val="single" w:sz="4" w:space="0" w:color="000000"/>
            </w:tcBorders>
          </w:tcPr>
          <w:p>
            <w:pPr>
              <w:pStyle w:val="TableParagraph"/>
              <w:spacing w:before="25"/>
              <w:ind w:left="442"/>
              <w:rPr>
                <w:rFonts w:ascii="Times New Roman"/>
                <w:sz w:val="22"/>
              </w:rPr>
            </w:pPr>
            <w:r>
              <w:rPr>
                <w:rFonts w:ascii="Times New Roman"/>
                <w:sz w:val="22"/>
              </w:rPr>
              <w:t>25%</w:t>
            </w:r>
          </w:p>
        </w:tc>
      </w:tr>
    </w:tbl>
    <w:p>
      <w:pPr>
        <w:pStyle w:val="BodyText"/>
        <w:rPr>
          <w:rFonts w:ascii="Times New Roman"/>
          <w:b/>
          <w:sz w:val="24"/>
        </w:rPr>
      </w:pPr>
    </w:p>
    <w:p>
      <w:pPr>
        <w:pStyle w:val="BodyText"/>
        <w:spacing w:before="7"/>
        <w:rPr>
          <w:rFonts w:ascii="Times New Roman"/>
          <w:b/>
          <w:sz w:val="27"/>
        </w:rPr>
      </w:pPr>
    </w:p>
    <w:p>
      <w:pPr>
        <w:pStyle w:val="Heading4"/>
        <w:spacing w:before="1"/>
        <w:rPr>
          <w:rFonts w:ascii="Times New Roman"/>
        </w:rPr>
      </w:pPr>
      <w:r>
        <w:rPr>
          <w:rFonts w:ascii="Times New Roman"/>
        </w:rPr>
        <w:t>Table 2: Summary of Cancer Incidence</w:t>
      </w:r>
    </w:p>
    <w:p>
      <w:pPr>
        <w:pStyle w:val="BodyText"/>
        <w:spacing w:before="4"/>
        <w:rPr>
          <w:rFonts w:ascii="Times New Roman"/>
          <w:b/>
          <w:sz w:val="8"/>
        </w:rPr>
      </w:pPr>
    </w:p>
    <w:tbl>
      <w:tblPr>
        <w:tblW w:w="0" w:type="auto"/>
        <w:jc w:val="left"/>
        <w:tblInd w:w="1255"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98"/>
        <w:gridCol w:w="2020"/>
        <w:gridCol w:w="2015"/>
        <w:gridCol w:w="2140"/>
        <w:gridCol w:w="2198"/>
      </w:tblGrid>
      <w:tr>
        <w:trPr>
          <w:trHeight w:val="870" w:hRule="atLeast"/>
        </w:trPr>
        <w:tc>
          <w:tcPr>
            <w:tcW w:w="398" w:type="dxa"/>
            <w:tcBorders>
              <w:bottom w:val="single" w:sz="4" w:space="0" w:color="000000"/>
            </w:tcBorders>
            <w:shd w:val="clear" w:color="auto" w:fill="002060"/>
          </w:tcPr>
          <w:p>
            <w:pPr>
              <w:pStyle w:val="TableParagraph"/>
              <w:rPr>
                <w:rFonts w:ascii="Times New Roman"/>
                <w:sz w:val="16"/>
              </w:rPr>
            </w:pPr>
          </w:p>
        </w:tc>
        <w:tc>
          <w:tcPr>
            <w:tcW w:w="2020" w:type="dxa"/>
            <w:tcBorders>
              <w:bottom w:val="single" w:sz="4" w:space="0" w:color="000000"/>
              <w:right w:val="single" w:sz="4" w:space="0" w:color="000000"/>
            </w:tcBorders>
            <w:shd w:val="clear" w:color="auto" w:fill="002060"/>
          </w:tcPr>
          <w:p>
            <w:pPr>
              <w:pStyle w:val="TableParagraph"/>
              <w:spacing w:before="180"/>
              <w:ind w:left="664" w:right="429" w:hanging="221"/>
              <w:rPr>
                <w:rFonts w:ascii="Times New Roman"/>
                <w:b/>
                <w:sz w:val="22"/>
              </w:rPr>
            </w:pPr>
            <w:r>
              <w:rPr>
                <w:rFonts w:ascii="Times New Roman"/>
                <w:b/>
                <w:color w:val="FFFFFF"/>
                <w:sz w:val="22"/>
              </w:rPr>
              <w:t>Geographic Region</w:t>
            </w:r>
          </w:p>
        </w:tc>
        <w:tc>
          <w:tcPr>
            <w:tcW w:w="2015" w:type="dxa"/>
            <w:tcBorders>
              <w:left w:val="single" w:sz="4" w:space="0" w:color="000000"/>
              <w:bottom w:val="single" w:sz="4" w:space="0" w:color="000000"/>
              <w:right w:val="single" w:sz="4" w:space="0" w:color="000000"/>
            </w:tcBorders>
            <w:shd w:val="clear" w:color="auto" w:fill="002060"/>
          </w:tcPr>
          <w:p>
            <w:pPr>
              <w:pStyle w:val="TableParagraph"/>
              <w:spacing w:before="8"/>
              <w:rPr>
                <w:rFonts w:ascii="Times New Roman"/>
                <w:b/>
                <w:sz w:val="26"/>
              </w:rPr>
            </w:pPr>
          </w:p>
          <w:p>
            <w:pPr>
              <w:pStyle w:val="TableParagraph"/>
              <w:ind w:left="464"/>
              <w:rPr>
                <w:rFonts w:ascii="Times New Roman"/>
                <w:b/>
                <w:sz w:val="22"/>
              </w:rPr>
            </w:pPr>
            <w:r>
              <w:rPr>
                <w:rFonts w:ascii="Times New Roman"/>
                <w:b/>
                <w:color w:val="FFFFFF"/>
                <w:sz w:val="22"/>
              </w:rPr>
              <w:t>Cancer Site</w:t>
            </w:r>
          </w:p>
        </w:tc>
        <w:tc>
          <w:tcPr>
            <w:tcW w:w="2140" w:type="dxa"/>
            <w:tcBorders>
              <w:left w:val="single" w:sz="4" w:space="0" w:color="000000"/>
              <w:bottom w:val="single" w:sz="4" w:space="0" w:color="000000"/>
              <w:right w:val="single" w:sz="4" w:space="0" w:color="000000"/>
            </w:tcBorders>
            <w:shd w:val="clear" w:color="auto" w:fill="002060"/>
          </w:tcPr>
          <w:p>
            <w:pPr>
              <w:pStyle w:val="TableParagraph"/>
              <w:spacing w:before="53"/>
              <w:ind w:left="160" w:right="139" w:hanging="2"/>
              <w:jc w:val="center"/>
              <w:rPr>
                <w:rFonts w:ascii="Times New Roman"/>
                <w:b/>
                <w:sz w:val="22"/>
              </w:rPr>
            </w:pPr>
            <w:r>
              <w:rPr>
                <w:rFonts w:ascii="Times New Roman"/>
                <w:b/>
                <w:color w:val="FFFFFF"/>
                <w:sz w:val="22"/>
              </w:rPr>
              <w:t>Age-Adjusted Incidence Rate (Cases per 100,000)</w:t>
            </w:r>
          </w:p>
        </w:tc>
        <w:tc>
          <w:tcPr>
            <w:tcW w:w="2198" w:type="dxa"/>
            <w:tcBorders>
              <w:left w:val="single" w:sz="4" w:space="0" w:color="000000"/>
              <w:bottom w:val="single" w:sz="4" w:space="0" w:color="000000"/>
            </w:tcBorders>
            <w:shd w:val="clear" w:color="auto" w:fill="002060"/>
          </w:tcPr>
          <w:p>
            <w:pPr>
              <w:pStyle w:val="TableParagraph"/>
              <w:spacing w:before="180"/>
              <w:ind w:left="811" w:right="281" w:hanging="476"/>
              <w:rPr>
                <w:rFonts w:ascii="Times New Roman"/>
                <w:b/>
                <w:sz w:val="22"/>
              </w:rPr>
            </w:pPr>
            <w:r>
              <w:rPr>
                <w:rFonts w:ascii="Times New Roman"/>
                <w:b/>
                <w:color w:val="FFFFFF"/>
                <w:sz w:val="22"/>
              </w:rPr>
              <w:t>Average Annual Count</w:t>
            </w:r>
          </w:p>
        </w:tc>
      </w:tr>
      <w:tr>
        <w:trPr>
          <w:trHeight w:val="294" w:hRule="atLeast"/>
        </w:trPr>
        <w:tc>
          <w:tcPr>
            <w:tcW w:w="398" w:type="dxa"/>
            <w:tcBorders>
              <w:top w:val="single" w:sz="4" w:space="0" w:color="000000"/>
              <w:bottom w:val="single" w:sz="4" w:space="0" w:color="000000"/>
            </w:tcBorders>
          </w:tcPr>
          <w:p>
            <w:pPr>
              <w:pStyle w:val="TableParagraph"/>
              <w:spacing w:line="252" w:lineRule="exact" w:before="22"/>
              <w:ind w:left="128"/>
              <w:rPr>
                <w:rFonts w:ascii="Times New Roman"/>
                <w:b/>
                <w:sz w:val="22"/>
              </w:rPr>
            </w:pPr>
            <w:r>
              <w:rPr>
                <w:rFonts w:ascii="Times New Roman"/>
                <w:b/>
                <w:w w:val="100"/>
                <w:sz w:val="22"/>
              </w:rPr>
              <w:t>1</w:t>
            </w:r>
          </w:p>
        </w:tc>
        <w:tc>
          <w:tcPr>
            <w:tcW w:w="2020" w:type="dxa"/>
            <w:tcBorders>
              <w:top w:val="single" w:sz="4" w:space="0" w:color="000000"/>
              <w:bottom w:val="single" w:sz="4" w:space="0" w:color="000000"/>
              <w:right w:val="single" w:sz="4" w:space="0" w:color="000000"/>
            </w:tcBorders>
          </w:tcPr>
          <w:p>
            <w:pPr>
              <w:pStyle w:val="TableParagraph"/>
              <w:spacing w:before="17"/>
              <w:ind w:left="359"/>
              <w:rPr>
                <w:rFonts w:ascii="Times New Roman"/>
                <w:sz w:val="22"/>
              </w:rPr>
            </w:pPr>
            <w:r>
              <w:rPr>
                <w:rFonts w:ascii="Times New Roman"/>
                <w:sz w:val="22"/>
              </w:rPr>
              <w:t>Massachusetts</w:t>
            </w:r>
          </w:p>
        </w:tc>
        <w:tc>
          <w:tcPr>
            <w:tcW w:w="2015" w:type="dxa"/>
            <w:vMerge w:val="restart"/>
            <w:tcBorders>
              <w:top w:val="single" w:sz="4" w:space="0" w:color="000000"/>
              <w:left w:val="single" w:sz="4" w:space="0" w:color="000000"/>
              <w:bottom w:val="single" w:sz="8" w:space="0" w:color="000000"/>
              <w:right w:val="single" w:sz="4" w:space="0" w:color="000000"/>
            </w:tcBorders>
          </w:tcPr>
          <w:p>
            <w:pPr>
              <w:pStyle w:val="TableParagraph"/>
              <w:spacing w:before="5"/>
              <w:rPr>
                <w:rFonts w:ascii="Times New Roman"/>
                <w:b/>
                <w:sz w:val="28"/>
              </w:rPr>
            </w:pPr>
          </w:p>
          <w:p>
            <w:pPr>
              <w:pStyle w:val="TableParagraph"/>
              <w:ind w:left="111"/>
              <w:rPr>
                <w:rFonts w:ascii="Times New Roman"/>
                <w:sz w:val="22"/>
              </w:rPr>
            </w:pPr>
            <w:r>
              <w:rPr>
                <w:rFonts w:ascii="Times New Roman"/>
                <w:sz w:val="22"/>
              </w:rPr>
              <w:t>All Sites</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spacing w:before="17"/>
              <w:ind w:right="88"/>
              <w:jc w:val="right"/>
              <w:rPr>
                <w:rFonts w:ascii="Times New Roman"/>
                <w:sz w:val="22"/>
              </w:rPr>
            </w:pPr>
            <w:r>
              <w:rPr>
                <w:rFonts w:ascii="Times New Roman"/>
                <w:sz w:val="22"/>
              </w:rPr>
              <w:t>452.7</w:t>
            </w:r>
          </w:p>
        </w:tc>
        <w:tc>
          <w:tcPr>
            <w:tcW w:w="2198" w:type="dxa"/>
            <w:tcBorders>
              <w:top w:val="single" w:sz="4" w:space="0" w:color="000000"/>
              <w:left w:val="single" w:sz="4" w:space="0" w:color="000000"/>
              <w:bottom w:val="single" w:sz="4" w:space="0" w:color="000000"/>
            </w:tcBorders>
          </w:tcPr>
          <w:p>
            <w:pPr>
              <w:pStyle w:val="TableParagraph"/>
              <w:spacing w:before="17"/>
              <w:ind w:right="72"/>
              <w:jc w:val="right"/>
              <w:rPr>
                <w:rFonts w:ascii="Times New Roman"/>
                <w:sz w:val="22"/>
              </w:rPr>
            </w:pPr>
            <w:r>
              <w:rPr>
                <w:rFonts w:ascii="Times New Roman"/>
                <w:sz w:val="22"/>
              </w:rPr>
              <w:t>37,030</w:t>
            </w:r>
          </w:p>
        </w:tc>
      </w:tr>
      <w:tr>
        <w:trPr>
          <w:trHeight w:val="289" w:hRule="atLeast"/>
        </w:trPr>
        <w:tc>
          <w:tcPr>
            <w:tcW w:w="398" w:type="dxa"/>
            <w:tcBorders>
              <w:top w:val="single" w:sz="4" w:space="0" w:color="000000"/>
              <w:bottom w:val="single" w:sz="4" w:space="0" w:color="000000"/>
            </w:tcBorders>
          </w:tcPr>
          <w:p>
            <w:pPr>
              <w:pStyle w:val="TableParagraph"/>
              <w:spacing w:line="252" w:lineRule="exact" w:before="17"/>
              <w:ind w:left="128"/>
              <w:rPr>
                <w:rFonts w:ascii="Times New Roman"/>
                <w:b/>
                <w:sz w:val="22"/>
              </w:rPr>
            </w:pPr>
            <w:r>
              <w:rPr>
                <w:rFonts w:ascii="Times New Roman"/>
                <w:b/>
                <w:w w:val="100"/>
                <w:sz w:val="22"/>
              </w:rPr>
              <w:t>2</w:t>
            </w:r>
          </w:p>
        </w:tc>
        <w:tc>
          <w:tcPr>
            <w:tcW w:w="2020" w:type="dxa"/>
            <w:tcBorders>
              <w:top w:val="single" w:sz="4" w:space="0" w:color="000000"/>
              <w:bottom w:val="single" w:sz="4" w:space="0" w:color="000000"/>
              <w:right w:val="single" w:sz="4" w:space="0" w:color="000000"/>
            </w:tcBorders>
          </w:tcPr>
          <w:p>
            <w:pPr>
              <w:pStyle w:val="TableParagraph"/>
              <w:spacing w:before="12"/>
              <w:ind w:left="405"/>
              <w:rPr>
                <w:rFonts w:ascii="Times New Roman"/>
                <w:sz w:val="22"/>
              </w:rPr>
            </w:pPr>
            <w:r>
              <w:rPr>
                <w:rFonts w:ascii="Times New Roman"/>
                <w:sz w:val="22"/>
              </w:rPr>
              <w:t>United States</w:t>
            </w:r>
          </w:p>
        </w:tc>
        <w:tc>
          <w:tcPr>
            <w:tcW w:w="2015" w:type="dxa"/>
            <w:vMerge/>
            <w:tcBorders>
              <w:top w:val="nil"/>
              <w:left w:val="single" w:sz="4" w:space="0" w:color="000000"/>
              <w:bottom w:val="single" w:sz="8" w:space="0" w:color="000000"/>
              <w:right w:val="single" w:sz="4" w:space="0" w:color="000000"/>
            </w:tcBorders>
          </w:tcPr>
          <w:p>
            <w:pPr>
              <w:rPr>
                <w:sz w:val="2"/>
                <w:szCs w:val="2"/>
              </w:rPr>
            </w:pPr>
          </w:p>
        </w:tc>
        <w:tc>
          <w:tcPr>
            <w:tcW w:w="2140" w:type="dxa"/>
            <w:tcBorders>
              <w:top w:val="single" w:sz="4" w:space="0" w:color="000000"/>
              <w:left w:val="single" w:sz="4" w:space="0" w:color="000000"/>
              <w:bottom w:val="single" w:sz="4" w:space="0" w:color="000000"/>
              <w:right w:val="single" w:sz="4" w:space="0" w:color="000000"/>
            </w:tcBorders>
          </w:tcPr>
          <w:p>
            <w:pPr>
              <w:pStyle w:val="TableParagraph"/>
              <w:spacing w:before="12"/>
              <w:ind w:right="88"/>
              <w:jc w:val="right"/>
              <w:rPr>
                <w:rFonts w:ascii="Times New Roman"/>
                <w:sz w:val="22"/>
              </w:rPr>
            </w:pPr>
            <w:r>
              <w:rPr>
                <w:rFonts w:ascii="Times New Roman"/>
                <w:sz w:val="22"/>
              </w:rPr>
              <w:t>448.7</w:t>
            </w:r>
          </w:p>
        </w:tc>
        <w:tc>
          <w:tcPr>
            <w:tcW w:w="2198" w:type="dxa"/>
            <w:tcBorders>
              <w:top w:val="single" w:sz="4" w:space="0" w:color="000000"/>
              <w:left w:val="single" w:sz="4" w:space="0" w:color="000000"/>
              <w:bottom w:val="single" w:sz="4" w:space="0" w:color="000000"/>
            </w:tcBorders>
          </w:tcPr>
          <w:p>
            <w:pPr>
              <w:pStyle w:val="TableParagraph"/>
              <w:spacing w:before="12"/>
              <w:ind w:right="72"/>
              <w:jc w:val="right"/>
              <w:rPr>
                <w:rFonts w:ascii="Times New Roman"/>
                <w:sz w:val="22"/>
              </w:rPr>
            </w:pPr>
            <w:r>
              <w:rPr>
                <w:rFonts w:ascii="Times New Roman"/>
                <w:sz w:val="22"/>
              </w:rPr>
              <w:t>1,673,102</w:t>
            </w:r>
          </w:p>
        </w:tc>
      </w:tr>
      <w:tr>
        <w:trPr>
          <w:trHeight w:val="294" w:hRule="atLeast"/>
        </w:trPr>
        <w:tc>
          <w:tcPr>
            <w:tcW w:w="398" w:type="dxa"/>
            <w:tcBorders>
              <w:top w:val="single" w:sz="4" w:space="0" w:color="000000"/>
              <w:bottom w:val="single" w:sz="8" w:space="0" w:color="000000"/>
            </w:tcBorders>
          </w:tcPr>
          <w:p>
            <w:pPr>
              <w:pStyle w:val="TableParagraph"/>
              <w:spacing w:before="17"/>
              <w:ind w:left="128"/>
              <w:rPr>
                <w:rFonts w:ascii="Times New Roman"/>
                <w:b/>
                <w:sz w:val="22"/>
              </w:rPr>
            </w:pPr>
            <w:r>
              <w:rPr>
                <w:rFonts w:ascii="Times New Roman"/>
                <w:b/>
                <w:w w:val="100"/>
                <w:sz w:val="22"/>
              </w:rPr>
              <w:t>3</w:t>
            </w:r>
          </w:p>
        </w:tc>
        <w:tc>
          <w:tcPr>
            <w:tcW w:w="2020" w:type="dxa"/>
            <w:tcBorders>
              <w:top w:val="single" w:sz="4" w:space="0" w:color="000000"/>
              <w:bottom w:val="single" w:sz="8" w:space="0" w:color="000000"/>
              <w:right w:val="single" w:sz="4" w:space="0" w:color="000000"/>
            </w:tcBorders>
          </w:tcPr>
          <w:p>
            <w:pPr>
              <w:pStyle w:val="TableParagraph"/>
              <w:spacing w:before="12"/>
              <w:ind w:left="385"/>
              <w:rPr>
                <w:rFonts w:ascii="Times New Roman"/>
                <w:sz w:val="22"/>
              </w:rPr>
            </w:pPr>
            <w:r>
              <w:rPr>
                <w:rFonts w:ascii="Times New Roman"/>
                <w:sz w:val="22"/>
              </w:rPr>
              <w:t>Essex County</w:t>
            </w:r>
          </w:p>
        </w:tc>
        <w:tc>
          <w:tcPr>
            <w:tcW w:w="2015" w:type="dxa"/>
            <w:vMerge/>
            <w:tcBorders>
              <w:top w:val="nil"/>
              <w:left w:val="single" w:sz="4" w:space="0" w:color="000000"/>
              <w:bottom w:val="single" w:sz="8" w:space="0" w:color="000000"/>
              <w:right w:val="single" w:sz="4" w:space="0" w:color="000000"/>
            </w:tcBorders>
          </w:tcPr>
          <w:p>
            <w:pPr>
              <w:rPr>
                <w:sz w:val="2"/>
                <w:szCs w:val="2"/>
              </w:rPr>
            </w:pPr>
          </w:p>
        </w:tc>
        <w:tc>
          <w:tcPr>
            <w:tcW w:w="2140" w:type="dxa"/>
            <w:tcBorders>
              <w:top w:val="single" w:sz="4" w:space="0" w:color="000000"/>
              <w:left w:val="single" w:sz="4" w:space="0" w:color="000000"/>
              <w:bottom w:val="single" w:sz="8" w:space="0" w:color="000000"/>
              <w:right w:val="single" w:sz="4" w:space="0" w:color="000000"/>
            </w:tcBorders>
          </w:tcPr>
          <w:p>
            <w:pPr>
              <w:pStyle w:val="TableParagraph"/>
              <w:spacing w:before="12"/>
              <w:ind w:right="88"/>
              <w:jc w:val="right"/>
              <w:rPr>
                <w:rFonts w:ascii="Times New Roman"/>
                <w:sz w:val="22"/>
              </w:rPr>
            </w:pPr>
            <w:r>
              <w:rPr>
                <w:rFonts w:ascii="Times New Roman"/>
                <w:sz w:val="22"/>
              </w:rPr>
              <w:t>462.4</w:t>
            </w:r>
          </w:p>
        </w:tc>
        <w:tc>
          <w:tcPr>
            <w:tcW w:w="2198" w:type="dxa"/>
            <w:tcBorders>
              <w:top w:val="single" w:sz="4" w:space="0" w:color="000000"/>
              <w:left w:val="single" w:sz="4" w:space="0" w:color="000000"/>
              <w:bottom w:val="single" w:sz="8" w:space="0" w:color="000000"/>
            </w:tcBorders>
          </w:tcPr>
          <w:p>
            <w:pPr>
              <w:pStyle w:val="TableParagraph"/>
              <w:spacing w:before="12"/>
              <w:ind w:right="99"/>
              <w:jc w:val="right"/>
              <w:rPr>
                <w:rFonts w:ascii="Times New Roman"/>
                <w:sz w:val="22"/>
              </w:rPr>
            </w:pPr>
            <w:r>
              <w:rPr>
                <w:rFonts w:ascii="Times New Roman"/>
                <w:sz w:val="22"/>
              </w:rPr>
              <w:t>4,439</w:t>
            </w:r>
          </w:p>
        </w:tc>
      </w:tr>
      <w:tr>
        <w:trPr>
          <w:trHeight w:val="284" w:hRule="atLeast"/>
        </w:trPr>
        <w:tc>
          <w:tcPr>
            <w:tcW w:w="398" w:type="dxa"/>
            <w:tcBorders>
              <w:top w:val="single" w:sz="8" w:space="0" w:color="000000"/>
              <w:bottom w:val="single" w:sz="4" w:space="0" w:color="000000"/>
            </w:tcBorders>
          </w:tcPr>
          <w:p>
            <w:pPr>
              <w:pStyle w:val="TableParagraph"/>
              <w:spacing w:line="242" w:lineRule="exact" w:before="22"/>
              <w:ind w:left="128"/>
              <w:rPr>
                <w:rFonts w:ascii="Times New Roman"/>
                <w:b/>
                <w:sz w:val="22"/>
              </w:rPr>
            </w:pPr>
            <w:r>
              <w:rPr>
                <w:rFonts w:ascii="Times New Roman"/>
                <w:b/>
                <w:w w:val="100"/>
                <w:sz w:val="22"/>
              </w:rPr>
              <w:t>4</w:t>
            </w:r>
          </w:p>
        </w:tc>
        <w:tc>
          <w:tcPr>
            <w:tcW w:w="2020" w:type="dxa"/>
            <w:vMerge w:val="restart"/>
            <w:tcBorders>
              <w:top w:val="single" w:sz="8" w:space="0" w:color="000000"/>
              <w:right w:val="single" w:sz="4" w:space="0" w:color="000000"/>
            </w:tcBorders>
          </w:tcPr>
          <w:p>
            <w:pPr>
              <w:pStyle w:val="TableParagraph"/>
              <w:rPr>
                <w:rFonts w:ascii="Times New Roman"/>
                <w:b/>
                <w:sz w:val="24"/>
              </w:rPr>
            </w:pPr>
          </w:p>
          <w:p>
            <w:pPr>
              <w:pStyle w:val="TableParagraph"/>
              <w:rPr>
                <w:rFonts w:ascii="Times New Roman"/>
                <w:b/>
                <w:sz w:val="24"/>
              </w:rPr>
            </w:pPr>
          </w:p>
          <w:p>
            <w:pPr>
              <w:pStyle w:val="TableParagraph"/>
              <w:spacing w:before="164"/>
              <w:ind w:left="385"/>
              <w:rPr>
                <w:rFonts w:ascii="Times New Roman"/>
                <w:sz w:val="22"/>
              </w:rPr>
            </w:pPr>
            <w:r>
              <w:rPr>
                <w:rFonts w:ascii="Times New Roman"/>
                <w:sz w:val="22"/>
              </w:rPr>
              <w:t>Essex County</w:t>
            </w:r>
          </w:p>
        </w:tc>
        <w:tc>
          <w:tcPr>
            <w:tcW w:w="2015" w:type="dxa"/>
            <w:tcBorders>
              <w:top w:val="single" w:sz="8" w:space="0" w:color="000000"/>
              <w:left w:val="single" w:sz="4" w:space="0" w:color="000000"/>
              <w:bottom w:val="single" w:sz="4" w:space="0" w:color="000000"/>
              <w:right w:val="single" w:sz="4" w:space="0" w:color="000000"/>
            </w:tcBorders>
          </w:tcPr>
          <w:p>
            <w:pPr>
              <w:pStyle w:val="TableParagraph"/>
              <w:spacing w:line="247" w:lineRule="exact" w:before="17"/>
              <w:ind w:left="111"/>
              <w:rPr>
                <w:rFonts w:ascii="Times New Roman"/>
                <w:sz w:val="22"/>
              </w:rPr>
            </w:pPr>
            <w:r>
              <w:rPr>
                <w:rFonts w:ascii="Times New Roman"/>
                <w:sz w:val="22"/>
              </w:rPr>
              <w:t>Breast</w:t>
            </w:r>
          </w:p>
        </w:tc>
        <w:tc>
          <w:tcPr>
            <w:tcW w:w="2140" w:type="dxa"/>
            <w:tcBorders>
              <w:top w:val="single" w:sz="8" w:space="0" w:color="000000"/>
              <w:left w:val="single" w:sz="4" w:space="0" w:color="000000"/>
              <w:bottom w:val="single" w:sz="4" w:space="0" w:color="000000"/>
              <w:right w:val="single" w:sz="4" w:space="0" w:color="000000"/>
            </w:tcBorders>
          </w:tcPr>
          <w:p>
            <w:pPr>
              <w:pStyle w:val="TableParagraph"/>
              <w:spacing w:line="247" w:lineRule="exact" w:before="17"/>
              <w:ind w:right="88"/>
              <w:jc w:val="right"/>
              <w:rPr>
                <w:rFonts w:ascii="Times New Roman"/>
                <w:sz w:val="22"/>
              </w:rPr>
            </w:pPr>
            <w:r>
              <w:rPr>
                <w:rFonts w:ascii="Times New Roman"/>
                <w:sz w:val="22"/>
              </w:rPr>
              <w:t>138.3</w:t>
            </w:r>
          </w:p>
        </w:tc>
        <w:tc>
          <w:tcPr>
            <w:tcW w:w="2198" w:type="dxa"/>
            <w:tcBorders>
              <w:top w:val="single" w:sz="8" w:space="0" w:color="000000"/>
              <w:left w:val="single" w:sz="4" w:space="0" w:color="000000"/>
              <w:bottom w:val="single" w:sz="4" w:space="0" w:color="000000"/>
            </w:tcBorders>
          </w:tcPr>
          <w:p>
            <w:pPr>
              <w:pStyle w:val="TableParagraph"/>
              <w:spacing w:line="247" w:lineRule="exact" w:before="17"/>
              <w:ind w:right="99"/>
              <w:jc w:val="right"/>
              <w:rPr>
                <w:rFonts w:ascii="Times New Roman"/>
                <w:sz w:val="22"/>
              </w:rPr>
            </w:pPr>
            <w:r>
              <w:rPr>
                <w:rFonts w:ascii="Times New Roman"/>
                <w:sz w:val="22"/>
              </w:rPr>
              <w:t>700</w:t>
            </w:r>
          </w:p>
        </w:tc>
      </w:tr>
      <w:tr>
        <w:trPr>
          <w:trHeight w:val="298" w:hRule="atLeast"/>
        </w:trPr>
        <w:tc>
          <w:tcPr>
            <w:tcW w:w="398" w:type="dxa"/>
            <w:tcBorders>
              <w:top w:val="single" w:sz="4" w:space="0" w:color="000000"/>
              <w:bottom w:val="single" w:sz="4" w:space="0" w:color="000000"/>
            </w:tcBorders>
          </w:tcPr>
          <w:p>
            <w:pPr>
              <w:pStyle w:val="TableParagraph"/>
              <w:spacing w:line="240" w:lineRule="exact" w:before="38"/>
              <w:ind w:left="128"/>
              <w:rPr>
                <w:rFonts w:ascii="Times New Roman"/>
                <w:b/>
                <w:sz w:val="22"/>
              </w:rPr>
            </w:pPr>
            <w:r>
              <w:rPr>
                <w:rFonts w:ascii="Times New Roman"/>
                <w:b/>
                <w:w w:val="100"/>
                <w:sz w:val="22"/>
              </w:rPr>
              <w:t>5</w:t>
            </w:r>
          </w:p>
        </w:tc>
        <w:tc>
          <w:tcPr>
            <w:tcW w:w="2020" w:type="dxa"/>
            <w:vMerge/>
            <w:tcBorders>
              <w:top w:val="nil"/>
              <w:right w:val="single" w:sz="4" w:space="0" w:color="000000"/>
            </w:tcBorders>
          </w:tcPr>
          <w:p>
            <w:pPr>
              <w:rPr>
                <w:sz w:val="2"/>
                <w:szCs w:val="2"/>
              </w:rPr>
            </w:pPr>
          </w:p>
        </w:tc>
        <w:tc>
          <w:tcPr>
            <w:tcW w:w="2015" w:type="dxa"/>
            <w:tcBorders>
              <w:top w:val="single" w:sz="4" w:space="0" w:color="000000"/>
              <w:left w:val="single" w:sz="4" w:space="0" w:color="000000"/>
              <w:bottom w:val="single" w:sz="4" w:space="0" w:color="000000"/>
              <w:right w:val="single" w:sz="4" w:space="0" w:color="000000"/>
            </w:tcBorders>
          </w:tcPr>
          <w:p>
            <w:pPr>
              <w:pStyle w:val="TableParagraph"/>
              <w:spacing w:line="244" w:lineRule="exact" w:before="33"/>
              <w:ind w:left="111"/>
              <w:rPr>
                <w:rFonts w:ascii="Times New Roman"/>
                <w:sz w:val="22"/>
              </w:rPr>
            </w:pPr>
            <w:r>
              <w:rPr>
                <w:rFonts w:ascii="Times New Roman"/>
                <w:sz w:val="22"/>
              </w:rPr>
              <w:t>Lung &amp; Bronchus</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spacing w:line="244" w:lineRule="exact" w:before="33"/>
              <w:ind w:right="90"/>
              <w:jc w:val="right"/>
              <w:rPr>
                <w:rFonts w:ascii="Times New Roman"/>
                <w:sz w:val="22"/>
              </w:rPr>
            </w:pPr>
            <w:r>
              <w:rPr>
                <w:rFonts w:ascii="Times New Roman"/>
                <w:sz w:val="22"/>
              </w:rPr>
              <w:t>61</w:t>
            </w:r>
          </w:p>
        </w:tc>
        <w:tc>
          <w:tcPr>
            <w:tcW w:w="2198" w:type="dxa"/>
            <w:tcBorders>
              <w:top w:val="single" w:sz="4" w:space="0" w:color="000000"/>
              <w:left w:val="single" w:sz="4" w:space="0" w:color="000000"/>
              <w:bottom w:val="single" w:sz="4" w:space="0" w:color="000000"/>
            </w:tcBorders>
          </w:tcPr>
          <w:p>
            <w:pPr>
              <w:pStyle w:val="TableParagraph"/>
              <w:spacing w:line="244" w:lineRule="exact" w:before="33"/>
              <w:ind w:right="99"/>
              <w:jc w:val="right"/>
              <w:rPr>
                <w:rFonts w:ascii="Times New Roman"/>
                <w:sz w:val="22"/>
              </w:rPr>
            </w:pPr>
            <w:r>
              <w:rPr>
                <w:rFonts w:ascii="Times New Roman"/>
                <w:sz w:val="22"/>
              </w:rPr>
              <w:t>599</w:t>
            </w:r>
          </w:p>
        </w:tc>
      </w:tr>
      <w:tr>
        <w:trPr>
          <w:trHeight w:val="300" w:hRule="atLeast"/>
        </w:trPr>
        <w:tc>
          <w:tcPr>
            <w:tcW w:w="398" w:type="dxa"/>
            <w:tcBorders>
              <w:top w:val="single" w:sz="4" w:space="0" w:color="000000"/>
              <w:bottom w:val="single" w:sz="4" w:space="0" w:color="000000"/>
            </w:tcBorders>
          </w:tcPr>
          <w:p>
            <w:pPr>
              <w:pStyle w:val="TableParagraph"/>
              <w:spacing w:line="240" w:lineRule="exact" w:before="41"/>
              <w:ind w:left="128"/>
              <w:rPr>
                <w:rFonts w:ascii="Times New Roman"/>
                <w:b/>
                <w:sz w:val="22"/>
              </w:rPr>
            </w:pPr>
            <w:r>
              <w:rPr>
                <w:rFonts w:ascii="Times New Roman"/>
                <w:b/>
                <w:w w:val="100"/>
                <w:sz w:val="22"/>
              </w:rPr>
              <w:t>6</w:t>
            </w:r>
          </w:p>
        </w:tc>
        <w:tc>
          <w:tcPr>
            <w:tcW w:w="2020" w:type="dxa"/>
            <w:vMerge/>
            <w:tcBorders>
              <w:top w:val="nil"/>
              <w:right w:val="single" w:sz="4" w:space="0" w:color="000000"/>
            </w:tcBorders>
          </w:tcPr>
          <w:p>
            <w:pPr>
              <w:rPr>
                <w:sz w:val="2"/>
                <w:szCs w:val="2"/>
              </w:rPr>
            </w:pPr>
          </w:p>
        </w:tc>
        <w:tc>
          <w:tcPr>
            <w:tcW w:w="2015" w:type="dxa"/>
            <w:tcBorders>
              <w:top w:val="single" w:sz="4" w:space="0" w:color="000000"/>
              <w:left w:val="single" w:sz="4" w:space="0" w:color="000000"/>
              <w:bottom w:val="single" w:sz="4" w:space="0" w:color="000000"/>
              <w:right w:val="single" w:sz="4" w:space="0" w:color="000000"/>
            </w:tcBorders>
          </w:tcPr>
          <w:p>
            <w:pPr>
              <w:pStyle w:val="TableParagraph"/>
              <w:spacing w:line="244" w:lineRule="exact" w:before="36"/>
              <w:ind w:left="111"/>
              <w:rPr>
                <w:rFonts w:ascii="Times New Roman"/>
                <w:sz w:val="22"/>
              </w:rPr>
            </w:pPr>
            <w:r>
              <w:rPr>
                <w:rFonts w:ascii="Times New Roman"/>
                <w:sz w:val="22"/>
              </w:rPr>
              <w:t>Prostate</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spacing w:line="244" w:lineRule="exact" w:before="36"/>
              <w:ind w:right="88"/>
              <w:jc w:val="right"/>
              <w:rPr>
                <w:rFonts w:ascii="Times New Roman"/>
                <w:sz w:val="22"/>
              </w:rPr>
            </w:pPr>
            <w:r>
              <w:rPr>
                <w:rFonts w:ascii="Times New Roman"/>
                <w:sz w:val="22"/>
              </w:rPr>
              <w:t>107.4</w:t>
            </w:r>
          </w:p>
        </w:tc>
        <w:tc>
          <w:tcPr>
            <w:tcW w:w="2198" w:type="dxa"/>
            <w:tcBorders>
              <w:top w:val="single" w:sz="4" w:space="0" w:color="000000"/>
              <w:left w:val="single" w:sz="4" w:space="0" w:color="000000"/>
              <w:bottom w:val="single" w:sz="4" w:space="0" w:color="000000"/>
            </w:tcBorders>
          </w:tcPr>
          <w:p>
            <w:pPr>
              <w:pStyle w:val="TableParagraph"/>
              <w:spacing w:line="244" w:lineRule="exact" w:before="36"/>
              <w:ind w:right="99"/>
              <w:jc w:val="right"/>
              <w:rPr>
                <w:rFonts w:ascii="Times New Roman"/>
                <w:sz w:val="22"/>
              </w:rPr>
            </w:pPr>
            <w:r>
              <w:rPr>
                <w:rFonts w:ascii="Times New Roman"/>
                <w:sz w:val="22"/>
              </w:rPr>
              <w:t>509</w:t>
            </w:r>
          </w:p>
        </w:tc>
      </w:tr>
      <w:tr>
        <w:trPr>
          <w:trHeight w:val="300" w:hRule="atLeast"/>
        </w:trPr>
        <w:tc>
          <w:tcPr>
            <w:tcW w:w="398" w:type="dxa"/>
            <w:tcBorders>
              <w:top w:val="single" w:sz="4" w:space="0" w:color="000000"/>
              <w:bottom w:val="single" w:sz="4" w:space="0" w:color="000000"/>
            </w:tcBorders>
          </w:tcPr>
          <w:p>
            <w:pPr>
              <w:pStyle w:val="TableParagraph"/>
              <w:spacing w:line="240" w:lineRule="exact" w:before="41"/>
              <w:ind w:left="128"/>
              <w:rPr>
                <w:rFonts w:ascii="Times New Roman"/>
                <w:b/>
                <w:sz w:val="22"/>
              </w:rPr>
            </w:pPr>
            <w:r>
              <w:rPr>
                <w:rFonts w:ascii="Times New Roman"/>
                <w:b/>
                <w:w w:val="100"/>
                <w:sz w:val="22"/>
              </w:rPr>
              <w:t>7</w:t>
            </w:r>
          </w:p>
        </w:tc>
        <w:tc>
          <w:tcPr>
            <w:tcW w:w="2020" w:type="dxa"/>
            <w:vMerge/>
            <w:tcBorders>
              <w:top w:val="nil"/>
              <w:right w:val="single" w:sz="4" w:space="0" w:color="000000"/>
            </w:tcBorders>
          </w:tcPr>
          <w:p>
            <w:pPr>
              <w:rPr>
                <w:sz w:val="2"/>
                <w:szCs w:val="2"/>
              </w:rPr>
            </w:pPr>
          </w:p>
        </w:tc>
        <w:tc>
          <w:tcPr>
            <w:tcW w:w="2015" w:type="dxa"/>
            <w:tcBorders>
              <w:top w:val="single" w:sz="4" w:space="0" w:color="000000"/>
              <w:left w:val="single" w:sz="4" w:space="0" w:color="000000"/>
              <w:bottom w:val="single" w:sz="4" w:space="0" w:color="000000"/>
              <w:right w:val="single" w:sz="4" w:space="0" w:color="000000"/>
            </w:tcBorders>
          </w:tcPr>
          <w:p>
            <w:pPr>
              <w:pStyle w:val="TableParagraph"/>
              <w:spacing w:line="244" w:lineRule="exact" w:before="36"/>
              <w:ind w:left="111"/>
              <w:rPr>
                <w:rFonts w:ascii="Times New Roman"/>
                <w:sz w:val="22"/>
              </w:rPr>
            </w:pPr>
            <w:r>
              <w:rPr>
                <w:rFonts w:ascii="Times New Roman"/>
                <w:sz w:val="22"/>
              </w:rPr>
              <w:t>Colon &amp; Rectum</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spacing w:line="244" w:lineRule="exact" w:before="36"/>
              <w:ind w:right="88"/>
              <w:jc w:val="right"/>
              <w:rPr>
                <w:rFonts w:ascii="Times New Roman"/>
                <w:sz w:val="22"/>
              </w:rPr>
            </w:pPr>
            <w:r>
              <w:rPr>
                <w:rFonts w:ascii="Times New Roman"/>
                <w:sz w:val="22"/>
              </w:rPr>
              <w:t>33.3</w:t>
            </w:r>
          </w:p>
        </w:tc>
        <w:tc>
          <w:tcPr>
            <w:tcW w:w="2198" w:type="dxa"/>
            <w:tcBorders>
              <w:top w:val="single" w:sz="4" w:space="0" w:color="000000"/>
              <w:left w:val="single" w:sz="4" w:space="0" w:color="000000"/>
              <w:bottom w:val="single" w:sz="4" w:space="0" w:color="000000"/>
            </w:tcBorders>
          </w:tcPr>
          <w:p>
            <w:pPr>
              <w:pStyle w:val="TableParagraph"/>
              <w:spacing w:line="244" w:lineRule="exact" w:before="36"/>
              <w:ind w:right="99"/>
              <w:jc w:val="right"/>
              <w:rPr>
                <w:rFonts w:ascii="Times New Roman"/>
                <w:sz w:val="22"/>
              </w:rPr>
            </w:pPr>
            <w:r>
              <w:rPr>
                <w:rFonts w:ascii="Times New Roman"/>
                <w:sz w:val="22"/>
              </w:rPr>
              <w:t>316</w:t>
            </w:r>
          </w:p>
        </w:tc>
      </w:tr>
      <w:tr>
        <w:trPr>
          <w:trHeight w:val="334" w:hRule="atLeast"/>
        </w:trPr>
        <w:tc>
          <w:tcPr>
            <w:tcW w:w="398" w:type="dxa"/>
            <w:tcBorders>
              <w:top w:val="single" w:sz="4" w:space="0" w:color="000000"/>
            </w:tcBorders>
          </w:tcPr>
          <w:p>
            <w:pPr>
              <w:pStyle w:val="TableParagraph"/>
              <w:spacing w:before="48"/>
              <w:ind w:left="128"/>
              <w:rPr>
                <w:rFonts w:ascii="Times New Roman"/>
                <w:b/>
                <w:sz w:val="22"/>
              </w:rPr>
            </w:pPr>
            <w:r>
              <w:rPr>
                <w:rFonts w:ascii="Times New Roman"/>
                <w:b/>
                <w:w w:val="100"/>
                <w:sz w:val="22"/>
              </w:rPr>
              <w:t>8</w:t>
            </w:r>
          </w:p>
        </w:tc>
        <w:tc>
          <w:tcPr>
            <w:tcW w:w="2020" w:type="dxa"/>
            <w:vMerge/>
            <w:tcBorders>
              <w:top w:val="nil"/>
              <w:right w:val="single" w:sz="4" w:space="0" w:color="000000"/>
            </w:tcBorders>
          </w:tcPr>
          <w:p>
            <w:pPr>
              <w:rPr>
                <w:sz w:val="2"/>
                <w:szCs w:val="2"/>
              </w:rPr>
            </w:pPr>
          </w:p>
        </w:tc>
        <w:tc>
          <w:tcPr>
            <w:tcW w:w="2015" w:type="dxa"/>
            <w:tcBorders>
              <w:top w:val="single" w:sz="4" w:space="0" w:color="000000"/>
              <w:left w:val="single" w:sz="4" w:space="0" w:color="000000"/>
              <w:right w:val="single" w:sz="4" w:space="0" w:color="000000"/>
            </w:tcBorders>
          </w:tcPr>
          <w:p>
            <w:pPr>
              <w:pStyle w:val="TableParagraph"/>
              <w:spacing w:before="43"/>
              <w:ind w:left="111"/>
              <w:rPr>
                <w:rFonts w:ascii="Times New Roman"/>
                <w:sz w:val="22"/>
              </w:rPr>
            </w:pPr>
            <w:r>
              <w:rPr>
                <w:rFonts w:ascii="Times New Roman"/>
                <w:sz w:val="22"/>
              </w:rPr>
              <w:t>Bladder</w:t>
            </w:r>
          </w:p>
        </w:tc>
        <w:tc>
          <w:tcPr>
            <w:tcW w:w="2140" w:type="dxa"/>
            <w:tcBorders>
              <w:top w:val="single" w:sz="4" w:space="0" w:color="000000"/>
              <w:left w:val="single" w:sz="4" w:space="0" w:color="000000"/>
              <w:right w:val="single" w:sz="4" w:space="0" w:color="000000"/>
            </w:tcBorders>
          </w:tcPr>
          <w:p>
            <w:pPr>
              <w:pStyle w:val="TableParagraph"/>
              <w:spacing w:before="43"/>
              <w:ind w:right="88"/>
              <w:jc w:val="right"/>
              <w:rPr>
                <w:rFonts w:ascii="Times New Roman"/>
                <w:sz w:val="22"/>
              </w:rPr>
            </w:pPr>
            <w:r>
              <w:rPr>
                <w:rFonts w:ascii="Times New Roman"/>
                <w:sz w:val="22"/>
              </w:rPr>
              <w:t>25.2</w:t>
            </w:r>
          </w:p>
        </w:tc>
        <w:tc>
          <w:tcPr>
            <w:tcW w:w="2198" w:type="dxa"/>
            <w:tcBorders>
              <w:top w:val="single" w:sz="4" w:space="0" w:color="000000"/>
              <w:left w:val="single" w:sz="4" w:space="0" w:color="000000"/>
            </w:tcBorders>
          </w:tcPr>
          <w:p>
            <w:pPr>
              <w:pStyle w:val="TableParagraph"/>
              <w:spacing w:before="43"/>
              <w:ind w:right="99"/>
              <w:jc w:val="right"/>
              <w:rPr>
                <w:rFonts w:ascii="Times New Roman"/>
                <w:sz w:val="22"/>
              </w:rPr>
            </w:pPr>
            <w:r>
              <w:rPr>
                <w:rFonts w:ascii="Times New Roman"/>
                <w:sz w:val="22"/>
              </w:rPr>
              <w:t>245</w:t>
            </w:r>
          </w:p>
        </w:tc>
      </w:tr>
    </w:tbl>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7"/>
        <w:rPr>
          <w:rFonts w:ascii="Times New Roman"/>
          <w:b/>
          <w:sz w:val="26"/>
        </w:rPr>
      </w:pPr>
      <w:r>
        <w:rPr/>
        <w:pict>
          <v:rect style="position:absolute;margin-left:72pt;margin-top:17.273663pt;width:144pt;height:.72pt;mso-position-horizontal-relative:page;mso-position-vertical-relative:paragraph;z-index:-15725568;mso-wrap-distance-left:0;mso-wrap-distance-right:0" filled="true" fillcolor="#000000" stroked="false">
            <v:fill type="solid"/>
            <w10:wrap type="topAndBottom"/>
          </v:rect>
        </w:pict>
      </w:r>
    </w:p>
    <w:p>
      <w:pPr>
        <w:pStyle w:val="ListParagraph"/>
        <w:numPr>
          <w:ilvl w:val="0"/>
          <w:numId w:val="3"/>
        </w:numPr>
        <w:tabs>
          <w:tab w:pos="1299" w:val="left" w:leader="none"/>
          <w:tab w:pos="1301" w:val="left" w:leader="none"/>
        </w:tabs>
        <w:spacing w:line="158" w:lineRule="auto" w:before="68" w:after="0"/>
        <w:ind w:left="1300" w:right="0" w:hanging="361"/>
        <w:jc w:val="left"/>
        <w:rPr>
          <w:sz w:val="10"/>
        </w:rPr>
      </w:pPr>
      <w:bookmarkStart w:name="_bookmark19" w:id="27"/>
      <w:bookmarkEnd w:id="27"/>
      <w:r>
        <w:rPr/>
      </w:r>
      <w:bookmarkStart w:name="_bookmark19" w:id="28"/>
      <w:bookmarkEnd w:id="28"/>
      <w:r>
        <w:rPr>
          <w:position w:val="-6"/>
          <w:sz w:val="15"/>
        </w:rPr>
        <w:t>P</w:t>
      </w:r>
      <w:r>
        <w:rPr>
          <w:position w:val="-6"/>
          <w:sz w:val="15"/>
        </w:rPr>
        <w:t>opulation Size was estimated using 2010 population data</w:t>
      </w:r>
      <w:r>
        <w:rPr>
          <w:sz w:val="10"/>
        </w:rPr>
        <w:t>. “Pop-Facts Demographics, By Age, Race, and Sex: Essex County, MA” Spotlight, Environics Analytics,</w:t>
      </w:r>
      <w:r>
        <w:rPr>
          <w:spacing w:val="-15"/>
          <w:sz w:val="10"/>
        </w:rPr>
        <w:t> </w:t>
      </w:r>
      <w:r>
        <w:rPr>
          <w:sz w:val="10"/>
        </w:rPr>
        <w:t>2020</w:t>
      </w:r>
    </w:p>
    <w:p>
      <w:pPr>
        <w:pStyle w:val="ListParagraph"/>
        <w:numPr>
          <w:ilvl w:val="0"/>
          <w:numId w:val="3"/>
        </w:numPr>
        <w:tabs>
          <w:tab w:pos="1299" w:val="left" w:leader="none"/>
          <w:tab w:pos="1300" w:val="left" w:leader="none"/>
        </w:tabs>
        <w:spacing w:line="211" w:lineRule="auto" w:before="20" w:after="0"/>
        <w:ind w:left="1299" w:right="1318" w:hanging="360"/>
        <w:jc w:val="left"/>
        <w:rPr>
          <w:sz w:val="15"/>
        </w:rPr>
      </w:pPr>
      <w:bookmarkStart w:name="_bookmark20" w:id="29"/>
      <w:bookmarkEnd w:id="29"/>
      <w:r>
        <w:rPr/>
      </w:r>
      <w:bookmarkStart w:name="_bookmark20" w:id="30"/>
      <w:bookmarkEnd w:id="30"/>
      <w:r>
        <w:rPr>
          <w:position w:val="-6"/>
          <w:sz w:val="15"/>
        </w:rPr>
        <w:t>P</w:t>
      </w:r>
      <w:r>
        <w:rPr>
          <w:position w:val="-6"/>
          <w:sz w:val="15"/>
        </w:rPr>
        <w:t>opulation Size was estimated using 2020 population data</w:t>
      </w:r>
      <w:r>
        <w:rPr>
          <w:sz w:val="10"/>
        </w:rPr>
        <w:t>. “Pop-Facts Demographics, By Age, Race, and Sex: Essex County, MA” Spotlight, Environics Analytics, 2020</w:t>
      </w:r>
      <w:r>
        <w:rPr>
          <w:position w:val="-6"/>
          <w:sz w:val="15"/>
        </w:rPr>
        <w:t>; </w:t>
      </w:r>
      <w:r>
        <w:rPr>
          <w:sz w:val="10"/>
        </w:rPr>
        <w:t>“Pop-Facts Demographics,</w:t>
      </w:r>
      <w:r>
        <w:rPr>
          <w:spacing w:val="-2"/>
          <w:sz w:val="10"/>
        </w:rPr>
        <w:t> </w:t>
      </w:r>
      <w:r>
        <w:rPr>
          <w:sz w:val="10"/>
        </w:rPr>
        <w:t>By</w:t>
      </w:r>
      <w:r>
        <w:rPr>
          <w:spacing w:val="-6"/>
          <w:sz w:val="10"/>
        </w:rPr>
        <w:t> </w:t>
      </w:r>
      <w:r>
        <w:rPr>
          <w:sz w:val="10"/>
        </w:rPr>
        <w:t>Age,</w:t>
      </w:r>
      <w:r>
        <w:rPr>
          <w:spacing w:val="-2"/>
          <w:sz w:val="10"/>
        </w:rPr>
        <w:t> </w:t>
      </w:r>
      <w:r>
        <w:rPr>
          <w:sz w:val="10"/>
        </w:rPr>
        <w:t>Race,</w:t>
      </w:r>
      <w:r>
        <w:rPr>
          <w:spacing w:val="-1"/>
          <w:sz w:val="10"/>
        </w:rPr>
        <w:t> </w:t>
      </w:r>
      <w:r>
        <w:rPr>
          <w:sz w:val="10"/>
        </w:rPr>
        <w:t>and</w:t>
      </w:r>
      <w:r>
        <w:rPr>
          <w:spacing w:val="-2"/>
          <w:sz w:val="10"/>
        </w:rPr>
        <w:t> </w:t>
      </w:r>
      <w:r>
        <w:rPr>
          <w:sz w:val="10"/>
        </w:rPr>
        <w:t>Sex:</w:t>
      </w:r>
      <w:r>
        <w:rPr>
          <w:spacing w:val="-4"/>
          <w:sz w:val="10"/>
        </w:rPr>
        <w:t> </w:t>
      </w:r>
      <w:r>
        <w:rPr>
          <w:sz w:val="10"/>
        </w:rPr>
        <w:t>Ma</w:t>
      </w:r>
      <w:r>
        <w:rPr>
          <w:position w:val="-6"/>
          <w:sz w:val="15"/>
        </w:rPr>
        <w:t>ssachusetts</w:t>
      </w:r>
      <w:r>
        <w:rPr>
          <w:sz w:val="10"/>
        </w:rPr>
        <w:t>”</w:t>
      </w:r>
      <w:r>
        <w:rPr>
          <w:spacing w:val="-1"/>
          <w:sz w:val="10"/>
        </w:rPr>
        <w:t> </w:t>
      </w:r>
      <w:r>
        <w:rPr>
          <w:sz w:val="10"/>
        </w:rPr>
        <w:t>Spotlight,</w:t>
      </w:r>
      <w:r>
        <w:rPr>
          <w:spacing w:val="-3"/>
          <w:sz w:val="10"/>
        </w:rPr>
        <w:t> </w:t>
      </w:r>
      <w:r>
        <w:rPr>
          <w:sz w:val="10"/>
        </w:rPr>
        <w:t>Environics</w:t>
      </w:r>
      <w:r>
        <w:rPr>
          <w:spacing w:val="-3"/>
          <w:sz w:val="10"/>
        </w:rPr>
        <w:t> </w:t>
      </w:r>
      <w:r>
        <w:rPr>
          <w:sz w:val="10"/>
        </w:rPr>
        <w:t>Analytics,</w:t>
      </w:r>
      <w:r>
        <w:rPr>
          <w:spacing w:val="-1"/>
          <w:sz w:val="10"/>
        </w:rPr>
        <w:t> </w:t>
      </w:r>
      <w:r>
        <w:rPr>
          <w:sz w:val="10"/>
        </w:rPr>
        <w:t>2020</w:t>
      </w:r>
      <w:r>
        <w:rPr>
          <w:position w:val="-6"/>
          <w:sz w:val="15"/>
        </w:rPr>
        <w:t>;</w:t>
      </w:r>
      <w:r>
        <w:rPr>
          <w:spacing w:val="-6"/>
          <w:position w:val="-6"/>
          <w:sz w:val="15"/>
        </w:rPr>
        <w:t> </w:t>
      </w:r>
      <w:r>
        <w:rPr>
          <w:sz w:val="10"/>
        </w:rPr>
        <w:t>“Pop-Facts</w:t>
      </w:r>
      <w:r>
        <w:rPr>
          <w:spacing w:val="-3"/>
          <w:sz w:val="10"/>
        </w:rPr>
        <w:t> </w:t>
      </w:r>
      <w:r>
        <w:rPr>
          <w:sz w:val="10"/>
        </w:rPr>
        <w:t>Demographics,</w:t>
      </w:r>
      <w:r>
        <w:rPr>
          <w:spacing w:val="-3"/>
          <w:sz w:val="10"/>
        </w:rPr>
        <w:t> </w:t>
      </w:r>
      <w:r>
        <w:rPr>
          <w:sz w:val="10"/>
        </w:rPr>
        <w:t>By</w:t>
      </w:r>
      <w:r>
        <w:rPr>
          <w:spacing w:val="-6"/>
          <w:sz w:val="10"/>
        </w:rPr>
        <w:t> </w:t>
      </w:r>
      <w:r>
        <w:rPr>
          <w:sz w:val="10"/>
        </w:rPr>
        <w:t>Age,</w:t>
      </w:r>
      <w:r>
        <w:rPr>
          <w:spacing w:val="-1"/>
          <w:sz w:val="10"/>
        </w:rPr>
        <w:t> </w:t>
      </w:r>
      <w:r>
        <w:rPr>
          <w:sz w:val="10"/>
        </w:rPr>
        <w:t>Race,</w:t>
      </w:r>
      <w:r>
        <w:rPr>
          <w:spacing w:val="-2"/>
          <w:sz w:val="10"/>
        </w:rPr>
        <w:t> </w:t>
      </w:r>
      <w:r>
        <w:rPr>
          <w:sz w:val="10"/>
        </w:rPr>
        <w:t>and</w:t>
      </w:r>
      <w:r>
        <w:rPr>
          <w:spacing w:val="-4"/>
          <w:sz w:val="10"/>
        </w:rPr>
        <w:t> </w:t>
      </w:r>
      <w:r>
        <w:rPr>
          <w:sz w:val="10"/>
        </w:rPr>
        <w:t>Sex:</w:t>
      </w:r>
      <w:r>
        <w:rPr>
          <w:spacing w:val="-1"/>
          <w:sz w:val="10"/>
        </w:rPr>
        <w:t> </w:t>
      </w:r>
      <w:r>
        <w:rPr>
          <w:sz w:val="10"/>
        </w:rPr>
        <w:t>U</w:t>
      </w:r>
      <w:r>
        <w:rPr>
          <w:position w:val="-6"/>
          <w:sz w:val="15"/>
        </w:rPr>
        <w:t>nited</w:t>
      </w:r>
      <w:r>
        <w:rPr>
          <w:spacing w:val="-5"/>
          <w:position w:val="-6"/>
          <w:sz w:val="15"/>
        </w:rPr>
        <w:t> </w:t>
      </w:r>
      <w:r>
        <w:rPr>
          <w:position w:val="-6"/>
          <w:sz w:val="15"/>
        </w:rPr>
        <w:t>States</w:t>
      </w:r>
      <w:r>
        <w:rPr>
          <w:sz w:val="10"/>
        </w:rPr>
        <w:t>”</w:t>
      </w:r>
      <w:r>
        <w:rPr>
          <w:spacing w:val="-1"/>
          <w:sz w:val="10"/>
        </w:rPr>
        <w:t> </w:t>
      </w:r>
      <w:r>
        <w:rPr>
          <w:sz w:val="10"/>
        </w:rPr>
        <w:t>Spotlight,</w:t>
      </w:r>
      <w:r>
        <w:rPr>
          <w:spacing w:val="-3"/>
          <w:sz w:val="10"/>
        </w:rPr>
        <w:t> </w:t>
      </w:r>
      <w:r>
        <w:rPr>
          <w:sz w:val="10"/>
        </w:rPr>
        <w:t>Environics</w:t>
      </w:r>
      <w:r>
        <w:rPr>
          <w:spacing w:val="-4"/>
          <w:sz w:val="10"/>
        </w:rPr>
        <w:t> </w:t>
      </w:r>
      <w:r>
        <w:rPr>
          <w:sz w:val="10"/>
        </w:rPr>
        <w:t>Analytics,</w:t>
      </w:r>
      <w:r>
        <w:rPr>
          <w:spacing w:val="-1"/>
          <w:sz w:val="10"/>
        </w:rPr>
        <w:t> </w:t>
      </w:r>
      <w:r>
        <w:rPr>
          <w:sz w:val="10"/>
        </w:rPr>
        <w:t>2020</w:t>
      </w:r>
      <w:r>
        <w:rPr>
          <w:position w:val="-6"/>
          <w:sz w:val="15"/>
        </w:rPr>
        <w:t>.</w:t>
      </w:r>
    </w:p>
    <w:p>
      <w:pPr>
        <w:tabs>
          <w:tab w:pos="1299" w:val="left" w:leader="none"/>
        </w:tabs>
        <w:spacing w:before="10"/>
        <w:ind w:left="1299" w:right="1309" w:hanging="360"/>
        <w:jc w:val="left"/>
        <w:rPr>
          <w:rFonts w:ascii="Times New Roman"/>
          <w:sz w:val="15"/>
        </w:rPr>
      </w:pPr>
      <w:bookmarkStart w:name="_bookmark21" w:id="31"/>
      <w:bookmarkEnd w:id="31"/>
      <w:r>
        <w:rPr/>
      </w:r>
      <w:r>
        <w:rPr>
          <w:rFonts w:ascii="Times New Roman"/>
          <w:sz w:val="15"/>
          <w:vertAlign w:val="superscript"/>
        </w:rPr>
        <w:t>22</w:t>
      </w:r>
      <w:r>
        <w:rPr>
          <w:rFonts w:ascii="Times New Roman"/>
          <w:sz w:val="15"/>
          <w:vertAlign w:val="baseline"/>
        </w:rPr>
        <w:tab/>
        <w:t>Peer County % and Population Size was calculated by taking an average of the reported % and estimated population size for the provided peer counties</w:t>
      </w:r>
      <w:r>
        <w:rPr>
          <w:rFonts w:ascii="Times New Roman"/>
          <w:spacing w:val="-1"/>
          <w:sz w:val="15"/>
          <w:vertAlign w:val="baseline"/>
        </w:rPr>
        <w:t> </w:t>
      </w:r>
      <w:r>
        <w:rPr>
          <w:rFonts w:ascii="Times New Roman"/>
          <w:sz w:val="15"/>
          <w:vertAlign w:val="baseline"/>
        </w:rPr>
        <w:t>(Lake</w:t>
      </w:r>
      <w:r>
        <w:rPr>
          <w:rFonts w:ascii="Times New Roman"/>
          <w:spacing w:val="-2"/>
          <w:sz w:val="15"/>
          <w:vertAlign w:val="baseline"/>
        </w:rPr>
        <w:t> </w:t>
      </w:r>
      <w:r>
        <w:rPr>
          <w:rFonts w:ascii="Times New Roman"/>
          <w:sz w:val="15"/>
          <w:vertAlign w:val="baseline"/>
        </w:rPr>
        <w:t>County,</w:t>
      </w:r>
      <w:r>
        <w:rPr>
          <w:rFonts w:ascii="Times New Roman"/>
          <w:spacing w:val="-1"/>
          <w:sz w:val="15"/>
          <w:vertAlign w:val="baseline"/>
        </w:rPr>
        <w:t> </w:t>
      </w:r>
      <w:r>
        <w:rPr>
          <w:rFonts w:ascii="Times New Roman"/>
          <w:sz w:val="15"/>
          <w:vertAlign w:val="baseline"/>
        </w:rPr>
        <w:t>IL,</w:t>
      </w:r>
      <w:r>
        <w:rPr>
          <w:rFonts w:ascii="Times New Roman"/>
          <w:spacing w:val="-1"/>
          <w:sz w:val="15"/>
          <w:vertAlign w:val="baseline"/>
        </w:rPr>
        <w:t> </w:t>
      </w:r>
      <w:r>
        <w:rPr>
          <w:rFonts w:ascii="Times New Roman"/>
          <w:sz w:val="15"/>
          <w:vertAlign w:val="baseline"/>
        </w:rPr>
        <w:t>Middlesex</w:t>
      </w:r>
      <w:r>
        <w:rPr>
          <w:rFonts w:ascii="Times New Roman"/>
          <w:spacing w:val="-3"/>
          <w:sz w:val="15"/>
          <w:vertAlign w:val="baseline"/>
        </w:rPr>
        <w:t> </w:t>
      </w:r>
      <w:r>
        <w:rPr>
          <w:rFonts w:ascii="Times New Roman"/>
          <w:sz w:val="15"/>
          <w:vertAlign w:val="baseline"/>
        </w:rPr>
        <w:t>County,</w:t>
      </w:r>
      <w:r>
        <w:rPr>
          <w:rFonts w:ascii="Times New Roman"/>
          <w:spacing w:val="-1"/>
          <w:sz w:val="15"/>
          <w:vertAlign w:val="baseline"/>
        </w:rPr>
        <w:t> </w:t>
      </w:r>
      <w:r>
        <w:rPr>
          <w:rFonts w:ascii="Times New Roman"/>
          <w:sz w:val="15"/>
          <w:vertAlign w:val="baseline"/>
        </w:rPr>
        <w:t>MA,</w:t>
      </w:r>
      <w:r>
        <w:rPr>
          <w:rFonts w:ascii="Times New Roman"/>
          <w:spacing w:val="-3"/>
          <w:sz w:val="15"/>
          <w:vertAlign w:val="baseline"/>
        </w:rPr>
        <w:t> </w:t>
      </w:r>
      <w:r>
        <w:rPr>
          <w:rFonts w:ascii="Times New Roman"/>
          <w:sz w:val="15"/>
          <w:vertAlign w:val="baseline"/>
        </w:rPr>
        <w:t>and</w:t>
      </w:r>
      <w:r>
        <w:rPr>
          <w:rFonts w:ascii="Times New Roman"/>
          <w:spacing w:val="-3"/>
          <w:sz w:val="15"/>
          <w:vertAlign w:val="baseline"/>
        </w:rPr>
        <w:t> </w:t>
      </w:r>
      <w:r>
        <w:rPr>
          <w:rFonts w:ascii="Times New Roman"/>
          <w:sz w:val="15"/>
          <w:vertAlign w:val="baseline"/>
        </w:rPr>
        <w:t>Westchester</w:t>
      </w:r>
      <w:r>
        <w:rPr>
          <w:rFonts w:ascii="Times New Roman"/>
          <w:spacing w:val="-4"/>
          <w:sz w:val="15"/>
          <w:vertAlign w:val="baseline"/>
        </w:rPr>
        <w:t> </w:t>
      </w:r>
      <w:r>
        <w:rPr>
          <w:rFonts w:ascii="Times New Roman"/>
          <w:sz w:val="15"/>
          <w:vertAlign w:val="baseline"/>
        </w:rPr>
        <w:t>County,</w:t>
      </w:r>
      <w:r>
        <w:rPr>
          <w:rFonts w:ascii="Times New Roman"/>
          <w:spacing w:val="-2"/>
          <w:sz w:val="15"/>
          <w:vertAlign w:val="baseline"/>
        </w:rPr>
        <w:t> </w:t>
      </w:r>
      <w:r>
        <w:rPr>
          <w:rFonts w:ascii="Times New Roman"/>
          <w:sz w:val="15"/>
          <w:vertAlign w:val="baseline"/>
        </w:rPr>
        <w:t>NY).</w:t>
      </w:r>
      <w:r>
        <w:rPr>
          <w:rFonts w:ascii="Times New Roman"/>
          <w:spacing w:val="-1"/>
          <w:sz w:val="15"/>
          <w:vertAlign w:val="baseline"/>
        </w:rPr>
        <w:t> </w:t>
      </w:r>
      <w:r>
        <w:rPr>
          <w:rFonts w:ascii="Times New Roman"/>
          <w:sz w:val="15"/>
          <w:vertAlign w:val="baseline"/>
        </w:rPr>
        <w:t>Peer</w:t>
      </w:r>
      <w:r>
        <w:rPr>
          <w:rFonts w:ascii="Times New Roman"/>
          <w:spacing w:val="-2"/>
          <w:sz w:val="15"/>
          <w:vertAlign w:val="baseline"/>
        </w:rPr>
        <w:t> </w:t>
      </w:r>
      <w:r>
        <w:rPr>
          <w:rFonts w:ascii="Times New Roman"/>
          <w:sz w:val="15"/>
          <w:vertAlign w:val="baseline"/>
        </w:rPr>
        <w:t>counties were</w:t>
      </w:r>
      <w:r>
        <w:rPr>
          <w:rFonts w:ascii="Times New Roman"/>
          <w:spacing w:val="-4"/>
          <w:sz w:val="15"/>
          <w:vertAlign w:val="baseline"/>
        </w:rPr>
        <w:t> </w:t>
      </w:r>
      <w:r>
        <w:rPr>
          <w:rFonts w:ascii="Times New Roman"/>
          <w:sz w:val="15"/>
          <w:vertAlign w:val="baseline"/>
        </w:rPr>
        <w:t>identified</w:t>
      </w:r>
      <w:r>
        <w:rPr>
          <w:rFonts w:ascii="Times New Roman"/>
          <w:spacing w:val="-3"/>
          <w:sz w:val="15"/>
          <w:vertAlign w:val="baseline"/>
        </w:rPr>
        <w:t> </w:t>
      </w:r>
      <w:r>
        <w:rPr>
          <w:rFonts w:ascii="Times New Roman"/>
          <w:sz w:val="15"/>
          <w:vertAlign w:val="baseline"/>
        </w:rPr>
        <w:t>by</w:t>
      </w:r>
      <w:r>
        <w:rPr>
          <w:rFonts w:ascii="Times New Roman"/>
          <w:spacing w:val="-5"/>
          <w:sz w:val="15"/>
          <w:vertAlign w:val="baseline"/>
        </w:rPr>
        <w:t> </w:t>
      </w:r>
      <w:r>
        <w:rPr>
          <w:rFonts w:ascii="Times New Roman"/>
          <w:sz w:val="15"/>
          <w:vertAlign w:val="baseline"/>
        </w:rPr>
        <w:t>Impact</w:t>
      </w:r>
      <w:r>
        <w:rPr>
          <w:rFonts w:ascii="Times New Roman"/>
          <w:spacing w:val="-3"/>
          <w:sz w:val="15"/>
          <w:vertAlign w:val="baseline"/>
        </w:rPr>
        <w:t> </w:t>
      </w:r>
      <w:r>
        <w:rPr>
          <w:rFonts w:ascii="Times New Roman"/>
          <w:sz w:val="15"/>
          <w:vertAlign w:val="baseline"/>
        </w:rPr>
        <w:t>Essex County.</w:t>
      </w:r>
    </w:p>
    <w:p>
      <w:pPr>
        <w:pStyle w:val="ListParagraph"/>
        <w:numPr>
          <w:ilvl w:val="0"/>
          <w:numId w:val="4"/>
        </w:numPr>
        <w:tabs>
          <w:tab w:pos="1299" w:val="left" w:leader="none"/>
          <w:tab w:pos="1301" w:val="left" w:leader="none"/>
        </w:tabs>
        <w:spacing w:line="117" w:lineRule="auto" w:before="11" w:after="0"/>
        <w:ind w:left="1300" w:right="0" w:hanging="361"/>
        <w:jc w:val="left"/>
        <w:rPr>
          <w:sz w:val="10"/>
        </w:rPr>
      </w:pPr>
      <w:bookmarkStart w:name="_bookmark22" w:id="32"/>
      <w:bookmarkEnd w:id="32"/>
      <w:r>
        <w:rPr/>
      </w:r>
      <w:bookmarkStart w:name="_bookmark22" w:id="33"/>
      <w:bookmarkEnd w:id="33"/>
      <w:r>
        <w:rPr>
          <w:position w:val="-6"/>
          <w:sz w:val="15"/>
        </w:rPr>
        <w:t>P</w:t>
      </w:r>
      <w:r>
        <w:rPr>
          <w:position w:val="-6"/>
          <w:sz w:val="15"/>
        </w:rPr>
        <w:t>opulation Size was estimated using 2010 population data</w:t>
      </w:r>
      <w:r>
        <w:rPr>
          <w:sz w:val="10"/>
        </w:rPr>
        <w:t>. “Pop-Facts Demographics, By Age, Race, and Sex: Essex County, MA” Spotlight, Environics Analytics,</w:t>
      </w:r>
      <w:r>
        <w:rPr>
          <w:spacing w:val="-15"/>
          <w:sz w:val="10"/>
        </w:rPr>
        <w:t> </w:t>
      </w:r>
      <w:r>
        <w:rPr>
          <w:sz w:val="10"/>
        </w:rPr>
        <w:t>2020</w:t>
      </w:r>
    </w:p>
    <w:p>
      <w:pPr>
        <w:pStyle w:val="ListParagraph"/>
        <w:numPr>
          <w:ilvl w:val="0"/>
          <w:numId w:val="4"/>
        </w:numPr>
        <w:tabs>
          <w:tab w:pos="1299" w:val="left" w:leader="none"/>
          <w:tab w:pos="1300" w:val="left" w:leader="none"/>
        </w:tabs>
        <w:spacing w:line="211" w:lineRule="auto" w:before="37" w:after="0"/>
        <w:ind w:left="1299" w:right="1318" w:hanging="360"/>
        <w:jc w:val="left"/>
        <w:rPr>
          <w:sz w:val="15"/>
        </w:rPr>
      </w:pPr>
      <w:bookmarkStart w:name="_bookmark23" w:id="34"/>
      <w:bookmarkEnd w:id="34"/>
      <w:r>
        <w:rPr/>
      </w:r>
      <w:bookmarkStart w:name="_bookmark23" w:id="35"/>
      <w:bookmarkEnd w:id="35"/>
      <w:r>
        <w:rPr>
          <w:position w:val="-6"/>
          <w:sz w:val="15"/>
        </w:rPr>
        <w:t>P</w:t>
      </w:r>
      <w:r>
        <w:rPr>
          <w:position w:val="-6"/>
          <w:sz w:val="15"/>
        </w:rPr>
        <w:t>opulation Size was estimated using 2020 population data</w:t>
      </w:r>
      <w:r>
        <w:rPr>
          <w:sz w:val="10"/>
        </w:rPr>
        <w:t>. “Pop-Facts Demographics, By Age, Race, and Sex: Essex County, MA” Spotlight, Environics Analytics, 2020</w:t>
      </w:r>
      <w:r>
        <w:rPr>
          <w:position w:val="-6"/>
          <w:sz w:val="15"/>
        </w:rPr>
        <w:t>; </w:t>
      </w:r>
      <w:r>
        <w:rPr>
          <w:sz w:val="10"/>
        </w:rPr>
        <w:t>“Pop-Facts Demographics,</w:t>
      </w:r>
      <w:r>
        <w:rPr>
          <w:spacing w:val="-2"/>
          <w:sz w:val="10"/>
        </w:rPr>
        <w:t> </w:t>
      </w:r>
      <w:r>
        <w:rPr>
          <w:sz w:val="10"/>
        </w:rPr>
        <w:t>By</w:t>
      </w:r>
      <w:r>
        <w:rPr>
          <w:spacing w:val="-6"/>
          <w:sz w:val="10"/>
        </w:rPr>
        <w:t> </w:t>
      </w:r>
      <w:r>
        <w:rPr>
          <w:sz w:val="10"/>
        </w:rPr>
        <w:t>Age,</w:t>
      </w:r>
      <w:r>
        <w:rPr>
          <w:spacing w:val="-1"/>
          <w:sz w:val="10"/>
        </w:rPr>
        <w:t> </w:t>
      </w:r>
      <w:r>
        <w:rPr>
          <w:sz w:val="10"/>
        </w:rPr>
        <w:t>Race,</w:t>
      </w:r>
      <w:r>
        <w:rPr>
          <w:spacing w:val="-2"/>
          <w:sz w:val="10"/>
        </w:rPr>
        <w:t> </w:t>
      </w:r>
      <w:r>
        <w:rPr>
          <w:sz w:val="10"/>
        </w:rPr>
        <w:t>and</w:t>
      </w:r>
      <w:r>
        <w:rPr>
          <w:spacing w:val="-2"/>
          <w:sz w:val="10"/>
        </w:rPr>
        <w:t> </w:t>
      </w:r>
      <w:r>
        <w:rPr>
          <w:sz w:val="10"/>
        </w:rPr>
        <w:t>Sex:</w:t>
      </w:r>
      <w:r>
        <w:rPr>
          <w:spacing w:val="-4"/>
          <w:sz w:val="10"/>
        </w:rPr>
        <w:t> </w:t>
      </w:r>
      <w:r>
        <w:rPr>
          <w:sz w:val="10"/>
        </w:rPr>
        <w:t>Ma</w:t>
      </w:r>
      <w:r>
        <w:rPr>
          <w:position w:val="-6"/>
          <w:sz w:val="15"/>
        </w:rPr>
        <w:t>ssachusetts</w:t>
      </w:r>
      <w:r>
        <w:rPr>
          <w:sz w:val="10"/>
        </w:rPr>
        <w:t>”</w:t>
      </w:r>
      <w:r>
        <w:rPr>
          <w:spacing w:val="-1"/>
          <w:sz w:val="10"/>
        </w:rPr>
        <w:t> </w:t>
      </w:r>
      <w:r>
        <w:rPr>
          <w:sz w:val="10"/>
        </w:rPr>
        <w:t>Spotlight,</w:t>
      </w:r>
      <w:r>
        <w:rPr>
          <w:spacing w:val="-3"/>
          <w:sz w:val="10"/>
        </w:rPr>
        <w:t> </w:t>
      </w:r>
      <w:r>
        <w:rPr>
          <w:sz w:val="10"/>
        </w:rPr>
        <w:t>Environics</w:t>
      </w:r>
      <w:r>
        <w:rPr>
          <w:spacing w:val="-3"/>
          <w:sz w:val="10"/>
        </w:rPr>
        <w:t> </w:t>
      </w:r>
      <w:r>
        <w:rPr>
          <w:sz w:val="10"/>
        </w:rPr>
        <w:t>Analytics,</w:t>
      </w:r>
      <w:r>
        <w:rPr>
          <w:spacing w:val="-1"/>
          <w:sz w:val="10"/>
        </w:rPr>
        <w:t> </w:t>
      </w:r>
      <w:r>
        <w:rPr>
          <w:sz w:val="10"/>
        </w:rPr>
        <w:t>2020</w:t>
      </w:r>
      <w:r>
        <w:rPr>
          <w:position w:val="-6"/>
          <w:sz w:val="15"/>
        </w:rPr>
        <w:t>;</w:t>
      </w:r>
      <w:r>
        <w:rPr>
          <w:spacing w:val="-5"/>
          <w:position w:val="-6"/>
          <w:sz w:val="15"/>
        </w:rPr>
        <w:t> </w:t>
      </w:r>
      <w:r>
        <w:rPr>
          <w:sz w:val="10"/>
        </w:rPr>
        <w:t>“Pop-Facts</w:t>
      </w:r>
      <w:r>
        <w:rPr>
          <w:spacing w:val="-3"/>
          <w:sz w:val="10"/>
        </w:rPr>
        <w:t> </w:t>
      </w:r>
      <w:r>
        <w:rPr>
          <w:sz w:val="10"/>
        </w:rPr>
        <w:t>Demographics,</w:t>
      </w:r>
      <w:r>
        <w:rPr>
          <w:spacing w:val="-3"/>
          <w:sz w:val="10"/>
        </w:rPr>
        <w:t> </w:t>
      </w:r>
      <w:r>
        <w:rPr>
          <w:sz w:val="10"/>
        </w:rPr>
        <w:t>By</w:t>
      </w:r>
      <w:r>
        <w:rPr>
          <w:spacing w:val="-7"/>
          <w:sz w:val="10"/>
        </w:rPr>
        <w:t> </w:t>
      </w:r>
      <w:r>
        <w:rPr>
          <w:sz w:val="10"/>
        </w:rPr>
        <w:t>Age,</w:t>
      </w:r>
      <w:r>
        <w:rPr>
          <w:spacing w:val="-1"/>
          <w:sz w:val="10"/>
        </w:rPr>
        <w:t> </w:t>
      </w:r>
      <w:r>
        <w:rPr>
          <w:sz w:val="10"/>
        </w:rPr>
        <w:t>Race,</w:t>
      </w:r>
      <w:r>
        <w:rPr>
          <w:spacing w:val="-1"/>
          <w:sz w:val="10"/>
        </w:rPr>
        <w:t> </w:t>
      </w:r>
      <w:r>
        <w:rPr>
          <w:sz w:val="10"/>
        </w:rPr>
        <w:t>and</w:t>
      </w:r>
      <w:r>
        <w:rPr>
          <w:spacing w:val="-4"/>
          <w:sz w:val="10"/>
        </w:rPr>
        <w:t> </w:t>
      </w:r>
      <w:r>
        <w:rPr>
          <w:sz w:val="10"/>
        </w:rPr>
        <w:t>Sex:</w:t>
      </w:r>
      <w:r>
        <w:rPr>
          <w:spacing w:val="-1"/>
          <w:sz w:val="10"/>
        </w:rPr>
        <w:t> </w:t>
      </w:r>
      <w:r>
        <w:rPr>
          <w:sz w:val="10"/>
        </w:rPr>
        <w:t>U</w:t>
      </w:r>
      <w:r>
        <w:rPr>
          <w:position w:val="-6"/>
          <w:sz w:val="15"/>
        </w:rPr>
        <w:t>nited</w:t>
      </w:r>
      <w:r>
        <w:rPr>
          <w:spacing w:val="-6"/>
          <w:position w:val="-6"/>
          <w:sz w:val="15"/>
        </w:rPr>
        <w:t> </w:t>
      </w:r>
      <w:r>
        <w:rPr>
          <w:position w:val="-6"/>
          <w:sz w:val="15"/>
        </w:rPr>
        <w:t>States</w:t>
      </w:r>
      <w:r>
        <w:rPr>
          <w:sz w:val="10"/>
        </w:rPr>
        <w:t>”</w:t>
      </w:r>
      <w:r>
        <w:rPr>
          <w:spacing w:val="-1"/>
          <w:sz w:val="10"/>
        </w:rPr>
        <w:t> </w:t>
      </w:r>
      <w:r>
        <w:rPr>
          <w:sz w:val="10"/>
        </w:rPr>
        <w:t>Spotlight,</w:t>
      </w:r>
      <w:r>
        <w:rPr>
          <w:spacing w:val="-3"/>
          <w:sz w:val="10"/>
        </w:rPr>
        <w:t> </w:t>
      </w:r>
      <w:r>
        <w:rPr>
          <w:sz w:val="10"/>
        </w:rPr>
        <w:t>Environics</w:t>
      </w:r>
      <w:r>
        <w:rPr>
          <w:spacing w:val="-3"/>
          <w:sz w:val="10"/>
        </w:rPr>
        <w:t> </w:t>
      </w:r>
      <w:r>
        <w:rPr>
          <w:sz w:val="10"/>
        </w:rPr>
        <w:t>Analytics,</w:t>
      </w:r>
      <w:r>
        <w:rPr>
          <w:spacing w:val="-1"/>
          <w:sz w:val="10"/>
        </w:rPr>
        <w:t> </w:t>
      </w:r>
      <w:r>
        <w:rPr>
          <w:sz w:val="10"/>
        </w:rPr>
        <w:t>2020</w:t>
      </w:r>
      <w:r>
        <w:rPr>
          <w:position w:val="-6"/>
          <w:sz w:val="15"/>
        </w:rPr>
        <w:t>.</w:t>
      </w:r>
    </w:p>
    <w:p>
      <w:pPr>
        <w:spacing w:after="0" w:line="211" w:lineRule="auto"/>
        <w:jc w:val="left"/>
        <w:rPr>
          <w:sz w:val="15"/>
        </w:rPr>
        <w:sectPr>
          <w:pgSz w:w="12240" w:h="15840"/>
          <w:pgMar w:top="1400" w:bottom="280" w:left="500" w:right="580"/>
        </w:sectPr>
      </w:pPr>
    </w:p>
    <w:p>
      <w:pPr>
        <w:spacing w:before="37"/>
        <w:ind w:left="940" w:right="0" w:firstLine="0"/>
        <w:jc w:val="left"/>
        <w:rPr>
          <w:b/>
          <w:sz w:val="22"/>
        </w:rPr>
      </w:pPr>
      <w:r>
        <w:rPr>
          <w:b/>
          <w:sz w:val="22"/>
        </w:rPr>
        <w:t>Table 3</w:t>
      </w:r>
    </w:p>
    <w:p>
      <w:pPr>
        <w:pStyle w:val="BodyText"/>
        <w:rPr>
          <w:b/>
          <w:sz w:val="15"/>
        </w:rPr>
      </w:pPr>
    </w:p>
    <w:tbl>
      <w:tblPr>
        <w:tblW w:w="0" w:type="auto"/>
        <w:jc w:val="left"/>
        <w:tblInd w:w="837" w:type="dxa"/>
        <w:tblBorders>
          <w:top w:val="single" w:sz="4" w:space="0" w:color="9BC2E6"/>
          <w:left w:val="single" w:sz="4" w:space="0" w:color="9BC2E6"/>
          <w:bottom w:val="single" w:sz="4" w:space="0" w:color="9BC2E6"/>
          <w:right w:val="single" w:sz="4" w:space="0" w:color="9BC2E6"/>
          <w:insideH w:val="single" w:sz="4" w:space="0" w:color="9BC2E6"/>
          <w:insideV w:val="single" w:sz="4" w:space="0" w:color="9BC2E6"/>
        </w:tblBorders>
        <w:tblLayout w:type="fixed"/>
        <w:tblCellMar>
          <w:top w:w="0" w:type="dxa"/>
          <w:left w:w="0" w:type="dxa"/>
          <w:bottom w:w="0" w:type="dxa"/>
          <w:right w:w="0" w:type="dxa"/>
        </w:tblCellMar>
        <w:tblLook w:val="01E0"/>
      </w:tblPr>
      <w:tblGrid>
        <w:gridCol w:w="3199"/>
        <w:gridCol w:w="1087"/>
        <w:gridCol w:w="833"/>
        <w:gridCol w:w="1087"/>
        <w:gridCol w:w="833"/>
        <w:gridCol w:w="1087"/>
        <w:gridCol w:w="833"/>
        <w:gridCol w:w="960"/>
      </w:tblGrid>
      <w:tr>
        <w:trPr>
          <w:trHeight w:val="327" w:hRule="atLeast"/>
        </w:trPr>
        <w:tc>
          <w:tcPr>
            <w:tcW w:w="3199" w:type="dxa"/>
            <w:vMerge w:val="restart"/>
            <w:tcBorders>
              <w:top w:val="nil"/>
              <w:bottom w:val="nil"/>
            </w:tcBorders>
            <w:shd w:val="clear" w:color="auto" w:fill="BDD7EE"/>
          </w:tcPr>
          <w:p>
            <w:pPr>
              <w:pStyle w:val="TableParagraph"/>
              <w:spacing w:before="18"/>
              <w:ind w:left="107"/>
              <w:rPr>
                <w:sz w:val="22"/>
              </w:rPr>
            </w:pPr>
            <w:r>
              <w:rPr>
                <w:sz w:val="22"/>
              </w:rPr>
              <w:t>Payment Source</w:t>
            </w:r>
          </w:p>
        </w:tc>
        <w:tc>
          <w:tcPr>
            <w:tcW w:w="1920" w:type="dxa"/>
            <w:gridSpan w:val="2"/>
            <w:tcBorders>
              <w:top w:val="nil"/>
              <w:bottom w:val="nil"/>
            </w:tcBorders>
            <w:shd w:val="clear" w:color="auto" w:fill="BDD7EE"/>
          </w:tcPr>
          <w:p>
            <w:pPr>
              <w:pStyle w:val="TableParagraph"/>
              <w:spacing w:before="18"/>
              <w:ind w:left="718" w:right="706"/>
              <w:jc w:val="center"/>
              <w:rPr>
                <w:sz w:val="22"/>
              </w:rPr>
            </w:pPr>
            <w:r>
              <w:rPr>
                <w:sz w:val="22"/>
              </w:rPr>
              <w:t>2017</w:t>
            </w:r>
          </w:p>
        </w:tc>
        <w:tc>
          <w:tcPr>
            <w:tcW w:w="1920" w:type="dxa"/>
            <w:gridSpan w:val="2"/>
            <w:tcBorders>
              <w:top w:val="nil"/>
              <w:bottom w:val="nil"/>
            </w:tcBorders>
            <w:shd w:val="clear" w:color="auto" w:fill="BDD7EE"/>
          </w:tcPr>
          <w:p>
            <w:pPr>
              <w:pStyle w:val="TableParagraph"/>
              <w:spacing w:before="18"/>
              <w:ind w:left="718" w:right="706"/>
              <w:jc w:val="center"/>
              <w:rPr>
                <w:sz w:val="22"/>
              </w:rPr>
            </w:pPr>
            <w:r>
              <w:rPr>
                <w:sz w:val="22"/>
              </w:rPr>
              <w:t>2018</w:t>
            </w:r>
          </w:p>
        </w:tc>
        <w:tc>
          <w:tcPr>
            <w:tcW w:w="1920" w:type="dxa"/>
            <w:gridSpan w:val="2"/>
            <w:tcBorders>
              <w:top w:val="nil"/>
              <w:bottom w:val="nil"/>
            </w:tcBorders>
            <w:shd w:val="clear" w:color="auto" w:fill="BDD7EE"/>
          </w:tcPr>
          <w:p>
            <w:pPr>
              <w:pStyle w:val="TableParagraph"/>
              <w:spacing w:before="18"/>
              <w:ind w:left="718" w:right="706"/>
              <w:jc w:val="center"/>
              <w:rPr>
                <w:sz w:val="22"/>
              </w:rPr>
            </w:pPr>
            <w:r>
              <w:rPr>
                <w:sz w:val="22"/>
              </w:rPr>
              <w:t>2019</w:t>
            </w:r>
          </w:p>
        </w:tc>
        <w:tc>
          <w:tcPr>
            <w:tcW w:w="960" w:type="dxa"/>
            <w:vMerge w:val="restart"/>
            <w:tcBorders>
              <w:top w:val="nil"/>
              <w:bottom w:val="nil"/>
              <w:right w:val="nil"/>
            </w:tcBorders>
            <w:shd w:val="clear" w:color="auto" w:fill="BDD7EE"/>
          </w:tcPr>
          <w:p>
            <w:pPr>
              <w:pStyle w:val="TableParagraph"/>
              <w:spacing w:before="40"/>
              <w:ind w:left="146" w:right="122" w:firstLine="43"/>
              <w:rPr>
                <w:sz w:val="22"/>
              </w:rPr>
            </w:pPr>
            <w:r>
              <w:rPr>
                <w:sz w:val="22"/>
              </w:rPr>
              <w:t>3-Year Change</w:t>
            </w:r>
          </w:p>
        </w:tc>
      </w:tr>
      <w:tr>
        <w:trPr>
          <w:trHeight w:val="293" w:hRule="atLeast"/>
        </w:trPr>
        <w:tc>
          <w:tcPr>
            <w:tcW w:w="3199" w:type="dxa"/>
            <w:vMerge/>
            <w:tcBorders>
              <w:top w:val="nil"/>
              <w:bottom w:val="nil"/>
            </w:tcBorders>
            <w:shd w:val="clear" w:color="auto" w:fill="BDD7EE"/>
          </w:tcPr>
          <w:p>
            <w:pPr>
              <w:rPr>
                <w:sz w:val="2"/>
                <w:szCs w:val="2"/>
              </w:rPr>
            </w:pPr>
          </w:p>
        </w:tc>
        <w:tc>
          <w:tcPr>
            <w:tcW w:w="1087" w:type="dxa"/>
            <w:tcBorders>
              <w:top w:val="nil"/>
              <w:bottom w:val="nil"/>
              <w:right w:val="nil"/>
            </w:tcBorders>
            <w:shd w:val="clear" w:color="auto" w:fill="BDD7EE"/>
          </w:tcPr>
          <w:p>
            <w:pPr>
              <w:pStyle w:val="TableParagraph"/>
              <w:ind w:right="120"/>
              <w:jc w:val="center"/>
              <w:rPr>
                <w:sz w:val="22"/>
              </w:rPr>
            </w:pPr>
            <w:r>
              <w:rPr>
                <w:w w:val="100"/>
                <w:sz w:val="22"/>
              </w:rPr>
              <w:t>#</w:t>
            </w:r>
          </w:p>
        </w:tc>
        <w:tc>
          <w:tcPr>
            <w:tcW w:w="833" w:type="dxa"/>
            <w:tcBorders>
              <w:top w:val="nil"/>
              <w:left w:val="nil"/>
              <w:bottom w:val="nil"/>
            </w:tcBorders>
            <w:shd w:val="clear" w:color="auto" w:fill="BDD7EE"/>
          </w:tcPr>
          <w:p>
            <w:pPr>
              <w:pStyle w:val="TableParagraph"/>
              <w:ind w:right="110"/>
              <w:jc w:val="center"/>
              <w:rPr>
                <w:sz w:val="22"/>
              </w:rPr>
            </w:pPr>
            <w:r>
              <w:rPr>
                <w:w w:val="100"/>
                <w:sz w:val="22"/>
              </w:rPr>
              <w:t>%</w:t>
            </w:r>
          </w:p>
        </w:tc>
        <w:tc>
          <w:tcPr>
            <w:tcW w:w="1087" w:type="dxa"/>
            <w:tcBorders>
              <w:top w:val="nil"/>
              <w:right w:val="nil"/>
            </w:tcBorders>
            <w:shd w:val="clear" w:color="auto" w:fill="BDD7EE"/>
          </w:tcPr>
          <w:p>
            <w:pPr>
              <w:pStyle w:val="TableParagraph"/>
              <w:ind w:right="120"/>
              <w:jc w:val="center"/>
              <w:rPr>
                <w:sz w:val="22"/>
              </w:rPr>
            </w:pPr>
            <w:r>
              <w:rPr>
                <w:w w:val="100"/>
                <w:sz w:val="22"/>
              </w:rPr>
              <w:t>#</w:t>
            </w:r>
          </w:p>
        </w:tc>
        <w:tc>
          <w:tcPr>
            <w:tcW w:w="833" w:type="dxa"/>
            <w:tcBorders>
              <w:top w:val="nil"/>
              <w:left w:val="nil"/>
            </w:tcBorders>
            <w:shd w:val="clear" w:color="auto" w:fill="BDD7EE"/>
          </w:tcPr>
          <w:p>
            <w:pPr>
              <w:pStyle w:val="TableParagraph"/>
              <w:ind w:right="110"/>
              <w:jc w:val="center"/>
              <w:rPr>
                <w:sz w:val="22"/>
              </w:rPr>
            </w:pPr>
            <w:r>
              <w:rPr>
                <w:w w:val="100"/>
                <w:sz w:val="22"/>
              </w:rPr>
              <w:t>%</w:t>
            </w:r>
          </w:p>
        </w:tc>
        <w:tc>
          <w:tcPr>
            <w:tcW w:w="1087" w:type="dxa"/>
            <w:tcBorders>
              <w:top w:val="nil"/>
              <w:bottom w:val="nil"/>
              <w:right w:val="nil"/>
            </w:tcBorders>
            <w:shd w:val="clear" w:color="auto" w:fill="BDD7EE"/>
          </w:tcPr>
          <w:p>
            <w:pPr>
              <w:pStyle w:val="TableParagraph"/>
              <w:ind w:right="120"/>
              <w:jc w:val="center"/>
              <w:rPr>
                <w:sz w:val="22"/>
              </w:rPr>
            </w:pPr>
            <w:r>
              <w:rPr>
                <w:w w:val="100"/>
                <w:sz w:val="22"/>
              </w:rPr>
              <w:t>#</w:t>
            </w:r>
          </w:p>
        </w:tc>
        <w:tc>
          <w:tcPr>
            <w:tcW w:w="833" w:type="dxa"/>
            <w:tcBorders>
              <w:top w:val="nil"/>
              <w:left w:val="nil"/>
              <w:bottom w:val="nil"/>
            </w:tcBorders>
            <w:shd w:val="clear" w:color="auto" w:fill="BDD7EE"/>
          </w:tcPr>
          <w:p>
            <w:pPr>
              <w:pStyle w:val="TableParagraph"/>
              <w:ind w:right="110"/>
              <w:jc w:val="center"/>
              <w:rPr>
                <w:sz w:val="22"/>
              </w:rPr>
            </w:pPr>
            <w:r>
              <w:rPr>
                <w:w w:val="100"/>
                <w:sz w:val="22"/>
              </w:rPr>
              <w:t>%</w:t>
            </w:r>
          </w:p>
        </w:tc>
        <w:tc>
          <w:tcPr>
            <w:tcW w:w="960" w:type="dxa"/>
            <w:vMerge/>
            <w:tcBorders>
              <w:top w:val="nil"/>
              <w:bottom w:val="nil"/>
              <w:right w:val="nil"/>
            </w:tcBorders>
            <w:shd w:val="clear" w:color="auto" w:fill="BDD7EE"/>
          </w:tcPr>
          <w:p>
            <w:pPr>
              <w:rPr>
                <w:sz w:val="2"/>
                <w:szCs w:val="2"/>
              </w:rPr>
            </w:pPr>
          </w:p>
        </w:tc>
      </w:tr>
      <w:tr>
        <w:trPr>
          <w:trHeight w:val="309" w:hRule="atLeast"/>
        </w:trPr>
        <w:tc>
          <w:tcPr>
            <w:tcW w:w="3199" w:type="dxa"/>
            <w:tcBorders>
              <w:top w:val="nil"/>
              <w:right w:val="single" w:sz="4" w:space="0" w:color="BDD7EE"/>
            </w:tcBorders>
          </w:tcPr>
          <w:p>
            <w:pPr>
              <w:pStyle w:val="TableParagraph"/>
              <w:spacing w:before="18"/>
              <w:ind w:left="107"/>
              <w:rPr>
                <w:sz w:val="22"/>
              </w:rPr>
            </w:pPr>
            <w:r>
              <w:rPr>
                <w:sz w:val="22"/>
              </w:rPr>
              <w:t>Medicare</w:t>
            </w:r>
          </w:p>
        </w:tc>
        <w:tc>
          <w:tcPr>
            <w:tcW w:w="1087" w:type="dxa"/>
            <w:tcBorders>
              <w:top w:val="nil"/>
              <w:left w:val="single" w:sz="4" w:space="0" w:color="BDD7EE"/>
              <w:right w:val="nil"/>
            </w:tcBorders>
          </w:tcPr>
          <w:p>
            <w:pPr>
              <w:pStyle w:val="TableParagraph"/>
              <w:spacing w:before="18"/>
              <w:ind w:right="229"/>
              <w:jc w:val="right"/>
              <w:rPr>
                <w:sz w:val="22"/>
              </w:rPr>
            </w:pPr>
            <w:r>
              <w:rPr>
                <w:sz w:val="22"/>
              </w:rPr>
              <w:t>566</w:t>
            </w:r>
          </w:p>
        </w:tc>
        <w:tc>
          <w:tcPr>
            <w:tcW w:w="833" w:type="dxa"/>
            <w:tcBorders>
              <w:top w:val="nil"/>
              <w:left w:val="nil"/>
            </w:tcBorders>
          </w:tcPr>
          <w:p>
            <w:pPr>
              <w:pStyle w:val="TableParagraph"/>
              <w:spacing w:before="18"/>
              <w:ind w:right="95"/>
              <w:jc w:val="right"/>
              <w:rPr>
                <w:sz w:val="22"/>
              </w:rPr>
            </w:pPr>
            <w:r>
              <w:rPr>
                <w:sz w:val="22"/>
              </w:rPr>
              <w:t>40%</w:t>
            </w:r>
          </w:p>
        </w:tc>
        <w:tc>
          <w:tcPr>
            <w:tcW w:w="1087" w:type="dxa"/>
            <w:tcBorders>
              <w:right w:val="nil"/>
            </w:tcBorders>
          </w:tcPr>
          <w:p>
            <w:pPr>
              <w:pStyle w:val="TableParagraph"/>
              <w:spacing w:before="18"/>
              <w:ind w:right="229"/>
              <w:jc w:val="right"/>
              <w:rPr>
                <w:sz w:val="22"/>
              </w:rPr>
            </w:pPr>
            <w:r>
              <w:rPr>
                <w:sz w:val="22"/>
              </w:rPr>
              <w:t>545</w:t>
            </w:r>
          </w:p>
        </w:tc>
        <w:tc>
          <w:tcPr>
            <w:tcW w:w="833" w:type="dxa"/>
            <w:tcBorders>
              <w:left w:val="nil"/>
            </w:tcBorders>
          </w:tcPr>
          <w:p>
            <w:pPr>
              <w:pStyle w:val="TableParagraph"/>
              <w:spacing w:before="18"/>
              <w:ind w:right="95"/>
              <w:jc w:val="right"/>
              <w:rPr>
                <w:sz w:val="22"/>
              </w:rPr>
            </w:pPr>
            <w:r>
              <w:rPr>
                <w:sz w:val="22"/>
              </w:rPr>
              <w:t>42%</w:t>
            </w:r>
          </w:p>
        </w:tc>
        <w:tc>
          <w:tcPr>
            <w:tcW w:w="1087" w:type="dxa"/>
            <w:tcBorders>
              <w:top w:val="nil"/>
              <w:right w:val="nil"/>
            </w:tcBorders>
          </w:tcPr>
          <w:p>
            <w:pPr>
              <w:pStyle w:val="TableParagraph"/>
              <w:spacing w:before="18"/>
              <w:ind w:right="229"/>
              <w:jc w:val="right"/>
              <w:rPr>
                <w:sz w:val="22"/>
              </w:rPr>
            </w:pPr>
            <w:r>
              <w:rPr>
                <w:sz w:val="22"/>
              </w:rPr>
              <w:t>306</w:t>
            </w:r>
          </w:p>
        </w:tc>
        <w:tc>
          <w:tcPr>
            <w:tcW w:w="833" w:type="dxa"/>
            <w:tcBorders>
              <w:top w:val="nil"/>
              <w:left w:val="nil"/>
            </w:tcBorders>
          </w:tcPr>
          <w:p>
            <w:pPr>
              <w:pStyle w:val="TableParagraph"/>
              <w:spacing w:before="18"/>
              <w:ind w:right="95"/>
              <w:jc w:val="right"/>
              <w:rPr>
                <w:sz w:val="22"/>
              </w:rPr>
            </w:pPr>
            <w:r>
              <w:rPr>
                <w:sz w:val="22"/>
              </w:rPr>
              <w:t>30%</w:t>
            </w:r>
          </w:p>
        </w:tc>
        <w:tc>
          <w:tcPr>
            <w:tcW w:w="960" w:type="dxa"/>
            <w:tcBorders>
              <w:top w:val="nil"/>
            </w:tcBorders>
          </w:tcPr>
          <w:p>
            <w:pPr>
              <w:pStyle w:val="TableParagraph"/>
              <w:spacing w:before="18"/>
              <w:ind w:right="93"/>
              <w:jc w:val="right"/>
              <w:rPr>
                <w:sz w:val="22"/>
              </w:rPr>
            </w:pPr>
            <w:r>
              <w:rPr>
                <w:sz w:val="22"/>
              </w:rPr>
              <w:t>-46%</w:t>
            </w:r>
          </w:p>
        </w:tc>
      </w:tr>
      <w:tr>
        <w:trPr>
          <w:trHeight w:val="309" w:hRule="atLeast"/>
        </w:trPr>
        <w:tc>
          <w:tcPr>
            <w:tcW w:w="3199" w:type="dxa"/>
            <w:tcBorders>
              <w:right w:val="single" w:sz="4" w:space="0" w:color="BDD7EE"/>
            </w:tcBorders>
          </w:tcPr>
          <w:p>
            <w:pPr>
              <w:pStyle w:val="TableParagraph"/>
              <w:spacing w:before="18"/>
              <w:ind w:left="107"/>
              <w:rPr>
                <w:sz w:val="22"/>
              </w:rPr>
            </w:pPr>
            <w:r>
              <w:rPr>
                <w:sz w:val="22"/>
              </w:rPr>
              <w:t>MassMedicaid</w:t>
            </w:r>
          </w:p>
        </w:tc>
        <w:tc>
          <w:tcPr>
            <w:tcW w:w="1087" w:type="dxa"/>
            <w:tcBorders>
              <w:left w:val="single" w:sz="4" w:space="0" w:color="BDD7EE"/>
              <w:right w:val="nil"/>
            </w:tcBorders>
          </w:tcPr>
          <w:p>
            <w:pPr>
              <w:pStyle w:val="TableParagraph"/>
              <w:spacing w:before="18"/>
              <w:ind w:right="227"/>
              <w:jc w:val="right"/>
              <w:rPr>
                <w:sz w:val="22"/>
              </w:rPr>
            </w:pPr>
            <w:r>
              <w:rPr>
                <w:sz w:val="22"/>
              </w:rPr>
              <w:t>197</w:t>
            </w:r>
          </w:p>
        </w:tc>
        <w:tc>
          <w:tcPr>
            <w:tcW w:w="833" w:type="dxa"/>
            <w:tcBorders>
              <w:left w:val="nil"/>
            </w:tcBorders>
          </w:tcPr>
          <w:p>
            <w:pPr>
              <w:pStyle w:val="TableParagraph"/>
              <w:spacing w:before="18"/>
              <w:ind w:right="95"/>
              <w:jc w:val="right"/>
              <w:rPr>
                <w:sz w:val="22"/>
              </w:rPr>
            </w:pPr>
            <w:r>
              <w:rPr>
                <w:sz w:val="22"/>
              </w:rPr>
              <w:t>14%</w:t>
            </w:r>
          </w:p>
        </w:tc>
        <w:tc>
          <w:tcPr>
            <w:tcW w:w="1087" w:type="dxa"/>
            <w:tcBorders>
              <w:right w:val="nil"/>
            </w:tcBorders>
          </w:tcPr>
          <w:p>
            <w:pPr>
              <w:pStyle w:val="TableParagraph"/>
              <w:spacing w:before="18"/>
              <w:ind w:right="228"/>
              <w:jc w:val="right"/>
              <w:rPr>
                <w:sz w:val="22"/>
              </w:rPr>
            </w:pPr>
            <w:r>
              <w:rPr>
                <w:sz w:val="22"/>
              </w:rPr>
              <w:t>125</w:t>
            </w:r>
          </w:p>
        </w:tc>
        <w:tc>
          <w:tcPr>
            <w:tcW w:w="833" w:type="dxa"/>
            <w:tcBorders>
              <w:left w:val="nil"/>
            </w:tcBorders>
          </w:tcPr>
          <w:p>
            <w:pPr>
              <w:pStyle w:val="TableParagraph"/>
              <w:spacing w:before="18"/>
              <w:ind w:right="95"/>
              <w:jc w:val="right"/>
              <w:rPr>
                <w:sz w:val="22"/>
              </w:rPr>
            </w:pPr>
            <w:r>
              <w:rPr>
                <w:sz w:val="22"/>
              </w:rPr>
              <w:t>10%</w:t>
            </w:r>
          </w:p>
        </w:tc>
        <w:tc>
          <w:tcPr>
            <w:tcW w:w="1087" w:type="dxa"/>
            <w:tcBorders>
              <w:right w:val="nil"/>
            </w:tcBorders>
          </w:tcPr>
          <w:p>
            <w:pPr>
              <w:pStyle w:val="TableParagraph"/>
              <w:spacing w:before="18"/>
              <w:ind w:right="228"/>
              <w:jc w:val="right"/>
              <w:rPr>
                <w:sz w:val="22"/>
              </w:rPr>
            </w:pPr>
            <w:r>
              <w:rPr>
                <w:sz w:val="22"/>
              </w:rPr>
              <w:t>118</w:t>
            </w:r>
          </w:p>
        </w:tc>
        <w:tc>
          <w:tcPr>
            <w:tcW w:w="833" w:type="dxa"/>
            <w:tcBorders>
              <w:left w:val="nil"/>
            </w:tcBorders>
          </w:tcPr>
          <w:p>
            <w:pPr>
              <w:pStyle w:val="TableParagraph"/>
              <w:spacing w:before="18"/>
              <w:ind w:right="95"/>
              <w:jc w:val="right"/>
              <w:rPr>
                <w:sz w:val="22"/>
              </w:rPr>
            </w:pPr>
            <w:r>
              <w:rPr>
                <w:sz w:val="22"/>
              </w:rPr>
              <w:t>12%</w:t>
            </w:r>
          </w:p>
        </w:tc>
        <w:tc>
          <w:tcPr>
            <w:tcW w:w="960" w:type="dxa"/>
          </w:tcPr>
          <w:p>
            <w:pPr>
              <w:pStyle w:val="TableParagraph"/>
              <w:spacing w:before="18"/>
              <w:ind w:right="93"/>
              <w:jc w:val="right"/>
              <w:rPr>
                <w:sz w:val="22"/>
              </w:rPr>
            </w:pPr>
            <w:r>
              <w:rPr>
                <w:sz w:val="22"/>
              </w:rPr>
              <w:t>-40%</w:t>
            </w:r>
          </w:p>
        </w:tc>
      </w:tr>
      <w:tr>
        <w:trPr>
          <w:trHeight w:val="311" w:hRule="atLeast"/>
        </w:trPr>
        <w:tc>
          <w:tcPr>
            <w:tcW w:w="3199" w:type="dxa"/>
            <w:tcBorders>
              <w:right w:val="single" w:sz="4" w:space="0" w:color="BDD7EE"/>
            </w:tcBorders>
          </w:tcPr>
          <w:p>
            <w:pPr>
              <w:pStyle w:val="TableParagraph"/>
              <w:spacing w:before="18"/>
              <w:ind w:left="107"/>
              <w:rPr>
                <w:sz w:val="22"/>
              </w:rPr>
            </w:pPr>
            <w:r>
              <w:rPr>
                <w:sz w:val="22"/>
              </w:rPr>
              <w:t>BCBS</w:t>
            </w:r>
          </w:p>
        </w:tc>
        <w:tc>
          <w:tcPr>
            <w:tcW w:w="1087" w:type="dxa"/>
            <w:tcBorders>
              <w:left w:val="single" w:sz="4" w:space="0" w:color="BDD7EE"/>
              <w:right w:val="nil"/>
            </w:tcBorders>
          </w:tcPr>
          <w:p>
            <w:pPr>
              <w:pStyle w:val="TableParagraph"/>
              <w:spacing w:before="18"/>
              <w:ind w:right="229"/>
              <w:jc w:val="right"/>
              <w:rPr>
                <w:sz w:val="22"/>
              </w:rPr>
            </w:pPr>
            <w:r>
              <w:rPr>
                <w:sz w:val="22"/>
              </w:rPr>
              <w:t>272</w:t>
            </w:r>
          </w:p>
        </w:tc>
        <w:tc>
          <w:tcPr>
            <w:tcW w:w="833" w:type="dxa"/>
            <w:tcBorders>
              <w:left w:val="nil"/>
            </w:tcBorders>
          </w:tcPr>
          <w:p>
            <w:pPr>
              <w:pStyle w:val="TableParagraph"/>
              <w:spacing w:before="18"/>
              <w:ind w:right="95"/>
              <w:jc w:val="right"/>
              <w:rPr>
                <w:sz w:val="22"/>
              </w:rPr>
            </w:pPr>
            <w:r>
              <w:rPr>
                <w:sz w:val="22"/>
              </w:rPr>
              <w:t>19%</w:t>
            </w:r>
          </w:p>
        </w:tc>
        <w:tc>
          <w:tcPr>
            <w:tcW w:w="1087" w:type="dxa"/>
            <w:tcBorders>
              <w:right w:val="nil"/>
            </w:tcBorders>
          </w:tcPr>
          <w:p>
            <w:pPr>
              <w:pStyle w:val="TableParagraph"/>
              <w:spacing w:before="18"/>
              <w:ind w:right="229"/>
              <w:jc w:val="right"/>
              <w:rPr>
                <w:sz w:val="22"/>
              </w:rPr>
            </w:pPr>
            <w:r>
              <w:rPr>
                <w:sz w:val="22"/>
              </w:rPr>
              <w:t>248</w:t>
            </w:r>
          </w:p>
        </w:tc>
        <w:tc>
          <w:tcPr>
            <w:tcW w:w="833" w:type="dxa"/>
            <w:tcBorders>
              <w:left w:val="nil"/>
            </w:tcBorders>
          </w:tcPr>
          <w:p>
            <w:pPr>
              <w:pStyle w:val="TableParagraph"/>
              <w:spacing w:before="18"/>
              <w:ind w:right="95"/>
              <w:jc w:val="right"/>
              <w:rPr>
                <w:sz w:val="22"/>
              </w:rPr>
            </w:pPr>
            <w:r>
              <w:rPr>
                <w:sz w:val="22"/>
              </w:rPr>
              <w:t>19%</w:t>
            </w:r>
          </w:p>
        </w:tc>
        <w:tc>
          <w:tcPr>
            <w:tcW w:w="1087" w:type="dxa"/>
            <w:tcBorders>
              <w:right w:val="nil"/>
            </w:tcBorders>
          </w:tcPr>
          <w:p>
            <w:pPr>
              <w:pStyle w:val="TableParagraph"/>
              <w:spacing w:before="18"/>
              <w:ind w:right="229"/>
              <w:jc w:val="right"/>
              <w:rPr>
                <w:sz w:val="22"/>
              </w:rPr>
            </w:pPr>
            <w:r>
              <w:rPr>
                <w:sz w:val="22"/>
              </w:rPr>
              <w:t>285</w:t>
            </w:r>
          </w:p>
        </w:tc>
        <w:tc>
          <w:tcPr>
            <w:tcW w:w="833" w:type="dxa"/>
            <w:tcBorders>
              <w:left w:val="nil"/>
            </w:tcBorders>
          </w:tcPr>
          <w:p>
            <w:pPr>
              <w:pStyle w:val="TableParagraph"/>
              <w:spacing w:before="18"/>
              <w:ind w:right="95"/>
              <w:jc w:val="right"/>
              <w:rPr>
                <w:sz w:val="22"/>
              </w:rPr>
            </w:pPr>
            <w:r>
              <w:rPr>
                <w:sz w:val="22"/>
              </w:rPr>
              <w:t>28%</w:t>
            </w:r>
          </w:p>
        </w:tc>
        <w:tc>
          <w:tcPr>
            <w:tcW w:w="960" w:type="dxa"/>
          </w:tcPr>
          <w:p>
            <w:pPr>
              <w:pStyle w:val="TableParagraph"/>
              <w:spacing w:before="18"/>
              <w:ind w:right="93"/>
              <w:jc w:val="right"/>
              <w:rPr>
                <w:sz w:val="22"/>
              </w:rPr>
            </w:pPr>
            <w:r>
              <w:rPr>
                <w:sz w:val="22"/>
              </w:rPr>
              <w:t>5%</w:t>
            </w:r>
          </w:p>
        </w:tc>
      </w:tr>
      <w:tr>
        <w:trPr>
          <w:trHeight w:val="309" w:hRule="atLeast"/>
        </w:trPr>
        <w:tc>
          <w:tcPr>
            <w:tcW w:w="3199" w:type="dxa"/>
            <w:tcBorders>
              <w:right w:val="single" w:sz="4" w:space="0" w:color="BDD7EE"/>
            </w:tcBorders>
          </w:tcPr>
          <w:p>
            <w:pPr>
              <w:pStyle w:val="TableParagraph"/>
              <w:spacing w:before="18"/>
              <w:ind w:left="107"/>
              <w:rPr>
                <w:sz w:val="22"/>
              </w:rPr>
            </w:pPr>
            <w:r>
              <w:rPr>
                <w:sz w:val="22"/>
              </w:rPr>
              <w:t>Tufts</w:t>
            </w:r>
          </w:p>
        </w:tc>
        <w:tc>
          <w:tcPr>
            <w:tcW w:w="1087" w:type="dxa"/>
            <w:tcBorders>
              <w:left w:val="single" w:sz="4" w:space="0" w:color="BDD7EE"/>
              <w:right w:val="nil"/>
            </w:tcBorders>
          </w:tcPr>
          <w:p>
            <w:pPr>
              <w:pStyle w:val="TableParagraph"/>
              <w:spacing w:before="18"/>
              <w:ind w:right="225"/>
              <w:jc w:val="right"/>
              <w:rPr>
                <w:sz w:val="22"/>
              </w:rPr>
            </w:pPr>
            <w:r>
              <w:rPr>
                <w:sz w:val="22"/>
              </w:rPr>
              <w:t>71</w:t>
            </w:r>
          </w:p>
        </w:tc>
        <w:tc>
          <w:tcPr>
            <w:tcW w:w="833" w:type="dxa"/>
            <w:tcBorders>
              <w:left w:val="nil"/>
            </w:tcBorders>
          </w:tcPr>
          <w:p>
            <w:pPr>
              <w:pStyle w:val="TableParagraph"/>
              <w:spacing w:before="18"/>
              <w:ind w:right="93"/>
              <w:jc w:val="right"/>
              <w:rPr>
                <w:sz w:val="22"/>
              </w:rPr>
            </w:pPr>
            <w:r>
              <w:rPr>
                <w:sz w:val="22"/>
              </w:rPr>
              <w:t>5%</w:t>
            </w:r>
          </w:p>
        </w:tc>
        <w:tc>
          <w:tcPr>
            <w:tcW w:w="1087" w:type="dxa"/>
            <w:tcBorders>
              <w:right w:val="nil"/>
            </w:tcBorders>
          </w:tcPr>
          <w:p>
            <w:pPr>
              <w:pStyle w:val="TableParagraph"/>
              <w:spacing w:before="18"/>
              <w:ind w:right="228"/>
              <w:jc w:val="right"/>
              <w:rPr>
                <w:sz w:val="22"/>
              </w:rPr>
            </w:pPr>
            <w:r>
              <w:rPr>
                <w:sz w:val="22"/>
              </w:rPr>
              <w:t>111</w:t>
            </w:r>
          </w:p>
        </w:tc>
        <w:tc>
          <w:tcPr>
            <w:tcW w:w="833" w:type="dxa"/>
            <w:tcBorders>
              <w:left w:val="nil"/>
            </w:tcBorders>
          </w:tcPr>
          <w:p>
            <w:pPr>
              <w:pStyle w:val="TableParagraph"/>
              <w:spacing w:before="18"/>
              <w:ind w:right="93"/>
              <w:jc w:val="right"/>
              <w:rPr>
                <w:sz w:val="22"/>
              </w:rPr>
            </w:pPr>
            <w:r>
              <w:rPr>
                <w:sz w:val="22"/>
              </w:rPr>
              <w:t>9%</w:t>
            </w:r>
          </w:p>
        </w:tc>
        <w:tc>
          <w:tcPr>
            <w:tcW w:w="1087" w:type="dxa"/>
            <w:tcBorders>
              <w:right w:val="nil"/>
            </w:tcBorders>
          </w:tcPr>
          <w:p>
            <w:pPr>
              <w:pStyle w:val="TableParagraph"/>
              <w:spacing w:before="18"/>
              <w:ind w:right="225"/>
              <w:jc w:val="right"/>
              <w:rPr>
                <w:sz w:val="22"/>
              </w:rPr>
            </w:pPr>
            <w:r>
              <w:rPr>
                <w:sz w:val="22"/>
              </w:rPr>
              <w:t>75</w:t>
            </w:r>
          </w:p>
        </w:tc>
        <w:tc>
          <w:tcPr>
            <w:tcW w:w="833" w:type="dxa"/>
            <w:tcBorders>
              <w:left w:val="nil"/>
            </w:tcBorders>
          </w:tcPr>
          <w:p>
            <w:pPr>
              <w:pStyle w:val="TableParagraph"/>
              <w:spacing w:before="18"/>
              <w:ind w:right="93"/>
              <w:jc w:val="right"/>
              <w:rPr>
                <w:sz w:val="22"/>
              </w:rPr>
            </w:pPr>
            <w:r>
              <w:rPr>
                <w:sz w:val="22"/>
              </w:rPr>
              <w:t>7%</w:t>
            </w:r>
          </w:p>
        </w:tc>
        <w:tc>
          <w:tcPr>
            <w:tcW w:w="960" w:type="dxa"/>
          </w:tcPr>
          <w:p>
            <w:pPr>
              <w:pStyle w:val="TableParagraph"/>
              <w:spacing w:before="18"/>
              <w:ind w:right="93"/>
              <w:jc w:val="right"/>
              <w:rPr>
                <w:sz w:val="22"/>
              </w:rPr>
            </w:pPr>
            <w:r>
              <w:rPr>
                <w:sz w:val="22"/>
              </w:rPr>
              <w:t>6%</w:t>
            </w:r>
          </w:p>
        </w:tc>
      </w:tr>
      <w:tr>
        <w:trPr>
          <w:trHeight w:val="309" w:hRule="atLeast"/>
        </w:trPr>
        <w:tc>
          <w:tcPr>
            <w:tcW w:w="3199" w:type="dxa"/>
            <w:tcBorders>
              <w:right w:val="single" w:sz="4" w:space="0" w:color="BDD7EE"/>
            </w:tcBorders>
          </w:tcPr>
          <w:p>
            <w:pPr>
              <w:pStyle w:val="TableParagraph"/>
              <w:spacing w:before="18"/>
              <w:ind w:left="107"/>
              <w:rPr>
                <w:sz w:val="22"/>
              </w:rPr>
            </w:pPr>
            <w:r>
              <w:rPr>
                <w:sz w:val="22"/>
              </w:rPr>
              <w:t>Harvard Pilgrim</w:t>
            </w:r>
          </w:p>
        </w:tc>
        <w:tc>
          <w:tcPr>
            <w:tcW w:w="1087" w:type="dxa"/>
            <w:tcBorders>
              <w:left w:val="single" w:sz="4" w:space="0" w:color="BDD7EE"/>
              <w:right w:val="nil"/>
            </w:tcBorders>
          </w:tcPr>
          <w:p>
            <w:pPr>
              <w:pStyle w:val="TableParagraph"/>
              <w:spacing w:before="18"/>
              <w:ind w:right="225"/>
              <w:jc w:val="right"/>
              <w:rPr>
                <w:sz w:val="22"/>
              </w:rPr>
            </w:pPr>
            <w:r>
              <w:rPr>
                <w:sz w:val="22"/>
              </w:rPr>
              <w:t>79</w:t>
            </w:r>
          </w:p>
        </w:tc>
        <w:tc>
          <w:tcPr>
            <w:tcW w:w="833" w:type="dxa"/>
            <w:tcBorders>
              <w:left w:val="nil"/>
            </w:tcBorders>
          </w:tcPr>
          <w:p>
            <w:pPr>
              <w:pStyle w:val="TableParagraph"/>
              <w:spacing w:before="18"/>
              <w:ind w:right="93"/>
              <w:jc w:val="right"/>
              <w:rPr>
                <w:sz w:val="22"/>
              </w:rPr>
            </w:pPr>
            <w:r>
              <w:rPr>
                <w:sz w:val="22"/>
              </w:rPr>
              <w:t>6%</w:t>
            </w:r>
          </w:p>
        </w:tc>
        <w:tc>
          <w:tcPr>
            <w:tcW w:w="1087" w:type="dxa"/>
            <w:tcBorders>
              <w:right w:val="nil"/>
            </w:tcBorders>
          </w:tcPr>
          <w:p>
            <w:pPr>
              <w:pStyle w:val="TableParagraph"/>
              <w:spacing w:before="18"/>
              <w:ind w:right="225"/>
              <w:jc w:val="right"/>
              <w:rPr>
                <w:sz w:val="22"/>
              </w:rPr>
            </w:pPr>
            <w:r>
              <w:rPr>
                <w:sz w:val="22"/>
              </w:rPr>
              <w:t>70</w:t>
            </w:r>
          </w:p>
        </w:tc>
        <w:tc>
          <w:tcPr>
            <w:tcW w:w="833" w:type="dxa"/>
            <w:tcBorders>
              <w:left w:val="nil"/>
            </w:tcBorders>
          </w:tcPr>
          <w:p>
            <w:pPr>
              <w:pStyle w:val="TableParagraph"/>
              <w:spacing w:before="18"/>
              <w:ind w:right="93"/>
              <w:jc w:val="right"/>
              <w:rPr>
                <w:sz w:val="22"/>
              </w:rPr>
            </w:pPr>
            <w:r>
              <w:rPr>
                <w:sz w:val="22"/>
              </w:rPr>
              <w:t>5%</w:t>
            </w:r>
          </w:p>
        </w:tc>
        <w:tc>
          <w:tcPr>
            <w:tcW w:w="1087" w:type="dxa"/>
            <w:tcBorders>
              <w:right w:val="nil"/>
            </w:tcBorders>
          </w:tcPr>
          <w:p>
            <w:pPr>
              <w:pStyle w:val="TableParagraph"/>
              <w:spacing w:before="18"/>
              <w:ind w:right="225"/>
              <w:jc w:val="right"/>
              <w:rPr>
                <w:sz w:val="22"/>
              </w:rPr>
            </w:pPr>
            <w:r>
              <w:rPr>
                <w:sz w:val="22"/>
              </w:rPr>
              <w:t>52</w:t>
            </w:r>
          </w:p>
        </w:tc>
        <w:tc>
          <w:tcPr>
            <w:tcW w:w="833" w:type="dxa"/>
            <w:tcBorders>
              <w:left w:val="nil"/>
            </w:tcBorders>
          </w:tcPr>
          <w:p>
            <w:pPr>
              <w:pStyle w:val="TableParagraph"/>
              <w:spacing w:before="18"/>
              <w:ind w:right="93"/>
              <w:jc w:val="right"/>
              <w:rPr>
                <w:sz w:val="22"/>
              </w:rPr>
            </w:pPr>
            <w:r>
              <w:rPr>
                <w:sz w:val="22"/>
              </w:rPr>
              <w:t>5%</w:t>
            </w:r>
          </w:p>
        </w:tc>
        <w:tc>
          <w:tcPr>
            <w:tcW w:w="960" w:type="dxa"/>
          </w:tcPr>
          <w:p>
            <w:pPr>
              <w:pStyle w:val="TableParagraph"/>
              <w:spacing w:before="18"/>
              <w:ind w:right="93"/>
              <w:jc w:val="right"/>
              <w:rPr>
                <w:sz w:val="22"/>
              </w:rPr>
            </w:pPr>
            <w:r>
              <w:rPr>
                <w:sz w:val="22"/>
              </w:rPr>
              <w:t>-34%</w:t>
            </w:r>
          </w:p>
        </w:tc>
      </w:tr>
      <w:tr>
        <w:trPr>
          <w:trHeight w:val="311" w:hRule="atLeast"/>
        </w:trPr>
        <w:tc>
          <w:tcPr>
            <w:tcW w:w="3199" w:type="dxa"/>
            <w:tcBorders>
              <w:right w:val="single" w:sz="4" w:space="0" w:color="BDD7EE"/>
            </w:tcBorders>
          </w:tcPr>
          <w:p>
            <w:pPr>
              <w:pStyle w:val="TableParagraph"/>
              <w:spacing w:before="18"/>
              <w:ind w:left="107"/>
              <w:rPr>
                <w:sz w:val="22"/>
              </w:rPr>
            </w:pPr>
            <w:r>
              <w:rPr>
                <w:sz w:val="22"/>
              </w:rPr>
              <w:t>United Health</w:t>
            </w:r>
          </w:p>
        </w:tc>
        <w:tc>
          <w:tcPr>
            <w:tcW w:w="1087" w:type="dxa"/>
            <w:tcBorders>
              <w:left w:val="single" w:sz="4" w:space="0" w:color="BDD7EE"/>
              <w:right w:val="nil"/>
            </w:tcBorders>
          </w:tcPr>
          <w:p>
            <w:pPr>
              <w:pStyle w:val="TableParagraph"/>
              <w:spacing w:before="18"/>
              <w:ind w:right="225"/>
              <w:jc w:val="right"/>
              <w:rPr>
                <w:sz w:val="22"/>
              </w:rPr>
            </w:pPr>
            <w:r>
              <w:rPr>
                <w:sz w:val="22"/>
              </w:rPr>
              <w:t>43</w:t>
            </w:r>
          </w:p>
        </w:tc>
        <w:tc>
          <w:tcPr>
            <w:tcW w:w="833" w:type="dxa"/>
            <w:tcBorders>
              <w:left w:val="nil"/>
            </w:tcBorders>
          </w:tcPr>
          <w:p>
            <w:pPr>
              <w:pStyle w:val="TableParagraph"/>
              <w:spacing w:before="18"/>
              <w:ind w:right="93"/>
              <w:jc w:val="right"/>
              <w:rPr>
                <w:sz w:val="22"/>
              </w:rPr>
            </w:pPr>
            <w:r>
              <w:rPr>
                <w:sz w:val="22"/>
              </w:rPr>
              <w:t>3%</w:t>
            </w:r>
          </w:p>
        </w:tc>
        <w:tc>
          <w:tcPr>
            <w:tcW w:w="1087" w:type="dxa"/>
            <w:tcBorders>
              <w:right w:val="nil"/>
            </w:tcBorders>
          </w:tcPr>
          <w:p>
            <w:pPr>
              <w:pStyle w:val="TableParagraph"/>
              <w:spacing w:before="18"/>
              <w:ind w:right="225"/>
              <w:jc w:val="right"/>
              <w:rPr>
                <w:sz w:val="22"/>
              </w:rPr>
            </w:pPr>
            <w:r>
              <w:rPr>
                <w:sz w:val="22"/>
              </w:rPr>
              <w:t>33</w:t>
            </w:r>
          </w:p>
        </w:tc>
        <w:tc>
          <w:tcPr>
            <w:tcW w:w="833" w:type="dxa"/>
            <w:tcBorders>
              <w:left w:val="nil"/>
            </w:tcBorders>
          </w:tcPr>
          <w:p>
            <w:pPr>
              <w:pStyle w:val="TableParagraph"/>
              <w:spacing w:before="18"/>
              <w:ind w:right="93"/>
              <w:jc w:val="right"/>
              <w:rPr>
                <w:sz w:val="22"/>
              </w:rPr>
            </w:pPr>
            <w:r>
              <w:rPr>
                <w:sz w:val="22"/>
              </w:rPr>
              <w:t>3%</w:t>
            </w:r>
          </w:p>
        </w:tc>
        <w:tc>
          <w:tcPr>
            <w:tcW w:w="1087" w:type="dxa"/>
            <w:tcBorders>
              <w:right w:val="nil"/>
            </w:tcBorders>
          </w:tcPr>
          <w:p>
            <w:pPr>
              <w:pStyle w:val="TableParagraph"/>
              <w:spacing w:before="18"/>
              <w:ind w:right="225"/>
              <w:jc w:val="right"/>
              <w:rPr>
                <w:sz w:val="22"/>
              </w:rPr>
            </w:pPr>
            <w:r>
              <w:rPr>
                <w:sz w:val="22"/>
              </w:rPr>
              <w:t>47</w:t>
            </w:r>
          </w:p>
        </w:tc>
        <w:tc>
          <w:tcPr>
            <w:tcW w:w="833" w:type="dxa"/>
            <w:tcBorders>
              <w:left w:val="nil"/>
            </w:tcBorders>
          </w:tcPr>
          <w:p>
            <w:pPr>
              <w:pStyle w:val="TableParagraph"/>
              <w:spacing w:before="18"/>
              <w:ind w:right="93"/>
              <w:jc w:val="right"/>
              <w:rPr>
                <w:sz w:val="22"/>
              </w:rPr>
            </w:pPr>
            <w:r>
              <w:rPr>
                <w:sz w:val="22"/>
              </w:rPr>
              <w:t>5%</w:t>
            </w:r>
          </w:p>
        </w:tc>
        <w:tc>
          <w:tcPr>
            <w:tcW w:w="960" w:type="dxa"/>
          </w:tcPr>
          <w:p>
            <w:pPr>
              <w:pStyle w:val="TableParagraph"/>
              <w:spacing w:before="18"/>
              <w:ind w:right="93"/>
              <w:jc w:val="right"/>
              <w:rPr>
                <w:sz w:val="22"/>
              </w:rPr>
            </w:pPr>
            <w:r>
              <w:rPr>
                <w:sz w:val="22"/>
              </w:rPr>
              <w:t>9%</w:t>
            </w:r>
          </w:p>
        </w:tc>
      </w:tr>
      <w:tr>
        <w:trPr>
          <w:trHeight w:val="309" w:hRule="atLeast"/>
        </w:trPr>
        <w:tc>
          <w:tcPr>
            <w:tcW w:w="3199" w:type="dxa"/>
            <w:tcBorders>
              <w:right w:val="single" w:sz="4" w:space="0" w:color="BDD7EE"/>
            </w:tcBorders>
          </w:tcPr>
          <w:p>
            <w:pPr>
              <w:pStyle w:val="TableParagraph"/>
              <w:spacing w:before="18"/>
              <w:ind w:left="107"/>
              <w:rPr>
                <w:sz w:val="22"/>
              </w:rPr>
            </w:pPr>
            <w:r>
              <w:rPr>
                <w:sz w:val="22"/>
              </w:rPr>
              <w:t>Cigna</w:t>
            </w:r>
          </w:p>
        </w:tc>
        <w:tc>
          <w:tcPr>
            <w:tcW w:w="1087" w:type="dxa"/>
            <w:tcBorders>
              <w:left w:val="single" w:sz="4" w:space="0" w:color="BDD7EE"/>
              <w:right w:val="nil"/>
            </w:tcBorders>
          </w:tcPr>
          <w:p>
            <w:pPr>
              <w:pStyle w:val="TableParagraph"/>
              <w:spacing w:before="18"/>
              <w:ind w:right="225"/>
              <w:jc w:val="right"/>
              <w:rPr>
                <w:sz w:val="22"/>
              </w:rPr>
            </w:pPr>
            <w:r>
              <w:rPr>
                <w:sz w:val="22"/>
              </w:rPr>
              <w:t>25</w:t>
            </w:r>
          </w:p>
        </w:tc>
        <w:tc>
          <w:tcPr>
            <w:tcW w:w="833" w:type="dxa"/>
            <w:tcBorders>
              <w:left w:val="nil"/>
            </w:tcBorders>
          </w:tcPr>
          <w:p>
            <w:pPr>
              <w:pStyle w:val="TableParagraph"/>
              <w:spacing w:before="18"/>
              <w:ind w:right="93"/>
              <w:jc w:val="right"/>
              <w:rPr>
                <w:sz w:val="22"/>
              </w:rPr>
            </w:pPr>
            <w:r>
              <w:rPr>
                <w:sz w:val="22"/>
              </w:rPr>
              <w:t>2%</w:t>
            </w:r>
          </w:p>
        </w:tc>
        <w:tc>
          <w:tcPr>
            <w:tcW w:w="1087" w:type="dxa"/>
            <w:tcBorders>
              <w:right w:val="nil"/>
            </w:tcBorders>
          </w:tcPr>
          <w:p>
            <w:pPr>
              <w:pStyle w:val="TableParagraph"/>
              <w:spacing w:before="18"/>
              <w:ind w:right="225"/>
              <w:jc w:val="right"/>
              <w:rPr>
                <w:sz w:val="22"/>
              </w:rPr>
            </w:pPr>
            <w:r>
              <w:rPr>
                <w:sz w:val="22"/>
              </w:rPr>
              <w:t>27</w:t>
            </w:r>
          </w:p>
        </w:tc>
        <w:tc>
          <w:tcPr>
            <w:tcW w:w="833" w:type="dxa"/>
            <w:tcBorders>
              <w:left w:val="nil"/>
            </w:tcBorders>
          </w:tcPr>
          <w:p>
            <w:pPr>
              <w:pStyle w:val="TableParagraph"/>
              <w:spacing w:before="18"/>
              <w:ind w:right="93"/>
              <w:jc w:val="right"/>
              <w:rPr>
                <w:sz w:val="22"/>
              </w:rPr>
            </w:pPr>
            <w:r>
              <w:rPr>
                <w:sz w:val="22"/>
              </w:rPr>
              <w:t>2%</w:t>
            </w:r>
          </w:p>
        </w:tc>
        <w:tc>
          <w:tcPr>
            <w:tcW w:w="1087" w:type="dxa"/>
            <w:tcBorders>
              <w:right w:val="nil"/>
            </w:tcBorders>
          </w:tcPr>
          <w:p>
            <w:pPr>
              <w:pStyle w:val="TableParagraph"/>
              <w:spacing w:before="18"/>
              <w:ind w:right="225"/>
              <w:jc w:val="right"/>
              <w:rPr>
                <w:sz w:val="22"/>
              </w:rPr>
            </w:pPr>
            <w:r>
              <w:rPr>
                <w:sz w:val="22"/>
              </w:rPr>
              <w:t>17</w:t>
            </w:r>
          </w:p>
        </w:tc>
        <w:tc>
          <w:tcPr>
            <w:tcW w:w="833" w:type="dxa"/>
            <w:tcBorders>
              <w:left w:val="nil"/>
            </w:tcBorders>
          </w:tcPr>
          <w:p>
            <w:pPr>
              <w:pStyle w:val="TableParagraph"/>
              <w:spacing w:before="18"/>
              <w:ind w:right="93"/>
              <w:jc w:val="right"/>
              <w:rPr>
                <w:sz w:val="22"/>
              </w:rPr>
            </w:pPr>
            <w:r>
              <w:rPr>
                <w:sz w:val="22"/>
              </w:rPr>
              <w:t>2%</w:t>
            </w:r>
          </w:p>
        </w:tc>
        <w:tc>
          <w:tcPr>
            <w:tcW w:w="960" w:type="dxa"/>
          </w:tcPr>
          <w:p>
            <w:pPr>
              <w:pStyle w:val="TableParagraph"/>
              <w:spacing w:before="18"/>
              <w:ind w:right="93"/>
              <w:jc w:val="right"/>
              <w:rPr>
                <w:sz w:val="22"/>
              </w:rPr>
            </w:pPr>
            <w:r>
              <w:rPr>
                <w:sz w:val="22"/>
              </w:rPr>
              <w:t>-32%</w:t>
            </w:r>
          </w:p>
        </w:tc>
      </w:tr>
      <w:tr>
        <w:trPr>
          <w:trHeight w:val="309" w:hRule="atLeast"/>
        </w:trPr>
        <w:tc>
          <w:tcPr>
            <w:tcW w:w="3199" w:type="dxa"/>
            <w:tcBorders>
              <w:right w:val="single" w:sz="4" w:space="0" w:color="BDD7EE"/>
            </w:tcBorders>
          </w:tcPr>
          <w:p>
            <w:pPr>
              <w:pStyle w:val="TableParagraph"/>
              <w:spacing w:before="18"/>
              <w:ind w:left="107"/>
              <w:rPr>
                <w:sz w:val="22"/>
              </w:rPr>
            </w:pPr>
            <w:r>
              <w:rPr>
                <w:sz w:val="22"/>
              </w:rPr>
              <w:t>Aetna</w:t>
            </w:r>
          </w:p>
        </w:tc>
        <w:tc>
          <w:tcPr>
            <w:tcW w:w="1087" w:type="dxa"/>
            <w:tcBorders>
              <w:left w:val="single" w:sz="4" w:space="0" w:color="BDD7EE"/>
              <w:right w:val="nil"/>
            </w:tcBorders>
          </w:tcPr>
          <w:p>
            <w:pPr>
              <w:pStyle w:val="TableParagraph"/>
              <w:spacing w:before="18"/>
              <w:ind w:right="225"/>
              <w:jc w:val="right"/>
              <w:rPr>
                <w:sz w:val="22"/>
              </w:rPr>
            </w:pPr>
            <w:r>
              <w:rPr>
                <w:sz w:val="22"/>
              </w:rPr>
              <w:t>19</w:t>
            </w:r>
          </w:p>
        </w:tc>
        <w:tc>
          <w:tcPr>
            <w:tcW w:w="833" w:type="dxa"/>
            <w:tcBorders>
              <w:left w:val="nil"/>
            </w:tcBorders>
          </w:tcPr>
          <w:p>
            <w:pPr>
              <w:pStyle w:val="TableParagraph"/>
              <w:spacing w:before="18"/>
              <w:ind w:right="93"/>
              <w:jc w:val="right"/>
              <w:rPr>
                <w:sz w:val="22"/>
              </w:rPr>
            </w:pPr>
            <w:r>
              <w:rPr>
                <w:sz w:val="22"/>
              </w:rPr>
              <w:t>1%</w:t>
            </w:r>
          </w:p>
        </w:tc>
        <w:tc>
          <w:tcPr>
            <w:tcW w:w="1087" w:type="dxa"/>
            <w:tcBorders>
              <w:right w:val="nil"/>
            </w:tcBorders>
          </w:tcPr>
          <w:p>
            <w:pPr>
              <w:pStyle w:val="TableParagraph"/>
              <w:spacing w:before="18"/>
              <w:ind w:right="226"/>
              <w:jc w:val="right"/>
              <w:rPr>
                <w:sz w:val="22"/>
              </w:rPr>
            </w:pPr>
            <w:r>
              <w:rPr>
                <w:w w:val="100"/>
                <w:sz w:val="22"/>
              </w:rPr>
              <w:t>1</w:t>
            </w:r>
          </w:p>
        </w:tc>
        <w:tc>
          <w:tcPr>
            <w:tcW w:w="833" w:type="dxa"/>
            <w:tcBorders>
              <w:left w:val="nil"/>
            </w:tcBorders>
          </w:tcPr>
          <w:p>
            <w:pPr>
              <w:pStyle w:val="TableParagraph"/>
              <w:spacing w:before="18"/>
              <w:ind w:right="93"/>
              <w:jc w:val="right"/>
              <w:rPr>
                <w:sz w:val="22"/>
              </w:rPr>
            </w:pPr>
            <w:r>
              <w:rPr>
                <w:sz w:val="22"/>
              </w:rPr>
              <w:t>0%</w:t>
            </w:r>
          </w:p>
        </w:tc>
        <w:tc>
          <w:tcPr>
            <w:tcW w:w="1087" w:type="dxa"/>
            <w:tcBorders>
              <w:right w:val="nil"/>
            </w:tcBorders>
          </w:tcPr>
          <w:p>
            <w:pPr>
              <w:pStyle w:val="TableParagraph"/>
              <w:spacing w:before="18"/>
              <w:ind w:right="225"/>
              <w:jc w:val="right"/>
              <w:rPr>
                <w:sz w:val="22"/>
              </w:rPr>
            </w:pPr>
            <w:r>
              <w:rPr>
                <w:sz w:val="22"/>
              </w:rPr>
              <w:t>16</w:t>
            </w:r>
          </w:p>
        </w:tc>
        <w:tc>
          <w:tcPr>
            <w:tcW w:w="833" w:type="dxa"/>
            <w:tcBorders>
              <w:left w:val="nil"/>
            </w:tcBorders>
          </w:tcPr>
          <w:p>
            <w:pPr>
              <w:pStyle w:val="TableParagraph"/>
              <w:spacing w:before="18"/>
              <w:ind w:right="93"/>
              <w:jc w:val="right"/>
              <w:rPr>
                <w:sz w:val="22"/>
              </w:rPr>
            </w:pPr>
            <w:r>
              <w:rPr>
                <w:sz w:val="22"/>
              </w:rPr>
              <w:t>2%</w:t>
            </w:r>
          </w:p>
        </w:tc>
        <w:tc>
          <w:tcPr>
            <w:tcW w:w="960" w:type="dxa"/>
          </w:tcPr>
          <w:p>
            <w:pPr>
              <w:pStyle w:val="TableParagraph"/>
              <w:spacing w:before="18"/>
              <w:ind w:right="93"/>
              <w:jc w:val="right"/>
              <w:rPr>
                <w:sz w:val="22"/>
              </w:rPr>
            </w:pPr>
            <w:r>
              <w:rPr>
                <w:sz w:val="22"/>
              </w:rPr>
              <w:t>-16%</w:t>
            </w:r>
          </w:p>
        </w:tc>
      </w:tr>
      <w:tr>
        <w:trPr>
          <w:trHeight w:val="311" w:hRule="atLeast"/>
        </w:trPr>
        <w:tc>
          <w:tcPr>
            <w:tcW w:w="3199" w:type="dxa"/>
            <w:tcBorders>
              <w:right w:val="single" w:sz="4" w:space="0" w:color="BDD7EE"/>
            </w:tcBorders>
          </w:tcPr>
          <w:p>
            <w:pPr>
              <w:pStyle w:val="TableParagraph"/>
              <w:spacing w:before="18"/>
              <w:ind w:left="107"/>
              <w:rPr>
                <w:sz w:val="22"/>
              </w:rPr>
            </w:pPr>
            <w:r>
              <w:rPr>
                <w:sz w:val="22"/>
              </w:rPr>
              <w:t>Other Commercial</w:t>
            </w:r>
          </w:p>
        </w:tc>
        <w:tc>
          <w:tcPr>
            <w:tcW w:w="1087" w:type="dxa"/>
            <w:tcBorders>
              <w:left w:val="single" w:sz="4" w:space="0" w:color="BDD7EE"/>
              <w:right w:val="nil"/>
            </w:tcBorders>
          </w:tcPr>
          <w:p>
            <w:pPr>
              <w:pStyle w:val="TableParagraph"/>
              <w:spacing w:before="18"/>
              <w:ind w:right="225"/>
              <w:jc w:val="right"/>
              <w:rPr>
                <w:sz w:val="22"/>
              </w:rPr>
            </w:pPr>
            <w:r>
              <w:rPr>
                <w:sz w:val="22"/>
              </w:rPr>
              <w:t>75</w:t>
            </w:r>
          </w:p>
        </w:tc>
        <w:tc>
          <w:tcPr>
            <w:tcW w:w="833" w:type="dxa"/>
            <w:tcBorders>
              <w:left w:val="nil"/>
            </w:tcBorders>
          </w:tcPr>
          <w:p>
            <w:pPr>
              <w:pStyle w:val="TableParagraph"/>
              <w:spacing w:before="18"/>
              <w:ind w:right="93"/>
              <w:jc w:val="right"/>
              <w:rPr>
                <w:sz w:val="22"/>
              </w:rPr>
            </w:pPr>
            <w:r>
              <w:rPr>
                <w:sz w:val="22"/>
              </w:rPr>
              <w:t>5%</w:t>
            </w:r>
          </w:p>
        </w:tc>
        <w:tc>
          <w:tcPr>
            <w:tcW w:w="1087" w:type="dxa"/>
            <w:tcBorders>
              <w:right w:val="nil"/>
            </w:tcBorders>
          </w:tcPr>
          <w:p>
            <w:pPr>
              <w:pStyle w:val="TableParagraph"/>
              <w:spacing w:before="18"/>
              <w:ind w:right="225"/>
              <w:jc w:val="right"/>
              <w:rPr>
                <w:sz w:val="22"/>
              </w:rPr>
            </w:pPr>
            <w:r>
              <w:rPr>
                <w:sz w:val="22"/>
              </w:rPr>
              <w:t>58</w:t>
            </w:r>
          </w:p>
        </w:tc>
        <w:tc>
          <w:tcPr>
            <w:tcW w:w="833" w:type="dxa"/>
            <w:tcBorders>
              <w:left w:val="nil"/>
            </w:tcBorders>
          </w:tcPr>
          <w:p>
            <w:pPr>
              <w:pStyle w:val="TableParagraph"/>
              <w:spacing w:before="18"/>
              <w:ind w:right="93"/>
              <w:jc w:val="right"/>
              <w:rPr>
                <w:sz w:val="22"/>
              </w:rPr>
            </w:pPr>
            <w:r>
              <w:rPr>
                <w:sz w:val="22"/>
              </w:rPr>
              <w:t>4%</w:t>
            </w:r>
          </w:p>
        </w:tc>
        <w:tc>
          <w:tcPr>
            <w:tcW w:w="1087" w:type="dxa"/>
            <w:tcBorders>
              <w:right w:val="nil"/>
            </w:tcBorders>
          </w:tcPr>
          <w:p>
            <w:pPr>
              <w:pStyle w:val="TableParagraph"/>
              <w:spacing w:before="18"/>
              <w:ind w:right="225"/>
              <w:jc w:val="right"/>
              <w:rPr>
                <w:sz w:val="22"/>
              </w:rPr>
            </w:pPr>
            <w:r>
              <w:rPr>
                <w:sz w:val="22"/>
              </w:rPr>
              <w:t>27</w:t>
            </w:r>
          </w:p>
        </w:tc>
        <w:tc>
          <w:tcPr>
            <w:tcW w:w="833" w:type="dxa"/>
            <w:tcBorders>
              <w:left w:val="nil"/>
            </w:tcBorders>
          </w:tcPr>
          <w:p>
            <w:pPr>
              <w:pStyle w:val="TableParagraph"/>
              <w:spacing w:before="18"/>
              <w:ind w:right="93"/>
              <w:jc w:val="right"/>
              <w:rPr>
                <w:sz w:val="22"/>
              </w:rPr>
            </w:pPr>
            <w:r>
              <w:rPr>
                <w:sz w:val="22"/>
              </w:rPr>
              <w:t>3%</w:t>
            </w:r>
          </w:p>
        </w:tc>
        <w:tc>
          <w:tcPr>
            <w:tcW w:w="960" w:type="dxa"/>
          </w:tcPr>
          <w:p>
            <w:pPr>
              <w:pStyle w:val="TableParagraph"/>
              <w:spacing w:before="18"/>
              <w:ind w:right="93"/>
              <w:jc w:val="right"/>
              <w:rPr>
                <w:sz w:val="22"/>
              </w:rPr>
            </w:pPr>
            <w:r>
              <w:rPr>
                <w:sz w:val="22"/>
              </w:rPr>
              <w:t>-64%</w:t>
            </w:r>
          </w:p>
        </w:tc>
      </w:tr>
      <w:tr>
        <w:trPr>
          <w:trHeight w:val="309" w:hRule="atLeast"/>
        </w:trPr>
        <w:tc>
          <w:tcPr>
            <w:tcW w:w="3199" w:type="dxa"/>
            <w:tcBorders>
              <w:right w:val="single" w:sz="4" w:space="0" w:color="BDD7EE"/>
            </w:tcBorders>
          </w:tcPr>
          <w:p>
            <w:pPr>
              <w:pStyle w:val="TableParagraph"/>
              <w:spacing w:before="18"/>
              <w:ind w:left="107"/>
              <w:rPr>
                <w:sz w:val="22"/>
              </w:rPr>
            </w:pPr>
            <w:r>
              <w:rPr>
                <w:sz w:val="22"/>
              </w:rPr>
              <w:t>Workmen’s Comp</w:t>
            </w:r>
          </w:p>
        </w:tc>
        <w:tc>
          <w:tcPr>
            <w:tcW w:w="1087" w:type="dxa"/>
            <w:tcBorders>
              <w:left w:val="single" w:sz="4" w:space="0" w:color="BDD7EE"/>
              <w:right w:val="nil"/>
            </w:tcBorders>
          </w:tcPr>
          <w:p>
            <w:pPr>
              <w:pStyle w:val="TableParagraph"/>
              <w:spacing w:before="18"/>
              <w:ind w:right="225"/>
              <w:jc w:val="right"/>
              <w:rPr>
                <w:sz w:val="22"/>
              </w:rPr>
            </w:pPr>
            <w:r>
              <w:rPr>
                <w:sz w:val="22"/>
              </w:rPr>
              <w:t>66</w:t>
            </w:r>
          </w:p>
        </w:tc>
        <w:tc>
          <w:tcPr>
            <w:tcW w:w="833" w:type="dxa"/>
            <w:tcBorders>
              <w:left w:val="nil"/>
            </w:tcBorders>
          </w:tcPr>
          <w:p>
            <w:pPr>
              <w:pStyle w:val="TableParagraph"/>
              <w:spacing w:before="18"/>
              <w:ind w:right="93"/>
              <w:jc w:val="right"/>
              <w:rPr>
                <w:sz w:val="22"/>
              </w:rPr>
            </w:pPr>
            <w:r>
              <w:rPr>
                <w:sz w:val="22"/>
              </w:rPr>
              <w:t>5%</w:t>
            </w:r>
          </w:p>
        </w:tc>
        <w:tc>
          <w:tcPr>
            <w:tcW w:w="1087" w:type="dxa"/>
            <w:tcBorders>
              <w:right w:val="nil"/>
            </w:tcBorders>
          </w:tcPr>
          <w:p>
            <w:pPr>
              <w:pStyle w:val="TableParagraph"/>
              <w:spacing w:before="18"/>
              <w:ind w:right="225"/>
              <w:jc w:val="right"/>
              <w:rPr>
                <w:sz w:val="22"/>
              </w:rPr>
            </w:pPr>
            <w:r>
              <w:rPr>
                <w:sz w:val="22"/>
              </w:rPr>
              <w:t>64</w:t>
            </w:r>
          </w:p>
        </w:tc>
        <w:tc>
          <w:tcPr>
            <w:tcW w:w="833" w:type="dxa"/>
            <w:tcBorders>
              <w:left w:val="nil"/>
            </w:tcBorders>
          </w:tcPr>
          <w:p>
            <w:pPr>
              <w:pStyle w:val="TableParagraph"/>
              <w:spacing w:before="18"/>
              <w:ind w:right="93"/>
              <w:jc w:val="right"/>
              <w:rPr>
                <w:sz w:val="22"/>
              </w:rPr>
            </w:pPr>
            <w:r>
              <w:rPr>
                <w:sz w:val="22"/>
              </w:rPr>
              <w:t>5%</w:t>
            </w:r>
          </w:p>
        </w:tc>
        <w:tc>
          <w:tcPr>
            <w:tcW w:w="1087" w:type="dxa"/>
            <w:tcBorders>
              <w:right w:val="nil"/>
            </w:tcBorders>
          </w:tcPr>
          <w:p>
            <w:pPr>
              <w:pStyle w:val="TableParagraph"/>
              <w:spacing w:before="18"/>
              <w:ind w:right="225"/>
              <w:jc w:val="right"/>
              <w:rPr>
                <w:sz w:val="22"/>
              </w:rPr>
            </w:pPr>
            <w:r>
              <w:rPr>
                <w:sz w:val="22"/>
              </w:rPr>
              <w:t>65</w:t>
            </w:r>
          </w:p>
        </w:tc>
        <w:tc>
          <w:tcPr>
            <w:tcW w:w="833" w:type="dxa"/>
            <w:tcBorders>
              <w:left w:val="nil"/>
            </w:tcBorders>
          </w:tcPr>
          <w:p>
            <w:pPr>
              <w:pStyle w:val="TableParagraph"/>
              <w:spacing w:before="18"/>
              <w:ind w:right="93"/>
              <w:jc w:val="right"/>
              <w:rPr>
                <w:sz w:val="22"/>
              </w:rPr>
            </w:pPr>
            <w:r>
              <w:rPr>
                <w:sz w:val="22"/>
              </w:rPr>
              <w:t>6%</w:t>
            </w:r>
          </w:p>
        </w:tc>
        <w:tc>
          <w:tcPr>
            <w:tcW w:w="960" w:type="dxa"/>
          </w:tcPr>
          <w:p>
            <w:pPr>
              <w:pStyle w:val="TableParagraph"/>
              <w:spacing w:before="18"/>
              <w:ind w:right="93"/>
              <w:jc w:val="right"/>
              <w:rPr>
                <w:sz w:val="22"/>
              </w:rPr>
            </w:pPr>
            <w:r>
              <w:rPr>
                <w:sz w:val="22"/>
              </w:rPr>
              <w:t>-2%</w:t>
            </w:r>
          </w:p>
        </w:tc>
      </w:tr>
      <w:tr>
        <w:trPr>
          <w:trHeight w:val="309" w:hRule="atLeast"/>
        </w:trPr>
        <w:tc>
          <w:tcPr>
            <w:tcW w:w="3199" w:type="dxa"/>
            <w:tcBorders>
              <w:right w:val="single" w:sz="4" w:space="0" w:color="BDD7EE"/>
            </w:tcBorders>
          </w:tcPr>
          <w:p>
            <w:pPr>
              <w:pStyle w:val="TableParagraph"/>
              <w:spacing w:before="18"/>
              <w:ind w:left="107"/>
              <w:rPr>
                <w:sz w:val="22"/>
              </w:rPr>
            </w:pPr>
            <w:r>
              <w:rPr>
                <w:sz w:val="22"/>
              </w:rPr>
              <w:t>Self Pay</w:t>
            </w:r>
          </w:p>
        </w:tc>
        <w:tc>
          <w:tcPr>
            <w:tcW w:w="1087" w:type="dxa"/>
            <w:tcBorders>
              <w:left w:val="single" w:sz="4" w:space="0" w:color="BDD7EE"/>
              <w:right w:val="nil"/>
            </w:tcBorders>
          </w:tcPr>
          <w:p>
            <w:pPr>
              <w:pStyle w:val="TableParagraph"/>
              <w:spacing w:before="18"/>
              <w:ind w:right="225"/>
              <w:jc w:val="right"/>
              <w:rPr>
                <w:sz w:val="22"/>
              </w:rPr>
            </w:pPr>
            <w:r>
              <w:rPr>
                <w:sz w:val="22"/>
              </w:rPr>
              <w:t>14</w:t>
            </w:r>
          </w:p>
        </w:tc>
        <w:tc>
          <w:tcPr>
            <w:tcW w:w="833" w:type="dxa"/>
            <w:tcBorders>
              <w:left w:val="nil"/>
            </w:tcBorders>
          </w:tcPr>
          <w:p>
            <w:pPr>
              <w:pStyle w:val="TableParagraph"/>
              <w:spacing w:before="18"/>
              <w:ind w:right="93"/>
              <w:jc w:val="right"/>
              <w:rPr>
                <w:sz w:val="22"/>
              </w:rPr>
            </w:pPr>
            <w:r>
              <w:rPr>
                <w:sz w:val="22"/>
              </w:rPr>
              <w:t>1%</w:t>
            </w:r>
          </w:p>
        </w:tc>
        <w:tc>
          <w:tcPr>
            <w:tcW w:w="1087" w:type="dxa"/>
            <w:tcBorders>
              <w:right w:val="nil"/>
            </w:tcBorders>
          </w:tcPr>
          <w:p>
            <w:pPr>
              <w:pStyle w:val="TableParagraph"/>
              <w:spacing w:before="18"/>
              <w:ind w:right="225"/>
              <w:jc w:val="right"/>
              <w:rPr>
                <w:sz w:val="22"/>
              </w:rPr>
            </w:pPr>
            <w:r>
              <w:rPr>
                <w:sz w:val="22"/>
              </w:rPr>
              <w:t>19</w:t>
            </w:r>
          </w:p>
        </w:tc>
        <w:tc>
          <w:tcPr>
            <w:tcW w:w="833" w:type="dxa"/>
            <w:tcBorders>
              <w:left w:val="nil"/>
            </w:tcBorders>
          </w:tcPr>
          <w:p>
            <w:pPr>
              <w:pStyle w:val="TableParagraph"/>
              <w:spacing w:before="18"/>
              <w:ind w:right="93"/>
              <w:jc w:val="right"/>
              <w:rPr>
                <w:sz w:val="22"/>
              </w:rPr>
            </w:pPr>
            <w:r>
              <w:rPr>
                <w:sz w:val="22"/>
              </w:rPr>
              <w:t>1%</w:t>
            </w:r>
          </w:p>
        </w:tc>
        <w:tc>
          <w:tcPr>
            <w:tcW w:w="1087" w:type="dxa"/>
            <w:tcBorders>
              <w:right w:val="nil"/>
            </w:tcBorders>
          </w:tcPr>
          <w:p>
            <w:pPr>
              <w:pStyle w:val="TableParagraph"/>
              <w:spacing w:before="18"/>
              <w:ind w:right="225"/>
              <w:jc w:val="right"/>
              <w:rPr>
                <w:sz w:val="22"/>
              </w:rPr>
            </w:pPr>
            <w:r>
              <w:rPr>
                <w:sz w:val="22"/>
              </w:rPr>
              <w:t>16</w:t>
            </w:r>
          </w:p>
        </w:tc>
        <w:tc>
          <w:tcPr>
            <w:tcW w:w="833" w:type="dxa"/>
            <w:tcBorders>
              <w:left w:val="nil"/>
            </w:tcBorders>
          </w:tcPr>
          <w:p>
            <w:pPr>
              <w:pStyle w:val="TableParagraph"/>
              <w:spacing w:before="18"/>
              <w:ind w:right="93"/>
              <w:jc w:val="right"/>
              <w:rPr>
                <w:sz w:val="22"/>
              </w:rPr>
            </w:pPr>
            <w:r>
              <w:rPr>
                <w:sz w:val="22"/>
              </w:rPr>
              <w:t>2%</w:t>
            </w:r>
          </w:p>
        </w:tc>
        <w:tc>
          <w:tcPr>
            <w:tcW w:w="960" w:type="dxa"/>
          </w:tcPr>
          <w:p>
            <w:pPr>
              <w:pStyle w:val="TableParagraph"/>
              <w:spacing w:before="18"/>
              <w:ind w:right="96"/>
              <w:jc w:val="right"/>
              <w:rPr>
                <w:sz w:val="22"/>
              </w:rPr>
            </w:pPr>
            <w:r>
              <w:rPr>
                <w:sz w:val="22"/>
              </w:rPr>
              <w:t>14%</w:t>
            </w:r>
          </w:p>
        </w:tc>
      </w:tr>
      <w:tr>
        <w:trPr>
          <w:trHeight w:val="311" w:hRule="atLeast"/>
        </w:trPr>
        <w:tc>
          <w:tcPr>
            <w:tcW w:w="3199" w:type="dxa"/>
            <w:tcBorders>
              <w:right w:val="single" w:sz="4" w:space="0" w:color="BDD7EE"/>
            </w:tcBorders>
            <w:shd w:val="clear" w:color="auto" w:fill="DDEBF7"/>
          </w:tcPr>
          <w:p>
            <w:pPr>
              <w:pStyle w:val="TableParagraph"/>
              <w:spacing w:before="18"/>
              <w:ind w:left="107"/>
              <w:rPr>
                <w:sz w:val="22"/>
              </w:rPr>
            </w:pPr>
            <w:r>
              <w:rPr>
                <w:sz w:val="22"/>
              </w:rPr>
              <w:t>Total</w:t>
            </w:r>
          </w:p>
        </w:tc>
        <w:tc>
          <w:tcPr>
            <w:tcW w:w="1087" w:type="dxa"/>
            <w:tcBorders>
              <w:left w:val="single" w:sz="4" w:space="0" w:color="BDD7EE"/>
              <w:right w:val="nil"/>
            </w:tcBorders>
            <w:shd w:val="clear" w:color="auto" w:fill="DDEBF7"/>
          </w:tcPr>
          <w:p>
            <w:pPr>
              <w:pStyle w:val="TableParagraph"/>
              <w:spacing w:before="18"/>
              <w:ind w:right="225"/>
              <w:jc w:val="right"/>
              <w:rPr>
                <w:sz w:val="22"/>
              </w:rPr>
            </w:pPr>
            <w:r>
              <w:rPr>
                <w:sz w:val="22"/>
              </w:rPr>
              <w:t>1,427</w:t>
            </w:r>
          </w:p>
        </w:tc>
        <w:tc>
          <w:tcPr>
            <w:tcW w:w="833" w:type="dxa"/>
            <w:tcBorders>
              <w:left w:val="nil"/>
              <w:right w:val="nil"/>
            </w:tcBorders>
            <w:shd w:val="clear" w:color="auto" w:fill="DDEBF7"/>
          </w:tcPr>
          <w:p>
            <w:pPr>
              <w:pStyle w:val="TableParagraph"/>
              <w:spacing w:before="18"/>
              <w:ind w:right="98"/>
              <w:jc w:val="right"/>
              <w:rPr>
                <w:sz w:val="22"/>
              </w:rPr>
            </w:pPr>
            <w:r>
              <w:rPr>
                <w:sz w:val="22"/>
              </w:rPr>
              <w:t>100%</w:t>
            </w:r>
          </w:p>
        </w:tc>
        <w:tc>
          <w:tcPr>
            <w:tcW w:w="1087" w:type="dxa"/>
            <w:tcBorders>
              <w:left w:val="nil"/>
              <w:right w:val="nil"/>
            </w:tcBorders>
            <w:shd w:val="clear" w:color="auto" w:fill="DDEBF7"/>
          </w:tcPr>
          <w:p>
            <w:pPr>
              <w:pStyle w:val="TableParagraph"/>
              <w:spacing w:before="18"/>
              <w:ind w:right="225"/>
              <w:jc w:val="right"/>
              <w:rPr>
                <w:sz w:val="22"/>
              </w:rPr>
            </w:pPr>
            <w:r>
              <w:rPr>
                <w:sz w:val="22"/>
              </w:rPr>
              <w:t>1,301</w:t>
            </w:r>
          </w:p>
        </w:tc>
        <w:tc>
          <w:tcPr>
            <w:tcW w:w="833" w:type="dxa"/>
            <w:tcBorders>
              <w:left w:val="nil"/>
            </w:tcBorders>
            <w:shd w:val="clear" w:color="auto" w:fill="DDEBF7"/>
          </w:tcPr>
          <w:p>
            <w:pPr>
              <w:pStyle w:val="TableParagraph"/>
              <w:spacing w:before="18"/>
              <w:ind w:right="93"/>
              <w:jc w:val="right"/>
              <w:rPr>
                <w:sz w:val="22"/>
              </w:rPr>
            </w:pPr>
            <w:r>
              <w:rPr>
                <w:sz w:val="22"/>
              </w:rPr>
              <w:t>100%</w:t>
            </w:r>
          </w:p>
        </w:tc>
        <w:tc>
          <w:tcPr>
            <w:tcW w:w="1087" w:type="dxa"/>
            <w:tcBorders>
              <w:right w:val="nil"/>
            </w:tcBorders>
            <w:shd w:val="clear" w:color="auto" w:fill="DDEBF7"/>
          </w:tcPr>
          <w:p>
            <w:pPr>
              <w:pStyle w:val="TableParagraph"/>
              <w:spacing w:before="18"/>
              <w:ind w:right="225"/>
              <w:jc w:val="right"/>
              <w:rPr>
                <w:sz w:val="22"/>
              </w:rPr>
            </w:pPr>
            <w:r>
              <w:rPr>
                <w:sz w:val="22"/>
              </w:rPr>
              <w:t>1,024</w:t>
            </w:r>
          </w:p>
        </w:tc>
        <w:tc>
          <w:tcPr>
            <w:tcW w:w="833" w:type="dxa"/>
            <w:tcBorders>
              <w:left w:val="nil"/>
            </w:tcBorders>
            <w:shd w:val="clear" w:color="auto" w:fill="DDEBF7"/>
          </w:tcPr>
          <w:p>
            <w:pPr>
              <w:pStyle w:val="TableParagraph"/>
              <w:spacing w:before="18"/>
              <w:ind w:right="93"/>
              <w:jc w:val="right"/>
              <w:rPr>
                <w:sz w:val="22"/>
              </w:rPr>
            </w:pPr>
            <w:r>
              <w:rPr>
                <w:sz w:val="22"/>
              </w:rPr>
              <w:t>100%</w:t>
            </w:r>
          </w:p>
        </w:tc>
        <w:tc>
          <w:tcPr>
            <w:tcW w:w="960" w:type="dxa"/>
            <w:shd w:val="clear" w:color="auto" w:fill="DDEBF7"/>
          </w:tcPr>
          <w:p>
            <w:pPr>
              <w:pStyle w:val="TableParagraph"/>
              <w:spacing w:before="18"/>
              <w:ind w:right="93"/>
              <w:jc w:val="right"/>
              <w:rPr>
                <w:sz w:val="22"/>
              </w:rPr>
            </w:pPr>
            <w:r>
              <w:rPr>
                <w:sz w:val="22"/>
              </w:rPr>
              <w:t>-28%</w:t>
            </w:r>
          </w:p>
        </w:tc>
      </w:tr>
    </w:tbl>
    <w:p>
      <w:pPr>
        <w:spacing w:after="0"/>
        <w:jc w:val="right"/>
        <w:rPr>
          <w:sz w:val="22"/>
        </w:rPr>
        <w:sectPr>
          <w:pgSz w:w="12240" w:h="15840"/>
          <w:pgMar w:top="1400" w:bottom="280" w:left="500" w:right="580"/>
        </w:sectPr>
      </w:pPr>
    </w:p>
    <w:p>
      <w:pPr>
        <w:pStyle w:val="Heading3"/>
        <w:spacing w:before="79"/>
        <w:ind w:left="77"/>
        <w:rPr>
          <w:rFonts w:ascii="Garamond"/>
        </w:rPr>
      </w:pPr>
      <w:bookmarkStart w:name="nesc responses" w:id="36"/>
      <w:bookmarkEnd w:id="36"/>
      <w:r>
        <w:rPr>
          <w:b w:val="0"/>
        </w:rPr>
      </w:r>
      <w:r>
        <w:rPr>
          <w:rFonts w:ascii="Garamond"/>
        </w:rPr>
        <w:t>APPLICANT QUESTIONS</w:t>
      </w:r>
    </w:p>
    <w:p>
      <w:pPr>
        <w:spacing w:before="1"/>
        <w:ind w:left="79" w:right="0" w:firstLine="0"/>
        <w:jc w:val="center"/>
        <w:rPr>
          <w:rFonts w:ascii="Garamond"/>
          <w:sz w:val="24"/>
        </w:rPr>
      </w:pPr>
      <w:r>
        <w:rPr>
          <w:rFonts w:ascii="Garamond"/>
          <w:i/>
          <w:sz w:val="24"/>
        </w:rPr>
        <w:t>Responses should be sent to DoN staff at </w:t>
      </w:r>
      <w:hyperlink r:id="rId12">
        <w:r>
          <w:rPr>
            <w:rFonts w:ascii="Garamond"/>
            <w:color w:val="0563C1"/>
            <w:sz w:val="24"/>
            <w:u w:val="single" w:color="0563C1"/>
          </w:rPr>
          <w:t>DPH.DON@State.MA.US</w:t>
        </w:r>
      </w:hyperlink>
    </w:p>
    <w:p>
      <w:pPr>
        <w:pStyle w:val="BodyText"/>
        <w:rPr>
          <w:rFonts w:ascii="Garamond"/>
          <w:sz w:val="20"/>
        </w:rPr>
      </w:pPr>
    </w:p>
    <w:p>
      <w:pPr>
        <w:pStyle w:val="BodyText"/>
        <w:spacing w:before="2"/>
        <w:rPr>
          <w:rFonts w:ascii="Garamond"/>
          <w:sz w:val="25"/>
        </w:rPr>
      </w:pPr>
    </w:p>
    <w:p>
      <w:pPr>
        <w:pStyle w:val="ListParagraph"/>
        <w:numPr>
          <w:ilvl w:val="1"/>
          <w:numId w:val="4"/>
        </w:numPr>
        <w:tabs>
          <w:tab w:pos="1660" w:val="left" w:leader="none"/>
        </w:tabs>
        <w:spacing w:line="259" w:lineRule="auto" w:before="101" w:after="0"/>
        <w:ind w:left="1660" w:right="925" w:hanging="360"/>
        <w:jc w:val="left"/>
        <w:rPr>
          <w:rFonts w:ascii="Garamond"/>
          <w:sz w:val="24"/>
        </w:rPr>
      </w:pPr>
      <w:r>
        <w:rPr>
          <w:rFonts w:ascii="Garamond"/>
          <w:sz w:val="24"/>
        </w:rPr>
        <w:t>In the DoN application and responses to DoN questions, the Applicant stated NESC added four general surgeons, four orthopedic surgeons, and two</w:t>
      </w:r>
      <w:r>
        <w:rPr>
          <w:rFonts w:ascii="Garamond"/>
          <w:spacing w:val="-9"/>
          <w:sz w:val="24"/>
        </w:rPr>
        <w:t> </w:t>
      </w:r>
      <w:r>
        <w:rPr>
          <w:rFonts w:ascii="Garamond"/>
          <w:sz w:val="24"/>
        </w:rPr>
        <w:t>urologists.</w:t>
      </w:r>
    </w:p>
    <w:p>
      <w:pPr>
        <w:pStyle w:val="ListParagraph"/>
        <w:numPr>
          <w:ilvl w:val="2"/>
          <w:numId w:val="4"/>
        </w:numPr>
        <w:tabs>
          <w:tab w:pos="2379" w:val="left" w:leader="none"/>
          <w:tab w:pos="2380" w:val="left" w:leader="none"/>
        </w:tabs>
        <w:spacing w:line="240" w:lineRule="auto" w:before="0" w:after="0"/>
        <w:ind w:left="2380" w:right="0" w:hanging="360"/>
        <w:jc w:val="left"/>
        <w:rPr>
          <w:rFonts w:ascii="Garamond"/>
          <w:sz w:val="24"/>
        </w:rPr>
      </w:pPr>
      <w:r>
        <w:rPr>
          <w:rFonts w:ascii="Garamond"/>
          <w:sz w:val="24"/>
        </w:rPr>
        <w:t>Explain why NESC chose to add new surgeons and increase its surgical</w:t>
      </w:r>
      <w:r>
        <w:rPr>
          <w:rFonts w:ascii="Garamond"/>
          <w:spacing w:val="-20"/>
          <w:sz w:val="24"/>
        </w:rPr>
        <w:t> </w:t>
      </w:r>
      <w:r>
        <w:rPr>
          <w:rFonts w:ascii="Garamond"/>
          <w:sz w:val="24"/>
        </w:rPr>
        <w:t>services.</w:t>
      </w:r>
    </w:p>
    <w:p>
      <w:pPr>
        <w:pStyle w:val="BodyText"/>
        <w:rPr>
          <w:rFonts w:ascii="Garamond"/>
          <w:sz w:val="26"/>
        </w:rPr>
      </w:pPr>
    </w:p>
    <w:p>
      <w:pPr>
        <w:spacing w:line="259" w:lineRule="auto" w:before="176"/>
        <w:ind w:left="2019" w:right="879" w:firstLine="0"/>
        <w:jc w:val="left"/>
        <w:rPr>
          <w:rFonts w:ascii="Arial" w:hAnsi="Arial"/>
          <w:sz w:val="20"/>
        </w:rPr>
      </w:pPr>
      <w:r>
        <w:rPr>
          <w:rFonts w:ascii="Arial" w:hAnsi="Arial"/>
          <w:sz w:val="20"/>
        </w:rPr>
        <w:t>New England Surgery Center is a multi-specialty, AAAHC/Medicare certified facility whose mission is to provide comprehensive, compassionate and cost-effective care to patients that require specialized and general outpatient center surgical services. As we indicated in the Application, recent reimbursement trends, involving both Medicare and other payers,</w:t>
      </w:r>
      <w:r>
        <w:rPr>
          <w:rFonts w:ascii="Arial" w:hAnsi="Arial"/>
          <w:spacing w:val="-41"/>
          <w:sz w:val="20"/>
        </w:rPr>
        <w:t> </w:t>
      </w:r>
      <w:r>
        <w:rPr>
          <w:rFonts w:ascii="Arial" w:hAnsi="Arial"/>
          <w:sz w:val="20"/>
        </w:rPr>
        <w:t>together with clinical advances have resulted in changes in the locations for a number of procedures to outpatient settings. Moreover, freestanding ASCs offer a more cost-effective high-quality alternative to Hospital Outpatient Departments (HOPDs). Increasingly, surgeons have experienced difficulty in scheduling patients at HOPDs. NESC’s Governing Board, after reviewing OR block time utilization, concluded that there was capacity for the addition of new surgeons and general surgery OR block times can be one hour for one case to a full day (7:00-4:30) for one surgeon or one</w:t>
      </w:r>
      <w:r>
        <w:rPr>
          <w:rFonts w:ascii="Arial" w:hAnsi="Arial"/>
          <w:spacing w:val="-1"/>
          <w:sz w:val="20"/>
        </w:rPr>
        <w:t> </w:t>
      </w:r>
      <w:r>
        <w:rPr>
          <w:rFonts w:ascii="Arial" w:hAnsi="Arial"/>
          <w:sz w:val="20"/>
        </w:rPr>
        <w:t>group.</w:t>
      </w:r>
    </w:p>
    <w:p>
      <w:pPr>
        <w:spacing w:before="158"/>
        <w:ind w:left="2019" w:right="0" w:firstLine="0"/>
        <w:jc w:val="left"/>
        <w:rPr>
          <w:rFonts w:ascii="Arial"/>
          <w:sz w:val="20"/>
        </w:rPr>
      </w:pPr>
      <w:r>
        <w:rPr>
          <w:rFonts w:ascii="Arial"/>
          <w:sz w:val="20"/>
        </w:rPr>
        <w:t>BLOCK TIME UTILIZTION</w:t>
      </w:r>
    </w:p>
    <w:p>
      <w:pPr>
        <w:pStyle w:val="BodyText"/>
        <w:spacing w:before="8"/>
        <w:rPr>
          <w:rFonts w:ascii="Arial"/>
          <w:sz w:val="15"/>
        </w:rPr>
      </w:pPr>
    </w:p>
    <w:tbl>
      <w:tblPr>
        <w:tblW w:w="0" w:type="auto"/>
        <w:jc w:val="left"/>
        <w:tblInd w:w="1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1"/>
        <w:gridCol w:w="4255"/>
      </w:tblGrid>
      <w:tr>
        <w:trPr>
          <w:trHeight w:val="230" w:hRule="atLeast"/>
        </w:trPr>
        <w:tc>
          <w:tcPr>
            <w:tcW w:w="4241" w:type="dxa"/>
          </w:tcPr>
          <w:p>
            <w:pPr>
              <w:pStyle w:val="TableParagraph"/>
              <w:spacing w:line="210" w:lineRule="exact"/>
              <w:ind w:left="1876" w:right="1870"/>
              <w:jc w:val="center"/>
              <w:rPr>
                <w:rFonts w:ascii="Arial"/>
                <w:sz w:val="20"/>
              </w:rPr>
            </w:pPr>
            <w:r>
              <w:rPr>
                <w:rFonts w:ascii="Arial"/>
                <w:sz w:val="20"/>
              </w:rPr>
              <w:t>2017</w:t>
            </w:r>
          </w:p>
        </w:tc>
        <w:tc>
          <w:tcPr>
            <w:tcW w:w="4255" w:type="dxa"/>
          </w:tcPr>
          <w:p>
            <w:pPr>
              <w:pStyle w:val="TableParagraph"/>
              <w:spacing w:line="210" w:lineRule="exact"/>
              <w:ind w:left="1820" w:right="1817"/>
              <w:jc w:val="center"/>
              <w:rPr>
                <w:rFonts w:ascii="Arial"/>
                <w:sz w:val="20"/>
              </w:rPr>
            </w:pPr>
            <w:r>
              <w:rPr>
                <w:rFonts w:ascii="Arial"/>
                <w:sz w:val="20"/>
              </w:rPr>
              <w:t>60.3%</w:t>
            </w:r>
          </w:p>
        </w:tc>
      </w:tr>
      <w:tr>
        <w:trPr>
          <w:trHeight w:val="229" w:hRule="atLeast"/>
        </w:trPr>
        <w:tc>
          <w:tcPr>
            <w:tcW w:w="4241" w:type="dxa"/>
          </w:tcPr>
          <w:p>
            <w:pPr>
              <w:pStyle w:val="TableParagraph"/>
              <w:spacing w:line="210" w:lineRule="exact"/>
              <w:ind w:left="1876" w:right="1870"/>
              <w:jc w:val="center"/>
              <w:rPr>
                <w:rFonts w:ascii="Arial"/>
                <w:sz w:val="20"/>
              </w:rPr>
            </w:pPr>
            <w:r>
              <w:rPr>
                <w:rFonts w:ascii="Arial"/>
                <w:sz w:val="20"/>
              </w:rPr>
              <w:t>2018</w:t>
            </w:r>
          </w:p>
        </w:tc>
        <w:tc>
          <w:tcPr>
            <w:tcW w:w="4255" w:type="dxa"/>
          </w:tcPr>
          <w:p>
            <w:pPr>
              <w:pStyle w:val="TableParagraph"/>
              <w:spacing w:line="210" w:lineRule="exact"/>
              <w:ind w:left="1820" w:right="1817"/>
              <w:jc w:val="center"/>
              <w:rPr>
                <w:rFonts w:ascii="Arial"/>
                <w:sz w:val="20"/>
              </w:rPr>
            </w:pPr>
            <w:r>
              <w:rPr>
                <w:rFonts w:ascii="Arial"/>
                <w:sz w:val="20"/>
              </w:rPr>
              <w:t>62.2%</w:t>
            </w:r>
          </w:p>
        </w:tc>
      </w:tr>
      <w:tr>
        <w:trPr>
          <w:trHeight w:val="230" w:hRule="atLeast"/>
        </w:trPr>
        <w:tc>
          <w:tcPr>
            <w:tcW w:w="4241" w:type="dxa"/>
          </w:tcPr>
          <w:p>
            <w:pPr>
              <w:pStyle w:val="TableParagraph"/>
              <w:spacing w:line="210" w:lineRule="exact"/>
              <w:ind w:left="1876" w:right="1870"/>
              <w:jc w:val="center"/>
              <w:rPr>
                <w:rFonts w:ascii="Arial"/>
                <w:sz w:val="20"/>
              </w:rPr>
            </w:pPr>
            <w:r>
              <w:rPr>
                <w:rFonts w:ascii="Arial"/>
                <w:sz w:val="20"/>
              </w:rPr>
              <w:t>2019</w:t>
            </w:r>
          </w:p>
        </w:tc>
        <w:tc>
          <w:tcPr>
            <w:tcW w:w="4255" w:type="dxa"/>
          </w:tcPr>
          <w:p>
            <w:pPr>
              <w:pStyle w:val="TableParagraph"/>
              <w:spacing w:line="210" w:lineRule="exact"/>
              <w:ind w:left="1820" w:right="1817"/>
              <w:jc w:val="center"/>
              <w:rPr>
                <w:rFonts w:ascii="Arial"/>
                <w:sz w:val="20"/>
              </w:rPr>
            </w:pPr>
            <w:r>
              <w:rPr>
                <w:rFonts w:ascii="Arial"/>
                <w:sz w:val="20"/>
              </w:rPr>
              <w:t>63.5%</w:t>
            </w:r>
          </w:p>
        </w:tc>
      </w:tr>
    </w:tbl>
    <w:p>
      <w:pPr>
        <w:pStyle w:val="BodyText"/>
        <w:rPr>
          <w:rFonts w:ascii="Arial"/>
        </w:rPr>
      </w:pPr>
    </w:p>
    <w:p>
      <w:pPr>
        <w:spacing w:line="259" w:lineRule="auto" w:before="152"/>
        <w:ind w:left="2019" w:right="1060" w:firstLine="0"/>
        <w:jc w:val="left"/>
        <w:rPr>
          <w:rFonts w:ascii="Arial" w:hAnsi="Arial"/>
          <w:sz w:val="20"/>
        </w:rPr>
      </w:pPr>
      <w:r>
        <w:rPr>
          <w:rFonts w:ascii="Arial" w:hAnsi="Arial"/>
          <w:sz w:val="20"/>
        </w:rPr>
        <w:t>The business plan of the center is to reflect market trends and projected increased demand to achieve growth over a period of time by adding high performing surgeons. Orthopedics and urology are founding specialties of the center and have grown as additional surgeons have approached owners of the center requesting privileges. General surgery was added September, 2019, in response to surgeon’s requests to be credentialed and anticipated demand. The Department was notified that general surgery would be performed at NESC.</w:t>
      </w:r>
    </w:p>
    <w:p>
      <w:pPr>
        <w:pStyle w:val="ListParagraph"/>
        <w:numPr>
          <w:ilvl w:val="1"/>
          <w:numId w:val="4"/>
        </w:numPr>
        <w:tabs>
          <w:tab w:pos="1660" w:val="left" w:leader="none"/>
        </w:tabs>
        <w:spacing w:line="259" w:lineRule="auto" w:before="161" w:after="0"/>
        <w:ind w:left="1660" w:right="954" w:hanging="360"/>
        <w:jc w:val="left"/>
        <w:rPr>
          <w:rFonts w:ascii="Garamond"/>
          <w:sz w:val="24"/>
        </w:rPr>
      </w:pPr>
      <w:r>
        <w:rPr>
          <w:rFonts w:ascii="Garamond"/>
          <w:sz w:val="24"/>
        </w:rPr>
        <w:t>The Applicant indicated complex procedures represent 97% of all pain procedures and 12% of all otolaryngology</w:t>
      </w:r>
      <w:r>
        <w:rPr>
          <w:rFonts w:ascii="Garamond"/>
          <w:spacing w:val="-4"/>
          <w:sz w:val="24"/>
        </w:rPr>
        <w:t> </w:t>
      </w:r>
      <w:r>
        <w:rPr>
          <w:rFonts w:ascii="Garamond"/>
          <w:sz w:val="24"/>
        </w:rPr>
        <w:t>cases.</w:t>
      </w:r>
    </w:p>
    <w:p>
      <w:pPr>
        <w:pStyle w:val="ListParagraph"/>
        <w:numPr>
          <w:ilvl w:val="2"/>
          <w:numId w:val="4"/>
        </w:numPr>
        <w:tabs>
          <w:tab w:pos="2379" w:val="left" w:leader="none"/>
          <w:tab w:pos="2380" w:val="left" w:leader="none"/>
        </w:tabs>
        <w:spacing w:line="240" w:lineRule="auto" w:before="0" w:after="0"/>
        <w:ind w:left="2380" w:right="0" w:hanging="360"/>
        <w:jc w:val="left"/>
        <w:rPr>
          <w:rFonts w:ascii="Garamond"/>
          <w:sz w:val="24"/>
        </w:rPr>
      </w:pPr>
      <w:r>
        <w:rPr>
          <w:rFonts w:ascii="Garamond"/>
          <w:sz w:val="24"/>
        </w:rPr>
        <w:t>From which year are these data</w:t>
      </w:r>
      <w:r>
        <w:rPr>
          <w:rFonts w:ascii="Garamond"/>
          <w:spacing w:val="-5"/>
          <w:sz w:val="24"/>
        </w:rPr>
        <w:t> </w:t>
      </w:r>
      <w:r>
        <w:rPr>
          <w:rFonts w:ascii="Garamond"/>
          <w:sz w:val="24"/>
        </w:rPr>
        <w:t>from?</w:t>
      </w:r>
    </w:p>
    <w:p>
      <w:pPr>
        <w:pStyle w:val="BodyText"/>
        <w:spacing w:before="7"/>
        <w:rPr>
          <w:rFonts w:ascii="Garamond"/>
          <w:sz w:val="27"/>
        </w:rPr>
      </w:pPr>
    </w:p>
    <w:p>
      <w:pPr>
        <w:spacing w:line="259" w:lineRule="auto" w:before="0"/>
        <w:ind w:left="2019" w:right="982" w:firstLine="0"/>
        <w:jc w:val="left"/>
        <w:rPr>
          <w:rFonts w:ascii="Arial"/>
          <w:sz w:val="20"/>
        </w:rPr>
      </w:pPr>
      <w:r>
        <w:rPr>
          <w:rFonts w:ascii="Arial"/>
          <w:sz w:val="20"/>
        </w:rPr>
        <w:t>Collection of data for complex pain procedures began in 2016 after CMS changed payment rationale for interventional pain management. (Table below.) More complex interventional techniques are being performed in lieu of prescription opioids</w:t>
      </w:r>
      <w:hyperlink w:history="true" w:anchor="_bookmark24">
        <w:r>
          <w:rPr>
            <w:rFonts w:ascii="Arial"/>
            <w:sz w:val="20"/>
            <w:vertAlign w:val="superscript"/>
          </w:rPr>
          <w:t>1</w:t>
        </w:r>
        <w:r>
          <w:rPr>
            <w:rFonts w:ascii="Arial"/>
            <w:sz w:val="20"/>
            <w:vertAlign w:val="baseline"/>
          </w:rPr>
          <w:t> </w:t>
        </w:r>
      </w:hyperlink>
      <w:r>
        <w:rPr>
          <w:rFonts w:ascii="Arial"/>
          <w:sz w:val="20"/>
          <w:vertAlign w:val="baseline"/>
        </w:rPr>
        <w:t>and as CMS has approved more complex procedures to be moved to the outpatient fee schedule.</w:t>
      </w:r>
    </w:p>
    <w:p>
      <w:pPr>
        <w:pStyle w:val="BodyText"/>
        <w:rPr>
          <w:rFonts w:ascii="Arial"/>
          <w:sz w:val="20"/>
        </w:rPr>
      </w:pPr>
    </w:p>
    <w:p>
      <w:pPr>
        <w:pStyle w:val="BodyText"/>
        <w:spacing w:before="3"/>
        <w:rPr>
          <w:rFonts w:ascii="Arial"/>
          <w:sz w:val="23"/>
        </w:rPr>
      </w:pPr>
    </w:p>
    <w:tbl>
      <w:tblPr>
        <w:tblW w:w="0" w:type="auto"/>
        <w:jc w:val="left"/>
        <w:tblInd w:w="1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8"/>
        <w:gridCol w:w="2851"/>
        <w:gridCol w:w="2837"/>
      </w:tblGrid>
      <w:tr>
        <w:trPr>
          <w:trHeight w:val="230" w:hRule="atLeast"/>
        </w:trPr>
        <w:tc>
          <w:tcPr>
            <w:tcW w:w="2808" w:type="dxa"/>
          </w:tcPr>
          <w:p>
            <w:pPr>
              <w:pStyle w:val="TableParagraph"/>
              <w:spacing w:line="210" w:lineRule="exact"/>
              <w:ind w:left="107"/>
              <w:rPr>
                <w:rFonts w:ascii="Arial"/>
                <w:sz w:val="20"/>
              </w:rPr>
            </w:pPr>
            <w:r>
              <w:rPr>
                <w:rFonts w:ascii="Arial"/>
                <w:sz w:val="20"/>
              </w:rPr>
              <w:t>YEAR</w:t>
            </w:r>
          </w:p>
        </w:tc>
        <w:tc>
          <w:tcPr>
            <w:tcW w:w="2851" w:type="dxa"/>
          </w:tcPr>
          <w:p>
            <w:pPr>
              <w:pStyle w:val="TableParagraph"/>
              <w:spacing w:line="210" w:lineRule="exact"/>
              <w:ind w:left="107"/>
              <w:rPr>
                <w:rFonts w:ascii="Arial"/>
                <w:sz w:val="20"/>
              </w:rPr>
            </w:pPr>
            <w:r>
              <w:rPr>
                <w:rFonts w:ascii="Arial"/>
                <w:sz w:val="20"/>
              </w:rPr>
              <w:t>INJECTION</w:t>
            </w:r>
          </w:p>
        </w:tc>
        <w:tc>
          <w:tcPr>
            <w:tcW w:w="2837" w:type="dxa"/>
          </w:tcPr>
          <w:p>
            <w:pPr>
              <w:pStyle w:val="TableParagraph"/>
              <w:spacing w:line="210" w:lineRule="exact"/>
              <w:ind w:left="105"/>
              <w:rPr>
                <w:rFonts w:ascii="Arial"/>
                <w:sz w:val="20"/>
              </w:rPr>
            </w:pPr>
            <w:r>
              <w:rPr>
                <w:rFonts w:ascii="Arial"/>
                <w:sz w:val="20"/>
              </w:rPr>
              <w:t>COMPLEX CASES</w:t>
            </w:r>
          </w:p>
        </w:tc>
      </w:tr>
      <w:tr>
        <w:trPr>
          <w:trHeight w:val="230" w:hRule="atLeast"/>
        </w:trPr>
        <w:tc>
          <w:tcPr>
            <w:tcW w:w="2808" w:type="dxa"/>
          </w:tcPr>
          <w:p>
            <w:pPr>
              <w:pStyle w:val="TableParagraph"/>
              <w:spacing w:line="210" w:lineRule="exact"/>
              <w:ind w:left="107"/>
              <w:rPr>
                <w:rFonts w:ascii="Arial"/>
                <w:sz w:val="20"/>
              </w:rPr>
            </w:pPr>
            <w:r>
              <w:rPr>
                <w:rFonts w:ascii="Arial"/>
                <w:sz w:val="20"/>
              </w:rPr>
              <w:t>2017</w:t>
            </w:r>
          </w:p>
        </w:tc>
        <w:tc>
          <w:tcPr>
            <w:tcW w:w="2851" w:type="dxa"/>
          </w:tcPr>
          <w:p>
            <w:pPr>
              <w:pStyle w:val="TableParagraph"/>
              <w:spacing w:line="210" w:lineRule="exact"/>
              <w:ind w:left="107"/>
              <w:rPr>
                <w:rFonts w:ascii="Arial"/>
                <w:sz w:val="20"/>
              </w:rPr>
            </w:pPr>
            <w:r>
              <w:rPr>
                <w:rFonts w:ascii="Arial"/>
                <w:sz w:val="20"/>
              </w:rPr>
              <w:t>82%</w:t>
            </w:r>
          </w:p>
        </w:tc>
        <w:tc>
          <w:tcPr>
            <w:tcW w:w="2837" w:type="dxa"/>
          </w:tcPr>
          <w:p>
            <w:pPr>
              <w:pStyle w:val="TableParagraph"/>
              <w:spacing w:line="210" w:lineRule="exact"/>
              <w:ind w:left="105"/>
              <w:rPr>
                <w:rFonts w:ascii="Arial"/>
                <w:sz w:val="20"/>
              </w:rPr>
            </w:pPr>
            <w:r>
              <w:rPr>
                <w:rFonts w:ascii="Arial"/>
                <w:sz w:val="20"/>
              </w:rPr>
              <w:t>18%</w:t>
            </w:r>
          </w:p>
        </w:tc>
      </w:tr>
      <w:tr>
        <w:trPr>
          <w:trHeight w:val="229" w:hRule="atLeast"/>
        </w:trPr>
        <w:tc>
          <w:tcPr>
            <w:tcW w:w="2808" w:type="dxa"/>
          </w:tcPr>
          <w:p>
            <w:pPr>
              <w:pStyle w:val="TableParagraph"/>
              <w:spacing w:line="210" w:lineRule="exact"/>
              <w:ind w:left="107"/>
              <w:rPr>
                <w:rFonts w:ascii="Arial"/>
                <w:sz w:val="20"/>
              </w:rPr>
            </w:pPr>
            <w:r>
              <w:rPr>
                <w:rFonts w:ascii="Arial"/>
                <w:sz w:val="20"/>
              </w:rPr>
              <w:t>2018</w:t>
            </w:r>
          </w:p>
        </w:tc>
        <w:tc>
          <w:tcPr>
            <w:tcW w:w="2851" w:type="dxa"/>
          </w:tcPr>
          <w:p>
            <w:pPr>
              <w:pStyle w:val="TableParagraph"/>
              <w:spacing w:line="210" w:lineRule="exact"/>
              <w:ind w:left="107"/>
              <w:rPr>
                <w:rFonts w:ascii="Arial"/>
                <w:sz w:val="20"/>
              </w:rPr>
            </w:pPr>
            <w:r>
              <w:rPr>
                <w:rFonts w:ascii="Arial"/>
                <w:sz w:val="20"/>
              </w:rPr>
              <w:t>40%</w:t>
            </w:r>
          </w:p>
        </w:tc>
        <w:tc>
          <w:tcPr>
            <w:tcW w:w="2837" w:type="dxa"/>
          </w:tcPr>
          <w:p>
            <w:pPr>
              <w:pStyle w:val="TableParagraph"/>
              <w:spacing w:line="210" w:lineRule="exact"/>
              <w:ind w:left="105"/>
              <w:rPr>
                <w:rFonts w:ascii="Arial"/>
                <w:sz w:val="20"/>
              </w:rPr>
            </w:pPr>
            <w:r>
              <w:rPr>
                <w:rFonts w:ascii="Arial"/>
                <w:sz w:val="20"/>
              </w:rPr>
              <w:t>60%</w:t>
            </w:r>
          </w:p>
        </w:tc>
      </w:tr>
      <w:tr>
        <w:trPr>
          <w:trHeight w:val="230" w:hRule="atLeast"/>
        </w:trPr>
        <w:tc>
          <w:tcPr>
            <w:tcW w:w="2808" w:type="dxa"/>
          </w:tcPr>
          <w:p>
            <w:pPr>
              <w:pStyle w:val="TableParagraph"/>
              <w:spacing w:line="210" w:lineRule="exact"/>
              <w:ind w:left="107"/>
              <w:rPr>
                <w:rFonts w:ascii="Arial"/>
                <w:sz w:val="20"/>
              </w:rPr>
            </w:pPr>
            <w:r>
              <w:rPr>
                <w:rFonts w:ascii="Arial"/>
                <w:sz w:val="20"/>
              </w:rPr>
              <w:t>2019</w:t>
            </w:r>
          </w:p>
        </w:tc>
        <w:tc>
          <w:tcPr>
            <w:tcW w:w="2851" w:type="dxa"/>
          </w:tcPr>
          <w:p>
            <w:pPr>
              <w:pStyle w:val="TableParagraph"/>
              <w:spacing w:line="210" w:lineRule="exact"/>
              <w:ind w:left="107"/>
              <w:rPr>
                <w:rFonts w:ascii="Arial"/>
                <w:sz w:val="20"/>
              </w:rPr>
            </w:pPr>
            <w:r>
              <w:rPr>
                <w:rFonts w:ascii="Arial"/>
                <w:sz w:val="20"/>
              </w:rPr>
              <w:t>17%</w:t>
            </w:r>
          </w:p>
        </w:tc>
        <w:tc>
          <w:tcPr>
            <w:tcW w:w="2837" w:type="dxa"/>
          </w:tcPr>
          <w:p>
            <w:pPr>
              <w:pStyle w:val="TableParagraph"/>
              <w:spacing w:line="210" w:lineRule="exact"/>
              <w:ind w:left="105"/>
              <w:rPr>
                <w:rFonts w:ascii="Arial"/>
                <w:sz w:val="20"/>
              </w:rPr>
            </w:pPr>
            <w:r>
              <w:rPr>
                <w:rFonts w:ascii="Arial"/>
                <w:sz w:val="20"/>
              </w:rPr>
              <w:t>83%</w:t>
            </w:r>
          </w:p>
        </w:tc>
      </w:tr>
      <w:tr>
        <w:trPr>
          <w:trHeight w:val="232" w:hRule="atLeast"/>
        </w:trPr>
        <w:tc>
          <w:tcPr>
            <w:tcW w:w="2808" w:type="dxa"/>
          </w:tcPr>
          <w:p>
            <w:pPr>
              <w:pStyle w:val="TableParagraph"/>
              <w:spacing w:line="212" w:lineRule="exact"/>
              <w:ind w:left="107"/>
              <w:rPr>
                <w:rFonts w:ascii="Arial"/>
                <w:sz w:val="20"/>
              </w:rPr>
            </w:pPr>
            <w:r>
              <w:rPr>
                <w:rFonts w:ascii="Arial"/>
                <w:sz w:val="20"/>
              </w:rPr>
              <w:t>2020 thru 10/31/20</w:t>
            </w:r>
          </w:p>
        </w:tc>
        <w:tc>
          <w:tcPr>
            <w:tcW w:w="2851" w:type="dxa"/>
          </w:tcPr>
          <w:p>
            <w:pPr>
              <w:pStyle w:val="TableParagraph"/>
              <w:spacing w:line="212" w:lineRule="exact"/>
              <w:ind w:left="107"/>
              <w:rPr>
                <w:rFonts w:ascii="Arial"/>
                <w:sz w:val="20"/>
              </w:rPr>
            </w:pPr>
            <w:r>
              <w:rPr>
                <w:rFonts w:ascii="Arial"/>
                <w:sz w:val="20"/>
              </w:rPr>
              <w:t>3%</w:t>
            </w:r>
          </w:p>
        </w:tc>
        <w:tc>
          <w:tcPr>
            <w:tcW w:w="2837" w:type="dxa"/>
          </w:tcPr>
          <w:p>
            <w:pPr>
              <w:pStyle w:val="TableParagraph"/>
              <w:spacing w:line="212" w:lineRule="exact"/>
              <w:ind w:left="105"/>
              <w:rPr>
                <w:rFonts w:ascii="Arial"/>
                <w:sz w:val="20"/>
              </w:rPr>
            </w:pPr>
            <w:r>
              <w:rPr>
                <w:rFonts w:ascii="Arial"/>
                <w:sz w:val="20"/>
              </w:rPr>
              <w:t>97%</w:t>
            </w:r>
          </w:p>
        </w:tc>
      </w:tr>
    </w:tbl>
    <w:p>
      <w:pPr>
        <w:pStyle w:val="BodyText"/>
        <w:spacing w:before="7"/>
        <w:rPr>
          <w:rFonts w:ascii="Arial"/>
          <w:sz w:val="11"/>
        </w:rPr>
      </w:pPr>
      <w:r>
        <w:rPr/>
        <w:pict>
          <v:rect style="position:absolute;margin-left:72pt;margin-top:8.64pt;width:144pt;height:.72pt;mso-position-horizontal-relative:page;mso-position-vertical-relative:paragraph;z-index:-15725056;mso-wrap-distance-left:0;mso-wrap-distance-right:0" filled="true" fillcolor="#000000" stroked="false">
            <v:fill type="solid"/>
            <w10:wrap type="topAndBottom"/>
          </v:rect>
        </w:pict>
      </w:r>
    </w:p>
    <w:p>
      <w:pPr>
        <w:spacing w:before="73"/>
        <w:ind w:left="940" w:right="0" w:firstLine="0"/>
        <w:jc w:val="left"/>
        <w:rPr>
          <w:sz w:val="20"/>
        </w:rPr>
      </w:pPr>
      <w:bookmarkStart w:name="_bookmark24" w:id="37"/>
      <w:bookmarkEnd w:id="37"/>
      <w:r>
        <w:rPr/>
      </w:r>
      <w:r>
        <w:rPr>
          <w:sz w:val="20"/>
          <w:vertAlign w:val="superscript"/>
        </w:rPr>
        <w:t>1</w:t>
      </w:r>
      <w:r>
        <w:rPr>
          <w:sz w:val="20"/>
          <w:vertAlign w:val="baseline"/>
        </w:rPr>
        <w:t> Pain Physician 2018; 21:415-432 • ISSN 1533-3159</w:t>
      </w:r>
    </w:p>
    <w:p>
      <w:pPr>
        <w:spacing w:after="0"/>
        <w:jc w:val="left"/>
        <w:rPr>
          <w:sz w:val="20"/>
        </w:rPr>
        <w:sectPr>
          <w:pgSz w:w="12240" w:h="15840"/>
          <w:pgMar w:top="1360" w:bottom="280" w:left="500" w:right="580"/>
        </w:sectPr>
      </w:pPr>
    </w:p>
    <w:p>
      <w:pPr>
        <w:spacing w:line="259" w:lineRule="auto" w:before="184"/>
        <w:ind w:left="2020" w:right="982" w:firstLine="0"/>
        <w:jc w:val="left"/>
        <w:rPr>
          <w:rFonts w:ascii="Arial"/>
          <w:sz w:val="20"/>
        </w:rPr>
      </w:pPr>
      <w:r>
        <w:rPr>
          <w:rFonts w:ascii="Arial"/>
          <w:sz w:val="20"/>
        </w:rPr>
        <w:t>Collection of data for otolaryngology cases began in May, 2018 (table below) after the surgeon that performed most pediatric cases left his group and a new surgeon joined the group and specialized in sinus surgery.</w:t>
      </w:r>
    </w:p>
    <w:p>
      <w:pPr>
        <w:pStyle w:val="BodyText"/>
        <w:spacing w:before="1" w:after="1"/>
        <w:rPr>
          <w:rFonts w:ascii="Arial"/>
          <w:sz w:val="14"/>
        </w:rPr>
      </w:pPr>
    </w:p>
    <w:tbl>
      <w:tblPr>
        <w:tblW w:w="0" w:type="auto"/>
        <w:jc w:val="left"/>
        <w:tblInd w:w="1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51"/>
        <w:gridCol w:w="2803"/>
        <w:gridCol w:w="2841"/>
      </w:tblGrid>
      <w:tr>
        <w:trPr>
          <w:trHeight w:val="268" w:hRule="atLeast"/>
        </w:trPr>
        <w:tc>
          <w:tcPr>
            <w:tcW w:w="2851" w:type="dxa"/>
          </w:tcPr>
          <w:p>
            <w:pPr>
              <w:pStyle w:val="TableParagraph"/>
              <w:spacing w:line="248" w:lineRule="exact"/>
              <w:ind w:left="107"/>
              <w:rPr>
                <w:sz w:val="22"/>
              </w:rPr>
            </w:pPr>
            <w:r>
              <w:rPr>
                <w:sz w:val="22"/>
              </w:rPr>
              <w:t>YEAR</w:t>
            </w:r>
          </w:p>
        </w:tc>
        <w:tc>
          <w:tcPr>
            <w:tcW w:w="2803" w:type="dxa"/>
          </w:tcPr>
          <w:p>
            <w:pPr>
              <w:pStyle w:val="TableParagraph"/>
              <w:spacing w:line="248" w:lineRule="exact"/>
              <w:ind w:left="107"/>
              <w:rPr>
                <w:sz w:val="22"/>
              </w:rPr>
            </w:pPr>
            <w:r>
              <w:rPr>
                <w:sz w:val="22"/>
              </w:rPr>
              <w:t>CASES</w:t>
            </w:r>
          </w:p>
        </w:tc>
        <w:tc>
          <w:tcPr>
            <w:tcW w:w="2841" w:type="dxa"/>
          </w:tcPr>
          <w:p>
            <w:pPr>
              <w:pStyle w:val="TableParagraph"/>
              <w:spacing w:line="248" w:lineRule="exact"/>
              <w:ind w:left="108"/>
              <w:rPr>
                <w:sz w:val="22"/>
              </w:rPr>
            </w:pPr>
            <w:r>
              <w:rPr>
                <w:sz w:val="22"/>
              </w:rPr>
              <w:t>%SINUS SURGERY</w:t>
            </w:r>
          </w:p>
        </w:tc>
      </w:tr>
      <w:tr>
        <w:trPr>
          <w:trHeight w:val="268" w:hRule="atLeast"/>
        </w:trPr>
        <w:tc>
          <w:tcPr>
            <w:tcW w:w="2851" w:type="dxa"/>
          </w:tcPr>
          <w:p>
            <w:pPr>
              <w:pStyle w:val="TableParagraph"/>
              <w:spacing w:line="248" w:lineRule="exact"/>
              <w:ind w:left="107"/>
              <w:rPr>
                <w:sz w:val="22"/>
              </w:rPr>
            </w:pPr>
            <w:r>
              <w:rPr>
                <w:sz w:val="22"/>
              </w:rPr>
              <w:t>2018</w:t>
            </w:r>
          </w:p>
        </w:tc>
        <w:tc>
          <w:tcPr>
            <w:tcW w:w="2803" w:type="dxa"/>
          </w:tcPr>
          <w:p>
            <w:pPr>
              <w:pStyle w:val="TableParagraph"/>
              <w:spacing w:line="248" w:lineRule="exact"/>
              <w:ind w:left="107"/>
              <w:rPr>
                <w:sz w:val="22"/>
              </w:rPr>
            </w:pPr>
            <w:r>
              <w:rPr>
                <w:sz w:val="22"/>
              </w:rPr>
              <w:t>310</w:t>
            </w:r>
          </w:p>
        </w:tc>
        <w:tc>
          <w:tcPr>
            <w:tcW w:w="2841" w:type="dxa"/>
          </w:tcPr>
          <w:p>
            <w:pPr>
              <w:pStyle w:val="TableParagraph"/>
              <w:spacing w:line="248" w:lineRule="exact"/>
              <w:ind w:left="108"/>
              <w:rPr>
                <w:sz w:val="22"/>
              </w:rPr>
            </w:pPr>
            <w:r>
              <w:rPr>
                <w:sz w:val="22"/>
              </w:rPr>
              <w:t>8%</w:t>
            </w:r>
          </w:p>
        </w:tc>
      </w:tr>
      <w:tr>
        <w:trPr>
          <w:trHeight w:val="270" w:hRule="atLeast"/>
        </w:trPr>
        <w:tc>
          <w:tcPr>
            <w:tcW w:w="2851" w:type="dxa"/>
          </w:tcPr>
          <w:p>
            <w:pPr>
              <w:pStyle w:val="TableParagraph"/>
              <w:spacing w:line="251" w:lineRule="exact"/>
              <w:ind w:left="107"/>
              <w:rPr>
                <w:sz w:val="22"/>
              </w:rPr>
            </w:pPr>
            <w:r>
              <w:rPr>
                <w:sz w:val="22"/>
              </w:rPr>
              <w:t>2019</w:t>
            </w:r>
          </w:p>
        </w:tc>
        <w:tc>
          <w:tcPr>
            <w:tcW w:w="2803" w:type="dxa"/>
          </w:tcPr>
          <w:p>
            <w:pPr>
              <w:pStyle w:val="TableParagraph"/>
              <w:spacing w:line="251" w:lineRule="exact"/>
              <w:ind w:left="107"/>
              <w:rPr>
                <w:sz w:val="22"/>
              </w:rPr>
            </w:pPr>
            <w:r>
              <w:rPr>
                <w:sz w:val="22"/>
              </w:rPr>
              <w:t>319</w:t>
            </w:r>
          </w:p>
        </w:tc>
        <w:tc>
          <w:tcPr>
            <w:tcW w:w="2841" w:type="dxa"/>
          </w:tcPr>
          <w:p>
            <w:pPr>
              <w:pStyle w:val="TableParagraph"/>
              <w:spacing w:line="251" w:lineRule="exact"/>
              <w:ind w:left="108"/>
              <w:rPr>
                <w:sz w:val="22"/>
              </w:rPr>
            </w:pPr>
            <w:r>
              <w:rPr>
                <w:sz w:val="22"/>
              </w:rPr>
              <w:t>12%</w:t>
            </w:r>
          </w:p>
        </w:tc>
      </w:tr>
      <w:tr>
        <w:trPr>
          <w:trHeight w:val="268" w:hRule="atLeast"/>
        </w:trPr>
        <w:tc>
          <w:tcPr>
            <w:tcW w:w="2851" w:type="dxa"/>
          </w:tcPr>
          <w:p>
            <w:pPr>
              <w:pStyle w:val="TableParagraph"/>
              <w:spacing w:line="248" w:lineRule="exact"/>
              <w:ind w:left="107"/>
              <w:rPr>
                <w:sz w:val="22"/>
              </w:rPr>
            </w:pPr>
            <w:r>
              <w:rPr>
                <w:sz w:val="22"/>
              </w:rPr>
              <w:t>2020 (as of 10/31/20)</w:t>
            </w:r>
          </w:p>
        </w:tc>
        <w:tc>
          <w:tcPr>
            <w:tcW w:w="2803" w:type="dxa"/>
          </w:tcPr>
          <w:p>
            <w:pPr>
              <w:pStyle w:val="TableParagraph"/>
              <w:spacing w:line="248" w:lineRule="exact"/>
              <w:ind w:left="107"/>
              <w:rPr>
                <w:sz w:val="22"/>
              </w:rPr>
            </w:pPr>
            <w:r>
              <w:rPr>
                <w:sz w:val="22"/>
              </w:rPr>
              <w:t>169</w:t>
            </w:r>
          </w:p>
        </w:tc>
        <w:tc>
          <w:tcPr>
            <w:tcW w:w="2841" w:type="dxa"/>
          </w:tcPr>
          <w:p>
            <w:pPr>
              <w:pStyle w:val="TableParagraph"/>
              <w:spacing w:line="248" w:lineRule="exact"/>
              <w:ind w:left="108"/>
              <w:rPr>
                <w:sz w:val="22"/>
              </w:rPr>
            </w:pPr>
            <w:r>
              <w:rPr>
                <w:sz w:val="22"/>
              </w:rPr>
              <w:t>14%</w:t>
            </w:r>
          </w:p>
        </w:tc>
      </w:tr>
    </w:tbl>
    <w:p>
      <w:pPr>
        <w:pStyle w:val="BodyText"/>
        <w:rPr>
          <w:rFonts w:ascii="Arial"/>
        </w:rPr>
      </w:pPr>
    </w:p>
    <w:p>
      <w:pPr>
        <w:pStyle w:val="ListParagraph"/>
        <w:numPr>
          <w:ilvl w:val="2"/>
          <w:numId w:val="4"/>
        </w:numPr>
        <w:tabs>
          <w:tab w:pos="2380" w:val="left" w:leader="none"/>
        </w:tabs>
        <w:spacing w:line="259" w:lineRule="auto" w:before="195" w:after="0"/>
        <w:ind w:left="2380" w:right="1100" w:hanging="360"/>
        <w:jc w:val="left"/>
        <w:rPr>
          <w:rFonts w:ascii="Garamond"/>
          <w:sz w:val="24"/>
        </w:rPr>
      </w:pPr>
      <w:r>
        <w:rPr>
          <w:rFonts w:ascii="Garamond"/>
          <w:sz w:val="24"/>
        </w:rPr>
        <w:t>Is the shift to complex procedures occurring in other specialties?</w:t>
      </w:r>
      <w:r>
        <w:rPr>
          <w:rFonts w:ascii="Garamond"/>
          <w:spacing w:val="-44"/>
          <w:sz w:val="24"/>
        </w:rPr>
        <w:t> </w:t>
      </w:r>
      <w:r>
        <w:rPr>
          <w:rFonts w:ascii="Garamond"/>
          <w:sz w:val="24"/>
        </w:rPr>
        <w:t>If so, provide the percentage of complex procedures by</w:t>
      </w:r>
      <w:r>
        <w:rPr>
          <w:rFonts w:ascii="Garamond"/>
          <w:spacing w:val="-5"/>
          <w:sz w:val="24"/>
        </w:rPr>
        <w:t> </w:t>
      </w:r>
      <w:r>
        <w:rPr>
          <w:rFonts w:ascii="Garamond"/>
          <w:sz w:val="24"/>
        </w:rPr>
        <w:t>specialty.</w:t>
      </w:r>
    </w:p>
    <w:p>
      <w:pPr>
        <w:pStyle w:val="BodyText"/>
        <w:spacing w:before="7"/>
        <w:rPr>
          <w:rFonts w:ascii="Garamond"/>
          <w:sz w:val="25"/>
        </w:rPr>
      </w:pPr>
    </w:p>
    <w:p>
      <w:pPr>
        <w:spacing w:before="0"/>
        <w:ind w:left="2380" w:right="0" w:firstLine="0"/>
        <w:jc w:val="left"/>
        <w:rPr>
          <w:rFonts w:ascii="Arial"/>
          <w:sz w:val="20"/>
        </w:rPr>
      </w:pPr>
      <w:r>
        <w:rPr>
          <w:rFonts w:ascii="Arial"/>
          <w:sz w:val="20"/>
        </w:rPr>
        <w:t>At</w:t>
      </w:r>
      <w:r>
        <w:rPr>
          <w:rFonts w:ascii="Arial"/>
          <w:spacing w:val="-4"/>
          <w:sz w:val="20"/>
        </w:rPr>
        <w:t> </w:t>
      </w:r>
      <w:r>
        <w:rPr>
          <w:rFonts w:ascii="Arial"/>
          <w:sz w:val="20"/>
        </w:rPr>
        <w:t>this</w:t>
      </w:r>
      <w:r>
        <w:rPr>
          <w:rFonts w:ascii="Arial"/>
          <w:spacing w:val="-3"/>
          <w:sz w:val="20"/>
        </w:rPr>
        <w:t> </w:t>
      </w:r>
      <w:r>
        <w:rPr>
          <w:rFonts w:ascii="Arial"/>
          <w:sz w:val="20"/>
        </w:rPr>
        <w:t>time</w:t>
      </w:r>
      <w:r>
        <w:rPr>
          <w:rFonts w:ascii="Arial"/>
          <w:spacing w:val="-4"/>
          <w:sz w:val="20"/>
        </w:rPr>
        <w:t> </w:t>
      </w:r>
      <w:r>
        <w:rPr>
          <w:rFonts w:ascii="Arial"/>
          <w:sz w:val="20"/>
        </w:rPr>
        <w:t>there</w:t>
      </w:r>
      <w:r>
        <w:rPr>
          <w:rFonts w:ascii="Arial"/>
          <w:spacing w:val="-2"/>
          <w:sz w:val="20"/>
        </w:rPr>
        <w:t> </w:t>
      </w:r>
      <w:r>
        <w:rPr>
          <w:rFonts w:ascii="Arial"/>
          <w:sz w:val="20"/>
        </w:rPr>
        <w:t>are</w:t>
      </w:r>
      <w:r>
        <w:rPr>
          <w:rFonts w:ascii="Arial"/>
          <w:spacing w:val="-4"/>
          <w:sz w:val="20"/>
        </w:rPr>
        <w:t> </w:t>
      </w:r>
      <w:r>
        <w:rPr>
          <w:rFonts w:ascii="Arial"/>
          <w:sz w:val="20"/>
        </w:rPr>
        <w:t>no</w:t>
      </w:r>
      <w:r>
        <w:rPr>
          <w:rFonts w:ascii="Arial"/>
          <w:spacing w:val="-4"/>
          <w:sz w:val="20"/>
        </w:rPr>
        <w:t> </w:t>
      </w:r>
      <w:r>
        <w:rPr>
          <w:rFonts w:ascii="Arial"/>
          <w:sz w:val="20"/>
        </w:rPr>
        <w:t>other</w:t>
      </w:r>
      <w:r>
        <w:rPr>
          <w:rFonts w:ascii="Arial"/>
          <w:spacing w:val="-2"/>
          <w:sz w:val="20"/>
        </w:rPr>
        <w:t> </w:t>
      </w:r>
      <w:r>
        <w:rPr>
          <w:rFonts w:ascii="Arial"/>
          <w:sz w:val="20"/>
        </w:rPr>
        <w:t>specialties</w:t>
      </w:r>
      <w:r>
        <w:rPr>
          <w:rFonts w:ascii="Arial"/>
          <w:spacing w:val="-3"/>
          <w:sz w:val="20"/>
        </w:rPr>
        <w:t> </w:t>
      </w:r>
      <w:r>
        <w:rPr>
          <w:rFonts w:ascii="Arial"/>
          <w:sz w:val="20"/>
        </w:rPr>
        <w:t>moving</w:t>
      </w:r>
      <w:r>
        <w:rPr>
          <w:rFonts w:ascii="Arial"/>
          <w:spacing w:val="-4"/>
          <w:sz w:val="20"/>
        </w:rPr>
        <w:t> </w:t>
      </w:r>
      <w:r>
        <w:rPr>
          <w:rFonts w:ascii="Arial"/>
          <w:sz w:val="20"/>
        </w:rPr>
        <w:t>to</w:t>
      </w:r>
      <w:r>
        <w:rPr>
          <w:rFonts w:ascii="Arial"/>
          <w:spacing w:val="-4"/>
          <w:sz w:val="20"/>
        </w:rPr>
        <w:t> </w:t>
      </w:r>
      <w:r>
        <w:rPr>
          <w:rFonts w:ascii="Arial"/>
          <w:sz w:val="20"/>
        </w:rPr>
        <w:t>more</w:t>
      </w:r>
      <w:r>
        <w:rPr>
          <w:rFonts w:ascii="Arial"/>
          <w:spacing w:val="-4"/>
          <w:sz w:val="20"/>
        </w:rPr>
        <w:t> </w:t>
      </w:r>
      <w:r>
        <w:rPr>
          <w:rFonts w:ascii="Arial"/>
          <w:sz w:val="20"/>
        </w:rPr>
        <w:t>complex</w:t>
      </w:r>
      <w:r>
        <w:rPr>
          <w:rFonts w:ascii="Arial"/>
          <w:spacing w:val="-3"/>
          <w:sz w:val="20"/>
        </w:rPr>
        <w:t> </w:t>
      </w:r>
      <w:r>
        <w:rPr>
          <w:rFonts w:ascii="Arial"/>
          <w:sz w:val="20"/>
        </w:rPr>
        <w:t>procedures.</w:t>
      </w:r>
    </w:p>
    <w:p>
      <w:pPr>
        <w:pStyle w:val="BodyText"/>
        <w:spacing w:before="2"/>
        <w:rPr>
          <w:rFonts w:ascii="Arial"/>
          <w:sz w:val="27"/>
        </w:rPr>
      </w:pPr>
    </w:p>
    <w:p>
      <w:pPr>
        <w:pStyle w:val="ListParagraph"/>
        <w:numPr>
          <w:ilvl w:val="1"/>
          <w:numId w:val="4"/>
        </w:numPr>
        <w:tabs>
          <w:tab w:pos="1660" w:val="left" w:leader="none"/>
        </w:tabs>
        <w:spacing w:line="240" w:lineRule="auto" w:before="0" w:after="0"/>
        <w:ind w:left="1660" w:right="0" w:hanging="360"/>
        <w:jc w:val="left"/>
        <w:rPr>
          <w:rFonts w:ascii="Garamond"/>
          <w:sz w:val="24"/>
        </w:rPr>
      </w:pPr>
      <w:r>
        <w:rPr>
          <w:rFonts w:ascii="Garamond"/>
          <w:sz w:val="24"/>
        </w:rPr>
        <w:t>What percentage of FY19 case volume was complex</w:t>
      </w:r>
      <w:r>
        <w:rPr>
          <w:rFonts w:ascii="Garamond"/>
          <w:spacing w:val="-32"/>
          <w:sz w:val="24"/>
        </w:rPr>
        <w:t> </w:t>
      </w:r>
      <w:r>
        <w:rPr>
          <w:rFonts w:ascii="Garamond"/>
          <w:sz w:val="24"/>
        </w:rPr>
        <w:t>procedures?</w:t>
      </w:r>
    </w:p>
    <w:p>
      <w:pPr>
        <w:pStyle w:val="BodyText"/>
        <w:spacing w:before="7"/>
        <w:rPr>
          <w:rFonts w:ascii="Garamond"/>
          <w:sz w:val="27"/>
        </w:rPr>
      </w:pPr>
    </w:p>
    <w:p>
      <w:pPr>
        <w:spacing w:before="0"/>
        <w:ind w:left="1660" w:right="0" w:firstLine="0"/>
        <w:jc w:val="left"/>
        <w:rPr>
          <w:rFonts w:ascii="Arial"/>
          <w:sz w:val="20"/>
        </w:rPr>
      </w:pPr>
      <w:r>
        <w:rPr>
          <w:rFonts w:ascii="Arial"/>
          <w:sz w:val="20"/>
        </w:rPr>
        <w:t>Complex procedures make up 13% of the 2019 case volume.</w:t>
      </w:r>
    </w:p>
    <w:p>
      <w:pPr>
        <w:pStyle w:val="BodyText"/>
        <w:spacing w:before="4"/>
        <w:rPr>
          <w:rFonts w:ascii="Arial"/>
          <w:sz w:val="23"/>
        </w:rPr>
      </w:pPr>
    </w:p>
    <w:p>
      <w:pPr>
        <w:pStyle w:val="ListParagraph"/>
        <w:numPr>
          <w:ilvl w:val="1"/>
          <w:numId w:val="4"/>
        </w:numPr>
        <w:tabs>
          <w:tab w:pos="1660" w:val="left" w:leader="none"/>
        </w:tabs>
        <w:spacing w:line="259" w:lineRule="auto" w:before="1" w:after="0"/>
        <w:ind w:left="1660" w:right="1954" w:hanging="360"/>
        <w:jc w:val="left"/>
        <w:rPr>
          <w:rFonts w:ascii="Garamond"/>
          <w:sz w:val="24"/>
        </w:rPr>
      </w:pPr>
      <w:r>
        <w:rPr>
          <w:rFonts w:ascii="Garamond"/>
          <w:sz w:val="24"/>
        </w:rPr>
        <w:t>How do you determine which patients will derive the most benefit from complex procedures?</w:t>
      </w:r>
    </w:p>
    <w:p>
      <w:pPr>
        <w:pStyle w:val="BodyText"/>
        <w:spacing w:before="8"/>
        <w:rPr>
          <w:rFonts w:ascii="Garamond"/>
          <w:sz w:val="21"/>
        </w:rPr>
      </w:pPr>
    </w:p>
    <w:p>
      <w:pPr>
        <w:spacing w:line="259" w:lineRule="auto" w:before="0"/>
        <w:ind w:left="1660" w:right="428" w:firstLine="0"/>
        <w:jc w:val="left"/>
        <w:rPr>
          <w:rFonts w:ascii="Arial"/>
          <w:sz w:val="20"/>
        </w:rPr>
      </w:pPr>
      <w:r>
        <w:rPr>
          <w:rFonts w:ascii="Arial"/>
          <w:sz w:val="20"/>
        </w:rPr>
        <w:t>Determining which patient would benefit from a more complex procedure is not the decision of the applicant but rests solely on the expertise and knowledge of the surgeon that will perform the procedure. The surgeon obtains authorization from payors after they undergo clinical review.</w:t>
      </w:r>
    </w:p>
    <w:p>
      <w:pPr>
        <w:pStyle w:val="BodyText"/>
        <w:spacing w:before="9"/>
        <w:rPr>
          <w:rFonts w:ascii="Arial"/>
          <w:sz w:val="21"/>
        </w:rPr>
      </w:pPr>
    </w:p>
    <w:p>
      <w:pPr>
        <w:pStyle w:val="ListParagraph"/>
        <w:numPr>
          <w:ilvl w:val="1"/>
          <w:numId w:val="4"/>
        </w:numPr>
        <w:tabs>
          <w:tab w:pos="1660" w:val="left" w:leader="none"/>
        </w:tabs>
        <w:spacing w:line="259" w:lineRule="auto" w:before="1" w:after="0"/>
        <w:ind w:left="1660" w:right="1546" w:hanging="360"/>
        <w:jc w:val="left"/>
        <w:rPr>
          <w:rFonts w:ascii="Garamond"/>
          <w:sz w:val="24"/>
        </w:rPr>
      </w:pPr>
      <w:r>
        <w:rPr>
          <w:rFonts w:ascii="Garamond"/>
          <w:sz w:val="24"/>
        </w:rPr>
        <w:t>The Applicant described a shift to more complex procedures resulting from Medicare approval of the procedures in the outpatient</w:t>
      </w:r>
      <w:r>
        <w:rPr>
          <w:rFonts w:ascii="Garamond"/>
          <w:spacing w:val="-9"/>
          <w:sz w:val="24"/>
        </w:rPr>
        <w:t> </w:t>
      </w:r>
      <w:r>
        <w:rPr>
          <w:rFonts w:ascii="Garamond"/>
          <w:sz w:val="24"/>
        </w:rPr>
        <w:t>setting.</w:t>
      </w:r>
    </w:p>
    <w:p>
      <w:pPr>
        <w:pStyle w:val="ListParagraph"/>
        <w:numPr>
          <w:ilvl w:val="2"/>
          <w:numId w:val="4"/>
        </w:numPr>
        <w:tabs>
          <w:tab w:pos="2379" w:val="left" w:leader="none"/>
          <w:tab w:pos="2380" w:val="left" w:leader="none"/>
        </w:tabs>
        <w:spacing w:line="240" w:lineRule="auto" w:before="0" w:after="0"/>
        <w:ind w:left="2380" w:right="0" w:hanging="360"/>
        <w:jc w:val="left"/>
        <w:rPr>
          <w:rFonts w:ascii="Garamond"/>
          <w:sz w:val="24"/>
        </w:rPr>
      </w:pPr>
      <w:r>
        <w:rPr>
          <w:rFonts w:ascii="Garamond"/>
          <w:sz w:val="24"/>
        </w:rPr>
        <w:t>During what time frame did these Medicare changes</w:t>
      </w:r>
      <w:r>
        <w:rPr>
          <w:rFonts w:ascii="Garamond"/>
          <w:spacing w:val="-9"/>
          <w:sz w:val="24"/>
        </w:rPr>
        <w:t> </w:t>
      </w:r>
      <w:r>
        <w:rPr>
          <w:rFonts w:ascii="Garamond"/>
          <w:sz w:val="24"/>
        </w:rPr>
        <w:t>occur?</w:t>
      </w:r>
    </w:p>
    <w:p>
      <w:pPr>
        <w:pStyle w:val="BodyText"/>
        <w:spacing w:before="6"/>
        <w:rPr>
          <w:rFonts w:ascii="Garamond"/>
          <w:sz w:val="23"/>
        </w:rPr>
      </w:pPr>
    </w:p>
    <w:p>
      <w:pPr>
        <w:spacing w:line="259" w:lineRule="auto" w:before="0"/>
        <w:ind w:left="1659" w:right="982" w:firstLine="0"/>
        <w:jc w:val="left"/>
        <w:rPr>
          <w:rFonts w:ascii="Arial"/>
          <w:sz w:val="20"/>
        </w:rPr>
      </w:pPr>
      <w:r>
        <w:rPr>
          <w:rFonts w:ascii="Arial"/>
          <w:sz w:val="20"/>
        </w:rPr>
        <w:t>As previously mentioned in Question 2, pain management began to shift to more complex procedures in 2016 when Medicare changed its payment rationale and began to work toward alternatives to opioid treatments, evidenced in the above table. The Otolaryngology case shift began in 2018 date.</w:t>
      </w:r>
    </w:p>
    <w:p>
      <w:pPr>
        <w:pStyle w:val="BodyText"/>
        <w:spacing w:before="8"/>
        <w:rPr>
          <w:rFonts w:ascii="Arial"/>
          <w:sz w:val="21"/>
        </w:rPr>
      </w:pPr>
    </w:p>
    <w:p>
      <w:pPr>
        <w:pStyle w:val="ListParagraph"/>
        <w:numPr>
          <w:ilvl w:val="1"/>
          <w:numId w:val="4"/>
        </w:numPr>
        <w:tabs>
          <w:tab w:pos="1660" w:val="left" w:leader="none"/>
        </w:tabs>
        <w:spacing w:line="259" w:lineRule="auto" w:before="0" w:after="0"/>
        <w:ind w:left="1660" w:right="1248" w:hanging="360"/>
        <w:jc w:val="left"/>
        <w:rPr>
          <w:rFonts w:ascii="Garamond"/>
          <w:sz w:val="24"/>
        </w:rPr>
      </w:pPr>
      <w:r>
        <w:rPr>
          <w:rFonts w:ascii="Garamond"/>
          <w:sz w:val="24"/>
        </w:rPr>
        <w:t>The Applicant stated OR days available for the four surgeons performing otolaryngology cases were reduced from nine full days to five</w:t>
      </w:r>
      <w:r>
        <w:rPr>
          <w:rFonts w:ascii="Garamond"/>
          <w:spacing w:val="-10"/>
          <w:sz w:val="24"/>
        </w:rPr>
        <w:t> </w:t>
      </w:r>
      <w:r>
        <w:rPr>
          <w:rFonts w:ascii="Garamond"/>
          <w:sz w:val="24"/>
        </w:rPr>
        <w:t>days.</w:t>
      </w:r>
    </w:p>
    <w:p>
      <w:pPr>
        <w:pStyle w:val="ListParagraph"/>
        <w:numPr>
          <w:ilvl w:val="2"/>
          <w:numId w:val="4"/>
        </w:numPr>
        <w:tabs>
          <w:tab w:pos="2379" w:val="left" w:leader="none"/>
          <w:tab w:pos="2380" w:val="left" w:leader="none"/>
        </w:tabs>
        <w:spacing w:line="240" w:lineRule="auto" w:before="0" w:after="0"/>
        <w:ind w:left="2380" w:right="0" w:hanging="360"/>
        <w:jc w:val="left"/>
        <w:rPr>
          <w:rFonts w:ascii="Garamond"/>
          <w:sz w:val="24"/>
        </w:rPr>
      </w:pPr>
      <w:r>
        <w:rPr>
          <w:rFonts w:ascii="Garamond"/>
          <w:sz w:val="24"/>
        </w:rPr>
        <w:t>The OR schedule is five days over what period of</w:t>
      </w:r>
      <w:r>
        <w:rPr>
          <w:rFonts w:ascii="Garamond"/>
          <w:spacing w:val="-10"/>
          <w:sz w:val="24"/>
        </w:rPr>
        <w:t> </w:t>
      </w:r>
      <w:r>
        <w:rPr>
          <w:rFonts w:ascii="Garamond"/>
          <w:sz w:val="24"/>
        </w:rPr>
        <w:t>time?</w:t>
      </w:r>
    </w:p>
    <w:p>
      <w:pPr>
        <w:pStyle w:val="BodyText"/>
        <w:spacing w:before="9"/>
        <w:rPr>
          <w:rFonts w:ascii="Garamond"/>
          <w:sz w:val="23"/>
        </w:rPr>
      </w:pPr>
    </w:p>
    <w:p>
      <w:pPr>
        <w:spacing w:line="256" w:lineRule="auto" w:before="0"/>
        <w:ind w:left="2019" w:right="428" w:firstLine="0"/>
        <w:jc w:val="left"/>
        <w:rPr>
          <w:rFonts w:ascii="Arial"/>
          <w:sz w:val="20"/>
        </w:rPr>
      </w:pPr>
      <w:r>
        <w:rPr>
          <w:rFonts w:ascii="Arial"/>
          <w:sz w:val="20"/>
        </w:rPr>
        <w:t>The equivalent of 5 days available to otolaryngology is a total of half days and full days over a period of one month.</w:t>
      </w:r>
    </w:p>
    <w:p>
      <w:pPr>
        <w:pStyle w:val="BodyText"/>
        <w:spacing w:before="1"/>
        <w:rPr>
          <w:rFonts w:ascii="Arial"/>
        </w:rPr>
      </w:pPr>
    </w:p>
    <w:p>
      <w:pPr>
        <w:pStyle w:val="ListParagraph"/>
        <w:numPr>
          <w:ilvl w:val="2"/>
          <w:numId w:val="4"/>
        </w:numPr>
        <w:tabs>
          <w:tab w:pos="2380" w:val="left" w:leader="none"/>
        </w:tabs>
        <w:spacing w:line="240" w:lineRule="auto" w:before="0" w:after="0"/>
        <w:ind w:left="2380" w:right="0" w:hanging="360"/>
        <w:jc w:val="left"/>
        <w:rPr>
          <w:rFonts w:ascii="Garamond"/>
          <w:sz w:val="24"/>
        </w:rPr>
      </w:pPr>
      <w:r>
        <w:rPr>
          <w:rFonts w:ascii="Garamond"/>
          <w:sz w:val="24"/>
        </w:rPr>
        <w:t>Which year did the reduction in OR days</w:t>
      </w:r>
      <w:r>
        <w:rPr>
          <w:rFonts w:ascii="Garamond"/>
          <w:spacing w:val="-7"/>
          <w:sz w:val="24"/>
        </w:rPr>
        <w:t> </w:t>
      </w:r>
      <w:r>
        <w:rPr>
          <w:rFonts w:ascii="Garamond"/>
          <w:sz w:val="24"/>
        </w:rPr>
        <w:t>occur?</w:t>
      </w:r>
    </w:p>
    <w:p>
      <w:pPr>
        <w:pStyle w:val="BodyText"/>
        <w:spacing w:before="9"/>
        <w:rPr>
          <w:rFonts w:ascii="Garamond"/>
          <w:sz w:val="23"/>
        </w:rPr>
      </w:pPr>
    </w:p>
    <w:p>
      <w:pPr>
        <w:spacing w:line="259" w:lineRule="auto" w:before="0"/>
        <w:ind w:left="2020" w:right="1015" w:firstLine="0"/>
        <w:jc w:val="left"/>
        <w:rPr>
          <w:rFonts w:ascii="Arial" w:hAnsi="Arial"/>
          <w:sz w:val="20"/>
        </w:rPr>
      </w:pPr>
      <w:r>
        <w:rPr>
          <w:rFonts w:ascii="Arial" w:hAnsi="Arial"/>
          <w:sz w:val="20"/>
        </w:rPr>
        <w:t>Otolaryngology’s reduction in OR days began in 2019 as there became a need for more OR time by other physicians. The applicant worked with this group and encouraged them to move from one surgeon per day to two surgeons sharing.</w:t>
      </w:r>
    </w:p>
    <w:p>
      <w:pPr>
        <w:spacing w:after="0" w:line="259" w:lineRule="auto"/>
        <w:jc w:val="left"/>
        <w:rPr>
          <w:rFonts w:ascii="Arial" w:hAnsi="Arial"/>
          <w:sz w:val="20"/>
        </w:rPr>
        <w:sectPr>
          <w:pgSz w:w="12240" w:h="15840"/>
          <w:pgMar w:top="1500" w:bottom="280" w:left="500" w:right="580"/>
        </w:sectPr>
      </w:pPr>
    </w:p>
    <w:p>
      <w:pPr>
        <w:pStyle w:val="BodyText"/>
        <w:spacing w:before="6"/>
        <w:rPr>
          <w:rFonts w:ascii="Arial"/>
          <w:sz w:val="21"/>
        </w:rPr>
      </w:pPr>
    </w:p>
    <w:p>
      <w:pPr>
        <w:pStyle w:val="ListParagraph"/>
        <w:numPr>
          <w:ilvl w:val="1"/>
          <w:numId w:val="4"/>
        </w:numPr>
        <w:tabs>
          <w:tab w:pos="1660" w:val="left" w:leader="none"/>
        </w:tabs>
        <w:spacing w:line="240" w:lineRule="auto" w:before="100" w:after="0"/>
        <w:ind w:left="1660" w:right="0" w:hanging="360"/>
        <w:jc w:val="left"/>
        <w:rPr>
          <w:rFonts w:ascii="Arial"/>
          <w:sz w:val="20"/>
        </w:rPr>
      </w:pPr>
      <w:r>
        <w:rPr>
          <w:rFonts w:ascii="Garamond"/>
          <w:sz w:val="24"/>
        </w:rPr>
        <w:t>List all the social needs that you screen for in the pre-operative</w:t>
      </w:r>
      <w:r>
        <w:rPr>
          <w:rFonts w:ascii="Garamond"/>
          <w:spacing w:val="-16"/>
          <w:sz w:val="24"/>
        </w:rPr>
        <w:t> </w:t>
      </w:r>
      <w:r>
        <w:rPr>
          <w:rFonts w:ascii="Garamond"/>
          <w:sz w:val="24"/>
        </w:rPr>
        <w:t>questionnaire.</w:t>
      </w:r>
    </w:p>
    <w:p>
      <w:pPr>
        <w:pStyle w:val="BodyText"/>
        <w:spacing w:before="8"/>
        <w:rPr>
          <w:rFonts w:ascii="Garamond"/>
          <w:sz w:val="23"/>
        </w:rPr>
      </w:pPr>
    </w:p>
    <w:p>
      <w:pPr>
        <w:spacing w:line="259" w:lineRule="auto" w:before="1"/>
        <w:ind w:left="1660" w:right="852" w:firstLine="0"/>
        <w:jc w:val="left"/>
        <w:rPr>
          <w:rFonts w:ascii="Arial" w:hAnsi="Arial"/>
          <w:sz w:val="20"/>
        </w:rPr>
      </w:pPr>
      <w:r>
        <w:rPr>
          <w:rFonts w:ascii="Arial" w:hAnsi="Arial"/>
          <w:sz w:val="20"/>
        </w:rPr>
        <w:t>When our patients are screened, they are asked about their smoking habits, if they use alcohol or drugs, whether they feel safe at home or suffer abuse and their level of physical activity. If a patient doesn’t feel safe at home or suffers abuse, we provide information on the Massachusetts Statewide Domestic Hotline.</w:t>
      </w:r>
    </w:p>
    <w:p>
      <w:pPr>
        <w:pStyle w:val="BodyText"/>
        <w:spacing w:before="5"/>
        <w:rPr>
          <w:rFonts w:ascii="Arial"/>
          <w:sz w:val="21"/>
        </w:rPr>
      </w:pPr>
    </w:p>
    <w:p>
      <w:pPr>
        <w:spacing w:line="259" w:lineRule="auto" w:before="0"/>
        <w:ind w:left="1659" w:right="982" w:firstLine="0"/>
        <w:jc w:val="left"/>
        <w:rPr>
          <w:rFonts w:ascii="Arial"/>
          <w:sz w:val="20"/>
        </w:rPr>
      </w:pPr>
      <w:r>
        <w:rPr>
          <w:rFonts w:ascii="Arial"/>
          <w:sz w:val="20"/>
        </w:rPr>
        <w:t>As a free-standing ambulatory surgery center not affiliated with a hospital, the applicant is not able to meet all of the social needs of our patients. That does not deter us from giving high- quality low-cost care.</w:t>
      </w:r>
    </w:p>
    <w:p>
      <w:pPr>
        <w:pStyle w:val="BodyText"/>
        <w:spacing w:before="10"/>
        <w:rPr>
          <w:rFonts w:ascii="Arial"/>
          <w:sz w:val="21"/>
        </w:rPr>
      </w:pPr>
    </w:p>
    <w:p>
      <w:pPr>
        <w:pStyle w:val="ListParagraph"/>
        <w:numPr>
          <w:ilvl w:val="1"/>
          <w:numId w:val="4"/>
        </w:numPr>
        <w:tabs>
          <w:tab w:pos="1660" w:val="left" w:leader="none"/>
        </w:tabs>
        <w:spacing w:line="259" w:lineRule="auto" w:before="0" w:after="0"/>
        <w:ind w:left="1660" w:right="987" w:hanging="360"/>
        <w:jc w:val="left"/>
        <w:rPr>
          <w:rFonts w:ascii="Garamond" w:hAnsi="Garamond"/>
          <w:sz w:val="24"/>
        </w:rPr>
      </w:pPr>
      <w:r>
        <w:rPr>
          <w:rFonts w:ascii="Garamond" w:hAnsi="Garamond"/>
          <w:sz w:val="24"/>
        </w:rPr>
        <w:t>The Applicant mentioned working closely with a provider representative at MassHealth in a process that led to an increase in the rate of payment ASC’s received, which has increased the facility’s ability to perform most</w:t>
      </w:r>
      <w:r>
        <w:rPr>
          <w:rFonts w:ascii="Garamond" w:hAnsi="Garamond"/>
          <w:spacing w:val="-7"/>
          <w:sz w:val="24"/>
        </w:rPr>
        <w:t> </w:t>
      </w:r>
      <w:r>
        <w:rPr>
          <w:rFonts w:ascii="Garamond" w:hAnsi="Garamond"/>
          <w:sz w:val="24"/>
        </w:rPr>
        <w:t>cases.</w:t>
      </w:r>
    </w:p>
    <w:p>
      <w:pPr>
        <w:pStyle w:val="ListParagraph"/>
        <w:numPr>
          <w:ilvl w:val="2"/>
          <w:numId w:val="4"/>
        </w:numPr>
        <w:tabs>
          <w:tab w:pos="2380" w:val="left" w:leader="none"/>
        </w:tabs>
        <w:spacing w:line="259" w:lineRule="auto" w:before="0" w:after="0"/>
        <w:ind w:left="2380" w:right="1501" w:hanging="360"/>
        <w:jc w:val="left"/>
        <w:rPr>
          <w:rFonts w:ascii="Arial" w:hAnsi="Arial"/>
          <w:sz w:val="20"/>
        </w:rPr>
      </w:pPr>
      <w:r>
        <w:rPr>
          <w:rFonts w:ascii="Garamond" w:hAnsi="Garamond"/>
          <w:sz w:val="24"/>
        </w:rPr>
        <w:t>Explain how the rate increase from MassHealth increased the facility’s surgical services?</w:t>
      </w:r>
    </w:p>
    <w:p>
      <w:pPr>
        <w:pStyle w:val="BodyText"/>
        <w:spacing w:before="5"/>
        <w:rPr>
          <w:rFonts w:ascii="Garamond"/>
          <w:sz w:val="25"/>
        </w:rPr>
      </w:pPr>
    </w:p>
    <w:p>
      <w:pPr>
        <w:spacing w:line="259" w:lineRule="auto" w:before="0"/>
        <w:ind w:left="2379" w:right="900" w:firstLine="0"/>
        <w:jc w:val="left"/>
        <w:rPr>
          <w:rFonts w:ascii="Arial"/>
          <w:sz w:val="20"/>
        </w:rPr>
      </w:pPr>
      <w:r>
        <w:rPr>
          <w:rFonts w:ascii="Arial"/>
          <w:sz w:val="20"/>
        </w:rPr>
        <w:t>Prior to the MassHealth rate increase, procedures that cost the facility more than was reimbursed could not be accommodated and had to be performed at HOPDs. This was true for most cases not only those more complex. The complex cases are more costly due to the length of time they take and/or implants used (e.g. invoice for a spinal cord stimulator is $15,500 facility reimbursement was $12,728.) With the rate increase we are able to not only cover all of our costs (fixed and staff) but see a small profit, while still providing a lower cost option to HOPDs.</w:t>
      </w:r>
    </w:p>
    <w:p>
      <w:pPr>
        <w:pStyle w:val="BodyText"/>
        <w:spacing w:before="7"/>
        <w:rPr>
          <w:rFonts w:ascii="Arial"/>
          <w:sz w:val="21"/>
        </w:rPr>
      </w:pPr>
    </w:p>
    <w:p>
      <w:pPr>
        <w:pStyle w:val="ListParagraph"/>
        <w:numPr>
          <w:ilvl w:val="2"/>
          <w:numId w:val="4"/>
        </w:numPr>
        <w:tabs>
          <w:tab w:pos="2380" w:val="left" w:leader="none"/>
        </w:tabs>
        <w:spacing w:line="259" w:lineRule="auto" w:before="0" w:after="0"/>
        <w:ind w:left="2380" w:right="1439" w:hanging="360"/>
        <w:jc w:val="left"/>
        <w:rPr>
          <w:rFonts w:ascii="Garamond" w:hAnsi="Garamond"/>
          <w:sz w:val="24"/>
        </w:rPr>
      </w:pPr>
      <w:r>
        <w:rPr>
          <w:rFonts w:ascii="Garamond" w:hAnsi="Garamond"/>
          <w:sz w:val="24"/>
        </w:rPr>
        <w:t>How does the rate increase impact the Applicant’s ability to provide lower-cost surgical</w:t>
      </w:r>
      <w:r>
        <w:rPr>
          <w:rFonts w:ascii="Garamond" w:hAnsi="Garamond"/>
          <w:spacing w:val="-1"/>
          <w:sz w:val="24"/>
        </w:rPr>
        <w:t> </w:t>
      </w:r>
      <w:r>
        <w:rPr>
          <w:rFonts w:ascii="Garamond" w:hAnsi="Garamond"/>
          <w:sz w:val="24"/>
        </w:rPr>
        <w:t>services?</w:t>
      </w:r>
    </w:p>
    <w:p>
      <w:pPr>
        <w:pStyle w:val="BodyText"/>
        <w:rPr>
          <w:rFonts w:ascii="Garamond"/>
        </w:rPr>
      </w:pPr>
    </w:p>
    <w:p>
      <w:pPr>
        <w:spacing w:line="259" w:lineRule="auto" w:before="0"/>
        <w:ind w:left="2380" w:right="1456" w:hanging="1"/>
        <w:jc w:val="left"/>
        <w:rPr>
          <w:rFonts w:ascii="Arial"/>
          <w:sz w:val="20"/>
        </w:rPr>
      </w:pPr>
      <w:r>
        <w:rPr>
          <w:rFonts w:ascii="Arial"/>
          <w:sz w:val="20"/>
        </w:rPr>
        <w:t>Historically, ASCs have always provided lower cost surgical services. With the reimbursements at 50% of those paid to HOPDs, the rate increases will allow us to accommodate more MassHealth product cases and continue to provide more cost effective, safe, high-quality care.</w:t>
      </w:r>
      <w:hyperlink w:history="true" w:anchor="_bookmark25">
        <w:r>
          <w:rPr>
            <w:rFonts w:ascii="Arial"/>
            <w:sz w:val="20"/>
            <w:vertAlign w:val="superscript"/>
          </w:rPr>
          <w:t>2</w:t>
        </w:r>
      </w:hyperlink>
    </w:p>
    <w:p>
      <w:pPr>
        <w:pStyle w:val="BodyText"/>
        <w:spacing w:before="8"/>
        <w:rPr>
          <w:rFonts w:ascii="Arial"/>
          <w:sz w:val="21"/>
        </w:rPr>
      </w:pPr>
    </w:p>
    <w:p>
      <w:pPr>
        <w:pStyle w:val="ListParagraph"/>
        <w:numPr>
          <w:ilvl w:val="2"/>
          <w:numId w:val="4"/>
        </w:numPr>
        <w:tabs>
          <w:tab w:pos="2379" w:val="left" w:leader="none"/>
          <w:tab w:pos="2380" w:val="left" w:leader="none"/>
        </w:tabs>
        <w:spacing w:line="259" w:lineRule="auto" w:before="0" w:after="0"/>
        <w:ind w:left="2380" w:right="861" w:hanging="360"/>
        <w:jc w:val="left"/>
        <w:rPr>
          <w:rFonts w:ascii="Garamond"/>
          <w:sz w:val="24"/>
        </w:rPr>
      </w:pPr>
      <w:r>
        <w:rPr>
          <w:rFonts w:ascii="Garamond"/>
          <w:sz w:val="24"/>
        </w:rPr>
        <w:t>Explain why the surgeons participating as MassHealth Providers do not participate in all MassHealth</w:t>
      </w:r>
      <w:r>
        <w:rPr>
          <w:rFonts w:ascii="Garamond"/>
          <w:spacing w:val="-2"/>
          <w:sz w:val="24"/>
        </w:rPr>
        <w:t> </w:t>
      </w:r>
      <w:r>
        <w:rPr>
          <w:rFonts w:ascii="Garamond"/>
          <w:sz w:val="24"/>
        </w:rPr>
        <w:t>products.</w:t>
      </w:r>
    </w:p>
    <w:p>
      <w:pPr>
        <w:spacing w:line="259" w:lineRule="auto" w:before="156"/>
        <w:ind w:left="2379" w:right="879" w:firstLine="0"/>
        <w:jc w:val="left"/>
        <w:rPr>
          <w:rFonts w:ascii="Arial" w:hAnsi="Arial"/>
          <w:sz w:val="20"/>
        </w:rPr>
      </w:pPr>
      <w:r>
        <w:rPr>
          <w:rFonts w:ascii="Arial" w:hAnsi="Arial"/>
          <w:sz w:val="20"/>
        </w:rPr>
        <w:t>Participation in all MassHealth products is not possible for the facility or the surgeons. Some plans are for emergency services only and specifically state they won’t pay outside of these guidelines (e.g. MassHealth Buy In and Family Assistance – listed as not covered in an ASC; MassHealth Limited - emergency services only.)</w:t>
      </w:r>
    </w:p>
    <w:p>
      <w:pPr>
        <w:pStyle w:val="ListParagraph"/>
        <w:numPr>
          <w:ilvl w:val="1"/>
          <w:numId w:val="4"/>
        </w:numPr>
        <w:tabs>
          <w:tab w:pos="1660" w:val="left" w:leader="none"/>
        </w:tabs>
        <w:spacing w:line="240" w:lineRule="auto" w:before="161" w:after="0"/>
        <w:ind w:left="1660" w:right="0" w:hanging="360"/>
        <w:jc w:val="left"/>
        <w:rPr>
          <w:rFonts w:ascii="Garamond"/>
          <w:sz w:val="24"/>
        </w:rPr>
      </w:pPr>
      <w:r>
        <w:rPr>
          <w:rFonts w:ascii="Garamond"/>
          <w:sz w:val="24"/>
        </w:rPr>
        <w:t>Explain how the increase in total operative time per procedure (71.01 minutes in 2017</w:t>
      </w:r>
      <w:r>
        <w:rPr>
          <w:rFonts w:ascii="Garamond"/>
          <w:spacing w:val="-24"/>
          <w:sz w:val="24"/>
        </w:rPr>
        <w:t> </w:t>
      </w:r>
      <w:r>
        <w:rPr>
          <w:rFonts w:ascii="Garamond"/>
          <w:sz w:val="24"/>
        </w:rPr>
        <w:t>to</w:t>
      </w:r>
    </w:p>
    <w:p>
      <w:pPr>
        <w:spacing w:before="23"/>
        <w:ind w:left="1660" w:right="0" w:firstLine="0"/>
        <w:jc w:val="left"/>
        <w:rPr>
          <w:rFonts w:ascii="Garamond"/>
          <w:sz w:val="24"/>
        </w:rPr>
      </w:pPr>
      <w:r>
        <w:rPr>
          <w:rFonts w:ascii="Garamond"/>
          <w:sz w:val="24"/>
        </w:rPr>
        <w:t>76.83 minutes in 2019) is reducing OR availability?</w:t>
      </w:r>
    </w:p>
    <w:p>
      <w:pPr>
        <w:spacing w:line="259" w:lineRule="auto" w:before="179"/>
        <w:ind w:left="2380" w:right="878" w:firstLine="0"/>
        <w:jc w:val="left"/>
        <w:rPr>
          <w:rFonts w:ascii="Arial"/>
          <w:sz w:val="20"/>
        </w:rPr>
      </w:pPr>
      <w:r>
        <w:rPr>
          <w:rFonts w:ascii="Arial"/>
          <w:sz w:val="20"/>
        </w:rPr>
        <w:t>The increase in total operative time per procedure reduces the time available per day to</w:t>
      </w:r>
      <w:r>
        <w:rPr>
          <w:rFonts w:ascii="Arial"/>
          <w:spacing w:val="-39"/>
          <w:sz w:val="20"/>
        </w:rPr>
        <w:t> </w:t>
      </w:r>
      <w:r>
        <w:rPr>
          <w:rFonts w:ascii="Arial"/>
          <w:sz w:val="20"/>
        </w:rPr>
        <w:t>a lower number of cases. A full OR day would be 8 cases including turnaround time.  As the operative time per procedure has increased, we are now down to 7 cases.</w:t>
      </w:r>
      <w:r>
        <w:rPr>
          <w:rFonts w:ascii="Arial"/>
          <w:spacing w:val="27"/>
          <w:sz w:val="20"/>
        </w:rPr>
        <w:t> </w:t>
      </w:r>
      <w:r>
        <w:rPr>
          <w:rFonts w:ascii="Arial"/>
          <w:sz w:val="20"/>
        </w:rPr>
        <w:t>When</w:t>
      </w:r>
    </w:p>
    <w:p>
      <w:pPr>
        <w:pStyle w:val="BodyText"/>
        <w:spacing w:before="6"/>
        <w:rPr>
          <w:rFonts w:ascii="Arial"/>
          <w:sz w:val="16"/>
        </w:rPr>
      </w:pPr>
      <w:r>
        <w:rPr/>
        <w:pict>
          <v:rect style="position:absolute;margin-left:72pt;margin-top:11.491494pt;width:144pt;height:.72pt;mso-position-horizontal-relative:page;mso-position-vertical-relative:paragraph;z-index:-15724544;mso-wrap-distance-left:0;mso-wrap-distance-right:0" filled="true" fillcolor="#000000" stroked="false">
            <v:fill type="solid"/>
            <w10:wrap type="topAndBottom"/>
          </v:rect>
        </w:pict>
      </w:r>
    </w:p>
    <w:p>
      <w:pPr>
        <w:spacing w:before="73"/>
        <w:ind w:left="940" w:right="0" w:firstLine="0"/>
        <w:jc w:val="left"/>
        <w:rPr>
          <w:sz w:val="20"/>
        </w:rPr>
      </w:pPr>
      <w:bookmarkStart w:name="_bookmark25" w:id="38"/>
      <w:bookmarkEnd w:id="38"/>
      <w:r>
        <w:rPr/>
      </w:r>
      <w:r>
        <w:rPr>
          <w:sz w:val="20"/>
          <w:vertAlign w:val="superscript"/>
        </w:rPr>
        <w:t>2</w:t>
      </w:r>
      <w:r>
        <w:rPr>
          <w:sz w:val="20"/>
          <w:vertAlign w:val="baseline"/>
        </w:rPr>
        <w:t> Steward Angie, “HOPD vs. ASCs: 5 insights on the Reimbursement Gap,” Becker’s ASC Review, 4/6/2018.</w:t>
      </w:r>
    </w:p>
    <w:p>
      <w:pPr>
        <w:spacing w:after="0"/>
        <w:jc w:val="left"/>
        <w:rPr>
          <w:sz w:val="20"/>
        </w:rPr>
        <w:sectPr>
          <w:pgSz w:w="12240" w:h="15840"/>
          <w:pgMar w:top="1500" w:bottom="280" w:left="500" w:right="580"/>
        </w:sectPr>
      </w:pPr>
    </w:p>
    <w:p>
      <w:pPr>
        <w:spacing w:line="256" w:lineRule="auto" w:before="77"/>
        <w:ind w:left="2380" w:right="878" w:firstLine="0"/>
        <w:jc w:val="left"/>
        <w:rPr>
          <w:rFonts w:ascii="Arial"/>
          <w:sz w:val="20"/>
        </w:rPr>
      </w:pPr>
      <w:r>
        <w:rPr>
          <w:rFonts w:ascii="Arial"/>
          <w:sz w:val="20"/>
        </w:rPr>
        <w:t>more complex cases are scheduled, at approximately 120 minutes per case, we are then reduced to 4-5 cases per day.</w:t>
      </w:r>
    </w:p>
    <w:p>
      <w:pPr>
        <w:spacing w:after="0" w:line="256" w:lineRule="auto"/>
        <w:jc w:val="left"/>
        <w:rPr>
          <w:rFonts w:ascii="Arial"/>
          <w:sz w:val="20"/>
        </w:rPr>
        <w:sectPr>
          <w:pgSz w:w="12240" w:h="15840"/>
          <w:pgMar w:top="1360" w:bottom="280" w:left="500" w:right="580"/>
        </w:sectPr>
      </w:pPr>
    </w:p>
    <w:p>
      <w:pPr>
        <w:pStyle w:val="Heading2"/>
        <w:tabs>
          <w:tab w:pos="4469" w:val="left" w:leader="none"/>
        </w:tabs>
      </w:pPr>
      <w:bookmarkStart w:name="NESC 20072809-AS DoN Follow-up Questions" w:id="39"/>
      <w:bookmarkEnd w:id="39"/>
      <w:r>
        <w:rPr>
          <w:b w:val="0"/>
        </w:rPr>
      </w:r>
      <w:r>
        <w:rPr>
          <w:color w:val="063D86"/>
        </w:rPr>
        <w:t>New England Surgery</w:t>
      </w:r>
      <w:r>
        <w:rPr>
          <w:color w:val="063D86"/>
          <w:spacing w:val="-6"/>
        </w:rPr>
        <w:t> </w:t>
      </w:r>
      <w:r>
        <w:rPr>
          <w:color w:val="063D86"/>
        </w:rPr>
        <w:t>Center,</w:t>
      </w:r>
      <w:r>
        <w:rPr>
          <w:color w:val="063D86"/>
          <w:spacing w:val="-3"/>
        </w:rPr>
        <w:t> </w:t>
      </w:r>
      <w:r>
        <w:rPr>
          <w:color w:val="063D86"/>
        </w:rPr>
        <w:t>LLC</w:t>
        <w:tab/>
        <w:t>DoN #</w:t>
      </w:r>
      <w:r>
        <w:rPr>
          <w:color w:val="063D86"/>
          <w:spacing w:val="-2"/>
        </w:rPr>
        <w:t> </w:t>
      </w:r>
      <w:r>
        <w:rPr>
          <w:color w:val="063D86"/>
        </w:rPr>
        <w:t>20072809-AS</w:t>
      </w:r>
    </w:p>
    <w:p>
      <w:pPr>
        <w:pStyle w:val="BodyText"/>
        <w:spacing w:line="88" w:lineRule="exact"/>
        <w:ind w:left="191"/>
        <w:rPr>
          <w:rFonts w:ascii="Garamond"/>
          <w:sz w:val="8"/>
        </w:rPr>
      </w:pPr>
      <w:r>
        <w:rPr>
          <w:rFonts w:ascii="Garamond"/>
          <w:position w:val="-1"/>
          <w:sz w:val="8"/>
        </w:rPr>
        <w:pict>
          <v:group style="width:542.9pt;height:4.45pt;mso-position-horizontal-relative:char;mso-position-vertical-relative:line" coordorigin="0,0" coordsize="10858,89">
            <v:shape style="position:absolute;left:0;top:0;width:10858;height:89" coordorigin="0,0" coordsize="10858,89" path="m10858,29l0,29,0,89,10858,89,10858,29xm10858,0l0,0,0,14,10858,14,10858,0xe" filled="true" fillcolor="#1a406f" stroked="false">
              <v:path arrowok="t"/>
              <v:fill type="solid"/>
            </v:shape>
          </v:group>
        </w:pict>
      </w:r>
      <w:r>
        <w:rPr>
          <w:rFonts w:ascii="Garamond"/>
          <w:position w:val="-1"/>
          <w:sz w:val="8"/>
        </w:rPr>
      </w:r>
    </w:p>
    <w:p>
      <w:pPr>
        <w:pStyle w:val="BodyText"/>
        <w:rPr>
          <w:rFonts w:ascii="Garamond"/>
          <w:b/>
          <w:sz w:val="15"/>
        </w:rPr>
      </w:pPr>
    </w:p>
    <w:p>
      <w:pPr>
        <w:pStyle w:val="Heading3"/>
        <w:spacing w:line="269" w:lineRule="exact" w:before="100"/>
        <w:ind w:left="77"/>
        <w:rPr>
          <w:rFonts w:ascii="Garamond"/>
        </w:rPr>
      </w:pPr>
      <w:r>
        <w:rPr>
          <w:rFonts w:ascii="Garamond"/>
        </w:rPr>
        <w:t>APPLICANT QUESTIONS</w:t>
      </w:r>
    </w:p>
    <w:p>
      <w:pPr>
        <w:spacing w:line="269" w:lineRule="exact" w:before="0"/>
        <w:ind w:left="79" w:right="0" w:firstLine="0"/>
        <w:jc w:val="center"/>
        <w:rPr>
          <w:rFonts w:ascii="Garamond"/>
          <w:sz w:val="24"/>
        </w:rPr>
      </w:pPr>
      <w:r>
        <w:rPr>
          <w:rFonts w:ascii="Garamond"/>
          <w:i/>
          <w:sz w:val="24"/>
        </w:rPr>
        <w:t>Responses should be sent to DoN staff at </w:t>
      </w:r>
      <w:hyperlink r:id="rId12">
        <w:r>
          <w:rPr>
            <w:rFonts w:ascii="Garamond"/>
            <w:color w:val="0080FF"/>
            <w:sz w:val="24"/>
            <w:u w:val="single" w:color="0080FF"/>
          </w:rPr>
          <w:t>DPH.DON@State.MA.US</w:t>
        </w:r>
      </w:hyperlink>
    </w:p>
    <w:p>
      <w:pPr>
        <w:pStyle w:val="BodyText"/>
        <w:spacing w:before="4"/>
        <w:rPr>
          <w:rFonts w:ascii="Garamond"/>
          <w:sz w:val="14"/>
        </w:rPr>
      </w:pPr>
      <w:r>
        <w:rPr/>
        <w:pict>
          <v:shapetype id="_x0000_t202" o:spt="202" coordsize="21600,21600" path="m,l,21600r21600,l21600,xe">
            <v:stroke joinstyle="miter"/>
            <v:path gradientshapeok="t" o:connecttype="rect"/>
          </v:shapetype>
          <v:shape style="position:absolute;margin-left:62.040001pt;margin-top:10.302498pt;width:478.8pt;height:112.7pt;mso-position-horizontal-relative:page;mso-position-vertical-relative:paragraph;z-index:-15723520;mso-wrap-distance-left:0;mso-wrap-distance-right:0" type="#_x0000_t202" filled="false" stroked="true" strokeweight=".48pt" strokecolor="#000000">
            <v:textbox inset="0,0,0,0">
              <w:txbxContent>
                <w:p>
                  <w:pPr>
                    <w:pStyle w:val="BodyText"/>
                    <w:ind w:left="163"/>
                    <w:rPr>
                      <w:rFonts w:ascii="Garamond"/>
                    </w:rPr>
                  </w:pPr>
                  <w:r>
                    <w:rPr>
                      <w:rFonts w:ascii="Garamond"/>
                    </w:rPr>
                    <w:t>While you may submit each answer as available, please</w:t>
                  </w:r>
                </w:p>
                <w:p>
                  <w:pPr>
                    <w:pStyle w:val="BodyText"/>
                    <w:numPr>
                      <w:ilvl w:val="0"/>
                      <w:numId w:val="5"/>
                    </w:numPr>
                    <w:tabs>
                      <w:tab w:pos="823" w:val="left" w:leader="none"/>
                      <w:tab w:pos="824" w:val="left" w:leader="none"/>
                    </w:tabs>
                    <w:spacing w:line="240" w:lineRule="auto" w:before="1" w:after="0"/>
                    <w:ind w:left="823" w:right="0" w:hanging="361"/>
                    <w:jc w:val="left"/>
                    <w:rPr>
                      <w:rFonts w:ascii="Garamond" w:hAnsi="Garamond"/>
                    </w:rPr>
                  </w:pPr>
                  <w:r>
                    <w:rPr>
                      <w:rFonts w:ascii="Garamond" w:hAnsi="Garamond"/>
                    </w:rPr>
                    <w:t>List question number and question for each answer you</w:t>
                  </w:r>
                  <w:r>
                    <w:rPr>
                      <w:rFonts w:ascii="Garamond" w:hAnsi="Garamond"/>
                      <w:spacing w:val="-9"/>
                    </w:rPr>
                    <w:t> </w:t>
                  </w:r>
                  <w:r>
                    <w:rPr>
                      <w:rFonts w:ascii="Garamond" w:hAnsi="Garamond"/>
                    </w:rPr>
                    <w:t>provide</w:t>
                  </w:r>
                </w:p>
                <w:p>
                  <w:pPr>
                    <w:pStyle w:val="BodyText"/>
                    <w:numPr>
                      <w:ilvl w:val="0"/>
                      <w:numId w:val="5"/>
                    </w:numPr>
                    <w:tabs>
                      <w:tab w:pos="823" w:val="left" w:leader="none"/>
                      <w:tab w:pos="824" w:val="left" w:leader="none"/>
                    </w:tabs>
                    <w:spacing w:line="237" w:lineRule="auto" w:before="47" w:after="0"/>
                    <w:ind w:left="823" w:right="450" w:hanging="361"/>
                    <w:jc w:val="left"/>
                    <w:rPr>
                      <w:rFonts w:ascii="Garamond" w:hAnsi="Garamond"/>
                    </w:rPr>
                  </w:pPr>
                  <w:r>
                    <w:rPr>
                      <w:rFonts w:ascii="Garamond" w:hAnsi="Garamond"/>
                    </w:rPr>
                    <w:t>Submit responses as a separate word document, using the above application title and number as a running header and page numbers in the</w:t>
                  </w:r>
                  <w:r>
                    <w:rPr>
                      <w:rFonts w:ascii="Garamond" w:hAnsi="Garamond"/>
                      <w:spacing w:val="-7"/>
                    </w:rPr>
                    <w:t> </w:t>
                  </w:r>
                  <w:r>
                    <w:rPr>
                      <w:rFonts w:ascii="Garamond" w:hAnsi="Garamond"/>
                    </w:rPr>
                    <w:t>footer</w:t>
                  </w:r>
                </w:p>
                <w:p>
                  <w:pPr>
                    <w:pStyle w:val="BodyText"/>
                    <w:numPr>
                      <w:ilvl w:val="0"/>
                      <w:numId w:val="5"/>
                    </w:numPr>
                    <w:tabs>
                      <w:tab w:pos="823" w:val="left" w:leader="none"/>
                      <w:tab w:pos="824" w:val="left" w:leader="none"/>
                    </w:tabs>
                    <w:spacing w:line="237" w:lineRule="auto" w:before="50" w:after="0"/>
                    <w:ind w:left="823" w:right="708" w:hanging="361"/>
                    <w:jc w:val="left"/>
                    <w:rPr>
                      <w:rFonts w:ascii="Garamond" w:hAnsi="Garamond"/>
                    </w:rPr>
                  </w:pPr>
                  <w:r>
                    <w:rPr>
                      <w:rFonts w:ascii="Garamond" w:hAnsi="Garamond"/>
                    </w:rPr>
                    <w:t>When providing the answer to the final question, submit all questions and answers in one final document</w:t>
                  </w:r>
                </w:p>
                <w:p>
                  <w:pPr>
                    <w:pStyle w:val="BodyText"/>
                    <w:numPr>
                      <w:ilvl w:val="0"/>
                      <w:numId w:val="5"/>
                    </w:numPr>
                    <w:tabs>
                      <w:tab w:pos="823" w:val="left" w:leader="none"/>
                      <w:tab w:pos="824" w:val="left" w:leader="none"/>
                    </w:tabs>
                    <w:spacing w:line="240" w:lineRule="auto" w:before="48" w:after="0"/>
                    <w:ind w:left="823" w:right="583" w:hanging="360"/>
                    <w:jc w:val="left"/>
                    <w:rPr>
                      <w:rFonts w:ascii="Garamond" w:hAnsi="Garamond"/>
                    </w:rPr>
                  </w:pPr>
                  <w:r>
                    <w:rPr>
                      <w:rFonts w:ascii="Garamond" w:hAnsi="Garamond"/>
                    </w:rPr>
                    <w:t>Submit responses in WORD or EXCEL; only use PDF’s if absolutely necessary. If “cutting and pasting” charts, provide them in a PDF so they can be clearly</w:t>
                  </w:r>
                  <w:r>
                    <w:rPr>
                      <w:rFonts w:ascii="Garamond" w:hAnsi="Garamond"/>
                      <w:spacing w:val="-10"/>
                    </w:rPr>
                    <w:t> </w:t>
                  </w:r>
                  <w:r>
                    <w:rPr>
                      <w:rFonts w:ascii="Garamond" w:hAnsi="Garamond"/>
                    </w:rPr>
                    <w:t>seen</w:t>
                  </w:r>
                </w:p>
              </w:txbxContent>
            </v:textbox>
            <v:stroke dashstyle="solid"/>
            <w10:wrap type="topAndBottom"/>
          </v:shape>
        </w:pict>
      </w:r>
    </w:p>
    <w:p>
      <w:pPr>
        <w:pStyle w:val="BodyText"/>
        <w:rPr>
          <w:rFonts w:ascii="Garamond"/>
          <w:sz w:val="20"/>
        </w:rPr>
      </w:pPr>
    </w:p>
    <w:p>
      <w:pPr>
        <w:pStyle w:val="ListParagraph"/>
        <w:numPr>
          <w:ilvl w:val="0"/>
          <w:numId w:val="6"/>
        </w:numPr>
        <w:tabs>
          <w:tab w:pos="940" w:val="left" w:leader="none"/>
        </w:tabs>
        <w:spacing w:line="240" w:lineRule="auto" w:before="213" w:after="0"/>
        <w:ind w:left="939" w:right="257" w:hanging="360"/>
        <w:jc w:val="left"/>
        <w:rPr>
          <w:rFonts w:ascii="Garamond"/>
          <w:sz w:val="24"/>
        </w:rPr>
      </w:pPr>
      <w:r>
        <w:rPr>
          <w:rFonts w:ascii="Garamond"/>
          <w:sz w:val="24"/>
        </w:rPr>
        <w:t>In</w:t>
      </w:r>
      <w:r>
        <w:rPr>
          <w:rFonts w:ascii="Garamond"/>
          <w:spacing w:val="-4"/>
          <w:sz w:val="24"/>
        </w:rPr>
        <w:t> </w:t>
      </w:r>
      <w:r>
        <w:rPr>
          <w:rFonts w:ascii="Garamond"/>
          <w:sz w:val="24"/>
        </w:rPr>
        <w:t>the</w:t>
      </w:r>
      <w:r>
        <w:rPr>
          <w:rFonts w:ascii="Garamond"/>
          <w:spacing w:val="-3"/>
          <w:sz w:val="24"/>
        </w:rPr>
        <w:t> </w:t>
      </w:r>
      <w:r>
        <w:rPr>
          <w:rFonts w:ascii="Garamond"/>
          <w:sz w:val="24"/>
        </w:rPr>
        <w:t>DON</w:t>
      </w:r>
      <w:r>
        <w:rPr>
          <w:rFonts w:ascii="Garamond"/>
          <w:spacing w:val="-3"/>
          <w:sz w:val="24"/>
        </w:rPr>
        <w:t> </w:t>
      </w:r>
      <w:r>
        <w:rPr>
          <w:rFonts w:ascii="Garamond"/>
          <w:sz w:val="24"/>
        </w:rPr>
        <w:t>application</w:t>
      </w:r>
      <w:r>
        <w:rPr>
          <w:rFonts w:ascii="Garamond"/>
          <w:spacing w:val="-4"/>
          <w:sz w:val="24"/>
        </w:rPr>
        <w:t> </w:t>
      </w:r>
      <w:r>
        <w:rPr>
          <w:rFonts w:ascii="Garamond"/>
          <w:sz w:val="24"/>
        </w:rPr>
        <w:t>and</w:t>
      </w:r>
      <w:r>
        <w:rPr>
          <w:rFonts w:ascii="Garamond"/>
          <w:spacing w:val="-4"/>
          <w:sz w:val="24"/>
        </w:rPr>
        <w:t> </w:t>
      </w:r>
      <w:r>
        <w:rPr>
          <w:rFonts w:ascii="Garamond"/>
          <w:sz w:val="24"/>
        </w:rPr>
        <w:t>responses</w:t>
      </w:r>
      <w:r>
        <w:rPr>
          <w:rFonts w:ascii="Garamond"/>
          <w:spacing w:val="-4"/>
          <w:sz w:val="24"/>
        </w:rPr>
        <w:t> </w:t>
      </w:r>
      <w:r>
        <w:rPr>
          <w:rFonts w:ascii="Garamond"/>
          <w:sz w:val="24"/>
        </w:rPr>
        <w:t>to</w:t>
      </w:r>
      <w:r>
        <w:rPr>
          <w:rFonts w:ascii="Garamond"/>
          <w:spacing w:val="-1"/>
          <w:sz w:val="24"/>
        </w:rPr>
        <w:t> </w:t>
      </w:r>
      <w:r>
        <w:rPr>
          <w:rFonts w:ascii="Garamond"/>
          <w:sz w:val="24"/>
        </w:rPr>
        <w:t>DoN</w:t>
      </w:r>
      <w:r>
        <w:rPr>
          <w:rFonts w:ascii="Garamond"/>
          <w:spacing w:val="-4"/>
          <w:sz w:val="24"/>
        </w:rPr>
        <w:t> </w:t>
      </w:r>
      <w:r>
        <w:rPr>
          <w:rFonts w:ascii="Garamond"/>
          <w:sz w:val="24"/>
        </w:rPr>
        <w:t>questions,</w:t>
      </w:r>
      <w:r>
        <w:rPr>
          <w:rFonts w:ascii="Garamond"/>
          <w:spacing w:val="-2"/>
          <w:sz w:val="24"/>
        </w:rPr>
        <w:t> </w:t>
      </w:r>
      <w:r>
        <w:rPr>
          <w:rFonts w:ascii="Garamond"/>
          <w:sz w:val="24"/>
        </w:rPr>
        <w:t>the</w:t>
      </w:r>
      <w:r>
        <w:rPr>
          <w:rFonts w:ascii="Garamond"/>
          <w:spacing w:val="-3"/>
          <w:sz w:val="24"/>
        </w:rPr>
        <w:t> </w:t>
      </w:r>
      <w:r>
        <w:rPr>
          <w:rFonts w:ascii="Garamond"/>
          <w:sz w:val="24"/>
        </w:rPr>
        <w:t>applicant</w:t>
      </w:r>
      <w:r>
        <w:rPr>
          <w:rFonts w:ascii="Garamond"/>
          <w:spacing w:val="-4"/>
          <w:sz w:val="24"/>
        </w:rPr>
        <w:t> </w:t>
      </w:r>
      <w:r>
        <w:rPr>
          <w:rFonts w:ascii="Garamond"/>
          <w:sz w:val="24"/>
        </w:rPr>
        <w:t>states</w:t>
      </w:r>
      <w:r>
        <w:rPr>
          <w:rFonts w:ascii="Garamond"/>
          <w:spacing w:val="-4"/>
          <w:sz w:val="24"/>
        </w:rPr>
        <w:t> </w:t>
      </w:r>
      <w:r>
        <w:rPr>
          <w:rFonts w:ascii="Garamond"/>
          <w:sz w:val="24"/>
        </w:rPr>
        <w:t>optimal</w:t>
      </w:r>
      <w:r>
        <w:rPr>
          <w:rFonts w:ascii="Garamond"/>
          <w:spacing w:val="-3"/>
          <w:sz w:val="24"/>
        </w:rPr>
        <w:t> </w:t>
      </w:r>
      <w:r>
        <w:rPr>
          <w:rFonts w:ascii="Garamond"/>
          <w:sz w:val="24"/>
        </w:rPr>
        <w:t>OR</w:t>
      </w:r>
      <w:r>
        <w:rPr>
          <w:rFonts w:ascii="Garamond"/>
          <w:spacing w:val="-2"/>
          <w:sz w:val="24"/>
        </w:rPr>
        <w:t> </w:t>
      </w:r>
      <w:r>
        <w:rPr>
          <w:rFonts w:ascii="Garamond"/>
          <w:sz w:val="24"/>
        </w:rPr>
        <w:t>utilization</w:t>
      </w:r>
      <w:r>
        <w:rPr>
          <w:rFonts w:ascii="Garamond"/>
          <w:spacing w:val="-2"/>
          <w:sz w:val="24"/>
        </w:rPr>
        <w:t> </w:t>
      </w:r>
      <w:r>
        <w:rPr>
          <w:rFonts w:ascii="Garamond"/>
          <w:sz w:val="24"/>
        </w:rPr>
        <w:t>is</w:t>
      </w:r>
      <w:r>
        <w:rPr>
          <w:rFonts w:ascii="Garamond"/>
          <w:spacing w:val="-7"/>
          <w:sz w:val="24"/>
        </w:rPr>
        <w:t> </w:t>
      </w:r>
      <w:r>
        <w:rPr>
          <w:rFonts w:ascii="Garamond"/>
          <w:sz w:val="24"/>
        </w:rPr>
        <w:t>75- 80%, and that utilization higher than 85% to 90% leads to patient delays and staff overtime. The OR at NESC is currently seeing usage of 58-62%, and over the past three years (2017-2019) OR block utilization increased from 60.3% to</w:t>
      </w:r>
      <w:r>
        <w:rPr>
          <w:rFonts w:ascii="Garamond"/>
          <w:spacing w:val="-4"/>
          <w:sz w:val="24"/>
        </w:rPr>
        <w:t> </w:t>
      </w:r>
      <w:r>
        <w:rPr>
          <w:rFonts w:ascii="Garamond"/>
          <w:sz w:val="24"/>
        </w:rPr>
        <w:t>63.5%.</w:t>
      </w:r>
    </w:p>
    <w:p>
      <w:pPr>
        <w:pStyle w:val="ListParagraph"/>
        <w:numPr>
          <w:ilvl w:val="1"/>
          <w:numId w:val="6"/>
        </w:numPr>
        <w:tabs>
          <w:tab w:pos="1659" w:val="left" w:leader="none"/>
          <w:tab w:pos="1660" w:val="left" w:leader="none"/>
        </w:tabs>
        <w:spacing w:line="240" w:lineRule="auto" w:before="0" w:after="0"/>
        <w:ind w:left="1660" w:right="152" w:hanging="360"/>
        <w:jc w:val="left"/>
        <w:rPr>
          <w:rFonts w:ascii="Garamond"/>
          <w:sz w:val="24"/>
        </w:rPr>
      </w:pPr>
      <w:r>
        <w:rPr>
          <w:rFonts w:ascii="Garamond"/>
          <w:sz w:val="24"/>
        </w:rPr>
        <w:t>Explain the need for additional OR capacity when current OR utilization is less than the optimal OR utilization.</w:t>
      </w:r>
    </w:p>
    <w:p>
      <w:pPr>
        <w:pStyle w:val="BodyText"/>
        <w:spacing w:before="10"/>
        <w:rPr>
          <w:rFonts w:ascii="Garamond"/>
          <w:sz w:val="23"/>
        </w:rPr>
      </w:pPr>
    </w:p>
    <w:p>
      <w:pPr>
        <w:spacing w:before="0"/>
        <w:ind w:left="1659" w:right="231" w:firstLine="0"/>
        <w:jc w:val="left"/>
        <w:rPr>
          <w:rFonts w:ascii="Arial"/>
          <w:sz w:val="20"/>
        </w:rPr>
      </w:pPr>
      <w:r>
        <w:rPr>
          <w:rFonts w:ascii="Arial"/>
          <w:sz w:val="20"/>
        </w:rPr>
        <w:t>The application process for additional OR space was started after review of the continued growth pattern over the past three years and the projection of future OR needs with the addition of orthopedic and general surgeons. The increased case load projections were previously supplied in F1.a.i. As of October 31, 2020, the OR utilization increased to 65.7%, even though we had a partial close due to the Covid pandemic. November OR utilization was 73.7%.</w:t>
      </w:r>
    </w:p>
    <w:p>
      <w:pPr>
        <w:pStyle w:val="BodyText"/>
        <w:rPr>
          <w:rFonts w:ascii="Arial"/>
          <w:sz w:val="20"/>
        </w:rPr>
      </w:pPr>
    </w:p>
    <w:p>
      <w:pPr>
        <w:spacing w:before="0"/>
        <w:ind w:left="1660" w:right="231" w:firstLine="0"/>
        <w:jc w:val="left"/>
        <w:rPr>
          <w:rFonts w:ascii="Arial"/>
          <w:sz w:val="20"/>
        </w:rPr>
      </w:pPr>
      <w:r>
        <w:rPr>
          <w:rFonts w:ascii="Arial"/>
          <w:sz w:val="20"/>
        </w:rPr>
        <w:t>Also, C</w:t>
      </w:r>
      <w:r>
        <w:rPr>
          <w:rFonts w:ascii="Arial"/>
          <w:color w:val="364249"/>
          <w:sz w:val="20"/>
        </w:rPr>
        <w:t>MS is finalizing its proposal to transition codes off the inpatient-only list, indicating in the final rule that the list will be eliminated by 2024. CMS is starting with approximately 300 services for removal from the inpatient-only list in 2021. These procedures are primarily musculoskeletal</w:t>
      </w:r>
      <w:hyperlink w:history="true" w:anchor="_bookmark26">
        <w:r>
          <w:rPr>
            <w:rFonts w:ascii="Arial"/>
            <w:color w:val="364249"/>
            <w:sz w:val="20"/>
            <w:vertAlign w:val="superscript"/>
          </w:rPr>
          <w:t>1</w:t>
        </w:r>
        <w:r>
          <w:rPr>
            <w:rFonts w:ascii="Arial"/>
            <w:color w:val="364249"/>
            <w:sz w:val="20"/>
            <w:vertAlign w:val="baseline"/>
          </w:rPr>
          <w:t> </w:t>
        </w:r>
      </w:hyperlink>
      <w:r>
        <w:rPr>
          <w:rFonts w:ascii="Arial"/>
          <w:color w:val="364249"/>
          <w:sz w:val="20"/>
          <w:vertAlign w:val="baseline"/>
        </w:rPr>
        <w:t>and are within the surgical specialty areas provided by the Applicant. As more codes are moved to the outpatient list, the center continues to believe our projections for a second OR are correct.</w:t>
      </w:r>
    </w:p>
    <w:p>
      <w:pPr>
        <w:pStyle w:val="BodyText"/>
        <w:spacing w:before="3"/>
        <w:rPr>
          <w:rFonts w:ascii="Arial"/>
          <w:sz w:val="20"/>
        </w:rPr>
      </w:pPr>
    </w:p>
    <w:p>
      <w:pPr>
        <w:pStyle w:val="ListParagraph"/>
        <w:numPr>
          <w:ilvl w:val="1"/>
          <w:numId w:val="6"/>
        </w:numPr>
        <w:tabs>
          <w:tab w:pos="1660" w:val="left" w:leader="none"/>
        </w:tabs>
        <w:spacing w:line="240" w:lineRule="auto" w:before="0" w:after="0"/>
        <w:ind w:left="1659" w:right="828" w:hanging="360"/>
        <w:jc w:val="left"/>
        <w:rPr>
          <w:rFonts w:ascii="Garamond" w:hAnsi="Garamond"/>
          <w:sz w:val="24"/>
        </w:rPr>
      </w:pPr>
      <w:r>
        <w:rPr>
          <w:rFonts w:ascii="Garamond" w:hAnsi="Garamond"/>
          <w:sz w:val="24"/>
        </w:rPr>
        <w:t>How will the addition of a second OR improve OR utilization and increase access to NESC’s services?</w:t>
      </w:r>
    </w:p>
    <w:p>
      <w:pPr>
        <w:spacing w:line="242" w:lineRule="auto" w:before="197"/>
        <w:ind w:left="1659" w:right="175" w:firstLine="0"/>
        <w:jc w:val="left"/>
        <w:rPr>
          <w:rFonts w:ascii="Arial"/>
          <w:sz w:val="20"/>
        </w:rPr>
      </w:pPr>
      <w:r>
        <w:rPr>
          <w:rFonts w:ascii="Arial"/>
          <w:sz w:val="20"/>
        </w:rPr>
        <w:t>The addition of a second OR will allow the center to provide more optimum OR time and less wait time to patients who require the more complex cases. Since the complex cases taking approximately two hours, we are only able to accommodate four cases per day. An additional OR would allow us to provide access to four additional patients requiring the more complex cases.</w:t>
      </w:r>
    </w:p>
    <w:p>
      <w:pPr>
        <w:spacing w:line="240" w:lineRule="auto" w:before="192"/>
        <w:ind w:left="1659" w:right="428" w:firstLine="0"/>
        <w:jc w:val="left"/>
        <w:rPr>
          <w:rFonts w:ascii="Arial" w:hAnsi="Arial"/>
          <w:sz w:val="20"/>
        </w:rPr>
      </w:pPr>
      <w:r>
        <w:rPr>
          <w:rFonts w:ascii="Arial" w:hAnsi="Arial"/>
          <w:sz w:val="20"/>
        </w:rPr>
        <w:t>Due to the pandemic, the time between cases has had to be increased to provide for adequate air exchanges. With this additional time and as previously mentioned, the addition of cases approved by CMS to be added to the outpatient list, the second OR will be necessary to improve OR utilization and provide more patients access to NESC’s services.</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sz w:val="24"/>
        </w:rPr>
      </w:pPr>
      <w:r>
        <w:rPr/>
        <w:pict>
          <v:rect style="position:absolute;margin-left:36pt;margin-top:15.948906pt;width:144pt;height:.72pt;mso-position-horizontal-relative:page;mso-position-vertical-relative:paragraph;z-index:-15723008;mso-wrap-distance-left:0;mso-wrap-distance-right:0" filled="true" fillcolor="#000000" stroked="false">
            <v:fill type="solid"/>
            <w10:wrap type="topAndBottom"/>
          </v:rect>
        </w:pict>
      </w:r>
    </w:p>
    <w:p>
      <w:pPr>
        <w:spacing w:line="243" w:lineRule="exact" w:before="73"/>
        <w:ind w:left="82" w:right="2476" w:firstLine="0"/>
        <w:jc w:val="center"/>
        <w:rPr>
          <w:sz w:val="20"/>
        </w:rPr>
      </w:pPr>
      <w:bookmarkStart w:name="_bookmark26" w:id="40"/>
      <w:bookmarkEnd w:id="40"/>
      <w:r>
        <w:rPr/>
      </w:r>
      <w:r>
        <w:rPr>
          <w:sz w:val="20"/>
          <w:vertAlign w:val="superscript"/>
        </w:rPr>
        <w:t>1</w:t>
      </w:r>
      <w:r>
        <w:rPr>
          <w:sz w:val="20"/>
          <w:vertAlign w:val="baseline"/>
        </w:rPr>
        <w:t> Ambulatory Surgery Center Association; Elimination of Inpatient-only List by 2024; December 2, 2020</w:t>
      </w:r>
    </w:p>
    <w:p>
      <w:pPr>
        <w:pStyle w:val="BodyText"/>
        <w:spacing w:line="268" w:lineRule="exact"/>
        <w:ind w:left="81"/>
        <w:jc w:val="center"/>
      </w:pPr>
      <w:r>
        <w:rPr>
          <w:w w:val="100"/>
        </w:rPr>
        <w:t>1</w:t>
      </w:r>
    </w:p>
    <w:p>
      <w:pPr>
        <w:spacing w:after="0" w:line="268" w:lineRule="exact"/>
        <w:jc w:val="center"/>
        <w:sectPr>
          <w:pgSz w:w="12240" w:h="15840"/>
          <w:pgMar w:top="640" w:bottom="280" w:left="500" w:right="580"/>
        </w:sectPr>
      </w:pPr>
    </w:p>
    <w:p>
      <w:pPr>
        <w:pStyle w:val="Heading1"/>
        <w:ind w:left="77"/>
      </w:pPr>
      <w:bookmarkStart w:name="2016 Cost Trends Hearing Exhibits and Qu" w:id="41"/>
      <w:bookmarkEnd w:id="41"/>
      <w:r>
        <w:rPr>
          <w:b w:val="0"/>
        </w:rPr>
      </w:r>
      <w:r>
        <w:rPr>
          <w:color w:val="1F487C"/>
        </w:rPr>
        <w:t>Exhibit A: Notice of Public Hearing</w:t>
      </w:r>
    </w:p>
    <w:p>
      <w:pPr>
        <w:spacing w:before="264"/>
        <w:ind w:left="220" w:right="139" w:firstLine="0"/>
        <w:jc w:val="both"/>
        <w:rPr>
          <w:rFonts w:ascii="Times New Roman" w:hAnsi="Times New Roman"/>
          <w:sz w:val="24"/>
        </w:rPr>
      </w:pPr>
      <w:r>
        <w:rPr>
          <w:rFonts w:ascii="Times New Roman" w:hAnsi="Times New Roman"/>
          <w:sz w:val="24"/>
        </w:rPr>
        <w:t>Pursuant to M.G.L. c. 6D, § 8, the Massachusetts Health Policy Commission, in collaboration with the Office of the Attorney General and the Center for Health Information and Analysis, will hold a public hearing on health care cost trends. The Hearing will examine health care provider, provider organization and private and public health care payer costs, prices and cost trends, with particular attention to factors that contribute to cost growth within the Commonwealth’s health care system.</w:t>
      </w:r>
    </w:p>
    <w:p>
      <w:pPr>
        <w:pStyle w:val="BodyText"/>
        <w:rPr>
          <w:rFonts w:ascii="Times New Roman"/>
          <w:sz w:val="24"/>
        </w:rPr>
      </w:pPr>
    </w:p>
    <w:p>
      <w:pPr>
        <w:spacing w:before="1"/>
        <w:ind w:left="220" w:right="0" w:firstLine="0"/>
        <w:jc w:val="both"/>
        <w:rPr>
          <w:rFonts w:ascii="Times New Roman"/>
          <w:sz w:val="24"/>
        </w:rPr>
      </w:pPr>
      <w:r>
        <w:rPr>
          <w:rFonts w:ascii="Times New Roman"/>
          <w:sz w:val="24"/>
        </w:rPr>
        <w:t>Scheduled Hearing dates and location:</w:t>
      </w:r>
    </w:p>
    <w:p>
      <w:pPr>
        <w:pStyle w:val="BodyText"/>
        <w:spacing w:before="4"/>
        <w:rPr>
          <w:rFonts w:ascii="Times New Roman"/>
          <w:sz w:val="24"/>
        </w:rPr>
      </w:pPr>
    </w:p>
    <w:p>
      <w:pPr>
        <w:spacing w:before="0"/>
        <w:ind w:left="78" w:right="0" w:firstLine="0"/>
        <w:jc w:val="center"/>
        <w:rPr>
          <w:rFonts w:ascii="Times New Roman"/>
          <w:b/>
          <w:sz w:val="24"/>
        </w:rPr>
      </w:pPr>
      <w:r>
        <w:rPr>
          <w:rFonts w:ascii="Times New Roman"/>
          <w:b/>
          <w:sz w:val="24"/>
        </w:rPr>
        <w:t>Monday, October 17, 2016, 9:00 AM</w:t>
      </w:r>
    </w:p>
    <w:p>
      <w:pPr>
        <w:spacing w:before="1"/>
        <w:ind w:left="3745" w:right="3667" w:firstLine="0"/>
        <w:jc w:val="center"/>
        <w:rPr>
          <w:rFonts w:ascii="Times New Roman"/>
          <w:b/>
          <w:sz w:val="24"/>
        </w:rPr>
      </w:pPr>
      <w:r>
        <w:rPr>
          <w:rFonts w:ascii="Times New Roman"/>
          <w:b/>
          <w:sz w:val="24"/>
        </w:rPr>
        <w:t>Tuesday, October 18, 2016, 9:00 AM Suffolk University Law School</w:t>
      </w:r>
    </w:p>
    <w:p>
      <w:pPr>
        <w:pStyle w:val="Heading3"/>
        <w:ind w:left="80"/>
        <w:rPr>
          <w:rFonts w:ascii="Times New Roman"/>
        </w:rPr>
      </w:pPr>
      <w:r>
        <w:rPr>
          <w:rFonts w:ascii="Times New Roman"/>
        </w:rPr>
        <w:t>First Floor Function Room</w:t>
      </w:r>
    </w:p>
    <w:p>
      <w:pPr>
        <w:spacing w:before="0"/>
        <w:ind w:left="77" w:right="0" w:firstLine="0"/>
        <w:jc w:val="center"/>
        <w:rPr>
          <w:rFonts w:ascii="Times New Roman"/>
          <w:b/>
          <w:sz w:val="24"/>
        </w:rPr>
      </w:pPr>
      <w:r>
        <w:rPr>
          <w:rFonts w:ascii="Times New Roman"/>
          <w:b/>
          <w:sz w:val="24"/>
        </w:rPr>
        <w:t>120 Tremont Street, Boston, MA 02108</w:t>
      </w:r>
    </w:p>
    <w:p>
      <w:pPr>
        <w:pStyle w:val="BodyText"/>
        <w:spacing w:before="6"/>
        <w:rPr>
          <w:rFonts w:ascii="Times New Roman"/>
          <w:b/>
          <w:sz w:val="23"/>
        </w:rPr>
      </w:pPr>
    </w:p>
    <w:p>
      <w:pPr>
        <w:spacing w:before="0"/>
        <w:ind w:left="219" w:right="136" w:firstLine="0"/>
        <w:jc w:val="both"/>
        <w:rPr>
          <w:rFonts w:ascii="Times New Roman"/>
          <w:sz w:val="24"/>
        </w:rPr>
      </w:pPr>
      <w:r>
        <w:rPr>
          <w:rFonts w:ascii="Times New Roman"/>
          <w:sz w:val="24"/>
        </w:rPr>
        <w:t>Time-permitting, the HPC will accept oral testimony from members of the public beginning at 4:00 PM on Tuesday, October 18. Any person who wishes to testify may sign up on a first-come, first-served basis when  the Hearing commences on October</w:t>
      </w:r>
      <w:r>
        <w:rPr>
          <w:rFonts w:ascii="Times New Roman"/>
          <w:spacing w:val="-1"/>
          <w:sz w:val="24"/>
        </w:rPr>
        <w:t> </w:t>
      </w:r>
      <w:r>
        <w:rPr>
          <w:rFonts w:ascii="Times New Roman"/>
          <w:sz w:val="24"/>
        </w:rPr>
        <w:t>17.</w:t>
      </w:r>
    </w:p>
    <w:p>
      <w:pPr>
        <w:pStyle w:val="BodyText"/>
        <w:rPr>
          <w:rFonts w:ascii="Times New Roman"/>
          <w:sz w:val="24"/>
        </w:rPr>
      </w:pPr>
    </w:p>
    <w:p>
      <w:pPr>
        <w:spacing w:before="0"/>
        <w:ind w:left="219" w:right="134" w:firstLine="0"/>
        <w:jc w:val="both"/>
        <w:rPr>
          <w:rFonts w:ascii="Times New Roman"/>
          <w:sz w:val="24"/>
        </w:rPr>
      </w:pPr>
      <w:r>
        <w:rPr>
          <w:rFonts w:ascii="Times New Roman"/>
          <w:sz w:val="24"/>
        </w:rPr>
        <w:t>Members of the public may also submit written testimony. Written comments will be accepted until October 21, 2016, and should be submitted electronically to </w:t>
      </w:r>
      <w:hyperlink r:id="rId13">
        <w:r>
          <w:rPr>
            <w:rFonts w:ascii="Times New Roman"/>
            <w:color w:val="0000FF"/>
            <w:sz w:val="24"/>
            <w:u w:val="single" w:color="0000FF"/>
          </w:rPr>
          <w:t>HPC-Testimony@state.ma.us</w:t>
        </w:r>
      </w:hyperlink>
      <w:r>
        <w:rPr>
          <w:rFonts w:ascii="Times New Roman"/>
          <w:sz w:val="24"/>
        </w:rPr>
        <w:t>, or, if comments cannot be submitted electronically, sent by mail, post-marked no later than October 21, 2016, to the Massachusetts Health Policy Commission, 50 Milk Street, 8</w:t>
      </w:r>
      <w:r>
        <w:rPr>
          <w:rFonts w:ascii="Times New Roman"/>
          <w:sz w:val="24"/>
          <w:vertAlign w:val="superscript"/>
        </w:rPr>
        <w:t>th</w:t>
      </w:r>
      <w:r>
        <w:rPr>
          <w:rFonts w:ascii="Times New Roman"/>
          <w:sz w:val="24"/>
          <w:vertAlign w:val="baseline"/>
        </w:rPr>
        <w:t> Floor, Boston, MA 02109, attention Lois H. Johnson, General Counsel.</w:t>
      </w:r>
    </w:p>
    <w:p>
      <w:pPr>
        <w:pStyle w:val="BodyText"/>
        <w:rPr>
          <w:rFonts w:ascii="Times New Roman"/>
          <w:sz w:val="24"/>
        </w:rPr>
      </w:pPr>
    </w:p>
    <w:p>
      <w:pPr>
        <w:spacing w:before="1"/>
        <w:ind w:left="220" w:right="140" w:firstLine="0"/>
        <w:jc w:val="both"/>
        <w:rPr>
          <w:rFonts w:ascii="Times New Roman" w:hAnsi="Times New Roman"/>
          <w:sz w:val="24"/>
        </w:rPr>
      </w:pPr>
      <w:r>
        <w:rPr>
          <w:rFonts w:ascii="Times New Roman" w:hAnsi="Times New Roman"/>
          <w:sz w:val="24"/>
        </w:rPr>
        <w:t>Please note that all written and oral testimony provided by witnesses or the public may be posted on the HPC’s website: </w:t>
      </w:r>
      <w:hyperlink r:id="rId14">
        <w:r>
          <w:rPr>
            <w:rFonts w:ascii="Times New Roman" w:hAnsi="Times New Roman"/>
            <w:color w:val="0000FF"/>
            <w:sz w:val="24"/>
            <w:u w:val="single" w:color="0000FF"/>
          </w:rPr>
          <w:t>www.mass.gov/hpc</w:t>
        </w:r>
        <w:r>
          <w:rPr>
            <w:rFonts w:ascii="Times New Roman" w:hAnsi="Times New Roman"/>
            <w:sz w:val="24"/>
          </w:rPr>
          <w:t>.</w:t>
        </w:r>
      </w:hyperlink>
    </w:p>
    <w:p>
      <w:pPr>
        <w:pStyle w:val="BodyText"/>
        <w:spacing w:before="2"/>
        <w:rPr>
          <w:rFonts w:ascii="Times New Roman"/>
          <w:sz w:val="16"/>
        </w:rPr>
      </w:pPr>
    </w:p>
    <w:p>
      <w:pPr>
        <w:spacing w:before="90"/>
        <w:ind w:left="219" w:right="138" w:firstLine="0"/>
        <w:jc w:val="both"/>
        <w:rPr>
          <w:rFonts w:ascii="Times New Roman"/>
          <w:sz w:val="24"/>
        </w:rPr>
      </w:pPr>
      <w:r>
        <w:rPr>
          <w:rFonts w:ascii="Times New Roman"/>
          <w:sz w:val="24"/>
        </w:rPr>
        <w:t>The HPC encourages all interested parties to attend the Hearing. For driving and public transportation directions, please visit: </w:t>
      </w:r>
      <w:hyperlink r:id="rId15">
        <w:r>
          <w:rPr>
            <w:rFonts w:ascii="Times New Roman"/>
            <w:color w:val="0000FF"/>
            <w:sz w:val="24"/>
            <w:u w:val="single" w:color="0000FF"/>
          </w:rPr>
          <w:t>http://www.suffolk.edu/law/explore/6629.php</w:t>
        </w:r>
        <w:r>
          <w:rPr>
            <w:rFonts w:ascii="Times New Roman"/>
            <w:sz w:val="24"/>
          </w:rPr>
          <w:t>. </w:t>
        </w:r>
      </w:hyperlink>
      <w:r>
        <w:rPr>
          <w:rFonts w:ascii="Times New Roman"/>
          <w:sz w:val="24"/>
        </w:rPr>
        <w:t>Suffolk University Law School is located diagonally across from the Park Street MBTA station (Red and Green lines). Parking is not available at  Suffolk, but information about nearby garages is listed at the link</w:t>
      </w:r>
      <w:r>
        <w:rPr>
          <w:rFonts w:ascii="Times New Roman"/>
          <w:spacing w:val="-6"/>
          <w:sz w:val="24"/>
        </w:rPr>
        <w:t> </w:t>
      </w:r>
      <w:r>
        <w:rPr>
          <w:rFonts w:ascii="Times New Roman"/>
          <w:sz w:val="24"/>
        </w:rPr>
        <w:t>provided.</w:t>
      </w:r>
    </w:p>
    <w:p>
      <w:pPr>
        <w:pStyle w:val="BodyText"/>
        <w:rPr>
          <w:rFonts w:ascii="Times New Roman"/>
          <w:sz w:val="24"/>
        </w:rPr>
      </w:pPr>
    </w:p>
    <w:p>
      <w:pPr>
        <w:spacing w:before="0"/>
        <w:ind w:left="220" w:right="138" w:firstLine="0"/>
        <w:jc w:val="both"/>
        <w:rPr>
          <w:rFonts w:ascii="Times New Roman"/>
          <w:sz w:val="24"/>
        </w:rPr>
      </w:pPr>
      <w:r>
        <w:rPr>
          <w:rFonts w:ascii="Times New Roman"/>
          <w:sz w:val="24"/>
        </w:rPr>
        <w:t>If you require disability-related accommodations for this Hearing, please contact Kelly Mercer at (617) 979- 1420 or by email </w:t>
      </w:r>
      <w:hyperlink r:id="rId16">
        <w:r>
          <w:rPr>
            <w:rFonts w:ascii="Times New Roman"/>
            <w:color w:val="0000FF"/>
            <w:sz w:val="24"/>
            <w:u w:val="single" w:color="0000FF"/>
          </w:rPr>
          <w:t>Kelly.A.Mercer@state.ma.us</w:t>
        </w:r>
        <w:r>
          <w:rPr>
            <w:rFonts w:ascii="Times New Roman"/>
            <w:color w:val="0000FF"/>
            <w:sz w:val="24"/>
          </w:rPr>
          <w:t> </w:t>
        </w:r>
      </w:hyperlink>
      <w:r>
        <w:rPr>
          <w:rFonts w:ascii="Times New Roman"/>
          <w:sz w:val="24"/>
        </w:rPr>
        <w:t>a minimum of two (2) weeks prior to the Hearing so that we can accommodate your request.</w:t>
      </w:r>
    </w:p>
    <w:p>
      <w:pPr>
        <w:pStyle w:val="BodyText"/>
        <w:rPr>
          <w:rFonts w:ascii="Times New Roman"/>
          <w:sz w:val="24"/>
        </w:rPr>
      </w:pPr>
    </w:p>
    <w:p>
      <w:pPr>
        <w:spacing w:before="0"/>
        <w:ind w:left="220" w:right="136" w:firstLine="0"/>
        <w:jc w:val="both"/>
        <w:rPr>
          <w:rFonts w:ascii="Times New Roman" w:hAnsi="Times New Roman"/>
          <w:sz w:val="24"/>
        </w:rPr>
      </w:pPr>
      <w:r>
        <w:rPr>
          <w:rFonts w:ascii="Times New Roman" w:hAnsi="Times New Roman"/>
          <w:sz w:val="24"/>
        </w:rPr>
        <w:t>For more information, including details about the agenda, expert and market participant panelists, testimony and presentations, please check the Hearing section of the HPC’s website, </w:t>
      </w:r>
      <w:hyperlink r:id="rId14">
        <w:r>
          <w:rPr>
            <w:rFonts w:ascii="Times New Roman" w:hAnsi="Times New Roman"/>
            <w:color w:val="0000FF"/>
            <w:sz w:val="24"/>
            <w:u w:val="single" w:color="0000FF"/>
          </w:rPr>
          <w:t>www.mass.gov/hpc</w:t>
        </w:r>
        <w:r>
          <w:rPr>
            <w:rFonts w:ascii="Times New Roman" w:hAnsi="Times New Roman"/>
            <w:sz w:val="24"/>
          </w:rPr>
          <w:t>.</w:t>
        </w:r>
      </w:hyperlink>
      <w:r>
        <w:rPr>
          <w:rFonts w:ascii="Times New Roman" w:hAnsi="Times New Roman"/>
          <w:sz w:val="24"/>
        </w:rPr>
        <w:t> Materials will be posted regularly as the Hearing dates approach.</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9"/>
        </w:rPr>
      </w:pPr>
    </w:p>
    <w:p>
      <w:pPr>
        <w:spacing w:before="99"/>
        <w:ind w:left="0" w:right="138" w:firstLine="0"/>
        <w:jc w:val="right"/>
        <w:rPr>
          <w:rFonts w:ascii="Century Gothic"/>
          <w:sz w:val="20"/>
        </w:rPr>
      </w:pPr>
      <w:r>
        <w:rPr>
          <w:rFonts w:ascii="Century Gothic"/>
          <w:sz w:val="20"/>
        </w:rPr>
        <w:t>2016 Pre-Filed Testimony - 1</w:t>
      </w:r>
    </w:p>
    <w:p>
      <w:pPr>
        <w:spacing w:after="0"/>
        <w:jc w:val="right"/>
        <w:rPr>
          <w:rFonts w:ascii="Century Gothic"/>
          <w:sz w:val="20"/>
        </w:rPr>
        <w:sectPr>
          <w:pgSz w:w="12240" w:h="15840"/>
          <w:pgMar w:top="920" w:bottom="280" w:left="500" w:right="580"/>
        </w:sectPr>
      </w:pPr>
    </w:p>
    <w:p>
      <w:pPr>
        <w:pStyle w:val="Heading1"/>
        <w:ind w:left="891"/>
        <w:jc w:val="left"/>
      </w:pPr>
      <w:r>
        <w:rPr>
          <w:color w:val="1F487C"/>
        </w:rPr>
        <w:t>Exhibit B: Instructions and HPC Questions for Written Testimony</w:t>
      </w:r>
    </w:p>
    <w:p>
      <w:pPr>
        <w:spacing w:before="264"/>
        <w:ind w:left="220" w:right="175" w:firstLine="0"/>
        <w:jc w:val="left"/>
        <w:rPr>
          <w:rFonts w:ascii="Times New Roman"/>
          <w:sz w:val="24"/>
        </w:rPr>
      </w:pPr>
      <w:r>
        <w:rPr>
          <w:rFonts w:ascii="Times New Roman"/>
          <w:sz w:val="24"/>
        </w:rPr>
        <w:t>On or before the close of business on </w:t>
      </w:r>
      <w:r>
        <w:rPr>
          <w:rFonts w:ascii="Times New Roman"/>
          <w:b/>
          <w:sz w:val="24"/>
        </w:rPr>
        <w:t>September 2, 2016</w:t>
      </w:r>
      <w:r>
        <w:rPr>
          <w:rFonts w:ascii="Times New Roman"/>
          <w:sz w:val="24"/>
        </w:rPr>
        <w:t>, please electronically submit written testimony signed under the pains and penalties of perjury to: </w:t>
      </w:r>
      <w:hyperlink r:id="rId13">
        <w:r>
          <w:rPr>
            <w:rFonts w:ascii="Times New Roman"/>
            <w:color w:val="0000FF"/>
            <w:sz w:val="24"/>
            <w:u w:val="single" w:color="0000FF"/>
          </w:rPr>
          <w:t>HPC-Testimony@state.ma.us</w:t>
        </w:r>
        <w:r>
          <w:rPr>
            <w:rFonts w:ascii="Times New Roman"/>
            <w:sz w:val="24"/>
          </w:rPr>
          <w:t>.</w:t>
        </w:r>
      </w:hyperlink>
    </w:p>
    <w:p>
      <w:pPr>
        <w:pStyle w:val="BodyText"/>
        <w:spacing w:before="3"/>
        <w:rPr>
          <w:rFonts w:ascii="Times New Roman"/>
          <w:sz w:val="16"/>
        </w:rPr>
      </w:pPr>
    </w:p>
    <w:p>
      <w:pPr>
        <w:spacing w:before="90"/>
        <w:ind w:left="220" w:right="135" w:firstLine="0"/>
        <w:jc w:val="left"/>
        <w:rPr>
          <w:rFonts w:ascii="Times New Roman"/>
          <w:sz w:val="24"/>
        </w:rPr>
      </w:pPr>
      <w:r>
        <w:rPr>
          <w:rFonts w:ascii="Times New Roman"/>
          <w:sz w:val="24"/>
        </w:rPr>
        <w:t>You may expect to receive the questions and exhibits as an attachment from </w:t>
      </w:r>
      <w:hyperlink r:id="rId13">
        <w:r>
          <w:rPr>
            <w:rFonts w:ascii="Times New Roman"/>
            <w:color w:val="0000FF"/>
            <w:sz w:val="24"/>
            <w:u w:val="single" w:color="0000FF"/>
          </w:rPr>
          <w:t>HPC-Testimony@state.ma.us</w:t>
        </w:r>
        <w:r>
          <w:rPr>
            <w:rFonts w:ascii="Times New Roman"/>
            <w:sz w:val="24"/>
          </w:rPr>
          <w:t>.</w:t>
        </w:r>
      </w:hyperlink>
      <w:r>
        <w:rPr>
          <w:rFonts w:ascii="Times New Roman"/>
          <w:sz w:val="24"/>
        </w:rPr>
        <w:t> Please complete relevant responses in the provided template. If necessary, you may include additional supporting testimony or documentation in an Appendix. Please submit any data tables included in your response in Microsoft Excel or Access format.</w:t>
      </w:r>
    </w:p>
    <w:p>
      <w:pPr>
        <w:pStyle w:val="BodyText"/>
        <w:spacing w:before="11"/>
        <w:rPr>
          <w:rFonts w:ascii="Times New Roman"/>
          <w:sz w:val="23"/>
        </w:rPr>
      </w:pPr>
    </w:p>
    <w:p>
      <w:pPr>
        <w:spacing w:line="242" w:lineRule="auto" w:before="0"/>
        <w:ind w:left="219" w:right="157" w:firstLine="0"/>
        <w:jc w:val="left"/>
        <w:rPr>
          <w:rFonts w:ascii="Times New Roman" w:hAnsi="Times New Roman"/>
          <w:b/>
          <w:sz w:val="24"/>
        </w:rPr>
      </w:pPr>
      <w:r>
        <w:rPr>
          <w:rFonts w:ascii="Times New Roman" w:hAnsi="Times New Roman"/>
          <w:sz w:val="24"/>
        </w:rPr>
        <w:t>We encourage you to refer to and build upon your organization’s 2013, 2014, and/or 2015 Pre-Filed Testimony responses, if applicable. Additionally, if there is a point that is relevant to more than one question, please state it only once and make an internal reference. </w:t>
      </w:r>
      <w:r>
        <w:rPr>
          <w:rFonts w:ascii="Times New Roman" w:hAnsi="Times New Roman"/>
          <w:b/>
          <w:sz w:val="24"/>
        </w:rPr>
        <w:t>If a question is not applicable to your organization, please indicate so in your response.</w:t>
      </w:r>
    </w:p>
    <w:p>
      <w:pPr>
        <w:pStyle w:val="BodyText"/>
        <w:spacing w:before="1"/>
        <w:rPr>
          <w:rFonts w:ascii="Times New Roman"/>
          <w:b/>
          <w:sz w:val="23"/>
        </w:rPr>
      </w:pPr>
    </w:p>
    <w:p>
      <w:pPr>
        <w:spacing w:before="0"/>
        <w:ind w:left="219" w:right="247" w:firstLine="0"/>
        <w:jc w:val="both"/>
        <w:rPr>
          <w:rFonts w:ascii="Times New Roman"/>
          <w:sz w:val="24"/>
        </w:rPr>
      </w:pPr>
      <w:r>
        <w:rPr>
          <w:rFonts w:ascii="Times New Roman"/>
          <w:sz w:val="24"/>
        </w:rPr>
        <w:t>The testimony must contain a statement from a signatory that is legally authorized and empowered to represent the named organization for the purposes of this testimony. The statement must note that the testimony is signed under the pains and penalties of perjury. An electronic signature will be sufficient for this submission.</w:t>
      </w:r>
    </w:p>
    <w:p>
      <w:pPr>
        <w:pStyle w:val="BodyText"/>
        <w:rPr>
          <w:rFonts w:ascii="Times New Roman"/>
          <w:sz w:val="24"/>
        </w:rPr>
      </w:pPr>
    </w:p>
    <w:p>
      <w:pPr>
        <w:spacing w:before="0"/>
        <w:ind w:left="219" w:right="775" w:firstLine="0"/>
        <w:jc w:val="left"/>
        <w:rPr>
          <w:rFonts w:ascii="Times New Roman"/>
          <w:sz w:val="24"/>
        </w:rPr>
      </w:pPr>
      <w:r>
        <w:rPr>
          <w:rFonts w:ascii="Times New Roman"/>
          <w:sz w:val="24"/>
        </w:rPr>
        <w:t>If you have any difficulty with the Microsoft Word template, did not receive the email, or have any other questions regarding the Pre-Filed Testimony process or the questions, please contact HPC staff at </w:t>
      </w:r>
      <w:hyperlink r:id="rId13">
        <w:r>
          <w:rPr>
            <w:rFonts w:ascii="Times New Roman"/>
            <w:color w:val="0000FF"/>
            <w:sz w:val="24"/>
            <w:u w:val="single" w:color="0000FF"/>
          </w:rPr>
          <w:t>HPC-</w:t>
        </w:r>
      </w:hyperlink>
      <w:r>
        <w:rPr>
          <w:rFonts w:ascii="Times New Roman"/>
          <w:color w:val="0000FF"/>
          <w:sz w:val="24"/>
        </w:rPr>
        <w:t> </w:t>
      </w:r>
      <w:hyperlink r:id="rId13">
        <w:r>
          <w:rPr>
            <w:rFonts w:ascii="Times New Roman"/>
            <w:color w:val="0000FF"/>
            <w:sz w:val="24"/>
            <w:u w:val="single" w:color="0000FF"/>
          </w:rPr>
          <w:t>Testimony@state.ma.us</w:t>
        </w:r>
        <w:r>
          <w:rPr>
            <w:rFonts w:ascii="Times New Roman"/>
            <w:color w:val="0000FF"/>
            <w:sz w:val="24"/>
          </w:rPr>
          <w:t> </w:t>
        </w:r>
      </w:hyperlink>
      <w:r>
        <w:rPr>
          <w:rFonts w:ascii="Times New Roman"/>
          <w:sz w:val="24"/>
        </w:rPr>
        <w:t>or (617) 979-1400. For inquires related to questions required by the Office of the Attorney General in Exhibit C, please contact Assistant Attorney General Emily Gabrault at </w:t>
      </w:r>
      <w:hyperlink r:id="rId17">
        <w:r>
          <w:rPr>
            <w:rFonts w:ascii="Times New Roman"/>
            <w:color w:val="0000FF"/>
            <w:sz w:val="24"/>
            <w:u w:val="single" w:color="0000FF"/>
          </w:rPr>
          <w:t>Emily.gabrault@state.ma.us</w:t>
        </w:r>
        <w:r>
          <w:rPr>
            <w:rFonts w:ascii="Times New Roman"/>
            <w:color w:val="0000FF"/>
            <w:sz w:val="24"/>
          </w:rPr>
          <w:t> </w:t>
        </w:r>
      </w:hyperlink>
      <w:r>
        <w:rPr>
          <w:rFonts w:ascii="Times New Roman"/>
          <w:sz w:val="24"/>
        </w:rPr>
        <w:t>or (617) 963-2636.</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1"/>
        </w:rPr>
      </w:pPr>
    </w:p>
    <w:p>
      <w:pPr>
        <w:spacing w:before="0"/>
        <w:ind w:left="0" w:right="138" w:firstLine="0"/>
        <w:jc w:val="right"/>
        <w:rPr>
          <w:rFonts w:ascii="Century Gothic"/>
          <w:sz w:val="20"/>
        </w:rPr>
      </w:pPr>
      <w:r>
        <w:rPr>
          <w:rFonts w:ascii="Century Gothic"/>
          <w:sz w:val="20"/>
        </w:rPr>
        <w:t>2016 Pre-Filed Testimony - 2</w:t>
      </w:r>
    </w:p>
    <w:p>
      <w:pPr>
        <w:spacing w:after="0"/>
        <w:jc w:val="right"/>
        <w:rPr>
          <w:rFonts w:ascii="Century Gothic"/>
          <w:sz w:val="20"/>
        </w:rPr>
        <w:sectPr>
          <w:pgSz w:w="12240" w:h="15840"/>
          <w:pgMar w:top="920" w:bottom="280" w:left="500" w:right="580"/>
        </w:sectPr>
      </w:pPr>
    </w:p>
    <w:p>
      <w:pPr>
        <w:pStyle w:val="BodyText"/>
        <w:ind w:left="220"/>
        <w:rPr>
          <w:rFonts w:ascii="Century Gothic"/>
          <w:sz w:val="20"/>
        </w:rPr>
      </w:pPr>
      <w:r>
        <w:rPr>
          <w:rFonts w:ascii="Century Gothic"/>
          <w:sz w:val="20"/>
        </w:rPr>
        <w:pict>
          <v:shape style="width:540pt;height:117pt;mso-position-horizontal-relative:char;mso-position-vertical-relative:line" type="#_x0000_t202" filled="true" fillcolor="#dbedf4" stroked="false">
            <w10:anchorlock/>
            <v:textbox inset="0,0,0,0">
              <w:txbxContent>
                <w:p>
                  <w:pPr>
                    <w:pStyle w:val="BodyText"/>
                    <w:spacing w:before="93"/>
                    <w:ind w:left="163" w:right="215"/>
                    <w:rPr>
                      <w:rFonts w:ascii="Century Gothic"/>
                    </w:rPr>
                  </w:pPr>
                  <w:r>
                    <w:rPr>
                      <w:rFonts w:ascii="Century Gothic"/>
                    </w:rPr>
                    <w:t>On or before the close of business on </w:t>
                  </w:r>
                  <w:r>
                    <w:rPr>
                      <w:rFonts w:ascii="Century Gothic"/>
                      <w:b/>
                    </w:rPr>
                    <w:t>September 2, 2016</w:t>
                  </w:r>
                  <w:r>
                    <w:rPr>
                      <w:rFonts w:ascii="Century Gothic"/>
                    </w:rPr>
                    <w:t>, please electronically submit written testimony signed under the pains and penalties of perjury to: </w:t>
                  </w:r>
                  <w:hyperlink r:id="rId13">
                    <w:r>
                      <w:rPr>
                        <w:rFonts w:ascii="Century Gothic"/>
                        <w:color w:val="0000FF"/>
                        <w:u w:val="single" w:color="0000FF"/>
                      </w:rPr>
                      <w:t>HPC-Testimony@state.ma.us</w:t>
                    </w:r>
                  </w:hyperlink>
                  <w:r>
                    <w:rPr>
                      <w:rFonts w:ascii="Century Gothic"/>
                    </w:rPr>
                    <w:t>. Please complete relevant responses in the provided template. If necessary, you may include additional supporting testimony or documentation in an Appendix. Please submit any data tables included in your response in Microsoft Excel or Access format. If there is a point that is relevant to more than one question, please state it only once and make an internal reference.</w:t>
                  </w:r>
                </w:p>
                <w:p>
                  <w:pPr>
                    <w:pStyle w:val="BodyText"/>
                    <w:rPr>
                      <w:rFonts w:ascii="Century Gothic"/>
                    </w:rPr>
                  </w:pPr>
                </w:p>
                <w:p>
                  <w:pPr>
                    <w:spacing w:before="0"/>
                    <w:ind w:left="163" w:right="0" w:firstLine="0"/>
                    <w:jc w:val="left"/>
                    <w:rPr>
                      <w:rFonts w:ascii="Century Gothic"/>
                      <w:b/>
                      <w:sz w:val="22"/>
                    </w:rPr>
                  </w:pPr>
                  <w:r>
                    <w:rPr>
                      <w:rFonts w:ascii="Century Gothic"/>
                      <w:b/>
                      <w:sz w:val="22"/>
                    </w:rPr>
                    <w:t>If a question is not applicable to your organization, please indicate so in your response.</w:t>
                  </w:r>
                </w:p>
              </w:txbxContent>
            </v:textbox>
            <v:fill type="solid"/>
          </v:shape>
        </w:pict>
      </w:r>
      <w:r>
        <w:rPr>
          <w:rFonts w:ascii="Century Gothic"/>
          <w:sz w:val="20"/>
        </w:rPr>
      </w:r>
    </w:p>
    <w:p>
      <w:pPr>
        <w:pStyle w:val="BodyText"/>
        <w:rPr>
          <w:rFonts w:ascii="Century Gothic"/>
          <w:sz w:val="20"/>
        </w:rPr>
      </w:pPr>
    </w:p>
    <w:p>
      <w:pPr>
        <w:pStyle w:val="BodyText"/>
        <w:spacing w:before="6"/>
        <w:rPr>
          <w:rFonts w:ascii="Century Gothic"/>
          <w:sz w:val="15"/>
        </w:rPr>
      </w:pPr>
    </w:p>
    <w:p>
      <w:pPr>
        <w:pStyle w:val="ListParagraph"/>
        <w:numPr>
          <w:ilvl w:val="0"/>
          <w:numId w:val="7"/>
        </w:numPr>
        <w:tabs>
          <w:tab w:pos="580" w:val="left" w:leader="none"/>
        </w:tabs>
        <w:spacing w:line="291" w:lineRule="exact" w:before="100" w:after="0"/>
        <w:ind w:left="580" w:right="0" w:hanging="360"/>
        <w:jc w:val="left"/>
        <w:rPr>
          <w:b/>
          <w:sz w:val="24"/>
        </w:rPr>
      </w:pPr>
      <w:r>
        <w:rPr>
          <w:rFonts w:ascii="Century Gothic"/>
          <w:b/>
          <w:color w:val="1F487C"/>
          <w:sz w:val="24"/>
        </w:rPr>
        <w:t>Strategies to Address Health Care Cost</w:t>
      </w:r>
      <w:r>
        <w:rPr>
          <w:rFonts w:ascii="Century Gothic"/>
          <w:b/>
          <w:color w:val="1F487C"/>
          <w:spacing w:val="-2"/>
          <w:sz w:val="24"/>
        </w:rPr>
        <w:t> </w:t>
      </w:r>
      <w:r>
        <w:rPr>
          <w:rFonts w:ascii="Century Gothic"/>
          <w:b/>
          <w:color w:val="1F487C"/>
          <w:sz w:val="24"/>
        </w:rPr>
        <w:t>Growth</w:t>
      </w:r>
      <w:r>
        <w:rPr>
          <w:b/>
          <w:sz w:val="24"/>
        </w:rPr>
        <w:t>.</w:t>
      </w:r>
    </w:p>
    <w:p>
      <w:pPr>
        <w:spacing w:line="240" w:lineRule="auto" w:before="0"/>
        <w:ind w:left="580" w:right="176" w:firstLine="0"/>
        <w:jc w:val="left"/>
        <w:rPr>
          <w:rFonts w:ascii="Times New Roman" w:hAnsi="Times New Roman"/>
          <w:sz w:val="24"/>
        </w:rPr>
      </w:pPr>
      <w:r>
        <w:rPr>
          <w:rFonts w:ascii="Times New Roman" w:hAnsi="Times New Roman"/>
          <w:sz w:val="24"/>
        </w:rPr>
        <w:t>Chapter 224 of the Acts of 2012 (Chapter 224) sets a health care cost growth benchmark for the Commonwealth based on the long-term growth in the state’s economy. The benchmark has been set at 3.6% each year since 2013; however, beginning in 2017 the HPC may set a lower growth rate target.</w:t>
      </w:r>
    </w:p>
    <w:p>
      <w:pPr>
        <w:pStyle w:val="ListParagraph"/>
        <w:numPr>
          <w:ilvl w:val="1"/>
          <w:numId w:val="7"/>
        </w:numPr>
        <w:tabs>
          <w:tab w:pos="1300" w:val="left" w:leader="none"/>
        </w:tabs>
        <w:spacing w:line="240" w:lineRule="auto" w:before="0" w:after="0"/>
        <w:ind w:left="1300" w:right="1042" w:hanging="360"/>
        <w:jc w:val="left"/>
        <w:rPr>
          <w:sz w:val="24"/>
        </w:rPr>
      </w:pPr>
      <w:r>
        <w:rPr>
          <w:sz w:val="24"/>
        </w:rPr>
        <w:t>What are your top areas of concern for meeting the Health Care Cost Growth Benchmark</w:t>
      </w:r>
      <w:r>
        <w:rPr>
          <w:spacing w:val="-21"/>
          <w:sz w:val="24"/>
        </w:rPr>
        <w:t> </w:t>
      </w:r>
      <w:r>
        <w:rPr>
          <w:sz w:val="24"/>
        </w:rPr>
        <w:t>in Massachusetts? (Please limit your answer to no more than three areas of</w:t>
      </w:r>
      <w:r>
        <w:rPr>
          <w:spacing w:val="-9"/>
          <w:sz w:val="24"/>
        </w:rPr>
        <w:t> </w:t>
      </w:r>
      <w:r>
        <w:rPr>
          <w:sz w:val="24"/>
        </w:rPr>
        <w:t>concern)</w:t>
      </w:r>
    </w:p>
    <w:p>
      <w:pPr>
        <w:pStyle w:val="BodyText"/>
        <w:spacing w:before="9"/>
        <w:rPr>
          <w:rFonts w:ascii="Times New Roman"/>
          <w:sz w:val="23"/>
        </w:rPr>
      </w:pPr>
    </w:p>
    <w:p>
      <w:pPr>
        <w:pStyle w:val="ListParagraph"/>
        <w:numPr>
          <w:ilvl w:val="2"/>
          <w:numId w:val="7"/>
        </w:numPr>
        <w:tabs>
          <w:tab w:pos="1480" w:val="left" w:leader="none"/>
        </w:tabs>
        <w:spacing w:line="240" w:lineRule="auto" w:before="0" w:after="0"/>
        <w:ind w:left="1480" w:right="0" w:hanging="181"/>
        <w:jc w:val="left"/>
        <w:rPr>
          <w:sz w:val="24"/>
        </w:rPr>
      </w:pPr>
      <w:r>
        <w:rPr>
          <w:sz w:val="24"/>
        </w:rPr>
        <w:t>Drug costs are increasing and we continue to deal with</w:t>
      </w:r>
      <w:r>
        <w:rPr>
          <w:spacing w:val="-8"/>
          <w:sz w:val="24"/>
        </w:rPr>
        <w:t> </w:t>
      </w:r>
      <w:r>
        <w:rPr>
          <w:sz w:val="24"/>
        </w:rPr>
        <w:t>shortages</w:t>
      </w:r>
    </w:p>
    <w:p>
      <w:pPr>
        <w:pStyle w:val="ListParagraph"/>
        <w:numPr>
          <w:ilvl w:val="2"/>
          <w:numId w:val="7"/>
        </w:numPr>
        <w:tabs>
          <w:tab w:pos="1480" w:val="left" w:leader="none"/>
        </w:tabs>
        <w:spacing w:line="240" w:lineRule="auto" w:before="0" w:after="0"/>
        <w:ind w:left="1480" w:right="0" w:hanging="181"/>
        <w:jc w:val="left"/>
        <w:rPr>
          <w:sz w:val="24"/>
        </w:rPr>
      </w:pPr>
      <w:r>
        <w:rPr>
          <w:sz w:val="24"/>
        </w:rPr>
        <w:t>Expenses per procedure have increased more than revenue per procedure from 2010 to</w:t>
      </w:r>
      <w:r>
        <w:rPr>
          <w:spacing w:val="-12"/>
          <w:sz w:val="24"/>
        </w:rPr>
        <w:t> </w:t>
      </w:r>
      <w:r>
        <w:rPr>
          <w:sz w:val="24"/>
        </w:rPr>
        <w:t>present.</w:t>
      </w:r>
    </w:p>
    <w:p>
      <w:pPr>
        <w:pStyle w:val="ListParagraph"/>
        <w:numPr>
          <w:ilvl w:val="2"/>
          <w:numId w:val="7"/>
        </w:numPr>
        <w:tabs>
          <w:tab w:pos="1480" w:val="left" w:leader="none"/>
        </w:tabs>
        <w:spacing w:line="240" w:lineRule="auto" w:before="0" w:after="0"/>
        <w:ind w:left="1480" w:right="0" w:hanging="180"/>
        <w:jc w:val="left"/>
        <w:rPr>
          <w:sz w:val="24"/>
        </w:rPr>
      </w:pPr>
      <w:r>
        <w:rPr>
          <w:sz w:val="24"/>
        </w:rPr>
        <w:t>The increase in high deductible health plans requiring more out of pocket expense for the</w:t>
      </w:r>
      <w:r>
        <w:rPr>
          <w:spacing w:val="-18"/>
          <w:sz w:val="24"/>
        </w:rPr>
        <w:t> </w:t>
      </w:r>
      <w:r>
        <w:rPr>
          <w:sz w:val="24"/>
        </w:rPr>
        <w:t>patient.</w:t>
      </w:r>
    </w:p>
    <w:p>
      <w:pPr>
        <w:pStyle w:val="BodyText"/>
        <w:spacing w:before="9"/>
        <w:rPr>
          <w:rFonts w:ascii="Times New Roman"/>
          <w:sz w:val="23"/>
        </w:rPr>
      </w:pPr>
    </w:p>
    <w:p>
      <w:pPr>
        <w:pStyle w:val="ListParagraph"/>
        <w:numPr>
          <w:ilvl w:val="1"/>
          <w:numId w:val="7"/>
        </w:numPr>
        <w:tabs>
          <w:tab w:pos="1300" w:val="left" w:leader="none"/>
        </w:tabs>
        <w:spacing w:line="240" w:lineRule="auto" w:before="0" w:after="0"/>
        <w:ind w:left="1300" w:right="181" w:hanging="360"/>
        <w:jc w:val="left"/>
        <w:rPr>
          <w:sz w:val="24"/>
        </w:rPr>
      </w:pPr>
      <w:r>
        <w:rPr>
          <w:sz w:val="24"/>
        </w:rPr>
        <w:t>What are the top changes in policy, payment, regulation, or statute you would recommend to</w:t>
      </w:r>
      <w:r>
        <w:rPr>
          <w:spacing w:val="-20"/>
          <w:sz w:val="24"/>
        </w:rPr>
        <w:t> </w:t>
      </w:r>
      <w:r>
        <w:rPr>
          <w:sz w:val="24"/>
        </w:rPr>
        <w:t>support the goal of meeting the Health Care Cost Growth Benchmark? (Please limit your answer to no more than three</w:t>
      </w:r>
      <w:r>
        <w:rPr>
          <w:spacing w:val="-2"/>
          <w:sz w:val="24"/>
        </w:rPr>
        <w:t> </w:t>
      </w:r>
      <w:r>
        <w:rPr>
          <w:sz w:val="24"/>
        </w:rPr>
        <w:t>changes)</w:t>
      </w:r>
    </w:p>
    <w:p>
      <w:pPr>
        <w:pStyle w:val="BodyText"/>
        <w:rPr>
          <w:rFonts w:ascii="Times New Roman"/>
          <w:sz w:val="24"/>
        </w:rPr>
      </w:pPr>
    </w:p>
    <w:p>
      <w:pPr>
        <w:spacing w:before="0"/>
        <w:ind w:left="940" w:right="428" w:firstLine="360"/>
        <w:jc w:val="left"/>
        <w:rPr>
          <w:rFonts w:ascii="Times New Roman"/>
          <w:sz w:val="24"/>
        </w:rPr>
      </w:pPr>
      <w:r>
        <w:rPr>
          <w:rFonts w:ascii="Times New Roman"/>
          <w:sz w:val="24"/>
        </w:rPr>
        <w:t>*Remove the current Department of Public Health moratorium on Free Standing Ambulatory Surgery Centers and allow growth without being affiliated with an acute care hospital. These Centers provide high quality patient care in a much less expensive setting.</w:t>
      </w:r>
    </w:p>
    <w:p>
      <w:pPr>
        <w:pStyle w:val="BodyText"/>
        <w:spacing w:before="7"/>
        <w:rPr>
          <w:rFonts w:ascii="Times New Roman"/>
          <w:sz w:val="24"/>
        </w:rPr>
      </w:pPr>
    </w:p>
    <w:p>
      <w:pPr>
        <w:pStyle w:val="Heading3"/>
        <w:numPr>
          <w:ilvl w:val="0"/>
          <w:numId w:val="7"/>
        </w:numPr>
        <w:tabs>
          <w:tab w:pos="580" w:val="left" w:leader="none"/>
        </w:tabs>
        <w:spacing w:line="291" w:lineRule="exact" w:before="0" w:after="0"/>
        <w:ind w:left="580" w:right="0" w:hanging="360"/>
        <w:jc w:val="left"/>
        <w:rPr>
          <w:rFonts w:ascii="Times New Roman"/>
        </w:rPr>
      </w:pPr>
      <w:r>
        <w:rPr>
          <w:color w:val="1F487C"/>
        </w:rPr>
        <w:t>Strategies to Address Pharmaceutical</w:t>
      </w:r>
      <w:r>
        <w:rPr>
          <w:color w:val="1F487C"/>
          <w:spacing w:val="-1"/>
        </w:rPr>
        <w:t> </w:t>
      </w:r>
      <w:r>
        <w:rPr>
          <w:color w:val="1F487C"/>
        </w:rPr>
        <w:t>Spending</w:t>
      </w:r>
      <w:r>
        <w:rPr>
          <w:rFonts w:ascii="Times New Roman"/>
        </w:rPr>
        <w:t>.</w:t>
      </w:r>
    </w:p>
    <w:p>
      <w:pPr>
        <w:spacing w:line="240" w:lineRule="auto" w:before="0"/>
        <w:ind w:left="580" w:right="283" w:firstLine="0"/>
        <w:jc w:val="left"/>
        <w:rPr>
          <w:rFonts w:ascii="Times New Roman" w:hAnsi="Times New Roman"/>
          <w:sz w:val="24"/>
        </w:rPr>
      </w:pPr>
      <w:r>
        <w:rPr>
          <w:rFonts w:ascii="Times New Roman" w:hAnsi="Times New Roman"/>
          <w:sz w:val="24"/>
        </w:rPr>
        <w:t>In addition to concerns raised by payers, providers, and patients on the growing unaffordability and inaccessibility of clinically appropriate pharmaceutical treatment, the HPC’s 2015 Cost Trends Report identified rising drug prices and spending as a policy concern for the state’s ability to meet the Health Care Cost Growth Benchmark.</w:t>
      </w:r>
    </w:p>
    <w:p>
      <w:pPr>
        <w:pStyle w:val="ListParagraph"/>
        <w:numPr>
          <w:ilvl w:val="1"/>
          <w:numId w:val="7"/>
        </w:numPr>
        <w:tabs>
          <w:tab w:pos="1300" w:val="left" w:leader="none"/>
        </w:tabs>
        <w:spacing w:line="240" w:lineRule="auto" w:before="0" w:after="0"/>
        <w:ind w:left="1300" w:right="217" w:hanging="360"/>
        <w:jc w:val="left"/>
        <w:rPr>
          <w:sz w:val="24"/>
        </w:rPr>
      </w:pPr>
      <w:r>
        <w:rPr>
          <w:sz w:val="24"/>
        </w:rPr>
        <w:t>Below, please find a list of potential strategies aimed at addressing pharmaceutical spending trends, including prescribing and utilization. By using the drop down menu for each strategy, please specify if your organization is currently implementing such a strategy, plans to implement it in the next 12 months, or does not plan to implement it in the next 12</w:t>
      </w:r>
      <w:r>
        <w:rPr>
          <w:spacing w:val="-4"/>
          <w:sz w:val="24"/>
        </w:rPr>
        <w:t> </w:t>
      </w:r>
      <w:r>
        <w:rPr>
          <w:sz w:val="24"/>
        </w:rPr>
        <w:t>months.</w:t>
      </w:r>
    </w:p>
    <w:p>
      <w:pPr>
        <w:pStyle w:val="ListParagraph"/>
        <w:numPr>
          <w:ilvl w:val="0"/>
          <w:numId w:val="8"/>
        </w:numPr>
        <w:tabs>
          <w:tab w:pos="2019" w:val="left" w:leader="none"/>
          <w:tab w:pos="2020" w:val="left" w:leader="none"/>
        </w:tabs>
        <w:spacing w:line="240" w:lineRule="auto" w:before="0" w:after="0"/>
        <w:ind w:left="2019" w:right="203" w:hanging="488"/>
        <w:jc w:val="left"/>
        <w:rPr>
          <w:sz w:val="24"/>
        </w:rPr>
      </w:pPr>
      <w:r>
        <w:rPr>
          <w:sz w:val="24"/>
        </w:rPr>
        <w:t>Providing education and information to prescribers on cost-effectiveness of clinically appropriate and therapeutically equivalent specific drug choices and/or treatment</w:t>
      </w:r>
      <w:r>
        <w:rPr>
          <w:spacing w:val="-22"/>
          <w:sz w:val="24"/>
        </w:rPr>
        <w:t> </w:t>
      </w:r>
      <w:r>
        <w:rPr>
          <w:sz w:val="24"/>
        </w:rPr>
        <w:t>alternatives (e.g. academic</w:t>
      </w:r>
      <w:r>
        <w:rPr>
          <w:spacing w:val="-2"/>
          <w:sz w:val="24"/>
        </w:rPr>
        <w:t> </w:t>
      </w:r>
      <w:r>
        <w:rPr>
          <w:sz w:val="24"/>
        </w:rPr>
        <w:t>detailing)</w:t>
      </w:r>
    </w:p>
    <w:p>
      <w:pPr>
        <w:pStyle w:val="BodyText"/>
        <w:spacing w:line="266" w:lineRule="exact" w:before="2"/>
        <w:ind w:left="5260"/>
      </w:pPr>
      <w:r>
        <w:rPr/>
        <w:t>Does NOT Apply to my Organization</w:t>
      </w:r>
    </w:p>
    <w:p>
      <w:pPr>
        <w:pStyle w:val="ListParagraph"/>
        <w:numPr>
          <w:ilvl w:val="0"/>
          <w:numId w:val="8"/>
        </w:numPr>
        <w:tabs>
          <w:tab w:pos="2019" w:val="left" w:leader="none"/>
          <w:tab w:pos="2020" w:val="left" w:leader="none"/>
        </w:tabs>
        <w:spacing w:line="240" w:lineRule="auto" w:before="0" w:after="0"/>
        <w:ind w:left="2020" w:right="642" w:hanging="555"/>
        <w:jc w:val="left"/>
        <w:rPr>
          <w:sz w:val="24"/>
        </w:rPr>
      </w:pPr>
      <w:r>
        <w:rPr>
          <w:sz w:val="24"/>
        </w:rPr>
        <w:t>Monitoring variation in provider prescribing patterns and trends and conduct outreach</w:t>
      </w:r>
      <w:r>
        <w:rPr>
          <w:spacing w:val="-18"/>
          <w:sz w:val="24"/>
        </w:rPr>
        <w:t> </w:t>
      </w:r>
      <w:r>
        <w:rPr>
          <w:sz w:val="24"/>
        </w:rPr>
        <w:t>to providers with outlier</w:t>
      </w:r>
      <w:r>
        <w:rPr>
          <w:spacing w:val="-2"/>
          <w:sz w:val="24"/>
        </w:rPr>
        <w:t> </w:t>
      </w:r>
      <w:r>
        <w:rPr>
          <w:sz w:val="24"/>
        </w:rPr>
        <w:t>trends</w:t>
      </w:r>
    </w:p>
    <w:p>
      <w:pPr>
        <w:pStyle w:val="BodyText"/>
        <w:spacing w:line="266" w:lineRule="exact" w:before="3"/>
        <w:ind w:left="5260"/>
      </w:pPr>
      <w:r>
        <w:rPr/>
        <w:t>Does NOT Apply to my Organization</w:t>
      </w:r>
    </w:p>
    <w:p>
      <w:pPr>
        <w:pStyle w:val="ListParagraph"/>
        <w:numPr>
          <w:ilvl w:val="0"/>
          <w:numId w:val="8"/>
        </w:numPr>
        <w:tabs>
          <w:tab w:pos="2019" w:val="left" w:leader="none"/>
          <w:tab w:pos="2020" w:val="left" w:leader="none"/>
        </w:tabs>
        <w:spacing w:line="240" w:lineRule="auto" w:before="0" w:after="0"/>
        <w:ind w:left="2020" w:right="159" w:hanging="620"/>
        <w:jc w:val="left"/>
        <w:rPr>
          <w:sz w:val="24"/>
        </w:rPr>
      </w:pPr>
      <w:r>
        <w:rPr>
          <w:sz w:val="24"/>
        </w:rPr>
        <w:t>Implementing internal “best practices” such as clinical protocols or guidelines for prescribing of high-cost</w:t>
      </w:r>
      <w:r>
        <w:rPr>
          <w:spacing w:val="-2"/>
          <w:sz w:val="24"/>
        </w:rPr>
        <w:t> </w:t>
      </w:r>
      <w:r>
        <w:rPr>
          <w:sz w:val="24"/>
        </w:rPr>
        <w:t>drugs</w:t>
      </w:r>
    </w:p>
    <w:p>
      <w:pPr>
        <w:pStyle w:val="BodyText"/>
        <w:spacing w:line="266" w:lineRule="exact" w:before="3"/>
        <w:ind w:left="5260"/>
      </w:pPr>
      <w:r>
        <w:rPr/>
        <w:t>Does NOT Apply to my Organization</w:t>
      </w:r>
    </w:p>
    <w:p>
      <w:pPr>
        <w:pStyle w:val="ListParagraph"/>
        <w:numPr>
          <w:ilvl w:val="0"/>
          <w:numId w:val="8"/>
        </w:numPr>
        <w:tabs>
          <w:tab w:pos="2019" w:val="left" w:leader="none"/>
          <w:tab w:pos="2020" w:val="left" w:leader="none"/>
        </w:tabs>
        <w:spacing w:line="274" w:lineRule="exact" w:before="0" w:after="0"/>
        <w:ind w:left="2020" w:right="0" w:hanging="608"/>
        <w:jc w:val="left"/>
        <w:rPr>
          <w:sz w:val="24"/>
        </w:rPr>
      </w:pPr>
      <w:r>
        <w:rPr>
          <w:sz w:val="24"/>
        </w:rPr>
        <w:t>Establishing internal formularies for prescribing of high-cost</w:t>
      </w:r>
      <w:r>
        <w:rPr>
          <w:spacing w:val="-7"/>
          <w:sz w:val="24"/>
        </w:rPr>
        <w:t> </w:t>
      </w:r>
      <w:r>
        <w:rPr>
          <w:sz w:val="24"/>
        </w:rPr>
        <w:t>drugs</w:t>
      </w:r>
    </w:p>
    <w:p>
      <w:pPr>
        <w:pStyle w:val="BodyText"/>
        <w:spacing w:before="5"/>
        <w:ind w:left="5260"/>
      </w:pPr>
      <w:r>
        <w:rPr/>
        <w:t>Does NOT Apply to my Organization</w:t>
      </w:r>
    </w:p>
    <w:p>
      <w:pPr>
        <w:pStyle w:val="BodyText"/>
        <w:spacing w:before="2"/>
        <w:rPr>
          <w:sz w:val="18"/>
        </w:rPr>
      </w:pPr>
    </w:p>
    <w:p>
      <w:pPr>
        <w:spacing w:before="0"/>
        <w:ind w:left="0" w:right="138" w:firstLine="0"/>
        <w:jc w:val="right"/>
        <w:rPr>
          <w:rFonts w:ascii="Century Gothic"/>
          <w:sz w:val="20"/>
        </w:rPr>
      </w:pPr>
      <w:r>
        <w:rPr>
          <w:rFonts w:ascii="Century Gothic"/>
          <w:sz w:val="20"/>
        </w:rPr>
        <w:t>2016 Pre-Filed Testimony - 3</w:t>
      </w:r>
    </w:p>
    <w:p>
      <w:pPr>
        <w:spacing w:after="0"/>
        <w:jc w:val="right"/>
        <w:rPr>
          <w:rFonts w:ascii="Century Gothic"/>
          <w:sz w:val="20"/>
        </w:rPr>
        <w:sectPr>
          <w:pgSz w:w="12240" w:h="15840"/>
          <w:pgMar w:top="720" w:bottom="280" w:left="500" w:right="580"/>
        </w:sectPr>
      </w:pPr>
    </w:p>
    <w:p>
      <w:pPr>
        <w:pStyle w:val="ListParagraph"/>
        <w:numPr>
          <w:ilvl w:val="0"/>
          <w:numId w:val="8"/>
        </w:numPr>
        <w:tabs>
          <w:tab w:pos="2019" w:val="left" w:leader="none"/>
          <w:tab w:pos="2020" w:val="left" w:leader="none"/>
        </w:tabs>
        <w:spacing w:line="240" w:lineRule="auto" w:before="72" w:after="0"/>
        <w:ind w:left="2020" w:right="0" w:hanging="540"/>
        <w:jc w:val="left"/>
        <w:rPr>
          <w:sz w:val="24"/>
        </w:rPr>
      </w:pPr>
      <w:r>
        <w:rPr>
          <w:sz w:val="24"/>
        </w:rPr>
        <w:t>Implementing programs or strategies to improve medication</w:t>
      </w:r>
      <w:r>
        <w:rPr>
          <w:spacing w:val="-6"/>
          <w:sz w:val="24"/>
        </w:rPr>
        <w:t> </w:t>
      </w:r>
      <w:r>
        <w:rPr>
          <w:sz w:val="24"/>
        </w:rPr>
        <w:t>adherence/compliance</w:t>
      </w:r>
    </w:p>
    <w:p>
      <w:pPr>
        <w:pStyle w:val="BodyText"/>
        <w:spacing w:line="266" w:lineRule="exact" w:before="5"/>
        <w:ind w:left="5260"/>
      </w:pPr>
      <w:r>
        <w:rPr/>
        <w:t>Does NOT Apply to my Organization</w:t>
      </w:r>
    </w:p>
    <w:p>
      <w:pPr>
        <w:pStyle w:val="ListParagraph"/>
        <w:numPr>
          <w:ilvl w:val="0"/>
          <w:numId w:val="8"/>
        </w:numPr>
        <w:tabs>
          <w:tab w:pos="2019" w:val="left" w:leader="none"/>
          <w:tab w:pos="2020" w:val="left" w:leader="none"/>
        </w:tabs>
        <w:spacing w:line="240" w:lineRule="auto" w:before="0" w:after="0"/>
        <w:ind w:left="2020" w:right="874" w:hanging="608"/>
        <w:jc w:val="left"/>
        <w:rPr>
          <w:sz w:val="24"/>
        </w:rPr>
      </w:pPr>
      <w:r>
        <w:rPr>
          <w:sz w:val="24"/>
        </w:rPr>
        <w:t>Entering into alternative payment contracts with payers that include accountability for pharmaceutical</w:t>
      </w:r>
      <w:r>
        <w:rPr>
          <w:spacing w:val="-1"/>
          <w:sz w:val="24"/>
        </w:rPr>
        <w:t> </w:t>
      </w:r>
      <w:r>
        <w:rPr>
          <w:sz w:val="24"/>
        </w:rPr>
        <w:t>spending</w:t>
      </w:r>
    </w:p>
    <w:p>
      <w:pPr>
        <w:spacing w:after="0" w:line="240" w:lineRule="auto"/>
        <w:jc w:val="left"/>
        <w:rPr>
          <w:sz w:val="24"/>
        </w:rPr>
        <w:sectPr>
          <w:pgSz w:w="12240" w:h="15840"/>
          <w:pgMar w:top="640" w:bottom="280" w:left="500" w:right="580"/>
        </w:sectPr>
      </w:pPr>
    </w:p>
    <w:p>
      <w:pPr>
        <w:pStyle w:val="BodyText"/>
        <w:spacing w:before="1"/>
        <w:rPr>
          <w:rFonts w:ascii="Times New Roman"/>
          <w:sz w:val="23"/>
        </w:rPr>
      </w:pPr>
    </w:p>
    <w:p>
      <w:pPr>
        <w:pStyle w:val="ListParagraph"/>
        <w:numPr>
          <w:ilvl w:val="0"/>
          <w:numId w:val="8"/>
        </w:numPr>
        <w:tabs>
          <w:tab w:pos="2019" w:val="left" w:leader="none"/>
          <w:tab w:pos="2020" w:val="left" w:leader="none"/>
        </w:tabs>
        <w:spacing w:line="240" w:lineRule="auto" w:before="1" w:after="0"/>
        <w:ind w:left="2020" w:right="0" w:hanging="675"/>
        <w:jc w:val="left"/>
        <w:rPr>
          <w:sz w:val="24"/>
        </w:rPr>
      </w:pPr>
      <w:r>
        <w:rPr>
          <w:sz w:val="24"/>
        </w:rPr>
        <w:t>Other: </w:t>
      </w:r>
      <w:r>
        <w:rPr>
          <w:color w:val="808080"/>
          <w:sz w:val="24"/>
        </w:rPr>
        <w:t>Insert Text </w:t>
      </w:r>
      <w:r>
        <w:rPr>
          <w:color w:val="808080"/>
          <w:spacing w:val="-5"/>
          <w:sz w:val="24"/>
        </w:rPr>
        <w:t>Here</w:t>
      </w:r>
    </w:p>
    <w:p>
      <w:pPr>
        <w:pStyle w:val="BodyText"/>
        <w:spacing w:before="11"/>
        <w:rPr>
          <w:rFonts w:ascii="Times New Roman"/>
          <w:sz w:val="23"/>
        </w:rPr>
      </w:pPr>
    </w:p>
    <w:p>
      <w:pPr>
        <w:pStyle w:val="ListParagraph"/>
        <w:numPr>
          <w:ilvl w:val="0"/>
          <w:numId w:val="8"/>
        </w:numPr>
        <w:tabs>
          <w:tab w:pos="2019" w:val="left" w:leader="none"/>
          <w:tab w:pos="2020" w:val="left" w:leader="none"/>
        </w:tabs>
        <w:spacing w:line="240" w:lineRule="auto" w:before="0" w:after="0"/>
        <w:ind w:left="2020" w:right="0" w:hanging="740"/>
        <w:jc w:val="left"/>
        <w:rPr>
          <w:sz w:val="24"/>
        </w:rPr>
      </w:pPr>
      <w:r>
        <w:rPr>
          <w:sz w:val="24"/>
        </w:rPr>
        <w:t>Other: </w:t>
      </w:r>
      <w:r>
        <w:rPr>
          <w:color w:val="808080"/>
          <w:sz w:val="24"/>
        </w:rPr>
        <w:t>Insert Text </w:t>
      </w:r>
      <w:r>
        <w:rPr>
          <w:color w:val="808080"/>
          <w:spacing w:val="-5"/>
          <w:sz w:val="24"/>
        </w:rPr>
        <w:t>Here</w:t>
      </w:r>
    </w:p>
    <w:p>
      <w:pPr>
        <w:pStyle w:val="BodyText"/>
        <w:rPr>
          <w:rFonts w:ascii="Times New Roman"/>
          <w:sz w:val="24"/>
        </w:rPr>
      </w:pPr>
    </w:p>
    <w:p>
      <w:pPr>
        <w:pStyle w:val="ListParagraph"/>
        <w:numPr>
          <w:ilvl w:val="0"/>
          <w:numId w:val="8"/>
        </w:numPr>
        <w:tabs>
          <w:tab w:pos="2019" w:val="left" w:leader="none"/>
          <w:tab w:pos="2020" w:val="left" w:leader="none"/>
        </w:tabs>
        <w:spacing w:line="240" w:lineRule="auto" w:before="0" w:after="0"/>
        <w:ind w:left="2020" w:right="0" w:hanging="608"/>
        <w:jc w:val="left"/>
        <w:rPr>
          <w:sz w:val="24"/>
        </w:rPr>
      </w:pPr>
      <w:r>
        <w:rPr>
          <w:sz w:val="24"/>
        </w:rPr>
        <w:t>Other: </w:t>
      </w:r>
      <w:r>
        <w:rPr>
          <w:color w:val="808080"/>
          <w:sz w:val="24"/>
        </w:rPr>
        <w:t>Insert Text </w:t>
      </w:r>
      <w:r>
        <w:rPr>
          <w:color w:val="808080"/>
          <w:spacing w:val="-5"/>
          <w:sz w:val="24"/>
        </w:rPr>
        <w:t>Here</w:t>
      </w:r>
    </w:p>
    <w:p>
      <w:pPr>
        <w:pStyle w:val="BodyText"/>
        <w:spacing w:before="2"/>
        <w:ind w:left="954"/>
      </w:pPr>
      <w:r>
        <w:rPr/>
        <w:br w:type="column"/>
      </w:r>
      <w:r>
        <w:rPr/>
        <w:t>Does NOT Apply to my Organization</w:t>
      </w:r>
    </w:p>
    <w:p>
      <w:pPr>
        <w:pStyle w:val="BodyText"/>
        <w:spacing w:before="3"/>
      </w:pPr>
    </w:p>
    <w:p>
      <w:pPr>
        <w:spacing w:line="480" w:lineRule="auto" w:before="0"/>
        <w:ind w:left="954" w:right="4853" w:firstLine="0"/>
        <w:jc w:val="both"/>
        <w:rPr>
          <w:rFonts w:ascii="Times New Roman"/>
          <w:sz w:val="24"/>
        </w:rPr>
      </w:pPr>
      <w:r>
        <w:rPr>
          <w:rFonts w:ascii="Times New Roman"/>
          <w:color w:val="808080"/>
          <w:sz w:val="24"/>
        </w:rPr>
        <w:t>Click Here Click Here Click Here</w:t>
      </w:r>
    </w:p>
    <w:p>
      <w:pPr>
        <w:spacing w:after="0" w:line="480" w:lineRule="auto"/>
        <w:jc w:val="both"/>
        <w:rPr>
          <w:rFonts w:ascii="Times New Roman"/>
          <w:sz w:val="24"/>
        </w:rPr>
        <w:sectPr>
          <w:type w:val="continuous"/>
          <w:pgSz w:w="12240" w:h="15840"/>
          <w:pgMar w:top="1400" w:bottom="280" w:left="500" w:right="580"/>
          <w:cols w:num="2" w:equalWidth="0">
            <w:col w:w="4266" w:space="40"/>
            <w:col w:w="6854"/>
          </w:cols>
        </w:sectPr>
      </w:pPr>
    </w:p>
    <w:p>
      <w:pPr>
        <w:pStyle w:val="Heading3"/>
        <w:numPr>
          <w:ilvl w:val="0"/>
          <w:numId w:val="7"/>
        </w:numPr>
        <w:tabs>
          <w:tab w:pos="580" w:val="left" w:leader="none"/>
        </w:tabs>
        <w:spacing w:line="290" w:lineRule="exact" w:before="7" w:after="0"/>
        <w:ind w:left="580" w:right="0" w:hanging="361"/>
        <w:jc w:val="left"/>
        <w:rPr>
          <w:rFonts w:ascii="Times New Roman"/>
        </w:rPr>
      </w:pPr>
      <w:r>
        <w:rPr>
          <w:color w:val="1F487C"/>
        </w:rPr>
        <w:t>Strategies to Integrate Behavioral Health</w:t>
      </w:r>
      <w:r>
        <w:rPr>
          <w:color w:val="1F487C"/>
          <w:spacing w:val="-2"/>
        </w:rPr>
        <w:t> </w:t>
      </w:r>
      <w:r>
        <w:rPr>
          <w:color w:val="1F487C"/>
        </w:rPr>
        <w:t>Care</w:t>
      </w:r>
      <w:r>
        <w:rPr>
          <w:rFonts w:ascii="Times New Roman"/>
        </w:rPr>
        <w:t>.</w:t>
      </w:r>
    </w:p>
    <w:p>
      <w:pPr>
        <w:spacing w:line="240" w:lineRule="auto" w:before="0"/>
        <w:ind w:left="579" w:right="251" w:firstLine="0"/>
        <w:jc w:val="left"/>
        <w:rPr>
          <w:rFonts w:ascii="Times New Roman" w:hAnsi="Times New Roman"/>
          <w:sz w:val="24"/>
        </w:rPr>
      </w:pPr>
      <w:r>
        <w:rPr>
          <w:rFonts w:ascii="Times New Roman" w:hAnsi="Times New Roman"/>
          <w:sz w:val="24"/>
        </w:rPr>
        <w:t>Given the prevalence of mental illnesses and substance use disorders (collectively referred to as behavioral health), the timely identification and successful integration of behavioral health care into the broader health care system is essential for realizing the Commonwealth’s goals of improving outcomes and containing overall long-term cost growth.</w:t>
      </w:r>
    </w:p>
    <w:p>
      <w:pPr>
        <w:pStyle w:val="ListParagraph"/>
        <w:numPr>
          <w:ilvl w:val="1"/>
          <w:numId w:val="7"/>
        </w:numPr>
        <w:tabs>
          <w:tab w:pos="1300" w:val="left" w:leader="none"/>
        </w:tabs>
        <w:spacing w:line="240" w:lineRule="auto" w:before="0" w:after="0"/>
        <w:ind w:left="1299" w:right="684" w:hanging="360"/>
        <w:jc w:val="left"/>
        <w:rPr>
          <w:sz w:val="24"/>
        </w:rPr>
      </w:pPr>
      <w:r>
        <w:rPr>
          <w:sz w:val="24"/>
        </w:rPr>
        <w:t>What are the top strategies your organization is pursuing to enhance and/or integrate</w:t>
      </w:r>
      <w:r>
        <w:rPr>
          <w:spacing w:val="-23"/>
          <w:sz w:val="24"/>
        </w:rPr>
        <w:t> </w:t>
      </w:r>
      <w:r>
        <w:rPr>
          <w:sz w:val="24"/>
        </w:rPr>
        <w:t>behavioral health care for your patients? (Please limit your answer to no more than three</w:t>
      </w:r>
      <w:r>
        <w:rPr>
          <w:spacing w:val="-11"/>
          <w:sz w:val="24"/>
        </w:rPr>
        <w:t> </w:t>
      </w:r>
      <w:r>
        <w:rPr>
          <w:sz w:val="24"/>
        </w:rPr>
        <w:t>strategies)</w:t>
      </w:r>
    </w:p>
    <w:p>
      <w:pPr>
        <w:spacing w:before="0"/>
        <w:ind w:left="1300" w:right="0" w:firstLine="0"/>
        <w:jc w:val="left"/>
        <w:rPr>
          <w:rFonts w:ascii="Times New Roman"/>
          <w:sz w:val="24"/>
        </w:rPr>
      </w:pPr>
      <w:r>
        <w:rPr>
          <w:rFonts w:ascii="Times New Roman"/>
          <w:sz w:val="24"/>
        </w:rPr>
        <w:t>N/A</w:t>
      </w:r>
    </w:p>
    <w:p>
      <w:pPr>
        <w:pStyle w:val="BodyText"/>
        <w:spacing w:before="7"/>
        <w:rPr>
          <w:rFonts w:ascii="Times New Roman"/>
          <w:sz w:val="23"/>
        </w:rPr>
      </w:pPr>
    </w:p>
    <w:p>
      <w:pPr>
        <w:pStyle w:val="ListParagraph"/>
        <w:numPr>
          <w:ilvl w:val="1"/>
          <w:numId w:val="7"/>
        </w:numPr>
        <w:tabs>
          <w:tab w:pos="1300" w:val="left" w:leader="none"/>
        </w:tabs>
        <w:spacing w:line="240" w:lineRule="auto" w:before="0" w:after="0"/>
        <w:ind w:left="1299" w:right="530" w:hanging="360"/>
        <w:jc w:val="left"/>
        <w:rPr>
          <w:sz w:val="24"/>
        </w:rPr>
      </w:pPr>
      <w:r>
        <w:rPr>
          <w:sz w:val="24"/>
        </w:rPr>
        <w:t>What are the top barriers to enhancing or integrating behavioral health care in your</w:t>
      </w:r>
      <w:r>
        <w:rPr>
          <w:spacing w:val="-24"/>
          <w:sz w:val="24"/>
        </w:rPr>
        <w:t> </w:t>
      </w:r>
      <w:r>
        <w:rPr>
          <w:sz w:val="24"/>
        </w:rPr>
        <w:t>organization? (Please limit your answer to no more than three</w:t>
      </w:r>
      <w:r>
        <w:rPr>
          <w:spacing w:val="-3"/>
          <w:sz w:val="24"/>
        </w:rPr>
        <w:t> </w:t>
      </w:r>
      <w:r>
        <w:rPr>
          <w:sz w:val="24"/>
        </w:rPr>
        <w:t>barriers)</w:t>
      </w:r>
    </w:p>
    <w:p>
      <w:pPr>
        <w:spacing w:before="0"/>
        <w:ind w:left="1299" w:right="0" w:firstLine="0"/>
        <w:jc w:val="left"/>
        <w:rPr>
          <w:rFonts w:ascii="Times New Roman"/>
          <w:sz w:val="24"/>
        </w:rPr>
      </w:pPr>
      <w:r>
        <w:rPr>
          <w:rFonts w:ascii="Times New Roman"/>
          <w:sz w:val="24"/>
        </w:rPr>
        <w:t>N/A</w:t>
      </w:r>
    </w:p>
    <w:p>
      <w:pPr>
        <w:pStyle w:val="BodyText"/>
        <w:spacing w:before="7"/>
        <w:rPr>
          <w:rFonts w:ascii="Times New Roman"/>
          <w:sz w:val="24"/>
        </w:rPr>
      </w:pPr>
    </w:p>
    <w:p>
      <w:pPr>
        <w:pStyle w:val="Heading3"/>
        <w:numPr>
          <w:ilvl w:val="0"/>
          <w:numId w:val="7"/>
        </w:numPr>
        <w:tabs>
          <w:tab w:pos="580" w:val="left" w:leader="none"/>
        </w:tabs>
        <w:spacing w:line="291" w:lineRule="exact" w:before="0" w:after="0"/>
        <w:ind w:left="580" w:right="0" w:hanging="361"/>
        <w:jc w:val="left"/>
        <w:rPr>
          <w:rFonts w:ascii="Times New Roman"/>
        </w:rPr>
      </w:pPr>
      <w:r>
        <w:rPr>
          <w:color w:val="1F487C"/>
        </w:rPr>
        <w:t>Strategies to Recognize and Address Social Determinants of</w:t>
      </w:r>
      <w:r>
        <w:rPr>
          <w:color w:val="1F487C"/>
          <w:spacing w:val="-7"/>
        </w:rPr>
        <w:t> </w:t>
      </w:r>
      <w:r>
        <w:rPr>
          <w:color w:val="1F487C"/>
        </w:rPr>
        <w:t>Health</w:t>
      </w:r>
      <w:r>
        <w:rPr>
          <w:rFonts w:ascii="Times New Roman"/>
        </w:rPr>
        <w:t>.</w:t>
      </w:r>
    </w:p>
    <w:p>
      <w:pPr>
        <w:spacing w:line="240" w:lineRule="auto" w:before="0"/>
        <w:ind w:left="579" w:right="144" w:firstLine="0"/>
        <w:jc w:val="left"/>
        <w:rPr>
          <w:rFonts w:ascii="Times New Roman"/>
          <w:sz w:val="24"/>
        </w:rPr>
      </w:pPr>
      <w:r>
        <w:rPr>
          <w:rFonts w:ascii="Times New Roman"/>
          <w:sz w:val="24"/>
        </w:rPr>
        <w:t>There is growing recognition and evidence that social, economic and physical conditions, such as socioeconomic status, housing, domestic violence, and food insecurity, are important drivers of health outcomes and that addressing social determinants of health (SDH) is important for achieving greater health equity for racial and ethnic minorities, low-income and other vulnerable communities. Routine screening for SDH issues and developing programs to address those issues are core competencies of accountable, high performing health care systems.</w:t>
      </w:r>
    </w:p>
    <w:p>
      <w:pPr>
        <w:pStyle w:val="ListParagraph"/>
        <w:numPr>
          <w:ilvl w:val="1"/>
          <w:numId w:val="7"/>
        </w:numPr>
        <w:tabs>
          <w:tab w:pos="1300" w:val="left" w:leader="none"/>
        </w:tabs>
        <w:spacing w:line="240" w:lineRule="auto" w:before="0" w:after="0"/>
        <w:ind w:left="1299" w:right="295" w:hanging="360"/>
        <w:jc w:val="left"/>
        <w:rPr>
          <w:sz w:val="24"/>
        </w:rPr>
      </w:pPr>
      <w:r>
        <w:rPr>
          <w:sz w:val="24"/>
        </w:rPr>
        <w:t>What are the top strategies your organization is pursuing to understand and/or address the social determinants of health for your patients? (Please limit your answer to no more than three</w:t>
      </w:r>
      <w:r>
        <w:rPr>
          <w:spacing w:val="-25"/>
          <w:sz w:val="24"/>
        </w:rPr>
        <w:t> </w:t>
      </w:r>
      <w:r>
        <w:rPr>
          <w:sz w:val="24"/>
        </w:rPr>
        <w:t>strategies)</w:t>
      </w:r>
    </w:p>
    <w:p>
      <w:pPr>
        <w:pStyle w:val="BodyText"/>
        <w:spacing w:before="9"/>
        <w:rPr>
          <w:rFonts w:ascii="Times New Roman"/>
          <w:sz w:val="23"/>
        </w:rPr>
      </w:pPr>
    </w:p>
    <w:p>
      <w:pPr>
        <w:pStyle w:val="ListParagraph"/>
        <w:numPr>
          <w:ilvl w:val="2"/>
          <w:numId w:val="7"/>
        </w:numPr>
        <w:tabs>
          <w:tab w:pos="1480" w:val="left" w:leader="none"/>
        </w:tabs>
        <w:spacing w:line="240" w:lineRule="auto" w:before="0" w:after="0"/>
        <w:ind w:left="1299" w:right="222" w:firstLine="0"/>
        <w:jc w:val="left"/>
        <w:rPr>
          <w:sz w:val="24"/>
        </w:rPr>
      </w:pPr>
      <w:r>
        <w:rPr>
          <w:sz w:val="24"/>
        </w:rPr>
        <w:t>As a Free Standing Ambulatory Surgery Center, we only provide day surgery therefore our</w:t>
      </w:r>
      <w:r>
        <w:rPr>
          <w:spacing w:val="-25"/>
          <w:sz w:val="24"/>
        </w:rPr>
        <w:t> </w:t>
      </w:r>
      <w:r>
        <w:rPr>
          <w:sz w:val="24"/>
        </w:rPr>
        <w:t>patient interaction is limited. As part of our screening process patients are asked if they feel safe in their environment. We have available, information on the Mass Statewide Domestic Violence</w:t>
      </w:r>
      <w:r>
        <w:rPr>
          <w:spacing w:val="-19"/>
          <w:sz w:val="24"/>
        </w:rPr>
        <w:t> </w:t>
      </w:r>
      <w:r>
        <w:rPr>
          <w:sz w:val="24"/>
        </w:rPr>
        <w:t>Hotline.</w:t>
      </w:r>
    </w:p>
    <w:p>
      <w:pPr>
        <w:spacing w:before="0"/>
        <w:ind w:left="1299" w:right="0" w:firstLine="0"/>
        <w:jc w:val="left"/>
        <w:rPr>
          <w:rFonts w:ascii="Times New Roman"/>
          <w:sz w:val="24"/>
        </w:rPr>
      </w:pPr>
      <w:r>
        <w:rPr>
          <w:rFonts w:ascii="Times New Roman"/>
          <w:sz w:val="24"/>
        </w:rPr>
        <w:t>We also required that patients go home with a responsible adult.</w:t>
      </w:r>
    </w:p>
    <w:p>
      <w:pPr>
        <w:pStyle w:val="BodyText"/>
        <w:rPr>
          <w:rFonts w:ascii="Times New Roman"/>
          <w:sz w:val="24"/>
        </w:rPr>
      </w:pPr>
    </w:p>
    <w:p>
      <w:pPr>
        <w:pStyle w:val="ListParagraph"/>
        <w:numPr>
          <w:ilvl w:val="1"/>
          <w:numId w:val="7"/>
        </w:numPr>
        <w:tabs>
          <w:tab w:pos="1300" w:val="left" w:leader="none"/>
        </w:tabs>
        <w:spacing w:line="240" w:lineRule="auto" w:before="0" w:after="0"/>
        <w:ind w:left="1299" w:right="528" w:hanging="360"/>
        <w:jc w:val="left"/>
        <w:rPr>
          <w:sz w:val="24"/>
        </w:rPr>
      </w:pPr>
      <w:r>
        <w:rPr>
          <w:sz w:val="24"/>
        </w:rPr>
        <w:t>What are the top barriers to understanding and/or addressing the social determinants of health</w:t>
      </w:r>
      <w:r>
        <w:rPr>
          <w:spacing w:val="-19"/>
          <w:sz w:val="24"/>
        </w:rPr>
        <w:t> </w:t>
      </w:r>
      <w:r>
        <w:rPr>
          <w:sz w:val="24"/>
        </w:rPr>
        <w:t>for your patients? (Please limit your answer to no more than three</w:t>
      </w:r>
      <w:r>
        <w:rPr>
          <w:spacing w:val="-6"/>
          <w:sz w:val="24"/>
        </w:rPr>
        <w:t> </w:t>
      </w:r>
      <w:r>
        <w:rPr>
          <w:sz w:val="24"/>
        </w:rPr>
        <w:t>barriers)</w:t>
      </w:r>
    </w:p>
    <w:p>
      <w:pPr>
        <w:pStyle w:val="BodyText"/>
        <w:rPr>
          <w:rFonts w:ascii="Times New Roman"/>
          <w:sz w:val="24"/>
        </w:rPr>
      </w:pPr>
    </w:p>
    <w:p>
      <w:pPr>
        <w:pStyle w:val="ListParagraph"/>
        <w:numPr>
          <w:ilvl w:val="2"/>
          <w:numId w:val="7"/>
        </w:numPr>
        <w:tabs>
          <w:tab w:pos="1480" w:val="left" w:leader="none"/>
        </w:tabs>
        <w:spacing w:line="240" w:lineRule="auto" w:before="0" w:after="0"/>
        <w:ind w:left="1480" w:right="0" w:hanging="181"/>
        <w:jc w:val="left"/>
        <w:rPr>
          <w:sz w:val="24"/>
        </w:rPr>
      </w:pPr>
      <w:r>
        <w:rPr>
          <w:sz w:val="24"/>
        </w:rPr>
        <w:t>Because we see these patients on a one-time basis, lack of time spent is the biggest</w:t>
      </w:r>
      <w:r>
        <w:rPr>
          <w:spacing w:val="-15"/>
          <w:sz w:val="24"/>
        </w:rPr>
        <w:t> </w:t>
      </w:r>
      <w:r>
        <w:rPr>
          <w:sz w:val="24"/>
        </w:rPr>
        <w:t>barrier.</w:t>
      </w:r>
    </w:p>
    <w:p>
      <w:pPr>
        <w:pStyle w:val="BodyText"/>
        <w:spacing w:before="2"/>
        <w:rPr>
          <w:rFonts w:ascii="Times New Roman"/>
          <w:sz w:val="24"/>
        </w:rPr>
      </w:pPr>
    </w:p>
    <w:p>
      <w:pPr>
        <w:pStyle w:val="Heading3"/>
        <w:numPr>
          <w:ilvl w:val="0"/>
          <w:numId w:val="7"/>
        </w:numPr>
        <w:tabs>
          <w:tab w:pos="580" w:val="left" w:leader="none"/>
        </w:tabs>
        <w:spacing w:line="293" w:lineRule="exact" w:before="0" w:after="0"/>
        <w:ind w:left="580" w:right="0" w:hanging="361"/>
        <w:jc w:val="left"/>
        <w:rPr>
          <w:rFonts w:ascii="Times New Roman"/>
          <w:b w:val="0"/>
        </w:rPr>
      </w:pPr>
      <w:r>
        <w:rPr>
          <w:color w:val="1F487C"/>
        </w:rPr>
        <w:t>Strategies to Encourage High-Value</w:t>
      </w:r>
      <w:r>
        <w:rPr>
          <w:color w:val="1F487C"/>
          <w:spacing w:val="-2"/>
        </w:rPr>
        <w:t> </w:t>
      </w:r>
      <w:r>
        <w:rPr>
          <w:color w:val="1F487C"/>
        </w:rPr>
        <w:t>Referrals</w:t>
      </w:r>
      <w:r>
        <w:rPr>
          <w:rFonts w:ascii="Times New Roman"/>
          <w:b w:val="0"/>
        </w:rPr>
        <w:t>.</w:t>
      </w:r>
    </w:p>
    <w:p>
      <w:pPr>
        <w:spacing w:before="0"/>
        <w:ind w:left="579" w:right="211" w:firstLine="0"/>
        <w:jc w:val="left"/>
        <w:rPr>
          <w:rFonts w:ascii="Times New Roman" w:hAnsi="Times New Roman"/>
          <w:sz w:val="24"/>
        </w:rPr>
      </w:pPr>
      <w:r>
        <w:rPr>
          <w:rFonts w:ascii="Times New Roman" w:hAnsi="Times New Roman"/>
          <w:sz w:val="24"/>
        </w:rPr>
        <w:t>In the HPC’s 2015 report, Community Hospitals at a Crossroads, the HPC found that the increased consolidation of the healthcare provider market has driven referrals away from independent and community providers and toward academic medical centers and their affiliated providers.</w:t>
      </w:r>
    </w:p>
    <w:p>
      <w:pPr>
        <w:pStyle w:val="ListParagraph"/>
        <w:numPr>
          <w:ilvl w:val="1"/>
          <w:numId w:val="7"/>
        </w:numPr>
        <w:tabs>
          <w:tab w:pos="1300" w:val="left" w:leader="none"/>
        </w:tabs>
        <w:spacing w:line="240" w:lineRule="auto" w:before="0" w:after="0"/>
        <w:ind w:left="1299" w:right="602" w:hanging="360"/>
        <w:jc w:val="left"/>
        <w:rPr>
          <w:sz w:val="24"/>
        </w:rPr>
      </w:pPr>
      <w:r>
        <w:rPr>
          <w:sz w:val="24"/>
        </w:rPr>
        <w:t>Briefly describe how you encourage providers within your organization to refer patients to</w:t>
      </w:r>
      <w:r>
        <w:rPr>
          <w:spacing w:val="-23"/>
          <w:sz w:val="24"/>
        </w:rPr>
        <w:t> </w:t>
      </w:r>
      <w:r>
        <w:rPr>
          <w:sz w:val="24"/>
        </w:rPr>
        <w:t>high- value specialty care, ancillary care, or community providers regardless of system</w:t>
      </w:r>
      <w:r>
        <w:rPr>
          <w:spacing w:val="-18"/>
          <w:sz w:val="24"/>
        </w:rPr>
        <w:t> </w:t>
      </w:r>
      <w:r>
        <w:rPr>
          <w:sz w:val="24"/>
        </w:rPr>
        <w:t>affiliation.</w:t>
      </w:r>
    </w:p>
    <w:p>
      <w:pPr>
        <w:spacing w:before="50"/>
        <w:ind w:left="0" w:right="138" w:firstLine="0"/>
        <w:jc w:val="right"/>
        <w:rPr>
          <w:rFonts w:ascii="Century Gothic"/>
          <w:sz w:val="20"/>
        </w:rPr>
      </w:pPr>
      <w:r>
        <w:rPr>
          <w:rFonts w:ascii="Century Gothic"/>
          <w:sz w:val="20"/>
        </w:rPr>
        <w:t>2016 Pre-Filed Testimony - 4</w:t>
      </w:r>
    </w:p>
    <w:p>
      <w:pPr>
        <w:spacing w:after="0"/>
        <w:jc w:val="right"/>
        <w:rPr>
          <w:rFonts w:ascii="Century Gothic"/>
          <w:sz w:val="20"/>
        </w:rPr>
        <w:sectPr>
          <w:type w:val="continuous"/>
          <w:pgSz w:w="12240" w:h="15840"/>
          <w:pgMar w:top="1400" w:bottom="280" w:left="500" w:right="580"/>
        </w:sectPr>
      </w:pPr>
    </w:p>
    <w:p>
      <w:pPr>
        <w:spacing w:before="72"/>
        <w:ind w:left="1300" w:right="0" w:firstLine="0"/>
        <w:jc w:val="left"/>
        <w:rPr>
          <w:rFonts w:ascii="Times New Roman"/>
          <w:sz w:val="24"/>
        </w:rPr>
      </w:pPr>
      <w:r>
        <w:rPr>
          <w:rFonts w:ascii="Times New Roman"/>
          <w:sz w:val="24"/>
        </w:rPr>
        <w:t>N/A</w:t>
      </w:r>
    </w:p>
    <w:p>
      <w:pPr>
        <w:pStyle w:val="BodyText"/>
        <w:spacing w:before="11"/>
        <w:rPr>
          <w:rFonts w:ascii="Times New Roman"/>
          <w:sz w:val="23"/>
        </w:rPr>
      </w:pPr>
    </w:p>
    <w:p>
      <w:pPr>
        <w:pStyle w:val="ListParagraph"/>
        <w:numPr>
          <w:ilvl w:val="1"/>
          <w:numId w:val="7"/>
        </w:numPr>
        <w:tabs>
          <w:tab w:pos="1300" w:val="left" w:leader="none"/>
        </w:tabs>
        <w:spacing w:line="240" w:lineRule="auto" w:before="0" w:after="0"/>
        <w:ind w:left="1300" w:right="378" w:hanging="360"/>
        <w:jc w:val="left"/>
        <w:rPr>
          <w:color w:val="1F487C"/>
          <w:sz w:val="24"/>
        </w:rPr>
      </w:pPr>
      <w:r>
        <w:rPr>
          <w:sz w:val="24"/>
        </w:rPr>
        <w:t>Does your electronic health record system incorporate provider cost and/or quality information of providers affiliated with your organization, either through corporate affiliation or joint</w:t>
      </w:r>
      <w:r>
        <w:rPr>
          <w:spacing w:val="-27"/>
          <w:sz w:val="24"/>
        </w:rPr>
        <w:t> </w:t>
      </w:r>
      <w:r>
        <w:rPr>
          <w:sz w:val="24"/>
        </w:rPr>
        <w:t>contracting, that is available at the point of</w:t>
      </w:r>
      <w:r>
        <w:rPr>
          <w:spacing w:val="-4"/>
          <w:sz w:val="24"/>
        </w:rPr>
        <w:t> </w:t>
      </w:r>
      <w:r>
        <w:rPr>
          <w:sz w:val="24"/>
        </w:rPr>
        <w:t>referral?</w:t>
      </w:r>
    </w:p>
    <w:p>
      <w:pPr>
        <w:pStyle w:val="BodyText"/>
        <w:spacing w:before="5"/>
        <w:ind w:left="1300"/>
      </w:pPr>
      <w:r>
        <w:rPr/>
        <w:t>No</w:t>
      </w:r>
    </w:p>
    <w:p>
      <w:pPr>
        <w:pStyle w:val="ListParagraph"/>
        <w:numPr>
          <w:ilvl w:val="0"/>
          <w:numId w:val="9"/>
        </w:numPr>
        <w:tabs>
          <w:tab w:pos="2019" w:val="left" w:leader="none"/>
          <w:tab w:pos="2020" w:val="left" w:leader="none"/>
        </w:tabs>
        <w:spacing w:line="240" w:lineRule="auto" w:before="0" w:after="0"/>
        <w:ind w:left="2020" w:right="4134" w:hanging="360"/>
        <w:jc w:val="left"/>
        <w:rPr>
          <w:sz w:val="24"/>
        </w:rPr>
      </w:pPr>
      <w:r>
        <w:rPr>
          <w:sz w:val="24"/>
        </w:rPr>
        <w:t>If yes, please describe what information is</w:t>
      </w:r>
      <w:r>
        <w:rPr>
          <w:spacing w:val="-12"/>
          <w:sz w:val="24"/>
        </w:rPr>
        <w:t> </w:t>
      </w:r>
      <w:r>
        <w:rPr>
          <w:sz w:val="24"/>
        </w:rPr>
        <w:t>included.</w:t>
      </w:r>
      <w:r>
        <w:rPr>
          <w:color w:val="808080"/>
          <w:sz w:val="24"/>
        </w:rPr>
        <w:t> Click here to enter</w:t>
      </w:r>
      <w:r>
        <w:rPr>
          <w:color w:val="808080"/>
          <w:spacing w:val="-3"/>
          <w:sz w:val="24"/>
        </w:rPr>
        <w:t> </w:t>
      </w:r>
      <w:r>
        <w:rPr>
          <w:color w:val="808080"/>
          <w:sz w:val="24"/>
        </w:rPr>
        <w:t>text.</w:t>
      </w:r>
    </w:p>
    <w:p>
      <w:pPr>
        <w:pStyle w:val="BodyText"/>
        <w:spacing w:before="7"/>
        <w:rPr>
          <w:rFonts w:ascii="Times New Roman"/>
          <w:sz w:val="23"/>
        </w:rPr>
      </w:pPr>
    </w:p>
    <w:p>
      <w:pPr>
        <w:pStyle w:val="ListParagraph"/>
        <w:numPr>
          <w:ilvl w:val="0"/>
          <w:numId w:val="9"/>
        </w:numPr>
        <w:tabs>
          <w:tab w:pos="2020" w:val="left" w:leader="none"/>
        </w:tabs>
        <w:spacing w:line="240" w:lineRule="auto" w:before="0" w:after="0"/>
        <w:ind w:left="2020" w:right="0" w:hanging="360"/>
        <w:jc w:val="left"/>
        <w:rPr>
          <w:sz w:val="24"/>
        </w:rPr>
      </w:pPr>
      <w:r>
        <w:rPr>
          <w:sz w:val="24"/>
        </w:rPr>
        <w:t>If no, why</w:t>
      </w:r>
      <w:r>
        <w:rPr>
          <w:spacing w:val="-5"/>
          <w:sz w:val="24"/>
        </w:rPr>
        <w:t> </w:t>
      </w:r>
      <w:r>
        <w:rPr>
          <w:sz w:val="24"/>
        </w:rPr>
        <w:t>not?</w:t>
      </w:r>
    </w:p>
    <w:p>
      <w:pPr>
        <w:pStyle w:val="BodyText"/>
        <w:spacing w:before="5"/>
        <w:ind w:left="1660"/>
      </w:pPr>
      <w:r>
        <w:rPr/>
        <w:t>We do not have an electronic health record system.</w:t>
      </w:r>
    </w:p>
    <w:p>
      <w:pPr>
        <w:pStyle w:val="BodyText"/>
        <w:spacing w:before="3"/>
      </w:pPr>
    </w:p>
    <w:p>
      <w:pPr>
        <w:pStyle w:val="ListParagraph"/>
        <w:numPr>
          <w:ilvl w:val="1"/>
          <w:numId w:val="7"/>
        </w:numPr>
        <w:tabs>
          <w:tab w:pos="1300" w:val="left" w:leader="none"/>
        </w:tabs>
        <w:spacing w:line="240" w:lineRule="auto" w:before="0" w:after="0"/>
        <w:ind w:left="1300" w:right="490" w:hanging="360"/>
        <w:jc w:val="left"/>
        <w:rPr>
          <w:color w:val="1F487C"/>
          <w:sz w:val="24"/>
        </w:rPr>
      </w:pPr>
      <w:r>
        <w:rPr>
          <w:sz w:val="24"/>
        </w:rPr>
        <w:t>Does your electronic health record system incorporate provider cost and/or quality information</w:t>
      </w:r>
      <w:r>
        <w:rPr>
          <w:spacing w:val="-21"/>
          <w:sz w:val="24"/>
        </w:rPr>
        <w:t> </w:t>
      </w:r>
      <w:r>
        <w:rPr>
          <w:sz w:val="24"/>
        </w:rPr>
        <w:t>of providers not affiliated with your organization, either through corporate affiliation or joint contracting, that is available at the point of</w:t>
      </w:r>
      <w:r>
        <w:rPr>
          <w:spacing w:val="-5"/>
          <w:sz w:val="24"/>
        </w:rPr>
        <w:t> </w:t>
      </w:r>
      <w:r>
        <w:rPr>
          <w:sz w:val="24"/>
        </w:rPr>
        <w:t>referral?</w:t>
      </w:r>
    </w:p>
    <w:p>
      <w:pPr>
        <w:spacing w:before="0"/>
        <w:ind w:left="1300" w:right="0" w:firstLine="0"/>
        <w:jc w:val="left"/>
        <w:rPr>
          <w:rFonts w:ascii="Times New Roman"/>
          <w:sz w:val="24"/>
        </w:rPr>
      </w:pPr>
      <w:r>
        <w:rPr>
          <w:rFonts w:ascii="Times New Roman"/>
          <w:sz w:val="24"/>
        </w:rPr>
        <w:t>No</w:t>
      </w:r>
    </w:p>
    <w:p>
      <w:pPr>
        <w:pStyle w:val="ListParagraph"/>
        <w:numPr>
          <w:ilvl w:val="0"/>
          <w:numId w:val="10"/>
        </w:numPr>
        <w:tabs>
          <w:tab w:pos="2019" w:val="left" w:leader="none"/>
          <w:tab w:pos="2020" w:val="left" w:leader="none"/>
        </w:tabs>
        <w:spacing w:line="240" w:lineRule="auto" w:before="0" w:after="0"/>
        <w:ind w:left="2020" w:right="4134" w:hanging="360"/>
        <w:jc w:val="left"/>
        <w:rPr>
          <w:sz w:val="24"/>
        </w:rPr>
      </w:pPr>
      <w:r>
        <w:rPr>
          <w:sz w:val="24"/>
        </w:rPr>
        <w:t>If yes, please describe what information is</w:t>
      </w:r>
      <w:r>
        <w:rPr>
          <w:spacing w:val="-12"/>
          <w:sz w:val="24"/>
        </w:rPr>
        <w:t> </w:t>
      </w:r>
      <w:r>
        <w:rPr>
          <w:sz w:val="24"/>
        </w:rPr>
        <w:t>included.</w:t>
      </w:r>
      <w:r>
        <w:rPr>
          <w:color w:val="808080"/>
          <w:sz w:val="24"/>
        </w:rPr>
        <w:t> Click here to enter</w:t>
      </w:r>
      <w:r>
        <w:rPr>
          <w:color w:val="808080"/>
          <w:spacing w:val="-3"/>
          <w:sz w:val="24"/>
        </w:rPr>
        <w:t> </w:t>
      </w:r>
      <w:r>
        <w:rPr>
          <w:color w:val="808080"/>
          <w:sz w:val="24"/>
        </w:rPr>
        <w:t>text.</w:t>
      </w:r>
    </w:p>
    <w:p>
      <w:pPr>
        <w:pStyle w:val="BodyText"/>
        <w:rPr>
          <w:rFonts w:ascii="Times New Roman"/>
          <w:sz w:val="24"/>
        </w:rPr>
      </w:pPr>
    </w:p>
    <w:p>
      <w:pPr>
        <w:pStyle w:val="ListParagraph"/>
        <w:numPr>
          <w:ilvl w:val="0"/>
          <w:numId w:val="10"/>
        </w:numPr>
        <w:tabs>
          <w:tab w:pos="2020" w:val="left" w:leader="none"/>
        </w:tabs>
        <w:spacing w:line="240" w:lineRule="auto" w:before="0" w:after="0"/>
        <w:ind w:left="2020" w:right="7673" w:hanging="360"/>
        <w:jc w:val="left"/>
        <w:rPr>
          <w:sz w:val="24"/>
        </w:rPr>
      </w:pPr>
      <w:r>
        <w:rPr>
          <w:sz w:val="24"/>
        </w:rPr>
        <w:t>If no, why </w:t>
      </w:r>
      <w:r>
        <w:rPr>
          <w:spacing w:val="-4"/>
          <w:sz w:val="24"/>
        </w:rPr>
        <w:t>not? </w:t>
      </w:r>
      <w:r>
        <w:rPr>
          <w:sz w:val="24"/>
        </w:rPr>
        <w:t>Same as</w:t>
      </w:r>
      <w:r>
        <w:rPr>
          <w:spacing w:val="-2"/>
          <w:sz w:val="24"/>
        </w:rPr>
        <w:t> </w:t>
      </w:r>
      <w:r>
        <w:rPr>
          <w:sz w:val="24"/>
        </w:rPr>
        <w:t>b.ii.</w:t>
      </w:r>
    </w:p>
    <w:p>
      <w:pPr>
        <w:pStyle w:val="BodyText"/>
        <w:rPr>
          <w:rFonts w:ascii="Times New Roman"/>
          <w:sz w:val="24"/>
        </w:rPr>
      </w:pPr>
    </w:p>
    <w:p>
      <w:pPr>
        <w:pStyle w:val="ListParagraph"/>
        <w:numPr>
          <w:ilvl w:val="1"/>
          <w:numId w:val="7"/>
        </w:numPr>
        <w:tabs>
          <w:tab w:pos="1300" w:val="left" w:leader="none"/>
        </w:tabs>
        <w:spacing w:line="240" w:lineRule="auto" w:before="0" w:after="0"/>
        <w:ind w:left="1300" w:right="1027" w:hanging="360"/>
        <w:jc w:val="left"/>
        <w:rPr>
          <w:sz w:val="24"/>
        </w:rPr>
      </w:pPr>
      <w:r>
        <w:rPr>
          <w:sz w:val="24"/>
        </w:rPr>
        <w:t>Does your electronic health record system support any form of interface with other provider organizations’ systems which are not corporately affiliated or jointly contracting with your organization such that each organization can retrieve electronic health records on the other organization’s electronic health record system?</w:t>
      </w:r>
    </w:p>
    <w:p>
      <w:pPr>
        <w:spacing w:before="0"/>
        <w:ind w:left="1360" w:right="0" w:firstLine="0"/>
        <w:jc w:val="left"/>
        <w:rPr>
          <w:rFonts w:ascii="Times New Roman"/>
          <w:sz w:val="24"/>
        </w:rPr>
      </w:pPr>
      <w:r>
        <w:rPr>
          <w:rFonts w:ascii="Times New Roman"/>
          <w:sz w:val="24"/>
        </w:rPr>
        <w:t>No</w:t>
      </w:r>
    </w:p>
    <w:p>
      <w:pPr>
        <w:pStyle w:val="ListParagraph"/>
        <w:numPr>
          <w:ilvl w:val="0"/>
          <w:numId w:val="11"/>
        </w:numPr>
        <w:tabs>
          <w:tab w:pos="2019" w:val="left" w:leader="none"/>
          <w:tab w:pos="2020" w:val="left" w:leader="none"/>
        </w:tabs>
        <w:spacing w:line="240" w:lineRule="auto" w:before="0" w:after="0"/>
        <w:ind w:left="2020" w:right="373" w:hanging="360"/>
        <w:jc w:val="left"/>
        <w:rPr>
          <w:sz w:val="24"/>
        </w:rPr>
      </w:pPr>
      <w:r>
        <w:rPr>
          <w:sz w:val="24"/>
        </w:rPr>
        <w:t>If yes, please briefly describe the type(s) of interfaces that are available to outside organizations (e.g. full access, view only) and any conditions the outside organization must satisfy for such an</w:t>
      </w:r>
      <w:r>
        <w:rPr>
          <w:spacing w:val="-7"/>
          <w:sz w:val="24"/>
        </w:rPr>
        <w:t> </w:t>
      </w:r>
      <w:r>
        <w:rPr>
          <w:sz w:val="24"/>
        </w:rPr>
        <w:t>interface.</w:t>
      </w:r>
    </w:p>
    <w:p>
      <w:pPr>
        <w:spacing w:before="0"/>
        <w:ind w:left="2020" w:right="0" w:firstLine="0"/>
        <w:jc w:val="left"/>
        <w:rPr>
          <w:rFonts w:ascii="Times New Roman"/>
          <w:sz w:val="24"/>
        </w:rPr>
      </w:pPr>
      <w:r>
        <w:rPr>
          <w:rFonts w:ascii="Times New Roman"/>
          <w:color w:val="808080"/>
          <w:sz w:val="24"/>
        </w:rPr>
        <w:t>Click here to enter text.</w:t>
      </w:r>
    </w:p>
    <w:p>
      <w:pPr>
        <w:pStyle w:val="BodyText"/>
        <w:rPr>
          <w:rFonts w:ascii="Times New Roman"/>
          <w:sz w:val="24"/>
        </w:rPr>
      </w:pPr>
    </w:p>
    <w:p>
      <w:pPr>
        <w:pStyle w:val="ListParagraph"/>
        <w:numPr>
          <w:ilvl w:val="0"/>
          <w:numId w:val="11"/>
        </w:numPr>
        <w:tabs>
          <w:tab w:pos="2020" w:val="left" w:leader="none"/>
        </w:tabs>
        <w:spacing w:line="275" w:lineRule="exact" w:before="0" w:after="0"/>
        <w:ind w:left="2020" w:right="0" w:hanging="360"/>
        <w:jc w:val="left"/>
        <w:rPr>
          <w:sz w:val="24"/>
        </w:rPr>
      </w:pPr>
      <w:r>
        <w:rPr>
          <w:sz w:val="24"/>
        </w:rPr>
        <w:t>If no, why</w:t>
      </w:r>
      <w:r>
        <w:rPr>
          <w:spacing w:val="-5"/>
          <w:sz w:val="24"/>
        </w:rPr>
        <w:t> </w:t>
      </w:r>
      <w:r>
        <w:rPr>
          <w:sz w:val="24"/>
        </w:rPr>
        <w:t>not?</w:t>
      </w:r>
    </w:p>
    <w:p>
      <w:pPr>
        <w:spacing w:before="0"/>
        <w:ind w:left="2020" w:right="0" w:firstLine="0"/>
        <w:jc w:val="left"/>
        <w:rPr>
          <w:rFonts w:ascii="Times New Roman"/>
          <w:sz w:val="24"/>
        </w:rPr>
      </w:pPr>
      <w:r>
        <w:rPr>
          <w:rFonts w:ascii="Times New Roman"/>
          <w:sz w:val="24"/>
        </w:rPr>
        <w:t>We do not have an electronic health record system but we can retrieve information through Epic with special permission from our local hospital.</w:t>
      </w:r>
    </w:p>
    <w:p>
      <w:pPr>
        <w:pStyle w:val="BodyText"/>
        <w:spacing w:before="10"/>
        <w:rPr>
          <w:rFonts w:ascii="Times New Roman"/>
          <w:sz w:val="24"/>
        </w:rPr>
      </w:pPr>
    </w:p>
    <w:p>
      <w:pPr>
        <w:pStyle w:val="Heading3"/>
        <w:numPr>
          <w:ilvl w:val="0"/>
          <w:numId w:val="7"/>
        </w:numPr>
        <w:tabs>
          <w:tab w:pos="580" w:val="left" w:leader="none"/>
        </w:tabs>
        <w:spacing w:line="289" w:lineRule="exact" w:before="1" w:after="0"/>
        <w:ind w:left="580" w:right="0" w:hanging="360"/>
        <w:jc w:val="left"/>
      </w:pPr>
      <w:r>
        <w:rPr>
          <w:color w:val="1F487C"/>
        </w:rPr>
        <w:t>Strategies to Increase the Adoption of Alternative Payment</w:t>
      </w:r>
      <w:r>
        <w:rPr>
          <w:color w:val="1F487C"/>
          <w:spacing w:val="-3"/>
        </w:rPr>
        <w:t> </w:t>
      </w:r>
      <w:r>
        <w:rPr>
          <w:color w:val="1F487C"/>
        </w:rPr>
        <w:t>Methodologies.</w:t>
      </w:r>
    </w:p>
    <w:p>
      <w:pPr>
        <w:spacing w:line="240" w:lineRule="auto" w:before="0"/>
        <w:ind w:left="580" w:right="529" w:firstLine="0"/>
        <w:jc w:val="left"/>
        <w:rPr>
          <w:rFonts w:ascii="Times New Roman"/>
          <w:sz w:val="24"/>
        </w:rPr>
      </w:pPr>
      <w:r>
        <w:rPr>
          <w:rFonts w:ascii="Times New Roman"/>
          <w:sz w:val="24"/>
        </w:rPr>
        <w:t>In the 2015 Cost Trends Report, the HPC recommended that payers and providers should continue to increase their use of alternate payment methodologies (APMs), with the goal that 80% of the state HMO population and 33% of the state PPO population be enrolled in APMs by 2017.</w:t>
      </w:r>
    </w:p>
    <w:p>
      <w:pPr>
        <w:pStyle w:val="ListParagraph"/>
        <w:numPr>
          <w:ilvl w:val="1"/>
          <w:numId w:val="7"/>
        </w:numPr>
        <w:tabs>
          <w:tab w:pos="1300" w:val="left" w:leader="none"/>
        </w:tabs>
        <w:spacing w:line="240" w:lineRule="auto" w:before="0" w:after="0"/>
        <w:ind w:left="1300" w:right="281" w:hanging="360"/>
        <w:jc w:val="left"/>
        <w:rPr>
          <w:sz w:val="24"/>
        </w:rPr>
      </w:pPr>
      <w:r>
        <w:rPr>
          <w:sz w:val="24"/>
        </w:rPr>
        <w:t>What are the top strategies your organization is pursuing to increase the adoption of alternative payment methods (e.g., risk-based contracts, ACOs, PCMHs, global budgets, capitation, bundled</w:t>
      </w:r>
      <w:r>
        <w:rPr>
          <w:spacing w:val="-21"/>
          <w:sz w:val="24"/>
        </w:rPr>
        <w:t> </w:t>
      </w:r>
      <w:r>
        <w:rPr>
          <w:sz w:val="24"/>
        </w:rPr>
        <w:t>or episode-based-payments)? (Please limit your answer to no more than three</w:t>
      </w:r>
      <w:r>
        <w:rPr>
          <w:spacing w:val="-8"/>
          <w:sz w:val="24"/>
        </w:rPr>
        <w:t> </w:t>
      </w:r>
      <w:r>
        <w:rPr>
          <w:sz w:val="24"/>
        </w:rPr>
        <w:t>strategies)</w:t>
      </w:r>
    </w:p>
    <w:p>
      <w:pPr>
        <w:pStyle w:val="BodyText"/>
        <w:spacing w:before="6"/>
        <w:rPr>
          <w:rFonts w:ascii="Times New Roman"/>
          <w:sz w:val="23"/>
        </w:rPr>
      </w:pPr>
    </w:p>
    <w:p>
      <w:pPr>
        <w:spacing w:before="0"/>
        <w:ind w:left="1300" w:right="709" w:firstLine="0"/>
        <w:jc w:val="left"/>
        <w:rPr>
          <w:rFonts w:ascii="Times New Roman"/>
          <w:sz w:val="24"/>
        </w:rPr>
      </w:pPr>
      <w:r>
        <w:rPr>
          <w:rFonts w:ascii="Times New Roman"/>
          <w:sz w:val="24"/>
        </w:rPr>
        <w:t>*Our center has tried to work on bundled payments for self-insured companies and for self-pay patients but this process has been slow to implement.</w:t>
      </w:r>
    </w:p>
    <w:p>
      <w:pPr>
        <w:pStyle w:val="BodyText"/>
        <w:rPr>
          <w:rFonts w:ascii="Times New Roman"/>
          <w:sz w:val="24"/>
        </w:rPr>
      </w:pPr>
    </w:p>
    <w:p>
      <w:pPr>
        <w:pStyle w:val="ListParagraph"/>
        <w:numPr>
          <w:ilvl w:val="1"/>
          <w:numId w:val="7"/>
        </w:numPr>
        <w:tabs>
          <w:tab w:pos="1300" w:val="left" w:leader="none"/>
        </w:tabs>
        <w:spacing w:line="240" w:lineRule="auto" w:before="0" w:after="0"/>
        <w:ind w:left="1300" w:right="414" w:hanging="360"/>
        <w:jc w:val="left"/>
        <w:rPr>
          <w:sz w:val="24"/>
        </w:rPr>
      </w:pPr>
      <w:r>
        <w:rPr>
          <w:sz w:val="24"/>
        </w:rPr>
        <w:t>What are the top barriers to your organization’s increased adoption of APMs and how should</w:t>
      </w:r>
      <w:r>
        <w:rPr>
          <w:spacing w:val="-16"/>
          <w:sz w:val="24"/>
        </w:rPr>
        <w:t> </w:t>
      </w:r>
      <w:r>
        <w:rPr>
          <w:sz w:val="24"/>
        </w:rPr>
        <w:t>such barriers be addressed? (Please limit your answer to no more than three</w:t>
      </w:r>
      <w:r>
        <w:rPr>
          <w:spacing w:val="-5"/>
          <w:sz w:val="24"/>
        </w:rPr>
        <w:t> </w:t>
      </w:r>
      <w:r>
        <w:rPr>
          <w:sz w:val="24"/>
        </w:rPr>
        <w:t>barriers)</w:t>
      </w:r>
    </w:p>
    <w:p>
      <w:pPr>
        <w:pStyle w:val="BodyText"/>
        <w:rPr>
          <w:rFonts w:ascii="Times New Roman"/>
          <w:sz w:val="20"/>
        </w:rPr>
      </w:pPr>
    </w:p>
    <w:p>
      <w:pPr>
        <w:pStyle w:val="BodyText"/>
        <w:rPr>
          <w:rFonts w:ascii="Times New Roman"/>
          <w:sz w:val="27"/>
        </w:rPr>
      </w:pPr>
    </w:p>
    <w:p>
      <w:pPr>
        <w:spacing w:before="99"/>
        <w:ind w:left="0" w:right="138" w:firstLine="0"/>
        <w:jc w:val="right"/>
        <w:rPr>
          <w:rFonts w:ascii="Century Gothic"/>
          <w:sz w:val="20"/>
        </w:rPr>
      </w:pPr>
      <w:r>
        <w:rPr>
          <w:rFonts w:ascii="Century Gothic"/>
          <w:sz w:val="20"/>
        </w:rPr>
        <w:t>2016 Pre-Filed Testimony - 5</w:t>
      </w:r>
    </w:p>
    <w:p>
      <w:pPr>
        <w:spacing w:after="0"/>
        <w:jc w:val="right"/>
        <w:rPr>
          <w:rFonts w:ascii="Century Gothic"/>
          <w:sz w:val="20"/>
        </w:rPr>
        <w:sectPr>
          <w:pgSz w:w="12240" w:h="15840"/>
          <w:pgMar w:top="640" w:bottom="280" w:left="500" w:right="580"/>
        </w:sectPr>
      </w:pPr>
    </w:p>
    <w:p>
      <w:pPr>
        <w:pStyle w:val="ListParagraph"/>
        <w:numPr>
          <w:ilvl w:val="2"/>
          <w:numId w:val="7"/>
        </w:numPr>
        <w:tabs>
          <w:tab w:pos="1480" w:val="left" w:leader="none"/>
        </w:tabs>
        <w:spacing w:line="240" w:lineRule="auto" w:before="72" w:after="0"/>
        <w:ind w:left="1299" w:right="201" w:firstLine="0"/>
        <w:jc w:val="left"/>
        <w:rPr>
          <w:sz w:val="24"/>
        </w:rPr>
      </w:pPr>
      <w:r>
        <w:rPr>
          <w:sz w:val="24"/>
        </w:rPr>
        <w:t>The largest barrier for free standing ambulatory surgery centers is the rate at which they are paid (approx 52% of what an HOPD is paid.) Trying to work within the confines APMs would be almost impossible.</w:t>
      </w:r>
    </w:p>
    <w:p>
      <w:pPr>
        <w:pStyle w:val="BodyText"/>
        <w:rPr>
          <w:rFonts w:ascii="Times New Roman"/>
          <w:sz w:val="24"/>
        </w:rPr>
      </w:pPr>
    </w:p>
    <w:p>
      <w:pPr>
        <w:pStyle w:val="ListParagraph"/>
        <w:numPr>
          <w:ilvl w:val="1"/>
          <w:numId w:val="7"/>
        </w:numPr>
        <w:tabs>
          <w:tab w:pos="1300" w:val="left" w:leader="none"/>
        </w:tabs>
        <w:spacing w:line="240" w:lineRule="auto" w:before="0" w:after="0"/>
        <w:ind w:left="1300" w:right="0" w:hanging="361"/>
        <w:jc w:val="left"/>
        <w:rPr>
          <w:sz w:val="24"/>
        </w:rPr>
      </w:pPr>
      <w:r>
        <w:rPr>
          <w:sz w:val="24"/>
        </w:rPr>
        <w:t>Are behavioral health services included in your APM contracts with</w:t>
      </w:r>
      <w:r>
        <w:rPr>
          <w:spacing w:val="-2"/>
          <w:sz w:val="24"/>
        </w:rPr>
        <w:t> </w:t>
      </w:r>
      <w:r>
        <w:rPr>
          <w:sz w:val="24"/>
        </w:rPr>
        <w:t>payers?</w:t>
      </w:r>
    </w:p>
    <w:p>
      <w:pPr>
        <w:pStyle w:val="BodyText"/>
        <w:spacing w:before="5"/>
        <w:ind w:left="1300"/>
      </w:pPr>
      <w:r>
        <w:rPr/>
        <w:t>No</w:t>
      </w:r>
    </w:p>
    <w:p>
      <w:pPr>
        <w:tabs>
          <w:tab w:pos="2019" w:val="left" w:leader="none"/>
        </w:tabs>
        <w:spacing w:line="240" w:lineRule="auto" w:before="0"/>
        <w:ind w:left="2019" w:right="7470" w:hanging="360"/>
        <w:jc w:val="left"/>
        <w:rPr>
          <w:rFonts w:ascii="Times New Roman"/>
          <w:sz w:val="24"/>
        </w:rPr>
      </w:pPr>
      <w:r>
        <w:rPr>
          <w:rFonts w:ascii="Times New Roman"/>
          <w:sz w:val="24"/>
        </w:rPr>
        <w:t>i.</w:t>
        <w:tab/>
        <w:t>If no, why not? Day surgery</w:t>
      </w:r>
      <w:r>
        <w:rPr>
          <w:rFonts w:ascii="Times New Roman"/>
          <w:spacing w:val="-1"/>
          <w:sz w:val="24"/>
        </w:rPr>
        <w:t> </w:t>
      </w:r>
      <w:r>
        <w:rPr>
          <w:rFonts w:ascii="Times New Roman"/>
          <w:spacing w:val="-4"/>
          <w:sz w:val="24"/>
        </w:rPr>
        <w:t>only</w:t>
      </w:r>
    </w:p>
    <w:p>
      <w:pPr>
        <w:pStyle w:val="BodyText"/>
        <w:spacing w:before="2"/>
        <w:rPr>
          <w:rFonts w:ascii="Times New Roman"/>
          <w:sz w:val="24"/>
        </w:rPr>
      </w:pPr>
    </w:p>
    <w:p>
      <w:pPr>
        <w:pStyle w:val="Heading3"/>
        <w:numPr>
          <w:ilvl w:val="0"/>
          <w:numId w:val="7"/>
        </w:numPr>
        <w:tabs>
          <w:tab w:pos="580" w:val="left" w:leader="none"/>
        </w:tabs>
        <w:spacing w:line="290" w:lineRule="exact" w:before="0" w:after="0"/>
        <w:ind w:left="580" w:right="0" w:hanging="361"/>
        <w:jc w:val="left"/>
        <w:rPr>
          <w:rFonts w:ascii="Times New Roman"/>
        </w:rPr>
      </w:pPr>
      <w:r>
        <w:rPr>
          <w:color w:val="1F487C"/>
        </w:rPr>
        <w:t>Strategies to Improve Quality</w:t>
      </w:r>
      <w:r>
        <w:rPr>
          <w:color w:val="1F487C"/>
          <w:spacing w:val="-1"/>
        </w:rPr>
        <w:t> </w:t>
      </w:r>
      <w:r>
        <w:rPr>
          <w:color w:val="1F487C"/>
        </w:rPr>
        <w:t>Reporting</w:t>
      </w:r>
      <w:r>
        <w:rPr>
          <w:rFonts w:ascii="Times New Roman"/>
        </w:rPr>
        <w:t>.</w:t>
      </w:r>
    </w:p>
    <w:p>
      <w:pPr>
        <w:spacing w:line="240" w:lineRule="auto" w:before="0"/>
        <w:ind w:left="579" w:right="229" w:firstLine="0"/>
        <w:jc w:val="left"/>
        <w:rPr>
          <w:rFonts w:ascii="Times New Roman"/>
          <w:sz w:val="24"/>
        </w:rPr>
      </w:pPr>
      <w:r>
        <w:rPr>
          <w:rFonts w:ascii="Times New Roman"/>
          <w:sz w:val="24"/>
        </w:rPr>
        <w:t>At the Cost Trends Hearings in 2013, 2014, and 2015, providers consistently called for statewide alignment on quality measures, both to reduce administrative burden and to create clear direction for focusing quality- improvement efforts. Providers have demonstrated that the level of operational resources (e.g. FTEs, amount spent on contracted resources) needed to comply with different quality reporting requirements for different health plans can be significant.</w:t>
      </w:r>
    </w:p>
    <w:p>
      <w:pPr>
        <w:pStyle w:val="ListParagraph"/>
        <w:numPr>
          <w:ilvl w:val="1"/>
          <w:numId w:val="7"/>
        </w:numPr>
        <w:tabs>
          <w:tab w:pos="1300" w:val="left" w:leader="none"/>
        </w:tabs>
        <w:spacing w:line="240" w:lineRule="auto" w:before="0" w:after="0"/>
        <w:ind w:left="1300" w:right="336" w:hanging="360"/>
        <w:jc w:val="left"/>
        <w:rPr>
          <w:sz w:val="24"/>
        </w:rPr>
      </w:pPr>
      <w:r>
        <w:rPr>
          <w:sz w:val="24"/>
        </w:rPr>
        <w:t>Please describe the extent to which lack of alignment in quality reporting poses challenges for</w:t>
      </w:r>
      <w:r>
        <w:rPr>
          <w:spacing w:val="-26"/>
          <w:sz w:val="24"/>
        </w:rPr>
        <w:t> </w:t>
      </w:r>
      <w:r>
        <w:rPr>
          <w:sz w:val="24"/>
        </w:rPr>
        <w:t>your organization and how your organization has sought to address any such</w:t>
      </w:r>
      <w:r>
        <w:rPr>
          <w:spacing w:val="-7"/>
          <w:sz w:val="24"/>
        </w:rPr>
        <w:t> </w:t>
      </w:r>
      <w:r>
        <w:rPr>
          <w:sz w:val="24"/>
        </w:rPr>
        <w:t>challenges.</w:t>
      </w:r>
    </w:p>
    <w:p>
      <w:pPr>
        <w:pStyle w:val="BodyText"/>
        <w:spacing w:before="7"/>
        <w:rPr>
          <w:rFonts w:ascii="Times New Roman"/>
          <w:sz w:val="23"/>
        </w:rPr>
      </w:pPr>
    </w:p>
    <w:p>
      <w:pPr>
        <w:pStyle w:val="ListParagraph"/>
        <w:numPr>
          <w:ilvl w:val="2"/>
          <w:numId w:val="7"/>
        </w:numPr>
        <w:tabs>
          <w:tab w:pos="1483" w:val="left" w:leader="none"/>
        </w:tabs>
        <w:spacing w:line="240" w:lineRule="auto" w:before="0" w:after="0"/>
        <w:ind w:left="940" w:right="203" w:firstLine="360"/>
        <w:jc w:val="left"/>
        <w:rPr>
          <w:sz w:val="24"/>
        </w:rPr>
      </w:pPr>
      <w:r>
        <w:rPr>
          <w:sz w:val="24"/>
        </w:rPr>
        <w:t>Lack of alignment statewide would add another level of stress to already overburdened administration, staff and physicians. We currently do required quality reporting to CMS. </w:t>
      </w:r>
      <w:r>
        <w:rPr>
          <w:spacing w:val="-3"/>
          <w:sz w:val="24"/>
        </w:rPr>
        <w:t>If </w:t>
      </w:r>
      <w:r>
        <w:rPr>
          <w:sz w:val="24"/>
        </w:rPr>
        <w:t>each health plan required reporting, the amount of time spent would be greater than the time needed for patient</w:t>
      </w:r>
      <w:r>
        <w:rPr>
          <w:spacing w:val="-21"/>
          <w:sz w:val="24"/>
        </w:rPr>
        <w:t> </w:t>
      </w:r>
      <w:r>
        <w:rPr>
          <w:sz w:val="24"/>
        </w:rPr>
        <w:t>care. It is important that any statewide alignment not add to the already overburdened administrative staff but possibly work with the national reporting already in</w:t>
      </w:r>
      <w:r>
        <w:rPr>
          <w:spacing w:val="-13"/>
          <w:sz w:val="24"/>
        </w:rPr>
        <w:t> </w:t>
      </w:r>
      <w:r>
        <w:rPr>
          <w:sz w:val="24"/>
        </w:rPr>
        <w:t>effect.</w:t>
      </w:r>
    </w:p>
    <w:p>
      <w:pPr>
        <w:pStyle w:val="BodyText"/>
        <w:rPr>
          <w:rFonts w:ascii="Times New Roman"/>
          <w:sz w:val="24"/>
        </w:rPr>
      </w:pPr>
    </w:p>
    <w:p>
      <w:pPr>
        <w:pStyle w:val="ListParagraph"/>
        <w:numPr>
          <w:ilvl w:val="1"/>
          <w:numId w:val="7"/>
        </w:numPr>
        <w:tabs>
          <w:tab w:pos="1300" w:val="left" w:leader="none"/>
        </w:tabs>
        <w:spacing w:line="240" w:lineRule="auto" w:before="0" w:after="0"/>
        <w:ind w:left="1300" w:right="389" w:hanging="360"/>
        <w:jc w:val="left"/>
        <w:rPr>
          <w:sz w:val="24"/>
        </w:rPr>
      </w:pPr>
      <w:r>
        <w:rPr>
          <w:sz w:val="24"/>
        </w:rPr>
        <w:t>Please describe any suggested strategies to promote alignment in the number, type (i.e. process, outcome or patient experience), and specifications of quality measures in use as well as the quality measurement reporting requirements to payers (e.g., reporting frequency and reporting</w:t>
      </w:r>
      <w:r>
        <w:rPr>
          <w:spacing w:val="-21"/>
          <w:sz w:val="24"/>
        </w:rPr>
        <w:t> </w:t>
      </w:r>
      <w:r>
        <w:rPr>
          <w:sz w:val="24"/>
        </w:rPr>
        <w:t>format).</w:t>
      </w:r>
    </w:p>
    <w:p>
      <w:pPr>
        <w:pStyle w:val="BodyText"/>
        <w:rPr>
          <w:rFonts w:ascii="Times New Roman"/>
          <w:sz w:val="24"/>
        </w:rPr>
      </w:pPr>
    </w:p>
    <w:p>
      <w:pPr>
        <w:spacing w:before="1"/>
        <w:ind w:left="940" w:right="615" w:firstLine="360"/>
        <w:jc w:val="left"/>
        <w:rPr>
          <w:rFonts w:ascii="Times New Roman"/>
          <w:sz w:val="24"/>
        </w:rPr>
      </w:pPr>
      <w:r>
        <w:rPr>
          <w:rFonts w:ascii="Times New Roman"/>
          <w:sz w:val="24"/>
        </w:rPr>
        <w:t>*It is suggested that the state not add any additional quality measures to the list already required nationally.</w:t>
      </w:r>
    </w:p>
    <w:p>
      <w:pPr>
        <w:pStyle w:val="BodyText"/>
        <w:spacing w:before="1"/>
        <w:rPr>
          <w:rFonts w:ascii="Times New Roman"/>
          <w:sz w:val="24"/>
        </w:rPr>
      </w:pPr>
    </w:p>
    <w:p>
      <w:pPr>
        <w:pStyle w:val="ListParagraph"/>
        <w:numPr>
          <w:ilvl w:val="0"/>
          <w:numId w:val="7"/>
        </w:numPr>
        <w:tabs>
          <w:tab w:pos="580" w:val="left" w:leader="none"/>
        </w:tabs>
        <w:spacing w:line="240" w:lineRule="auto" w:before="1" w:after="0"/>
        <w:ind w:left="580" w:right="195" w:hanging="360"/>
        <w:jc w:val="left"/>
        <w:rPr>
          <w:sz w:val="24"/>
        </w:rPr>
      </w:pPr>
      <w:r>
        <w:rPr>
          <w:rFonts w:ascii="Century Gothic"/>
          <w:b/>
          <w:color w:val="1F487C"/>
          <w:sz w:val="24"/>
        </w:rPr>
        <w:t>Optional Supplemental Information</w:t>
      </w:r>
      <w:r>
        <w:rPr>
          <w:b/>
          <w:sz w:val="24"/>
        </w:rPr>
        <w:t>. </w:t>
      </w:r>
      <w:r>
        <w:rPr>
          <w:sz w:val="24"/>
        </w:rPr>
        <w:t>On a voluntary basis, please provide any supplemental information on topics addressed in your response including, for example, any other policy, regulatory, payment, or statutory changes you would recommend to: a.) address the growth in pharmaceutical prices and spending; b.) enable the integration of behavioral health care; c.) enable the incorporation of services to address social determinants of health for your patients; d.) encourage the utilization of high-value</w:t>
      </w:r>
      <w:r>
        <w:rPr>
          <w:spacing w:val="-23"/>
          <w:sz w:val="24"/>
        </w:rPr>
        <w:t> </w:t>
      </w:r>
      <w:r>
        <w:rPr>
          <w:sz w:val="24"/>
        </w:rPr>
        <w:t>providers, regardless of system affiliation; e.) enable the adoption of APMs; and f.) promote alignment of quality measurement and</w:t>
      </w:r>
      <w:r>
        <w:rPr>
          <w:spacing w:val="1"/>
          <w:sz w:val="24"/>
        </w:rPr>
        <w:t> </w:t>
      </w:r>
      <w:r>
        <w:rPr>
          <w:sz w:val="24"/>
        </w:rPr>
        <w:t>reporting.</w:t>
      </w:r>
    </w:p>
    <w:p>
      <w:pPr>
        <w:spacing w:line="293" w:lineRule="exact" w:before="1"/>
        <w:ind w:left="220" w:right="0" w:firstLine="0"/>
        <w:jc w:val="left"/>
        <w:rPr>
          <w:rFonts w:ascii="Century Gothic"/>
          <w:sz w:val="24"/>
        </w:rPr>
      </w:pPr>
      <w:r>
        <w:rPr>
          <w:rFonts w:ascii="Century Gothic"/>
          <w:color w:val="1F487C"/>
          <w:sz w:val="24"/>
        </w:rPr>
        <w:t>9.</w:t>
      </w:r>
    </w:p>
    <w:p>
      <w:pPr>
        <w:spacing w:before="0"/>
        <w:ind w:left="580" w:right="503" w:firstLine="0"/>
        <w:jc w:val="left"/>
        <w:rPr>
          <w:rFonts w:ascii="Times New Roman"/>
          <w:sz w:val="24"/>
        </w:rPr>
      </w:pPr>
      <w:r>
        <w:rPr>
          <w:rFonts w:ascii="Times New Roman"/>
          <w:sz w:val="24"/>
        </w:rPr>
        <w:t>*It is high recommended that the proposed revision of 105 CMR 100.000: Determination of Need not be considered. The proposed restrictions will not aid the state in reducing Health Care Cost Growth but contribute to the unnecessary increases. Free Standing Ambulatory Surgery Centers are able to provide much less expensive, but high quality care to patients already overwhelmed by being forced to change to health plans with increased costs and higher deductibles.</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3"/>
        </w:rPr>
      </w:pPr>
    </w:p>
    <w:p>
      <w:pPr>
        <w:spacing w:before="99"/>
        <w:ind w:left="0" w:right="138" w:firstLine="0"/>
        <w:jc w:val="right"/>
        <w:rPr>
          <w:rFonts w:ascii="Century Gothic"/>
          <w:sz w:val="20"/>
        </w:rPr>
      </w:pPr>
      <w:r>
        <w:rPr>
          <w:rFonts w:ascii="Century Gothic"/>
          <w:sz w:val="20"/>
        </w:rPr>
        <w:t>2016 Pre-Filed Testimony - 6</w:t>
      </w:r>
    </w:p>
    <w:p>
      <w:pPr>
        <w:spacing w:after="0"/>
        <w:jc w:val="right"/>
        <w:rPr>
          <w:rFonts w:ascii="Century Gothic"/>
          <w:sz w:val="20"/>
        </w:rPr>
        <w:sectPr>
          <w:pgSz w:w="12240" w:h="15840"/>
          <w:pgMar w:top="640" w:bottom="280" w:left="500" w:right="580"/>
        </w:sectPr>
      </w:pPr>
    </w:p>
    <w:p>
      <w:pPr>
        <w:pStyle w:val="Heading1"/>
        <w:spacing w:before="82"/>
      </w:pPr>
      <w:r>
        <w:rPr>
          <w:color w:val="1F487C"/>
        </w:rPr>
        <w:t>Exhibit C: AGO Questions for Written Testimony</w:t>
      </w:r>
    </w:p>
    <w:p>
      <w:pPr>
        <w:pStyle w:val="BodyText"/>
        <w:spacing w:before="3"/>
        <w:rPr>
          <w:rFonts w:ascii="Century Gothic"/>
          <w:b/>
          <w:sz w:val="17"/>
        </w:rPr>
      </w:pPr>
      <w:r>
        <w:rPr/>
        <w:pict>
          <v:shape style="position:absolute;margin-left:37.5pt;margin-top:11.782812pt;width:540pt;height:49.5pt;mso-position-horizontal-relative:page;mso-position-vertical-relative:paragraph;z-index:-15721984;mso-wrap-distance-left:0;mso-wrap-distance-right:0" type="#_x0000_t202" filled="true" fillcolor="#dbedf4" stroked="false">
            <v:textbox inset="0,0,0,0">
              <w:txbxContent>
                <w:p>
                  <w:pPr>
                    <w:pStyle w:val="BodyText"/>
                    <w:spacing w:before="94"/>
                    <w:ind w:left="164" w:right="708"/>
                    <w:rPr>
                      <w:rFonts w:ascii="Century Gothic"/>
                    </w:rPr>
                  </w:pPr>
                  <w:r>
                    <w:rPr>
                      <w:rFonts w:ascii="Century Gothic"/>
                    </w:rPr>
                    <w:t>The following questions were included by the Office of the Attorney General. For any inquiries regarding these questions, please contact Assistant Attorney General Emily Gabrault, </w:t>
                  </w:r>
                  <w:hyperlink r:id="rId18">
                    <w:r>
                      <w:rPr>
                        <w:rFonts w:ascii="Century Gothic"/>
                        <w:color w:val="0000FF"/>
                        <w:u w:val="single" w:color="0000FF"/>
                      </w:rPr>
                      <w:t>Emily.Gabrault@state.ma.us</w:t>
                    </w:r>
                    <w:r>
                      <w:rPr>
                        <w:rFonts w:ascii="Century Gothic"/>
                        <w:color w:val="0000FF"/>
                      </w:rPr>
                      <w:t> </w:t>
                    </w:r>
                  </w:hyperlink>
                  <w:r>
                    <w:rPr>
                      <w:rFonts w:ascii="Century Gothic"/>
                    </w:rPr>
                    <w:t>or (617)963-2636</w:t>
                  </w:r>
                </w:p>
              </w:txbxContent>
            </v:textbox>
            <v:fill type="solid"/>
            <w10:wrap type="topAndBottom"/>
          </v:shape>
        </w:pict>
      </w:r>
    </w:p>
    <w:p>
      <w:pPr>
        <w:pStyle w:val="ListParagraph"/>
        <w:numPr>
          <w:ilvl w:val="0"/>
          <w:numId w:val="12"/>
        </w:numPr>
        <w:tabs>
          <w:tab w:pos="940" w:val="left" w:leader="none"/>
        </w:tabs>
        <w:spacing w:line="240" w:lineRule="auto" w:before="274" w:after="0"/>
        <w:ind w:left="939" w:right="210" w:hanging="360"/>
        <w:jc w:val="left"/>
        <w:rPr>
          <w:sz w:val="22"/>
        </w:rPr>
      </w:pPr>
      <w:r>
        <w:rPr>
          <w:sz w:val="22"/>
        </w:rPr>
        <w:t>Please submit a summary table showing for each year 2012 to 2015 your total revenue under pay for performance arrangements, risk contracts, and other fee for service arrangements according to the format and parameters reflected in the attached </w:t>
      </w:r>
      <w:r>
        <w:rPr>
          <w:b/>
          <w:spacing w:val="-2"/>
          <w:sz w:val="22"/>
          <w:u w:val="thick"/>
        </w:rPr>
        <w:t>AGO </w:t>
      </w:r>
      <w:r>
        <w:rPr>
          <w:b/>
          <w:sz w:val="22"/>
          <w:u w:val="thick"/>
        </w:rPr>
        <w:t>Provider Exhibit 1,</w:t>
      </w:r>
      <w:r>
        <w:rPr>
          <w:b/>
          <w:sz w:val="22"/>
        </w:rPr>
        <w:t> </w:t>
      </w:r>
      <w:r>
        <w:rPr>
          <w:sz w:val="22"/>
        </w:rPr>
        <w:t>with all applicable fields completed. To the extent you are unable to provide complete answers for any category of revenue, please explain the reasons why. Include in your response any portion of your physicians for whom you were not able to report a category (or categories) of revenue.</w:t>
      </w:r>
    </w:p>
    <w:p>
      <w:pPr>
        <w:spacing w:line="275" w:lineRule="exact" w:before="0"/>
        <w:ind w:left="940" w:right="0" w:firstLine="0"/>
        <w:jc w:val="left"/>
        <w:rPr>
          <w:rFonts w:ascii="Times New Roman"/>
          <w:sz w:val="24"/>
        </w:rPr>
      </w:pPr>
      <w:r>
        <w:rPr>
          <w:rFonts w:ascii="Times New Roman"/>
          <w:color w:val="808080"/>
          <w:sz w:val="24"/>
        </w:rPr>
        <w:t>Click here to enter text.</w:t>
      </w:r>
    </w:p>
    <w:p>
      <w:pPr>
        <w:pStyle w:val="BodyText"/>
        <w:spacing w:before="7"/>
        <w:rPr>
          <w:rFonts w:ascii="Times New Roman"/>
          <w:sz w:val="25"/>
        </w:rPr>
      </w:pPr>
    </w:p>
    <w:p>
      <w:pPr>
        <w:pStyle w:val="ListParagraph"/>
        <w:numPr>
          <w:ilvl w:val="0"/>
          <w:numId w:val="12"/>
        </w:numPr>
        <w:tabs>
          <w:tab w:pos="941" w:val="left" w:leader="none"/>
        </w:tabs>
        <w:spacing w:line="240" w:lineRule="auto" w:before="0" w:after="0"/>
        <w:ind w:left="940" w:right="1027" w:hanging="360"/>
        <w:jc w:val="both"/>
        <w:rPr>
          <w:sz w:val="22"/>
        </w:rPr>
      </w:pPr>
      <w:r>
        <w:rPr>
          <w:sz w:val="22"/>
        </w:rPr>
        <w:t>Chapter 224 requires providers to make available to patients and prospective patients requested price for admissions, procedures, and</w:t>
      </w:r>
      <w:r>
        <w:rPr>
          <w:spacing w:val="-1"/>
          <w:sz w:val="22"/>
        </w:rPr>
        <w:t> </w:t>
      </w:r>
      <w:r>
        <w:rPr>
          <w:sz w:val="22"/>
        </w:rPr>
        <w:t>services.</w:t>
      </w:r>
    </w:p>
    <w:p>
      <w:pPr>
        <w:pStyle w:val="ListParagraph"/>
        <w:numPr>
          <w:ilvl w:val="1"/>
          <w:numId w:val="12"/>
        </w:numPr>
        <w:tabs>
          <w:tab w:pos="1661" w:val="left" w:leader="none"/>
        </w:tabs>
        <w:spacing w:line="240" w:lineRule="auto" w:before="0" w:after="0"/>
        <w:ind w:left="1660" w:right="241" w:hanging="361"/>
        <w:jc w:val="both"/>
        <w:rPr>
          <w:sz w:val="22"/>
        </w:rPr>
      </w:pPr>
      <w:r>
        <w:rPr>
          <w:sz w:val="22"/>
        </w:rPr>
        <w:t>Please describe any systems or processes your organization has in place to respond to consumer inquiries regarding the price of admissions, procedures, or services, and how those systems or processes may have changed since Chapter 224.</w:t>
      </w:r>
    </w:p>
    <w:p>
      <w:pPr>
        <w:pStyle w:val="BodyText"/>
        <w:spacing w:before="7"/>
        <w:rPr>
          <w:rFonts w:ascii="Times New Roman"/>
          <w:sz w:val="23"/>
        </w:rPr>
      </w:pPr>
    </w:p>
    <w:p>
      <w:pPr>
        <w:pStyle w:val="BodyText"/>
        <w:ind w:left="940" w:right="141" w:firstLine="720"/>
      </w:pPr>
      <w:r>
        <w:rPr/>
        <w:t>*Whenever a patient inquires about prices for procedures or what their responsibility would be, we look at their insurance plan and its corresponding fee schedule and give them an approximate amount. Patients are always told that this is an estimate and may change as clinically needed.</w:t>
      </w:r>
    </w:p>
    <w:p>
      <w:pPr>
        <w:pStyle w:val="BodyText"/>
        <w:spacing w:before="5"/>
        <w:rPr>
          <w:sz w:val="20"/>
        </w:rPr>
      </w:pPr>
    </w:p>
    <w:p>
      <w:pPr>
        <w:pStyle w:val="ListParagraph"/>
        <w:numPr>
          <w:ilvl w:val="1"/>
          <w:numId w:val="12"/>
        </w:numPr>
        <w:tabs>
          <w:tab w:pos="1661" w:val="left" w:leader="none"/>
        </w:tabs>
        <w:spacing w:line="240" w:lineRule="auto" w:before="1" w:after="0"/>
        <w:ind w:left="1660" w:right="150" w:hanging="360"/>
        <w:jc w:val="both"/>
        <w:rPr>
          <w:sz w:val="22"/>
        </w:rPr>
      </w:pPr>
      <w:r>
        <w:rPr>
          <w:sz w:val="22"/>
        </w:rPr>
        <w:t>Please describe any monitoring or analysis you conduct concerning the accuracy and/or timeliness of your responses to consumer requests for price information, and the results of any such monitoring or</w:t>
      </w:r>
      <w:r>
        <w:rPr>
          <w:spacing w:val="-24"/>
          <w:sz w:val="22"/>
        </w:rPr>
        <w:t> </w:t>
      </w:r>
      <w:r>
        <w:rPr>
          <w:sz w:val="22"/>
        </w:rPr>
        <w:t>analyses.</w:t>
      </w:r>
    </w:p>
    <w:p>
      <w:pPr>
        <w:pStyle w:val="BodyText"/>
        <w:spacing w:before="7"/>
        <w:rPr>
          <w:rFonts w:ascii="Times New Roman"/>
          <w:sz w:val="27"/>
        </w:rPr>
      </w:pPr>
    </w:p>
    <w:p>
      <w:pPr>
        <w:spacing w:line="276" w:lineRule="auto" w:before="0"/>
        <w:ind w:left="940" w:right="428" w:firstLine="720"/>
        <w:jc w:val="left"/>
        <w:rPr>
          <w:rFonts w:ascii="Times New Roman"/>
          <w:sz w:val="24"/>
        </w:rPr>
      </w:pPr>
      <w:r>
        <w:rPr>
          <w:rFonts w:ascii="Times New Roman"/>
          <w:sz w:val="24"/>
        </w:rPr>
        <w:t>*We do not monitor the timeliness of our response as the requested information is given at the time of the initial call. Patients are told during the call that this is solely an estimate and may change due to the many variables that can occur during their procedure.</w:t>
      </w:r>
    </w:p>
    <w:p>
      <w:pPr>
        <w:pStyle w:val="BodyText"/>
        <w:spacing w:before="11"/>
        <w:rPr>
          <w:rFonts w:ascii="Times New Roman"/>
          <w:sz w:val="21"/>
        </w:rPr>
      </w:pPr>
    </w:p>
    <w:p>
      <w:pPr>
        <w:pStyle w:val="ListParagraph"/>
        <w:numPr>
          <w:ilvl w:val="1"/>
          <w:numId w:val="12"/>
        </w:numPr>
        <w:tabs>
          <w:tab w:pos="1660" w:val="left" w:leader="none"/>
          <w:tab w:pos="1661" w:val="left" w:leader="none"/>
        </w:tabs>
        <w:spacing w:line="240" w:lineRule="auto" w:before="0" w:after="0"/>
        <w:ind w:left="1660" w:right="1102" w:hanging="361"/>
        <w:jc w:val="left"/>
        <w:rPr>
          <w:sz w:val="22"/>
        </w:rPr>
      </w:pPr>
      <w:r>
        <w:rPr>
          <w:sz w:val="22"/>
        </w:rPr>
        <w:t>What barriers do you encounter in accurately/timely responding to consumer inquiries for price information? How have you sought to address each of these</w:t>
      </w:r>
      <w:r>
        <w:rPr>
          <w:spacing w:val="-6"/>
          <w:sz w:val="22"/>
        </w:rPr>
        <w:t> </w:t>
      </w:r>
      <w:r>
        <w:rPr>
          <w:sz w:val="22"/>
        </w:rPr>
        <w:t>barriers?</w:t>
      </w:r>
    </w:p>
    <w:p>
      <w:pPr>
        <w:pStyle w:val="BodyText"/>
        <w:spacing w:before="7"/>
        <w:rPr>
          <w:rFonts w:ascii="Times New Roman"/>
          <w:sz w:val="27"/>
        </w:rPr>
      </w:pPr>
    </w:p>
    <w:p>
      <w:pPr>
        <w:spacing w:line="276" w:lineRule="auto" w:before="0"/>
        <w:ind w:left="940" w:right="231" w:firstLine="720"/>
        <w:jc w:val="left"/>
        <w:rPr>
          <w:rFonts w:ascii="Times New Roman"/>
          <w:sz w:val="24"/>
        </w:rPr>
      </w:pPr>
      <w:r>
        <w:rPr>
          <w:rFonts w:ascii="Times New Roman"/>
          <w:sz w:val="24"/>
        </w:rPr>
        <w:t>*We have found no issues with responding to inquiries. The only issues that occasionally arise are the surgeon modifying or changing the procedure as clinical needs occur.</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6"/>
        </w:rPr>
      </w:pPr>
    </w:p>
    <w:p>
      <w:pPr>
        <w:spacing w:before="99"/>
        <w:ind w:left="0" w:right="138" w:firstLine="0"/>
        <w:jc w:val="right"/>
        <w:rPr>
          <w:rFonts w:ascii="Century Gothic"/>
          <w:sz w:val="20"/>
        </w:rPr>
      </w:pPr>
      <w:r>
        <w:rPr>
          <w:rFonts w:ascii="Century Gothic"/>
          <w:sz w:val="20"/>
        </w:rPr>
        <w:t>2016 Pre-Filed Testimony - 7</w:t>
      </w:r>
    </w:p>
    <w:p>
      <w:pPr>
        <w:spacing w:after="0"/>
        <w:jc w:val="right"/>
        <w:rPr>
          <w:rFonts w:ascii="Century Gothic"/>
          <w:sz w:val="20"/>
        </w:rPr>
        <w:sectPr>
          <w:pgSz w:w="12240" w:h="15840"/>
          <w:pgMar w:top="640" w:bottom="280" w:left="500" w:right="580"/>
        </w:sectPr>
      </w:pPr>
    </w:p>
    <w:p>
      <w:pPr>
        <w:spacing w:before="79"/>
        <w:ind w:left="77" w:right="0" w:firstLine="0"/>
        <w:jc w:val="center"/>
        <w:rPr>
          <w:rFonts w:ascii="Times New Roman"/>
          <w:b/>
          <w:sz w:val="24"/>
        </w:rPr>
      </w:pPr>
      <w:r>
        <w:rPr/>
        <w:pict>
          <v:group style="position:absolute;margin-left:69.100098pt;margin-top:23.086952pt;width:514.25pt;height:2.25pt;mso-position-horizontal-relative:page;mso-position-vertical-relative:paragraph;z-index:15735808" coordorigin="1382,462" coordsize="10285,45">
            <v:line style="position:absolute" from="1382,480" to="11662,480" stroked="true" strokeweight=".75pt" strokecolor="#dd9f37">
              <v:stroke dashstyle="solid"/>
            </v:line>
            <v:line style="position:absolute" from="1387,484" to="11667,484" stroked="true" strokeweight="2.25pt" strokecolor="#0b2c83">
              <v:stroke dashstyle="solid"/>
            </v:line>
            <w10:wrap type="none"/>
          </v:group>
        </w:pict>
      </w:r>
      <w:bookmarkStart w:name="Exhibit B testimony 9.2015" w:id="42"/>
      <w:bookmarkEnd w:id="42"/>
      <w:r>
        <w:rPr/>
      </w:r>
      <w:r>
        <w:rPr>
          <w:rFonts w:ascii="Times New Roman"/>
          <w:b/>
          <w:sz w:val="24"/>
        </w:rPr>
        <w:t>Exhibit B: HPC Questions for Written Testimony</w:t>
      </w:r>
    </w:p>
    <w:p>
      <w:pPr>
        <w:pStyle w:val="BodyText"/>
        <w:spacing w:before="5"/>
        <w:rPr>
          <w:rFonts w:ascii="Times New Roman"/>
          <w:b/>
          <w:sz w:val="30"/>
        </w:rPr>
      </w:pPr>
    </w:p>
    <w:p>
      <w:pPr>
        <w:pStyle w:val="ListParagraph"/>
        <w:numPr>
          <w:ilvl w:val="0"/>
          <w:numId w:val="13"/>
        </w:numPr>
        <w:tabs>
          <w:tab w:pos="1660" w:val="left" w:leader="none"/>
        </w:tabs>
        <w:spacing w:line="240" w:lineRule="auto" w:before="0" w:after="0"/>
        <w:ind w:left="1660" w:right="1002" w:hanging="360"/>
        <w:jc w:val="left"/>
        <w:rPr>
          <w:sz w:val="24"/>
        </w:rPr>
      </w:pPr>
      <w:r>
        <w:rPr>
          <w:sz w:val="24"/>
        </w:rPr>
        <w:t>Chapter 224 of the Acts of 2012 (Chapter 224) sets a health care cost growth</w:t>
      </w:r>
      <w:r>
        <w:rPr>
          <w:spacing w:val="-17"/>
          <w:sz w:val="24"/>
        </w:rPr>
        <w:t> </w:t>
      </w:r>
      <w:r>
        <w:rPr>
          <w:sz w:val="24"/>
        </w:rPr>
        <w:t>benchmark for the Commonwealth based on the long-term growth in the state’s economy. The benchmark for growth in CY2013 and CY2014 is</w:t>
      </w:r>
      <w:r>
        <w:rPr>
          <w:spacing w:val="3"/>
          <w:sz w:val="24"/>
        </w:rPr>
        <w:t> </w:t>
      </w:r>
      <w:r>
        <w:rPr>
          <w:sz w:val="24"/>
        </w:rPr>
        <w:t>3.6%.</w:t>
      </w:r>
    </w:p>
    <w:p>
      <w:pPr>
        <w:pStyle w:val="ListParagraph"/>
        <w:numPr>
          <w:ilvl w:val="1"/>
          <w:numId w:val="13"/>
        </w:numPr>
        <w:tabs>
          <w:tab w:pos="2380" w:val="left" w:leader="none"/>
        </w:tabs>
        <w:spacing w:line="240" w:lineRule="auto" w:before="0" w:after="0"/>
        <w:ind w:left="2380" w:right="878" w:hanging="360"/>
        <w:jc w:val="left"/>
        <w:rPr>
          <w:sz w:val="24"/>
        </w:rPr>
      </w:pPr>
      <w:r>
        <w:rPr>
          <w:sz w:val="24"/>
        </w:rPr>
        <w:t>What trends has your organization experienced in revenue, utilization, and operating expenses in CY2014 and year-to-date CY2015? Please comment on the factors driving these</w:t>
      </w:r>
      <w:r>
        <w:rPr>
          <w:spacing w:val="-5"/>
          <w:sz w:val="24"/>
        </w:rPr>
        <w:t> </w:t>
      </w:r>
      <w:r>
        <w:rPr>
          <w:sz w:val="24"/>
        </w:rPr>
        <w:t>trends.</w:t>
      </w:r>
    </w:p>
    <w:p>
      <w:pPr>
        <w:spacing w:line="276" w:lineRule="auto" w:before="8"/>
        <w:ind w:left="2020" w:right="883" w:firstLine="0"/>
        <w:jc w:val="left"/>
        <w:rPr>
          <w:rFonts w:ascii="Arial" w:hAnsi="Arial"/>
          <w:sz w:val="20"/>
        </w:rPr>
      </w:pPr>
      <w:r>
        <w:rPr>
          <w:rFonts w:ascii="Arial" w:hAnsi="Arial"/>
          <w:color w:val="FF0000"/>
          <w:sz w:val="20"/>
        </w:rPr>
        <w:t>Our facility has seen a continuing decrease in reimbursement for Pain Management procedures. </w:t>
      </w:r>
      <w:r>
        <w:rPr>
          <w:rFonts w:ascii="Arial" w:hAnsi="Arial"/>
          <w:color w:val="FF0000"/>
          <w:spacing w:val="4"/>
          <w:sz w:val="20"/>
        </w:rPr>
        <w:t>We </w:t>
      </w:r>
      <w:r>
        <w:rPr>
          <w:rFonts w:ascii="Arial" w:hAnsi="Arial"/>
          <w:color w:val="FF0000"/>
          <w:sz w:val="20"/>
        </w:rPr>
        <w:t>have seen an increase in utilization due to the addition of a number of new surgeons and the increase in the number of cases other surgeons have added. Surgeons can do four or five cases at an HOPD versus ten or eleven cases at the center due to the turnover time. The center works with two group purchasing organizations and our materials manager works with supplier representatives on a consignment plan for some of the</w:t>
      </w:r>
      <w:r>
        <w:rPr>
          <w:rFonts w:ascii="Arial" w:hAnsi="Arial"/>
          <w:color w:val="FF0000"/>
          <w:spacing w:val="-40"/>
          <w:sz w:val="20"/>
        </w:rPr>
        <w:t> </w:t>
      </w:r>
      <w:r>
        <w:rPr>
          <w:rFonts w:ascii="Arial" w:hAnsi="Arial"/>
          <w:color w:val="FF0000"/>
          <w:sz w:val="20"/>
        </w:rPr>
        <w:t>supplies, all in an effort to keep supply costs down.  The center has increased the staff health insurance deductible to minimize the centers contribution. All of these efforts to control costs are accomplished with ASC being paid only 58% of what the HOPD’s are paid, and still saving the patient, payers and the</w:t>
      </w:r>
      <w:r>
        <w:rPr>
          <w:rFonts w:ascii="Arial" w:hAnsi="Arial"/>
          <w:color w:val="FF0000"/>
          <w:spacing w:val="-4"/>
          <w:sz w:val="20"/>
        </w:rPr>
        <w:t> </w:t>
      </w:r>
      <w:r>
        <w:rPr>
          <w:rFonts w:ascii="Arial" w:hAnsi="Arial"/>
          <w:color w:val="FF0000"/>
          <w:sz w:val="20"/>
        </w:rPr>
        <w:t>State.</w:t>
      </w:r>
    </w:p>
    <w:p>
      <w:pPr>
        <w:pStyle w:val="BodyText"/>
        <w:rPr>
          <w:rFonts w:ascii="Arial"/>
        </w:rPr>
      </w:pPr>
    </w:p>
    <w:p>
      <w:pPr>
        <w:pStyle w:val="BodyText"/>
        <w:spacing w:before="4"/>
        <w:rPr>
          <w:rFonts w:ascii="Arial"/>
          <w:sz w:val="25"/>
        </w:rPr>
      </w:pPr>
    </w:p>
    <w:p>
      <w:pPr>
        <w:pStyle w:val="ListParagraph"/>
        <w:numPr>
          <w:ilvl w:val="1"/>
          <w:numId w:val="13"/>
        </w:numPr>
        <w:tabs>
          <w:tab w:pos="2380" w:val="left" w:leader="none"/>
        </w:tabs>
        <w:spacing w:line="240" w:lineRule="auto" w:before="0" w:after="0"/>
        <w:ind w:left="2380" w:right="1131" w:hanging="360"/>
        <w:jc w:val="both"/>
        <w:rPr>
          <w:sz w:val="24"/>
        </w:rPr>
      </w:pPr>
      <w:r>
        <w:rPr>
          <w:sz w:val="24"/>
        </w:rPr>
        <w:t>What actions has your organization undertaken since January 1, 2014 to ensure the Commonwealth will meet the benchmark, and what have been the results of these</w:t>
      </w:r>
      <w:r>
        <w:rPr>
          <w:spacing w:val="-2"/>
          <w:sz w:val="24"/>
        </w:rPr>
        <w:t> </w:t>
      </w:r>
      <w:r>
        <w:rPr>
          <w:sz w:val="24"/>
        </w:rPr>
        <w:t>actions?</w:t>
      </w:r>
    </w:p>
    <w:p>
      <w:pPr>
        <w:spacing w:before="5"/>
        <w:ind w:left="2380" w:right="906" w:firstLine="0"/>
        <w:jc w:val="left"/>
        <w:rPr>
          <w:rFonts w:ascii="Arial" w:hAnsi="Arial"/>
          <w:sz w:val="20"/>
        </w:rPr>
      </w:pPr>
      <w:r>
        <w:rPr>
          <w:rFonts w:ascii="Arial" w:hAnsi="Arial"/>
          <w:color w:val="FF0000"/>
          <w:sz w:val="20"/>
        </w:rPr>
        <w:t>The center has talked with payors in an effort to move more procedures to the ASC from the HOPD. This would help in controlling health care spending due to ASC being paid only 58% of what the HOPD’s are paid but allowing patients to still receive the high quality health care.</w:t>
      </w:r>
    </w:p>
    <w:p>
      <w:pPr>
        <w:pStyle w:val="BodyText"/>
        <w:spacing w:before="8"/>
        <w:rPr>
          <w:rFonts w:ascii="Arial"/>
          <w:sz w:val="23"/>
        </w:rPr>
      </w:pPr>
    </w:p>
    <w:p>
      <w:pPr>
        <w:pStyle w:val="ListParagraph"/>
        <w:numPr>
          <w:ilvl w:val="1"/>
          <w:numId w:val="13"/>
        </w:numPr>
        <w:tabs>
          <w:tab w:pos="2380" w:val="left" w:leader="none"/>
        </w:tabs>
        <w:spacing w:line="240" w:lineRule="auto" w:before="0" w:after="0"/>
        <w:ind w:left="2380" w:right="968" w:hanging="360"/>
        <w:jc w:val="left"/>
        <w:rPr>
          <w:sz w:val="24"/>
        </w:rPr>
      </w:pPr>
      <w:r>
        <w:rPr>
          <w:sz w:val="24"/>
        </w:rPr>
        <w:t>Please describe specific actions your organization plans to undertake between now and October 1, 2016 to ensure the Commonwealth will meet the</w:t>
      </w:r>
      <w:r>
        <w:rPr>
          <w:spacing w:val="-15"/>
          <w:sz w:val="24"/>
        </w:rPr>
        <w:t> </w:t>
      </w:r>
      <w:r>
        <w:rPr>
          <w:sz w:val="24"/>
        </w:rPr>
        <w:t>benchmark, including e.g., increased adoption to alternative payment methods (including specifically bundled/episodic payments), participation in CMS Medicare Shared Savings, Pioneer or Next Gen</w:t>
      </w:r>
      <w:r>
        <w:rPr>
          <w:spacing w:val="-3"/>
          <w:sz w:val="24"/>
        </w:rPr>
        <w:t> </w:t>
      </w:r>
      <w:r>
        <w:rPr>
          <w:sz w:val="24"/>
        </w:rPr>
        <w:t>programs?</w:t>
      </w:r>
    </w:p>
    <w:p>
      <w:pPr>
        <w:spacing w:before="0"/>
        <w:ind w:left="2380" w:right="955" w:firstLine="0"/>
        <w:jc w:val="left"/>
        <w:rPr>
          <w:rFonts w:ascii="Times New Roman"/>
          <w:sz w:val="24"/>
        </w:rPr>
      </w:pPr>
      <w:r>
        <w:rPr>
          <w:rFonts w:ascii="Times New Roman"/>
          <w:color w:val="FF0000"/>
          <w:sz w:val="24"/>
        </w:rPr>
        <w:t>Our center has embraced price transparency by providing patients with high deductibles or no insurance, the opportunity to bundle surgeon/facility/anesthesia into one price.</w:t>
      </w:r>
    </w:p>
    <w:p>
      <w:pPr>
        <w:pStyle w:val="BodyText"/>
        <w:rPr>
          <w:rFonts w:ascii="Times New Roman"/>
          <w:sz w:val="24"/>
        </w:rPr>
      </w:pPr>
    </w:p>
    <w:p>
      <w:pPr>
        <w:pStyle w:val="ListParagraph"/>
        <w:numPr>
          <w:ilvl w:val="1"/>
          <w:numId w:val="13"/>
        </w:numPr>
        <w:tabs>
          <w:tab w:pos="2380" w:val="left" w:leader="none"/>
        </w:tabs>
        <w:spacing w:line="240" w:lineRule="auto" w:before="0" w:after="0"/>
        <w:ind w:left="2379" w:right="1019" w:hanging="360"/>
        <w:jc w:val="left"/>
        <w:rPr>
          <w:sz w:val="24"/>
        </w:rPr>
      </w:pPr>
      <w:r>
        <w:rPr>
          <w:sz w:val="24"/>
        </w:rPr>
        <w:t>What systematic or policy changes would encourage or enable your organization to operate more efficiently without reducing</w:t>
      </w:r>
      <w:r>
        <w:rPr>
          <w:spacing w:val="-10"/>
          <w:sz w:val="24"/>
        </w:rPr>
        <w:t> </w:t>
      </w:r>
      <w:r>
        <w:rPr>
          <w:sz w:val="24"/>
        </w:rPr>
        <w:t>quality?</w:t>
      </w:r>
    </w:p>
    <w:p>
      <w:pPr>
        <w:pStyle w:val="ListParagraph"/>
        <w:numPr>
          <w:ilvl w:val="2"/>
          <w:numId w:val="13"/>
        </w:numPr>
        <w:tabs>
          <w:tab w:pos="3279" w:val="left" w:leader="none"/>
          <w:tab w:pos="3280" w:val="left" w:leader="none"/>
        </w:tabs>
        <w:spacing w:line="237" w:lineRule="auto" w:before="5" w:after="0"/>
        <w:ind w:left="3279" w:right="875" w:hanging="360"/>
        <w:jc w:val="left"/>
        <w:rPr>
          <w:sz w:val="24"/>
        </w:rPr>
      </w:pPr>
      <w:r>
        <w:rPr>
          <w:color w:val="FF0000"/>
          <w:sz w:val="24"/>
        </w:rPr>
        <w:t>The facility could operate more efficiently if less time was spent providing duplicate data to multiple organizations under one</w:t>
      </w:r>
      <w:r>
        <w:rPr>
          <w:color w:val="FF0000"/>
          <w:spacing w:val="-16"/>
          <w:sz w:val="24"/>
        </w:rPr>
        <w:t> </w:t>
      </w:r>
      <w:r>
        <w:rPr>
          <w:color w:val="FF0000"/>
          <w:sz w:val="24"/>
        </w:rPr>
        <w:t>department.</w:t>
      </w:r>
    </w:p>
    <w:p>
      <w:pPr>
        <w:pStyle w:val="ListParagraph"/>
        <w:numPr>
          <w:ilvl w:val="2"/>
          <w:numId w:val="13"/>
        </w:numPr>
        <w:tabs>
          <w:tab w:pos="3279" w:val="left" w:leader="none"/>
          <w:tab w:pos="3280" w:val="left" w:leader="none"/>
        </w:tabs>
        <w:spacing w:line="237" w:lineRule="auto" w:before="4" w:after="0"/>
        <w:ind w:left="3279" w:right="1062" w:hanging="360"/>
        <w:jc w:val="left"/>
        <w:rPr>
          <w:sz w:val="24"/>
        </w:rPr>
      </w:pPr>
      <w:r>
        <w:rPr>
          <w:color w:val="FF0000"/>
          <w:sz w:val="24"/>
        </w:rPr>
        <w:t>ASC’s should not continue to be lumped in with hospitals and</w:t>
      </w:r>
      <w:r>
        <w:rPr>
          <w:color w:val="FF0000"/>
          <w:spacing w:val="-16"/>
          <w:sz w:val="24"/>
        </w:rPr>
        <w:t> </w:t>
      </w:r>
      <w:r>
        <w:rPr>
          <w:color w:val="FF0000"/>
          <w:sz w:val="24"/>
        </w:rPr>
        <w:t>required to provide data on patient types we do not see in a same day surgery setting.</w:t>
      </w:r>
    </w:p>
    <w:p>
      <w:pPr>
        <w:pStyle w:val="ListParagraph"/>
        <w:numPr>
          <w:ilvl w:val="2"/>
          <w:numId w:val="13"/>
        </w:numPr>
        <w:tabs>
          <w:tab w:pos="3279" w:val="left" w:leader="none"/>
          <w:tab w:pos="3280" w:val="left" w:leader="none"/>
        </w:tabs>
        <w:spacing w:line="237" w:lineRule="auto" w:before="8" w:after="0"/>
        <w:ind w:left="3279" w:right="920" w:hanging="360"/>
        <w:jc w:val="left"/>
        <w:rPr>
          <w:sz w:val="24"/>
        </w:rPr>
      </w:pPr>
      <w:r>
        <w:rPr>
          <w:color w:val="FF0000"/>
          <w:sz w:val="24"/>
        </w:rPr>
        <w:t>Produce legislation that prohibits exclusive referral arrangements. All physicians should be allowed to access the lower cost service of an ASC that maintains equal or greater quality service to that of the</w:t>
      </w:r>
      <w:r>
        <w:rPr>
          <w:color w:val="FF0000"/>
          <w:spacing w:val="-14"/>
          <w:sz w:val="24"/>
        </w:rPr>
        <w:t> </w:t>
      </w:r>
      <w:r>
        <w:rPr>
          <w:color w:val="FF0000"/>
          <w:sz w:val="24"/>
        </w:rPr>
        <w:t>HOPD.</w:t>
      </w:r>
    </w:p>
    <w:p>
      <w:pPr>
        <w:spacing w:after="0" w:line="237" w:lineRule="auto"/>
        <w:jc w:val="left"/>
        <w:rPr>
          <w:sz w:val="24"/>
        </w:rPr>
        <w:sectPr>
          <w:pgSz w:w="12240" w:h="15840"/>
          <w:pgMar w:top="1360" w:bottom="280" w:left="500" w:right="580"/>
        </w:sectPr>
      </w:pPr>
    </w:p>
    <w:p>
      <w:pPr>
        <w:pStyle w:val="ListParagraph"/>
        <w:numPr>
          <w:ilvl w:val="2"/>
          <w:numId w:val="13"/>
        </w:numPr>
        <w:tabs>
          <w:tab w:pos="3279" w:val="left" w:leader="none"/>
          <w:tab w:pos="3280" w:val="left" w:leader="none"/>
        </w:tabs>
        <w:spacing w:line="237" w:lineRule="auto" w:before="76" w:after="0"/>
        <w:ind w:left="3280" w:right="1172" w:hanging="360"/>
        <w:jc w:val="left"/>
        <w:rPr>
          <w:sz w:val="24"/>
        </w:rPr>
      </w:pPr>
      <w:r>
        <w:rPr>
          <w:color w:val="FF0000"/>
          <w:sz w:val="24"/>
        </w:rPr>
        <w:t>Remove the Determination of Need guidelines enabling existing ASC growth.</w:t>
      </w:r>
    </w:p>
    <w:p>
      <w:pPr>
        <w:pStyle w:val="BodyText"/>
        <w:rPr>
          <w:rFonts w:ascii="Times New Roman"/>
          <w:sz w:val="24"/>
        </w:rPr>
      </w:pPr>
    </w:p>
    <w:p>
      <w:pPr>
        <w:pStyle w:val="ListParagraph"/>
        <w:numPr>
          <w:ilvl w:val="0"/>
          <w:numId w:val="13"/>
        </w:numPr>
        <w:tabs>
          <w:tab w:pos="1660" w:val="left" w:leader="none"/>
        </w:tabs>
        <w:spacing w:line="240" w:lineRule="auto" w:before="0" w:after="0"/>
        <w:ind w:left="1660" w:right="1216" w:hanging="360"/>
        <w:jc w:val="left"/>
        <w:rPr>
          <w:sz w:val="24"/>
        </w:rPr>
      </w:pPr>
      <w:r>
        <w:rPr>
          <w:sz w:val="24"/>
        </w:rPr>
        <w:t>What are the barriers to your organization’s increased adoption of alternative</w:t>
      </w:r>
      <w:r>
        <w:rPr>
          <w:spacing w:val="-20"/>
          <w:sz w:val="24"/>
        </w:rPr>
        <w:t> </w:t>
      </w:r>
      <w:r>
        <w:rPr>
          <w:sz w:val="24"/>
        </w:rPr>
        <w:t>payment methods and how should such barriers be</w:t>
      </w:r>
      <w:r>
        <w:rPr>
          <w:spacing w:val="-4"/>
          <w:sz w:val="24"/>
        </w:rPr>
        <w:t> </w:t>
      </w:r>
      <w:r>
        <w:rPr>
          <w:sz w:val="24"/>
        </w:rPr>
        <w:t>addressed?</w:t>
      </w:r>
    </w:p>
    <w:p>
      <w:pPr>
        <w:pStyle w:val="ListParagraph"/>
        <w:numPr>
          <w:ilvl w:val="0"/>
          <w:numId w:val="14"/>
        </w:numPr>
        <w:tabs>
          <w:tab w:pos="3279" w:val="left" w:leader="none"/>
          <w:tab w:pos="3280" w:val="left" w:leader="none"/>
        </w:tabs>
        <w:spacing w:line="237" w:lineRule="auto" w:before="5" w:after="0"/>
        <w:ind w:left="3279" w:right="1449" w:hanging="360"/>
        <w:jc w:val="left"/>
        <w:rPr>
          <w:sz w:val="24"/>
        </w:rPr>
      </w:pPr>
      <w:r>
        <w:rPr>
          <w:color w:val="FF0000"/>
          <w:sz w:val="24"/>
        </w:rPr>
        <w:t>Barriers preventing adoption of alternative payment methods is the continued inequity of fee schedules between ASC’s and</w:t>
      </w:r>
      <w:r>
        <w:rPr>
          <w:color w:val="FF0000"/>
          <w:spacing w:val="-11"/>
          <w:sz w:val="24"/>
        </w:rPr>
        <w:t> </w:t>
      </w:r>
      <w:r>
        <w:rPr>
          <w:color w:val="FF0000"/>
          <w:sz w:val="24"/>
        </w:rPr>
        <w:t>HOPD’s.</w:t>
      </w:r>
    </w:p>
    <w:p>
      <w:pPr>
        <w:pStyle w:val="ListParagraph"/>
        <w:numPr>
          <w:ilvl w:val="0"/>
          <w:numId w:val="14"/>
        </w:numPr>
        <w:tabs>
          <w:tab w:pos="3279" w:val="left" w:leader="none"/>
          <w:tab w:pos="3280" w:val="left" w:leader="none"/>
        </w:tabs>
        <w:spacing w:line="293" w:lineRule="exact" w:before="2" w:after="0"/>
        <w:ind w:left="3280" w:right="0" w:hanging="360"/>
        <w:jc w:val="left"/>
        <w:rPr>
          <w:sz w:val="24"/>
        </w:rPr>
      </w:pPr>
      <w:r>
        <w:rPr>
          <w:color w:val="FF0000"/>
          <w:sz w:val="24"/>
        </w:rPr>
        <w:t>HOPD’s should be paid at the same rate as</w:t>
      </w:r>
      <w:r>
        <w:rPr>
          <w:color w:val="FF0000"/>
          <w:spacing w:val="-12"/>
          <w:sz w:val="24"/>
        </w:rPr>
        <w:t> </w:t>
      </w:r>
      <w:r>
        <w:rPr>
          <w:color w:val="FF0000"/>
          <w:sz w:val="24"/>
        </w:rPr>
        <w:t>ASC’s.</w:t>
      </w:r>
    </w:p>
    <w:p>
      <w:pPr>
        <w:pStyle w:val="ListParagraph"/>
        <w:numPr>
          <w:ilvl w:val="0"/>
          <w:numId w:val="14"/>
        </w:numPr>
        <w:tabs>
          <w:tab w:pos="3279" w:val="left" w:leader="none"/>
          <w:tab w:pos="3280" w:val="left" w:leader="none"/>
        </w:tabs>
        <w:spacing w:line="240" w:lineRule="auto" w:before="0" w:after="0"/>
        <w:ind w:left="3280" w:right="1394" w:hanging="360"/>
        <w:jc w:val="left"/>
        <w:rPr>
          <w:sz w:val="24"/>
        </w:rPr>
      </w:pPr>
      <w:r>
        <w:rPr>
          <w:color w:val="FF0000"/>
          <w:sz w:val="24"/>
        </w:rPr>
        <w:t>Payors should not be afraid to anger the hospitals by allowing</w:t>
      </w:r>
      <w:r>
        <w:rPr>
          <w:color w:val="FF0000"/>
          <w:spacing w:val="-17"/>
          <w:sz w:val="24"/>
        </w:rPr>
        <w:t> </w:t>
      </w:r>
      <w:r>
        <w:rPr>
          <w:color w:val="FF0000"/>
          <w:sz w:val="24"/>
        </w:rPr>
        <w:t>more procedures to be done in the</w:t>
      </w:r>
      <w:r>
        <w:rPr>
          <w:color w:val="FF0000"/>
          <w:spacing w:val="-2"/>
          <w:sz w:val="24"/>
        </w:rPr>
        <w:t> </w:t>
      </w:r>
      <w:r>
        <w:rPr>
          <w:color w:val="FF0000"/>
          <w:sz w:val="24"/>
        </w:rPr>
        <w:t>ASC’s.</w:t>
      </w:r>
    </w:p>
    <w:p>
      <w:pPr>
        <w:pStyle w:val="BodyText"/>
        <w:spacing w:before="10"/>
        <w:rPr>
          <w:rFonts w:ascii="Times New Roman"/>
          <w:sz w:val="23"/>
        </w:rPr>
      </w:pPr>
    </w:p>
    <w:p>
      <w:pPr>
        <w:pStyle w:val="ListParagraph"/>
        <w:numPr>
          <w:ilvl w:val="0"/>
          <w:numId w:val="13"/>
        </w:numPr>
        <w:tabs>
          <w:tab w:pos="1660" w:val="left" w:leader="none"/>
        </w:tabs>
        <w:spacing w:line="240" w:lineRule="auto" w:before="0" w:after="0"/>
        <w:ind w:left="1660" w:right="1342" w:hanging="360"/>
        <w:jc w:val="left"/>
        <w:rPr>
          <w:sz w:val="24"/>
        </w:rPr>
      </w:pPr>
      <w:r>
        <w:rPr>
          <w:sz w:val="24"/>
        </w:rPr>
        <w:t>In its prior Cost Trends Reports and Cost Trends Hearings, the Commission has identified four key opportunities for more efficient and effective care delivery: 1) spending on post-acute care; 2) reducing avoidable 30-day readmissions; 3)</w:t>
      </w:r>
      <w:r>
        <w:rPr>
          <w:spacing w:val="-19"/>
          <w:sz w:val="24"/>
        </w:rPr>
        <w:t> </w:t>
      </w:r>
      <w:r>
        <w:rPr>
          <w:sz w:val="24"/>
        </w:rPr>
        <w:t>reducing avoidable emergency department (ED) use; and 4) providing focused care for high- risk/high-cost</w:t>
      </w:r>
      <w:r>
        <w:rPr>
          <w:spacing w:val="-1"/>
          <w:sz w:val="24"/>
        </w:rPr>
        <w:t> </w:t>
      </w:r>
      <w:r>
        <w:rPr>
          <w:sz w:val="24"/>
        </w:rPr>
        <w:t>patients.</w:t>
      </w:r>
    </w:p>
    <w:p>
      <w:pPr>
        <w:pStyle w:val="ListParagraph"/>
        <w:numPr>
          <w:ilvl w:val="1"/>
          <w:numId w:val="13"/>
        </w:numPr>
        <w:tabs>
          <w:tab w:pos="2380" w:val="left" w:leader="none"/>
        </w:tabs>
        <w:spacing w:line="240" w:lineRule="auto" w:before="0" w:after="0"/>
        <w:ind w:left="2380" w:right="1047" w:hanging="360"/>
        <w:jc w:val="both"/>
        <w:rPr>
          <w:sz w:val="24"/>
        </w:rPr>
      </w:pPr>
      <w:r>
        <w:rPr>
          <w:sz w:val="24"/>
        </w:rPr>
        <w:t>Please describe your organization’s efforts during the past 12 months to address each of these four areas, attaching any analyses your organization has conducted on such</w:t>
      </w:r>
      <w:r>
        <w:rPr>
          <w:spacing w:val="-1"/>
          <w:sz w:val="24"/>
        </w:rPr>
        <w:t> </w:t>
      </w:r>
      <w:r>
        <w:rPr>
          <w:sz w:val="24"/>
        </w:rPr>
        <w:t>efforts.</w:t>
      </w:r>
    </w:p>
    <w:p>
      <w:pPr>
        <w:pStyle w:val="ListParagraph"/>
        <w:numPr>
          <w:ilvl w:val="0"/>
          <w:numId w:val="15"/>
        </w:numPr>
        <w:tabs>
          <w:tab w:pos="2800" w:val="left" w:leader="none"/>
        </w:tabs>
        <w:spacing w:line="240" w:lineRule="auto" w:before="0" w:after="0"/>
        <w:ind w:left="2800" w:right="0" w:hanging="420"/>
        <w:jc w:val="both"/>
        <w:rPr>
          <w:sz w:val="24"/>
        </w:rPr>
      </w:pPr>
      <w:r>
        <w:rPr>
          <w:color w:val="FF0000"/>
          <w:sz w:val="24"/>
        </w:rPr>
        <w:t>ASC’s day surgery does not require post-acute</w:t>
      </w:r>
      <w:r>
        <w:rPr>
          <w:color w:val="FF0000"/>
          <w:spacing w:val="-11"/>
          <w:sz w:val="24"/>
        </w:rPr>
        <w:t> </w:t>
      </w:r>
      <w:r>
        <w:rPr>
          <w:color w:val="FF0000"/>
          <w:sz w:val="24"/>
        </w:rPr>
        <w:t>care</w:t>
      </w:r>
    </w:p>
    <w:p>
      <w:pPr>
        <w:pStyle w:val="ListParagraph"/>
        <w:numPr>
          <w:ilvl w:val="0"/>
          <w:numId w:val="15"/>
        </w:numPr>
        <w:tabs>
          <w:tab w:pos="2740" w:val="left" w:leader="none"/>
        </w:tabs>
        <w:spacing w:line="240" w:lineRule="auto" w:before="0" w:after="0"/>
        <w:ind w:left="2740" w:right="0" w:hanging="360"/>
        <w:jc w:val="both"/>
        <w:rPr>
          <w:sz w:val="24"/>
        </w:rPr>
      </w:pPr>
      <w:r>
        <w:rPr>
          <w:color w:val="FF0000"/>
          <w:sz w:val="24"/>
        </w:rPr>
        <w:t>N/A surgery</w:t>
      </w:r>
      <w:r>
        <w:rPr>
          <w:color w:val="FF0000"/>
          <w:spacing w:val="-5"/>
          <w:sz w:val="24"/>
        </w:rPr>
        <w:t> </w:t>
      </w:r>
      <w:r>
        <w:rPr>
          <w:color w:val="FF0000"/>
          <w:sz w:val="24"/>
        </w:rPr>
        <w:t>center</w:t>
      </w:r>
    </w:p>
    <w:p>
      <w:pPr>
        <w:pStyle w:val="ListParagraph"/>
        <w:numPr>
          <w:ilvl w:val="0"/>
          <w:numId w:val="15"/>
        </w:numPr>
        <w:tabs>
          <w:tab w:pos="2740" w:val="left" w:leader="none"/>
        </w:tabs>
        <w:spacing w:line="237" w:lineRule="auto" w:before="2" w:after="0"/>
        <w:ind w:left="2740" w:right="1040" w:hanging="360"/>
        <w:jc w:val="both"/>
        <w:rPr>
          <w:sz w:val="24"/>
        </w:rPr>
      </w:pPr>
      <w:r>
        <w:rPr>
          <w:color w:val="FF0000"/>
          <w:sz w:val="24"/>
        </w:rPr>
        <w:t>Only doing cases appropriate for day surgery reduces emergency department use</w:t>
      </w:r>
    </w:p>
    <w:p>
      <w:pPr>
        <w:pStyle w:val="ListParagraph"/>
        <w:numPr>
          <w:ilvl w:val="0"/>
          <w:numId w:val="15"/>
        </w:numPr>
        <w:tabs>
          <w:tab w:pos="2740" w:val="left" w:leader="none"/>
        </w:tabs>
        <w:spacing w:line="240" w:lineRule="auto" w:before="1" w:after="0"/>
        <w:ind w:left="2740" w:right="0" w:hanging="360"/>
        <w:jc w:val="both"/>
        <w:rPr>
          <w:sz w:val="24"/>
        </w:rPr>
      </w:pPr>
      <w:r>
        <w:rPr>
          <w:color w:val="FF0000"/>
          <w:sz w:val="24"/>
        </w:rPr>
        <w:t>N/A not done at</w:t>
      </w:r>
      <w:r>
        <w:rPr>
          <w:color w:val="FF0000"/>
          <w:spacing w:val="-3"/>
          <w:sz w:val="24"/>
        </w:rPr>
        <w:t> </w:t>
      </w:r>
      <w:r>
        <w:rPr>
          <w:color w:val="FF0000"/>
          <w:sz w:val="24"/>
        </w:rPr>
        <w:t>ASC</w:t>
      </w:r>
    </w:p>
    <w:p>
      <w:pPr>
        <w:pStyle w:val="BodyText"/>
        <w:rPr>
          <w:rFonts w:ascii="Times New Roman"/>
          <w:sz w:val="24"/>
        </w:rPr>
      </w:pPr>
    </w:p>
    <w:p>
      <w:pPr>
        <w:pStyle w:val="ListParagraph"/>
        <w:numPr>
          <w:ilvl w:val="1"/>
          <w:numId w:val="13"/>
        </w:numPr>
        <w:tabs>
          <w:tab w:pos="2380" w:val="left" w:leader="none"/>
        </w:tabs>
        <w:spacing w:line="240" w:lineRule="auto" w:before="0" w:after="0"/>
        <w:ind w:left="2380" w:right="1371" w:hanging="360"/>
        <w:jc w:val="left"/>
        <w:rPr>
          <w:sz w:val="24"/>
        </w:rPr>
      </w:pPr>
      <w:r>
        <w:rPr>
          <w:sz w:val="24"/>
        </w:rPr>
        <w:t>Please describe your organization’s specific plans over the next 12 months to address each of these four</w:t>
      </w:r>
      <w:r>
        <w:rPr>
          <w:spacing w:val="-4"/>
          <w:sz w:val="24"/>
        </w:rPr>
        <w:t> </w:t>
      </w:r>
      <w:r>
        <w:rPr>
          <w:sz w:val="24"/>
        </w:rPr>
        <w:t>areas.</w:t>
      </w:r>
    </w:p>
    <w:p>
      <w:pPr>
        <w:spacing w:before="0"/>
        <w:ind w:left="2379" w:right="876" w:firstLine="0"/>
        <w:jc w:val="left"/>
        <w:rPr>
          <w:rFonts w:ascii="Times New Roman"/>
          <w:sz w:val="24"/>
        </w:rPr>
      </w:pPr>
      <w:r>
        <w:rPr>
          <w:rFonts w:ascii="Times New Roman"/>
          <w:color w:val="FF0000"/>
          <w:sz w:val="24"/>
        </w:rPr>
        <w:t>The ASC will continue to pre-op screen patients and only do those appropriate for day surgery</w:t>
      </w:r>
    </w:p>
    <w:p>
      <w:pPr>
        <w:pStyle w:val="BodyText"/>
        <w:rPr>
          <w:rFonts w:ascii="Times New Roman"/>
          <w:sz w:val="24"/>
        </w:rPr>
      </w:pPr>
    </w:p>
    <w:p>
      <w:pPr>
        <w:pStyle w:val="ListParagraph"/>
        <w:numPr>
          <w:ilvl w:val="0"/>
          <w:numId w:val="16"/>
        </w:numPr>
        <w:tabs>
          <w:tab w:pos="1660" w:val="left" w:leader="none"/>
        </w:tabs>
        <w:spacing w:line="240" w:lineRule="auto" w:before="0" w:after="0"/>
        <w:ind w:left="1659" w:right="886" w:hanging="360"/>
        <w:jc w:val="left"/>
        <w:rPr>
          <w:sz w:val="24"/>
        </w:rPr>
      </w:pPr>
      <w:r>
        <w:rPr>
          <w:sz w:val="24"/>
        </w:rPr>
        <w:t>As documented by the Office of the Attorney General in 2010, 2011, and 2013; by the Division of Health Care Finance and Policy in 2011; by the Special Commission on Provider Price Reform in 2011; by the Center for Health Information and Analysis in 2012, 2013, and 2015; and by the Health Policy Commission in 2014, prices paid to different Massachusetts providers for the same services vary significantly across different provider types, and such variation is not necessarily tied to quality or other indicia of value. Reports by the Office of the Attorney General have also identified significant variation in global</w:t>
      </w:r>
      <w:r>
        <w:rPr>
          <w:spacing w:val="-1"/>
          <w:sz w:val="24"/>
        </w:rPr>
        <w:t> </w:t>
      </w:r>
      <w:r>
        <w:rPr>
          <w:sz w:val="24"/>
        </w:rPr>
        <w:t>budgets.</w:t>
      </w:r>
    </w:p>
    <w:p>
      <w:pPr>
        <w:pStyle w:val="ListParagraph"/>
        <w:numPr>
          <w:ilvl w:val="1"/>
          <w:numId w:val="16"/>
        </w:numPr>
        <w:tabs>
          <w:tab w:pos="2380" w:val="left" w:leader="none"/>
        </w:tabs>
        <w:spacing w:line="240" w:lineRule="auto" w:before="1" w:after="0"/>
        <w:ind w:left="2379" w:right="1375" w:hanging="360"/>
        <w:jc w:val="left"/>
        <w:rPr>
          <w:sz w:val="24"/>
        </w:rPr>
      </w:pPr>
      <w:r>
        <w:rPr>
          <w:sz w:val="24"/>
        </w:rPr>
        <w:t>In your view, what are acceptable and unacceptable reasons for prices for</w:t>
      </w:r>
      <w:r>
        <w:rPr>
          <w:spacing w:val="-17"/>
          <w:sz w:val="24"/>
        </w:rPr>
        <w:t> </w:t>
      </w:r>
      <w:r>
        <w:rPr>
          <w:sz w:val="24"/>
        </w:rPr>
        <w:t>the same services, or global budgets, to vary across</w:t>
      </w:r>
      <w:r>
        <w:rPr>
          <w:spacing w:val="-5"/>
          <w:sz w:val="24"/>
        </w:rPr>
        <w:t> </w:t>
      </w:r>
      <w:r>
        <w:rPr>
          <w:sz w:val="24"/>
        </w:rPr>
        <w:t>providers?</w:t>
      </w:r>
    </w:p>
    <w:p>
      <w:pPr>
        <w:spacing w:before="0"/>
        <w:ind w:left="2379" w:right="878" w:firstLine="0"/>
        <w:jc w:val="left"/>
        <w:rPr>
          <w:rFonts w:ascii="Times New Roman"/>
          <w:sz w:val="24"/>
        </w:rPr>
      </w:pPr>
      <w:r>
        <w:rPr>
          <w:rFonts w:ascii="Times New Roman"/>
          <w:color w:val="FF0000"/>
          <w:sz w:val="24"/>
        </w:rPr>
        <w:t>There is no acceptable reason for prices to vary across providers. The exact same procedure done in a more expensive and less efficient hospital outpatient facility can be accomplished at a free standing ambulatory surgery center for a fraction of the cost.</w:t>
      </w:r>
    </w:p>
    <w:p>
      <w:pPr>
        <w:spacing w:after="0"/>
        <w:jc w:val="left"/>
        <w:rPr>
          <w:rFonts w:ascii="Times New Roman"/>
          <w:sz w:val="24"/>
        </w:rPr>
        <w:sectPr>
          <w:pgSz w:w="12240" w:h="15840"/>
          <w:pgMar w:top="1360" w:bottom="280" w:left="500" w:right="580"/>
        </w:sectPr>
      </w:pPr>
    </w:p>
    <w:p>
      <w:pPr>
        <w:pStyle w:val="ListParagraph"/>
        <w:numPr>
          <w:ilvl w:val="1"/>
          <w:numId w:val="16"/>
        </w:numPr>
        <w:tabs>
          <w:tab w:pos="2380" w:val="left" w:leader="none"/>
        </w:tabs>
        <w:spacing w:line="240" w:lineRule="auto" w:before="72" w:after="0"/>
        <w:ind w:left="2380" w:right="1058" w:hanging="360"/>
        <w:jc w:val="left"/>
        <w:rPr>
          <w:sz w:val="24"/>
        </w:rPr>
      </w:pPr>
      <w:r>
        <w:rPr>
          <w:sz w:val="24"/>
        </w:rPr>
        <w:t>Please describe your view of the impact of Massachusetts’ price variation on the overall cost of care, as well as on the financial health and sustainability of community and lower-cost</w:t>
      </w:r>
      <w:r>
        <w:rPr>
          <w:spacing w:val="-6"/>
          <w:sz w:val="24"/>
        </w:rPr>
        <w:t> </w:t>
      </w:r>
      <w:r>
        <w:rPr>
          <w:sz w:val="24"/>
        </w:rPr>
        <w:t>providers.</w:t>
      </w:r>
    </w:p>
    <w:p>
      <w:pPr>
        <w:spacing w:before="0"/>
        <w:ind w:left="2380" w:right="941" w:firstLine="0"/>
        <w:jc w:val="left"/>
        <w:rPr>
          <w:rFonts w:ascii="Times New Roman" w:hAnsi="Times New Roman"/>
          <w:sz w:val="24"/>
        </w:rPr>
      </w:pPr>
      <w:r>
        <w:rPr>
          <w:rFonts w:ascii="Times New Roman" w:hAnsi="Times New Roman"/>
          <w:color w:val="FF0000"/>
          <w:sz w:val="24"/>
        </w:rPr>
        <w:t>Price variation, as is, could lead to Massachusetts’ never meeting the benchmark. The continuation of the hospitals pressure on physicians to refer only to affiliates prevents ASC’s from continuing to grow. The discrepancy in fees paid to ASC’s by different payors could cause these excellent facilities, that provide service at a much lower cost to no longer be viable. If ASC’s are no longer viable and available to the community that would leave the HOPD’s to become a monopoly, causing the state to pay only the higher prices.</w:t>
      </w:r>
    </w:p>
    <w:p>
      <w:pPr>
        <w:pStyle w:val="BodyText"/>
        <w:rPr>
          <w:rFonts w:ascii="Times New Roman"/>
          <w:sz w:val="24"/>
        </w:rPr>
      </w:pPr>
    </w:p>
    <w:p>
      <w:pPr>
        <w:pStyle w:val="ListParagraph"/>
        <w:numPr>
          <w:ilvl w:val="0"/>
          <w:numId w:val="16"/>
        </w:numPr>
        <w:tabs>
          <w:tab w:pos="1660" w:val="left" w:leader="none"/>
        </w:tabs>
        <w:spacing w:line="240" w:lineRule="auto" w:before="0" w:after="0"/>
        <w:ind w:left="1660" w:right="1046" w:hanging="360"/>
        <w:jc w:val="left"/>
        <w:rPr>
          <w:sz w:val="24"/>
        </w:rPr>
      </w:pPr>
      <w:r>
        <w:rPr>
          <w:sz w:val="24"/>
        </w:rPr>
        <w:t>The Commission has identified that spending for patients with comorbid behavioral health and chronic medical conditions is 2 to 2.5 times as high as spending for patients with a chronic medical condition but no behavioral health condition. As reported in the July 2014 Cost Trends Report Supplement, higher spending for patients with</w:t>
      </w:r>
      <w:r>
        <w:rPr>
          <w:spacing w:val="-18"/>
          <w:sz w:val="24"/>
        </w:rPr>
        <w:t> </w:t>
      </w:r>
      <w:r>
        <w:rPr>
          <w:sz w:val="24"/>
        </w:rPr>
        <w:t>behavioral health conditions is concentrated in emergency departments and inpatient</w:t>
      </w:r>
      <w:r>
        <w:rPr>
          <w:spacing w:val="-9"/>
          <w:sz w:val="24"/>
        </w:rPr>
        <w:t> </w:t>
      </w:r>
      <w:r>
        <w:rPr>
          <w:sz w:val="24"/>
        </w:rPr>
        <w:t>care.</w:t>
      </w:r>
    </w:p>
    <w:p>
      <w:pPr>
        <w:pStyle w:val="ListParagraph"/>
        <w:numPr>
          <w:ilvl w:val="1"/>
          <w:numId w:val="16"/>
        </w:numPr>
        <w:tabs>
          <w:tab w:pos="2380" w:val="left" w:leader="none"/>
        </w:tabs>
        <w:spacing w:line="240" w:lineRule="auto" w:before="0" w:after="0"/>
        <w:ind w:left="2380" w:right="942" w:hanging="360"/>
        <w:jc w:val="left"/>
        <w:rPr>
          <w:sz w:val="24"/>
        </w:rPr>
      </w:pPr>
      <w:r>
        <w:rPr>
          <w:sz w:val="24"/>
        </w:rPr>
        <w:t>Please describe ways that your organization has collaborated with other</w:t>
      </w:r>
      <w:r>
        <w:rPr>
          <w:spacing w:val="-19"/>
          <w:sz w:val="24"/>
        </w:rPr>
        <w:t> </w:t>
      </w:r>
      <w:r>
        <w:rPr>
          <w:sz w:val="24"/>
        </w:rPr>
        <w:t>providers over the past 12 months 1) to integrate physical and behavioral health care services and provide care across a continuum to these patients and 2) to avoid unnecessary utilization of emergency room departments and inpatient</w:t>
      </w:r>
      <w:r>
        <w:rPr>
          <w:spacing w:val="-14"/>
          <w:sz w:val="24"/>
        </w:rPr>
        <w:t> </w:t>
      </w:r>
      <w:r>
        <w:rPr>
          <w:sz w:val="24"/>
        </w:rPr>
        <w:t>care.</w:t>
      </w:r>
    </w:p>
    <w:p>
      <w:pPr>
        <w:spacing w:before="0"/>
        <w:ind w:left="2380" w:right="0" w:firstLine="0"/>
        <w:jc w:val="left"/>
        <w:rPr>
          <w:rFonts w:ascii="Times New Roman"/>
          <w:sz w:val="24"/>
        </w:rPr>
      </w:pPr>
      <w:r>
        <w:rPr>
          <w:rFonts w:ascii="Times New Roman"/>
          <w:color w:val="FF0000"/>
          <w:sz w:val="24"/>
        </w:rPr>
        <w:t>N/A this does not pertain to free standing ambulatory surgery centers</w:t>
      </w:r>
    </w:p>
    <w:p>
      <w:pPr>
        <w:pStyle w:val="BodyText"/>
        <w:rPr>
          <w:rFonts w:ascii="Times New Roman"/>
          <w:sz w:val="24"/>
        </w:rPr>
      </w:pPr>
    </w:p>
    <w:p>
      <w:pPr>
        <w:pStyle w:val="ListParagraph"/>
        <w:numPr>
          <w:ilvl w:val="1"/>
          <w:numId w:val="16"/>
        </w:numPr>
        <w:tabs>
          <w:tab w:pos="2380" w:val="left" w:leader="none"/>
        </w:tabs>
        <w:spacing w:line="240" w:lineRule="auto" w:before="0" w:after="0"/>
        <w:ind w:left="2380" w:right="885" w:hanging="360"/>
        <w:jc w:val="left"/>
        <w:rPr>
          <w:sz w:val="24"/>
        </w:rPr>
      </w:pPr>
      <w:r>
        <w:rPr>
          <w:sz w:val="24"/>
        </w:rPr>
        <w:t>Please describe your specific plans for the next 12 months to improve integration of physical and behavioral health care services to provide care across a continuum to these patients and to avoid unnecessary utilization of emergency room departments and inpatient</w:t>
      </w:r>
      <w:r>
        <w:rPr>
          <w:spacing w:val="-1"/>
          <w:sz w:val="24"/>
        </w:rPr>
        <w:t> </w:t>
      </w:r>
      <w:r>
        <w:rPr>
          <w:sz w:val="24"/>
        </w:rPr>
        <w:t>care.</w:t>
      </w:r>
    </w:p>
    <w:p>
      <w:pPr>
        <w:spacing w:before="0"/>
        <w:ind w:left="2380" w:right="0" w:firstLine="0"/>
        <w:jc w:val="left"/>
        <w:rPr>
          <w:rFonts w:ascii="Times New Roman"/>
          <w:sz w:val="24"/>
        </w:rPr>
      </w:pPr>
      <w:r>
        <w:rPr>
          <w:rFonts w:ascii="Times New Roman"/>
          <w:color w:val="FF0000"/>
          <w:sz w:val="24"/>
        </w:rPr>
        <w:t>N/A as above</w:t>
      </w:r>
    </w:p>
    <w:p>
      <w:pPr>
        <w:pStyle w:val="BodyText"/>
        <w:rPr>
          <w:rFonts w:ascii="Times New Roman"/>
          <w:sz w:val="24"/>
        </w:rPr>
      </w:pPr>
    </w:p>
    <w:p>
      <w:pPr>
        <w:pStyle w:val="ListParagraph"/>
        <w:numPr>
          <w:ilvl w:val="0"/>
          <w:numId w:val="16"/>
        </w:numPr>
        <w:tabs>
          <w:tab w:pos="1660" w:val="left" w:leader="none"/>
        </w:tabs>
        <w:spacing w:line="240" w:lineRule="auto" w:before="0" w:after="0"/>
        <w:ind w:left="1659" w:right="981" w:hanging="360"/>
        <w:jc w:val="left"/>
        <w:rPr>
          <w:sz w:val="24"/>
        </w:rPr>
      </w:pPr>
      <w:r>
        <w:rPr>
          <w:sz w:val="24"/>
        </w:rPr>
        <w:t>The Commission has identified the need for care delivery reforms that efficiently deliver coordinated, patient-centered, high-quality care, including in models such as the Patient Centered Medical Home (PCMH) and Accountable Care Organizations (ACOs). What specific capabilities has your organization developed or does your organization plan to develop to successfully implement these</w:t>
      </w:r>
      <w:r>
        <w:rPr>
          <w:spacing w:val="-7"/>
          <w:sz w:val="24"/>
        </w:rPr>
        <w:t> </w:t>
      </w:r>
      <w:r>
        <w:rPr>
          <w:sz w:val="24"/>
        </w:rPr>
        <w:t>models?</w:t>
      </w:r>
    </w:p>
    <w:p>
      <w:pPr>
        <w:spacing w:before="0"/>
        <w:ind w:left="1659" w:right="0" w:firstLine="0"/>
        <w:jc w:val="left"/>
        <w:rPr>
          <w:rFonts w:ascii="Times New Roman" w:hAnsi="Times New Roman"/>
          <w:sz w:val="24"/>
        </w:rPr>
      </w:pPr>
      <w:r>
        <w:rPr>
          <w:rFonts w:ascii="Times New Roman" w:hAnsi="Times New Roman"/>
          <w:color w:val="FF0000"/>
          <w:sz w:val="24"/>
        </w:rPr>
        <w:t>N/A as above as the ASC’s are not involved with home care or ACO’s</w:t>
      </w:r>
    </w:p>
    <w:p>
      <w:pPr>
        <w:spacing w:after="0"/>
        <w:jc w:val="left"/>
        <w:rPr>
          <w:rFonts w:ascii="Times New Roman" w:hAnsi="Times New Roman"/>
          <w:sz w:val="24"/>
        </w:rPr>
        <w:sectPr>
          <w:pgSz w:w="12240" w:h="15840"/>
          <w:pgMar w:top="1360" w:bottom="280" w:left="500" w:right="580"/>
        </w:sectPr>
      </w:pPr>
    </w:p>
    <w:p>
      <w:pPr>
        <w:tabs>
          <w:tab w:pos="4469" w:val="left" w:leader="none"/>
        </w:tabs>
        <w:spacing w:before="81" w:after="19"/>
        <w:ind w:left="82" w:right="0" w:firstLine="0"/>
        <w:jc w:val="center"/>
        <w:rPr>
          <w:rFonts w:ascii="Garamond"/>
          <w:b/>
          <w:sz w:val="28"/>
        </w:rPr>
      </w:pPr>
      <w:bookmarkStart w:name="New England Surgery Center, LLC   DoN # " w:id="43"/>
      <w:bookmarkEnd w:id="43"/>
      <w:r>
        <w:rPr/>
      </w:r>
      <w:r>
        <w:rPr>
          <w:rFonts w:ascii="Garamond"/>
          <w:b/>
          <w:color w:val="063D86"/>
          <w:sz w:val="28"/>
        </w:rPr>
        <w:t>New England Surgery</w:t>
      </w:r>
      <w:r>
        <w:rPr>
          <w:rFonts w:ascii="Garamond"/>
          <w:b/>
          <w:color w:val="063D86"/>
          <w:spacing w:val="-6"/>
          <w:sz w:val="28"/>
        </w:rPr>
        <w:t> </w:t>
      </w:r>
      <w:r>
        <w:rPr>
          <w:rFonts w:ascii="Garamond"/>
          <w:b/>
          <w:color w:val="063D86"/>
          <w:sz w:val="28"/>
        </w:rPr>
        <w:t>Center,</w:t>
      </w:r>
      <w:r>
        <w:rPr>
          <w:rFonts w:ascii="Garamond"/>
          <w:b/>
          <w:color w:val="063D86"/>
          <w:spacing w:val="-3"/>
          <w:sz w:val="28"/>
        </w:rPr>
        <w:t> </w:t>
      </w:r>
      <w:r>
        <w:rPr>
          <w:rFonts w:ascii="Garamond"/>
          <w:b/>
          <w:color w:val="063D86"/>
          <w:sz w:val="28"/>
        </w:rPr>
        <w:t>LLC</w:t>
        <w:tab/>
        <w:t>DoN #</w:t>
      </w:r>
      <w:r>
        <w:rPr>
          <w:rFonts w:ascii="Garamond"/>
          <w:b/>
          <w:color w:val="063D86"/>
          <w:spacing w:val="-2"/>
          <w:sz w:val="28"/>
        </w:rPr>
        <w:t> </w:t>
      </w:r>
      <w:r>
        <w:rPr>
          <w:rFonts w:ascii="Garamond"/>
          <w:b/>
          <w:color w:val="063D86"/>
          <w:sz w:val="28"/>
        </w:rPr>
        <w:t>20072809-AS</w:t>
      </w:r>
    </w:p>
    <w:p>
      <w:pPr>
        <w:pStyle w:val="BodyText"/>
        <w:spacing w:line="88" w:lineRule="exact"/>
        <w:ind w:left="191"/>
        <w:rPr>
          <w:rFonts w:ascii="Garamond"/>
          <w:sz w:val="8"/>
        </w:rPr>
      </w:pPr>
      <w:r>
        <w:rPr>
          <w:rFonts w:ascii="Garamond"/>
          <w:position w:val="-1"/>
          <w:sz w:val="8"/>
        </w:rPr>
        <w:pict>
          <v:group style="width:542.9pt;height:4.45pt;mso-position-horizontal-relative:char;mso-position-vertical-relative:line" coordorigin="0,0" coordsize="10858,89">
            <v:shape style="position:absolute;left:0;top:0;width:10858;height:89" coordorigin="0,0" coordsize="10858,89" path="m10858,29l0,29,0,89,10858,89,10858,29xm10858,0l0,0,0,14,10858,14,10858,0xe" filled="true" fillcolor="#1a406f" stroked="false">
              <v:path arrowok="t"/>
              <v:fill type="solid"/>
            </v:shape>
          </v:group>
        </w:pict>
      </w:r>
      <w:r>
        <w:rPr>
          <w:rFonts w:ascii="Garamond"/>
          <w:position w:val="-1"/>
          <w:sz w:val="8"/>
        </w:rPr>
      </w:r>
    </w:p>
    <w:p>
      <w:pPr>
        <w:pStyle w:val="BodyText"/>
        <w:rPr>
          <w:rFonts w:ascii="Garamond"/>
          <w:b/>
          <w:sz w:val="15"/>
        </w:rPr>
      </w:pPr>
    </w:p>
    <w:p>
      <w:pPr>
        <w:pStyle w:val="Heading3"/>
        <w:spacing w:line="269" w:lineRule="exact" w:before="100"/>
        <w:ind w:left="77"/>
        <w:rPr>
          <w:rFonts w:ascii="Garamond"/>
        </w:rPr>
      </w:pPr>
      <w:r>
        <w:rPr>
          <w:rFonts w:ascii="Garamond"/>
        </w:rPr>
        <w:t>APPLICANT QUESTIONS</w:t>
      </w:r>
    </w:p>
    <w:p>
      <w:pPr>
        <w:spacing w:line="269" w:lineRule="exact" w:before="0"/>
        <w:ind w:left="79" w:right="0" w:firstLine="0"/>
        <w:jc w:val="center"/>
        <w:rPr>
          <w:rFonts w:ascii="Garamond"/>
          <w:sz w:val="24"/>
        </w:rPr>
      </w:pPr>
      <w:r>
        <w:rPr>
          <w:rFonts w:ascii="Garamond"/>
          <w:i/>
          <w:sz w:val="24"/>
        </w:rPr>
        <w:t>Responses should be sent to DoN staff at </w:t>
      </w:r>
      <w:hyperlink r:id="rId12">
        <w:r>
          <w:rPr>
            <w:rFonts w:ascii="Garamond"/>
            <w:color w:val="0080FF"/>
            <w:sz w:val="24"/>
            <w:u w:val="single" w:color="0080FF"/>
          </w:rPr>
          <w:t>DPH.DON@State.MA.US</w:t>
        </w:r>
      </w:hyperlink>
    </w:p>
    <w:p>
      <w:pPr>
        <w:pStyle w:val="BodyText"/>
        <w:spacing w:before="4"/>
        <w:rPr>
          <w:rFonts w:ascii="Garamond"/>
          <w:sz w:val="14"/>
        </w:rPr>
      </w:pPr>
      <w:r>
        <w:rPr/>
        <w:pict>
          <v:shape style="position:absolute;margin-left:62.040001pt;margin-top:10.302498pt;width:478.8pt;height:112.7pt;mso-position-horizontal-relative:page;mso-position-vertical-relative:paragraph;z-index:-15720448;mso-wrap-distance-left:0;mso-wrap-distance-right:0" type="#_x0000_t202" filled="false" stroked="true" strokeweight=".48pt" strokecolor="#000000">
            <v:textbox inset="0,0,0,0">
              <w:txbxContent>
                <w:p>
                  <w:pPr>
                    <w:pStyle w:val="BodyText"/>
                    <w:ind w:left="163"/>
                    <w:rPr>
                      <w:rFonts w:ascii="Garamond"/>
                    </w:rPr>
                  </w:pPr>
                  <w:r>
                    <w:rPr>
                      <w:rFonts w:ascii="Garamond"/>
                    </w:rPr>
                    <w:t>While you may submit each answer as available, please</w:t>
                  </w:r>
                </w:p>
                <w:p>
                  <w:pPr>
                    <w:pStyle w:val="BodyText"/>
                    <w:numPr>
                      <w:ilvl w:val="0"/>
                      <w:numId w:val="17"/>
                    </w:numPr>
                    <w:tabs>
                      <w:tab w:pos="823" w:val="left" w:leader="none"/>
                      <w:tab w:pos="824" w:val="left" w:leader="none"/>
                    </w:tabs>
                    <w:spacing w:line="240" w:lineRule="auto" w:before="1" w:after="0"/>
                    <w:ind w:left="823" w:right="0" w:hanging="361"/>
                    <w:jc w:val="left"/>
                    <w:rPr>
                      <w:rFonts w:ascii="Garamond" w:hAnsi="Garamond"/>
                    </w:rPr>
                  </w:pPr>
                  <w:r>
                    <w:rPr>
                      <w:rFonts w:ascii="Garamond" w:hAnsi="Garamond"/>
                    </w:rPr>
                    <w:t>List question number and question for each answer you</w:t>
                  </w:r>
                  <w:r>
                    <w:rPr>
                      <w:rFonts w:ascii="Garamond" w:hAnsi="Garamond"/>
                      <w:spacing w:val="-9"/>
                    </w:rPr>
                    <w:t> </w:t>
                  </w:r>
                  <w:r>
                    <w:rPr>
                      <w:rFonts w:ascii="Garamond" w:hAnsi="Garamond"/>
                    </w:rPr>
                    <w:t>provide</w:t>
                  </w:r>
                </w:p>
                <w:p>
                  <w:pPr>
                    <w:pStyle w:val="BodyText"/>
                    <w:numPr>
                      <w:ilvl w:val="0"/>
                      <w:numId w:val="17"/>
                    </w:numPr>
                    <w:tabs>
                      <w:tab w:pos="823" w:val="left" w:leader="none"/>
                      <w:tab w:pos="824" w:val="left" w:leader="none"/>
                    </w:tabs>
                    <w:spacing w:line="237" w:lineRule="auto" w:before="47" w:after="0"/>
                    <w:ind w:left="823" w:right="450" w:hanging="361"/>
                    <w:jc w:val="left"/>
                    <w:rPr>
                      <w:rFonts w:ascii="Garamond" w:hAnsi="Garamond"/>
                    </w:rPr>
                  </w:pPr>
                  <w:r>
                    <w:rPr>
                      <w:rFonts w:ascii="Garamond" w:hAnsi="Garamond"/>
                    </w:rPr>
                    <w:t>Submit responses as a separate word document, using the above application title and number as a running header and page numbers in the</w:t>
                  </w:r>
                  <w:r>
                    <w:rPr>
                      <w:rFonts w:ascii="Garamond" w:hAnsi="Garamond"/>
                      <w:spacing w:val="-7"/>
                    </w:rPr>
                    <w:t> </w:t>
                  </w:r>
                  <w:r>
                    <w:rPr>
                      <w:rFonts w:ascii="Garamond" w:hAnsi="Garamond"/>
                    </w:rPr>
                    <w:t>footer</w:t>
                  </w:r>
                </w:p>
                <w:p>
                  <w:pPr>
                    <w:pStyle w:val="BodyText"/>
                    <w:numPr>
                      <w:ilvl w:val="0"/>
                      <w:numId w:val="17"/>
                    </w:numPr>
                    <w:tabs>
                      <w:tab w:pos="823" w:val="left" w:leader="none"/>
                      <w:tab w:pos="824" w:val="left" w:leader="none"/>
                    </w:tabs>
                    <w:spacing w:line="237" w:lineRule="auto" w:before="50" w:after="0"/>
                    <w:ind w:left="823" w:right="708" w:hanging="361"/>
                    <w:jc w:val="left"/>
                    <w:rPr>
                      <w:rFonts w:ascii="Garamond" w:hAnsi="Garamond"/>
                    </w:rPr>
                  </w:pPr>
                  <w:r>
                    <w:rPr>
                      <w:rFonts w:ascii="Garamond" w:hAnsi="Garamond"/>
                    </w:rPr>
                    <w:t>When providing the answer to the final question, submit all questions and answers in one final document</w:t>
                  </w:r>
                </w:p>
                <w:p>
                  <w:pPr>
                    <w:pStyle w:val="BodyText"/>
                    <w:numPr>
                      <w:ilvl w:val="0"/>
                      <w:numId w:val="17"/>
                    </w:numPr>
                    <w:tabs>
                      <w:tab w:pos="823" w:val="left" w:leader="none"/>
                      <w:tab w:pos="824" w:val="left" w:leader="none"/>
                    </w:tabs>
                    <w:spacing w:line="240" w:lineRule="auto" w:before="48" w:after="0"/>
                    <w:ind w:left="823" w:right="583" w:hanging="360"/>
                    <w:jc w:val="left"/>
                    <w:rPr>
                      <w:rFonts w:ascii="Garamond" w:hAnsi="Garamond"/>
                    </w:rPr>
                  </w:pPr>
                  <w:r>
                    <w:rPr>
                      <w:rFonts w:ascii="Garamond" w:hAnsi="Garamond"/>
                    </w:rPr>
                    <w:t>Submit responses in WORD or EXCEL; only use PDF’s if absolutely necessary. If “cutting and pasting” charts, provide them in a PDF so they can be clearly</w:t>
                  </w:r>
                  <w:r>
                    <w:rPr>
                      <w:rFonts w:ascii="Garamond" w:hAnsi="Garamond"/>
                      <w:spacing w:val="-10"/>
                    </w:rPr>
                    <w:t> </w:t>
                  </w:r>
                  <w:r>
                    <w:rPr>
                      <w:rFonts w:ascii="Garamond" w:hAnsi="Garamond"/>
                    </w:rPr>
                    <w:t>seen</w:t>
                  </w:r>
                </w:p>
              </w:txbxContent>
            </v:textbox>
            <v:stroke dashstyle="solid"/>
            <w10:wrap type="topAndBottom"/>
          </v:shape>
        </w:pict>
      </w:r>
    </w:p>
    <w:p>
      <w:pPr>
        <w:pStyle w:val="BodyText"/>
        <w:rPr>
          <w:rFonts w:ascii="Garamond"/>
          <w:sz w:val="20"/>
        </w:rPr>
      </w:pPr>
    </w:p>
    <w:p>
      <w:pPr>
        <w:pStyle w:val="Heading3"/>
        <w:spacing w:before="213"/>
        <w:jc w:val="left"/>
        <w:rPr>
          <w:rFonts w:ascii="Garamond"/>
        </w:rPr>
      </w:pPr>
      <w:r>
        <w:rPr>
          <w:rFonts w:ascii="Garamond"/>
        </w:rPr>
        <w:t>Interpretation and Translation Services</w:t>
      </w:r>
    </w:p>
    <w:p>
      <w:pPr>
        <w:pStyle w:val="ListParagraph"/>
        <w:numPr>
          <w:ilvl w:val="0"/>
          <w:numId w:val="18"/>
        </w:numPr>
        <w:tabs>
          <w:tab w:pos="940" w:val="left" w:leader="none"/>
        </w:tabs>
        <w:spacing w:line="278" w:lineRule="auto" w:before="181" w:after="0"/>
        <w:ind w:left="940" w:right="892" w:hanging="360"/>
        <w:jc w:val="left"/>
        <w:rPr>
          <w:rFonts w:ascii="Garamond"/>
          <w:sz w:val="24"/>
        </w:rPr>
      </w:pPr>
      <w:r>
        <w:rPr>
          <w:rFonts w:ascii="Garamond"/>
          <w:sz w:val="24"/>
        </w:rPr>
        <w:t>How</w:t>
      </w:r>
      <w:r>
        <w:rPr>
          <w:rFonts w:ascii="Garamond"/>
          <w:spacing w:val="-4"/>
          <w:sz w:val="24"/>
        </w:rPr>
        <w:t> </w:t>
      </w:r>
      <w:r>
        <w:rPr>
          <w:rFonts w:ascii="Garamond"/>
          <w:sz w:val="24"/>
        </w:rPr>
        <w:t>are</w:t>
      </w:r>
      <w:r>
        <w:rPr>
          <w:rFonts w:ascii="Garamond"/>
          <w:spacing w:val="-3"/>
          <w:sz w:val="24"/>
        </w:rPr>
        <w:t> </w:t>
      </w:r>
      <w:r>
        <w:rPr>
          <w:rFonts w:ascii="Garamond"/>
          <w:sz w:val="24"/>
        </w:rPr>
        <w:t>patients</w:t>
      </w:r>
      <w:r>
        <w:rPr>
          <w:rFonts w:ascii="Garamond"/>
          <w:spacing w:val="-5"/>
          <w:sz w:val="24"/>
        </w:rPr>
        <w:t> </w:t>
      </w:r>
      <w:r>
        <w:rPr>
          <w:rFonts w:ascii="Garamond"/>
          <w:sz w:val="24"/>
        </w:rPr>
        <w:t>receiving</w:t>
      </w:r>
      <w:r>
        <w:rPr>
          <w:rFonts w:ascii="Garamond"/>
          <w:spacing w:val="-3"/>
          <w:sz w:val="24"/>
        </w:rPr>
        <w:t> </w:t>
      </w:r>
      <w:r>
        <w:rPr>
          <w:rFonts w:ascii="Garamond"/>
          <w:sz w:val="24"/>
        </w:rPr>
        <w:t>NESC</w:t>
      </w:r>
      <w:r>
        <w:rPr>
          <w:rFonts w:ascii="Garamond"/>
          <w:spacing w:val="-2"/>
          <w:sz w:val="24"/>
        </w:rPr>
        <w:t> </w:t>
      </w:r>
      <w:r>
        <w:rPr>
          <w:rFonts w:ascii="Garamond"/>
          <w:sz w:val="24"/>
        </w:rPr>
        <w:t>services</w:t>
      </w:r>
      <w:r>
        <w:rPr>
          <w:rFonts w:ascii="Garamond"/>
          <w:spacing w:val="-5"/>
          <w:sz w:val="24"/>
        </w:rPr>
        <w:t> </w:t>
      </w:r>
      <w:r>
        <w:rPr>
          <w:rFonts w:ascii="Garamond"/>
          <w:sz w:val="24"/>
        </w:rPr>
        <w:t>made</w:t>
      </w:r>
      <w:r>
        <w:rPr>
          <w:rFonts w:ascii="Garamond"/>
          <w:spacing w:val="-4"/>
          <w:sz w:val="24"/>
        </w:rPr>
        <w:t> </w:t>
      </w:r>
      <w:r>
        <w:rPr>
          <w:rFonts w:ascii="Garamond"/>
          <w:sz w:val="24"/>
        </w:rPr>
        <w:t>aware</w:t>
      </w:r>
      <w:r>
        <w:rPr>
          <w:rFonts w:ascii="Garamond"/>
          <w:spacing w:val="-3"/>
          <w:sz w:val="24"/>
        </w:rPr>
        <w:t> </w:t>
      </w:r>
      <w:r>
        <w:rPr>
          <w:rFonts w:ascii="Garamond"/>
          <w:sz w:val="24"/>
        </w:rPr>
        <w:t>of</w:t>
      </w:r>
      <w:r>
        <w:rPr>
          <w:rFonts w:ascii="Garamond"/>
          <w:spacing w:val="-4"/>
          <w:sz w:val="24"/>
        </w:rPr>
        <w:t> </w:t>
      </w:r>
      <w:r>
        <w:rPr>
          <w:rFonts w:ascii="Garamond"/>
          <w:sz w:val="24"/>
        </w:rPr>
        <w:t>the</w:t>
      </w:r>
      <w:r>
        <w:rPr>
          <w:rFonts w:ascii="Garamond"/>
          <w:spacing w:val="-3"/>
          <w:sz w:val="24"/>
        </w:rPr>
        <w:t> </w:t>
      </w:r>
      <w:r>
        <w:rPr>
          <w:rFonts w:ascii="Garamond"/>
          <w:sz w:val="24"/>
        </w:rPr>
        <w:t>interpretation</w:t>
      </w:r>
      <w:r>
        <w:rPr>
          <w:rFonts w:ascii="Garamond"/>
          <w:spacing w:val="-4"/>
          <w:sz w:val="24"/>
        </w:rPr>
        <w:t> </w:t>
      </w:r>
      <w:r>
        <w:rPr>
          <w:rFonts w:ascii="Garamond"/>
          <w:sz w:val="24"/>
        </w:rPr>
        <w:t>and</w:t>
      </w:r>
      <w:r>
        <w:rPr>
          <w:rFonts w:ascii="Garamond"/>
          <w:spacing w:val="-3"/>
          <w:sz w:val="24"/>
        </w:rPr>
        <w:t> </w:t>
      </w:r>
      <w:r>
        <w:rPr>
          <w:rFonts w:ascii="Garamond"/>
          <w:sz w:val="24"/>
        </w:rPr>
        <w:t>language</w:t>
      </w:r>
      <w:r>
        <w:rPr>
          <w:rFonts w:ascii="Garamond"/>
          <w:spacing w:val="-3"/>
          <w:sz w:val="24"/>
        </w:rPr>
        <w:t> </w:t>
      </w:r>
      <w:r>
        <w:rPr>
          <w:rFonts w:ascii="Garamond"/>
          <w:sz w:val="24"/>
        </w:rPr>
        <w:t>access</w:t>
      </w:r>
      <w:r>
        <w:rPr>
          <w:rFonts w:ascii="Garamond"/>
          <w:spacing w:val="-6"/>
          <w:sz w:val="24"/>
        </w:rPr>
        <w:t> </w:t>
      </w:r>
      <w:r>
        <w:rPr>
          <w:rFonts w:ascii="Garamond"/>
          <w:sz w:val="24"/>
        </w:rPr>
        <w:t>and assistive services that are</w:t>
      </w:r>
      <w:r>
        <w:rPr>
          <w:rFonts w:ascii="Garamond"/>
          <w:spacing w:val="-4"/>
          <w:sz w:val="24"/>
        </w:rPr>
        <w:t> </w:t>
      </w:r>
      <w:r>
        <w:rPr>
          <w:rFonts w:ascii="Garamond"/>
          <w:sz w:val="24"/>
        </w:rPr>
        <w:t>offered?</w:t>
      </w:r>
    </w:p>
    <w:p>
      <w:pPr>
        <w:spacing w:line="276" w:lineRule="auto" w:before="0"/>
        <w:ind w:left="940" w:right="283" w:firstLine="0"/>
        <w:jc w:val="left"/>
        <w:rPr>
          <w:rFonts w:ascii="Arial"/>
          <w:sz w:val="20"/>
        </w:rPr>
      </w:pPr>
      <w:r>
        <w:rPr>
          <w:rFonts w:ascii="Arial"/>
          <w:sz w:val="20"/>
        </w:rPr>
        <w:t>Patients who receive services at NESC can find information on interpretation and language services in the non- discrimination section of our website. Our preop website also requests the patient provide primary language and if they require assistants.</w:t>
      </w:r>
    </w:p>
    <w:p>
      <w:pPr>
        <w:pStyle w:val="BodyText"/>
        <w:spacing w:before="7"/>
        <w:rPr>
          <w:rFonts w:ascii="Arial"/>
        </w:rPr>
      </w:pPr>
    </w:p>
    <w:p>
      <w:pPr>
        <w:pStyle w:val="ListParagraph"/>
        <w:numPr>
          <w:ilvl w:val="0"/>
          <w:numId w:val="18"/>
        </w:numPr>
        <w:tabs>
          <w:tab w:pos="940" w:val="left" w:leader="none"/>
        </w:tabs>
        <w:spacing w:line="259" w:lineRule="auto" w:before="0" w:after="0"/>
        <w:ind w:left="939" w:right="481" w:hanging="360"/>
        <w:jc w:val="left"/>
        <w:rPr>
          <w:rFonts w:ascii="Arial"/>
          <w:sz w:val="20"/>
        </w:rPr>
      </w:pPr>
      <w:r>
        <w:rPr>
          <w:rFonts w:ascii="Garamond"/>
          <w:sz w:val="24"/>
        </w:rPr>
        <w:t>Do you track the provision of language interpreter services provided by in-person, video and phone? </w:t>
      </w:r>
      <w:r>
        <w:rPr>
          <w:rFonts w:ascii="Arial"/>
          <w:sz w:val="20"/>
        </w:rPr>
        <w:t>Services</w:t>
      </w:r>
      <w:r>
        <w:rPr>
          <w:rFonts w:ascii="Arial"/>
          <w:spacing w:val="-3"/>
          <w:sz w:val="20"/>
        </w:rPr>
        <w:t> </w:t>
      </w:r>
      <w:r>
        <w:rPr>
          <w:rFonts w:ascii="Arial"/>
          <w:sz w:val="20"/>
        </w:rPr>
        <w:t>provided</w:t>
      </w:r>
      <w:r>
        <w:rPr>
          <w:rFonts w:ascii="Arial"/>
          <w:spacing w:val="-2"/>
          <w:sz w:val="20"/>
        </w:rPr>
        <w:t> </w:t>
      </w:r>
      <w:r>
        <w:rPr>
          <w:rFonts w:ascii="Arial"/>
          <w:sz w:val="20"/>
        </w:rPr>
        <w:t>at</w:t>
      </w:r>
      <w:r>
        <w:rPr>
          <w:rFonts w:ascii="Arial"/>
          <w:spacing w:val="-3"/>
          <w:sz w:val="20"/>
        </w:rPr>
        <w:t> </w:t>
      </w:r>
      <w:r>
        <w:rPr>
          <w:rFonts w:ascii="Arial"/>
          <w:sz w:val="20"/>
        </w:rPr>
        <w:t>the</w:t>
      </w:r>
      <w:r>
        <w:rPr>
          <w:rFonts w:ascii="Arial"/>
          <w:spacing w:val="-4"/>
          <w:sz w:val="20"/>
        </w:rPr>
        <w:t> </w:t>
      </w:r>
      <w:r>
        <w:rPr>
          <w:rFonts w:ascii="Arial"/>
          <w:sz w:val="20"/>
        </w:rPr>
        <w:t>center</w:t>
      </w:r>
      <w:r>
        <w:rPr>
          <w:rFonts w:ascii="Arial"/>
          <w:spacing w:val="-2"/>
          <w:sz w:val="20"/>
        </w:rPr>
        <w:t> </w:t>
      </w:r>
      <w:r>
        <w:rPr>
          <w:rFonts w:ascii="Arial"/>
          <w:sz w:val="20"/>
        </w:rPr>
        <w:t>are</w:t>
      </w:r>
      <w:r>
        <w:rPr>
          <w:rFonts w:ascii="Arial"/>
          <w:spacing w:val="-2"/>
          <w:sz w:val="20"/>
        </w:rPr>
        <w:t> </w:t>
      </w:r>
      <w:r>
        <w:rPr>
          <w:rFonts w:ascii="Arial"/>
          <w:sz w:val="20"/>
        </w:rPr>
        <w:t>tracked</w:t>
      </w:r>
      <w:r>
        <w:rPr>
          <w:rFonts w:ascii="Arial"/>
          <w:spacing w:val="-3"/>
          <w:sz w:val="20"/>
        </w:rPr>
        <w:t> </w:t>
      </w:r>
      <w:r>
        <w:rPr>
          <w:rFonts w:ascii="Arial"/>
          <w:sz w:val="20"/>
        </w:rPr>
        <w:t>by</w:t>
      </w:r>
      <w:r>
        <w:rPr>
          <w:rFonts w:ascii="Arial"/>
          <w:spacing w:val="-6"/>
          <w:sz w:val="20"/>
        </w:rPr>
        <w:t> </w:t>
      </w:r>
      <w:r>
        <w:rPr>
          <w:rFonts w:ascii="Arial"/>
          <w:sz w:val="20"/>
        </w:rPr>
        <w:t>reviewing</w:t>
      </w:r>
      <w:r>
        <w:rPr>
          <w:rFonts w:ascii="Arial"/>
          <w:spacing w:val="-4"/>
          <w:sz w:val="20"/>
        </w:rPr>
        <w:t> </w:t>
      </w:r>
      <w:r>
        <w:rPr>
          <w:rFonts w:ascii="Arial"/>
          <w:sz w:val="20"/>
        </w:rPr>
        <w:t>monthly</w:t>
      </w:r>
      <w:r>
        <w:rPr>
          <w:rFonts w:ascii="Arial"/>
          <w:spacing w:val="-6"/>
          <w:sz w:val="20"/>
        </w:rPr>
        <w:t> </w:t>
      </w:r>
      <w:r>
        <w:rPr>
          <w:rFonts w:ascii="Arial"/>
          <w:sz w:val="20"/>
        </w:rPr>
        <w:t>billing</w:t>
      </w:r>
      <w:r>
        <w:rPr>
          <w:rFonts w:ascii="Arial"/>
          <w:spacing w:val="-4"/>
          <w:sz w:val="20"/>
        </w:rPr>
        <w:t> </w:t>
      </w:r>
      <w:r>
        <w:rPr>
          <w:rFonts w:ascii="Arial"/>
          <w:sz w:val="20"/>
        </w:rPr>
        <w:t>by</w:t>
      </w:r>
      <w:r>
        <w:rPr>
          <w:rFonts w:ascii="Arial"/>
          <w:spacing w:val="-6"/>
          <w:sz w:val="20"/>
        </w:rPr>
        <w:t> </w:t>
      </w:r>
      <w:r>
        <w:rPr>
          <w:rFonts w:ascii="Arial"/>
          <w:sz w:val="20"/>
        </w:rPr>
        <w:t>CyraCom</w:t>
      </w:r>
      <w:r>
        <w:rPr>
          <w:rFonts w:ascii="Arial"/>
          <w:spacing w:val="2"/>
          <w:sz w:val="20"/>
        </w:rPr>
        <w:t> </w:t>
      </w:r>
      <w:r>
        <w:rPr>
          <w:rFonts w:ascii="Arial"/>
          <w:sz w:val="20"/>
        </w:rPr>
        <w:t>and</w:t>
      </w:r>
      <w:r>
        <w:rPr>
          <w:rFonts w:ascii="Arial"/>
          <w:spacing w:val="-3"/>
          <w:sz w:val="20"/>
        </w:rPr>
        <w:t> </w:t>
      </w:r>
      <w:r>
        <w:rPr>
          <w:rFonts w:ascii="Arial"/>
          <w:sz w:val="20"/>
        </w:rPr>
        <w:t>patient</w:t>
      </w:r>
      <w:r>
        <w:rPr>
          <w:rFonts w:ascii="Arial"/>
          <w:spacing w:val="-2"/>
          <w:sz w:val="20"/>
        </w:rPr>
        <w:t> </w:t>
      </w:r>
      <w:r>
        <w:rPr>
          <w:rFonts w:ascii="Arial"/>
          <w:sz w:val="20"/>
        </w:rPr>
        <w:t>self-reporting language spoken in the One Medical Passport preop questionnaire. As reported in F1.a.i of the application, nearly all patients of the NESC speak</w:t>
      </w:r>
      <w:r>
        <w:rPr>
          <w:rFonts w:ascii="Arial"/>
          <w:spacing w:val="-4"/>
          <w:sz w:val="20"/>
        </w:rPr>
        <w:t> </w:t>
      </w:r>
      <w:r>
        <w:rPr>
          <w:rFonts w:ascii="Arial"/>
          <w:sz w:val="20"/>
        </w:rPr>
        <w:t>English.</w:t>
      </w:r>
    </w:p>
    <w:p>
      <w:pPr>
        <w:pStyle w:val="BodyText"/>
        <w:spacing w:before="6"/>
        <w:rPr>
          <w:rFonts w:ascii="Arial"/>
          <w:sz w:val="21"/>
        </w:rPr>
      </w:pPr>
    </w:p>
    <w:p>
      <w:pPr>
        <w:pStyle w:val="ListParagraph"/>
        <w:numPr>
          <w:ilvl w:val="1"/>
          <w:numId w:val="18"/>
        </w:numPr>
        <w:tabs>
          <w:tab w:pos="1659" w:val="left" w:leader="none"/>
          <w:tab w:pos="1660" w:val="left" w:leader="none"/>
        </w:tabs>
        <w:spacing w:line="259" w:lineRule="auto" w:before="0" w:after="0"/>
        <w:ind w:left="1660" w:right="230" w:hanging="360"/>
        <w:jc w:val="left"/>
        <w:rPr>
          <w:rFonts w:ascii="Garamond"/>
          <w:sz w:val="24"/>
        </w:rPr>
      </w:pPr>
      <w:r>
        <w:rPr>
          <w:rFonts w:ascii="Garamond"/>
          <w:sz w:val="24"/>
        </w:rPr>
        <w:t>Which languages are requested and what is the percentage of live vs. video/telephone interpretation provided over the past 24</w:t>
      </w:r>
      <w:r>
        <w:rPr>
          <w:rFonts w:ascii="Garamond"/>
          <w:spacing w:val="-3"/>
          <w:sz w:val="24"/>
        </w:rPr>
        <w:t> </w:t>
      </w:r>
      <w:r>
        <w:rPr>
          <w:rFonts w:ascii="Garamond"/>
          <w:sz w:val="24"/>
        </w:rPr>
        <w:t>months?</w:t>
      </w:r>
    </w:p>
    <w:p>
      <w:pPr>
        <w:spacing w:line="259" w:lineRule="auto" w:before="0"/>
        <w:ind w:left="1659" w:right="221" w:firstLine="0"/>
        <w:jc w:val="left"/>
        <w:rPr>
          <w:rFonts w:ascii="Arial"/>
          <w:sz w:val="20"/>
        </w:rPr>
      </w:pPr>
      <w:r>
        <w:rPr>
          <w:rFonts w:ascii="Arial"/>
          <w:sz w:val="20"/>
        </w:rPr>
        <w:t>As reported in F1.a.i of the application, nearly all patients of the NESC speak English. Attachments 2, of the application has patient panel self-reporting information on primary language for 2019. The languages requested were Spanish, Portuguese, Russian and Arabic. 2020 interpretation services to date also show Spanish, Portuguese, Russian and</w:t>
      </w:r>
      <w:r>
        <w:rPr>
          <w:rFonts w:ascii="Arial"/>
          <w:spacing w:val="-1"/>
          <w:sz w:val="20"/>
        </w:rPr>
        <w:t> </w:t>
      </w:r>
      <w:r>
        <w:rPr>
          <w:rFonts w:ascii="Arial"/>
          <w:sz w:val="20"/>
        </w:rPr>
        <w:t>Arabic.</w:t>
      </w:r>
    </w:p>
    <w:p>
      <w:pPr>
        <w:spacing w:line="259" w:lineRule="auto" w:before="156"/>
        <w:ind w:left="1659" w:right="309" w:firstLine="55"/>
        <w:jc w:val="left"/>
        <w:rPr>
          <w:rFonts w:ascii="Arial"/>
          <w:sz w:val="20"/>
        </w:rPr>
      </w:pPr>
      <w:r>
        <w:rPr>
          <w:rFonts w:ascii="Arial"/>
          <w:sz w:val="20"/>
        </w:rPr>
        <w:t>As a free-standing ambulatory surgery center, live interpretation was previously provided but was cost prohibitive. An interpreter would arrive at the time the patient checked in and stay until the patient was discharged. Their actual time spent with the patient was minimal but the cost was not. We investigated what was being offered for these services from the local hospitals and found that CyraCom had become the preferred method, was extremely cost effective and easily available for use with patients. 100% of interpretive services, including patients who are hearing impaired, are provided by video or telephone.</w:t>
      </w:r>
    </w:p>
    <w:p>
      <w:pPr>
        <w:pStyle w:val="ListParagraph"/>
        <w:numPr>
          <w:ilvl w:val="1"/>
          <w:numId w:val="18"/>
        </w:numPr>
        <w:tabs>
          <w:tab w:pos="1660" w:val="left" w:leader="none"/>
        </w:tabs>
        <w:spacing w:line="240" w:lineRule="auto" w:before="161" w:after="0"/>
        <w:ind w:left="1660" w:right="0" w:hanging="360"/>
        <w:jc w:val="left"/>
        <w:rPr>
          <w:rFonts w:ascii="Garamond"/>
          <w:sz w:val="24"/>
        </w:rPr>
      </w:pPr>
      <w:r>
        <w:rPr>
          <w:rFonts w:ascii="Garamond"/>
          <w:sz w:val="24"/>
        </w:rPr>
        <w:t>What is the percentage of live vs video/telephone interpretation</w:t>
      </w:r>
      <w:r>
        <w:rPr>
          <w:rFonts w:ascii="Garamond"/>
          <w:spacing w:val="-16"/>
          <w:sz w:val="24"/>
        </w:rPr>
        <w:t> </w:t>
      </w:r>
      <w:r>
        <w:rPr>
          <w:rFonts w:ascii="Garamond"/>
          <w:sz w:val="24"/>
        </w:rPr>
        <w:t>anticipated?</w:t>
      </w:r>
    </w:p>
    <w:p>
      <w:pPr>
        <w:spacing w:before="21"/>
        <w:ind w:left="1660" w:right="0" w:firstLine="0"/>
        <w:jc w:val="left"/>
        <w:rPr>
          <w:rFonts w:ascii="Arial"/>
          <w:sz w:val="20"/>
        </w:rPr>
      </w:pPr>
      <w:r>
        <w:rPr>
          <w:rFonts w:ascii="Arial"/>
          <w:sz w:val="20"/>
        </w:rPr>
        <w:t>The applicant anticipates continued use of video/telephone interpretation to be 100%</w:t>
      </w:r>
    </w:p>
    <w:p>
      <w:pPr>
        <w:pStyle w:val="BodyText"/>
        <w:spacing w:before="4"/>
        <w:rPr>
          <w:rFonts w:ascii="Arial"/>
          <w:sz w:val="23"/>
        </w:rPr>
      </w:pPr>
    </w:p>
    <w:p>
      <w:pPr>
        <w:pStyle w:val="ListParagraph"/>
        <w:numPr>
          <w:ilvl w:val="0"/>
          <w:numId w:val="18"/>
        </w:numPr>
        <w:tabs>
          <w:tab w:pos="940" w:val="left" w:leader="none"/>
        </w:tabs>
        <w:spacing w:line="240" w:lineRule="auto" w:before="0" w:after="0"/>
        <w:ind w:left="940" w:right="0" w:hanging="360"/>
        <w:jc w:val="left"/>
        <w:rPr>
          <w:rFonts w:ascii="Garamond"/>
          <w:sz w:val="24"/>
        </w:rPr>
      </w:pPr>
      <w:r>
        <w:rPr>
          <w:rFonts w:ascii="Garamond"/>
          <w:sz w:val="24"/>
        </w:rPr>
        <w:t>What strategies/approaches are you using to accommodate for people with</w:t>
      </w:r>
      <w:r>
        <w:rPr>
          <w:rFonts w:ascii="Garamond"/>
          <w:spacing w:val="-15"/>
          <w:sz w:val="24"/>
        </w:rPr>
        <w:t> </w:t>
      </w:r>
      <w:r>
        <w:rPr>
          <w:rFonts w:ascii="Garamond"/>
          <w:sz w:val="24"/>
        </w:rPr>
        <w:t>disabilities?</w:t>
      </w:r>
    </w:p>
    <w:p>
      <w:pPr>
        <w:spacing w:line="259" w:lineRule="auto" w:before="18"/>
        <w:ind w:left="939" w:right="161" w:firstLine="0"/>
        <w:jc w:val="left"/>
        <w:rPr>
          <w:rFonts w:ascii="Arial" w:hAnsi="Arial"/>
          <w:sz w:val="20"/>
        </w:rPr>
      </w:pPr>
      <w:r>
        <w:rPr>
          <w:rFonts w:ascii="Arial" w:hAnsi="Arial"/>
          <w:sz w:val="20"/>
        </w:rPr>
        <w:t>The</w:t>
      </w:r>
      <w:r>
        <w:rPr>
          <w:rFonts w:ascii="Arial" w:hAnsi="Arial"/>
          <w:spacing w:val="-5"/>
          <w:sz w:val="20"/>
        </w:rPr>
        <w:t> </w:t>
      </w:r>
      <w:r>
        <w:rPr>
          <w:rFonts w:ascii="Arial" w:hAnsi="Arial"/>
          <w:sz w:val="20"/>
        </w:rPr>
        <w:t>applicant’s</w:t>
      </w:r>
      <w:r>
        <w:rPr>
          <w:rFonts w:ascii="Arial" w:hAnsi="Arial"/>
          <w:spacing w:val="-4"/>
          <w:sz w:val="20"/>
        </w:rPr>
        <w:t> </w:t>
      </w:r>
      <w:r>
        <w:rPr>
          <w:rFonts w:ascii="Arial" w:hAnsi="Arial"/>
          <w:sz w:val="20"/>
        </w:rPr>
        <w:t>accommodations</w:t>
      </w:r>
      <w:r>
        <w:rPr>
          <w:rFonts w:ascii="Arial" w:hAnsi="Arial"/>
          <w:spacing w:val="-3"/>
          <w:sz w:val="20"/>
        </w:rPr>
        <w:t> </w:t>
      </w:r>
      <w:r>
        <w:rPr>
          <w:rFonts w:ascii="Arial" w:hAnsi="Arial"/>
          <w:sz w:val="20"/>
        </w:rPr>
        <w:t>for</w:t>
      </w:r>
      <w:r>
        <w:rPr>
          <w:rFonts w:ascii="Arial" w:hAnsi="Arial"/>
          <w:spacing w:val="-4"/>
          <w:sz w:val="20"/>
        </w:rPr>
        <w:t> </w:t>
      </w:r>
      <w:r>
        <w:rPr>
          <w:rFonts w:ascii="Arial" w:hAnsi="Arial"/>
          <w:sz w:val="20"/>
        </w:rPr>
        <w:t>patients with</w:t>
      </w:r>
      <w:r>
        <w:rPr>
          <w:rFonts w:ascii="Arial" w:hAnsi="Arial"/>
          <w:spacing w:val="-3"/>
          <w:sz w:val="20"/>
        </w:rPr>
        <w:t> </w:t>
      </w:r>
      <w:r>
        <w:rPr>
          <w:rFonts w:ascii="Arial" w:hAnsi="Arial"/>
          <w:sz w:val="20"/>
        </w:rPr>
        <w:t>disabilities</w:t>
      </w:r>
      <w:r>
        <w:rPr>
          <w:rFonts w:ascii="Arial" w:hAnsi="Arial"/>
          <w:spacing w:val="-4"/>
          <w:sz w:val="20"/>
        </w:rPr>
        <w:t> </w:t>
      </w:r>
      <w:r>
        <w:rPr>
          <w:rFonts w:ascii="Arial" w:hAnsi="Arial"/>
          <w:sz w:val="20"/>
        </w:rPr>
        <w:t>starts</w:t>
      </w:r>
      <w:r>
        <w:rPr>
          <w:rFonts w:ascii="Arial" w:hAnsi="Arial"/>
          <w:spacing w:val="-3"/>
          <w:sz w:val="20"/>
        </w:rPr>
        <w:t> </w:t>
      </w:r>
      <w:r>
        <w:rPr>
          <w:rFonts w:ascii="Arial" w:hAnsi="Arial"/>
          <w:sz w:val="20"/>
        </w:rPr>
        <w:t>during</w:t>
      </w:r>
      <w:r>
        <w:rPr>
          <w:rFonts w:ascii="Arial" w:hAnsi="Arial"/>
          <w:spacing w:val="-3"/>
          <w:sz w:val="20"/>
        </w:rPr>
        <w:t> </w:t>
      </w:r>
      <w:r>
        <w:rPr>
          <w:rFonts w:ascii="Arial" w:hAnsi="Arial"/>
          <w:sz w:val="20"/>
        </w:rPr>
        <w:t>our</w:t>
      </w:r>
      <w:r>
        <w:rPr>
          <w:rFonts w:ascii="Arial" w:hAnsi="Arial"/>
          <w:spacing w:val="-3"/>
          <w:sz w:val="20"/>
        </w:rPr>
        <w:t> </w:t>
      </w:r>
      <w:r>
        <w:rPr>
          <w:rFonts w:ascii="Arial" w:hAnsi="Arial"/>
          <w:sz w:val="20"/>
        </w:rPr>
        <w:t>preop</w:t>
      </w:r>
      <w:r>
        <w:rPr>
          <w:rFonts w:ascii="Arial" w:hAnsi="Arial"/>
          <w:spacing w:val="-5"/>
          <w:sz w:val="20"/>
        </w:rPr>
        <w:t> </w:t>
      </w:r>
      <w:r>
        <w:rPr>
          <w:rFonts w:ascii="Arial" w:hAnsi="Arial"/>
          <w:sz w:val="20"/>
        </w:rPr>
        <w:t>calls where</w:t>
      </w:r>
      <w:r>
        <w:rPr>
          <w:rFonts w:ascii="Arial" w:hAnsi="Arial"/>
          <w:spacing w:val="-3"/>
          <w:sz w:val="20"/>
        </w:rPr>
        <w:t> </w:t>
      </w:r>
      <w:r>
        <w:rPr>
          <w:rFonts w:ascii="Arial" w:hAnsi="Arial"/>
          <w:sz w:val="20"/>
        </w:rPr>
        <w:t>we</w:t>
      </w:r>
      <w:r>
        <w:rPr>
          <w:rFonts w:ascii="Arial" w:hAnsi="Arial"/>
          <w:spacing w:val="-3"/>
          <w:sz w:val="20"/>
        </w:rPr>
        <w:t> </w:t>
      </w:r>
      <w:r>
        <w:rPr>
          <w:rFonts w:ascii="Arial" w:hAnsi="Arial"/>
          <w:sz w:val="20"/>
        </w:rPr>
        <w:t>ask if</w:t>
      </w:r>
      <w:r>
        <w:rPr>
          <w:rFonts w:ascii="Arial" w:hAnsi="Arial"/>
          <w:spacing w:val="-3"/>
          <w:sz w:val="20"/>
        </w:rPr>
        <w:t> </w:t>
      </w:r>
      <w:r>
        <w:rPr>
          <w:rFonts w:ascii="Arial" w:hAnsi="Arial"/>
          <w:sz w:val="20"/>
        </w:rPr>
        <w:t>they</w:t>
      </w:r>
      <w:r>
        <w:rPr>
          <w:rFonts w:ascii="Arial" w:hAnsi="Arial"/>
          <w:spacing w:val="-5"/>
          <w:sz w:val="20"/>
        </w:rPr>
        <w:t> </w:t>
      </w:r>
      <w:r>
        <w:rPr>
          <w:rFonts w:ascii="Arial" w:hAnsi="Arial"/>
          <w:sz w:val="20"/>
        </w:rPr>
        <w:t>will need any special accommodations, (e.g.do they need assistance getting around, do they use a walker/wheelchair or are they hearing or visually impaired.)  </w:t>
      </w:r>
      <w:r>
        <w:rPr>
          <w:rFonts w:ascii="Arial" w:hAnsi="Arial"/>
          <w:spacing w:val="5"/>
          <w:sz w:val="20"/>
        </w:rPr>
        <w:t>We </w:t>
      </w:r>
      <w:r>
        <w:rPr>
          <w:rFonts w:ascii="Arial" w:hAnsi="Arial"/>
          <w:sz w:val="20"/>
        </w:rPr>
        <w:t>have wheelchairs if patients do not and assistance is provided, when requested, bringing the patients into the center and upon discharge. The center is ADA compliant, starting in our parking lot where handicapped spaces are available at the front door and there is no parking fee.  The doors into the building are fitted with automatic openers and once in the center everything is built to ADA specifications. Toilets, sinks and hand sanitizers are at required accessible</w:t>
      </w:r>
      <w:r>
        <w:rPr>
          <w:rFonts w:ascii="Arial" w:hAnsi="Arial"/>
          <w:spacing w:val="-7"/>
          <w:sz w:val="20"/>
        </w:rPr>
        <w:t> </w:t>
      </w:r>
      <w:r>
        <w:rPr>
          <w:rFonts w:ascii="Arial" w:hAnsi="Arial"/>
          <w:sz w:val="20"/>
        </w:rPr>
        <w:t>heights.</w:t>
      </w:r>
    </w:p>
    <w:p>
      <w:pPr>
        <w:pStyle w:val="BodyText"/>
        <w:spacing w:before="102"/>
        <w:ind w:left="81"/>
        <w:jc w:val="center"/>
      </w:pPr>
      <w:r>
        <w:rPr>
          <w:w w:val="100"/>
        </w:rPr>
        <w:t>1</w:t>
      </w:r>
    </w:p>
    <w:p>
      <w:pPr>
        <w:spacing w:after="0"/>
        <w:jc w:val="center"/>
        <w:sectPr>
          <w:pgSz w:w="12240" w:h="15840"/>
          <w:pgMar w:top="640" w:bottom="280" w:left="500" w:right="580"/>
        </w:sectPr>
      </w:pPr>
    </w:p>
    <w:p>
      <w:pPr>
        <w:pStyle w:val="Heading2"/>
        <w:tabs>
          <w:tab w:pos="4469" w:val="left" w:leader="none"/>
        </w:tabs>
      </w:pPr>
      <w:r>
        <w:rPr>
          <w:color w:val="063D86"/>
        </w:rPr>
        <w:t>New England Surgery</w:t>
      </w:r>
      <w:r>
        <w:rPr>
          <w:color w:val="063D86"/>
          <w:spacing w:val="-6"/>
        </w:rPr>
        <w:t> </w:t>
      </w:r>
      <w:r>
        <w:rPr>
          <w:color w:val="063D86"/>
        </w:rPr>
        <w:t>Center,</w:t>
      </w:r>
      <w:r>
        <w:rPr>
          <w:color w:val="063D86"/>
          <w:spacing w:val="-3"/>
        </w:rPr>
        <w:t> </w:t>
      </w:r>
      <w:r>
        <w:rPr>
          <w:color w:val="063D86"/>
        </w:rPr>
        <w:t>LLC</w:t>
        <w:tab/>
        <w:t>DoN #</w:t>
      </w:r>
      <w:r>
        <w:rPr>
          <w:color w:val="063D86"/>
          <w:spacing w:val="-2"/>
        </w:rPr>
        <w:t> </w:t>
      </w:r>
      <w:r>
        <w:rPr>
          <w:color w:val="063D86"/>
        </w:rPr>
        <w:t>20072809-AS</w:t>
      </w:r>
    </w:p>
    <w:p>
      <w:pPr>
        <w:pStyle w:val="BodyText"/>
        <w:spacing w:line="88" w:lineRule="exact"/>
        <w:ind w:left="191"/>
        <w:rPr>
          <w:rFonts w:ascii="Garamond"/>
          <w:sz w:val="8"/>
        </w:rPr>
      </w:pPr>
      <w:r>
        <w:rPr>
          <w:rFonts w:ascii="Garamond"/>
          <w:position w:val="-1"/>
          <w:sz w:val="8"/>
        </w:rPr>
        <w:pict>
          <v:group style="width:542.9pt;height:4.45pt;mso-position-horizontal-relative:char;mso-position-vertical-relative:line" coordorigin="0,0" coordsize="10858,89">
            <v:shape style="position:absolute;left:0;top:0;width:10858;height:89" coordorigin="0,0" coordsize="10858,89" path="m10858,29l0,29,0,89,10858,89,10858,29xm10858,0l0,0,0,14,10858,14,10858,0xe" filled="true" fillcolor="#1a406f" stroked="false">
              <v:path arrowok="t"/>
              <v:fill type="solid"/>
            </v:shape>
          </v:group>
        </w:pict>
      </w:r>
      <w:r>
        <w:rPr>
          <w:rFonts w:ascii="Garamond"/>
          <w:position w:val="-1"/>
          <w:sz w:val="8"/>
        </w:rPr>
      </w:r>
    </w:p>
    <w:p>
      <w:pPr>
        <w:pStyle w:val="BodyText"/>
        <w:rPr>
          <w:rFonts w:ascii="Garamond"/>
          <w:b/>
          <w:sz w:val="20"/>
        </w:rPr>
      </w:pPr>
    </w:p>
    <w:p>
      <w:pPr>
        <w:pStyle w:val="BodyText"/>
        <w:rPr>
          <w:rFonts w:ascii="Garamond"/>
          <w:b/>
          <w:sz w:val="17"/>
        </w:rPr>
      </w:pPr>
    </w:p>
    <w:p>
      <w:pPr>
        <w:pStyle w:val="ListParagraph"/>
        <w:numPr>
          <w:ilvl w:val="0"/>
          <w:numId w:val="18"/>
        </w:numPr>
        <w:tabs>
          <w:tab w:pos="940" w:val="left" w:leader="none"/>
        </w:tabs>
        <w:spacing w:line="259" w:lineRule="auto" w:before="100" w:after="0"/>
        <w:ind w:left="940" w:right="710" w:hanging="360"/>
        <w:jc w:val="left"/>
        <w:rPr>
          <w:rFonts w:ascii="Garamond"/>
          <w:sz w:val="24"/>
        </w:rPr>
      </w:pPr>
      <w:r>
        <w:rPr>
          <w:rFonts w:ascii="Garamond"/>
          <w:sz w:val="24"/>
        </w:rPr>
        <w:t>Have</w:t>
      </w:r>
      <w:r>
        <w:rPr>
          <w:rFonts w:ascii="Garamond"/>
          <w:spacing w:val="-4"/>
          <w:sz w:val="24"/>
        </w:rPr>
        <w:t> </w:t>
      </w:r>
      <w:r>
        <w:rPr>
          <w:rFonts w:ascii="Garamond"/>
          <w:sz w:val="24"/>
        </w:rPr>
        <w:t>you</w:t>
      </w:r>
      <w:r>
        <w:rPr>
          <w:rFonts w:ascii="Garamond"/>
          <w:spacing w:val="-5"/>
          <w:sz w:val="24"/>
        </w:rPr>
        <w:t> </w:t>
      </w:r>
      <w:r>
        <w:rPr>
          <w:rFonts w:ascii="Garamond"/>
          <w:sz w:val="24"/>
        </w:rPr>
        <w:t>made</w:t>
      </w:r>
      <w:r>
        <w:rPr>
          <w:rFonts w:ascii="Garamond"/>
          <w:spacing w:val="-3"/>
          <w:sz w:val="24"/>
        </w:rPr>
        <w:t> </w:t>
      </w:r>
      <w:r>
        <w:rPr>
          <w:rFonts w:ascii="Garamond"/>
          <w:sz w:val="24"/>
        </w:rPr>
        <w:t>any</w:t>
      </w:r>
      <w:r>
        <w:rPr>
          <w:rFonts w:ascii="Garamond"/>
          <w:spacing w:val="-4"/>
          <w:sz w:val="24"/>
        </w:rPr>
        <w:t> </w:t>
      </w:r>
      <w:r>
        <w:rPr>
          <w:rFonts w:ascii="Garamond"/>
          <w:sz w:val="24"/>
        </w:rPr>
        <w:t>operational</w:t>
      </w:r>
      <w:r>
        <w:rPr>
          <w:rFonts w:ascii="Garamond"/>
          <w:spacing w:val="-4"/>
          <w:sz w:val="24"/>
        </w:rPr>
        <w:t> </w:t>
      </w:r>
      <w:r>
        <w:rPr>
          <w:rFonts w:ascii="Garamond"/>
          <w:sz w:val="24"/>
        </w:rPr>
        <w:t>or</w:t>
      </w:r>
      <w:r>
        <w:rPr>
          <w:rFonts w:ascii="Garamond"/>
          <w:spacing w:val="-4"/>
          <w:sz w:val="24"/>
        </w:rPr>
        <w:t> </w:t>
      </w:r>
      <w:r>
        <w:rPr>
          <w:rFonts w:ascii="Garamond"/>
          <w:sz w:val="24"/>
        </w:rPr>
        <w:t>service</w:t>
      </w:r>
      <w:r>
        <w:rPr>
          <w:rFonts w:ascii="Garamond"/>
          <w:spacing w:val="-4"/>
          <w:sz w:val="24"/>
        </w:rPr>
        <w:t> </w:t>
      </w:r>
      <w:r>
        <w:rPr>
          <w:rFonts w:ascii="Garamond"/>
          <w:sz w:val="24"/>
        </w:rPr>
        <w:t>provision</w:t>
      </w:r>
      <w:r>
        <w:rPr>
          <w:rFonts w:ascii="Garamond"/>
          <w:spacing w:val="-5"/>
          <w:sz w:val="24"/>
        </w:rPr>
        <w:t> </w:t>
      </w:r>
      <w:r>
        <w:rPr>
          <w:rFonts w:ascii="Garamond"/>
          <w:sz w:val="24"/>
        </w:rPr>
        <w:t>adjustments</w:t>
      </w:r>
      <w:r>
        <w:rPr>
          <w:rFonts w:ascii="Garamond"/>
          <w:spacing w:val="-5"/>
          <w:sz w:val="24"/>
        </w:rPr>
        <w:t> </w:t>
      </w:r>
      <w:r>
        <w:rPr>
          <w:rFonts w:ascii="Garamond"/>
          <w:sz w:val="24"/>
        </w:rPr>
        <w:t>to</w:t>
      </w:r>
      <w:r>
        <w:rPr>
          <w:rFonts w:ascii="Garamond"/>
          <w:spacing w:val="-5"/>
          <w:sz w:val="24"/>
        </w:rPr>
        <w:t> </w:t>
      </w:r>
      <w:r>
        <w:rPr>
          <w:rFonts w:ascii="Garamond"/>
          <w:sz w:val="24"/>
        </w:rPr>
        <w:t>your</w:t>
      </w:r>
      <w:r>
        <w:rPr>
          <w:rFonts w:ascii="Garamond"/>
          <w:spacing w:val="-4"/>
          <w:sz w:val="24"/>
        </w:rPr>
        <w:t> </w:t>
      </w:r>
      <w:r>
        <w:rPr>
          <w:rFonts w:ascii="Garamond"/>
          <w:sz w:val="24"/>
        </w:rPr>
        <w:t>interpretation</w:t>
      </w:r>
      <w:r>
        <w:rPr>
          <w:rFonts w:ascii="Garamond"/>
          <w:spacing w:val="-5"/>
          <w:sz w:val="24"/>
        </w:rPr>
        <w:t> </w:t>
      </w:r>
      <w:r>
        <w:rPr>
          <w:rFonts w:ascii="Garamond"/>
          <w:sz w:val="24"/>
        </w:rPr>
        <w:t>and</w:t>
      </w:r>
      <w:r>
        <w:rPr>
          <w:rFonts w:ascii="Garamond"/>
          <w:spacing w:val="-5"/>
          <w:sz w:val="24"/>
        </w:rPr>
        <w:t> </w:t>
      </w:r>
      <w:r>
        <w:rPr>
          <w:rFonts w:ascii="Garamond"/>
          <w:sz w:val="24"/>
        </w:rPr>
        <w:t>translation services due to</w:t>
      </w:r>
      <w:r>
        <w:rPr>
          <w:rFonts w:ascii="Garamond"/>
          <w:spacing w:val="-4"/>
          <w:sz w:val="24"/>
        </w:rPr>
        <w:t> </w:t>
      </w:r>
      <w:r>
        <w:rPr>
          <w:rFonts w:ascii="Garamond"/>
          <w:sz w:val="24"/>
        </w:rPr>
        <w:t>COVID-19?</w:t>
      </w:r>
    </w:p>
    <w:p>
      <w:pPr>
        <w:spacing w:line="259" w:lineRule="auto" w:before="0"/>
        <w:ind w:left="939" w:right="231" w:firstLine="0"/>
        <w:jc w:val="left"/>
        <w:rPr>
          <w:rFonts w:ascii="Arial"/>
          <w:sz w:val="20"/>
        </w:rPr>
      </w:pPr>
      <w:r>
        <w:rPr>
          <w:rFonts w:ascii="Arial"/>
          <w:sz w:val="20"/>
        </w:rPr>
        <w:t>Based on our experience, the only operational or service adjustments the center has made due to COVID-19 is the posting and availability of COVID-19 intake and care posters in the languages most used. Our interpretation and translation services have always been off sight and continue to be the safest and most effective for our patients who receive these services.</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sz w:val="23"/>
        </w:rPr>
      </w:pPr>
    </w:p>
    <w:p>
      <w:pPr>
        <w:pStyle w:val="BodyText"/>
        <w:spacing w:before="56"/>
        <w:ind w:left="81"/>
        <w:jc w:val="center"/>
      </w:pPr>
      <w:r>
        <w:rPr>
          <w:w w:val="100"/>
        </w:rPr>
        <w:t>2</w:t>
      </w:r>
    </w:p>
    <w:p>
      <w:pPr>
        <w:spacing w:after="0"/>
        <w:jc w:val="center"/>
        <w:sectPr>
          <w:pgSz w:w="12240" w:h="15840"/>
          <w:pgMar w:top="640" w:bottom="280" w:left="500" w:right="580"/>
        </w:sectPr>
      </w:pPr>
    </w:p>
    <w:p>
      <w:pPr>
        <w:pStyle w:val="Heading2"/>
        <w:tabs>
          <w:tab w:pos="4469" w:val="left" w:leader="none"/>
        </w:tabs>
      </w:pPr>
      <w:bookmarkStart w:name="New England Surgery Center LLC   DoN # 2" w:id="44"/>
      <w:bookmarkEnd w:id="44"/>
      <w:r>
        <w:rPr>
          <w:b w:val="0"/>
        </w:rPr>
      </w:r>
      <w:r>
        <w:rPr>
          <w:color w:val="063D86"/>
        </w:rPr>
        <w:t>New England Surgery</w:t>
      </w:r>
      <w:r>
        <w:rPr>
          <w:color w:val="063D86"/>
          <w:spacing w:val="-6"/>
        </w:rPr>
        <w:t> </w:t>
      </w:r>
      <w:r>
        <w:rPr>
          <w:color w:val="063D86"/>
        </w:rPr>
        <w:t>Center,</w:t>
      </w:r>
      <w:r>
        <w:rPr>
          <w:color w:val="063D86"/>
          <w:spacing w:val="-3"/>
        </w:rPr>
        <w:t> </w:t>
      </w:r>
      <w:r>
        <w:rPr>
          <w:color w:val="063D86"/>
        </w:rPr>
        <w:t>LLC</w:t>
        <w:tab/>
        <w:t>DoN #</w:t>
      </w:r>
      <w:r>
        <w:rPr>
          <w:color w:val="063D86"/>
          <w:spacing w:val="-2"/>
        </w:rPr>
        <w:t> </w:t>
      </w:r>
      <w:r>
        <w:rPr>
          <w:color w:val="063D86"/>
        </w:rPr>
        <w:t>20072809-AS</w:t>
      </w:r>
    </w:p>
    <w:p>
      <w:pPr>
        <w:pStyle w:val="BodyText"/>
        <w:spacing w:line="88" w:lineRule="exact"/>
        <w:ind w:left="191"/>
        <w:rPr>
          <w:rFonts w:ascii="Garamond"/>
          <w:sz w:val="8"/>
        </w:rPr>
      </w:pPr>
      <w:r>
        <w:rPr>
          <w:rFonts w:ascii="Garamond"/>
          <w:position w:val="-1"/>
          <w:sz w:val="8"/>
        </w:rPr>
        <w:pict>
          <v:group style="width:542.9pt;height:4.45pt;mso-position-horizontal-relative:char;mso-position-vertical-relative:line" coordorigin="0,0" coordsize="10858,89">
            <v:shape style="position:absolute;left:0;top:0;width:10858;height:89" coordorigin="0,0" coordsize="10858,89" path="m10858,29l0,29,0,89,10858,89,10858,29xm10858,0l0,0,0,14,10858,14,10858,0xe" filled="true" fillcolor="#1a406f" stroked="false">
              <v:path arrowok="t"/>
              <v:fill type="solid"/>
            </v:shape>
          </v:group>
        </w:pict>
      </w:r>
      <w:r>
        <w:rPr>
          <w:rFonts w:ascii="Garamond"/>
          <w:position w:val="-1"/>
          <w:sz w:val="8"/>
        </w:rPr>
      </w:r>
    </w:p>
    <w:p>
      <w:pPr>
        <w:pStyle w:val="BodyText"/>
        <w:rPr>
          <w:rFonts w:ascii="Garamond"/>
          <w:b/>
          <w:sz w:val="15"/>
        </w:rPr>
      </w:pPr>
    </w:p>
    <w:p>
      <w:pPr>
        <w:pStyle w:val="Heading3"/>
        <w:spacing w:line="269" w:lineRule="exact" w:before="100"/>
        <w:ind w:left="77"/>
        <w:rPr>
          <w:rFonts w:ascii="Garamond"/>
        </w:rPr>
      </w:pPr>
      <w:r>
        <w:rPr>
          <w:rFonts w:ascii="Garamond"/>
        </w:rPr>
        <w:t>APPLICANT QUESTIONS</w:t>
      </w:r>
    </w:p>
    <w:p>
      <w:pPr>
        <w:spacing w:line="269" w:lineRule="exact" w:before="0"/>
        <w:ind w:left="79" w:right="0" w:firstLine="0"/>
        <w:jc w:val="center"/>
        <w:rPr>
          <w:rFonts w:ascii="Garamond"/>
          <w:sz w:val="24"/>
        </w:rPr>
      </w:pPr>
      <w:r>
        <w:rPr>
          <w:rFonts w:ascii="Garamond"/>
          <w:i/>
          <w:sz w:val="24"/>
        </w:rPr>
        <w:t>Responses should be sent to DoN staff at </w:t>
      </w:r>
      <w:hyperlink r:id="rId12">
        <w:r>
          <w:rPr>
            <w:rFonts w:ascii="Garamond"/>
            <w:color w:val="0080FF"/>
            <w:sz w:val="24"/>
            <w:u w:val="single" w:color="0080FF"/>
          </w:rPr>
          <w:t>DPH.DON@State.MA.US</w:t>
        </w:r>
      </w:hyperlink>
    </w:p>
    <w:p>
      <w:pPr>
        <w:spacing w:before="201"/>
        <w:ind w:left="940" w:right="186" w:hanging="360"/>
        <w:jc w:val="left"/>
        <w:rPr>
          <w:rFonts w:ascii="Garamond"/>
          <w:sz w:val="24"/>
        </w:rPr>
      </w:pPr>
      <w:r>
        <w:rPr>
          <w:rFonts w:ascii="Garamond"/>
          <w:sz w:val="24"/>
        </w:rPr>
        <w:t>1. In the DoN Application, you provide CMS's Medicare Procedure Price Lookup information for common procedures performed at the ASC. Provide the price information for the complex pain management (MILD and Vertiflex) and otolaryngology procedures (complex fusion sinus) that are mentioned in the application.</w:t>
      </w:r>
    </w:p>
    <w:p>
      <w:pPr>
        <w:pStyle w:val="BodyText"/>
        <w:spacing w:line="268" w:lineRule="auto" w:before="231"/>
        <w:ind w:left="940" w:right="428"/>
      </w:pPr>
      <w:bookmarkStart w:name="CMS’s Medicare Procedure Price Lookup sh" w:id="45"/>
      <w:bookmarkEnd w:id="45"/>
      <w:r>
        <w:rPr/>
      </w:r>
      <w:r>
        <w:rPr/>
        <w:t>CMS’s Medicare Procedure Price Lookup shows a significant difference in the average price and copay in an ambulatory surgery center versus a hospital outpatient department</w:t>
      </w:r>
      <w:r>
        <w:rPr>
          <w:i/>
        </w:rPr>
        <w:t>. </w:t>
      </w:r>
      <w:r>
        <w:rPr/>
        <w:t>Following are Medicare Fee for Service prices and copays sample of the more complex pain and otolaryngology procedures.</w:t>
      </w:r>
      <w:hyperlink w:history="true" w:anchor="_bookmark27">
        <w:r>
          <w:rPr>
            <w:vertAlign w:val="superscript"/>
          </w:rPr>
          <w:t>1</w:t>
        </w:r>
      </w:hyperlink>
      <w:r>
        <w:rPr>
          <w:vertAlign w:val="baseline"/>
        </w:rPr>
        <w:t> T 8wo of the pain procedures reflect a higher patient responsibility if performed in an ASC vs HOPD. This is due to APC pricing.</w:t>
      </w:r>
    </w:p>
    <w:p>
      <w:pPr>
        <w:pStyle w:val="BodyText"/>
      </w:pPr>
    </w:p>
    <w:p>
      <w:pPr>
        <w:spacing w:before="168"/>
        <w:ind w:left="80" w:right="0" w:firstLine="0"/>
        <w:jc w:val="center"/>
        <w:rPr>
          <w:rFonts w:ascii="Garamond"/>
          <w:sz w:val="24"/>
        </w:rPr>
      </w:pPr>
      <w:r>
        <w:rPr>
          <w:rFonts w:ascii="Garamond"/>
          <w:sz w:val="24"/>
        </w:rPr>
        <w:t>Medicare Local Payments 2020 without 2% Sequester</w:t>
      </w:r>
    </w:p>
    <w:p>
      <w:pPr>
        <w:pStyle w:val="BodyText"/>
        <w:spacing w:before="9"/>
        <w:rPr>
          <w:rFonts w:ascii="Garamond"/>
          <w:sz w:val="17"/>
        </w:rPr>
      </w:pPr>
    </w:p>
    <w:tbl>
      <w:tblPr>
        <w:tblW w:w="0" w:type="auto"/>
        <w:jc w:val="left"/>
        <w:tblInd w:w="117" w:type="dxa"/>
        <w:tblBorders>
          <w:top w:val="single" w:sz="4" w:space="0" w:color="F8D98B"/>
          <w:left w:val="single" w:sz="4" w:space="0" w:color="F8D98B"/>
          <w:bottom w:val="single" w:sz="4" w:space="0" w:color="F8D98B"/>
          <w:right w:val="single" w:sz="4" w:space="0" w:color="F8D98B"/>
          <w:insideH w:val="single" w:sz="4" w:space="0" w:color="F8D98B"/>
          <w:insideV w:val="single" w:sz="4" w:space="0" w:color="F8D98B"/>
        </w:tblBorders>
        <w:tblLayout w:type="fixed"/>
        <w:tblCellMar>
          <w:top w:w="0" w:type="dxa"/>
          <w:left w:w="0" w:type="dxa"/>
          <w:bottom w:w="0" w:type="dxa"/>
          <w:right w:w="0" w:type="dxa"/>
        </w:tblCellMar>
        <w:tblLook w:val="01E0"/>
      </w:tblPr>
      <w:tblGrid>
        <w:gridCol w:w="2834"/>
        <w:gridCol w:w="1210"/>
        <w:gridCol w:w="1240"/>
        <w:gridCol w:w="866"/>
        <w:gridCol w:w="1012"/>
        <w:gridCol w:w="1142"/>
        <w:gridCol w:w="936"/>
      </w:tblGrid>
      <w:tr>
        <w:trPr>
          <w:trHeight w:val="537" w:hRule="atLeast"/>
        </w:trPr>
        <w:tc>
          <w:tcPr>
            <w:tcW w:w="2834" w:type="dxa"/>
            <w:vMerge w:val="restart"/>
            <w:tcBorders>
              <w:right w:val="nil"/>
            </w:tcBorders>
            <w:shd w:val="clear" w:color="auto" w:fill="FAE4B1"/>
          </w:tcPr>
          <w:p>
            <w:pPr>
              <w:pStyle w:val="TableParagraph"/>
              <w:rPr>
                <w:rFonts w:ascii="Garamond"/>
                <w:sz w:val="22"/>
              </w:rPr>
            </w:pPr>
          </w:p>
          <w:p>
            <w:pPr>
              <w:pStyle w:val="TableParagraph"/>
              <w:spacing w:before="5"/>
              <w:rPr>
                <w:rFonts w:ascii="Garamond"/>
                <w:sz w:val="25"/>
              </w:rPr>
            </w:pPr>
          </w:p>
          <w:p>
            <w:pPr>
              <w:pStyle w:val="TableParagraph"/>
              <w:ind w:left="933" w:right="929"/>
              <w:jc w:val="center"/>
              <w:rPr>
                <w:sz w:val="22"/>
              </w:rPr>
            </w:pPr>
            <w:r>
              <w:rPr>
                <w:sz w:val="22"/>
              </w:rPr>
              <w:t>Procedure</w:t>
            </w:r>
          </w:p>
        </w:tc>
        <w:tc>
          <w:tcPr>
            <w:tcW w:w="3316" w:type="dxa"/>
            <w:gridSpan w:val="3"/>
            <w:tcBorders>
              <w:left w:val="nil"/>
            </w:tcBorders>
            <w:shd w:val="clear" w:color="auto" w:fill="FAE4B1"/>
          </w:tcPr>
          <w:p>
            <w:pPr>
              <w:pStyle w:val="TableParagraph"/>
              <w:spacing w:line="265" w:lineRule="exact"/>
              <w:ind w:left="423" w:right="407"/>
              <w:jc w:val="center"/>
              <w:rPr>
                <w:sz w:val="22"/>
              </w:rPr>
            </w:pPr>
            <w:r>
              <w:rPr>
                <w:sz w:val="22"/>
              </w:rPr>
              <w:t>Ambulatory Surgery Center</w:t>
            </w:r>
          </w:p>
          <w:p>
            <w:pPr>
              <w:pStyle w:val="TableParagraph"/>
              <w:spacing w:line="252" w:lineRule="exact"/>
              <w:ind w:left="423" w:right="405"/>
              <w:jc w:val="center"/>
              <w:rPr>
                <w:sz w:val="22"/>
              </w:rPr>
            </w:pPr>
            <w:r>
              <w:rPr>
                <w:sz w:val="22"/>
              </w:rPr>
              <w:t>(Average)</w:t>
            </w:r>
          </w:p>
        </w:tc>
        <w:tc>
          <w:tcPr>
            <w:tcW w:w="3090" w:type="dxa"/>
            <w:gridSpan w:val="3"/>
            <w:shd w:val="clear" w:color="auto" w:fill="FAE4B1"/>
          </w:tcPr>
          <w:p>
            <w:pPr>
              <w:pStyle w:val="TableParagraph"/>
              <w:spacing w:line="265" w:lineRule="exact"/>
              <w:ind w:left="520" w:right="508"/>
              <w:jc w:val="center"/>
              <w:rPr>
                <w:sz w:val="22"/>
              </w:rPr>
            </w:pPr>
            <w:r>
              <w:rPr>
                <w:sz w:val="22"/>
              </w:rPr>
              <w:t>Hospital Outpatient</w:t>
            </w:r>
          </w:p>
          <w:p>
            <w:pPr>
              <w:pStyle w:val="TableParagraph"/>
              <w:spacing w:line="252" w:lineRule="exact"/>
              <w:ind w:left="525" w:right="508"/>
              <w:jc w:val="center"/>
              <w:rPr>
                <w:sz w:val="22"/>
              </w:rPr>
            </w:pPr>
            <w:r>
              <w:rPr>
                <w:sz w:val="22"/>
              </w:rPr>
              <w:t>Department (Average)</w:t>
            </w:r>
          </w:p>
        </w:tc>
      </w:tr>
      <w:tr>
        <w:trPr>
          <w:trHeight w:val="537" w:hRule="atLeast"/>
        </w:trPr>
        <w:tc>
          <w:tcPr>
            <w:tcW w:w="2834" w:type="dxa"/>
            <w:vMerge/>
            <w:tcBorders>
              <w:top w:val="nil"/>
              <w:right w:val="nil"/>
            </w:tcBorders>
            <w:shd w:val="clear" w:color="auto" w:fill="FAE4B1"/>
          </w:tcPr>
          <w:p>
            <w:pPr>
              <w:rPr>
                <w:sz w:val="2"/>
                <w:szCs w:val="2"/>
              </w:rPr>
            </w:pPr>
          </w:p>
        </w:tc>
        <w:tc>
          <w:tcPr>
            <w:tcW w:w="1210" w:type="dxa"/>
            <w:tcBorders>
              <w:left w:val="nil"/>
              <w:right w:val="nil"/>
            </w:tcBorders>
            <w:shd w:val="clear" w:color="auto" w:fill="FAE4B1"/>
          </w:tcPr>
          <w:p>
            <w:pPr>
              <w:pStyle w:val="TableParagraph"/>
              <w:spacing w:before="6"/>
              <w:rPr>
                <w:rFonts w:ascii="Garamond"/>
                <w:sz w:val="23"/>
              </w:rPr>
            </w:pPr>
          </w:p>
          <w:p>
            <w:pPr>
              <w:pStyle w:val="TableParagraph"/>
              <w:spacing w:line="252" w:lineRule="exact"/>
              <w:ind w:left="360"/>
              <w:rPr>
                <w:sz w:val="22"/>
              </w:rPr>
            </w:pPr>
            <w:r>
              <w:rPr>
                <w:sz w:val="22"/>
              </w:rPr>
              <w:t>Total</w:t>
            </w:r>
          </w:p>
        </w:tc>
        <w:tc>
          <w:tcPr>
            <w:tcW w:w="1240" w:type="dxa"/>
            <w:tcBorders>
              <w:left w:val="nil"/>
              <w:right w:val="nil"/>
            </w:tcBorders>
            <w:shd w:val="clear" w:color="auto" w:fill="FAE4B1"/>
          </w:tcPr>
          <w:p>
            <w:pPr>
              <w:pStyle w:val="TableParagraph"/>
              <w:spacing w:line="265" w:lineRule="exact"/>
              <w:ind w:left="158"/>
              <w:rPr>
                <w:sz w:val="22"/>
              </w:rPr>
            </w:pPr>
            <w:r>
              <w:rPr>
                <w:sz w:val="22"/>
              </w:rPr>
              <w:t>Medicare</w:t>
            </w:r>
          </w:p>
          <w:p>
            <w:pPr>
              <w:pStyle w:val="TableParagraph"/>
              <w:spacing w:line="252" w:lineRule="exact"/>
              <w:ind w:left="187"/>
              <w:rPr>
                <w:sz w:val="22"/>
              </w:rPr>
            </w:pPr>
            <w:r>
              <w:rPr>
                <w:sz w:val="22"/>
              </w:rPr>
              <w:t>Payment</w:t>
            </w:r>
          </w:p>
        </w:tc>
        <w:tc>
          <w:tcPr>
            <w:tcW w:w="866" w:type="dxa"/>
            <w:tcBorders>
              <w:left w:val="nil"/>
            </w:tcBorders>
            <w:shd w:val="clear" w:color="auto" w:fill="FAE4B1"/>
          </w:tcPr>
          <w:p>
            <w:pPr>
              <w:pStyle w:val="TableParagraph"/>
              <w:spacing w:before="6"/>
              <w:rPr>
                <w:rFonts w:ascii="Garamond"/>
                <w:sz w:val="23"/>
              </w:rPr>
            </w:pPr>
          </w:p>
          <w:p>
            <w:pPr>
              <w:pStyle w:val="TableParagraph"/>
              <w:spacing w:line="252" w:lineRule="exact"/>
              <w:ind w:left="144"/>
              <w:rPr>
                <w:sz w:val="22"/>
              </w:rPr>
            </w:pPr>
            <w:r>
              <w:rPr>
                <w:sz w:val="22"/>
              </w:rPr>
              <w:t>Copay</w:t>
            </w:r>
          </w:p>
        </w:tc>
        <w:tc>
          <w:tcPr>
            <w:tcW w:w="1012" w:type="dxa"/>
            <w:tcBorders>
              <w:right w:val="nil"/>
            </w:tcBorders>
            <w:shd w:val="clear" w:color="auto" w:fill="FAE4B1"/>
          </w:tcPr>
          <w:p>
            <w:pPr>
              <w:pStyle w:val="TableParagraph"/>
              <w:spacing w:before="6"/>
              <w:rPr>
                <w:rFonts w:ascii="Garamond"/>
                <w:sz w:val="23"/>
              </w:rPr>
            </w:pPr>
          </w:p>
          <w:p>
            <w:pPr>
              <w:pStyle w:val="TableParagraph"/>
              <w:spacing w:line="252" w:lineRule="exact"/>
              <w:ind w:left="93" w:right="106"/>
              <w:jc w:val="center"/>
              <w:rPr>
                <w:sz w:val="22"/>
              </w:rPr>
            </w:pPr>
            <w:r>
              <w:rPr>
                <w:sz w:val="22"/>
              </w:rPr>
              <w:t>Total</w:t>
            </w:r>
          </w:p>
        </w:tc>
        <w:tc>
          <w:tcPr>
            <w:tcW w:w="1142" w:type="dxa"/>
            <w:tcBorders>
              <w:left w:val="nil"/>
              <w:right w:val="nil"/>
            </w:tcBorders>
            <w:shd w:val="clear" w:color="auto" w:fill="FAE4B1"/>
          </w:tcPr>
          <w:p>
            <w:pPr>
              <w:pStyle w:val="TableParagraph"/>
              <w:spacing w:line="265" w:lineRule="exact"/>
              <w:ind w:left="138"/>
              <w:rPr>
                <w:sz w:val="22"/>
              </w:rPr>
            </w:pPr>
            <w:r>
              <w:rPr>
                <w:sz w:val="22"/>
              </w:rPr>
              <w:t>Medicare</w:t>
            </w:r>
          </w:p>
          <w:p>
            <w:pPr>
              <w:pStyle w:val="TableParagraph"/>
              <w:spacing w:line="252" w:lineRule="exact"/>
              <w:ind w:left="167"/>
              <w:rPr>
                <w:sz w:val="22"/>
              </w:rPr>
            </w:pPr>
            <w:r>
              <w:rPr>
                <w:sz w:val="22"/>
              </w:rPr>
              <w:t>Payment</w:t>
            </w:r>
          </w:p>
        </w:tc>
        <w:tc>
          <w:tcPr>
            <w:tcW w:w="936" w:type="dxa"/>
            <w:tcBorders>
              <w:left w:val="nil"/>
            </w:tcBorders>
            <w:shd w:val="clear" w:color="auto" w:fill="FAE4B1"/>
          </w:tcPr>
          <w:p>
            <w:pPr>
              <w:pStyle w:val="TableParagraph"/>
              <w:spacing w:before="6"/>
              <w:rPr>
                <w:rFonts w:ascii="Garamond"/>
                <w:sz w:val="23"/>
              </w:rPr>
            </w:pPr>
          </w:p>
          <w:p>
            <w:pPr>
              <w:pStyle w:val="TableParagraph"/>
              <w:spacing w:line="252" w:lineRule="exact"/>
              <w:ind w:left="196"/>
              <w:rPr>
                <w:sz w:val="22"/>
              </w:rPr>
            </w:pPr>
            <w:r>
              <w:rPr>
                <w:sz w:val="22"/>
              </w:rPr>
              <w:t>Copay</w:t>
            </w:r>
          </w:p>
        </w:tc>
      </w:tr>
      <w:tr>
        <w:trPr>
          <w:trHeight w:val="806" w:hRule="atLeast"/>
        </w:trPr>
        <w:tc>
          <w:tcPr>
            <w:tcW w:w="2834" w:type="dxa"/>
            <w:tcBorders>
              <w:right w:val="nil"/>
            </w:tcBorders>
          </w:tcPr>
          <w:p>
            <w:pPr>
              <w:pStyle w:val="TableParagraph"/>
              <w:ind w:left="107" w:right="170"/>
              <w:rPr>
                <w:sz w:val="22"/>
              </w:rPr>
            </w:pPr>
            <w:r>
              <w:rPr>
                <w:sz w:val="22"/>
              </w:rPr>
              <w:t>Percutaneous Laminectomy for decompression of neural</w:t>
            </w:r>
          </w:p>
          <w:p>
            <w:pPr>
              <w:pStyle w:val="TableParagraph"/>
              <w:spacing w:line="252" w:lineRule="exact"/>
              <w:ind w:left="107"/>
              <w:rPr>
                <w:sz w:val="22"/>
              </w:rPr>
            </w:pPr>
            <w:r>
              <w:rPr>
                <w:sz w:val="22"/>
              </w:rPr>
              <w:t>elements (MILD)</w:t>
            </w:r>
          </w:p>
        </w:tc>
        <w:tc>
          <w:tcPr>
            <w:tcW w:w="1210" w:type="dxa"/>
            <w:tcBorders>
              <w:left w:val="nil"/>
              <w:right w:val="nil"/>
            </w:tcBorders>
          </w:tcPr>
          <w:p>
            <w:pPr>
              <w:pStyle w:val="TableParagraph"/>
              <w:spacing w:line="265" w:lineRule="exact"/>
              <w:ind w:right="145"/>
              <w:jc w:val="right"/>
              <w:rPr>
                <w:sz w:val="22"/>
              </w:rPr>
            </w:pPr>
            <w:r>
              <w:rPr>
                <w:sz w:val="22"/>
              </w:rPr>
              <w:t>$2,947</w:t>
            </w:r>
          </w:p>
        </w:tc>
        <w:tc>
          <w:tcPr>
            <w:tcW w:w="1240" w:type="dxa"/>
            <w:tcBorders>
              <w:left w:val="nil"/>
              <w:right w:val="nil"/>
            </w:tcBorders>
          </w:tcPr>
          <w:p>
            <w:pPr>
              <w:pStyle w:val="TableParagraph"/>
              <w:spacing w:line="265" w:lineRule="exact"/>
              <w:ind w:right="132"/>
              <w:jc w:val="right"/>
              <w:rPr>
                <w:sz w:val="22"/>
              </w:rPr>
            </w:pPr>
            <w:r>
              <w:rPr>
                <w:sz w:val="22"/>
              </w:rPr>
              <w:t>$2,358</w:t>
            </w:r>
          </w:p>
        </w:tc>
        <w:tc>
          <w:tcPr>
            <w:tcW w:w="866" w:type="dxa"/>
            <w:tcBorders>
              <w:left w:val="nil"/>
            </w:tcBorders>
          </w:tcPr>
          <w:p>
            <w:pPr>
              <w:pStyle w:val="TableParagraph"/>
              <w:spacing w:line="265" w:lineRule="exact"/>
              <w:ind w:right="92"/>
              <w:jc w:val="right"/>
              <w:rPr>
                <w:sz w:val="22"/>
              </w:rPr>
            </w:pPr>
            <w:r>
              <w:rPr>
                <w:sz w:val="22"/>
              </w:rPr>
              <w:t>$589</w:t>
            </w:r>
          </w:p>
        </w:tc>
        <w:tc>
          <w:tcPr>
            <w:tcW w:w="1012" w:type="dxa"/>
            <w:tcBorders>
              <w:right w:val="nil"/>
            </w:tcBorders>
          </w:tcPr>
          <w:p>
            <w:pPr>
              <w:pStyle w:val="TableParagraph"/>
              <w:spacing w:line="265" w:lineRule="exact"/>
              <w:ind w:left="247" w:right="106"/>
              <w:jc w:val="center"/>
              <w:rPr>
                <w:sz w:val="22"/>
              </w:rPr>
            </w:pPr>
            <w:r>
              <w:rPr>
                <w:sz w:val="22"/>
              </w:rPr>
              <w:t>$6,816</w:t>
            </w:r>
          </w:p>
        </w:tc>
        <w:tc>
          <w:tcPr>
            <w:tcW w:w="1142" w:type="dxa"/>
            <w:tcBorders>
              <w:left w:val="nil"/>
              <w:right w:val="nil"/>
            </w:tcBorders>
          </w:tcPr>
          <w:p>
            <w:pPr>
              <w:pStyle w:val="TableParagraph"/>
              <w:spacing w:line="265" w:lineRule="exact"/>
              <w:ind w:right="97"/>
              <w:jc w:val="right"/>
              <w:rPr>
                <w:sz w:val="22"/>
              </w:rPr>
            </w:pPr>
            <w:r>
              <w:rPr>
                <w:sz w:val="22"/>
              </w:rPr>
              <w:t>$5,453</w:t>
            </w:r>
          </w:p>
        </w:tc>
        <w:tc>
          <w:tcPr>
            <w:tcW w:w="936" w:type="dxa"/>
            <w:tcBorders>
              <w:left w:val="nil"/>
            </w:tcBorders>
          </w:tcPr>
          <w:p>
            <w:pPr>
              <w:pStyle w:val="TableParagraph"/>
              <w:spacing w:line="265" w:lineRule="exact"/>
              <w:ind w:right="92"/>
              <w:jc w:val="right"/>
              <w:rPr>
                <w:sz w:val="22"/>
              </w:rPr>
            </w:pPr>
            <w:r>
              <w:rPr>
                <w:sz w:val="22"/>
              </w:rPr>
              <w:t>$1,363</w:t>
            </w:r>
          </w:p>
        </w:tc>
      </w:tr>
      <w:tr>
        <w:trPr>
          <w:trHeight w:val="803" w:hRule="atLeast"/>
        </w:trPr>
        <w:tc>
          <w:tcPr>
            <w:tcW w:w="2834" w:type="dxa"/>
            <w:tcBorders>
              <w:right w:val="nil"/>
            </w:tcBorders>
          </w:tcPr>
          <w:p>
            <w:pPr>
              <w:pStyle w:val="TableParagraph"/>
              <w:ind w:left="107" w:right="512"/>
              <w:rPr>
                <w:sz w:val="22"/>
              </w:rPr>
            </w:pPr>
            <w:r>
              <w:rPr>
                <w:sz w:val="22"/>
              </w:rPr>
              <w:t>Percutaneous fusion stabilization of sacroiliac</w:t>
            </w:r>
          </w:p>
          <w:p>
            <w:pPr>
              <w:pStyle w:val="TableParagraph"/>
              <w:spacing w:line="249" w:lineRule="exact"/>
              <w:ind w:left="107"/>
              <w:rPr>
                <w:sz w:val="22"/>
              </w:rPr>
            </w:pPr>
            <w:r>
              <w:rPr>
                <w:sz w:val="22"/>
              </w:rPr>
              <w:t>joint</w:t>
            </w:r>
          </w:p>
        </w:tc>
        <w:tc>
          <w:tcPr>
            <w:tcW w:w="1210" w:type="dxa"/>
            <w:tcBorders>
              <w:left w:val="nil"/>
              <w:right w:val="nil"/>
            </w:tcBorders>
          </w:tcPr>
          <w:p>
            <w:pPr>
              <w:pStyle w:val="TableParagraph"/>
              <w:spacing w:line="265" w:lineRule="exact"/>
              <w:ind w:right="145"/>
              <w:jc w:val="right"/>
              <w:rPr>
                <w:sz w:val="22"/>
              </w:rPr>
            </w:pPr>
            <w:r>
              <w:rPr>
                <w:sz w:val="22"/>
              </w:rPr>
              <w:t>$13,648</w:t>
            </w:r>
          </w:p>
        </w:tc>
        <w:tc>
          <w:tcPr>
            <w:tcW w:w="1240" w:type="dxa"/>
            <w:tcBorders>
              <w:left w:val="nil"/>
              <w:right w:val="nil"/>
            </w:tcBorders>
          </w:tcPr>
          <w:p>
            <w:pPr>
              <w:pStyle w:val="TableParagraph"/>
              <w:spacing w:line="265" w:lineRule="exact"/>
              <w:ind w:right="131"/>
              <w:jc w:val="right"/>
              <w:rPr>
                <w:sz w:val="22"/>
              </w:rPr>
            </w:pPr>
            <w:r>
              <w:rPr>
                <w:sz w:val="22"/>
              </w:rPr>
              <w:t>$10,918</w:t>
            </w:r>
          </w:p>
        </w:tc>
        <w:tc>
          <w:tcPr>
            <w:tcW w:w="866" w:type="dxa"/>
            <w:tcBorders>
              <w:left w:val="nil"/>
            </w:tcBorders>
          </w:tcPr>
          <w:p>
            <w:pPr>
              <w:pStyle w:val="TableParagraph"/>
              <w:spacing w:line="265" w:lineRule="exact"/>
              <w:ind w:left="152"/>
              <w:rPr>
                <w:sz w:val="22"/>
              </w:rPr>
            </w:pPr>
            <w:r>
              <w:rPr>
                <w:sz w:val="22"/>
              </w:rPr>
              <w:t>$2,730</w:t>
            </w:r>
          </w:p>
        </w:tc>
        <w:tc>
          <w:tcPr>
            <w:tcW w:w="1012" w:type="dxa"/>
            <w:tcBorders>
              <w:right w:val="nil"/>
            </w:tcBorders>
          </w:tcPr>
          <w:p>
            <w:pPr>
              <w:pStyle w:val="TableParagraph"/>
              <w:spacing w:line="265" w:lineRule="exact"/>
              <w:ind w:left="135" w:right="106"/>
              <w:jc w:val="center"/>
              <w:rPr>
                <w:sz w:val="22"/>
              </w:rPr>
            </w:pPr>
            <w:r>
              <w:rPr>
                <w:sz w:val="22"/>
              </w:rPr>
              <w:t>$18,169</w:t>
            </w:r>
          </w:p>
        </w:tc>
        <w:tc>
          <w:tcPr>
            <w:tcW w:w="1142" w:type="dxa"/>
            <w:tcBorders>
              <w:left w:val="nil"/>
              <w:right w:val="nil"/>
            </w:tcBorders>
          </w:tcPr>
          <w:p>
            <w:pPr>
              <w:pStyle w:val="TableParagraph"/>
              <w:spacing w:line="265" w:lineRule="exact"/>
              <w:ind w:right="96"/>
              <w:jc w:val="right"/>
              <w:rPr>
                <w:sz w:val="22"/>
              </w:rPr>
            </w:pPr>
            <w:r>
              <w:rPr>
                <w:sz w:val="22"/>
              </w:rPr>
              <w:t>$16,483</w:t>
            </w:r>
          </w:p>
        </w:tc>
        <w:tc>
          <w:tcPr>
            <w:tcW w:w="936" w:type="dxa"/>
            <w:tcBorders>
              <w:left w:val="nil"/>
            </w:tcBorders>
          </w:tcPr>
          <w:p>
            <w:pPr>
              <w:pStyle w:val="TableParagraph"/>
              <w:spacing w:line="265" w:lineRule="exact"/>
              <w:ind w:right="91"/>
              <w:jc w:val="right"/>
              <w:rPr>
                <w:sz w:val="22"/>
              </w:rPr>
            </w:pPr>
            <w:r>
              <w:rPr>
                <w:sz w:val="22"/>
              </w:rPr>
              <w:t>$1,686*</w:t>
            </w:r>
          </w:p>
        </w:tc>
      </w:tr>
      <w:tr>
        <w:trPr>
          <w:trHeight w:val="1074" w:hRule="atLeast"/>
        </w:trPr>
        <w:tc>
          <w:tcPr>
            <w:tcW w:w="2834" w:type="dxa"/>
            <w:tcBorders>
              <w:right w:val="nil"/>
            </w:tcBorders>
          </w:tcPr>
          <w:p>
            <w:pPr>
              <w:pStyle w:val="TableParagraph"/>
              <w:ind w:left="107" w:right="262"/>
              <w:rPr>
                <w:sz w:val="22"/>
              </w:rPr>
            </w:pPr>
            <w:r>
              <w:rPr>
                <w:sz w:val="22"/>
              </w:rPr>
              <w:t>Insertion of Interlaminar/interspinous process stabilization device</w:t>
            </w:r>
          </w:p>
          <w:p>
            <w:pPr>
              <w:pStyle w:val="TableParagraph"/>
              <w:spacing w:line="250" w:lineRule="exact"/>
              <w:ind w:left="107"/>
              <w:rPr>
                <w:sz w:val="22"/>
              </w:rPr>
            </w:pPr>
            <w:r>
              <w:rPr>
                <w:sz w:val="22"/>
              </w:rPr>
              <w:t>(Vertiflex)</w:t>
            </w:r>
          </w:p>
        </w:tc>
        <w:tc>
          <w:tcPr>
            <w:tcW w:w="1210" w:type="dxa"/>
            <w:tcBorders>
              <w:left w:val="nil"/>
              <w:right w:val="nil"/>
            </w:tcBorders>
          </w:tcPr>
          <w:p>
            <w:pPr>
              <w:pStyle w:val="TableParagraph"/>
              <w:spacing w:line="268" w:lineRule="exact"/>
              <w:ind w:right="145"/>
              <w:jc w:val="right"/>
              <w:rPr>
                <w:sz w:val="22"/>
              </w:rPr>
            </w:pPr>
            <w:r>
              <w:rPr>
                <w:sz w:val="22"/>
              </w:rPr>
              <w:t>$10,380</w:t>
            </w:r>
          </w:p>
        </w:tc>
        <w:tc>
          <w:tcPr>
            <w:tcW w:w="1240" w:type="dxa"/>
            <w:tcBorders>
              <w:left w:val="nil"/>
              <w:right w:val="nil"/>
            </w:tcBorders>
          </w:tcPr>
          <w:p>
            <w:pPr>
              <w:pStyle w:val="TableParagraph"/>
              <w:spacing w:line="268" w:lineRule="exact"/>
              <w:ind w:right="132"/>
              <w:jc w:val="right"/>
              <w:rPr>
                <w:sz w:val="22"/>
              </w:rPr>
            </w:pPr>
            <w:r>
              <w:rPr>
                <w:sz w:val="22"/>
              </w:rPr>
              <w:t>$8,304</w:t>
            </w:r>
          </w:p>
        </w:tc>
        <w:tc>
          <w:tcPr>
            <w:tcW w:w="866" w:type="dxa"/>
            <w:tcBorders>
              <w:left w:val="nil"/>
            </w:tcBorders>
          </w:tcPr>
          <w:p>
            <w:pPr>
              <w:pStyle w:val="TableParagraph"/>
              <w:spacing w:line="268" w:lineRule="exact"/>
              <w:ind w:left="152"/>
              <w:rPr>
                <w:sz w:val="22"/>
              </w:rPr>
            </w:pPr>
            <w:r>
              <w:rPr>
                <w:sz w:val="22"/>
              </w:rPr>
              <w:t>$2,076</w:t>
            </w:r>
          </w:p>
        </w:tc>
        <w:tc>
          <w:tcPr>
            <w:tcW w:w="1012" w:type="dxa"/>
            <w:tcBorders>
              <w:right w:val="nil"/>
            </w:tcBorders>
          </w:tcPr>
          <w:p>
            <w:pPr>
              <w:pStyle w:val="TableParagraph"/>
              <w:spacing w:line="268" w:lineRule="exact"/>
              <w:ind w:left="135" w:right="106"/>
              <w:jc w:val="center"/>
              <w:rPr>
                <w:sz w:val="22"/>
              </w:rPr>
            </w:pPr>
            <w:r>
              <w:rPr>
                <w:sz w:val="22"/>
              </w:rPr>
              <w:t>$13,560</w:t>
            </w:r>
          </w:p>
        </w:tc>
        <w:tc>
          <w:tcPr>
            <w:tcW w:w="1142" w:type="dxa"/>
            <w:tcBorders>
              <w:left w:val="nil"/>
              <w:right w:val="nil"/>
            </w:tcBorders>
          </w:tcPr>
          <w:p>
            <w:pPr>
              <w:pStyle w:val="TableParagraph"/>
              <w:spacing w:line="268" w:lineRule="exact"/>
              <w:ind w:right="96"/>
              <w:jc w:val="right"/>
              <w:rPr>
                <w:sz w:val="22"/>
              </w:rPr>
            </w:pPr>
            <w:r>
              <w:rPr>
                <w:sz w:val="22"/>
              </w:rPr>
              <w:t>$11,874</w:t>
            </w:r>
          </w:p>
        </w:tc>
        <w:tc>
          <w:tcPr>
            <w:tcW w:w="936" w:type="dxa"/>
            <w:tcBorders>
              <w:left w:val="nil"/>
            </w:tcBorders>
          </w:tcPr>
          <w:p>
            <w:pPr>
              <w:pStyle w:val="TableParagraph"/>
              <w:spacing w:line="268" w:lineRule="exact"/>
              <w:ind w:right="91"/>
              <w:jc w:val="right"/>
              <w:rPr>
                <w:sz w:val="22"/>
              </w:rPr>
            </w:pPr>
            <w:r>
              <w:rPr>
                <w:sz w:val="22"/>
              </w:rPr>
              <w:t>$1,686*</w:t>
            </w:r>
          </w:p>
        </w:tc>
      </w:tr>
      <w:tr>
        <w:trPr>
          <w:trHeight w:val="827" w:hRule="atLeast"/>
        </w:trPr>
        <w:tc>
          <w:tcPr>
            <w:tcW w:w="2834" w:type="dxa"/>
            <w:tcBorders>
              <w:right w:val="nil"/>
            </w:tcBorders>
          </w:tcPr>
          <w:p>
            <w:pPr>
              <w:pStyle w:val="TableParagraph"/>
              <w:ind w:left="107" w:right="692"/>
              <w:rPr>
                <w:sz w:val="22"/>
              </w:rPr>
            </w:pPr>
            <w:r>
              <w:rPr>
                <w:sz w:val="22"/>
              </w:rPr>
              <w:t>Nasal sinus endoscopy frontal tissue removal</w:t>
            </w:r>
          </w:p>
        </w:tc>
        <w:tc>
          <w:tcPr>
            <w:tcW w:w="1210" w:type="dxa"/>
            <w:tcBorders>
              <w:left w:val="nil"/>
              <w:right w:val="nil"/>
            </w:tcBorders>
          </w:tcPr>
          <w:p>
            <w:pPr>
              <w:pStyle w:val="TableParagraph"/>
              <w:spacing w:line="265" w:lineRule="exact"/>
              <w:ind w:right="145"/>
              <w:jc w:val="right"/>
              <w:rPr>
                <w:sz w:val="22"/>
              </w:rPr>
            </w:pPr>
            <w:r>
              <w:rPr>
                <w:sz w:val="22"/>
              </w:rPr>
              <w:t>$1,993</w:t>
            </w:r>
          </w:p>
        </w:tc>
        <w:tc>
          <w:tcPr>
            <w:tcW w:w="1240" w:type="dxa"/>
            <w:tcBorders>
              <w:left w:val="nil"/>
              <w:right w:val="nil"/>
            </w:tcBorders>
          </w:tcPr>
          <w:p>
            <w:pPr>
              <w:pStyle w:val="TableParagraph"/>
              <w:spacing w:line="265" w:lineRule="exact"/>
              <w:ind w:right="132"/>
              <w:jc w:val="right"/>
              <w:rPr>
                <w:sz w:val="22"/>
              </w:rPr>
            </w:pPr>
            <w:r>
              <w:rPr>
                <w:sz w:val="22"/>
              </w:rPr>
              <w:t>$1,594</w:t>
            </w:r>
          </w:p>
        </w:tc>
        <w:tc>
          <w:tcPr>
            <w:tcW w:w="866" w:type="dxa"/>
            <w:tcBorders>
              <w:left w:val="nil"/>
            </w:tcBorders>
          </w:tcPr>
          <w:p>
            <w:pPr>
              <w:pStyle w:val="TableParagraph"/>
              <w:spacing w:line="265" w:lineRule="exact"/>
              <w:ind w:right="92"/>
              <w:jc w:val="right"/>
              <w:rPr>
                <w:sz w:val="22"/>
              </w:rPr>
            </w:pPr>
            <w:r>
              <w:rPr>
                <w:sz w:val="22"/>
              </w:rPr>
              <w:t>$399</w:t>
            </w:r>
          </w:p>
        </w:tc>
        <w:tc>
          <w:tcPr>
            <w:tcW w:w="1012" w:type="dxa"/>
            <w:tcBorders>
              <w:right w:val="nil"/>
            </w:tcBorders>
          </w:tcPr>
          <w:p>
            <w:pPr>
              <w:pStyle w:val="TableParagraph"/>
              <w:spacing w:line="265" w:lineRule="exact"/>
              <w:ind w:left="247" w:right="106"/>
              <w:jc w:val="center"/>
              <w:rPr>
                <w:sz w:val="22"/>
              </w:rPr>
            </w:pPr>
            <w:r>
              <w:rPr>
                <w:sz w:val="22"/>
              </w:rPr>
              <w:t>$6,199</w:t>
            </w:r>
          </w:p>
        </w:tc>
        <w:tc>
          <w:tcPr>
            <w:tcW w:w="1142" w:type="dxa"/>
            <w:tcBorders>
              <w:left w:val="nil"/>
              <w:right w:val="nil"/>
            </w:tcBorders>
          </w:tcPr>
          <w:p>
            <w:pPr>
              <w:pStyle w:val="TableParagraph"/>
              <w:spacing w:line="265" w:lineRule="exact"/>
              <w:ind w:right="97"/>
              <w:jc w:val="right"/>
              <w:rPr>
                <w:sz w:val="22"/>
              </w:rPr>
            </w:pPr>
            <w:r>
              <w:rPr>
                <w:sz w:val="22"/>
              </w:rPr>
              <w:t>$4,959</w:t>
            </w:r>
          </w:p>
        </w:tc>
        <w:tc>
          <w:tcPr>
            <w:tcW w:w="936" w:type="dxa"/>
            <w:tcBorders>
              <w:left w:val="nil"/>
            </w:tcBorders>
          </w:tcPr>
          <w:p>
            <w:pPr>
              <w:pStyle w:val="TableParagraph"/>
              <w:spacing w:line="265" w:lineRule="exact"/>
              <w:ind w:right="92"/>
              <w:jc w:val="right"/>
              <w:rPr>
                <w:sz w:val="22"/>
              </w:rPr>
            </w:pPr>
            <w:r>
              <w:rPr>
                <w:sz w:val="22"/>
              </w:rPr>
              <w:t>$1,240</w:t>
            </w:r>
          </w:p>
        </w:tc>
      </w:tr>
      <w:tr>
        <w:trPr>
          <w:trHeight w:val="827" w:hRule="atLeast"/>
        </w:trPr>
        <w:tc>
          <w:tcPr>
            <w:tcW w:w="2834" w:type="dxa"/>
            <w:tcBorders>
              <w:right w:val="nil"/>
            </w:tcBorders>
          </w:tcPr>
          <w:p>
            <w:pPr>
              <w:pStyle w:val="TableParagraph"/>
              <w:ind w:left="107" w:right="653"/>
              <w:rPr>
                <w:sz w:val="22"/>
              </w:rPr>
            </w:pPr>
            <w:r>
              <w:rPr>
                <w:sz w:val="22"/>
              </w:rPr>
              <w:t>Repair of nasal septum (Septoplasty)</w:t>
            </w:r>
          </w:p>
        </w:tc>
        <w:tc>
          <w:tcPr>
            <w:tcW w:w="1210" w:type="dxa"/>
            <w:tcBorders>
              <w:left w:val="nil"/>
              <w:right w:val="nil"/>
            </w:tcBorders>
          </w:tcPr>
          <w:p>
            <w:pPr>
              <w:pStyle w:val="TableParagraph"/>
              <w:spacing w:line="265" w:lineRule="exact"/>
              <w:ind w:right="145"/>
              <w:jc w:val="right"/>
              <w:rPr>
                <w:sz w:val="22"/>
              </w:rPr>
            </w:pPr>
            <w:r>
              <w:rPr>
                <w:sz w:val="22"/>
              </w:rPr>
              <w:t>$1,109</w:t>
            </w:r>
          </w:p>
        </w:tc>
        <w:tc>
          <w:tcPr>
            <w:tcW w:w="1240" w:type="dxa"/>
            <w:tcBorders>
              <w:left w:val="nil"/>
              <w:right w:val="nil"/>
            </w:tcBorders>
          </w:tcPr>
          <w:p>
            <w:pPr>
              <w:pStyle w:val="TableParagraph"/>
              <w:spacing w:line="265" w:lineRule="exact"/>
              <w:ind w:right="131"/>
              <w:jc w:val="right"/>
              <w:rPr>
                <w:sz w:val="22"/>
              </w:rPr>
            </w:pPr>
            <w:r>
              <w:rPr>
                <w:sz w:val="22"/>
              </w:rPr>
              <w:t>$887</w:t>
            </w:r>
          </w:p>
        </w:tc>
        <w:tc>
          <w:tcPr>
            <w:tcW w:w="866" w:type="dxa"/>
            <w:tcBorders>
              <w:left w:val="nil"/>
            </w:tcBorders>
          </w:tcPr>
          <w:p>
            <w:pPr>
              <w:pStyle w:val="TableParagraph"/>
              <w:spacing w:line="265" w:lineRule="exact"/>
              <w:ind w:right="92"/>
              <w:jc w:val="right"/>
              <w:rPr>
                <w:sz w:val="22"/>
              </w:rPr>
            </w:pPr>
            <w:r>
              <w:rPr>
                <w:sz w:val="22"/>
              </w:rPr>
              <w:t>$222</w:t>
            </w:r>
          </w:p>
        </w:tc>
        <w:tc>
          <w:tcPr>
            <w:tcW w:w="1012" w:type="dxa"/>
            <w:tcBorders>
              <w:right w:val="nil"/>
            </w:tcBorders>
          </w:tcPr>
          <w:p>
            <w:pPr>
              <w:pStyle w:val="TableParagraph"/>
              <w:spacing w:line="265" w:lineRule="exact"/>
              <w:ind w:left="247" w:right="106"/>
              <w:jc w:val="center"/>
              <w:rPr>
                <w:sz w:val="22"/>
              </w:rPr>
            </w:pPr>
            <w:r>
              <w:rPr>
                <w:sz w:val="22"/>
              </w:rPr>
              <w:t>$2,985</w:t>
            </w:r>
          </w:p>
        </w:tc>
        <w:tc>
          <w:tcPr>
            <w:tcW w:w="1142" w:type="dxa"/>
            <w:tcBorders>
              <w:left w:val="nil"/>
              <w:right w:val="nil"/>
            </w:tcBorders>
          </w:tcPr>
          <w:p>
            <w:pPr>
              <w:pStyle w:val="TableParagraph"/>
              <w:spacing w:line="265" w:lineRule="exact"/>
              <w:ind w:right="98"/>
              <w:jc w:val="right"/>
              <w:rPr>
                <w:sz w:val="22"/>
              </w:rPr>
            </w:pPr>
            <w:r>
              <w:rPr>
                <w:sz w:val="22"/>
              </w:rPr>
              <w:t>$2,388</w:t>
            </w:r>
          </w:p>
        </w:tc>
        <w:tc>
          <w:tcPr>
            <w:tcW w:w="936" w:type="dxa"/>
            <w:tcBorders>
              <w:left w:val="nil"/>
            </w:tcBorders>
          </w:tcPr>
          <w:p>
            <w:pPr>
              <w:pStyle w:val="TableParagraph"/>
              <w:spacing w:line="265" w:lineRule="exact"/>
              <w:ind w:right="91"/>
              <w:jc w:val="right"/>
              <w:rPr>
                <w:sz w:val="22"/>
              </w:rPr>
            </w:pPr>
            <w:r>
              <w:rPr>
                <w:sz w:val="22"/>
              </w:rPr>
              <w:t>$597</w:t>
            </w:r>
          </w:p>
        </w:tc>
      </w:tr>
      <w:tr>
        <w:trPr>
          <w:trHeight w:val="825" w:hRule="atLeast"/>
        </w:trPr>
        <w:tc>
          <w:tcPr>
            <w:tcW w:w="2834" w:type="dxa"/>
            <w:tcBorders>
              <w:right w:val="nil"/>
            </w:tcBorders>
          </w:tcPr>
          <w:p>
            <w:pPr>
              <w:pStyle w:val="TableParagraph"/>
              <w:ind w:left="107" w:right="368"/>
              <w:rPr>
                <w:sz w:val="22"/>
              </w:rPr>
            </w:pPr>
            <w:r>
              <w:rPr>
                <w:sz w:val="22"/>
              </w:rPr>
              <w:t>Repair of shoulder rotator cuff using endoscope</w:t>
            </w:r>
          </w:p>
        </w:tc>
        <w:tc>
          <w:tcPr>
            <w:tcW w:w="1210" w:type="dxa"/>
            <w:tcBorders>
              <w:left w:val="nil"/>
              <w:right w:val="nil"/>
            </w:tcBorders>
          </w:tcPr>
          <w:p>
            <w:pPr>
              <w:pStyle w:val="TableParagraph"/>
              <w:spacing w:line="265" w:lineRule="exact"/>
              <w:ind w:right="145"/>
              <w:jc w:val="right"/>
              <w:rPr>
                <w:sz w:val="22"/>
              </w:rPr>
            </w:pPr>
            <w:r>
              <w:rPr>
                <w:sz w:val="22"/>
              </w:rPr>
              <w:t>$2,947</w:t>
            </w:r>
          </w:p>
        </w:tc>
        <w:tc>
          <w:tcPr>
            <w:tcW w:w="1240" w:type="dxa"/>
            <w:tcBorders>
              <w:left w:val="nil"/>
              <w:right w:val="nil"/>
            </w:tcBorders>
          </w:tcPr>
          <w:p>
            <w:pPr>
              <w:pStyle w:val="TableParagraph"/>
              <w:spacing w:line="265" w:lineRule="exact"/>
              <w:ind w:right="132"/>
              <w:jc w:val="right"/>
              <w:rPr>
                <w:sz w:val="22"/>
              </w:rPr>
            </w:pPr>
            <w:r>
              <w:rPr>
                <w:sz w:val="22"/>
              </w:rPr>
              <w:t>$2,358</w:t>
            </w:r>
          </w:p>
        </w:tc>
        <w:tc>
          <w:tcPr>
            <w:tcW w:w="866" w:type="dxa"/>
            <w:tcBorders>
              <w:left w:val="nil"/>
            </w:tcBorders>
          </w:tcPr>
          <w:p>
            <w:pPr>
              <w:pStyle w:val="TableParagraph"/>
              <w:spacing w:line="265" w:lineRule="exact"/>
              <w:ind w:right="92"/>
              <w:jc w:val="right"/>
              <w:rPr>
                <w:sz w:val="22"/>
              </w:rPr>
            </w:pPr>
            <w:r>
              <w:rPr>
                <w:sz w:val="22"/>
              </w:rPr>
              <w:t>$589</w:t>
            </w:r>
          </w:p>
        </w:tc>
        <w:tc>
          <w:tcPr>
            <w:tcW w:w="1012" w:type="dxa"/>
            <w:tcBorders>
              <w:right w:val="nil"/>
            </w:tcBorders>
          </w:tcPr>
          <w:p>
            <w:pPr>
              <w:pStyle w:val="TableParagraph"/>
              <w:spacing w:line="265" w:lineRule="exact"/>
              <w:ind w:left="247" w:right="106"/>
              <w:jc w:val="center"/>
              <w:rPr>
                <w:sz w:val="22"/>
              </w:rPr>
            </w:pPr>
            <w:r>
              <w:rPr>
                <w:sz w:val="22"/>
              </w:rPr>
              <w:t>$6,816</w:t>
            </w:r>
          </w:p>
        </w:tc>
        <w:tc>
          <w:tcPr>
            <w:tcW w:w="1142" w:type="dxa"/>
            <w:tcBorders>
              <w:left w:val="nil"/>
              <w:right w:val="nil"/>
            </w:tcBorders>
          </w:tcPr>
          <w:p>
            <w:pPr>
              <w:pStyle w:val="TableParagraph"/>
              <w:spacing w:line="265" w:lineRule="exact"/>
              <w:ind w:right="97"/>
              <w:jc w:val="right"/>
              <w:rPr>
                <w:sz w:val="22"/>
              </w:rPr>
            </w:pPr>
            <w:r>
              <w:rPr>
                <w:sz w:val="22"/>
              </w:rPr>
              <w:t>$5,453</w:t>
            </w:r>
          </w:p>
        </w:tc>
        <w:tc>
          <w:tcPr>
            <w:tcW w:w="936" w:type="dxa"/>
            <w:tcBorders>
              <w:left w:val="nil"/>
            </w:tcBorders>
          </w:tcPr>
          <w:p>
            <w:pPr>
              <w:pStyle w:val="TableParagraph"/>
              <w:spacing w:line="265" w:lineRule="exact"/>
              <w:ind w:right="92"/>
              <w:jc w:val="right"/>
              <w:rPr>
                <w:sz w:val="22"/>
              </w:rPr>
            </w:pPr>
            <w:r>
              <w:rPr>
                <w:sz w:val="22"/>
              </w:rPr>
              <w:t>$1,363</w:t>
            </w:r>
          </w:p>
        </w:tc>
      </w:tr>
      <w:tr>
        <w:trPr>
          <w:trHeight w:val="827" w:hRule="atLeast"/>
        </w:trPr>
        <w:tc>
          <w:tcPr>
            <w:tcW w:w="2834" w:type="dxa"/>
            <w:tcBorders>
              <w:right w:val="nil"/>
            </w:tcBorders>
          </w:tcPr>
          <w:p>
            <w:pPr>
              <w:pStyle w:val="TableParagraph"/>
              <w:ind w:left="107" w:right="280"/>
              <w:rPr>
                <w:sz w:val="22"/>
              </w:rPr>
            </w:pPr>
            <w:r>
              <w:rPr>
                <w:sz w:val="22"/>
              </w:rPr>
              <w:t>Arthroscopy, knee, surgical (medial or lateral)</w:t>
            </w:r>
          </w:p>
        </w:tc>
        <w:tc>
          <w:tcPr>
            <w:tcW w:w="1210" w:type="dxa"/>
            <w:tcBorders>
              <w:left w:val="nil"/>
              <w:right w:val="nil"/>
            </w:tcBorders>
          </w:tcPr>
          <w:p>
            <w:pPr>
              <w:pStyle w:val="TableParagraph"/>
              <w:spacing w:line="268" w:lineRule="exact"/>
              <w:ind w:right="145"/>
              <w:jc w:val="right"/>
              <w:rPr>
                <w:sz w:val="22"/>
              </w:rPr>
            </w:pPr>
            <w:r>
              <w:rPr>
                <w:sz w:val="22"/>
              </w:rPr>
              <w:t>$1,352</w:t>
            </w:r>
          </w:p>
        </w:tc>
        <w:tc>
          <w:tcPr>
            <w:tcW w:w="1240" w:type="dxa"/>
            <w:tcBorders>
              <w:left w:val="nil"/>
              <w:right w:val="nil"/>
            </w:tcBorders>
          </w:tcPr>
          <w:p>
            <w:pPr>
              <w:pStyle w:val="TableParagraph"/>
              <w:spacing w:line="268" w:lineRule="exact"/>
              <w:ind w:right="132"/>
              <w:jc w:val="right"/>
              <w:rPr>
                <w:sz w:val="22"/>
              </w:rPr>
            </w:pPr>
            <w:r>
              <w:rPr>
                <w:sz w:val="22"/>
              </w:rPr>
              <w:t>$1,082</w:t>
            </w:r>
          </w:p>
        </w:tc>
        <w:tc>
          <w:tcPr>
            <w:tcW w:w="866" w:type="dxa"/>
            <w:tcBorders>
              <w:left w:val="nil"/>
            </w:tcBorders>
          </w:tcPr>
          <w:p>
            <w:pPr>
              <w:pStyle w:val="TableParagraph"/>
              <w:spacing w:line="268" w:lineRule="exact"/>
              <w:ind w:right="92"/>
              <w:jc w:val="right"/>
              <w:rPr>
                <w:sz w:val="22"/>
              </w:rPr>
            </w:pPr>
            <w:r>
              <w:rPr>
                <w:sz w:val="22"/>
              </w:rPr>
              <w:t>$270</w:t>
            </w:r>
          </w:p>
        </w:tc>
        <w:tc>
          <w:tcPr>
            <w:tcW w:w="1012" w:type="dxa"/>
            <w:tcBorders>
              <w:right w:val="nil"/>
            </w:tcBorders>
          </w:tcPr>
          <w:p>
            <w:pPr>
              <w:pStyle w:val="TableParagraph"/>
              <w:spacing w:line="268" w:lineRule="exact"/>
              <w:ind w:left="247" w:right="106"/>
              <w:jc w:val="center"/>
              <w:rPr>
                <w:sz w:val="22"/>
              </w:rPr>
            </w:pPr>
            <w:r>
              <w:rPr>
                <w:sz w:val="22"/>
              </w:rPr>
              <w:t>$3,119</w:t>
            </w:r>
          </w:p>
        </w:tc>
        <w:tc>
          <w:tcPr>
            <w:tcW w:w="1142" w:type="dxa"/>
            <w:tcBorders>
              <w:left w:val="nil"/>
              <w:right w:val="nil"/>
            </w:tcBorders>
          </w:tcPr>
          <w:p>
            <w:pPr>
              <w:pStyle w:val="TableParagraph"/>
              <w:spacing w:line="268" w:lineRule="exact"/>
              <w:ind w:right="97"/>
              <w:jc w:val="right"/>
              <w:rPr>
                <w:sz w:val="22"/>
              </w:rPr>
            </w:pPr>
            <w:r>
              <w:rPr>
                <w:sz w:val="22"/>
              </w:rPr>
              <w:t>$2,495</w:t>
            </w:r>
          </w:p>
        </w:tc>
        <w:tc>
          <w:tcPr>
            <w:tcW w:w="936" w:type="dxa"/>
            <w:tcBorders>
              <w:left w:val="nil"/>
            </w:tcBorders>
          </w:tcPr>
          <w:p>
            <w:pPr>
              <w:pStyle w:val="TableParagraph"/>
              <w:spacing w:line="268" w:lineRule="exact"/>
              <w:ind w:right="91"/>
              <w:jc w:val="right"/>
              <w:rPr>
                <w:sz w:val="22"/>
              </w:rPr>
            </w:pPr>
            <w:r>
              <w:rPr>
                <w:sz w:val="22"/>
              </w:rPr>
              <w:t>$624</w:t>
            </w:r>
          </w:p>
        </w:tc>
      </w:tr>
      <w:tr>
        <w:trPr>
          <w:trHeight w:val="1343" w:hRule="atLeast"/>
        </w:trPr>
        <w:tc>
          <w:tcPr>
            <w:tcW w:w="2834" w:type="dxa"/>
            <w:tcBorders>
              <w:right w:val="nil"/>
            </w:tcBorders>
          </w:tcPr>
          <w:p>
            <w:pPr>
              <w:pStyle w:val="TableParagraph"/>
              <w:ind w:left="107" w:right="509"/>
              <w:rPr>
                <w:sz w:val="22"/>
              </w:rPr>
            </w:pPr>
            <w:r>
              <w:rPr>
                <w:sz w:val="22"/>
              </w:rPr>
              <w:t>Correction, hallux valgus (bunionectomy), with sesamoidectomy, when performed; with distal</w:t>
            </w:r>
          </w:p>
          <w:p>
            <w:pPr>
              <w:pStyle w:val="TableParagraph"/>
              <w:spacing w:line="252" w:lineRule="exact"/>
              <w:ind w:left="107"/>
              <w:rPr>
                <w:sz w:val="22"/>
              </w:rPr>
            </w:pPr>
            <w:r>
              <w:rPr>
                <w:sz w:val="22"/>
              </w:rPr>
              <w:t>metatarsal osteotomy, any</w:t>
            </w:r>
          </w:p>
        </w:tc>
        <w:tc>
          <w:tcPr>
            <w:tcW w:w="1210" w:type="dxa"/>
            <w:tcBorders>
              <w:left w:val="nil"/>
              <w:right w:val="nil"/>
            </w:tcBorders>
          </w:tcPr>
          <w:p>
            <w:pPr>
              <w:pStyle w:val="TableParagraph"/>
              <w:spacing w:line="265" w:lineRule="exact"/>
              <w:ind w:right="145"/>
              <w:jc w:val="right"/>
              <w:rPr>
                <w:sz w:val="22"/>
              </w:rPr>
            </w:pPr>
            <w:r>
              <w:rPr>
                <w:sz w:val="22"/>
              </w:rPr>
              <w:t>$4,521</w:t>
            </w:r>
          </w:p>
        </w:tc>
        <w:tc>
          <w:tcPr>
            <w:tcW w:w="1240" w:type="dxa"/>
            <w:tcBorders>
              <w:left w:val="nil"/>
              <w:right w:val="nil"/>
            </w:tcBorders>
          </w:tcPr>
          <w:p>
            <w:pPr>
              <w:pStyle w:val="TableParagraph"/>
              <w:spacing w:line="265" w:lineRule="exact"/>
              <w:ind w:right="132"/>
              <w:jc w:val="right"/>
              <w:rPr>
                <w:sz w:val="22"/>
              </w:rPr>
            </w:pPr>
            <w:r>
              <w:rPr>
                <w:sz w:val="22"/>
              </w:rPr>
              <w:t>$3,617</w:t>
            </w:r>
          </w:p>
        </w:tc>
        <w:tc>
          <w:tcPr>
            <w:tcW w:w="866" w:type="dxa"/>
            <w:tcBorders>
              <w:left w:val="nil"/>
            </w:tcBorders>
          </w:tcPr>
          <w:p>
            <w:pPr>
              <w:pStyle w:val="TableParagraph"/>
              <w:spacing w:line="265" w:lineRule="exact"/>
              <w:ind w:right="92"/>
              <w:jc w:val="right"/>
              <w:rPr>
                <w:sz w:val="22"/>
              </w:rPr>
            </w:pPr>
            <w:r>
              <w:rPr>
                <w:sz w:val="22"/>
              </w:rPr>
              <w:t>$904</w:t>
            </w:r>
          </w:p>
        </w:tc>
        <w:tc>
          <w:tcPr>
            <w:tcW w:w="1012" w:type="dxa"/>
            <w:tcBorders>
              <w:right w:val="nil"/>
            </w:tcBorders>
          </w:tcPr>
          <w:p>
            <w:pPr>
              <w:pStyle w:val="TableParagraph"/>
              <w:spacing w:line="265" w:lineRule="exact"/>
              <w:ind w:left="247" w:right="106"/>
              <w:jc w:val="center"/>
              <w:rPr>
                <w:sz w:val="22"/>
              </w:rPr>
            </w:pPr>
            <w:r>
              <w:rPr>
                <w:sz w:val="22"/>
              </w:rPr>
              <w:t>$6,816</w:t>
            </w:r>
          </w:p>
        </w:tc>
        <w:tc>
          <w:tcPr>
            <w:tcW w:w="1142" w:type="dxa"/>
            <w:tcBorders>
              <w:left w:val="nil"/>
              <w:right w:val="nil"/>
            </w:tcBorders>
          </w:tcPr>
          <w:p>
            <w:pPr>
              <w:pStyle w:val="TableParagraph"/>
              <w:spacing w:line="265" w:lineRule="exact"/>
              <w:ind w:right="97"/>
              <w:jc w:val="right"/>
              <w:rPr>
                <w:sz w:val="22"/>
              </w:rPr>
            </w:pPr>
            <w:r>
              <w:rPr>
                <w:sz w:val="22"/>
              </w:rPr>
              <w:t>$5,453</w:t>
            </w:r>
          </w:p>
        </w:tc>
        <w:tc>
          <w:tcPr>
            <w:tcW w:w="936" w:type="dxa"/>
            <w:tcBorders>
              <w:left w:val="nil"/>
            </w:tcBorders>
          </w:tcPr>
          <w:p>
            <w:pPr>
              <w:pStyle w:val="TableParagraph"/>
              <w:spacing w:line="265" w:lineRule="exact"/>
              <w:ind w:right="92"/>
              <w:jc w:val="right"/>
              <w:rPr>
                <w:sz w:val="22"/>
              </w:rPr>
            </w:pPr>
            <w:r>
              <w:rPr>
                <w:sz w:val="22"/>
              </w:rPr>
              <w:t>$1,363</w:t>
            </w:r>
          </w:p>
        </w:tc>
      </w:tr>
    </w:tbl>
    <w:p>
      <w:pPr>
        <w:pStyle w:val="BodyText"/>
        <w:spacing w:before="2"/>
        <w:rPr>
          <w:rFonts w:ascii="Garamond"/>
          <w:sz w:val="14"/>
        </w:rPr>
      </w:pPr>
      <w:r>
        <w:rPr/>
        <w:pict>
          <v:rect style="position:absolute;margin-left:36pt;margin-top:9.960pt;width:144pt;height:.72pt;mso-position-horizontal-relative:page;mso-position-vertical-relative:paragraph;z-index:-15718912;mso-wrap-distance-left:0;mso-wrap-distance-right:0" filled="true" fillcolor="#000000" stroked="false">
            <v:fill type="solid"/>
            <w10:wrap type="topAndBottom"/>
          </v:rect>
        </w:pict>
      </w:r>
    </w:p>
    <w:p>
      <w:pPr>
        <w:spacing w:line="244" w:lineRule="auto" w:before="92"/>
        <w:ind w:left="219" w:right="0" w:firstLine="0"/>
        <w:jc w:val="left"/>
        <w:rPr>
          <w:sz w:val="18"/>
        </w:rPr>
      </w:pPr>
      <w:bookmarkStart w:name="_bookmark27" w:id="46"/>
      <w:bookmarkEnd w:id="46"/>
      <w:r>
        <w:rPr/>
      </w:r>
      <w:r>
        <w:rPr>
          <w:sz w:val="18"/>
          <w:vertAlign w:val="superscript"/>
        </w:rPr>
        <w:t>1</w:t>
      </w:r>
      <w:r>
        <w:rPr>
          <w:sz w:val="18"/>
          <w:vertAlign w:val="baseline"/>
        </w:rPr>
        <w:t> Medicare.gov website. Local average prices are based on 2020 Medicare payments and copayments, and do not include physician fees. Payment rates for each covered surgical procedure after adjustments for regional wage variations and wage indices.</w:t>
      </w:r>
    </w:p>
    <w:p>
      <w:pPr>
        <w:pStyle w:val="BodyText"/>
        <w:spacing w:line="262" w:lineRule="exact"/>
        <w:ind w:left="5564"/>
      </w:pPr>
      <w:r>
        <w:rPr>
          <w:w w:val="100"/>
        </w:rPr>
        <w:t>1</w:t>
      </w:r>
    </w:p>
    <w:p>
      <w:pPr>
        <w:spacing w:after="0" w:line="262" w:lineRule="exact"/>
        <w:sectPr>
          <w:pgSz w:w="12240" w:h="15840"/>
          <w:pgMar w:top="640" w:bottom="280" w:left="500" w:right="580"/>
        </w:sectPr>
      </w:pPr>
    </w:p>
    <w:p>
      <w:pPr>
        <w:pStyle w:val="Heading2"/>
        <w:tabs>
          <w:tab w:pos="4469" w:val="left" w:leader="none"/>
        </w:tabs>
      </w:pPr>
      <w:r>
        <w:rPr/>
        <w:pict>
          <v:shape style="position:absolute;margin-left:30.360001pt;margin-top:38.674435pt;width:462.85pt;height:209.8pt;mso-position-horizontal-relative:page;mso-position-vertical-relative:paragraph;z-index:15739904" type="#_x0000_t202" filled="false" stroked="false">
            <v:textbox inset="0,0,0,0">
              <w:txbxContent>
                <w:tbl>
                  <w:tblPr>
                    <w:tblW w:w="0" w:type="auto"/>
                    <w:jc w:val="left"/>
                    <w:tblInd w:w="5" w:type="dxa"/>
                    <w:tblBorders>
                      <w:top w:val="single" w:sz="4" w:space="0" w:color="F8D98B"/>
                      <w:left w:val="single" w:sz="4" w:space="0" w:color="F8D98B"/>
                      <w:bottom w:val="single" w:sz="4" w:space="0" w:color="F8D98B"/>
                      <w:right w:val="single" w:sz="4" w:space="0" w:color="F8D98B"/>
                      <w:insideH w:val="single" w:sz="4" w:space="0" w:color="F8D98B"/>
                      <w:insideV w:val="single" w:sz="4" w:space="0" w:color="F8D98B"/>
                    </w:tblBorders>
                    <w:tblLayout w:type="fixed"/>
                    <w:tblCellMar>
                      <w:top w:w="0" w:type="dxa"/>
                      <w:left w:w="0" w:type="dxa"/>
                      <w:bottom w:w="0" w:type="dxa"/>
                      <w:right w:w="0" w:type="dxa"/>
                    </w:tblCellMar>
                    <w:tblLook w:val="01E0"/>
                  </w:tblPr>
                  <w:tblGrid>
                    <w:gridCol w:w="2971"/>
                    <w:gridCol w:w="1241"/>
                    <w:gridCol w:w="1159"/>
                    <w:gridCol w:w="780"/>
                    <w:gridCol w:w="1157"/>
                    <w:gridCol w:w="1052"/>
                    <w:gridCol w:w="881"/>
                  </w:tblGrid>
                  <w:tr>
                    <w:trPr>
                      <w:trHeight w:val="827" w:hRule="atLeast"/>
                    </w:trPr>
                    <w:tc>
                      <w:tcPr>
                        <w:tcW w:w="6151" w:type="dxa"/>
                        <w:gridSpan w:val="4"/>
                      </w:tcPr>
                      <w:p>
                        <w:pPr>
                          <w:pStyle w:val="TableParagraph"/>
                          <w:spacing w:line="265" w:lineRule="exact"/>
                          <w:ind w:left="107"/>
                          <w:rPr>
                            <w:sz w:val="22"/>
                          </w:rPr>
                        </w:pPr>
                        <w:r>
                          <w:rPr>
                            <w:sz w:val="22"/>
                          </w:rPr>
                          <w:t>method</w:t>
                        </w:r>
                      </w:p>
                    </w:tc>
                    <w:tc>
                      <w:tcPr>
                        <w:tcW w:w="3090" w:type="dxa"/>
                        <w:gridSpan w:val="3"/>
                      </w:tcPr>
                      <w:p>
                        <w:pPr>
                          <w:pStyle w:val="TableParagraph"/>
                          <w:rPr>
                            <w:rFonts w:ascii="Times New Roman"/>
                            <w:sz w:val="22"/>
                          </w:rPr>
                        </w:pPr>
                      </w:p>
                    </w:tc>
                  </w:tr>
                  <w:tr>
                    <w:trPr>
                      <w:trHeight w:val="825" w:hRule="atLeast"/>
                    </w:trPr>
                    <w:tc>
                      <w:tcPr>
                        <w:tcW w:w="2971" w:type="dxa"/>
                        <w:tcBorders>
                          <w:right w:val="nil"/>
                        </w:tcBorders>
                      </w:tcPr>
                      <w:p>
                        <w:pPr>
                          <w:pStyle w:val="TableParagraph"/>
                          <w:ind w:left="107" w:right="464"/>
                          <w:rPr>
                            <w:sz w:val="22"/>
                          </w:rPr>
                        </w:pPr>
                        <w:r>
                          <w:rPr>
                            <w:sz w:val="22"/>
                          </w:rPr>
                          <w:t>Suture of quadriceps or hamstring muscle rupture; primary</w:t>
                        </w:r>
                      </w:p>
                    </w:tc>
                    <w:tc>
                      <w:tcPr>
                        <w:tcW w:w="1241" w:type="dxa"/>
                        <w:tcBorders>
                          <w:left w:val="nil"/>
                          <w:right w:val="nil"/>
                        </w:tcBorders>
                      </w:tcPr>
                      <w:p>
                        <w:pPr>
                          <w:pStyle w:val="TableParagraph"/>
                          <w:spacing w:line="265" w:lineRule="exact"/>
                          <w:ind w:right="313"/>
                          <w:jc w:val="right"/>
                          <w:rPr>
                            <w:sz w:val="22"/>
                          </w:rPr>
                        </w:pPr>
                        <w:r>
                          <w:rPr>
                            <w:sz w:val="22"/>
                          </w:rPr>
                          <w:t>$2,947</w:t>
                        </w:r>
                      </w:p>
                    </w:tc>
                    <w:tc>
                      <w:tcPr>
                        <w:tcW w:w="1159" w:type="dxa"/>
                        <w:tcBorders>
                          <w:left w:val="nil"/>
                          <w:right w:val="nil"/>
                        </w:tcBorders>
                      </w:tcPr>
                      <w:p>
                        <w:pPr>
                          <w:pStyle w:val="TableParagraph"/>
                          <w:spacing w:line="265" w:lineRule="exact"/>
                          <w:ind w:right="219"/>
                          <w:jc w:val="right"/>
                          <w:rPr>
                            <w:sz w:val="22"/>
                          </w:rPr>
                        </w:pPr>
                        <w:r>
                          <w:rPr>
                            <w:sz w:val="22"/>
                          </w:rPr>
                          <w:t>$2,358</w:t>
                        </w:r>
                      </w:p>
                    </w:tc>
                    <w:tc>
                      <w:tcPr>
                        <w:tcW w:w="780" w:type="dxa"/>
                        <w:tcBorders>
                          <w:left w:val="nil"/>
                        </w:tcBorders>
                      </w:tcPr>
                      <w:p>
                        <w:pPr>
                          <w:pStyle w:val="TableParagraph"/>
                          <w:spacing w:line="265" w:lineRule="exact"/>
                          <w:ind w:right="93"/>
                          <w:jc w:val="right"/>
                          <w:rPr>
                            <w:sz w:val="22"/>
                          </w:rPr>
                        </w:pPr>
                        <w:r>
                          <w:rPr>
                            <w:sz w:val="22"/>
                          </w:rPr>
                          <w:t>$589</w:t>
                        </w:r>
                      </w:p>
                    </w:tc>
                    <w:tc>
                      <w:tcPr>
                        <w:tcW w:w="1157" w:type="dxa"/>
                        <w:tcBorders>
                          <w:right w:val="nil"/>
                        </w:tcBorders>
                      </w:tcPr>
                      <w:p>
                        <w:pPr>
                          <w:pStyle w:val="TableParagraph"/>
                          <w:spacing w:line="265" w:lineRule="exact"/>
                          <w:ind w:left="248" w:right="251"/>
                          <w:jc w:val="center"/>
                          <w:rPr>
                            <w:sz w:val="22"/>
                          </w:rPr>
                        </w:pPr>
                        <w:r>
                          <w:rPr>
                            <w:sz w:val="22"/>
                          </w:rPr>
                          <w:t>$6,816</w:t>
                        </w:r>
                      </w:p>
                    </w:tc>
                    <w:tc>
                      <w:tcPr>
                        <w:tcW w:w="1052" w:type="dxa"/>
                        <w:tcBorders>
                          <w:left w:val="nil"/>
                          <w:right w:val="nil"/>
                        </w:tcBorders>
                      </w:tcPr>
                      <w:p>
                        <w:pPr>
                          <w:pStyle w:val="TableParagraph"/>
                          <w:spacing w:line="265" w:lineRule="exact"/>
                          <w:ind w:right="153"/>
                          <w:jc w:val="right"/>
                          <w:rPr>
                            <w:sz w:val="22"/>
                          </w:rPr>
                        </w:pPr>
                        <w:r>
                          <w:rPr>
                            <w:sz w:val="22"/>
                          </w:rPr>
                          <w:t>$5,453</w:t>
                        </w:r>
                      </w:p>
                    </w:tc>
                    <w:tc>
                      <w:tcPr>
                        <w:tcW w:w="881" w:type="dxa"/>
                        <w:tcBorders>
                          <w:left w:val="nil"/>
                        </w:tcBorders>
                      </w:tcPr>
                      <w:p>
                        <w:pPr>
                          <w:pStyle w:val="TableParagraph"/>
                          <w:spacing w:line="265" w:lineRule="exact"/>
                          <w:ind w:right="93"/>
                          <w:jc w:val="right"/>
                          <w:rPr>
                            <w:sz w:val="22"/>
                          </w:rPr>
                        </w:pPr>
                        <w:r>
                          <w:rPr>
                            <w:sz w:val="22"/>
                          </w:rPr>
                          <w:t>$1,363</w:t>
                        </w:r>
                      </w:p>
                    </w:tc>
                  </w:tr>
                  <w:tr>
                    <w:trPr>
                      <w:trHeight w:val="827" w:hRule="atLeast"/>
                    </w:trPr>
                    <w:tc>
                      <w:tcPr>
                        <w:tcW w:w="2971" w:type="dxa"/>
                        <w:tcBorders>
                          <w:right w:val="nil"/>
                        </w:tcBorders>
                      </w:tcPr>
                      <w:p>
                        <w:pPr>
                          <w:pStyle w:val="TableParagraph"/>
                          <w:ind w:left="107" w:right="823"/>
                          <w:rPr>
                            <w:sz w:val="22"/>
                          </w:rPr>
                        </w:pPr>
                        <w:r>
                          <w:rPr>
                            <w:sz w:val="22"/>
                          </w:rPr>
                          <w:t>Removal of deep bone implant</w:t>
                        </w:r>
                      </w:p>
                    </w:tc>
                    <w:tc>
                      <w:tcPr>
                        <w:tcW w:w="1241" w:type="dxa"/>
                        <w:tcBorders>
                          <w:left w:val="nil"/>
                          <w:right w:val="nil"/>
                        </w:tcBorders>
                      </w:tcPr>
                      <w:p>
                        <w:pPr>
                          <w:pStyle w:val="TableParagraph"/>
                          <w:spacing w:line="268" w:lineRule="exact"/>
                          <w:ind w:right="313"/>
                          <w:jc w:val="right"/>
                          <w:rPr>
                            <w:sz w:val="22"/>
                          </w:rPr>
                        </w:pPr>
                        <w:r>
                          <w:rPr>
                            <w:sz w:val="22"/>
                          </w:rPr>
                          <w:t>$1,045</w:t>
                        </w:r>
                      </w:p>
                    </w:tc>
                    <w:tc>
                      <w:tcPr>
                        <w:tcW w:w="1159" w:type="dxa"/>
                        <w:tcBorders>
                          <w:left w:val="nil"/>
                          <w:right w:val="nil"/>
                        </w:tcBorders>
                      </w:tcPr>
                      <w:p>
                        <w:pPr>
                          <w:pStyle w:val="TableParagraph"/>
                          <w:spacing w:line="268" w:lineRule="exact"/>
                          <w:ind w:right="218"/>
                          <w:jc w:val="right"/>
                          <w:rPr>
                            <w:sz w:val="22"/>
                          </w:rPr>
                        </w:pPr>
                        <w:r>
                          <w:rPr>
                            <w:sz w:val="22"/>
                          </w:rPr>
                          <w:t>$836</w:t>
                        </w:r>
                      </w:p>
                    </w:tc>
                    <w:tc>
                      <w:tcPr>
                        <w:tcW w:w="780" w:type="dxa"/>
                        <w:tcBorders>
                          <w:left w:val="nil"/>
                        </w:tcBorders>
                      </w:tcPr>
                      <w:p>
                        <w:pPr>
                          <w:pStyle w:val="TableParagraph"/>
                          <w:spacing w:line="268" w:lineRule="exact"/>
                          <w:ind w:right="93"/>
                          <w:jc w:val="right"/>
                          <w:rPr>
                            <w:sz w:val="22"/>
                          </w:rPr>
                        </w:pPr>
                        <w:r>
                          <w:rPr>
                            <w:sz w:val="22"/>
                          </w:rPr>
                          <w:t>$209</w:t>
                        </w:r>
                      </w:p>
                    </w:tc>
                    <w:tc>
                      <w:tcPr>
                        <w:tcW w:w="1157" w:type="dxa"/>
                        <w:tcBorders>
                          <w:right w:val="nil"/>
                        </w:tcBorders>
                      </w:tcPr>
                      <w:p>
                        <w:pPr>
                          <w:pStyle w:val="TableParagraph"/>
                          <w:spacing w:line="268" w:lineRule="exact"/>
                          <w:ind w:left="248" w:right="251"/>
                          <w:jc w:val="center"/>
                          <w:rPr>
                            <w:sz w:val="22"/>
                          </w:rPr>
                        </w:pPr>
                        <w:r>
                          <w:rPr>
                            <w:sz w:val="22"/>
                          </w:rPr>
                          <w:t>$2,642</w:t>
                        </w:r>
                      </w:p>
                    </w:tc>
                    <w:tc>
                      <w:tcPr>
                        <w:tcW w:w="1052" w:type="dxa"/>
                        <w:tcBorders>
                          <w:left w:val="nil"/>
                          <w:right w:val="nil"/>
                        </w:tcBorders>
                      </w:tcPr>
                      <w:p>
                        <w:pPr>
                          <w:pStyle w:val="TableParagraph"/>
                          <w:spacing w:line="268" w:lineRule="exact"/>
                          <w:ind w:right="153"/>
                          <w:jc w:val="right"/>
                          <w:rPr>
                            <w:sz w:val="22"/>
                          </w:rPr>
                        </w:pPr>
                        <w:r>
                          <w:rPr>
                            <w:sz w:val="22"/>
                          </w:rPr>
                          <w:t>$2,114</w:t>
                        </w:r>
                      </w:p>
                    </w:tc>
                    <w:tc>
                      <w:tcPr>
                        <w:tcW w:w="881" w:type="dxa"/>
                        <w:tcBorders>
                          <w:left w:val="nil"/>
                        </w:tcBorders>
                      </w:tcPr>
                      <w:p>
                        <w:pPr>
                          <w:pStyle w:val="TableParagraph"/>
                          <w:spacing w:line="268" w:lineRule="exact"/>
                          <w:ind w:right="92"/>
                          <w:jc w:val="right"/>
                          <w:rPr>
                            <w:sz w:val="22"/>
                          </w:rPr>
                        </w:pPr>
                        <w:r>
                          <w:rPr>
                            <w:sz w:val="22"/>
                          </w:rPr>
                          <w:t>$528</w:t>
                        </w:r>
                      </w:p>
                    </w:tc>
                  </w:tr>
                  <w:tr>
                    <w:trPr>
                      <w:trHeight w:val="827" w:hRule="atLeast"/>
                    </w:trPr>
                    <w:tc>
                      <w:tcPr>
                        <w:tcW w:w="2971" w:type="dxa"/>
                        <w:tcBorders>
                          <w:right w:val="nil"/>
                        </w:tcBorders>
                      </w:tcPr>
                      <w:p>
                        <w:pPr>
                          <w:pStyle w:val="TableParagraph"/>
                          <w:ind w:left="107" w:right="284"/>
                          <w:rPr>
                            <w:sz w:val="22"/>
                          </w:rPr>
                        </w:pPr>
                        <w:r>
                          <w:rPr>
                            <w:sz w:val="22"/>
                          </w:rPr>
                          <w:t>Fragmenting of kidney stone (ESWL)</w:t>
                        </w:r>
                      </w:p>
                    </w:tc>
                    <w:tc>
                      <w:tcPr>
                        <w:tcW w:w="1241" w:type="dxa"/>
                        <w:tcBorders>
                          <w:left w:val="nil"/>
                          <w:right w:val="nil"/>
                        </w:tcBorders>
                      </w:tcPr>
                      <w:p>
                        <w:pPr>
                          <w:pStyle w:val="TableParagraph"/>
                          <w:spacing w:line="265" w:lineRule="exact"/>
                          <w:ind w:right="313"/>
                          <w:jc w:val="right"/>
                          <w:rPr>
                            <w:sz w:val="22"/>
                          </w:rPr>
                        </w:pPr>
                        <w:r>
                          <w:rPr>
                            <w:sz w:val="22"/>
                          </w:rPr>
                          <w:t>$1,045</w:t>
                        </w:r>
                      </w:p>
                    </w:tc>
                    <w:tc>
                      <w:tcPr>
                        <w:tcW w:w="1159" w:type="dxa"/>
                        <w:tcBorders>
                          <w:left w:val="nil"/>
                          <w:right w:val="nil"/>
                        </w:tcBorders>
                      </w:tcPr>
                      <w:p>
                        <w:pPr>
                          <w:pStyle w:val="TableParagraph"/>
                          <w:spacing w:line="265" w:lineRule="exact"/>
                          <w:ind w:right="219"/>
                          <w:jc w:val="right"/>
                          <w:rPr>
                            <w:sz w:val="22"/>
                          </w:rPr>
                        </w:pPr>
                        <w:r>
                          <w:rPr>
                            <w:sz w:val="22"/>
                          </w:rPr>
                          <w:t>$1,158</w:t>
                        </w:r>
                      </w:p>
                    </w:tc>
                    <w:tc>
                      <w:tcPr>
                        <w:tcW w:w="780" w:type="dxa"/>
                        <w:tcBorders>
                          <w:left w:val="nil"/>
                        </w:tcBorders>
                      </w:tcPr>
                      <w:p>
                        <w:pPr>
                          <w:pStyle w:val="TableParagraph"/>
                          <w:spacing w:line="265" w:lineRule="exact"/>
                          <w:ind w:right="93"/>
                          <w:jc w:val="right"/>
                          <w:rPr>
                            <w:sz w:val="22"/>
                          </w:rPr>
                        </w:pPr>
                        <w:r>
                          <w:rPr>
                            <w:sz w:val="22"/>
                          </w:rPr>
                          <w:t>$289</w:t>
                        </w:r>
                      </w:p>
                    </w:tc>
                    <w:tc>
                      <w:tcPr>
                        <w:tcW w:w="1157" w:type="dxa"/>
                        <w:tcBorders>
                          <w:right w:val="nil"/>
                        </w:tcBorders>
                      </w:tcPr>
                      <w:p>
                        <w:pPr>
                          <w:pStyle w:val="TableParagraph"/>
                          <w:spacing w:line="265" w:lineRule="exact"/>
                          <w:ind w:left="248" w:right="251"/>
                          <w:jc w:val="center"/>
                          <w:rPr>
                            <w:sz w:val="22"/>
                          </w:rPr>
                        </w:pPr>
                        <w:r>
                          <w:rPr>
                            <w:sz w:val="22"/>
                          </w:rPr>
                          <w:t>$3,439</w:t>
                        </w:r>
                      </w:p>
                    </w:tc>
                    <w:tc>
                      <w:tcPr>
                        <w:tcW w:w="1052" w:type="dxa"/>
                        <w:tcBorders>
                          <w:left w:val="nil"/>
                          <w:right w:val="nil"/>
                        </w:tcBorders>
                      </w:tcPr>
                      <w:p>
                        <w:pPr>
                          <w:pStyle w:val="TableParagraph"/>
                          <w:spacing w:line="265" w:lineRule="exact"/>
                          <w:ind w:right="153"/>
                          <w:jc w:val="right"/>
                          <w:rPr>
                            <w:sz w:val="22"/>
                          </w:rPr>
                        </w:pPr>
                        <w:r>
                          <w:rPr>
                            <w:sz w:val="22"/>
                          </w:rPr>
                          <w:t>$2,751</w:t>
                        </w:r>
                      </w:p>
                    </w:tc>
                    <w:tc>
                      <w:tcPr>
                        <w:tcW w:w="881" w:type="dxa"/>
                        <w:tcBorders>
                          <w:left w:val="nil"/>
                        </w:tcBorders>
                      </w:tcPr>
                      <w:p>
                        <w:pPr>
                          <w:pStyle w:val="TableParagraph"/>
                          <w:spacing w:line="265" w:lineRule="exact"/>
                          <w:ind w:right="92"/>
                          <w:jc w:val="right"/>
                          <w:rPr>
                            <w:sz w:val="22"/>
                          </w:rPr>
                        </w:pPr>
                        <w:r>
                          <w:rPr>
                            <w:sz w:val="22"/>
                          </w:rPr>
                          <w:t>$688</w:t>
                        </w:r>
                      </w:p>
                    </w:tc>
                  </w:tr>
                  <w:tr>
                    <w:trPr>
                      <w:trHeight w:val="827" w:hRule="atLeast"/>
                    </w:trPr>
                    <w:tc>
                      <w:tcPr>
                        <w:tcW w:w="2971" w:type="dxa"/>
                        <w:tcBorders>
                          <w:right w:val="nil"/>
                        </w:tcBorders>
                      </w:tcPr>
                      <w:p>
                        <w:pPr>
                          <w:pStyle w:val="TableParagraph"/>
                          <w:spacing w:line="265" w:lineRule="exact"/>
                          <w:ind w:left="107"/>
                          <w:rPr>
                            <w:sz w:val="22"/>
                          </w:rPr>
                        </w:pPr>
                        <w:r>
                          <w:rPr>
                            <w:sz w:val="22"/>
                          </w:rPr>
                          <w:t>Cystoscopy with biopsy</w:t>
                        </w:r>
                      </w:p>
                    </w:tc>
                    <w:tc>
                      <w:tcPr>
                        <w:tcW w:w="1241" w:type="dxa"/>
                        <w:tcBorders>
                          <w:left w:val="nil"/>
                          <w:right w:val="nil"/>
                        </w:tcBorders>
                      </w:tcPr>
                      <w:p>
                        <w:pPr>
                          <w:pStyle w:val="TableParagraph"/>
                          <w:spacing w:line="265" w:lineRule="exact"/>
                          <w:ind w:right="312"/>
                          <w:jc w:val="right"/>
                          <w:rPr>
                            <w:sz w:val="22"/>
                          </w:rPr>
                        </w:pPr>
                        <w:r>
                          <w:rPr>
                            <w:sz w:val="22"/>
                          </w:rPr>
                          <w:t>$830</w:t>
                        </w:r>
                      </w:p>
                    </w:tc>
                    <w:tc>
                      <w:tcPr>
                        <w:tcW w:w="1159" w:type="dxa"/>
                        <w:tcBorders>
                          <w:left w:val="nil"/>
                          <w:right w:val="nil"/>
                        </w:tcBorders>
                      </w:tcPr>
                      <w:p>
                        <w:pPr>
                          <w:pStyle w:val="TableParagraph"/>
                          <w:spacing w:line="265" w:lineRule="exact"/>
                          <w:ind w:right="218"/>
                          <w:jc w:val="right"/>
                          <w:rPr>
                            <w:sz w:val="22"/>
                          </w:rPr>
                        </w:pPr>
                        <w:r>
                          <w:rPr>
                            <w:sz w:val="22"/>
                          </w:rPr>
                          <w:t>$664</w:t>
                        </w:r>
                      </w:p>
                    </w:tc>
                    <w:tc>
                      <w:tcPr>
                        <w:tcW w:w="780" w:type="dxa"/>
                        <w:tcBorders>
                          <w:left w:val="nil"/>
                        </w:tcBorders>
                      </w:tcPr>
                      <w:p>
                        <w:pPr>
                          <w:pStyle w:val="TableParagraph"/>
                          <w:spacing w:line="265" w:lineRule="exact"/>
                          <w:ind w:right="93"/>
                          <w:jc w:val="right"/>
                          <w:rPr>
                            <w:sz w:val="22"/>
                          </w:rPr>
                        </w:pPr>
                        <w:r>
                          <w:rPr>
                            <w:sz w:val="22"/>
                          </w:rPr>
                          <w:t>$166</w:t>
                        </w:r>
                      </w:p>
                    </w:tc>
                    <w:tc>
                      <w:tcPr>
                        <w:tcW w:w="1157" w:type="dxa"/>
                        <w:tcBorders>
                          <w:right w:val="nil"/>
                        </w:tcBorders>
                      </w:tcPr>
                      <w:p>
                        <w:pPr>
                          <w:pStyle w:val="TableParagraph"/>
                          <w:spacing w:line="265" w:lineRule="exact"/>
                          <w:ind w:left="248" w:right="251"/>
                          <w:jc w:val="center"/>
                          <w:rPr>
                            <w:sz w:val="22"/>
                          </w:rPr>
                        </w:pPr>
                        <w:r>
                          <w:rPr>
                            <w:sz w:val="22"/>
                          </w:rPr>
                          <w:t>$2,018</w:t>
                        </w:r>
                      </w:p>
                    </w:tc>
                    <w:tc>
                      <w:tcPr>
                        <w:tcW w:w="1052" w:type="dxa"/>
                        <w:tcBorders>
                          <w:left w:val="nil"/>
                          <w:right w:val="nil"/>
                        </w:tcBorders>
                      </w:tcPr>
                      <w:p>
                        <w:pPr>
                          <w:pStyle w:val="TableParagraph"/>
                          <w:spacing w:line="265" w:lineRule="exact"/>
                          <w:ind w:right="153"/>
                          <w:jc w:val="right"/>
                          <w:rPr>
                            <w:sz w:val="22"/>
                          </w:rPr>
                        </w:pPr>
                        <w:r>
                          <w:rPr>
                            <w:sz w:val="22"/>
                          </w:rPr>
                          <w:t>$1,614</w:t>
                        </w:r>
                      </w:p>
                    </w:tc>
                    <w:tc>
                      <w:tcPr>
                        <w:tcW w:w="881" w:type="dxa"/>
                        <w:tcBorders>
                          <w:left w:val="nil"/>
                        </w:tcBorders>
                      </w:tcPr>
                      <w:p>
                        <w:pPr>
                          <w:pStyle w:val="TableParagraph"/>
                          <w:spacing w:line="265" w:lineRule="exact"/>
                          <w:ind w:right="92"/>
                          <w:jc w:val="right"/>
                          <w:rPr>
                            <w:sz w:val="22"/>
                          </w:rPr>
                        </w:pPr>
                        <w:r>
                          <w:rPr>
                            <w:sz w:val="22"/>
                          </w:rPr>
                          <w:t>$404</w:t>
                        </w:r>
                      </w:p>
                    </w:tc>
                  </w:tr>
                </w:tbl>
                <w:p>
                  <w:pPr>
                    <w:pStyle w:val="BodyText"/>
                  </w:pPr>
                </w:p>
              </w:txbxContent>
            </v:textbox>
            <w10:wrap type="none"/>
          </v:shape>
        </w:pict>
      </w:r>
      <w:r>
        <w:rPr>
          <w:color w:val="063D86"/>
        </w:rPr>
        <w:t>New England Surgery</w:t>
      </w:r>
      <w:r>
        <w:rPr>
          <w:color w:val="063D86"/>
          <w:spacing w:val="-6"/>
        </w:rPr>
        <w:t> </w:t>
      </w:r>
      <w:r>
        <w:rPr>
          <w:color w:val="063D86"/>
        </w:rPr>
        <w:t>Center,</w:t>
      </w:r>
      <w:r>
        <w:rPr>
          <w:color w:val="063D86"/>
          <w:spacing w:val="-3"/>
        </w:rPr>
        <w:t> </w:t>
      </w:r>
      <w:r>
        <w:rPr>
          <w:color w:val="063D86"/>
        </w:rPr>
        <w:t>LLC</w:t>
        <w:tab/>
        <w:t>DoN #</w:t>
      </w:r>
      <w:r>
        <w:rPr>
          <w:color w:val="063D86"/>
          <w:spacing w:val="-2"/>
        </w:rPr>
        <w:t> </w:t>
      </w:r>
      <w:r>
        <w:rPr>
          <w:color w:val="063D86"/>
        </w:rPr>
        <w:t>20072809-AS</w:t>
      </w:r>
    </w:p>
    <w:p>
      <w:pPr>
        <w:pStyle w:val="BodyText"/>
        <w:spacing w:line="88" w:lineRule="exact"/>
        <w:ind w:left="191"/>
        <w:rPr>
          <w:rFonts w:ascii="Garamond"/>
          <w:sz w:val="8"/>
        </w:rPr>
      </w:pPr>
      <w:r>
        <w:rPr>
          <w:rFonts w:ascii="Garamond"/>
          <w:position w:val="-1"/>
          <w:sz w:val="8"/>
        </w:rPr>
        <w:pict>
          <v:group style="width:542.9pt;height:4.45pt;mso-position-horizontal-relative:char;mso-position-vertical-relative:line" coordorigin="0,0" coordsize="10858,89">
            <v:shape style="position:absolute;left:0;top:0;width:10858;height:89" coordorigin="0,0" coordsize="10858,89" path="m10858,29l0,29,0,89,10858,89,10858,29xm10858,0l0,0,0,14,10858,14,10858,0xe" filled="true" fillcolor="#1a406f" stroked="false">
              <v:path arrowok="t"/>
              <v:fill type="solid"/>
            </v:shape>
          </v:group>
        </w:pict>
      </w:r>
      <w:r>
        <w:rPr>
          <w:rFonts w:ascii="Garamond"/>
          <w:position w:val="-1"/>
          <w:sz w:val="8"/>
        </w:rPr>
      </w:r>
    </w:p>
    <w:p>
      <w:pPr>
        <w:pStyle w:val="BodyText"/>
        <w:rPr>
          <w:rFonts w:ascii="Garamond"/>
          <w:b/>
          <w:sz w:val="32"/>
        </w:rPr>
      </w:pPr>
    </w:p>
    <w:p>
      <w:pPr>
        <w:pStyle w:val="BodyText"/>
        <w:rPr>
          <w:rFonts w:ascii="Garamond"/>
          <w:b/>
          <w:sz w:val="32"/>
        </w:rPr>
      </w:pPr>
    </w:p>
    <w:p>
      <w:pPr>
        <w:pStyle w:val="BodyText"/>
        <w:rPr>
          <w:rFonts w:ascii="Garamond"/>
          <w:b/>
          <w:sz w:val="32"/>
        </w:rPr>
      </w:pPr>
    </w:p>
    <w:p>
      <w:pPr>
        <w:pStyle w:val="BodyText"/>
        <w:rPr>
          <w:rFonts w:ascii="Garamond"/>
          <w:b/>
          <w:sz w:val="32"/>
        </w:rPr>
      </w:pPr>
    </w:p>
    <w:p>
      <w:pPr>
        <w:pStyle w:val="BodyText"/>
        <w:rPr>
          <w:rFonts w:ascii="Garamond"/>
          <w:b/>
          <w:sz w:val="32"/>
        </w:rPr>
      </w:pPr>
    </w:p>
    <w:p>
      <w:pPr>
        <w:pStyle w:val="BodyText"/>
        <w:rPr>
          <w:rFonts w:ascii="Garamond"/>
          <w:b/>
          <w:sz w:val="32"/>
        </w:rPr>
      </w:pPr>
    </w:p>
    <w:p>
      <w:pPr>
        <w:pStyle w:val="BodyText"/>
        <w:rPr>
          <w:rFonts w:ascii="Garamond"/>
          <w:b/>
          <w:sz w:val="32"/>
        </w:rPr>
      </w:pPr>
    </w:p>
    <w:p>
      <w:pPr>
        <w:pStyle w:val="BodyText"/>
        <w:rPr>
          <w:rFonts w:ascii="Garamond"/>
          <w:b/>
          <w:sz w:val="32"/>
        </w:rPr>
      </w:pPr>
    </w:p>
    <w:p>
      <w:pPr>
        <w:pStyle w:val="BodyText"/>
        <w:rPr>
          <w:rFonts w:ascii="Garamond"/>
          <w:b/>
          <w:sz w:val="32"/>
        </w:rPr>
      </w:pPr>
    </w:p>
    <w:p>
      <w:pPr>
        <w:pStyle w:val="BodyText"/>
        <w:rPr>
          <w:rFonts w:ascii="Garamond"/>
          <w:b/>
          <w:sz w:val="32"/>
        </w:rPr>
      </w:pPr>
    </w:p>
    <w:p>
      <w:pPr>
        <w:pStyle w:val="BodyText"/>
        <w:rPr>
          <w:rFonts w:ascii="Garamond"/>
          <w:b/>
          <w:sz w:val="32"/>
        </w:rPr>
      </w:pPr>
    </w:p>
    <w:p>
      <w:pPr>
        <w:spacing w:line="540" w:lineRule="atLeast" w:before="234"/>
        <w:ind w:left="220" w:right="3448" w:firstLine="0"/>
        <w:jc w:val="left"/>
        <w:rPr>
          <w:rFonts w:ascii="Arial"/>
          <w:b/>
          <w:sz w:val="20"/>
        </w:rPr>
      </w:pPr>
      <w:r>
        <w:rPr>
          <w:rFonts w:ascii="Garamond"/>
          <w:sz w:val="24"/>
        </w:rPr>
        <w:t>* </w:t>
      </w:r>
      <w:r>
        <w:rPr>
          <w:rFonts w:ascii="Arial"/>
          <w:sz w:val="20"/>
        </w:rPr>
        <w:t>C-APC (other APCs package into J1 except for status indicators F, G, H, L, and U)</w:t>
      </w:r>
      <w:bookmarkStart w:name="APC- How It Works" w:id="47"/>
      <w:bookmarkEnd w:id="47"/>
      <w:r>
        <w:rPr>
          <w:rFonts w:ascii="Arial"/>
          <w:sz w:val="20"/>
        </w:rPr>
      </w:r>
      <w:r>
        <w:rPr>
          <w:rFonts w:ascii="Arial"/>
          <w:sz w:val="20"/>
        </w:rPr>
        <w:t> APC</w:t>
      </w:r>
      <w:r>
        <w:rPr>
          <w:rFonts w:ascii="Arial"/>
          <w:i/>
          <w:color w:val="0292DF"/>
          <w:sz w:val="20"/>
        </w:rPr>
        <w:t>- </w:t>
      </w:r>
      <w:r>
        <w:rPr>
          <w:rFonts w:ascii="Arial"/>
          <w:b/>
          <w:color w:val="333333"/>
          <w:sz w:val="20"/>
        </w:rPr>
        <w:t>How It Works</w:t>
      </w:r>
    </w:p>
    <w:p>
      <w:pPr>
        <w:pStyle w:val="BodyText"/>
        <w:ind w:left="220" w:right="136"/>
        <w:jc w:val="both"/>
        <w:rPr>
          <w:rFonts w:ascii="Arial" w:hAnsi="Arial"/>
          <w:sz w:val="21"/>
        </w:rPr>
      </w:pPr>
      <w:r>
        <w:rPr/>
        <w:t>For a single patient visit, the hospital can receive several separate APC payments. Anything used during a procedure is a billable expense, and it is up to the hospital’s team of coding specialists to determine which  APC  codes  are  appropriate. In addition to the procedures provided by the hospital, APC codes are chosen by criteria like the size of the facility and the complexity of service. Reimbursement is not fixed on a nationwide scale, payment is regulated in every state</w:t>
      </w:r>
      <w:r>
        <w:rPr>
          <w:rFonts w:ascii="Arial" w:hAnsi="Arial"/>
          <w:sz w:val="21"/>
        </w:rPr>
        <w:t>.</w:t>
      </w:r>
    </w:p>
    <w:p>
      <w:pPr>
        <w:pStyle w:val="BodyText"/>
        <w:spacing w:before="10"/>
        <w:rPr>
          <w:rFonts w:ascii="Arial"/>
          <w:sz w:val="25"/>
        </w:rPr>
      </w:pPr>
    </w:p>
    <w:p>
      <w:pPr>
        <w:pStyle w:val="BodyText"/>
        <w:ind w:left="220" w:right="258"/>
      </w:pPr>
      <w:bookmarkStart w:name="APCs were created to transfer some of th" w:id="48"/>
      <w:bookmarkEnd w:id="48"/>
      <w:r>
        <w:rPr/>
      </w:r>
      <w:r>
        <w:rPr/>
        <w:t>APCs were created to transfer some of the financial risk for provision of outpatient services from the Federal government to the individual hospitals, thereby achieving potential cost-savings for the Medicare program. By transferring financial risk to hospitals, APCs incentivize hospitals to provide outpatient services economically, efficiently and profitably</w:t>
      </w:r>
      <w:r>
        <w:rPr>
          <w:rFonts w:ascii="Arial"/>
          <w:sz w:val="23"/>
        </w:rPr>
        <w:t>.</w:t>
      </w:r>
      <w:hyperlink w:history="true" w:anchor="_bookmark28">
        <w:r>
          <w:rPr>
            <w:rFonts w:ascii="Arial"/>
            <w:sz w:val="23"/>
            <w:vertAlign w:val="superscript"/>
          </w:rPr>
          <w:t>2</w:t>
        </w:r>
        <w:r>
          <w:rPr>
            <w:rFonts w:ascii="Arial"/>
            <w:sz w:val="23"/>
            <w:vertAlign w:val="baseline"/>
          </w:rPr>
          <w:t> </w:t>
        </w:r>
      </w:hyperlink>
      <w:r>
        <w:rPr>
          <w:vertAlign w:val="baseline"/>
        </w:rPr>
        <w:t>Thus, the HOPD is paid at a higher rate than an ASC which allows for the lower patient responsibility.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4"/>
        </w:rPr>
      </w:pPr>
      <w:r>
        <w:rPr/>
        <w:pict>
          <v:rect style="position:absolute;margin-left:36pt;margin-top:11.002754pt;width:144pt;height:.72pt;mso-position-horizontal-relative:page;mso-position-vertical-relative:paragraph;z-index:-15717888;mso-wrap-distance-left:0;mso-wrap-distance-right:0" filled="true" fillcolor="#000000" stroked="false">
            <v:fill type="solid"/>
            <w10:wrap type="topAndBottom"/>
          </v:rect>
        </w:pict>
      </w:r>
    </w:p>
    <w:p>
      <w:pPr>
        <w:spacing w:before="92"/>
        <w:ind w:left="82" w:right="7177" w:firstLine="0"/>
        <w:jc w:val="center"/>
        <w:rPr>
          <w:sz w:val="18"/>
        </w:rPr>
      </w:pPr>
      <w:bookmarkStart w:name="_bookmark28" w:id="49"/>
      <w:bookmarkEnd w:id="49"/>
      <w:r>
        <w:rPr/>
      </w:r>
      <w:r>
        <w:rPr>
          <w:sz w:val="18"/>
          <w:vertAlign w:val="superscript"/>
        </w:rPr>
        <w:t>2</w:t>
      </w:r>
      <w:r>
        <w:rPr>
          <w:sz w:val="18"/>
          <w:vertAlign w:val="baseline"/>
        </w:rPr>
        <w:t> </w:t>
      </w:r>
      <w:r>
        <w:rPr>
          <w:color w:val="333333"/>
          <w:sz w:val="18"/>
          <w:vertAlign w:val="baseline"/>
        </w:rPr>
        <w:t>2020 American College of Emergency Physicians</w:t>
      </w:r>
    </w:p>
    <w:p>
      <w:pPr>
        <w:pStyle w:val="BodyText"/>
        <w:spacing w:before="4"/>
        <w:ind w:left="81"/>
        <w:jc w:val="center"/>
      </w:pPr>
      <w:r>
        <w:rPr>
          <w:w w:val="100"/>
        </w:rPr>
        <w:t>2</w:t>
      </w:r>
    </w:p>
    <w:sectPr>
      <w:pgSz w:w="12240" w:h="15840"/>
      <w:pgMar w:top="640" w:bottom="280" w:left="5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entury Gothic">
    <w:altName w:val="Century Gothic"/>
    <w:charset w:val="0"/>
    <w:family w:val="swiss"/>
    <w:pitch w:val="variable"/>
  </w:font>
  <w:font w:name="Garamond">
    <w:altName w:val="Garamond"/>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decimal"/>
      <w:lvlText w:val="%1."/>
      <w:lvlJc w:val="left"/>
      <w:pPr>
        <w:ind w:left="940" w:hanging="360"/>
        <w:jc w:val="left"/>
      </w:pPr>
      <w:rPr>
        <w:rFonts w:hint="default" w:ascii="Garamond" w:hAnsi="Garamond" w:eastAsia="Garamond" w:cs="Garamond"/>
        <w:w w:val="100"/>
        <w:sz w:val="24"/>
        <w:szCs w:val="24"/>
      </w:rPr>
    </w:lvl>
    <w:lvl w:ilvl="1">
      <w:start w:val="1"/>
      <w:numFmt w:val="lowerLetter"/>
      <w:lvlText w:val="%2."/>
      <w:lvlJc w:val="left"/>
      <w:pPr>
        <w:ind w:left="1660" w:hanging="360"/>
        <w:jc w:val="left"/>
      </w:pPr>
      <w:rPr>
        <w:rFonts w:hint="default" w:ascii="Garamond" w:hAnsi="Garamond" w:eastAsia="Garamond" w:cs="Garamond"/>
        <w:w w:val="100"/>
        <w:sz w:val="24"/>
        <w:szCs w:val="24"/>
      </w:rPr>
    </w:lvl>
    <w:lvl w:ilvl="2">
      <w:start w:val="0"/>
      <w:numFmt w:val="bullet"/>
      <w:lvlText w:val="•"/>
      <w:lvlJc w:val="left"/>
      <w:pPr>
        <w:ind w:left="2715" w:hanging="360"/>
      </w:pPr>
      <w:rPr>
        <w:rFonts w:hint="default"/>
      </w:rPr>
    </w:lvl>
    <w:lvl w:ilvl="3">
      <w:start w:val="0"/>
      <w:numFmt w:val="bullet"/>
      <w:lvlText w:val="•"/>
      <w:lvlJc w:val="left"/>
      <w:pPr>
        <w:ind w:left="3771" w:hanging="360"/>
      </w:pPr>
      <w:rPr>
        <w:rFonts w:hint="default"/>
      </w:rPr>
    </w:lvl>
    <w:lvl w:ilvl="4">
      <w:start w:val="0"/>
      <w:numFmt w:val="bullet"/>
      <w:lvlText w:val="•"/>
      <w:lvlJc w:val="left"/>
      <w:pPr>
        <w:ind w:left="4826" w:hanging="360"/>
      </w:pPr>
      <w:rPr>
        <w:rFonts w:hint="default"/>
      </w:rPr>
    </w:lvl>
    <w:lvl w:ilvl="5">
      <w:start w:val="0"/>
      <w:numFmt w:val="bullet"/>
      <w:lvlText w:val="•"/>
      <w:lvlJc w:val="left"/>
      <w:pPr>
        <w:ind w:left="5882" w:hanging="360"/>
      </w:pPr>
      <w:rPr>
        <w:rFonts w:hint="default"/>
      </w:rPr>
    </w:lvl>
    <w:lvl w:ilvl="6">
      <w:start w:val="0"/>
      <w:numFmt w:val="bullet"/>
      <w:lvlText w:val="•"/>
      <w:lvlJc w:val="left"/>
      <w:pPr>
        <w:ind w:left="6937" w:hanging="360"/>
      </w:pPr>
      <w:rPr>
        <w:rFonts w:hint="default"/>
      </w:rPr>
    </w:lvl>
    <w:lvl w:ilvl="7">
      <w:start w:val="0"/>
      <w:numFmt w:val="bullet"/>
      <w:lvlText w:val="•"/>
      <w:lvlJc w:val="left"/>
      <w:pPr>
        <w:ind w:left="7993" w:hanging="360"/>
      </w:pPr>
      <w:rPr>
        <w:rFonts w:hint="default"/>
      </w:rPr>
    </w:lvl>
    <w:lvl w:ilvl="8">
      <w:start w:val="0"/>
      <w:numFmt w:val="bullet"/>
      <w:lvlText w:val="•"/>
      <w:lvlJc w:val="left"/>
      <w:pPr>
        <w:ind w:left="9048" w:hanging="360"/>
      </w:pPr>
      <w:rPr>
        <w:rFonts w:hint="default"/>
      </w:rPr>
    </w:lvl>
  </w:abstractNum>
  <w:abstractNum w:abstractNumId="16">
    <w:multiLevelType w:val="hybridMultilevel"/>
    <w:lvl w:ilvl="0">
      <w:start w:val="0"/>
      <w:numFmt w:val="bullet"/>
      <w:lvlText w:val=""/>
      <w:lvlJc w:val="left"/>
      <w:pPr>
        <w:ind w:left="823" w:hanging="361"/>
      </w:pPr>
      <w:rPr>
        <w:rFonts w:hint="default" w:ascii="Symbol" w:hAnsi="Symbol" w:eastAsia="Symbol" w:cs="Symbol"/>
        <w:w w:val="100"/>
        <w:sz w:val="22"/>
        <w:szCs w:val="22"/>
      </w:rPr>
    </w:lvl>
    <w:lvl w:ilvl="1">
      <w:start w:val="0"/>
      <w:numFmt w:val="bullet"/>
      <w:lvlText w:val="•"/>
      <w:lvlJc w:val="left"/>
      <w:pPr>
        <w:ind w:left="1694" w:hanging="361"/>
      </w:pPr>
      <w:rPr>
        <w:rFonts w:hint="default"/>
      </w:rPr>
    </w:lvl>
    <w:lvl w:ilvl="2">
      <w:start w:val="0"/>
      <w:numFmt w:val="bullet"/>
      <w:lvlText w:val="•"/>
      <w:lvlJc w:val="left"/>
      <w:pPr>
        <w:ind w:left="2569" w:hanging="361"/>
      </w:pPr>
      <w:rPr>
        <w:rFonts w:hint="default"/>
      </w:rPr>
    </w:lvl>
    <w:lvl w:ilvl="3">
      <w:start w:val="0"/>
      <w:numFmt w:val="bullet"/>
      <w:lvlText w:val="•"/>
      <w:lvlJc w:val="left"/>
      <w:pPr>
        <w:ind w:left="3443" w:hanging="361"/>
      </w:pPr>
      <w:rPr>
        <w:rFonts w:hint="default"/>
      </w:rPr>
    </w:lvl>
    <w:lvl w:ilvl="4">
      <w:start w:val="0"/>
      <w:numFmt w:val="bullet"/>
      <w:lvlText w:val="•"/>
      <w:lvlJc w:val="left"/>
      <w:pPr>
        <w:ind w:left="4318" w:hanging="361"/>
      </w:pPr>
      <w:rPr>
        <w:rFonts w:hint="default"/>
      </w:rPr>
    </w:lvl>
    <w:lvl w:ilvl="5">
      <w:start w:val="0"/>
      <w:numFmt w:val="bullet"/>
      <w:lvlText w:val="•"/>
      <w:lvlJc w:val="left"/>
      <w:pPr>
        <w:ind w:left="5193" w:hanging="361"/>
      </w:pPr>
      <w:rPr>
        <w:rFonts w:hint="default"/>
      </w:rPr>
    </w:lvl>
    <w:lvl w:ilvl="6">
      <w:start w:val="0"/>
      <w:numFmt w:val="bullet"/>
      <w:lvlText w:val="•"/>
      <w:lvlJc w:val="left"/>
      <w:pPr>
        <w:ind w:left="6067" w:hanging="361"/>
      </w:pPr>
      <w:rPr>
        <w:rFonts w:hint="default"/>
      </w:rPr>
    </w:lvl>
    <w:lvl w:ilvl="7">
      <w:start w:val="0"/>
      <w:numFmt w:val="bullet"/>
      <w:lvlText w:val="•"/>
      <w:lvlJc w:val="left"/>
      <w:pPr>
        <w:ind w:left="6942" w:hanging="361"/>
      </w:pPr>
      <w:rPr>
        <w:rFonts w:hint="default"/>
      </w:rPr>
    </w:lvl>
    <w:lvl w:ilvl="8">
      <w:start w:val="0"/>
      <w:numFmt w:val="bullet"/>
      <w:lvlText w:val="•"/>
      <w:lvlJc w:val="left"/>
      <w:pPr>
        <w:ind w:left="7817" w:hanging="361"/>
      </w:pPr>
      <w:rPr>
        <w:rFonts w:hint="default"/>
      </w:rPr>
    </w:lvl>
  </w:abstractNum>
  <w:abstractNum w:abstractNumId="15">
    <w:multiLevelType w:val="hybridMultilevel"/>
    <w:lvl w:ilvl="0">
      <w:start w:val="4"/>
      <w:numFmt w:val="decimal"/>
      <w:lvlText w:val="%1."/>
      <w:lvlJc w:val="left"/>
      <w:pPr>
        <w:ind w:left="1660" w:hanging="360"/>
        <w:jc w:val="left"/>
      </w:pPr>
      <w:rPr>
        <w:rFonts w:hint="default" w:ascii="Times New Roman" w:hAnsi="Times New Roman" w:eastAsia="Times New Roman" w:cs="Times New Roman"/>
        <w:w w:val="100"/>
        <w:sz w:val="24"/>
        <w:szCs w:val="24"/>
      </w:rPr>
    </w:lvl>
    <w:lvl w:ilvl="1">
      <w:start w:val="1"/>
      <w:numFmt w:val="lowerLetter"/>
      <w:lvlText w:val="%2."/>
      <w:lvlJc w:val="left"/>
      <w:pPr>
        <w:ind w:left="2380" w:hanging="360"/>
        <w:jc w:val="left"/>
      </w:pPr>
      <w:rPr>
        <w:rFonts w:hint="default" w:ascii="Times New Roman" w:hAnsi="Times New Roman" w:eastAsia="Times New Roman" w:cs="Times New Roman"/>
        <w:spacing w:val="-1"/>
        <w:w w:val="100"/>
        <w:sz w:val="24"/>
        <w:szCs w:val="24"/>
      </w:rPr>
    </w:lvl>
    <w:lvl w:ilvl="2">
      <w:start w:val="0"/>
      <w:numFmt w:val="bullet"/>
      <w:lvlText w:val="•"/>
      <w:lvlJc w:val="left"/>
      <w:pPr>
        <w:ind w:left="3355" w:hanging="360"/>
      </w:pPr>
      <w:rPr>
        <w:rFonts w:hint="default"/>
      </w:rPr>
    </w:lvl>
    <w:lvl w:ilvl="3">
      <w:start w:val="0"/>
      <w:numFmt w:val="bullet"/>
      <w:lvlText w:val="•"/>
      <w:lvlJc w:val="left"/>
      <w:pPr>
        <w:ind w:left="4331" w:hanging="360"/>
      </w:pPr>
      <w:rPr>
        <w:rFonts w:hint="default"/>
      </w:rPr>
    </w:lvl>
    <w:lvl w:ilvl="4">
      <w:start w:val="0"/>
      <w:numFmt w:val="bullet"/>
      <w:lvlText w:val="•"/>
      <w:lvlJc w:val="left"/>
      <w:pPr>
        <w:ind w:left="5306" w:hanging="360"/>
      </w:pPr>
      <w:rPr>
        <w:rFonts w:hint="default"/>
      </w:rPr>
    </w:lvl>
    <w:lvl w:ilvl="5">
      <w:start w:val="0"/>
      <w:numFmt w:val="bullet"/>
      <w:lvlText w:val="•"/>
      <w:lvlJc w:val="left"/>
      <w:pPr>
        <w:ind w:left="6282" w:hanging="360"/>
      </w:pPr>
      <w:rPr>
        <w:rFonts w:hint="default"/>
      </w:rPr>
    </w:lvl>
    <w:lvl w:ilvl="6">
      <w:start w:val="0"/>
      <w:numFmt w:val="bullet"/>
      <w:lvlText w:val="•"/>
      <w:lvlJc w:val="left"/>
      <w:pPr>
        <w:ind w:left="7257" w:hanging="360"/>
      </w:pPr>
      <w:rPr>
        <w:rFonts w:hint="default"/>
      </w:rPr>
    </w:lvl>
    <w:lvl w:ilvl="7">
      <w:start w:val="0"/>
      <w:numFmt w:val="bullet"/>
      <w:lvlText w:val="•"/>
      <w:lvlJc w:val="left"/>
      <w:pPr>
        <w:ind w:left="8233" w:hanging="360"/>
      </w:pPr>
      <w:rPr>
        <w:rFonts w:hint="default"/>
      </w:rPr>
    </w:lvl>
    <w:lvl w:ilvl="8">
      <w:start w:val="0"/>
      <w:numFmt w:val="bullet"/>
      <w:lvlText w:val="•"/>
      <w:lvlJc w:val="left"/>
      <w:pPr>
        <w:ind w:left="9208" w:hanging="360"/>
      </w:pPr>
      <w:rPr>
        <w:rFonts w:hint="default"/>
      </w:rPr>
    </w:lvl>
  </w:abstractNum>
  <w:abstractNum w:abstractNumId="14">
    <w:multiLevelType w:val="hybridMultilevel"/>
    <w:lvl w:ilvl="0">
      <w:start w:val="1"/>
      <w:numFmt w:val="decimal"/>
      <w:lvlText w:val="%1."/>
      <w:lvlJc w:val="left"/>
      <w:pPr>
        <w:ind w:left="2800" w:hanging="420"/>
        <w:jc w:val="left"/>
      </w:pPr>
      <w:rPr>
        <w:rFonts w:hint="default" w:ascii="Times New Roman" w:hAnsi="Times New Roman" w:eastAsia="Times New Roman" w:cs="Times New Roman"/>
        <w:color w:val="FF0000"/>
        <w:w w:val="100"/>
        <w:sz w:val="24"/>
        <w:szCs w:val="24"/>
      </w:rPr>
    </w:lvl>
    <w:lvl w:ilvl="1">
      <w:start w:val="0"/>
      <w:numFmt w:val="bullet"/>
      <w:lvlText w:val="•"/>
      <w:lvlJc w:val="left"/>
      <w:pPr>
        <w:ind w:left="3636" w:hanging="420"/>
      </w:pPr>
      <w:rPr>
        <w:rFonts w:hint="default"/>
      </w:rPr>
    </w:lvl>
    <w:lvl w:ilvl="2">
      <w:start w:val="0"/>
      <w:numFmt w:val="bullet"/>
      <w:lvlText w:val="•"/>
      <w:lvlJc w:val="left"/>
      <w:pPr>
        <w:ind w:left="4472" w:hanging="420"/>
      </w:pPr>
      <w:rPr>
        <w:rFonts w:hint="default"/>
      </w:rPr>
    </w:lvl>
    <w:lvl w:ilvl="3">
      <w:start w:val="0"/>
      <w:numFmt w:val="bullet"/>
      <w:lvlText w:val="•"/>
      <w:lvlJc w:val="left"/>
      <w:pPr>
        <w:ind w:left="5308" w:hanging="420"/>
      </w:pPr>
      <w:rPr>
        <w:rFonts w:hint="default"/>
      </w:rPr>
    </w:lvl>
    <w:lvl w:ilvl="4">
      <w:start w:val="0"/>
      <w:numFmt w:val="bullet"/>
      <w:lvlText w:val="•"/>
      <w:lvlJc w:val="left"/>
      <w:pPr>
        <w:ind w:left="6144" w:hanging="420"/>
      </w:pPr>
      <w:rPr>
        <w:rFonts w:hint="default"/>
      </w:rPr>
    </w:lvl>
    <w:lvl w:ilvl="5">
      <w:start w:val="0"/>
      <w:numFmt w:val="bullet"/>
      <w:lvlText w:val="•"/>
      <w:lvlJc w:val="left"/>
      <w:pPr>
        <w:ind w:left="6980" w:hanging="420"/>
      </w:pPr>
      <w:rPr>
        <w:rFonts w:hint="default"/>
      </w:rPr>
    </w:lvl>
    <w:lvl w:ilvl="6">
      <w:start w:val="0"/>
      <w:numFmt w:val="bullet"/>
      <w:lvlText w:val="•"/>
      <w:lvlJc w:val="left"/>
      <w:pPr>
        <w:ind w:left="7816" w:hanging="420"/>
      </w:pPr>
      <w:rPr>
        <w:rFonts w:hint="default"/>
      </w:rPr>
    </w:lvl>
    <w:lvl w:ilvl="7">
      <w:start w:val="0"/>
      <w:numFmt w:val="bullet"/>
      <w:lvlText w:val="•"/>
      <w:lvlJc w:val="left"/>
      <w:pPr>
        <w:ind w:left="8652" w:hanging="420"/>
      </w:pPr>
      <w:rPr>
        <w:rFonts w:hint="default"/>
      </w:rPr>
    </w:lvl>
    <w:lvl w:ilvl="8">
      <w:start w:val="0"/>
      <w:numFmt w:val="bullet"/>
      <w:lvlText w:val="•"/>
      <w:lvlJc w:val="left"/>
      <w:pPr>
        <w:ind w:left="9488" w:hanging="420"/>
      </w:pPr>
      <w:rPr>
        <w:rFonts w:hint="default"/>
      </w:rPr>
    </w:lvl>
  </w:abstractNum>
  <w:abstractNum w:abstractNumId="13">
    <w:multiLevelType w:val="hybridMultilevel"/>
    <w:lvl w:ilvl="0">
      <w:start w:val="0"/>
      <w:numFmt w:val="bullet"/>
      <w:lvlText w:val=""/>
      <w:lvlJc w:val="left"/>
      <w:pPr>
        <w:ind w:left="3280" w:hanging="360"/>
      </w:pPr>
      <w:rPr>
        <w:rFonts w:hint="default" w:ascii="Symbol" w:hAnsi="Symbol" w:eastAsia="Symbol" w:cs="Symbol"/>
        <w:color w:val="FF0000"/>
        <w:w w:val="100"/>
        <w:sz w:val="24"/>
        <w:szCs w:val="24"/>
      </w:rPr>
    </w:lvl>
    <w:lvl w:ilvl="1">
      <w:start w:val="0"/>
      <w:numFmt w:val="bullet"/>
      <w:lvlText w:val="•"/>
      <w:lvlJc w:val="left"/>
      <w:pPr>
        <w:ind w:left="4068" w:hanging="360"/>
      </w:pPr>
      <w:rPr>
        <w:rFonts w:hint="default"/>
      </w:rPr>
    </w:lvl>
    <w:lvl w:ilvl="2">
      <w:start w:val="0"/>
      <w:numFmt w:val="bullet"/>
      <w:lvlText w:val="•"/>
      <w:lvlJc w:val="left"/>
      <w:pPr>
        <w:ind w:left="4856" w:hanging="360"/>
      </w:pPr>
      <w:rPr>
        <w:rFonts w:hint="default"/>
      </w:rPr>
    </w:lvl>
    <w:lvl w:ilvl="3">
      <w:start w:val="0"/>
      <w:numFmt w:val="bullet"/>
      <w:lvlText w:val="•"/>
      <w:lvlJc w:val="left"/>
      <w:pPr>
        <w:ind w:left="5644" w:hanging="360"/>
      </w:pPr>
      <w:rPr>
        <w:rFonts w:hint="default"/>
      </w:rPr>
    </w:lvl>
    <w:lvl w:ilvl="4">
      <w:start w:val="0"/>
      <w:numFmt w:val="bullet"/>
      <w:lvlText w:val="•"/>
      <w:lvlJc w:val="left"/>
      <w:pPr>
        <w:ind w:left="6432" w:hanging="360"/>
      </w:pPr>
      <w:rPr>
        <w:rFonts w:hint="default"/>
      </w:rPr>
    </w:lvl>
    <w:lvl w:ilvl="5">
      <w:start w:val="0"/>
      <w:numFmt w:val="bullet"/>
      <w:lvlText w:val="•"/>
      <w:lvlJc w:val="left"/>
      <w:pPr>
        <w:ind w:left="7220" w:hanging="360"/>
      </w:pPr>
      <w:rPr>
        <w:rFonts w:hint="default"/>
      </w:rPr>
    </w:lvl>
    <w:lvl w:ilvl="6">
      <w:start w:val="0"/>
      <w:numFmt w:val="bullet"/>
      <w:lvlText w:val="•"/>
      <w:lvlJc w:val="left"/>
      <w:pPr>
        <w:ind w:left="8008" w:hanging="360"/>
      </w:pPr>
      <w:rPr>
        <w:rFonts w:hint="default"/>
      </w:rPr>
    </w:lvl>
    <w:lvl w:ilvl="7">
      <w:start w:val="0"/>
      <w:numFmt w:val="bullet"/>
      <w:lvlText w:val="•"/>
      <w:lvlJc w:val="left"/>
      <w:pPr>
        <w:ind w:left="8796" w:hanging="360"/>
      </w:pPr>
      <w:rPr>
        <w:rFonts w:hint="default"/>
      </w:rPr>
    </w:lvl>
    <w:lvl w:ilvl="8">
      <w:start w:val="0"/>
      <w:numFmt w:val="bullet"/>
      <w:lvlText w:val="•"/>
      <w:lvlJc w:val="left"/>
      <w:pPr>
        <w:ind w:left="9584" w:hanging="360"/>
      </w:pPr>
      <w:rPr>
        <w:rFonts w:hint="default"/>
      </w:rPr>
    </w:lvl>
  </w:abstractNum>
  <w:abstractNum w:abstractNumId="12">
    <w:multiLevelType w:val="hybridMultilevel"/>
    <w:lvl w:ilvl="0">
      <w:start w:val="1"/>
      <w:numFmt w:val="decimal"/>
      <w:lvlText w:val="%1."/>
      <w:lvlJc w:val="left"/>
      <w:pPr>
        <w:ind w:left="1660" w:hanging="360"/>
        <w:jc w:val="left"/>
      </w:pPr>
      <w:rPr>
        <w:rFonts w:hint="default" w:ascii="Times New Roman" w:hAnsi="Times New Roman" w:eastAsia="Times New Roman" w:cs="Times New Roman"/>
        <w:w w:val="100"/>
        <w:sz w:val="24"/>
        <w:szCs w:val="24"/>
      </w:rPr>
    </w:lvl>
    <w:lvl w:ilvl="1">
      <w:start w:val="1"/>
      <w:numFmt w:val="lowerLetter"/>
      <w:lvlText w:val="%2."/>
      <w:lvlJc w:val="left"/>
      <w:pPr>
        <w:ind w:left="2380" w:hanging="360"/>
        <w:jc w:val="left"/>
      </w:pPr>
      <w:rPr>
        <w:rFonts w:hint="default" w:ascii="Times New Roman" w:hAnsi="Times New Roman" w:eastAsia="Times New Roman" w:cs="Times New Roman"/>
        <w:spacing w:val="-1"/>
        <w:w w:val="100"/>
        <w:sz w:val="24"/>
        <w:szCs w:val="24"/>
      </w:rPr>
    </w:lvl>
    <w:lvl w:ilvl="2">
      <w:start w:val="0"/>
      <w:numFmt w:val="bullet"/>
      <w:lvlText w:val=""/>
      <w:lvlJc w:val="left"/>
      <w:pPr>
        <w:ind w:left="3280" w:hanging="360"/>
      </w:pPr>
      <w:rPr>
        <w:rFonts w:hint="default" w:ascii="Symbol" w:hAnsi="Symbol" w:eastAsia="Symbol" w:cs="Symbol"/>
        <w:color w:val="FF0000"/>
        <w:w w:val="100"/>
        <w:sz w:val="24"/>
        <w:szCs w:val="24"/>
      </w:rPr>
    </w:lvl>
    <w:lvl w:ilvl="3">
      <w:start w:val="0"/>
      <w:numFmt w:val="bullet"/>
      <w:lvlText w:val="•"/>
      <w:lvlJc w:val="left"/>
      <w:pPr>
        <w:ind w:left="4265" w:hanging="360"/>
      </w:pPr>
      <w:rPr>
        <w:rFonts w:hint="default"/>
      </w:rPr>
    </w:lvl>
    <w:lvl w:ilvl="4">
      <w:start w:val="0"/>
      <w:numFmt w:val="bullet"/>
      <w:lvlText w:val="•"/>
      <w:lvlJc w:val="left"/>
      <w:pPr>
        <w:ind w:left="5250" w:hanging="360"/>
      </w:pPr>
      <w:rPr>
        <w:rFonts w:hint="default"/>
      </w:rPr>
    </w:lvl>
    <w:lvl w:ilvl="5">
      <w:start w:val="0"/>
      <w:numFmt w:val="bullet"/>
      <w:lvlText w:val="•"/>
      <w:lvlJc w:val="left"/>
      <w:pPr>
        <w:ind w:left="6235" w:hanging="360"/>
      </w:pPr>
      <w:rPr>
        <w:rFonts w:hint="default"/>
      </w:rPr>
    </w:lvl>
    <w:lvl w:ilvl="6">
      <w:start w:val="0"/>
      <w:numFmt w:val="bullet"/>
      <w:lvlText w:val="•"/>
      <w:lvlJc w:val="left"/>
      <w:pPr>
        <w:ind w:left="7220" w:hanging="360"/>
      </w:pPr>
      <w:rPr>
        <w:rFonts w:hint="default"/>
      </w:rPr>
    </w:lvl>
    <w:lvl w:ilvl="7">
      <w:start w:val="0"/>
      <w:numFmt w:val="bullet"/>
      <w:lvlText w:val="•"/>
      <w:lvlJc w:val="left"/>
      <w:pPr>
        <w:ind w:left="8205" w:hanging="360"/>
      </w:pPr>
      <w:rPr>
        <w:rFonts w:hint="default"/>
      </w:rPr>
    </w:lvl>
    <w:lvl w:ilvl="8">
      <w:start w:val="0"/>
      <w:numFmt w:val="bullet"/>
      <w:lvlText w:val="•"/>
      <w:lvlJc w:val="left"/>
      <w:pPr>
        <w:ind w:left="9190" w:hanging="360"/>
      </w:pPr>
      <w:rPr>
        <w:rFonts w:hint="default"/>
      </w:rPr>
    </w:lvl>
  </w:abstractNum>
  <w:abstractNum w:abstractNumId="11">
    <w:multiLevelType w:val="hybridMultilevel"/>
    <w:lvl w:ilvl="0">
      <w:start w:val="1"/>
      <w:numFmt w:val="decimal"/>
      <w:lvlText w:val="%1."/>
      <w:lvlJc w:val="left"/>
      <w:pPr>
        <w:ind w:left="939" w:hanging="360"/>
        <w:jc w:val="left"/>
      </w:pPr>
      <w:rPr>
        <w:rFonts w:hint="default" w:ascii="Times New Roman" w:hAnsi="Times New Roman" w:eastAsia="Times New Roman" w:cs="Times New Roman"/>
        <w:w w:val="100"/>
        <w:sz w:val="22"/>
        <w:szCs w:val="22"/>
      </w:rPr>
    </w:lvl>
    <w:lvl w:ilvl="1">
      <w:start w:val="1"/>
      <w:numFmt w:val="lowerLetter"/>
      <w:lvlText w:val="%2."/>
      <w:lvlJc w:val="left"/>
      <w:pPr>
        <w:ind w:left="1660" w:hanging="361"/>
        <w:jc w:val="left"/>
      </w:pPr>
      <w:rPr>
        <w:rFonts w:hint="default" w:ascii="Times New Roman" w:hAnsi="Times New Roman" w:eastAsia="Times New Roman" w:cs="Times New Roman"/>
        <w:w w:val="100"/>
        <w:sz w:val="22"/>
        <w:szCs w:val="22"/>
      </w:rPr>
    </w:lvl>
    <w:lvl w:ilvl="2">
      <w:start w:val="0"/>
      <w:numFmt w:val="bullet"/>
      <w:lvlText w:val="•"/>
      <w:lvlJc w:val="left"/>
      <w:pPr>
        <w:ind w:left="2715" w:hanging="361"/>
      </w:pPr>
      <w:rPr>
        <w:rFonts w:hint="default"/>
      </w:rPr>
    </w:lvl>
    <w:lvl w:ilvl="3">
      <w:start w:val="0"/>
      <w:numFmt w:val="bullet"/>
      <w:lvlText w:val="•"/>
      <w:lvlJc w:val="left"/>
      <w:pPr>
        <w:ind w:left="3771" w:hanging="361"/>
      </w:pPr>
      <w:rPr>
        <w:rFonts w:hint="default"/>
      </w:rPr>
    </w:lvl>
    <w:lvl w:ilvl="4">
      <w:start w:val="0"/>
      <w:numFmt w:val="bullet"/>
      <w:lvlText w:val="•"/>
      <w:lvlJc w:val="left"/>
      <w:pPr>
        <w:ind w:left="4826" w:hanging="361"/>
      </w:pPr>
      <w:rPr>
        <w:rFonts w:hint="default"/>
      </w:rPr>
    </w:lvl>
    <w:lvl w:ilvl="5">
      <w:start w:val="0"/>
      <w:numFmt w:val="bullet"/>
      <w:lvlText w:val="•"/>
      <w:lvlJc w:val="left"/>
      <w:pPr>
        <w:ind w:left="5882" w:hanging="361"/>
      </w:pPr>
      <w:rPr>
        <w:rFonts w:hint="default"/>
      </w:rPr>
    </w:lvl>
    <w:lvl w:ilvl="6">
      <w:start w:val="0"/>
      <w:numFmt w:val="bullet"/>
      <w:lvlText w:val="•"/>
      <w:lvlJc w:val="left"/>
      <w:pPr>
        <w:ind w:left="6937" w:hanging="361"/>
      </w:pPr>
      <w:rPr>
        <w:rFonts w:hint="default"/>
      </w:rPr>
    </w:lvl>
    <w:lvl w:ilvl="7">
      <w:start w:val="0"/>
      <w:numFmt w:val="bullet"/>
      <w:lvlText w:val="•"/>
      <w:lvlJc w:val="left"/>
      <w:pPr>
        <w:ind w:left="7993" w:hanging="361"/>
      </w:pPr>
      <w:rPr>
        <w:rFonts w:hint="default"/>
      </w:rPr>
    </w:lvl>
    <w:lvl w:ilvl="8">
      <w:start w:val="0"/>
      <w:numFmt w:val="bullet"/>
      <w:lvlText w:val="•"/>
      <w:lvlJc w:val="left"/>
      <w:pPr>
        <w:ind w:left="9048" w:hanging="361"/>
      </w:pPr>
      <w:rPr>
        <w:rFonts w:hint="default"/>
      </w:rPr>
    </w:lvl>
  </w:abstractNum>
  <w:abstractNum w:abstractNumId="10">
    <w:multiLevelType w:val="hybridMultilevel"/>
    <w:lvl w:ilvl="0">
      <w:start w:val="1"/>
      <w:numFmt w:val="lowerRoman"/>
      <w:lvlText w:val="%1."/>
      <w:lvlJc w:val="left"/>
      <w:pPr>
        <w:ind w:left="2020" w:hanging="360"/>
        <w:jc w:val="left"/>
      </w:pPr>
      <w:rPr>
        <w:rFonts w:hint="default" w:ascii="Times New Roman" w:hAnsi="Times New Roman" w:eastAsia="Times New Roman" w:cs="Times New Roman"/>
        <w:w w:val="100"/>
        <w:sz w:val="24"/>
        <w:szCs w:val="24"/>
      </w:rPr>
    </w:lvl>
    <w:lvl w:ilvl="1">
      <w:start w:val="0"/>
      <w:numFmt w:val="bullet"/>
      <w:lvlText w:val="•"/>
      <w:lvlJc w:val="left"/>
      <w:pPr>
        <w:ind w:left="2934" w:hanging="360"/>
      </w:pPr>
      <w:rPr>
        <w:rFonts w:hint="default"/>
      </w:rPr>
    </w:lvl>
    <w:lvl w:ilvl="2">
      <w:start w:val="0"/>
      <w:numFmt w:val="bullet"/>
      <w:lvlText w:val="•"/>
      <w:lvlJc w:val="left"/>
      <w:pPr>
        <w:ind w:left="3848" w:hanging="360"/>
      </w:pPr>
      <w:rPr>
        <w:rFonts w:hint="default"/>
      </w:rPr>
    </w:lvl>
    <w:lvl w:ilvl="3">
      <w:start w:val="0"/>
      <w:numFmt w:val="bullet"/>
      <w:lvlText w:val="•"/>
      <w:lvlJc w:val="left"/>
      <w:pPr>
        <w:ind w:left="4762" w:hanging="360"/>
      </w:pPr>
      <w:rPr>
        <w:rFonts w:hint="default"/>
      </w:rPr>
    </w:lvl>
    <w:lvl w:ilvl="4">
      <w:start w:val="0"/>
      <w:numFmt w:val="bullet"/>
      <w:lvlText w:val="•"/>
      <w:lvlJc w:val="left"/>
      <w:pPr>
        <w:ind w:left="5676" w:hanging="360"/>
      </w:pPr>
      <w:rPr>
        <w:rFonts w:hint="default"/>
      </w:rPr>
    </w:lvl>
    <w:lvl w:ilvl="5">
      <w:start w:val="0"/>
      <w:numFmt w:val="bullet"/>
      <w:lvlText w:val="•"/>
      <w:lvlJc w:val="left"/>
      <w:pPr>
        <w:ind w:left="6590" w:hanging="360"/>
      </w:pPr>
      <w:rPr>
        <w:rFonts w:hint="default"/>
      </w:rPr>
    </w:lvl>
    <w:lvl w:ilvl="6">
      <w:start w:val="0"/>
      <w:numFmt w:val="bullet"/>
      <w:lvlText w:val="•"/>
      <w:lvlJc w:val="left"/>
      <w:pPr>
        <w:ind w:left="7504" w:hanging="360"/>
      </w:pPr>
      <w:rPr>
        <w:rFonts w:hint="default"/>
      </w:rPr>
    </w:lvl>
    <w:lvl w:ilvl="7">
      <w:start w:val="0"/>
      <w:numFmt w:val="bullet"/>
      <w:lvlText w:val="•"/>
      <w:lvlJc w:val="left"/>
      <w:pPr>
        <w:ind w:left="8418" w:hanging="360"/>
      </w:pPr>
      <w:rPr>
        <w:rFonts w:hint="default"/>
      </w:rPr>
    </w:lvl>
    <w:lvl w:ilvl="8">
      <w:start w:val="0"/>
      <w:numFmt w:val="bullet"/>
      <w:lvlText w:val="•"/>
      <w:lvlJc w:val="left"/>
      <w:pPr>
        <w:ind w:left="9332" w:hanging="360"/>
      </w:pPr>
      <w:rPr>
        <w:rFonts w:hint="default"/>
      </w:rPr>
    </w:lvl>
  </w:abstractNum>
  <w:abstractNum w:abstractNumId="9">
    <w:multiLevelType w:val="hybridMultilevel"/>
    <w:lvl w:ilvl="0">
      <w:start w:val="1"/>
      <w:numFmt w:val="lowerRoman"/>
      <w:lvlText w:val="%1."/>
      <w:lvlJc w:val="left"/>
      <w:pPr>
        <w:ind w:left="2020" w:hanging="360"/>
        <w:jc w:val="left"/>
      </w:pPr>
      <w:rPr>
        <w:rFonts w:hint="default" w:ascii="Times New Roman" w:hAnsi="Times New Roman" w:eastAsia="Times New Roman" w:cs="Times New Roman"/>
        <w:w w:val="100"/>
        <w:sz w:val="24"/>
        <w:szCs w:val="24"/>
      </w:rPr>
    </w:lvl>
    <w:lvl w:ilvl="1">
      <w:start w:val="0"/>
      <w:numFmt w:val="bullet"/>
      <w:lvlText w:val="•"/>
      <w:lvlJc w:val="left"/>
      <w:pPr>
        <w:ind w:left="2934" w:hanging="360"/>
      </w:pPr>
      <w:rPr>
        <w:rFonts w:hint="default"/>
      </w:rPr>
    </w:lvl>
    <w:lvl w:ilvl="2">
      <w:start w:val="0"/>
      <w:numFmt w:val="bullet"/>
      <w:lvlText w:val="•"/>
      <w:lvlJc w:val="left"/>
      <w:pPr>
        <w:ind w:left="3848" w:hanging="360"/>
      </w:pPr>
      <w:rPr>
        <w:rFonts w:hint="default"/>
      </w:rPr>
    </w:lvl>
    <w:lvl w:ilvl="3">
      <w:start w:val="0"/>
      <w:numFmt w:val="bullet"/>
      <w:lvlText w:val="•"/>
      <w:lvlJc w:val="left"/>
      <w:pPr>
        <w:ind w:left="4762" w:hanging="360"/>
      </w:pPr>
      <w:rPr>
        <w:rFonts w:hint="default"/>
      </w:rPr>
    </w:lvl>
    <w:lvl w:ilvl="4">
      <w:start w:val="0"/>
      <w:numFmt w:val="bullet"/>
      <w:lvlText w:val="•"/>
      <w:lvlJc w:val="left"/>
      <w:pPr>
        <w:ind w:left="5676" w:hanging="360"/>
      </w:pPr>
      <w:rPr>
        <w:rFonts w:hint="default"/>
      </w:rPr>
    </w:lvl>
    <w:lvl w:ilvl="5">
      <w:start w:val="0"/>
      <w:numFmt w:val="bullet"/>
      <w:lvlText w:val="•"/>
      <w:lvlJc w:val="left"/>
      <w:pPr>
        <w:ind w:left="6590" w:hanging="360"/>
      </w:pPr>
      <w:rPr>
        <w:rFonts w:hint="default"/>
      </w:rPr>
    </w:lvl>
    <w:lvl w:ilvl="6">
      <w:start w:val="0"/>
      <w:numFmt w:val="bullet"/>
      <w:lvlText w:val="•"/>
      <w:lvlJc w:val="left"/>
      <w:pPr>
        <w:ind w:left="7504" w:hanging="360"/>
      </w:pPr>
      <w:rPr>
        <w:rFonts w:hint="default"/>
      </w:rPr>
    </w:lvl>
    <w:lvl w:ilvl="7">
      <w:start w:val="0"/>
      <w:numFmt w:val="bullet"/>
      <w:lvlText w:val="•"/>
      <w:lvlJc w:val="left"/>
      <w:pPr>
        <w:ind w:left="8418" w:hanging="360"/>
      </w:pPr>
      <w:rPr>
        <w:rFonts w:hint="default"/>
      </w:rPr>
    </w:lvl>
    <w:lvl w:ilvl="8">
      <w:start w:val="0"/>
      <w:numFmt w:val="bullet"/>
      <w:lvlText w:val="•"/>
      <w:lvlJc w:val="left"/>
      <w:pPr>
        <w:ind w:left="9332" w:hanging="360"/>
      </w:pPr>
      <w:rPr>
        <w:rFonts w:hint="default"/>
      </w:rPr>
    </w:lvl>
  </w:abstractNum>
  <w:abstractNum w:abstractNumId="8">
    <w:multiLevelType w:val="hybridMultilevel"/>
    <w:lvl w:ilvl="0">
      <w:start w:val="1"/>
      <w:numFmt w:val="lowerRoman"/>
      <w:lvlText w:val="%1."/>
      <w:lvlJc w:val="left"/>
      <w:pPr>
        <w:ind w:left="2020" w:hanging="360"/>
        <w:jc w:val="left"/>
      </w:pPr>
      <w:rPr>
        <w:rFonts w:hint="default" w:ascii="Times New Roman" w:hAnsi="Times New Roman" w:eastAsia="Times New Roman" w:cs="Times New Roman"/>
        <w:w w:val="100"/>
        <w:sz w:val="24"/>
        <w:szCs w:val="24"/>
      </w:rPr>
    </w:lvl>
    <w:lvl w:ilvl="1">
      <w:start w:val="0"/>
      <w:numFmt w:val="bullet"/>
      <w:lvlText w:val="•"/>
      <w:lvlJc w:val="left"/>
      <w:pPr>
        <w:ind w:left="2934" w:hanging="360"/>
      </w:pPr>
      <w:rPr>
        <w:rFonts w:hint="default"/>
      </w:rPr>
    </w:lvl>
    <w:lvl w:ilvl="2">
      <w:start w:val="0"/>
      <w:numFmt w:val="bullet"/>
      <w:lvlText w:val="•"/>
      <w:lvlJc w:val="left"/>
      <w:pPr>
        <w:ind w:left="3848" w:hanging="360"/>
      </w:pPr>
      <w:rPr>
        <w:rFonts w:hint="default"/>
      </w:rPr>
    </w:lvl>
    <w:lvl w:ilvl="3">
      <w:start w:val="0"/>
      <w:numFmt w:val="bullet"/>
      <w:lvlText w:val="•"/>
      <w:lvlJc w:val="left"/>
      <w:pPr>
        <w:ind w:left="4762" w:hanging="360"/>
      </w:pPr>
      <w:rPr>
        <w:rFonts w:hint="default"/>
      </w:rPr>
    </w:lvl>
    <w:lvl w:ilvl="4">
      <w:start w:val="0"/>
      <w:numFmt w:val="bullet"/>
      <w:lvlText w:val="•"/>
      <w:lvlJc w:val="left"/>
      <w:pPr>
        <w:ind w:left="5676" w:hanging="360"/>
      </w:pPr>
      <w:rPr>
        <w:rFonts w:hint="default"/>
      </w:rPr>
    </w:lvl>
    <w:lvl w:ilvl="5">
      <w:start w:val="0"/>
      <w:numFmt w:val="bullet"/>
      <w:lvlText w:val="•"/>
      <w:lvlJc w:val="left"/>
      <w:pPr>
        <w:ind w:left="6590" w:hanging="360"/>
      </w:pPr>
      <w:rPr>
        <w:rFonts w:hint="default"/>
      </w:rPr>
    </w:lvl>
    <w:lvl w:ilvl="6">
      <w:start w:val="0"/>
      <w:numFmt w:val="bullet"/>
      <w:lvlText w:val="•"/>
      <w:lvlJc w:val="left"/>
      <w:pPr>
        <w:ind w:left="7504" w:hanging="360"/>
      </w:pPr>
      <w:rPr>
        <w:rFonts w:hint="default"/>
      </w:rPr>
    </w:lvl>
    <w:lvl w:ilvl="7">
      <w:start w:val="0"/>
      <w:numFmt w:val="bullet"/>
      <w:lvlText w:val="•"/>
      <w:lvlJc w:val="left"/>
      <w:pPr>
        <w:ind w:left="8418" w:hanging="360"/>
      </w:pPr>
      <w:rPr>
        <w:rFonts w:hint="default"/>
      </w:rPr>
    </w:lvl>
    <w:lvl w:ilvl="8">
      <w:start w:val="0"/>
      <w:numFmt w:val="bullet"/>
      <w:lvlText w:val="•"/>
      <w:lvlJc w:val="left"/>
      <w:pPr>
        <w:ind w:left="9332" w:hanging="360"/>
      </w:pPr>
      <w:rPr>
        <w:rFonts w:hint="default"/>
      </w:rPr>
    </w:lvl>
  </w:abstractNum>
  <w:abstractNum w:abstractNumId="7">
    <w:multiLevelType w:val="hybridMultilevel"/>
    <w:lvl w:ilvl="0">
      <w:start w:val="1"/>
      <w:numFmt w:val="lowerRoman"/>
      <w:lvlText w:val="%1."/>
      <w:lvlJc w:val="left"/>
      <w:pPr>
        <w:ind w:left="2020" w:hanging="488"/>
        <w:jc w:val="right"/>
      </w:pPr>
      <w:rPr>
        <w:rFonts w:hint="default" w:ascii="Times New Roman" w:hAnsi="Times New Roman" w:eastAsia="Times New Roman" w:cs="Times New Roman"/>
        <w:w w:val="100"/>
        <w:sz w:val="24"/>
        <w:szCs w:val="24"/>
      </w:rPr>
    </w:lvl>
    <w:lvl w:ilvl="1">
      <w:start w:val="0"/>
      <w:numFmt w:val="bullet"/>
      <w:lvlText w:val="•"/>
      <w:lvlJc w:val="left"/>
      <w:pPr>
        <w:ind w:left="2934" w:hanging="488"/>
      </w:pPr>
      <w:rPr>
        <w:rFonts w:hint="default"/>
      </w:rPr>
    </w:lvl>
    <w:lvl w:ilvl="2">
      <w:start w:val="0"/>
      <w:numFmt w:val="bullet"/>
      <w:lvlText w:val="•"/>
      <w:lvlJc w:val="left"/>
      <w:pPr>
        <w:ind w:left="3848" w:hanging="488"/>
      </w:pPr>
      <w:rPr>
        <w:rFonts w:hint="default"/>
      </w:rPr>
    </w:lvl>
    <w:lvl w:ilvl="3">
      <w:start w:val="0"/>
      <w:numFmt w:val="bullet"/>
      <w:lvlText w:val="•"/>
      <w:lvlJc w:val="left"/>
      <w:pPr>
        <w:ind w:left="4762" w:hanging="488"/>
      </w:pPr>
      <w:rPr>
        <w:rFonts w:hint="default"/>
      </w:rPr>
    </w:lvl>
    <w:lvl w:ilvl="4">
      <w:start w:val="0"/>
      <w:numFmt w:val="bullet"/>
      <w:lvlText w:val="•"/>
      <w:lvlJc w:val="left"/>
      <w:pPr>
        <w:ind w:left="5676" w:hanging="488"/>
      </w:pPr>
      <w:rPr>
        <w:rFonts w:hint="default"/>
      </w:rPr>
    </w:lvl>
    <w:lvl w:ilvl="5">
      <w:start w:val="0"/>
      <w:numFmt w:val="bullet"/>
      <w:lvlText w:val="•"/>
      <w:lvlJc w:val="left"/>
      <w:pPr>
        <w:ind w:left="6590" w:hanging="488"/>
      </w:pPr>
      <w:rPr>
        <w:rFonts w:hint="default"/>
      </w:rPr>
    </w:lvl>
    <w:lvl w:ilvl="6">
      <w:start w:val="0"/>
      <w:numFmt w:val="bullet"/>
      <w:lvlText w:val="•"/>
      <w:lvlJc w:val="left"/>
      <w:pPr>
        <w:ind w:left="7504" w:hanging="488"/>
      </w:pPr>
      <w:rPr>
        <w:rFonts w:hint="default"/>
      </w:rPr>
    </w:lvl>
    <w:lvl w:ilvl="7">
      <w:start w:val="0"/>
      <w:numFmt w:val="bullet"/>
      <w:lvlText w:val="•"/>
      <w:lvlJc w:val="left"/>
      <w:pPr>
        <w:ind w:left="8418" w:hanging="488"/>
      </w:pPr>
      <w:rPr>
        <w:rFonts w:hint="default"/>
      </w:rPr>
    </w:lvl>
    <w:lvl w:ilvl="8">
      <w:start w:val="0"/>
      <w:numFmt w:val="bullet"/>
      <w:lvlText w:val="•"/>
      <w:lvlJc w:val="left"/>
      <w:pPr>
        <w:ind w:left="9332" w:hanging="488"/>
      </w:pPr>
      <w:rPr>
        <w:rFonts w:hint="default"/>
      </w:rPr>
    </w:lvl>
  </w:abstractNum>
  <w:abstractNum w:abstractNumId="6">
    <w:multiLevelType w:val="hybridMultilevel"/>
    <w:lvl w:ilvl="0">
      <w:start w:val="1"/>
      <w:numFmt w:val="decimal"/>
      <w:lvlText w:val="%1."/>
      <w:lvlJc w:val="left"/>
      <w:pPr>
        <w:ind w:left="580" w:hanging="360"/>
        <w:jc w:val="left"/>
      </w:pPr>
      <w:rPr>
        <w:rFonts w:hint="default" w:ascii="Century Gothic" w:hAnsi="Century Gothic" w:eastAsia="Century Gothic" w:cs="Century Gothic"/>
        <w:color w:val="1F487C"/>
        <w:spacing w:val="-1"/>
        <w:w w:val="100"/>
        <w:sz w:val="24"/>
        <w:szCs w:val="24"/>
      </w:rPr>
    </w:lvl>
    <w:lvl w:ilvl="1">
      <w:start w:val="1"/>
      <w:numFmt w:val="lowerLetter"/>
      <w:lvlText w:val="%2."/>
      <w:lvlJc w:val="left"/>
      <w:pPr>
        <w:ind w:left="1300" w:hanging="360"/>
        <w:jc w:val="left"/>
      </w:pPr>
      <w:rPr>
        <w:rFonts w:hint="default"/>
        <w:spacing w:val="-1"/>
        <w:w w:val="100"/>
      </w:rPr>
    </w:lvl>
    <w:lvl w:ilvl="2">
      <w:start w:val="0"/>
      <w:numFmt w:val="bullet"/>
      <w:lvlText w:val="*"/>
      <w:lvlJc w:val="left"/>
      <w:pPr>
        <w:ind w:left="1480" w:hanging="360"/>
      </w:pPr>
      <w:rPr>
        <w:rFonts w:hint="default" w:ascii="Times New Roman" w:hAnsi="Times New Roman" w:eastAsia="Times New Roman" w:cs="Times New Roman"/>
        <w:w w:val="100"/>
        <w:sz w:val="24"/>
        <w:szCs w:val="24"/>
      </w:rPr>
    </w:lvl>
    <w:lvl w:ilvl="3">
      <w:start w:val="0"/>
      <w:numFmt w:val="bullet"/>
      <w:lvlText w:val="•"/>
      <w:lvlJc w:val="left"/>
      <w:pPr>
        <w:ind w:left="1480" w:hanging="360"/>
      </w:pPr>
      <w:rPr>
        <w:rFonts w:hint="default"/>
      </w:rPr>
    </w:lvl>
    <w:lvl w:ilvl="4">
      <w:start w:val="0"/>
      <w:numFmt w:val="bullet"/>
      <w:lvlText w:val="•"/>
      <w:lvlJc w:val="left"/>
      <w:pPr>
        <w:ind w:left="2862" w:hanging="360"/>
      </w:pPr>
      <w:rPr>
        <w:rFonts w:hint="default"/>
      </w:rPr>
    </w:lvl>
    <w:lvl w:ilvl="5">
      <w:start w:val="0"/>
      <w:numFmt w:val="bullet"/>
      <w:lvlText w:val="•"/>
      <w:lvlJc w:val="left"/>
      <w:pPr>
        <w:ind w:left="4245" w:hanging="360"/>
      </w:pPr>
      <w:rPr>
        <w:rFonts w:hint="default"/>
      </w:rPr>
    </w:lvl>
    <w:lvl w:ilvl="6">
      <w:start w:val="0"/>
      <w:numFmt w:val="bullet"/>
      <w:lvlText w:val="•"/>
      <w:lvlJc w:val="left"/>
      <w:pPr>
        <w:ind w:left="5628" w:hanging="360"/>
      </w:pPr>
      <w:rPr>
        <w:rFonts w:hint="default"/>
      </w:rPr>
    </w:lvl>
    <w:lvl w:ilvl="7">
      <w:start w:val="0"/>
      <w:numFmt w:val="bullet"/>
      <w:lvlText w:val="•"/>
      <w:lvlJc w:val="left"/>
      <w:pPr>
        <w:ind w:left="7011" w:hanging="360"/>
      </w:pPr>
      <w:rPr>
        <w:rFonts w:hint="default"/>
      </w:rPr>
    </w:lvl>
    <w:lvl w:ilvl="8">
      <w:start w:val="0"/>
      <w:numFmt w:val="bullet"/>
      <w:lvlText w:val="•"/>
      <w:lvlJc w:val="left"/>
      <w:pPr>
        <w:ind w:left="8394" w:hanging="360"/>
      </w:pPr>
      <w:rPr>
        <w:rFonts w:hint="default"/>
      </w:rPr>
    </w:lvl>
  </w:abstractNum>
  <w:abstractNum w:abstractNumId="5">
    <w:multiLevelType w:val="hybridMultilevel"/>
    <w:lvl w:ilvl="0">
      <w:start w:val="1"/>
      <w:numFmt w:val="decimal"/>
      <w:lvlText w:val="%1."/>
      <w:lvlJc w:val="left"/>
      <w:pPr>
        <w:ind w:left="940" w:hanging="360"/>
        <w:jc w:val="left"/>
      </w:pPr>
      <w:rPr>
        <w:rFonts w:hint="default" w:ascii="Garamond" w:hAnsi="Garamond" w:eastAsia="Garamond" w:cs="Garamond"/>
        <w:w w:val="100"/>
        <w:sz w:val="24"/>
        <w:szCs w:val="24"/>
      </w:rPr>
    </w:lvl>
    <w:lvl w:ilvl="1">
      <w:start w:val="1"/>
      <w:numFmt w:val="lowerLetter"/>
      <w:lvlText w:val="%2."/>
      <w:lvlJc w:val="left"/>
      <w:pPr>
        <w:ind w:left="1660" w:hanging="360"/>
        <w:jc w:val="left"/>
      </w:pPr>
      <w:rPr>
        <w:rFonts w:hint="default" w:ascii="Garamond" w:hAnsi="Garamond" w:eastAsia="Garamond" w:cs="Garamond"/>
        <w:w w:val="100"/>
        <w:sz w:val="24"/>
        <w:szCs w:val="24"/>
      </w:rPr>
    </w:lvl>
    <w:lvl w:ilvl="2">
      <w:start w:val="0"/>
      <w:numFmt w:val="bullet"/>
      <w:lvlText w:val="•"/>
      <w:lvlJc w:val="left"/>
      <w:pPr>
        <w:ind w:left="2715" w:hanging="360"/>
      </w:pPr>
      <w:rPr>
        <w:rFonts w:hint="default"/>
      </w:rPr>
    </w:lvl>
    <w:lvl w:ilvl="3">
      <w:start w:val="0"/>
      <w:numFmt w:val="bullet"/>
      <w:lvlText w:val="•"/>
      <w:lvlJc w:val="left"/>
      <w:pPr>
        <w:ind w:left="3771" w:hanging="360"/>
      </w:pPr>
      <w:rPr>
        <w:rFonts w:hint="default"/>
      </w:rPr>
    </w:lvl>
    <w:lvl w:ilvl="4">
      <w:start w:val="0"/>
      <w:numFmt w:val="bullet"/>
      <w:lvlText w:val="•"/>
      <w:lvlJc w:val="left"/>
      <w:pPr>
        <w:ind w:left="4826" w:hanging="360"/>
      </w:pPr>
      <w:rPr>
        <w:rFonts w:hint="default"/>
      </w:rPr>
    </w:lvl>
    <w:lvl w:ilvl="5">
      <w:start w:val="0"/>
      <w:numFmt w:val="bullet"/>
      <w:lvlText w:val="•"/>
      <w:lvlJc w:val="left"/>
      <w:pPr>
        <w:ind w:left="5882" w:hanging="360"/>
      </w:pPr>
      <w:rPr>
        <w:rFonts w:hint="default"/>
      </w:rPr>
    </w:lvl>
    <w:lvl w:ilvl="6">
      <w:start w:val="0"/>
      <w:numFmt w:val="bullet"/>
      <w:lvlText w:val="•"/>
      <w:lvlJc w:val="left"/>
      <w:pPr>
        <w:ind w:left="6937" w:hanging="360"/>
      </w:pPr>
      <w:rPr>
        <w:rFonts w:hint="default"/>
      </w:rPr>
    </w:lvl>
    <w:lvl w:ilvl="7">
      <w:start w:val="0"/>
      <w:numFmt w:val="bullet"/>
      <w:lvlText w:val="•"/>
      <w:lvlJc w:val="left"/>
      <w:pPr>
        <w:ind w:left="7993" w:hanging="360"/>
      </w:pPr>
      <w:rPr>
        <w:rFonts w:hint="default"/>
      </w:rPr>
    </w:lvl>
    <w:lvl w:ilvl="8">
      <w:start w:val="0"/>
      <w:numFmt w:val="bullet"/>
      <w:lvlText w:val="•"/>
      <w:lvlJc w:val="left"/>
      <w:pPr>
        <w:ind w:left="9048" w:hanging="360"/>
      </w:pPr>
      <w:rPr>
        <w:rFonts w:hint="default"/>
      </w:rPr>
    </w:lvl>
  </w:abstractNum>
  <w:abstractNum w:abstractNumId="4">
    <w:multiLevelType w:val="hybridMultilevel"/>
    <w:lvl w:ilvl="0">
      <w:start w:val="0"/>
      <w:numFmt w:val="bullet"/>
      <w:lvlText w:val=""/>
      <w:lvlJc w:val="left"/>
      <w:pPr>
        <w:ind w:left="823" w:hanging="361"/>
      </w:pPr>
      <w:rPr>
        <w:rFonts w:hint="default" w:ascii="Symbol" w:hAnsi="Symbol" w:eastAsia="Symbol" w:cs="Symbol"/>
        <w:w w:val="100"/>
        <w:sz w:val="22"/>
        <w:szCs w:val="22"/>
      </w:rPr>
    </w:lvl>
    <w:lvl w:ilvl="1">
      <w:start w:val="0"/>
      <w:numFmt w:val="bullet"/>
      <w:lvlText w:val="•"/>
      <w:lvlJc w:val="left"/>
      <w:pPr>
        <w:ind w:left="1694" w:hanging="361"/>
      </w:pPr>
      <w:rPr>
        <w:rFonts w:hint="default"/>
      </w:rPr>
    </w:lvl>
    <w:lvl w:ilvl="2">
      <w:start w:val="0"/>
      <w:numFmt w:val="bullet"/>
      <w:lvlText w:val="•"/>
      <w:lvlJc w:val="left"/>
      <w:pPr>
        <w:ind w:left="2569" w:hanging="361"/>
      </w:pPr>
      <w:rPr>
        <w:rFonts w:hint="default"/>
      </w:rPr>
    </w:lvl>
    <w:lvl w:ilvl="3">
      <w:start w:val="0"/>
      <w:numFmt w:val="bullet"/>
      <w:lvlText w:val="•"/>
      <w:lvlJc w:val="left"/>
      <w:pPr>
        <w:ind w:left="3443" w:hanging="361"/>
      </w:pPr>
      <w:rPr>
        <w:rFonts w:hint="default"/>
      </w:rPr>
    </w:lvl>
    <w:lvl w:ilvl="4">
      <w:start w:val="0"/>
      <w:numFmt w:val="bullet"/>
      <w:lvlText w:val="•"/>
      <w:lvlJc w:val="left"/>
      <w:pPr>
        <w:ind w:left="4318" w:hanging="361"/>
      </w:pPr>
      <w:rPr>
        <w:rFonts w:hint="default"/>
      </w:rPr>
    </w:lvl>
    <w:lvl w:ilvl="5">
      <w:start w:val="0"/>
      <w:numFmt w:val="bullet"/>
      <w:lvlText w:val="•"/>
      <w:lvlJc w:val="left"/>
      <w:pPr>
        <w:ind w:left="5193" w:hanging="361"/>
      </w:pPr>
      <w:rPr>
        <w:rFonts w:hint="default"/>
      </w:rPr>
    </w:lvl>
    <w:lvl w:ilvl="6">
      <w:start w:val="0"/>
      <w:numFmt w:val="bullet"/>
      <w:lvlText w:val="•"/>
      <w:lvlJc w:val="left"/>
      <w:pPr>
        <w:ind w:left="6067" w:hanging="361"/>
      </w:pPr>
      <w:rPr>
        <w:rFonts w:hint="default"/>
      </w:rPr>
    </w:lvl>
    <w:lvl w:ilvl="7">
      <w:start w:val="0"/>
      <w:numFmt w:val="bullet"/>
      <w:lvlText w:val="•"/>
      <w:lvlJc w:val="left"/>
      <w:pPr>
        <w:ind w:left="6942" w:hanging="361"/>
      </w:pPr>
      <w:rPr>
        <w:rFonts w:hint="default"/>
      </w:rPr>
    </w:lvl>
    <w:lvl w:ilvl="8">
      <w:start w:val="0"/>
      <w:numFmt w:val="bullet"/>
      <w:lvlText w:val="•"/>
      <w:lvlJc w:val="left"/>
      <w:pPr>
        <w:ind w:left="7817" w:hanging="361"/>
      </w:pPr>
      <w:rPr>
        <w:rFonts w:hint="default"/>
      </w:rPr>
    </w:lvl>
  </w:abstractNum>
  <w:abstractNum w:abstractNumId="3">
    <w:multiLevelType w:val="hybridMultilevel"/>
    <w:lvl w:ilvl="0">
      <w:start w:val="23"/>
      <w:numFmt w:val="decimal"/>
      <w:lvlText w:val="%1"/>
      <w:lvlJc w:val="left"/>
      <w:pPr>
        <w:ind w:left="1300" w:hanging="361"/>
        <w:jc w:val="left"/>
      </w:pPr>
      <w:rPr>
        <w:rFonts w:hint="default" w:ascii="Times New Roman" w:hAnsi="Times New Roman" w:eastAsia="Times New Roman" w:cs="Times New Roman"/>
        <w:w w:val="100"/>
        <w:sz w:val="10"/>
        <w:szCs w:val="10"/>
      </w:rPr>
    </w:lvl>
    <w:lvl w:ilvl="1">
      <w:start w:val="1"/>
      <w:numFmt w:val="decimal"/>
      <w:lvlText w:val="%2."/>
      <w:lvlJc w:val="left"/>
      <w:pPr>
        <w:ind w:left="1660" w:hanging="360"/>
        <w:jc w:val="left"/>
      </w:pPr>
      <w:rPr>
        <w:rFonts w:hint="default"/>
        <w:w w:val="100"/>
      </w:rPr>
    </w:lvl>
    <w:lvl w:ilvl="2">
      <w:start w:val="1"/>
      <w:numFmt w:val="lowerLetter"/>
      <w:lvlText w:val="%3."/>
      <w:lvlJc w:val="left"/>
      <w:pPr>
        <w:ind w:left="2380" w:hanging="360"/>
        <w:jc w:val="left"/>
      </w:pPr>
      <w:rPr>
        <w:rFonts w:hint="default"/>
        <w:spacing w:val="-1"/>
        <w:w w:val="99"/>
      </w:rPr>
    </w:lvl>
    <w:lvl w:ilvl="3">
      <w:start w:val="0"/>
      <w:numFmt w:val="bullet"/>
      <w:lvlText w:val="•"/>
      <w:lvlJc w:val="left"/>
      <w:pPr>
        <w:ind w:left="3477" w:hanging="360"/>
      </w:pPr>
      <w:rPr>
        <w:rFonts w:hint="default"/>
      </w:rPr>
    </w:lvl>
    <w:lvl w:ilvl="4">
      <w:start w:val="0"/>
      <w:numFmt w:val="bullet"/>
      <w:lvlText w:val="•"/>
      <w:lvlJc w:val="left"/>
      <w:pPr>
        <w:ind w:left="4575" w:hanging="360"/>
      </w:pPr>
      <w:rPr>
        <w:rFonts w:hint="default"/>
      </w:rPr>
    </w:lvl>
    <w:lvl w:ilvl="5">
      <w:start w:val="0"/>
      <w:numFmt w:val="bullet"/>
      <w:lvlText w:val="•"/>
      <w:lvlJc w:val="left"/>
      <w:pPr>
        <w:ind w:left="5672" w:hanging="360"/>
      </w:pPr>
      <w:rPr>
        <w:rFonts w:hint="default"/>
      </w:rPr>
    </w:lvl>
    <w:lvl w:ilvl="6">
      <w:start w:val="0"/>
      <w:numFmt w:val="bullet"/>
      <w:lvlText w:val="•"/>
      <w:lvlJc w:val="left"/>
      <w:pPr>
        <w:ind w:left="6770" w:hanging="360"/>
      </w:pPr>
      <w:rPr>
        <w:rFonts w:hint="default"/>
      </w:rPr>
    </w:lvl>
    <w:lvl w:ilvl="7">
      <w:start w:val="0"/>
      <w:numFmt w:val="bullet"/>
      <w:lvlText w:val="•"/>
      <w:lvlJc w:val="left"/>
      <w:pPr>
        <w:ind w:left="7867" w:hanging="360"/>
      </w:pPr>
      <w:rPr>
        <w:rFonts w:hint="default"/>
      </w:rPr>
    </w:lvl>
    <w:lvl w:ilvl="8">
      <w:start w:val="0"/>
      <w:numFmt w:val="bullet"/>
      <w:lvlText w:val="•"/>
      <w:lvlJc w:val="left"/>
      <w:pPr>
        <w:ind w:left="8965" w:hanging="360"/>
      </w:pPr>
      <w:rPr>
        <w:rFonts w:hint="default"/>
      </w:rPr>
    </w:lvl>
  </w:abstractNum>
  <w:abstractNum w:abstractNumId="2">
    <w:multiLevelType w:val="hybridMultilevel"/>
    <w:lvl w:ilvl="0">
      <w:start w:val="20"/>
      <w:numFmt w:val="decimal"/>
      <w:lvlText w:val="%1"/>
      <w:lvlJc w:val="left"/>
      <w:pPr>
        <w:ind w:left="1300" w:hanging="361"/>
        <w:jc w:val="left"/>
      </w:pPr>
      <w:rPr>
        <w:rFonts w:hint="default" w:ascii="Times New Roman" w:hAnsi="Times New Roman" w:eastAsia="Times New Roman" w:cs="Times New Roman"/>
        <w:w w:val="100"/>
        <w:sz w:val="10"/>
        <w:szCs w:val="10"/>
      </w:rPr>
    </w:lvl>
    <w:lvl w:ilvl="1">
      <w:start w:val="0"/>
      <w:numFmt w:val="bullet"/>
      <w:lvlText w:val="•"/>
      <w:lvlJc w:val="left"/>
      <w:pPr>
        <w:ind w:left="2286" w:hanging="361"/>
      </w:pPr>
      <w:rPr>
        <w:rFonts w:hint="default"/>
      </w:rPr>
    </w:lvl>
    <w:lvl w:ilvl="2">
      <w:start w:val="0"/>
      <w:numFmt w:val="bullet"/>
      <w:lvlText w:val="•"/>
      <w:lvlJc w:val="left"/>
      <w:pPr>
        <w:ind w:left="3272" w:hanging="361"/>
      </w:pPr>
      <w:rPr>
        <w:rFonts w:hint="default"/>
      </w:rPr>
    </w:lvl>
    <w:lvl w:ilvl="3">
      <w:start w:val="0"/>
      <w:numFmt w:val="bullet"/>
      <w:lvlText w:val="•"/>
      <w:lvlJc w:val="left"/>
      <w:pPr>
        <w:ind w:left="4258" w:hanging="361"/>
      </w:pPr>
      <w:rPr>
        <w:rFonts w:hint="default"/>
      </w:rPr>
    </w:lvl>
    <w:lvl w:ilvl="4">
      <w:start w:val="0"/>
      <w:numFmt w:val="bullet"/>
      <w:lvlText w:val="•"/>
      <w:lvlJc w:val="left"/>
      <w:pPr>
        <w:ind w:left="5244" w:hanging="361"/>
      </w:pPr>
      <w:rPr>
        <w:rFonts w:hint="default"/>
      </w:rPr>
    </w:lvl>
    <w:lvl w:ilvl="5">
      <w:start w:val="0"/>
      <w:numFmt w:val="bullet"/>
      <w:lvlText w:val="•"/>
      <w:lvlJc w:val="left"/>
      <w:pPr>
        <w:ind w:left="6230" w:hanging="361"/>
      </w:pPr>
      <w:rPr>
        <w:rFonts w:hint="default"/>
      </w:rPr>
    </w:lvl>
    <w:lvl w:ilvl="6">
      <w:start w:val="0"/>
      <w:numFmt w:val="bullet"/>
      <w:lvlText w:val="•"/>
      <w:lvlJc w:val="left"/>
      <w:pPr>
        <w:ind w:left="7216" w:hanging="361"/>
      </w:pPr>
      <w:rPr>
        <w:rFonts w:hint="default"/>
      </w:rPr>
    </w:lvl>
    <w:lvl w:ilvl="7">
      <w:start w:val="0"/>
      <w:numFmt w:val="bullet"/>
      <w:lvlText w:val="•"/>
      <w:lvlJc w:val="left"/>
      <w:pPr>
        <w:ind w:left="8202" w:hanging="361"/>
      </w:pPr>
      <w:rPr>
        <w:rFonts w:hint="default"/>
      </w:rPr>
    </w:lvl>
    <w:lvl w:ilvl="8">
      <w:start w:val="0"/>
      <w:numFmt w:val="bullet"/>
      <w:lvlText w:val="•"/>
      <w:lvlJc w:val="left"/>
      <w:pPr>
        <w:ind w:left="9188" w:hanging="361"/>
      </w:pPr>
      <w:rPr>
        <w:rFonts w:hint="default"/>
      </w:rPr>
    </w:lvl>
  </w:abstractNum>
  <w:abstractNum w:abstractNumId="1">
    <w:multiLevelType w:val="hybridMultilevel"/>
    <w:lvl w:ilvl="0">
      <w:start w:val="4"/>
      <w:numFmt w:val="decimal"/>
      <w:lvlText w:val="%1"/>
      <w:lvlJc w:val="left"/>
      <w:pPr>
        <w:ind w:left="1060" w:hanging="120"/>
        <w:jc w:val="left"/>
      </w:pPr>
      <w:rPr>
        <w:rFonts w:hint="default"/>
        <w:w w:val="99"/>
        <w:position w:val="10"/>
      </w:rPr>
    </w:lvl>
    <w:lvl w:ilvl="1">
      <w:start w:val="0"/>
      <w:numFmt w:val="bullet"/>
      <w:lvlText w:val="*"/>
      <w:lvlJc w:val="left"/>
      <w:pPr>
        <w:ind w:left="2020" w:hanging="161"/>
      </w:pPr>
      <w:rPr>
        <w:rFonts w:hint="default" w:ascii="Calibri" w:hAnsi="Calibri" w:eastAsia="Calibri" w:cs="Calibri"/>
        <w:w w:val="100"/>
        <w:sz w:val="22"/>
        <w:szCs w:val="22"/>
      </w:rPr>
    </w:lvl>
    <w:lvl w:ilvl="2">
      <w:start w:val="0"/>
      <w:numFmt w:val="bullet"/>
      <w:lvlText w:val="•"/>
      <w:lvlJc w:val="left"/>
      <w:pPr>
        <w:ind w:left="3035" w:hanging="161"/>
      </w:pPr>
      <w:rPr>
        <w:rFonts w:hint="default"/>
      </w:rPr>
    </w:lvl>
    <w:lvl w:ilvl="3">
      <w:start w:val="0"/>
      <w:numFmt w:val="bullet"/>
      <w:lvlText w:val="•"/>
      <w:lvlJc w:val="left"/>
      <w:pPr>
        <w:ind w:left="4051" w:hanging="161"/>
      </w:pPr>
      <w:rPr>
        <w:rFonts w:hint="default"/>
      </w:rPr>
    </w:lvl>
    <w:lvl w:ilvl="4">
      <w:start w:val="0"/>
      <w:numFmt w:val="bullet"/>
      <w:lvlText w:val="•"/>
      <w:lvlJc w:val="left"/>
      <w:pPr>
        <w:ind w:left="5066" w:hanging="161"/>
      </w:pPr>
      <w:rPr>
        <w:rFonts w:hint="default"/>
      </w:rPr>
    </w:lvl>
    <w:lvl w:ilvl="5">
      <w:start w:val="0"/>
      <w:numFmt w:val="bullet"/>
      <w:lvlText w:val="•"/>
      <w:lvlJc w:val="left"/>
      <w:pPr>
        <w:ind w:left="6082" w:hanging="161"/>
      </w:pPr>
      <w:rPr>
        <w:rFonts w:hint="default"/>
      </w:rPr>
    </w:lvl>
    <w:lvl w:ilvl="6">
      <w:start w:val="0"/>
      <w:numFmt w:val="bullet"/>
      <w:lvlText w:val="•"/>
      <w:lvlJc w:val="left"/>
      <w:pPr>
        <w:ind w:left="7097" w:hanging="161"/>
      </w:pPr>
      <w:rPr>
        <w:rFonts w:hint="default"/>
      </w:rPr>
    </w:lvl>
    <w:lvl w:ilvl="7">
      <w:start w:val="0"/>
      <w:numFmt w:val="bullet"/>
      <w:lvlText w:val="•"/>
      <w:lvlJc w:val="left"/>
      <w:pPr>
        <w:ind w:left="8113" w:hanging="161"/>
      </w:pPr>
      <w:rPr>
        <w:rFonts w:hint="default"/>
      </w:rPr>
    </w:lvl>
    <w:lvl w:ilvl="8">
      <w:start w:val="0"/>
      <w:numFmt w:val="bullet"/>
      <w:lvlText w:val="•"/>
      <w:lvlJc w:val="left"/>
      <w:pPr>
        <w:ind w:left="9128" w:hanging="161"/>
      </w:pPr>
      <w:rPr>
        <w:rFonts w:hint="default"/>
      </w:rPr>
    </w:lvl>
  </w:abstractNum>
  <w:abstractNum w:abstractNumId="0">
    <w:multiLevelType w:val="hybridMultilevel"/>
    <w:lvl w:ilvl="0">
      <w:start w:val="1"/>
      <w:numFmt w:val="decimal"/>
      <w:lvlText w:val="%1)"/>
      <w:lvlJc w:val="left"/>
      <w:pPr>
        <w:ind w:left="1299" w:hanging="360"/>
        <w:jc w:val="left"/>
      </w:pPr>
      <w:rPr>
        <w:rFonts w:hint="default" w:ascii="Calibri" w:hAnsi="Calibri" w:eastAsia="Calibri" w:cs="Calibri"/>
        <w:w w:val="100"/>
        <w:sz w:val="22"/>
        <w:szCs w:val="22"/>
      </w:rPr>
    </w:lvl>
    <w:lvl w:ilvl="1">
      <w:start w:val="1"/>
      <w:numFmt w:val="lowerLetter"/>
      <w:lvlText w:val="%2."/>
      <w:lvlJc w:val="left"/>
      <w:pPr>
        <w:ind w:left="1659" w:hanging="521"/>
        <w:jc w:val="left"/>
      </w:pPr>
      <w:rPr>
        <w:rFonts w:hint="default" w:ascii="Calibri" w:hAnsi="Calibri" w:eastAsia="Calibri" w:cs="Calibri"/>
        <w:spacing w:val="-1"/>
        <w:w w:val="100"/>
        <w:sz w:val="22"/>
        <w:szCs w:val="22"/>
      </w:rPr>
    </w:lvl>
    <w:lvl w:ilvl="2">
      <w:start w:val="1"/>
      <w:numFmt w:val="lowerRoman"/>
      <w:lvlText w:val="%3)"/>
      <w:lvlJc w:val="left"/>
      <w:pPr>
        <w:ind w:left="2020" w:hanging="361"/>
        <w:jc w:val="left"/>
      </w:pPr>
      <w:rPr>
        <w:rFonts w:hint="default" w:ascii="Calibri" w:hAnsi="Calibri" w:eastAsia="Calibri" w:cs="Calibri"/>
        <w:spacing w:val="-1"/>
        <w:w w:val="100"/>
        <w:sz w:val="22"/>
        <w:szCs w:val="22"/>
      </w:rPr>
    </w:lvl>
    <w:lvl w:ilvl="3">
      <w:start w:val="1"/>
      <w:numFmt w:val="decimal"/>
      <w:lvlText w:val="(%4)"/>
      <w:lvlJc w:val="left"/>
      <w:pPr>
        <w:ind w:left="2380" w:hanging="361"/>
        <w:jc w:val="left"/>
      </w:pPr>
      <w:rPr>
        <w:rFonts w:hint="default" w:ascii="Calibri" w:hAnsi="Calibri" w:eastAsia="Calibri" w:cs="Calibri"/>
        <w:w w:val="100"/>
        <w:sz w:val="22"/>
        <w:szCs w:val="22"/>
      </w:rPr>
    </w:lvl>
    <w:lvl w:ilvl="4">
      <w:start w:val="0"/>
      <w:numFmt w:val="bullet"/>
      <w:lvlText w:val="•"/>
      <w:lvlJc w:val="left"/>
      <w:pPr>
        <w:ind w:left="3634" w:hanging="361"/>
      </w:pPr>
      <w:rPr>
        <w:rFonts w:hint="default"/>
      </w:rPr>
    </w:lvl>
    <w:lvl w:ilvl="5">
      <w:start w:val="0"/>
      <w:numFmt w:val="bullet"/>
      <w:lvlText w:val="•"/>
      <w:lvlJc w:val="left"/>
      <w:pPr>
        <w:ind w:left="4888" w:hanging="361"/>
      </w:pPr>
      <w:rPr>
        <w:rFonts w:hint="default"/>
      </w:rPr>
    </w:lvl>
    <w:lvl w:ilvl="6">
      <w:start w:val="0"/>
      <w:numFmt w:val="bullet"/>
      <w:lvlText w:val="•"/>
      <w:lvlJc w:val="left"/>
      <w:pPr>
        <w:ind w:left="6142" w:hanging="361"/>
      </w:pPr>
      <w:rPr>
        <w:rFonts w:hint="default"/>
      </w:rPr>
    </w:lvl>
    <w:lvl w:ilvl="7">
      <w:start w:val="0"/>
      <w:numFmt w:val="bullet"/>
      <w:lvlText w:val="•"/>
      <w:lvlJc w:val="left"/>
      <w:pPr>
        <w:ind w:left="7397" w:hanging="361"/>
      </w:pPr>
      <w:rPr>
        <w:rFonts w:hint="default"/>
      </w:rPr>
    </w:lvl>
    <w:lvl w:ilvl="8">
      <w:start w:val="0"/>
      <w:numFmt w:val="bullet"/>
      <w:lvlText w:val="•"/>
      <w:lvlJc w:val="left"/>
      <w:pPr>
        <w:ind w:left="8651" w:hanging="361"/>
      </w:pPr>
      <w:rPr>
        <w:rFonts w:hint="default"/>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78"/>
      <w:ind w:left="75"/>
      <w:jc w:val="center"/>
      <w:outlineLvl w:val="1"/>
    </w:pPr>
    <w:rPr>
      <w:rFonts w:ascii="Century Gothic" w:hAnsi="Century Gothic" w:eastAsia="Century Gothic" w:cs="Century Gothic"/>
      <w:b/>
      <w:bCs/>
      <w:sz w:val="32"/>
      <w:szCs w:val="32"/>
    </w:rPr>
  </w:style>
  <w:style w:styleId="Heading2" w:type="paragraph">
    <w:name w:val="Heading 2"/>
    <w:basedOn w:val="Normal"/>
    <w:uiPriority w:val="1"/>
    <w:qFormat/>
    <w:pPr>
      <w:spacing w:before="19"/>
      <w:ind w:left="82"/>
      <w:jc w:val="center"/>
      <w:outlineLvl w:val="2"/>
    </w:pPr>
    <w:rPr>
      <w:rFonts w:ascii="Garamond" w:hAnsi="Garamond" w:eastAsia="Garamond" w:cs="Garamond"/>
      <w:b/>
      <w:bCs/>
      <w:sz w:val="28"/>
      <w:szCs w:val="28"/>
    </w:rPr>
  </w:style>
  <w:style w:styleId="Heading3" w:type="paragraph">
    <w:name w:val="Heading 3"/>
    <w:basedOn w:val="Normal"/>
    <w:uiPriority w:val="1"/>
    <w:qFormat/>
    <w:pPr>
      <w:ind w:left="580"/>
      <w:jc w:val="center"/>
      <w:outlineLvl w:val="3"/>
    </w:pPr>
    <w:rPr>
      <w:rFonts w:ascii="Century Gothic" w:hAnsi="Century Gothic" w:eastAsia="Century Gothic" w:cs="Century Gothic"/>
      <w:b/>
      <w:bCs/>
      <w:sz w:val="24"/>
      <w:szCs w:val="24"/>
    </w:rPr>
  </w:style>
  <w:style w:styleId="Heading4" w:type="paragraph">
    <w:name w:val="Heading 4"/>
    <w:basedOn w:val="Normal"/>
    <w:uiPriority w:val="1"/>
    <w:qFormat/>
    <w:pPr>
      <w:ind w:left="940"/>
      <w:outlineLvl w:val="4"/>
    </w:pPr>
    <w:rPr>
      <w:rFonts w:ascii="Century Gothic" w:hAnsi="Century Gothic" w:eastAsia="Century Gothic" w:cs="Century Gothic"/>
      <w:b/>
      <w:bCs/>
      <w:sz w:val="22"/>
      <w:szCs w:val="22"/>
    </w:rPr>
  </w:style>
  <w:style w:styleId="ListParagraph" w:type="paragraph">
    <w:name w:val="List Paragraph"/>
    <w:basedOn w:val="Normal"/>
    <w:uiPriority w:val="1"/>
    <w:qFormat/>
    <w:pPr>
      <w:ind w:left="1660" w:hanging="360"/>
    </w:pPr>
    <w:rPr>
      <w:rFonts w:ascii="Times New Roman" w:hAnsi="Times New Roman" w:eastAsia="Times New Roman" w:cs="Times New Roman"/>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ncbi.nlm.nih.gov/books/NBK470299" TargetMode="External"/><Relationship Id="rId6" Type="http://schemas.openxmlformats.org/officeDocument/2006/relationships/hyperlink" Target="http://www.entnet.org/Practice/policyIntraOperativeSurgery.cfm.Accessed" TargetMode="External"/><Relationship Id="rId7" Type="http://schemas.openxmlformats.org/officeDocument/2006/relationships/hyperlink" Target="http://www.ncbi.nlm.nih.gov/pmc/articles/PMC4024102/pdf/nihms568357.pdf" TargetMode="External"/><Relationship Id="rId8" Type="http://schemas.openxmlformats.org/officeDocument/2006/relationships/hyperlink" Target="http://www.countyhealthrankings.org/app/massachusetts/2020/rankings/essex/county/outcomes/overall/snapshot" TargetMode="External"/><Relationship Id="rId9" Type="http://schemas.openxmlformats.org/officeDocument/2006/relationships/hyperlink" Target="http://www.aaos.org/contentassets/1cd7f41417ec4dd4b5c4c48532183b96/1184-the-impact-of-obesity-on-bone-and-joint-health1.pdf" TargetMode="External"/><Relationship Id="rId10" Type="http://schemas.openxmlformats.org/officeDocument/2006/relationships/hyperlink" Target="https://www.mass.gov/lists/making-clas-happen-six-areas-for-action" TargetMode="External"/><Relationship Id="rId11" Type="http://schemas.openxmlformats.org/officeDocument/2006/relationships/hyperlink" Target="http://www.ncbi.nlm.nih.gov/pmc/araticles/PMC5513615" TargetMode="External"/><Relationship Id="rId12" Type="http://schemas.openxmlformats.org/officeDocument/2006/relationships/hyperlink" Target="mailto:DPH.DON@State.MA.US" TargetMode="External"/><Relationship Id="rId13" Type="http://schemas.openxmlformats.org/officeDocument/2006/relationships/hyperlink" Target="mailto:HPC-Testimony@state.ma.us" TargetMode="External"/><Relationship Id="rId14" Type="http://schemas.openxmlformats.org/officeDocument/2006/relationships/hyperlink" Target="http://www.mass.gov/hpc" TargetMode="External"/><Relationship Id="rId15" Type="http://schemas.openxmlformats.org/officeDocument/2006/relationships/hyperlink" Target="http://www.suffolk.edu/law/explore/6629.php" TargetMode="External"/><Relationship Id="rId16" Type="http://schemas.openxmlformats.org/officeDocument/2006/relationships/hyperlink" Target="mailto:Kelly.A.Mercer@state.ma.us" TargetMode="External"/><Relationship Id="rId17" Type="http://schemas.openxmlformats.org/officeDocument/2006/relationships/hyperlink" Target="mailto:Emily.gabrault@state.ma.us" TargetMode="External"/><Relationship Id="rId18" Type="http://schemas.openxmlformats.org/officeDocument/2006/relationships/hyperlink" Target="mailto:Emily.Gabrault@state.ma.us"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Bacon</dc:creator>
  <dcterms:created xsi:type="dcterms:W3CDTF">2020-12-22T16:40:36Z</dcterms:created>
  <dcterms:modified xsi:type="dcterms:W3CDTF">2020-12-22T16:40:36Z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2020-12-22T00:00:00Z</vt:filetime>
  </property>
  <property fmtid="{D5CDD505-2E9C-101B-9397-08002B2CF9AE}" pid="3" name="Creator">
    <vt:lpwstr>Adobe Acrobat Pro DC 20.13.20074</vt:lpwstr>
  </property>
  <property fmtid="{D5CDD505-2E9C-101B-9397-08002B2CF9AE}" pid="4" name="LastSaved">
    <vt:filetime>2020-12-22T00:00:00Z</vt:filetime>
  </property>
</Properties>
</file>