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729" w:type="pct"/>
        <w:tblLook w:val="04A0" w:firstRow="1" w:lastRow="0" w:firstColumn="1" w:lastColumn="0" w:noHBand="0" w:noVBand="1"/>
      </w:tblPr>
      <w:tblGrid>
        <w:gridCol w:w="4429"/>
        <w:gridCol w:w="5309"/>
      </w:tblGrid>
      <w:tr w:rsidR="008C0709" w:rsidRPr="007B1C0B" w14:paraId="54D2F9A9" w14:textId="77777777" w:rsidTr="00392DD1">
        <w:trPr>
          <w:trHeight w:val="350"/>
        </w:trPr>
        <w:tc>
          <w:tcPr>
            <w:tcW w:w="5000" w:type="pct"/>
            <w:gridSpan w:val="2"/>
            <w:shd w:val="clear" w:color="auto" w:fill="DFE3F0" w:themeFill="accent1" w:themeFillTint="33"/>
            <w:vAlign w:val="center"/>
          </w:tcPr>
          <w:p w14:paraId="2265F84B" w14:textId="78973DE2" w:rsidR="008C0709" w:rsidRPr="007B1C0B" w:rsidRDefault="0038339D" w:rsidP="00EA38CA">
            <w:pPr>
              <w:pStyle w:val="NoSpacing"/>
              <w:ind w:right="540"/>
              <w:contextualSpacing/>
              <w:jc w:val="center"/>
              <w:rPr>
                <w:rFonts w:ascii="Garamond" w:hAnsi="Garamond" w:cstheme="minorHAnsi"/>
                <w:b/>
                <w:sz w:val="24"/>
                <w:szCs w:val="24"/>
              </w:rPr>
            </w:pPr>
            <w:r w:rsidRPr="007B1C0B">
              <w:rPr>
                <w:rFonts w:ascii="Garamond" w:hAnsi="Garamond" w:cstheme="minorHAnsi"/>
                <w:b/>
                <w:sz w:val="24"/>
                <w:szCs w:val="24"/>
              </w:rPr>
              <w:t xml:space="preserve"> </w:t>
            </w:r>
            <w:r w:rsidR="008C0709" w:rsidRPr="007B1C0B">
              <w:rPr>
                <w:rFonts w:ascii="Garamond" w:hAnsi="Garamond" w:cstheme="minorHAnsi"/>
                <w:b/>
                <w:sz w:val="24"/>
                <w:szCs w:val="24"/>
              </w:rPr>
              <w:t>STAFF REPORT TO THE PUBLIC HEALTH COUNCIL</w:t>
            </w:r>
          </w:p>
          <w:p w14:paraId="450CAE11" w14:textId="77777777" w:rsidR="008C0709" w:rsidRPr="007B1C0B" w:rsidRDefault="008C0709" w:rsidP="00EA38CA">
            <w:pPr>
              <w:pStyle w:val="Header"/>
              <w:ind w:right="540"/>
              <w:contextualSpacing/>
              <w:jc w:val="center"/>
              <w:rPr>
                <w:rFonts w:ascii="Garamond" w:hAnsi="Garamond" w:cstheme="minorHAnsi"/>
                <w:b/>
                <w:sz w:val="24"/>
                <w:szCs w:val="24"/>
              </w:rPr>
            </w:pPr>
            <w:r w:rsidRPr="007B1C0B">
              <w:rPr>
                <w:rFonts w:ascii="Garamond" w:hAnsi="Garamond" w:cstheme="minorHAnsi"/>
                <w:b/>
                <w:sz w:val="24"/>
                <w:szCs w:val="24"/>
              </w:rPr>
              <w:t>FOR A DETERMINATION OF NEED</w:t>
            </w:r>
          </w:p>
          <w:p w14:paraId="3CF31755" w14:textId="77777777" w:rsidR="000C3F4E" w:rsidRPr="007B1C0B" w:rsidRDefault="000C3F4E" w:rsidP="00EA38CA">
            <w:pPr>
              <w:pStyle w:val="Header"/>
              <w:ind w:right="540"/>
              <w:contextualSpacing/>
              <w:jc w:val="center"/>
              <w:rPr>
                <w:rFonts w:ascii="Garamond" w:hAnsi="Garamond" w:cstheme="minorHAnsi"/>
                <w:b/>
                <w:sz w:val="24"/>
                <w:szCs w:val="24"/>
              </w:rPr>
            </w:pPr>
          </w:p>
        </w:tc>
      </w:tr>
      <w:tr w:rsidR="008C0709" w:rsidRPr="007B1C0B" w14:paraId="0364E9B1" w14:textId="77777777" w:rsidTr="00CD70C2">
        <w:trPr>
          <w:trHeight w:val="413"/>
        </w:trPr>
        <w:tc>
          <w:tcPr>
            <w:tcW w:w="2274" w:type="pct"/>
            <w:shd w:val="clear" w:color="auto" w:fill="auto"/>
            <w:vAlign w:val="center"/>
          </w:tcPr>
          <w:p w14:paraId="3CC0A3CF" w14:textId="77777777" w:rsidR="008C0709" w:rsidRPr="000D1001" w:rsidRDefault="008C0709" w:rsidP="00EA38CA">
            <w:pPr>
              <w:ind w:right="540"/>
              <w:contextualSpacing/>
              <w:rPr>
                <w:rFonts w:ascii="Garamond" w:hAnsi="Garamond" w:cstheme="minorHAnsi"/>
                <w:sz w:val="24"/>
                <w:szCs w:val="24"/>
              </w:rPr>
            </w:pPr>
            <w:r w:rsidRPr="007B1C0B">
              <w:rPr>
                <w:rFonts w:ascii="Garamond" w:hAnsi="Garamond" w:cstheme="minorHAnsi"/>
                <w:sz w:val="24"/>
                <w:szCs w:val="24"/>
              </w:rPr>
              <w:t xml:space="preserve">Applicant Name </w:t>
            </w:r>
          </w:p>
        </w:tc>
        <w:tc>
          <w:tcPr>
            <w:tcW w:w="2726" w:type="pct"/>
            <w:shd w:val="clear" w:color="auto" w:fill="auto"/>
            <w:vAlign w:val="center"/>
          </w:tcPr>
          <w:p w14:paraId="455906C1" w14:textId="4D402916" w:rsidR="008C0709" w:rsidRPr="005F4493" w:rsidRDefault="00113AF4" w:rsidP="00EA38CA">
            <w:pPr>
              <w:ind w:right="540"/>
              <w:contextualSpacing/>
              <w:rPr>
                <w:rFonts w:ascii="Garamond" w:hAnsi="Garamond" w:cstheme="minorHAnsi"/>
                <w:sz w:val="24"/>
                <w:szCs w:val="24"/>
              </w:rPr>
            </w:pPr>
            <w:r>
              <w:rPr>
                <w:rFonts w:ascii="Garamond" w:hAnsi="Garamond" w:cstheme="minorHAnsi"/>
                <w:sz w:val="24"/>
                <w:szCs w:val="24"/>
              </w:rPr>
              <w:t>New England Surgery Center, LLC</w:t>
            </w:r>
          </w:p>
        </w:tc>
      </w:tr>
      <w:tr w:rsidR="008C0709" w:rsidRPr="007B1C0B" w14:paraId="0401B397" w14:textId="77777777" w:rsidTr="00CD70C2">
        <w:trPr>
          <w:trHeight w:val="357"/>
        </w:trPr>
        <w:tc>
          <w:tcPr>
            <w:tcW w:w="2274" w:type="pct"/>
            <w:shd w:val="clear" w:color="auto" w:fill="auto"/>
            <w:vAlign w:val="center"/>
          </w:tcPr>
          <w:p w14:paraId="5165DB08" w14:textId="77777777" w:rsidR="008C0709" w:rsidRPr="000D1001" w:rsidRDefault="008C0709" w:rsidP="00EA38CA">
            <w:pPr>
              <w:ind w:right="540"/>
              <w:contextualSpacing/>
              <w:rPr>
                <w:rFonts w:ascii="Garamond" w:hAnsi="Garamond" w:cstheme="minorHAnsi"/>
                <w:sz w:val="24"/>
                <w:szCs w:val="24"/>
              </w:rPr>
            </w:pPr>
            <w:r w:rsidRPr="007B1C0B">
              <w:rPr>
                <w:rFonts w:ascii="Garamond" w:hAnsi="Garamond" w:cstheme="minorHAnsi"/>
                <w:sz w:val="24"/>
                <w:szCs w:val="24"/>
              </w:rPr>
              <w:t xml:space="preserve">Applicant Address </w:t>
            </w:r>
          </w:p>
        </w:tc>
        <w:tc>
          <w:tcPr>
            <w:tcW w:w="2726" w:type="pct"/>
            <w:shd w:val="clear" w:color="auto" w:fill="auto"/>
            <w:vAlign w:val="center"/>
          </w:tcPr>
          <w:p w14:paraId="292A08B0" w14:textId="77777777" w:rsidR="002E4B00" w:rsidRDefault="00113AF4" w:rsidP="00EA38CA">
            <w:pPr>
              <w:ind w:right="540"/>
              <w:contextualSpacing/>
              <w:rPr>
                <w:rFonts w:ascii="Garamond" w:hAnsi="Garamond" w:cstheme="minorHAnsi"/>
                <w:sz w:val="24"/>
                <w:szCs w:val="24"/>
                <w:lang w:val="fr-FR"/>
              </w:rPr>
            </w:pPr>
            <w:r>
              <w:rPr>
                <w:rFonts w:ascii="Garamond" w:hAnsi="Garamond" w:cstheme="minorHAnsi"/>
                <w:sz w:val="24"/>
                <w:szCs w:val="24"/>
                <w:lang w:val="fr-FR"/>
              </w:rPr>
              <w:t>900 Cummings Center, Suite 122U</w:t>
            </w:r>
            <w:r w:rsidR="002E4B00">
              <w:rPr>
                <w:rFonts w:ascii="Garamond" w:hAnsi="Garamond" w:cstheme="minorHAnsi"/>
                <w:sz w:val="24"/>
                <w:szCs w:val="24"/>
                <w:lang w:val="fr-FR"/>
              </w:rPr>
              <w:t xml:space="preserve"> </w:t>
            </w:r>
          </w:p>
          <w:p w14:paraId="4B90906E" w14:textId="18344AE6" w:rsidR="00113AF4" w:rsidRPr="005F4493" w:rsidRDefault="00113AF4" w:rsidP="00EA38CA">
            <w:pPr>
              <w:ind w:right="540"/>
              <w:contextualSpacing/>
              <w:rPr>
                <w:rFonts w:ascii="Garamond" w:hAnsi="Garamond" w:cstheme="minorHAnsi"/>
                <w:sz w:val="24"/>
                <w:szCs w:val="24"/>
                <w:lang w:val="fr-FR"/>
              </w:rPr>
            </w:pPr>
            <w:r>
              <w:rPr>
                <w:rFonts w:ascii="Garamond" w:hAnsi="Garamond" w:cstheme="minorHAnsi"/>
                <w:sz w:val="24"/>
                <w:szCs w:val="24"/>
                <w:lang w:val="fr-FR"/>
              </w:rPr>
              <w:t>Beverly, MA 01915</w:t>
            </w:r>
          </w:p>
        </w:tc>
      </w:tr>
      <w:tr w:rsidR="008C0709" w:rsidRPr="007B1C0B" w14:paraId="568E45E9" w14:textId="77777777" w:rsidTr="00CD70C2">
        <w:trPr>
          <w:trHeight w:val="377"/>
        </w:trPr>
        <w:tc>
          <w:tcPr>
            <w:tcW w:w="2274" w:type="pct"/>
            <w:shd w:val="clear" w:color="auto" w:fill="auto"/>
            <w:vAlign w:val="center"/>
          </w:tcPr>
          <w:p w14:paraId="50536359" w14:textId="55843F5A" w:rsidR="008C0709" w:rsidRPr="000D1001" w:rsidRDefault="006101BC" w:rsidP="00EA38CA">
            <w:pPr>
              <w:ind w:right="540"/>
              <w:contextualSpacing/>
              <w:rPr>
                <w:rFonts w:ascii="Garamond" w:hAnsi="Garamond" w:cstheme="minorHAnsi"/>
                <w:sz w:val="24"/>
                <w:szCs w:val="24"/>
              </w:rPr>
            </w:pPr>
            <w:r w:rsidRPr="007B1C0B">
              <w:rPr>
                <w:rFonts w:ascii="Garamond" w:hAnsi="Garamond" w:cstheme="minorHAnsi"/>
                <w:sz w:val="24"/>
                <w:szCs w:val="24"/>
              </w:rPr>
              <w:t>F</w:t>
            </w:r>
            <w:r w:rsidR="00216D46">
              <w:rPr>
                <w:rFonts w:ascii="Garamond" w:hAnsi="Garamond" w:cstheme="minorHAnsi"/>
                <w:sz w:val="24"/>
                <w:szCs w:val="24"/>
              </w:rPr>
              <w:t>i</w:t>
            </w:r>
            <w:r w:rsidRPr="007B1C0B">
              <w:rPr>
                <w:rFonts w:ascii="Garamond" w:hAnsi="Garamond" w:cstheme="minorHAnsi"/>
                <w:sz w:val="24"/>
                <w:szCs w:val="24"/>
              </w:rPr>
              <w:t>ling Date</w:t>
            </w:r>
          </w:p>
        </w:tc>
        <w:tc>
          <w:tcPr>
            <w:tcW w:w="2726" w:type="pct"/>
            <w:shd w:val="clear" w:color="auto" w:fill="auto"/>
            <w:vAlign w:val="center"/>
          </w:tcPr>
          <w:p w14:paraId="2A172FB7" w14:textId="18648BC6" w:rsidR="008C0709" w:rsidRPr="005F4493" w:rsidRDefault="00DE5A85" w:rsidP="00EA38CA">
            <w:pPr>
              <w:ind w:right="540"/>
              <w:contextualSpacing/>
              <w:rPr>
                <w:rFonts w:ascii="Garamond" w:hAnsi="Garamond" w:cstheme="minorHAnsi"/>
                <w:sz w:val="24"/>
                <w:szCs w:val="24"/>
              </w:rPr>
            </w:pPr>
            <w:r>
              <w:rPr>
                <w:rFonts w:ascii="Garamond" w:hAnsi="Garamond" w:cstheme="minorHAnsi"/>
                <w:sz w:val="24"/>
                <w:szCs w:val="24"/>
              </w:rPr>
              <w:t xml:space="preserve">October 16, 2020 </w:t>
            </w:r>
          </w:p>
        </w:tc>
      </w:tr>
      <w:tr w:rsidR="008C0709" w:rsidRPr="007B1C0B" w14:paraId="5D1DE5AF" w14:textId="77777777" w:rsidTr="00CD70C2">
        <w:trPr>
          <w:trHeight w:val="350"/>
        </w:trPr>
        <w:tc>
          <w:tcPr>
            <w:tcW w:w="2274" w:type="pct"/>
            <w:shd w:val="clear" w:color="auto" w:fill="auto"/>
            <w:vAlign w:val="center"/>
          </w:tcPr>
          <w:p w14:paraId="2B1CF1F5" w14:textId="77777777" w:rsidR="008C0709" w:rsidRPr="000D1001" w:rsidRDefault="008C0709" w:rsidP="00EA38CA">
            <w:pPr>
              <w:ind w:right="540"/>
              <w:contextualSpacing/>
              <w:rPr>
                <w:rFonts w:ascii="Garamond" w:hAnsi="Garamond" w:cstheme="minorHAnsi"/>
                <w:sz w:val="24"/>
                <w:szCs w:val="24"/>
              </w:rPr>
            </w:pPr>
            <w:r w:rsidRPr="007B1C0B">
              <w:rPr>
                <w:rFonts w:ascii="Garamond" w:hAnsi="Garamond" w:cstheme="minorHAnsi"/>
                <w:sz w:val="24"/>
                <w:szCs w:val="24"/>
              </w:rPr>
              <w:t>Type of DoN Application</w:t>
            </w:r>
          </w:p>
        </w:tc>
        <w:tc>
          <w:tcPr>
            <w:tcW w:w="2726" w:type="pct"/>
            <w:shd w:val="clear" w:color="auto" w:fill="auto"/>
            <w:vAlign w:val="center"/>
          </w:tcPr>
          <w:p w14:paraId="107B1694" w14:textId="6327EDD1" w:rsidR="008C0709" w:rsidRPr="005F4493" w:rsidRDefault="00113AF4" w:rsidP="00EA38CA">
            <w:pPr>
              <w:ind w:right="540"/>
              <w:contextualSpacing/>
              <w:rPr>
                <w:rFonts w:ascii="Garamond" w:hAnsi="Garamond" w:cstheme="minorHAnsi"/>
                <w:sz w:val="24"/>
                <w:szCs w:val="24"/>
              </w:rPr>
            </w:pPr>
            <w:r>
              <w:rPr>
                <w:rFonts w:ascii="Garamond" w:hAnsi="Garamond" w:cstheme="minorHAnsi"/>
                <w:sz w:val="24"/>
                <w:szCs w:val="24"/>
              </w:rPr>
              <w:t xml:space="preserve">Ambulatory Surgery </w:t>
            </w:r>
          </w:p>
        </w:tc>
      </w:tr>
      <w:tr w:rsidR="008C0709" w:rsidRPr="007B1C0B" w14:paraId="01E7F941" w14:textId="77777777" w:rsidTr="00CD70C2">
        <w:trPr>
          <w:trHeight w:val="350"/>
        </w:trPr>
        <w:tc>
          <w:tcPr>
            <w:tcW w:w="2274" w:type="pct"/>
            <w:shd w:val="clear" w:color="auto" w:fill="auto"/>
            <w:vAlign w:val="center"/>
          </w:tcPr>
          <w:p w14:paraId="5F015412" w14:textId="77777777" w:rsidR="008C0709" w:rsidRPr="000D1001" w:rsidRDefault="008C0709" w:rsidP="00EA38CA">
            <w:pPr>
              <w:ind w:right="540"/>
              <w:contextualSpacing/>
              <w:rPr>
                <w:rFonts w:ascii="Garamond" w:hAnsi="Garamond" w:cstheme="minorHAnsi"/>
                <w:sz w:val="24"/>
                <w:szCs w:val="24"/>
              </w:rPr>
            </w:pPr>
            <w:r w:rsidRPr="007B1C0B">
              <w:rPr>
                <w:rFonts w:ascii="Garamond" w:hAnsi="Garamond" w:cstheme="minorHAnsi"/>
                <w:sz w:val="24"/>
                <w:szCs w:val="24"/>
              </w:rPr>
              <w:t>Total Value</w:t>
            </w:r>
          </w:p>
        </w:tc>
        <w:tc>
          <w:tcPr>
            <w:tcW w:w="2726" w:type="pct"/>
            <w:shd w:val="clear" w:color="auto" w:fill="auto"/>
            <w:vAlign w:val="center"/>
          </w:tcPr>
          <w:p w14:paraId="51032D26" w14:textId="5FE8727D" w:rsidR="008C0709" w:rsidRPr="005F4493" w:rsidRDefault="00113AF4" w:rsidP="00EA38CA">
            <w:pPr>
              <w:ind w:right="540"/>
              <w:contextualSpacing/>
              <w:rPr>
                <w:rFonts w:ascii="Garamond" w:hAnsi="Garamond" w:cstheme="minorHAnsi"/>
                <w:sz w:val="24"/>
                <w:szCs w:val="24"/>
              </w:rPr>
            </w:pPr>
            <w:r>
              <w:rPr>
                <w:rFonts w:ascii="Garamond" w:hAnsi="Garamond" w:cstheme="minorHAnsi"/>
                <w:sz w:val="24"/>
                <w:szCs w:val="24"/>
              </w:rPr>
              <w:t>$1,587,646.00</w:t>
            </w:r>
          </w:p>
        </w:tc>
      </w:tr>
      <w:tr w:rsidR="008C0709" w:rsidRPr="007B1C0B" w14:paraId="454ED996" w14:textId="77777777" w:rsidTr="00CD70C2">
        <w:trPr>
          <w:trHeight w:val="350"/>
        </w:trPr>
        <w:tc>
          <w:tcPr>
            <w:tcW w:w="2274" w:type="pct"/>
            <w:shd w:val="clear" w:color="auto" w:fill="auto"/>
            <w:vAlign w:val="center"/>
          </w:tcPr>
          <w:p w14:paraId="3B51DC0D" w14:textId="77777777" w:rsidR="008C0709" w:rsidRPr="000D1001" w:rsidRDefault="008C0709" w:rsidP="00EA38CA">
            <w:pPr>
              <w:ind w:right="540"/>
              <w:contextualSpacing/>
              <w:rPr>
                <w:rFonts w:ascii="Garamond" w:hAnsi="Garamond" w:cstheme="minorHAnsi"/>
                <w:sz w:val="24"/>
                <w:szCs w:val="24"/>
              </w:rPr>
            </w:pPr>
            <w:r w:rsidRPr="007B1C0B">
              <w:rPr>
                <w:rFonts w:ascii="Garamond" w:hAnsi="Garamond" w:cstheme="minorHAnsi"/>
                <w:sz w:val="24"/>
                <w:szCs w:val="24"/>
              </w:rPr>
              <w:t>Project Number</w:t>
            </w:r>
          </w:p>
        </w:tc>
        <w:tc>
          <w:tcPr>
            <w:tcW w:w="2726" w:type="pct"/>
            <w:shd w:val="clear" w:color="auto" w:fill="auto"/>
            <w:vAlign w:val="center"/>
          </w:tcPr>
          <w:p w14:paraId="4E73A35C" w14:textId="1BC19501" w:rsidR="008C0709" w:rsidRPr="005F4493" w:rsidRDefault="00113AF4" w:rsidP="00EA38CA">
            <w:pPr>
              <w:ind w:right="540"/>
              <w:contextualSpacing/>
              <w:rPr>
                <w:rFonts w:ascii="Garamond" w:hAnsi="Garamond" w:cstheme="minorHAnsi"/>
                <w:sz w:val="24"/>
                <w:szCs w:val="24"/>
              </w:rPr>
            </w:pPr>
            <w:r>
              <w:rPr>
                <w:rFonts w:ascii="Garamond" w:hAnsi="Garamond" w:cstheme="minorHAnsi"/>
                <w:sz w:val="24"/>
                <w:szCs w:val="24"/>
              </w:rPr>
              <w:t>20072809-AS</w:t>
            </w:r>
          </w:p>
        </w:tc>
      </w:tr>
      <w:tr w:rsidR="008C0709" w:rsidRPr="007B1C0B" w14:paraId="36C60516" w14:textId="77777777" w:rsidTr="00CD70C2">
        <w:trPr>
          <w:trHeight w:val="350"/>
        </w:trPr>
        <w:tc>
          <w:tcPr>
            <w:tcW w:w="2274" w:type="pct"/>
            <w:shd w:val="clear" w:color="auto" w:fill="auto"/>
            <w:vAlign w:val="center"/>
          </w:tcPr>
          <w:p w14:paraId="7CFE2F2C" w14:textId="77777777" w:rsidR="008C0709" w:rsidRPr="000D1001" w:rsidRDefault="008C0709" w:rsidP="00EA38CA">
            <w:pPr>
              <w:ind w:right="540"/>
              <w:contextualSpacing/>
              <w:rPr>
                <w:rFonts w:ascii="Garamond" w:hAnsi="Garamond" w:cstheme="minorHAnsi"/>
                <w:sz w:val="24"/>
                <w:szCs w:val="24"/>
              </w:rPr>
            </w:pPr>
            <w:r w:rsidRPr="007B1C0B">
              <w:rPr>
                <w:rFonts w:ascii="Garamond" w:hAnsi="Garamond" w:cstheme="minorHAnsi"/>
                <w:sz w:val="24"/>
                <w:szCs w:val="24"/>
              </w:rPr>
              <w:t>Ten Taxpayer Group (TTG)</w:t>
            </w:r>
          </w:p>
        </w:tc>
        <w:tc>
          <w:tcPr>
            <w:tcW w:w="2726" w:type="pct"/>
            <w:shd w:val="clear" w:color="auto" w:fill="auto"/>
            <w:vAlign w:val="center"/>
          </w:tcPr>
          <w:p w14:paraId="3E64A977" w14:textId="37FE5392" w:rsidR="008C0709" w:rsidRPr="005F4493" w:rsidRDefault="00D920A8" w:rsidP="00EA38CA">
            <w:pPr>
              <w:ind w:right="540"/>
              <w:contextualSpacing/>
              <w:rPr>
                <w:rFonts w:ascii="Garamond" w:hAnsi="Garamond" w:cstheme="minorHAnsi"/>
                <w:sz w:val="24"/>
                <w:szCs w:val="24"/>
              </w:rPr>
            </w:pPr>
            <w:r>
              <w:rPr>
                <w:rFonts w:ascii="Garamond" w:hAnsi="Garamond" w:cstheme="minorHAnsi"/>
                <w:sz w:val="24"/>
                <w:szCs w:val="24"/>
              </w:rPr>
              <w:t xml:space="preserve">None </w:t>
            </w:r>
          </w:p>
        </w:tc>
      </w:tr>
      <w:tr w:rsidR="008C0709" w:rsidRPr="007B1C0B" w14:paraId="76F10765" w14:textId="77777777" w:rsidTr="00CD70C2">
        <w:trPr>
          <w:trHeight w:val="350"/>
        </w:trPr>
        <w:tc>
          <w:tcPr>
            <w:tcW w:w="2274" w:type="pct"/>
            <w:shd w:val="clear" w:color="auto" w:fill="auto"/>
            <w:vAlign w:val="center"/>
          </w:tcPr>
          <w:p w14:paraId="65BDE213" w14:textId="77777777" w:rsidR="008C0709" w:rsidRPr="005F4493" w:rsidRDefault="008C0709" w:rsidP="00EA38CA">
            <w:pPr>
              <w:ind w:right="540"/>
              <w:contextualSpacing/>
              <w:rPr>
                <w:rFonts w:ascii="Garamond" w:hAnsi="Garamond" w:cstheme="minorHAnsi"/>
                <w:sz w:val="24"/>
                <w:szCs w:val="24"/>
              </w:rPr>
            </w:pPr>
            <w:r w:rsidRPr="007B1C0B">
              <w:rPr>
                <w:rFonts w:ascii="Garamond" w:hAnsi="Garamond" w:cstheme="minorHAnsi"/>
                <w:sz w:val="24"/>
                <w:szCs w:val="24"/>
              </w:rPr>
              <w:t>Community Health Initiative (CHI)</w:t>
            </w:r>
            <w:r w:rsidRPr="000D1001" w:rsidDel="00FB532E">
              <w:rPr>
                <w:rFonts w:ascii="Garamond" w:hAnsi="Garamond" w:cstheme="minorHAnsi"/>
                <w:sz w:val="24"/>
                <w:szCs w:val="24"/>
              </w:rPr>
              <w:t xml:space="preserve"> </w:t>
            </w:r>
          </w:p>
        </w:tc>
        <w:tc>
          <w:tcPr>
            <w:tcW w:w="2726" w:type="pct"/>
            <w:shd w:val="clear" w:color="auto" w:fill="auto"/>
            <w:vAlign w:val="center"/>
          </w:tcPr>
          <w:p w14:paraId="4096DEE0" w14:textId="25995379" w:rsidR="008C0709" w:rsidRPr="00C00156" w:rsidRDefault="00113AF4" w:rsidP="00EA38CA">
            <w:pPr>
              <w:ind w:right="540"/>
              <w:contextualSpacing/>
              <w:rPr>
                <w:rFonts w:ascii="Garamond" w:hAnsi="Garamond" w:cstheme="minorHAnsi"/>
                <w:sz w:val="24"/>
                <w:szCs w:val="24"/>
              </w:rPr>
            </w:pPr>
            <w:r>
              <w:rPr>
                <w:rFonts w:ascii="Garamond" w:hAnsi="Garamond" w:cstheme="minorHAnsi"/>
                <w:sz w:val="24"/>
                <w:szCs w:val="24"/>
              </w:rPr>
              <w:t xml:space="preserve">$79,382.30 </w:t>
            </w:r>
          </w:p>
        </w:tc>
      </w:tr>
      <w:tr w:rsidR="008C0709" w:rsidRPr="007B1C0B" w14:paraId="12A05EFC" w14:textId="77777777" w:rsidTr="00CD70C2">
        <w:trPr>
          <w:trHeight w:val="350"/>
        </w:trPr>
        <w:tc>
          <w:tcPr>
            <w:tcW w:w="2274" w:type="pct"/>
            <w:shd w:val="clear" w:color="auto" w:fill="auto"/>
            <w:vAlign w:val="center"/>
          </w:tcPr>
          <w:p w14:paraId="17B5AD99" w14:textId="77777777" w:rsidR="008C0709" w:rsidRPr="000D1001" w:rsidRDefault="008C0709" w:rsidP="00EA38CA">
            <w:pPr>
              <w:ind w:right="540"/>
              <w:contextualSpacing/>
              <w:rPr>
                <w:rFonts w:ascii="Garamond" w:hAnsi="Garamond" w:cstheme="minorHAnsi"/>
                <w:sz w:val="24"/>
                <w:szCs w:val="24"/>
              </w:rPr>
            </w:pPr>
            <w:r w:rsidRPr="007B1C0B">
              <w:rPr>
                <w:rFonts w:ascii="Garamond" w:hAnsi="Garamond" w:cstheme="minorHAnsi"/>
                <w:sz w:val="24"/>
                <w:szCs w:val="24"/>
              </w:rPr>
              <w:t>Staff Recommendation</w:t>
            </w:r>
          </w:p>
        </w:tc>
        <w:tc>
          <w:tcPr>
            <w:tcW w:w="2726" w:type="pct"/>
            <w:shd w:val="clear" w:color="auto" w:fill="auto"/>
            <w:vAlign w:val="center"/>
          </w:tcPr>
          <w:p w14:paraId="2FD17C75" w14:textId="66B550F4" w:rsidR="008C0709" w:rsidRPr="005F4493" w:rsidRDefault="00113AF4" w:rsidP="00EA38CA">
            <w:pPr>
              <w:ind w:right="540"/>
              <w:contextualSpacing/>
              <w:rPr>
                <w:rFonts w:ascii="Garamond" w:hAnsi="Garamond" w:cstheme="minorHAnsi"/>
                <w:sz w:val="24"/>
                <w:szCs w:val="24"/>
              </w:rPr>
            </w:pPr>
            <w:r>
              <w:rPr>
                <w:rFonts w:ascii="Garamond" w:hAnsi="Garamond" w:cstheme="minorHAnsi"/>
                <w:sz w:val="24"/>
                <w:szCs w:val="24"/>
              </w:rPr>
              <w:t>Approval</w:t>
            </w:r>
          </w:p>
        </w:tc>
      </w:tr>
      <w:tr w:rsidR="008C0709" w:rsidRPr="007B1C0B" w14:paraId="77EFE9C0" w14:textId="77777777" w:rsidTr="00CD70C2">
        <w:trPr>
          <w:trHeight w:val="350"/>
        </w:trPr>
        <w:tc>
          <w:tcPr>
            <w:tcW w:w="2274" w:type="pct"/>
            <w:shd w:val="clear" w:color="auto" w:fill="auto"/>
            <w:vAlign w:val="center"/>
          </w:tcPr>
          <w:p w14:paraId="2D68B227" w14:textId="6548BB8D" w:rsidR="008C0709" w:rsidRPr="000D1001" w:rsidRDefault="0012271E" w:rsidP="00EA38CA">
            <w:pPr>
              <w:ind w:right="540"/>
              <w:contextualSpacing/>
              <w:rPr>
                <w:rFonts w:ascii="Garamond" w:hAnsi="Garamond" w:cstheme="minorHAnsi"/>
                <w:sz w:val="24"/>
                <w:szCs w:val="24"/>
              </w:rPr>
            </w:pPr>
            <w:r>
              <w:rPr>
                <w:rFonts w:ascii="Garamond" w:hAnsi="Garamond" w:cstheme="minorHAnsi"/>
                <w:sz w:val="24"/>
                <w:szCs w:val="24"/>
              </w:rPr>
              <w:t>Public Health Council</w:t>
            </w:r>
            <w:r w:rsidR="008C0709" w:rsidRPr="007B1C0B">
              <w:rPr>
                <w:rFonts w:ascii="Garamond" w:hAnsi="Garamond" w:cstheme="minorHAnsi"/>
                <w:sz w:val="24"/>
                <w:szCs w:val="24"/>
              </w:rPr>
              <w:t xml:space="preserve"> </w:t>
            </w:r>
          </w:p>
        </w:tc>
        <w:tc>
          <w:tcPr>
            <w:tcW w:w="2726" w:type="pct"/>
            <w:shd w:val="clear" w:color="auto" w:fill="auto"/>
            <w:vAlign w:val="center"/>
          </w:tcPr>
          <w:p w14:paraId="24875C62" w14:textId="736B5B84" w:rsidR="008C0709" w:rsidRPr="005F4493" w:rsidRDefault="00E91D7D" w:rsidP="00EA38CA">
            <w:pPr>
              <w:ind w:right="540"/>
              <w:contextualSpacing/>
              <w:rPr>
                <w:rFonts w:ascii="Garamond" w:hAnsi="Garamond" w:cstheme="minorHAnsi"/>
                <w:sz w:val="24"/>
                <w:szCs w:val="24"/>
              </w:rPr>
            </w:pPr>
            <w:r>
              <w:rPr>
                <w:rFonts w:ascii="Garamond" w:hAnsi="Garamond" w:cstheme="minorHAnsi"/>
                <w:sz w:val="24"/>
                <w:szCs w:val="24"/>
              </w:rPr>
              <w:t>January 20</w:t>
            </w:r>
            <w:r w:rsidR="0012271E">
              <w:rPr>
                <w:rFonts w:ascii="Garamond" w:hAnsi="Garamond" w:cstheme="minorHAnsi"/>
                <w:sz w:val="24"/>
                <w:szCs w:val="24"/>
              </w:rPr>
              <w:t>, 202</w:t>
            </w:r>
            <w:r w:rsidR="00EE24CF">
              <w:rPr>
                <w:rFonts w:ascii="Garamond" w:hAnsi="Garamond" w:cstheme="minorHAnsi"/>
                <w:sz w:val="24"/>
                <w:szCs w:val="24"/>
              </w:rPr>
              <w:t>1</w:t>
            </w:r>
            <w:r w:rsidR="0012271E">
              <w:rPr>
                <w:rFonts w:ascii="Garamond" w:hAnsi="Garamond" w:cstheme="minorHAnsi"/>
                <w:sz w:val="24"/>
                <w:szCs w:val="24"/>
              </w:rPr>
              <w:t xml:space="preserve"> </w:t>
            </w:r>
          </w:p>
        </w:tc>
      </w:tr>
      <w:tr w:rsidR="008C0709" w:rsidRPr="007B1C0B" w14:paraId="75FF66EC" w14:textId="77777777" w:rsidTr="003B4FEA">
        <w:trPr>
          <w:trHeight w:val="2436"/>
        </w:trPr>
        <w:tc>
          <w:tcPr>
            <w:tcW w:w="5000" w:type="pct"/>
            <w:gridSpan w:val="2"/>
            <w:shd w:val="clear" w:color="auto" w:fill="auto"/>
            <w:vAlign w:val="center"/>
          </w:tcPr>
          <w:p w14:paraId="49E755E6" w14:textId="77777777" w:rsidR="008C0709" w:rsidRPr="007B1C0B" w:rsidRDefault="008C0709" w:rsidP="00EA38CA">
            <w:pPr>
              <w:pStyle w:val="NoSpacing"/>
              <w:ind w:right="540"/>
              <w:contextualSpacing/>
              <w:jc w:val="center"/>
              <w:rPr>
                <w:rFonts w:ascii="Garamond" w:hAnsi="Garamond" w:cstheme="minorHAnsi"/>
                <w:sz w:val="24"/>
                <w:szCs w:val="24"/>
                <w:u w:val="single"/>
              </w:rPr>
            </w:pPr>
          </w:p>
          <w:p w14:paraId="4AD728CD" w14:textId="77777777" w:rsidR="008C0709" w:rsidRPr="005F4493" w:rsidRDefault="008C0709" w:rsidP="00EA38CA">
            <w:pPr>
              <w:pStyle w:val="NoSpacing"/>
              <w:ind w:right="540"/>
              <w:contextualSpacing/>
              <w:jc w:val="center"/>
              <w:rPr>
                <w:rFonts w:ascii="Garamond" w:hAnsi="Garamond" w:cstheme="minorHAnsi"/>
                <w:sz w:val="24"/>
                <w:szCs w:val="24"/>
              </w:rPr>
            </w:pPr>
            <w:r w:rsidRPr="000D1001">
              <w:rPr>
                <w:rFonts w:ascii="Garamond" w:hAnsi="Garamond" w:cstheme="minorHAnsi"/>
                <w:sz w:val="24"/>
                <w:szCs w:val="24"/>
                <w:u w:val="single"/>
              </w:rPr>
              <w:t xml:space="preserve">Project Summary and </w:t>
            </w:r>
            <w:r w:rsidRPr="005F4493">
              <w:rPr>
                <w:rFonts w:ascii="Garamond" w:hAnsi="Garamond" w:cstheme="minorHAnsi"/>
                <w:sz w:val="24"/>
                <w:szCs w:val="24"/>
                <w:u w:val="single"/>
              </w:rPr>
              <w:t>Regulatory Review</w:t>
            </w:r>
          </w:p>
          <w:p w14:paraId="3B452EEB" w14:textId="383DD711" w:rsidR="008C0709" w:rsidRPr="00C867B4" w:rsidRDefault="0012777C" w:rsidP="00EA38CA">
            <w:pPr>
              <w:ind w:right="540"/>
              <w:rPr>
                <w:rFonts w:ascii="Garamond" w:hAnsi="Garamond" w:cstheme="minorHAnsi"/>
                <w:sz w:val="24"/>
                <w:szCs w:val="24"/>
              </w:rPr>
            </w:pPr>
            <w:r>
              <w:rPr>
                <w:rFonts w:ascii="Garamond" w:hAnsi="Garamond" w:cstheme="minorHAnsi"/>
                <w:sz w:val="24"/>
                <w:szCs w:val="24"/>
              </w:rPr>
              <w:t>New England Surgery Center</w:t>
            </w:r>
            <w:r w:rsidR="006337D2" w:rsidRPr="00C00156">
              <w:rPr>
                <w:rFonts w:ascii="Garamond" w:hAnsi="Garamond" w:cstheme="minorHAnsi"/>
                <w:sz w:val="24"/>
                <w:szCs w:val="24"/>
              </w:rPr>
              <w:t>, LLC</w:t>
            </w:r>
            <w:r w:rsidR="00567ECE" w:rsidRPr="00C00156">
              <w:rPr>
                <w:rFonts w:ascii="Garamond" w:hAnsi="Garamond" w:cstheme="minorHAnsi"/>
                <w:sz w:val="24"/>
                <w:szCs w:val="24"/>
              </w:rPr>
              <w:t xml:space="preserve"> (Applicant) is</w:t>
            </w:r>
            <w:r w:rsidR="00D72B51" w:rsidRPr="00C867B4">
              <w:rPr>
                <w:rFonts w:ascii="Garamond" w:hAnsi="Garamond" w:cstheme="minorHAnsi"/>
                <w:sz w:val="24"/>
                <w:szCs w:val="24"/>
              </w:rPr>
              <w:t xml:space="preserve"> a</w:t>
            </w:r>
            <w:r>
              <w:rPr>
                <w:rFonts w:ascii="Garamond" w:hAnsi="Garamond" w:cstheme="minorHAnsi"/>
                <w:sz w:val="24"/>
                <w:szCs w:val="24"/>
              </w:rPr>
              <w:t xml:space="preserve"> multi-specialty</w:t>
            </w:r>
            <w:r w:rsidR="00303465">
              <w:rPr>
                <w:rFonts w:ascii="Garamond" w:hAnsi="Garamond" w:cstheme="minorHAnsi"/>
                <w:sz w:val="24"/>
                <w:szCs w:val="24"/>
              </w:rPr>
              <w:t>,</w:t>
            </w:r>
            <w:r>
              <w:rPr>
                <w:rFonts w:ascii="Garamond" w:hAnsi="Garamond" w:cstheme="minorHAnsi"/>
                <w:sz w:val="24"/>
                <w:szCs w:val="24"/>
              </w:rPr>
              <w:t xml:space="preserve"> freestanding ambulatory surgery center located in Beverly, MA</w:t>
            </w:r>
            <w:r w:rsidR="00567ECE" w:rsidRPr="00C867B4">
              <w:rPr>
                <w:rFonts w:ascii="Garamond" w:hAnsi="Garamond" w:cstheme="minorHAnsi"/>
                <w:sz w:val="24"/>
                <w:szCs w:val="24"/>
              </w:rPr>
              <w:t>. The Applicant</w:t>
            </w:r>
            <w:r w:rsidR="008C0709" w:rsidRPr="00C867B4">
              <w:rPr>
                <w:rFonts w:ascii="Garamond" w:hAnsi="Garamond" w:cstheme="minorHAnsi"/>
                <w:sz w:val="24"/>
                <w:szCs w:val="24"/>
              </w:rPr>
              <w:t xml:space="preserve"> submitted</w:t>
            </w:r>
            <w:r w:rsidR="00D0186F" w:rsidRPr="00C867B4">
              <w:rPr>
                <w:rFonts w:ascii="Garamond" w:hAnsi="Garamond" w:cstheme="minorHAnsi"/>
                <w:sz w:val="24"/>
                <w:szCs w:val="24"/>
              </w:rPr>
              <w:t xml:space="preserve"> an application for a Proposed </w:t>
            </w:r>
            <w:r>
              <w:rPr>
                <w:rFonts w:ascii="Garamond" w:hAnsi="Garamond" w:cstheme="minorHAnsi"/>
                <w:sz w:val="24"/>
                <w:szCs w:val="24"/>
              </w:rPr>
              <w:t>Substantial Change in Service to</w:t>
            </w:r>
            <w:r w:rsidR="00326F06">
              <w:rPr>
                <w:rFonts w:ascii="Garamond" w:hAnsi="Garamond" w:cstheme="minorHAnsi"/>
                <w:sz w:val="24"/>
                <w:szCs w:val="24"/>
              </w:rPr>
              <w:t xml:space="preserve"> expand their</w:t>
            </w:r>
            <w:r>
              <w:rPr>
                <w:rFonts w:ascii="Garamond" w:hAnsi="Garamond" w:cstheme="minorHAnsi"/>
                <w:sz w:val="24"/>
                <w:szCs w:val="24"/>
              </w:rPr>
              <w:t xml:space="preserve"> </w:t>
            </w:r>
            <w:r w:rsidR="00326F06" w:rsidRPr="00326F06">
              <w:rPr>
                <w:rFonts w:ascii="Garamond" w:hAnsi="Garamond" w:cstheme="minorHAnsi"/>
                <w:sz w:val="24"/>
                <w:szCs w:val="24"/>
              </w:rPr>
              <w:t>ambulatory surgical capacity</w:t>
            </w:r>
            <w:r w:rsidR="00326F06">
              <w:rPr>
                <w:rFonts w:ascii="Garamond" w:hAnsi="Garamond" w:cstheme="minorHAnsi"/>
                <w:sz w:val="24"/>
                <w:szCs w:val="24"/>
              </w:rPr>
              <w:t xml:space="preserve">. </w:t>
            </w:r>
            <w:r w:rsidR="00326F06" w:rsidRPr="00DC4B10">
              <w:rPr>
                <w:rFonts w:ascii="Garamond" w:hAnsi="Garamond" w:cstheme="minorHAnsi"/>
                <w:sz w:val="24"/>
                <w:szCs w:val="24"/>
              </w:rPr>
              <w:t xml:space="preserve">The proposal is to renovate </w:t>
            </w:r>
            <w:r w:rsidR="008F1685" w:rsidRPr="00DC4B10">
              <w:rPr>
                <w:rFonts w:ascii="Garamond" w:hAnsi="Garamond" w:cstheme="minorHAnsi"/>
                <w:sz w:val="24"/>
                <w:szCs w:val="24"/>
              </w:rPr>
              <w:t>5,190</w:t>
            </w:r>
            <w:r w:rsidR="00326F06" w:rsidRPr="00DC4B10">
              <w:rPr>
                <w:rFonts w:ascii="Garamond" w:hAnsi="Garamond" w:cstheme="minorHAnsi"/>
                <w:sz w:val="24"/>
                <w:szCs w:val="24"/>
              </w:rPr>
              <w:t xml:space="preserve"> gross square feet (GSF) </w:t>
            </w:r>
            <w:r w:rsidR="000E22E7" w:rsidRPr="00DC4B10">
              <w:rPr>
                <w:rFonts w:ascii="Garamond" w:hAnsi="Garamond" w:cstheme="minorHAnsi"/>
                <w:sz w:val="24"/>
                <w:szCs w:val="24"/>
              </w:rPr>
              <w:t xml:space="preserve">of existing space adjacent to the current location </w:t>
            </w:r>
            <w:r w:rsidR="00326F06" w:rsidRPr="00DC4B10">
              <w:rPr>
                <w:rFonts w:ascii="Garamond" w:hAnsi="Garamond" w:cstheme="minorHAnsi"/>
                <w:sz w:val="24"/>
                <w:szCs w:val="24"/>
              </w:rPr>
              <w:t>for one operating room,</w:t>
            </w:r>
            <w:r w:rsidR="00E266E5" w:rsidRPr="00DC4B10">
              <w:rPr>
                <w:rFonts w:ascii="Garamond" w:hAnsi="Garamond" w:cstheme="minorHAnsi"/>
                <w:sz w:val="24"/>
                <w:szCs w:val="24"/>
              </w:rPr>
              <w:t xml:space="preserve"> two </w:t>
            </w:r>
            <w:r w:rsidR="0012271E" w:rsidRPr="00DC4B10">
              <w:rPr>
                <w:rFonts w:ascii="Garamond" w:hAnsi="Garamond" w:cstheme="minorHAnsi"/>
                <w:sz w:val="24"/>
                <w:szCs w:val="24"/>
              </w:rPr>
              <w:t>pr</w:t>
            </w:r>
            <w:r w:rsidR="00E77E02" w:rsidRPr="00DC4B10">
              <w:rPr>
                <w:rFonts w:ascii="Garamond" w:hAnsi="Garamond" w:cstheme="minorHAnsi"/>
                <w:sz w:val="24"/>
                <w:szCs w:val="24"/>
              </w:rPr>
              <w:t>e/</w:t>
            </w:r>
            <w:r w:rsidR="0012271E" w:rsidRPr="00DC4B10">
              <w:rPr>
                <w:rFonts w:ascii="Garamond" w:hAnsi="Garamond" w:cstheme="minorHAnsi"/>
                <w:sz w:val="24"/>
                <w:szCs w:val="24"/>
              </w:rPr>
              <w:t>post</w:t>
            </w:r>
            <w:r w:rsidR="00867202" w:rsidRPr="00DC4B10">
              <w:rPr>
                <w:rFonts w:ascii="Garamond" w:hAnsi="Garamond" w:cstheme="minorHAnsi"/>
                <w:sz w:val="24"/>
                <w:szCs w:val="24"/>
              </w:rPr>
              <w:t>-</w:t>
            </w:r>
            <w:r w:rsidR="0012271E" w:rsidRPr="00DC4B10">
              <w:rPr>
                <w:rFonts w:ascii="Garamond" w:hAnsi="Garamond" w:cstheme="minorHAnsi"/>
                <w:sz w:val="24"/>
                <w:szCs w:val="24"/>
              </w:rPr>
              <w:t>operative</w:t>
            </w:r>
            <w:r w:rsidR="00E266E5" w:rsidRPr="00DC4B10">
              <w:rPr>
                <w:rFonts w:ascii="Garamond" w:hAnsi="Garamond" w:cstheme="minorHAnsi"/>
                <w:sz w:val="24"/>
                <w:szCs w:val="24"/>
              </w:rPr>
              <w:t xml:space="preserve"> beds, one enclosed </w:t>
            </w:r>
            <w:r w:rsidR="00AE077C">
              <w:rPr>
                <w:rFonts w:ascii="Garamond" w:hAnsi="Garamond" w:cstheme="minorHAnsi"/>
                <w:sz w:val="24"/>
                <w:szCs w:val="24"/>
              </w:rPr>
              <w:t xml:space="preserve">pediatric </w:t>
            </w:r>
            <w:r w:rsidR="002D4F48">
              <w:rPr>
                <w:rFonts w:ascii="Garamond" w:hAnsi="Garamond" w:cstheme="minorHAnsi"/>
                <w:sz w:val="24"/>
                <w:szCs w:val="24"/>
              </w:rPr>
              <w:t>room</w:t>
            </w:r>
            <w:r w:rsidR="00E266E5" w:rsidRPr="00DC4B10">
              <w:rPr>
                <w:rFonts w:ascii="Garamond" w:hAnsi="Garamond" w:cstheme="minorHAnsi"/>
                <w:sz w:val="24"/>
                <w:szCs w:val="24"/>
              </w:rPr>
              <w:t>, a</w:t>
            </w:r>
            <w:r w:rsidR="009908AF">
              <w:rPr>
                <w:rFonts w:ascii="Garamond" w:hAnsi="Garamond" w:cstheme="minorHAnsi"/>
                <w:sz w:val="24"/>
                <w:szCs w:val="24"/>
              </w:rPr>
              <w:t xml:space="preserve">n enlarged </w:t>
            </w:r>
            <w:r w:rsidR="00E266E5" w:rsidRPr="00DC4B10">
              <w:rPr>
                <w:rFonts w:ascii="Garamond" w:hAnsi="Garamond" w:cstheme="minorHAnsi"/>
                <w:sz w:val="24"/>
                <w:szCs w:val="24"/>
              </w:rPr>
              <w:t xml:space="preserve">central sterile area, and </w:t>
            </w:r>
            <w:r w:rsidR="0012271E" w:rsidRPr="00DC4B10">
              <w:rPr>
                <w:rFonts w:ascii="Garamond" w:hAnsi="Garamond" w:cstheme="minorHAnsi"/>
                <w:sz w:val="24"/>
                <w:szCs w:val="24"/>
              </w:rPr>
              <w:t xml:space="preserve">additional </w:t>
            </w:r>
            <w:r w:rsidR="00E266E5" w:rsidRPr="00DC4B10">
              <w:rPr>
                <w:rFonts w:ascii="Garamond" w:hAnsi="Garamond" w:cstheme="minorHAnsi"/>
                <w:sz w:val="24"/>
                <w:szCs w:val="24"/>
              </w:rPr>
              <w:t xml:space="preserve">administrative </w:t>
            </w:r>
            <w:r w:rsidR="0012271E" w:rsidRPr="00DC4B10">
              <w:rPr>
                <w:rFonts w:ascii="Garamond" w:hAnsi="Garamond" w:cstheme="minorHAnsi"/>
                <w:sz w:val="24"/>
                <w:szCs w:val="24"/>
              </w:rPr>
              <w:t xml:space="preserve">offices </w:t>
            </w:r>
            <w:r w:rsidR="00E266E5" w:rsidRPr="00DC4B10">
              <w:rPr>
                <w:rFonts w:ascii="Garamond" w:hAnsi="Garamond" w:cstheme="minorHAnsi"/>
                <w:sz w:val="24"/>
                <w:szCs w:val="24"/>
              </w:rPr>
              <w:t xml:space="preserve">and </w:t>
            </w:r>
            <w:r w:rsidR="0012271E" w:rsidRPr="00DC4B10">
              <w:rPr>
                <w:rFonts w:ascii="Garamond" w:hAnsi="Garamond" w:cstheme="minorHAnsi"/>
                <w:sz w:val="24"/>
                <w:szCs w:val="24"/>
              </w:rPr>
              <w:t>storage spaces</w:t>
            </w:r>
            <w:r w:rsidR="008C0709" w:rsidRPr="00DC4B10">
              <w:rPr>
                <w:rFonts w:ascii="Garamond" w:hAnsi="Garamond" w:cstheme="minorHAnsi"/>
                <w:sz w:val="24"/>
                <w:szCs w:val="24"/>
              </w:rPr>
              <w:t>.</w:t>
            </w:r>
            <w:r w:rsidR="008C0709" w:rsidRPr="00C867B4">
              <w:rPr>
                <w:rFonts w:ascii="Garamond" w:hAnsi="Garamond" w:cstheme="minorHAnsi"/>
                <w:sz w:val="24"/>
                <w:szCs w:val="24"/>
              </w:rPr>
              <w:t xml:space="preserve"> The </w:t>
            </w:r>
            <w:r w:rsidR="00E05AE1" w:rsidRPr="00C867B4">
              <w:rPr>
                <w:rFonts w:ascii="Garamond" w:hAnsi="Garamond" w:cstheme="minorHAnsi"/>
                <w:sz w:val="24"/>
                <w:szCs w:val="24"/>
              </w:rPr>
              <w:t>total value</w:t>
            </w:r>
            <w:r w:rsidR="008C0709" w:rsidRPr="00C867B4">
              <w:rPr>
                <w:rFonts w:ascii="Garamond" w:hAnsi="Garamond" w:cstheme="minorHAnsi"/>
                <w:sz w:val="24"/>
                <w:szCs w:val="24"/>
              </w:rPr>
              <w:t xml:space="preserve"> for the Proposed </w:t>
            </w:r>
            <w:r>
              <w:rPr>
                <w:rFonts w:ascii="Garamond" w:hAnsi="Garamond" w:cstheme="minorHAnsi"/>
                <w:sz w:val="24"/>
                <w:szCs w:val="24"/>
              </w:rPr>
              <w:t>Project</w:t>
            </w:r>
            <w:r w:rsidR="008C0709" w:rsidRPr="00C867B4">
              <w:rPr>
                <w:rFonts w:ascii="Garamond" w:hAnsi="Garamond" w:cstheme="minorHAnsi"/>
                <w:sz w:val="24"/>
                <w:szCs w:val="24"/>
              </w:rPr>
              <w:t xml:space="preserve"> is </w:t>
            </w:r>
            <w:r w:rsidRPr="0012777C">
              <w:rPr>
                <w:rFonts w:ascii="Garamond" w:hAnsi="Garamond" w:cstheme="minorHAnsi"/>
                <w:sz w:val="24"/>
                <w:szCs w:val="24"/>
              </w:rPr>
              <w:t>1,587,646.00</w:t>
            </w:r>
            <w:r w:rsidR="00D72B51" w:rsidRPr="00C867B4">
              <w:rPr>
                <w:rFonts w:ascii="Garamond" w:hAnsi="Garamond" w:cstheme="minorHAnsi"/>
                <w:sz w:val="24"/>
                <w:szCs w:val="24"/>
              </w:rPr>
              <w:t>.</w:t>
            </w:r>
            <w:r>
              <w:rPr>
                <w:rFonts w:ascii="Garamond" w:hAnsi="Garamond" w:cstheme="minorHAnsi"/>
                <w:sz w:val="24"/>
                <w:szCs w:val="24"/>
              </w:rPr>
              <w:t xml:space="preserve"> The </w:t>
            </w:r>
            <w:r w:rsidR="00E50B05">
              <w:rPr>
                <w:rFonts w:ascii="Garamond" w:hAnsi="Garamond" w:cstheme="minorHAnsi"/>
                <w:sz w:val="24"/>
                <w:szCs w:val="24"/>
              </w:rPr>
              <w:t>Community Health Initiative (</w:t>
            </w:r>
            <w:r>
              <w:rPr>
                <w:rFonts w:ascii="Garamond" w:hAnsi="Garamond" w:cstheme="minorHAnsi"/>
                <w:sz w:val="24"/>
                <w:szCs w:val="24"/>
              </w:rPr>
              <w:t>CHI</w:t>
            </w:r>
            <w:r w:rsidR="00E50B05">
              <w:rPr>
                <w:rFonts w:ascii="Garamond" w:hAnsi="Garamond" w:cstheme="minorHAnsi"/>
                <w:sz w:val="24"/>
                <w:szCs w:val="24"/>
              </w:rPr>
              <w:t>)</w:t>
            </w:r>
            <w:r>
              <w:rPr>
                <w:rFonts w:ascii="Garamond" w:hAnsi="Garamond" w:cstheme="minorHAnsi"/>
                <w:sz w:val="24"/>
                <w:szCs w:val="24"/>
              </w:rPr>
              <w:t xml:space="preserve"> contribution</w:t>
            </w:r>
            <w:r w:rsidR="00E50B05">
              <w:rPr>
                <w:rFonts w:ascii="Garamond" w:hAnsi="Garamond" w:cstheme="minorHAnsi"/>
                <w:sz w:val="24"/>
                <w:szCs w:val="24"/>
              </w:rPr>
              <w:t xml:space="preserve"> to the Statewide Initiative Fund</w:t>
            </w:r>
            <w:r>
              <w:rPr>
                <w:rFonts w:ascii="Garamond" w:hAnsi="Garamond" w:cstheme="minorHAnsi"/>
                <w:sz w:val="24"/>
                <w:szCs w:val="24"/>
              </w:rPr>
              <w:t xml:space="preserve"> is </w:t>
            </w:r>
            <w:r w:rsidRPr="0012777C">
              <w:rPr>
                <w:rFonts w:ascii="Garamond" w:hAnsi="Garamond" w:cstheme="minorHAnsi"/>
                <w:sz w:val="24"/>
                <w:szCs w:val="24"/>
              </w:rPr>
              <w:t>$79,382.30</w:t>
            </w:r>
            <w:r>
              <w:rPr>
                <w:rFonts w:ascii="Garamond" w:hAnsi="Garamond" w:cstheme="minorHAnsi"/>
                <w:sz w:val="24"/>
                <w:szCs w:val="24"/>
              </w:rPr>
              <w:t>.</w:t>
            </w:r>
          </w:p>
          <w:p w14:paraId="6825BD2B" w14:textId="77777777" w:rsidR="008C0709" w:rsidRPr="00C867B4" w:rsidRDefault="008C0709" w:rsidP="00EA38CA">
            <w:pPr>
              <w:pStyle w:val="NoSpacing"/>
              <w:contextualSpacing/>
              <w:rPr>
                <w:rFonts w:ascii="Garamond" w:hAnsi="Garamond" w:cstheme="minorHAnsi"/>
                <w:sz w:val="24"/>
                <w:szCs w:val="24"/>
              </w:rPr>
            </w:pPr>
          </w:p>
          <w:p w14:paraId="0AD7059F" w14:textId="2DE60550" w:rsidR="008C0709" w:rsidRPr="00C867B4" w:rsidRDefault="00AE329C" w:rsidP="00AE329C">
            <w:pPr>
              <w:pStyle w:val="NoSpacing"/>
              <w:contextualSpacing/>
              <w:rPr>
                <w:rFonts w:ascii="Garamond" w:hAnsi="Garamond" w:cstheme="minorHAnsi"/>
                <w:sz w:val="24"/>
                <w:szCs w:val="24"/>
              </w:rPr>
            </w:pPr>
            <w:r w:rsidRPr="00AE329C">
              <w:rPr>
                <w:rFonts w:ascii="Garamond" w:hAnsi="Garamond" w:cstheme="minorHAnsi"/>
                <w:sz w:val="24"/>
                <w:szCs w:val="24"/>
              </w:rPr>
              <w:t>Review of Applications for Ambulatory Surgery is under the DoN regulation 105</w:t>
            </w:r>
            <w:r>
              <w:rPr>
                <w:rFonts w:ascii="Garamond" w:hAnsi="Garamond" w:cstheme="minorHAnsi"/>
                <w:sz w:val="24"/>
                <w:szCs w:val="24"/>
              </w:rPr>
              <w:t xml:space="preserve"> </w:t>
            </w:r>
            <w:r w:rsidRPr="00AE329C">
              <w:rPr>
                <w:rFonts w:ascii="Garamond" w:hAnsi="Garamond" w:cstheme="minorHAnsi"/>
                <w:sz w:val="24"/>
                <w:szCs w:val="24"/>
              </w:rPr>
              <w:t>CMR 100.000</w:t>
            </w:r>
            <w:r w:rsidR="0088304F" w:rsidRPr="0088304F">
              <w:rPr>
                <w:rFonts w:ascii="Garamond" w:hAnsi="Garamond" w:cstheme="minorHAnsi"/>
                <w:sz w:val="24"/>
                <w:szCs w:val="24"/>
              </w:rPr>
              <w:t>.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tc>
      </w:tr>
    </w:tbl>
    <w:p w14:paraId="621C547B" w14:textId="77777777" w:rsidR="00E8532F" w:rsidRPr="007B1C0B" w:rsidRDefault="00E8532F" w:rsidP="00EA38CA">
      <w:pPr>
        <w:spacing w:after="0" w:line="240" w:lineRule="auto"/>
        <w:contextualSpacing/>
        <w:rPr>
          <w:rFonts w:ascii="Garamond" w:hAnsi="Garamond"/>
        </w:rPr>
      </w:pPr>
    </w:p>
    <w:p w14:paraId="73E1F07C" w14:textId="77777777" w:rsidR="00D14F77" w:rsidRPr="005F4493" w:rsidRDefault="00E8532F" w:rsidP="00EA38CA">
      <w:pPr>
        <w:spacing w:line="240" w:lineRule="auto"/>
        <w:rPr>
          <w:rFonts w:ascii="Garamond" w:hAnsi="Garamond"/>
        </w:rPr>
      </w:pPr>
      <w:r w:rsidRPr="000D1001">
        <w:rPr>
          <w:rFonts w:ascii="Garamond" w:hAnsi="Garamond"/>
        </w:rPr>
        <w:br w:type="page"/>
      </w:r>
    </w:p>
    <w:sdt>
      <w:sdtPr>
        <w:rPr>
          <w:rFonts w:ascii="Garamond" w:eastAsiaTheme="minorHAnsi" w:hAnsi="Garamond" w:cstheme="minorBidi"/>
          <w:color w:val="auto"/>
          <w:sz w:val="22"/>
          <w:szCs w:val="22"/>
        </w:rPr>
        <w:id w:val="-1752895406"/>
        <w:docPartObj>
          <w:docPartGallery w:val="Table of Contents"/>
          <w:docPartUnique/>
        </w:docPartObj>
      </w:sdtPr>
      <w:sdtEndPr>
        <w:rPr>
          <w:b/>
          <w:bCs/>
          <w:noProof/>
        </w:rPr>
      </w:sdtEndPr>
      <w:sdtContent>
        <w:p w14:paraId="3DD3C447" w14:textId="77777777" w:rsidR="00D14F77" w:rsidRPr="000D1001" w:rsidRDefault="00D14F77" w:rsidP="00EA38CA">
          <w:pPr>
            <w:pStyle w:val="TOCHeading"/>
            <w:spacing w:line="240" w:lineRule="auto"/>
            <w:rPr>
              <w:rFonts w:ascii="Garamond" w:hAnsi="Garamond"/>
            </w:rPr>
          </w:pPr>
          <w:r w:rsidRPr="007B1C0B">
            <w:rPr>
              <w:rFonts w:ascii="Garamond" w:hAnsi="Garamond"/>
            </w:rPr>
            <w:t>Table of Contents</w:t>
          </w:r>
        </w:p>
        <w:p w14:paraId="399AAFF3" w14:textId="4A07933A" w:rsidR="00825499" w:rsidRPr="001841A8" w:rsidRDefault="00D14F77">
          <w:pPr>
            <w:pStyle w:val="TOC1"/>
            <w:rPr>
              <w:rFonts w:eastAsiaTheme="minorEastAsia" w:cstheme="minorBidi"/>
            </w:rPr>
          </w:pPr>
          <w:r w:rsidRPr="000D1001">
            <w:fldChar w:fldCharType="begin"/>
          </w:r>
          <w:r w:rsidRPr="00A177A1">
            <w:instrText xml:space="preserve"> TOC \o "1-3" \h \z \u </w:instrText>
          </w:r>
          <w:r w:rsidRPr="000D1001">
            <w:fldChar w:fldCharType="separate"/>
          </w:r>
          <w:hyperlink w:anchor="_Toc58960194" w:history="1">
            <w:r w:rsidR="00825499" w:rsidRPr="001841A8">
              <w:rPr>
                <w:rStyle w:val="Hyperlink"/>
              </w:rPr>
              <w:t>Background: New England Surgery Center and Application Overview</w:t>
            </w:r>
            <w:r w:rsidR="00825499" w:rsidRPr="001841A8">
              <w:rPr>
                <w:webHidden/>
              </w:rPr>
              <w:tab/>
            </w:r>
            <w:r w:rsidR="00825499" w:rsidRPr="001841A8">
              <w:rPr>
                <w:webHidden/>
              </w:rPr>
              <w:fldChar w:fldCharType="begin"/>
            </w:r>
            <w:r w:rsidR="00825499" w:rsidRPr="001841A8">
              <w:rPr>
                <w:webHidden/>
              </w:rPr>
              <w:instrText xml:space="preserve"> PAGEREF _Toc58960194 \h </w:instrText>
            </w:r>
            <w:r w:rsidR="00825499" w:rsidRPr="001841A8">
              <w:rPr>
                <w:webHidden/>
              </w:rPr>
            </w:r>
            <w:r w:rsidR="00825499" w:rsidRPr="001841A8">
              <w:rPr>
                <w:webHidden/>
              </w:rPr>
              <w:fldChar w:fldCharType="separate"/>
            </w:r>
            <w:r w:rsidR="00DF2909">
              <w:rPr>
                <w:webHidden/>
              </w:rPr>
              <w:t>4</w:t>
            </w:r>
            <w:r w:rsidR="00825499" w:rsidRPr="001841A8">
              <w:rPr>
                <w:webHidden/>
              </w:rPr>
              <w:fldChar w:fldCharType="end"/>
            </w:r>
          </w:hyperlink>
        </w:p>
        <w:p w14:paraId="245A0810" w14:textId="7CA481C2" w:rsidR="00825499" w:rsidRPr="001841A8" w:rsidRDefault="000A431B">
          <w:pPr>
            <w:pStyle w:val="TOC1"/>
            <w:rPr>
              <w:rFonts w:eastAsiaTheme="minorEastAsia" w:cstheme="minorBidi"/>
            </w:rPr>
          </w:pPr>
          <w:hyperlink w:anchor="_Toc58960212" w:history="1">
            <w:r w:rsidR="00825499" w:rsidRPr="001841A8">
              <w:rPr>
                <w:rStyle w:val="Hyperlink"/>
              </w:rPr>
              <w:t>Patient Panel</w:t>
            </w:r>
            <w:r w:rsidR="00825499" w:rsidRPr="001841A8">
              <w:rPr>
                <w:webHidden/>
              </w:rPr>
              <w:tab/>
            </w:r>
            <w:r w:rsidR="00825499" w:rsidRPr="001841A8">
              <w:rPr>
                <w:webHidden/>
              </w:rPr>
              <w:fldChar w:fldCharType="begin"/>
            </w:r>
            <w:r w:rsidR="00825499" w:rsidRPr="001841A8">
              <w:rPr>
                <w:webHidden/>
              </w:rPr>
              <w:instrText xml:space="preserve"> PAGEREF _Toc58960212 \h </w:instrText>
            </w:r>
            <w:r w:rsidR="00825499" w:rsidRPr="001841A8">
              <w:rPr>
                <w:webHidden/>
              </w:rPr>
            </w:r>
            <w:r w:rsidR="00825499" w:rsidRPr="001841A8">
              <w:rPr>
                <w:webHidden/>
              </w:rPr>
              <w:fldChar w:fldCharType="separate"/>
            </w:r>
            <w:r w:rsidR="00DF2909">
              <w:rPr>
                <w:webHidden/>
              </w:rPr>
              <w:t>4</w:t>
            </w:r>
            <w:r w:rsidR="00825499" w:rsidRPr="001841A8">
              <w:rPr>
                <w:webHidden/>
              </w:rPr>
              <w:fldChar w:fldCharType="end"/>
            </w:r>
          </w:hyperlink>
        </w:p>
        <w:p w14:paraId="2CF41944" w14:textId="4EBD8521" w:rsidR="00825499" w:rsidRPr="001841A8" w:rsidRDefault="000A431B">
          <w:pPr>
            <w:pStyle w:val="TOC1"/>
            <w:rPr>
              <w:rFonts w:eastAsiaTheme="minorEastAsia" w:cstheme="minorBidi"/>
            </w:rPr>
          </w:pPr>
          <w:hyperlink w:anchor="_Toc58960213" w:history="1">
            <w:r w:rsidR="00825499" w:rsidRPr="001841A8">
              <w:rPr>
                <w:rStyle w:val="Hyperlink"/>
                <w:rFonts w:eastAsia="Calibri"/>
              </w:rPr>
              <w:t xml:space="preserve">Factor </w:t>
            </w:r>
            <w:r w:rsidR="00EA581B" w:rsidRPr="001841A8">
              <w:rPr>
                <w:rStyle w:val="Hyperlink"/>
                <w:rFonts w:eastAsia="Calibri"/>
              </w:rPr>
              <w:t xml:space="preserve">1: </w:t>
            </w:r>
            <w:r w:rsidR="00825499" w:rsidRPr="001841A8">
              <w:rPr>
                <w:rStyle w:val="Hyperlink"/>
                <w:rFonts w:eastAsia="Calibri"/>
              </w:rPr>
              <w:t>a</w:t>
            </w:r>
            <w:r w:rsidR="00EA581B" w:rsidRPr="001841A8">
              <w:rPr>
                <w:rStyle w:val="Hyperlink"/>
                <w:rFonts w:eastAsia="Calibri"/>
              </w:rPr>
              <w:t xml:space="preserve">) </w:t>
            </w:r>
            <w:r w:rsidR="00825499" w:rsidRPr="001841A8">
              <w:rPr>
                <w:rStyle w:val="Hyperlink"/>
                <w:rFonts w:eastAsia="Calibri"/>
              </w:rPr>
              <w:t>Patient Panel Need</w:t>
            </w:r>
            <w:r w:rsidR="00825499" w:rsidRPr="001841A8">
              <w:rPr>
                <w:webHidden/>
              </w:rPr>
              <w:tab/>
            </w:r>
            <w:r w:rsidR="00825499" w:rsidRPr="001841A8">
              <w:rPr>
                <w:webHidden/>
              </w:rPr>
              <w:fldChar w:fldCharType="begin"/>
            </w:r>
            <w:r w:rsidR="00825499" w:rsidRPr="001841A8">
              <w:rPr>
                <w:webHidden/>
              </w:rPr>
              <w:instrText xml:space="preserve"> PAGEREF _Toc58960213 \h </w:instrText>
            </w:r>
            <w:r w:rsidR="00825499" w:rsidRPr="001841A8">
              <w:rPr>
                <w:webHidden/>
              </w:rPr>
            </w:r>
            <w:r w:rsidR="00825499" w:rsidRPr="001841A8">
              <w:rPr>
                <w:webHidden/>
              </w:rPr>
              <w:fldChar w:fldCharType="separate"/>
            </w:r>
            <w:r w:rsidR="00DF2909">
              <w:rPr>
                <w:webHidden/>
              </w:rPr>
              <w:t>5</w:t>
            </w:r>
            <w:r w:rsidR="00825499" w:rsidRPr="001841A8">
              <w:rPr>
                <w:webHidden/>
              </w:rPr>
              <w:fldChar w:fldCharType="end"/>
            </w:r>
          </w:hyperlink>
        </w:p>
        <w:p w14:paraId="2B7A1C2C" w14:textId="4B9CFB7B" w:rsidR="00825499" w:rsidRPr="001841A8" w:rsidRDefault="000A431B">
          <w:pPr>
            <w:pStyle w:val="TOC1"/>
            <w:rPr>
              <w:rFonts w:eastAsiaTheme="minorEastAsia" w:cstheme="minorBidi"/>
            </w:rPr>
          </w:pPr>
          <w:hyperlink w:anchor="_Toc58960214" w:history="1">
            <w:r w:rsidR="00825499" w:rsidRPr="001841A8">
              <w:rPr>
                <w:rStyle w:val="Hyperlink"/>
              </w:rPr>
              <w:t>Factor 1: b) Public health value, improved health outcomes and quality of life; assurances of health equity</w:t>
            </w:r>
            <w:r w:rsidR="00825499" w:rsidRPr="001841A8">
              <w:rPr>
                <w:webHidden/>
              </w:rPr>
              <w:tab/>
            </w:r>
            <w:r w:rsidR="00825499" w:rsidRPr="001841A8">
              <w:rPr>
                <w:webHidden/>
              </w:rPr>
              <w:fldChar w:fldCharType="begin"/>
            </w:r>
            <w:r w:rsidR="00825499" w:rsidRPr="001841A8">
              <w:rPr>
                <w:webHidden/>
              </w:rPr>
              <w:instrText xml:space="preserve"> PAGEREF _Toc58960214 \h </w:instrText>
            </w:r>
            <w:r w:rsidR="00825499" w:rsidRPr="001841A8">
              <w:rPr>
                <w:webHidden/>
              </w:rPr>
            </w:r>
            <w:r w:rsidR="00825499" w:rsidRPr="001841A8">
              <w:rPr>
                <w:webHidden/>
              </w:rPr>
              <w:fldChar w:fldCharType="separate"/>
            </w:r>
            <w:r w:rsidR="00DF2909">
              <w:rPr>
                <w:webHidden/>
              </w:rPr>
              <w:t>9</w:t>
            </w:r>
            <w:r w:rsidR="00825499" w:rsidRPr="001841A8">
              <w:rPr>
                <w:webHidden/>
              </w:rPr>
              <w:fldChar w:fldCharType="end"/>
            </w:r>
          </w:hyperlink>
        </w:p>
        <w:p w14:paraId="06978EFE" w14:textId="630166D3" w:rsidR="00825499" w:rsidRPr="001841A8" w:rsidRDefault="000A431B" w:rsidP="00825499">
          <w:pPr>
            <w:pStyle w:val="TOC2"/>
            <w:ind w:left="0"/>
            <w:rPr>
              <w:rFonts w:ascii="Garamond" w:eastAsiaTheme="minorEastAsia" w:hAnsi="Garamond"/>
              <w:noProof/>
            </w:rPr>
          </w:pPr>
          <w:hyperlink w:anchor="_Toc58960215" w:history="1">
            <w:r w:rsidR="00825499" w:rsidRPr="001841A8">
              <w:rPr>
                <w:rStyle w:val="Hyperlink"/>
                <w:rFonts w:ascii="Garamond" w:hAnsi="Garamond"/>
                <w:noProof/>
              </w:rPr>
              <w:t>Factor 1: c) Efficiency, Continuity of Care, Coordination of Care</w:t>
            </w:r>
            <w:r w:rsidR="00825499" w:rsidRPr="001841A8">
              <w:rPr>
                <w:rFonts w:ascii="Garamond" w:hAnsi="Garamond"/>
                <w:noProof/>
                <w:webHidden/>
              </w:rPr>
              <w:tab/>
            </w:r>
            <w:r w:rsidR="00825499" w:rsidRPr="001841A8">
              <w:rPr>
                <w:rFonts w:ascii="Garamond" w:hAnsi="Garamond"/>
                <w:noProof/>
                <w:webHidden/>
              </w:rPr>
              <w:fldChar w:fldCharType="begin"/>
            </w:r>
            <w:r w:rsidR="00825499" w:rsidRPr="001841A8">
              <w:rPr>
                <w:rFonts w:ascii="Garamond" w:hAnsi="Garamond"/>
                <w:noProof/>
                <w:webHidden/>
              </w:rPr>
              <w:instrText xml:space="preserve"> PAGEREF _Toc58960215 \h </w:instrText>
            </w:r>
            <w:r w:rsidR="00825499" w:rsidRPr="001841A8">
              <w:rPr>
                <w:rFonts w:ascii="Garamond" w:hAnsi="Garamond"/>
                <w:noProof/>
                <w:webHidden/>
              </w:rPr>
            </w:r>
            <w:r w:rsidR="00825499" w:rsidRPr="001841A8">
              <w:rPr>
                <w:rFonts w:ascii="Garamond" w:hAnsi="Garamond"/>
                <w:noProof/>
                <w:webHidden/>
              </w:rPr>
              <w:fldChar w:fldCharType="separate"/>
            </w:r>
            <w:r w:rsidR="00DF2909">
              <w:rPr>
                <w:rFonts w:ascii="Garamond" w:hAnsi="Garamond"/>
                <w:noProof/>
                <w:webHidden/>
              </w:rPr>
              <w:t>11</w:t>
            </w:r>
            <w:r w:rsidR="00825499" w:rsidRPr="001841A8">
              <w:rPr>
                <w:rFonts w:ascii="Garamond" w:hAnsi="Garamond"/>
                <w:noProof/>
                <w:webHidden/>
              </w:rPr>
              <w:fldChar w:fldCharType="end"/>
            </w:r>
          </w:hyperlink>
        </w:p>
        <w:p w14:paraId="7F5552ED" w14:textId="53A2A96F" w:rsidR="00825499" w:rsidRPr="001841A8" w:rsidRDefault="000A431B">
          <w:pPr>
            <w:pStyle w:val="TOC1"/>
            <w:rPr>
              <w:rFonts w:eastAsiaTheme="minorEastAsia" w:cstheme="minorBidi"/>
            </w:rPr>
          </w:pPr>
          <w:hyperlink w:anchor="_Toc58960216" w:history="1">
            <w:r w:rsidR="00825499" w:rsidRPr="001841A8">
              <w:rPr>
                <w:rStyle w:val="Hyperlink"/>
              </w:rPr>
              <w:t>Factor 1: d) Consultation</w:t>
            </w:r>
            <w:r w:rsidR="00825499" w:rsidRPr="001841A8">
              <w:rPr>
                <w:webHidden/>
              </w:rPr>
              <w:tab/>
            </w:r>
            <w:r w:rsidR="00825499" w:rsidRPr="001841A8">
              <w:rPr>
                <w:webHidden/>
              </w:rPr>
              <w:fldChar w:fldCharType="begin"/>
            </w:r>
            <w:r w:rsidR="00825499" w:rsidRPr="001841A8">
              <w:rPr>
                <w:webHidden/>
              </w:rPr>
              <w:instrText xml:space="preserve"> PAGEREF _Toc58960216 \h </w:instrText>
            </w:r>
            <w:r w:rsidR="00825499" w:rsidRPr="001841A8">
              <w:rPr>
                <w:webHidden/>
              </w:rPr>
            </w:r>
            <w:r w:rsidR="00825499" w:rsidRPr="001841A8">
              <w:rPr>
                <w:webHidden/>
              </w:rPr>
              <w:fldChar w:fldCharType="separate"/>
            </w:r>
            <w:r w:rsidR="00DF2909">
              <w:rPr>
                <w:webHidden/>
              </w:rPr>
              <w:t>11</w:t>
            </w:r>
            <w:r w:rsidR="00825499" w:rsidRPr="001841A8">
              <w:rPr>
                <w:webHidden/>
              </w:rPr>
              <w:fldChar w:fldCharType="end"/>
            </w:r>
          </w:hyperlink>
        </w:p>
        <w:p w14:paraId="075B5832" w14:textId="4F0D51D3" w:rsidR="00825499" w:rsidRPr="001841A8" w:rsidRDefault="000A431B">
          <w:pPr>
            <w:pStyle w:val="TOC1"/>
            <w:rPr>
              <w:rFonts w:eastAsiaTheme="minorEastAsia" w:cstheme="minorBidi"/>
            </w:rPr>
          </w:pPr>
          <w:hyperlink w:anchor="_Toc58960217" w:history="1">
            <w:r w:rsidR="00825499" w:rsidRPr="001841A8">
              <w:rPr>
                <w:rStyle w:val="Hyperlink"/>
              </w:rPr>
              <w:t>Factor 1: e) Evidence of Sound Community Engagement through the Patient Panel</w:t>
            </w:r>
            <w:r w:rsidR="00825499" w:rsidRPr="001841A8">
              <w:rPr>
                <w:webHidden/>
              </w:rPr>
              <w:tab/>
            </w:r>
            <w:r w:rsidR="00825499" w:rsidRPr="001841A8">
              <w:rPr>
                <w:webHidden/>
              </w:rPr>
              <w:fldChar w:fldCharType="begin"/>
            </w:r>
            <w:r w:rsidR="00825499" w:rsidRPr="001841A8">
              <w:rPr>
                <w:webHidden/>
              </w:rPr>
              <w:instrText xml:space="preserve"> PAGEREF _Toc58960217 \h </w:instrText>
            </w:r>
            <w:r w:rsidR="00825499" w:rsidRPr="001841A8">
              <w:rPr>
                <w:webHidden/>
              </w:rPr>
            </w:r>
            <w:r w:rsidR="00825499" w:rsidRPr="001841A8">
              <w:rPr>
                <w:webHidden/>
              </w:rPr>
              <w:fldChar w:fldCharType="separate"/>
            </w:r>
            <w:r w:rsidR="00DF2909">
              <w:rPr>
                <w:webHidden/>
              </w:rPr>
              <w:t>12</w:t>
            </w:r>
            <w:r w:rsidR="00825499" w:rsidRPr="001841A8">
              <w:rPr>
                <w:webHidden/>
              </w:rPr>
              <w:fldChar w:fldCharType="end"/>
            </w:r>
          </w:hyperlink>
        </w:p>
        <w:p w14:paraId="565320A6" w14:textId="0416BA9D" w:rsidR="00825499" w:rsidRPr="001841A8" w:rsidRDefault="000A431B">
          <w:pPr>
            <w:pStyle w:val="TOC1"/>
            <w:rPr>
              <w:rFonts w:eastAsiaTheme="minorEastAsia" w:cstheme="minorBidi"/>
            </w:rPr>
          </w:pPr>
          <w:hyperlink w:anchor="_Toc58960218" w:history="1">
            <w:r w:rsidR="00825499" w:rsidRPr="001841A8">
              <w:rPr>
                <w:rStyle w:val="Hyperlink"/>
              </w:rPr>
              <w:t>Factor 1: f) Competition on price, total medical expenses (TME), costs and other measures of health care spending</w:t>
            </w:r>
            <w:r w:rsidR="00825499" w:rsidRPr="001841A8">
              <w:rPr>
                <w:webHidden/>
              </w:rPr>
              <w:tab/>
            </w:r>
            <w:r w:rsidR="00825499" w:rsidRPr="001841A8">
              <w:rPr>
                <w:webHidden/>
              </w:rPr>
              <w:fldChar w:fldCharType="begin"/>
            </w:r>
            <w:r w:rsidR="00825499" w:rsidRPr="001841A8">
              <w:rPr>
                <w:webHidden/>
              </w:rPr>
              <w:instrText xml:space="preserve"> PAGEREF _Toc58960218 \h </w:instrText>
            </w:r>
            <w:r w:rsidR="00825499" w:rsidRPr="001841A8">
              <w:rPr>
                <w:webHidden/>
              </w:rPr>
            </w:r>
            <w:r w:rsidR="00825499" w:rsidRPr="001841A8">
              <w:rPr>
                <w:webHidden/>
              </w:rPr>
              <w:fldChar w:fldCharType="separate"/>
            </w:r>
            <w:r w:rsidR="00DF2909">
              <w:rPr>
                <w:webHidden/>
              </w:rPr>
              <w:t>12</w:t>
            </w:r>
            <w:r w:rsidR="00825499" w:rsidRPr="001841A8">
              <w:rPr>
                <w:webHidden/>
              </w:rPr>
              <w:fldChar w:fldCharType="end"/>
            </w:r>
          </w:hyperlink>
        </w:p>
        <w:p w14:paraId="4E1859C5" w14:textId="19DC00D0" w:rsidR="00825499" w:rsidRPr="001841A8" w:rsidRDefault="000A431B" w:rsidP="00825499">
          <w:pPr>
            <w:pStyle w:val="TOC2"/>
            <w:ind w:left="0"/>
            <w:rPr>
              <w:rFonts w:ascii="Garamond" w:eastAsiaTheme="minorEastAsia" w:hAnsi="Garamond"/>
              <w:noProof/>
            </w:rPr>
          </w:pPr>
          <w:hyperlink w:anchor="_Toc58960219" w:history="1">
            <w:r w:rsidR="00825499" w:rsidRPr="001841A8">
              <w:rPr>
                <w:rStyle w:val="Hyperlink"/>
                <w:rFonts w:ascii="Garamond" w:hAnsi="Garamond"/>
                <w:noProof/>
              </w:rPr>
              <w:t>Factor 1 Summary</w:t>
            </w:r>
            <w:r w:rsidR="00825499" w:rsidRPr="001841A8">
              <w:rPr>
                <w:rFonts w:ascii="Garamond" w:hAnsi="Garamond"/>
                <w:noProof/>
                <w:webHidden/>
              </w:rPr>
              <w:tab/>
            </w:r>
            <w:r w:rsidR="00825499" w:rsidRPr="001841A8">
              <w:rPr>
                <w:rFonts w:ascii="Garamond" w:hAnsi="Garamond"/>
                <w:noProof/>
                <w:webHidden/>
              </w:rPr>
              <w:fldChar w:fldCharType="begin"/>
            </w:r>
            <w:r w:rsidR="00825499" w:rsidRPr="001841A8">
              <w:rPr>
                <w:rFonts w:ascii="Garamond" w:hAnsi="Garamond"/>
                <w:noProof/>
                <w:webHidden/>
              </w:rPr>
              <w:instrText xml:space="preserve"> PAGEREF _Toc58960219 \h </w:instrText>
            </w:r>
            <w:r w:rsidR="00825499" w:rsidRPr="001841A8">
              <w:rPr>
                <w:rFonts w:ascii="Garamond" w:hAnsi="Garamond"/>
                <w:noProof/>
                <w:webHidden/>
              </w:rPr>
            </w:r>
            <w:r w:rsidR="00825499" w:rsidRPr="001841A8">
              <w:rPr>
                <w:rFonts w:ascii="Garamond" w:hAnsi="Garamond"/>
                <w:noProof/>
                <w:webHidden/>
              </w:rPr>
              <w:fldChar w:fldCharType="separate"/>
            </w:r>
            <w:r w:rsidR="00DF2909">
              <w:rPr>
                <w:rFonts w:ascii="Garamond" w:hAnsi="Garamond"/>
                <w:noProof/>
                <w:webHidden/>
              </w:rPr>
              <w:t>14</w:t>
            </w:r>
            <w:r w:rsidR="00825499" w:rsidRPr="001841A8">
              <w:rPr>
                <w:rFonts w:ascii="Garamond" w:hAnsi="Garamond"/>
                <w:noProof/>
                <w:webHidden/>
              </w:rPr>
              <w:fldChar w:fldCharType="end"/>
            </w:r>
          </w:hyperlink>
        </w:p>
        <w:p w14:paraId="1738AFC3" w14:textId="45564208" w:rsidR="00825499" w:rsidRPr="001841A8" w:rsidRDefault="000A431B">
          <w:pPr>
            <w:pStyle w:val="TOC1"/>
            <w:rPr>
              <w:rFonts w:eastAsiaTheme="minorEastAsia" w:cstheme="minorBidi"/>
            </w:rPr>
          </w:pPr>
          <w:hyperlink w:anchor="_Toc58960220" w:history="1">
            <w:r w:rsidR="00825499" w:rsidRPr="001841A8">
              <w:rPr>
                <w:rStyle w:val="Hyperlink"/>
              </w:rPr>
              <w:t>Factor 2: Cost containment, Improved Public Health Outcomes and Delivery System Transformation</w:t>
            </w:r>
            <w:r w:rsidR="00825499" w:rsidRPr="001841A8">
              <w:rPr>
                <w:webHidden/>
              </w:rPr>
              <w:tab/>
            </w:r>
            <w:r w:rsidR="00825499" w:rsidRPr="001841A8">
              <w:rPr>
                <w:webHidden/>
              </w:rPr>
              <w:fldChar w:fldCharType="begin"/>
            </w:r>
            <w:r w:rsidR="00825499" w:rsidRPr="001841A8">
              <w:rPr>
                <w:webHidden/>
              </w:rPr>
              <w:instrText xml:space="preserve"> PAGEREF _Toc58960220 \h </w:instrText>
            </w:r>
            <w:r w:rsidR="00825499" w:rsidRPr="001841A8">
              <w:rPr>
                <w:webHidden/>
              </w:rPr>
            </w:r>
            <w:r w:rsidR="00825499" w:rsidRPr="001841A8">
              <w:rPr>
                <w:webHidden/>
              </w:rPr>
              <w:fldChar w:fldCharType="separate"/>
            </w:r>
            <w:r w:rsidR="00DF2909">
              <w:rPr>
                <w:webHidden/>
              </w:rPr>
              <w:t>14</w:t>
            </w:r>
            <w:r w:rsidR="00825499" w:rsidRPr="001841A8">
              <w:rPr>
                <w:webHidden/>
              </w:rPr>
              <w:fldChar w:fldCharType="end"/>
            </w:r>
          </w:hyperlink>
        </w:p>
        <w:p w14:paraId="74BB9378" w14:textId="1BEC3447" w:rsidR="00825499" w:rsidRPr="001841A8" w:rsidRDefault="000A431B">
          <w:pPr>
            <w:pStyle w:val="TOC1"/>
            <w:rPr>
              <w:rFonts w:eastAsiaTheme="minorEastAsia" w:cstheme="minorBidi"/>
            </w:rPr>
          </w:pPr>
          <w:hyperlink w:anchor="_Toc58960221" w:history="1">
            <w:r w:rsidR="00825499" w:rsidRPr="001841A8">
              <w:rPr>
                <w:rStyle w:val="Hyperlink"/>
              </w:rPr>
              <w:t>Factor 2 Summary</w:t>
            </w:r>
            <w:r w:rsidR="00825499" w:rsidRPr="001841A8">
              <w:rPr>
                <w:webHidden/>
              </w:rPr>
              <w:tab/>
            </w:r>
            <w:r w:rsidR="00825499" w:rsidRPr="001841A8">
              <w:rPr>
                <w:webHidden/>
              </w:rPr>
              <w:fldChar w:fldCharType="begin"/>
            </w:r>
            <w:r w:rsidR="00825499" w:rsidRPr="001841A8">
              <w:rPr>
                <w:webHidden/>
              </w:rPr>
              <w:instrText xml:space="preserve"> PAGEREF _Toc58960221 \h </w:instrText>
            </w:r>
            <w:r w:rsidR="00825499" w:rsidRPr="001841A8">
              <w:rPr>
                <w:webHidden/>
              </w:rPr>
            </w:r>
            <w:r w:rsidR="00825499" w:rsidRPr="001841A8">
              <w:rPr>
                <w:webHidden/>
              </w:rPr>
              <w:fldChar w:fldCharType="separate"/>
            </w:r>
            <w:r w:rsidR="00DF2909">
              <w:rPr>
                <w:webHidden/>
              </w:rPr>
              <w:t>16</w:t>
            </w:r>
            <w:r w:rsidR="00825499" w:rsidRPr="001841A8">
              <w:rPr>
                <w:webHidden/>
              </w:rPr>
              <w:fldChar w:fldCharType="end"/>
            </w:r>
          </w:hyperlink>
        </w:p>
        <w:p w14:paraId="5B15554F" w14:textId="66FF6C33" w:rsidR="00825499" w:rsidRPr="001841A8" w:rsidRDefault="000A431B">
          <w:pPr>
            <w:pStyle w:val="TOC1"/>
            <w:rPr>
              <w:rFonts w:eastAsiaTheme="minorEastAsia" w:cstheme="minorBidi"/>
            </w:rPr>
          </w:pPr>
          <w:hyperlink w:anchor="_Toc58960222" w:history="1">
            <w:r w:rsidR="00825499" w:rsidRPr="001841A8">
              <w:rPr>
                <w:rStyle w:val="Hyperlink"/>
              </w:rPr>
              <w:t>Factor 3: Relevant Licensure/Oversight Compliance</w:t>
            </w:r>
            <w:r w:rsidR="00825499" w:rsidRPr="001841A8">
              <w:rPr>
                <w:webHidden/>
              </w:rPr>
              <w:tab/>
            </w:r>
            <w:r w:rsidR="00825499" w:rsidRPr="001841A8">
              <w:rPr>
                <w:webHidden/>
              </w:rPr>
              <w:fldChar w:fldCharType="begin"/>
            </w:r>
            <w:r w:rsidR="00825499" w:rsidRPr="001841A8">
              <w:rPr>
                <w:webHidden/>
              </w:rPr>
              <w:instrText xml:space="preserve"> PAGEREF _Toc58960222 \h </w:instrText>
            </w:r>
            <w:r w:rsidR="00825499" w:rsidRPr="001841A8">
              <w:rPr>
                <w:webHidden/>
              </w:rPr>
            </w:r>
            <w:r w:rsidR="00825499" w:rsidRPr="001841A8">
              <w:rPr>
                <w:webHidden/>
              </w:rPr>
              <w:fldChar w:fldCharType="separate"/>
            </w:r>
            <w:r w:rsidR="00DF2909">
              <w:rPr>
                <w:webHidden/>
              </w:rPr>
              <w:t>16</w:t>
            </w:r>
            <w:r w:rsidR="00825499" w:rsidRPr="001841A8">
              <w:rPr>
                <w:webHidden/>
              </w:rPr>
              <w:fldChar w:fldCharType="end"/>
            </w:r>
          </w:hyperlink>
        </w:p>
        <w:p w14:paraId="5C769522" w14:textId="62E3935A" w:rsidR="00825499" w:rsidRPr="001841A8" w:rsidRDefault="000A431B">
          <w:pPr>
            <w:pStyle w:val="TOC1"/>
            <w:rPr>
              <w:rFonts w:eastAsiaTheme="minorEastAsia" w:cstheme="minorBidi"/>
            </w:rPr>
          </w:pPr>
          <w:hyperlink w:anchor="_Toc58960223" w:history="1">
            <w:r w:rsidR="00825499" w:rsidRPr="001841A8">
              <w:rPr>
                <w:rStyle w:val="Hyperlink"/>
              </w:rPr>
              <w:t>Factor 4: Demonstration of Sufficient Funds as Supported by an Independent CPA Analysis</w:t>
            </w:r>
            <w:r w:rsidR="00825499" w:rsidRPr="001841A8">
              <w:rPr>
                <w:webHidden/>
              </w:rPr>
              <w:tab/>
            </w:r>
            <w:r w:rsidR="00825499" w:rsidRPr="001841A8">
              <w:rPr>
                <w:webHidden/>
              </w:rPr>
              <w:fldChar w:fldCharType="begin"/>
            </w:r>
            <w:r w:rsidR="00825499" w:rsidRPr="001841A8">
              <w:rPr>
                <w:webHidden/>
              </w:rPr>
              <w:instrText xml:space="preserve"> PAGEREF _Toc58960223 \h </w:instrText>
            </w:r>
            <w:r w:rsidR="00825499" w:rsidRPr="001841A8">
              <w:rPr>
                <w:webHidden/>
              </w:rPr>
            </w:r>
            <w:r w:rsidR="00825499" w:rsidRPr="001841A8">
              <w:rPr>
                <w:webHidden/>
              </w:rPr>
              <w:fldChar w:fldCharType="separate"/>
            </w:r>
            <w:r w:rsidR="00DF2909">
              <w:rPr>
                <w:webHidden/>
              </w:rPr>
              <w:t>16</w:t>
            </w:r>
            <w:r w:rsidR="00825499" w:rsidRPr="001841A8">
              <w:rPr>
                <w:webHidden/>
              </w:rPr>
              <w:fldChar w:fldCharType="end"/>
            </w:r>
          </w:hyperlink>
        </w:p>
        <w:p w14:paraId="4C442699" w14:textId="0AD7C4B1" w:rsidR="00825499" w:rsidRPr="001841A8" w:rsidRDefault="000A431B">
          <w:pPr>
            <w:pStyle w:val="TOC1"/>
            <w:rPr>
              <w:rFonts w:eastAsiaTheme="minorEastAsia" w:cstheme="minorBidi"/>
            </w:rPr>
          </w:pPr>
          <w:hyperlink w:anchor="_Toc58960224" w:history="1">
            <w:r w:rsidR="00825499" w:rsidRPr="001841A8">
              <w:rPr>
                <w:rStyle w:val="Hyperlink"/>
              </w:rPr>
              <w:t>Factor 5: Assessment of the Proposed Project’s Relative Merit</w:t>
            </w:r>
            <w:r w:rsidR="00825499" w:rsidRPr="001841A8">
              <w:rPr>
                <w:webHidden/>
              </w:rPr>
              <w:tab/>
            </w:r>
            <w:r w:rsidR="00825499" w:rsidRPr="001841A8">
              <w:rPr>
                <w:webHidden/>
              </w:rPr>
              <w:fldChar w:fldCharType="begin"/>
            </w:r>
            <w:r w:rsidR="00825499" w:rsidRPr="001841A8">
              <w:rPr>
                <w:webHidden/>
              </w:rPr>
              <w:instrText xml:space="preserve"> PAGEREF _Toc58960224 \h </w:instrText>
            </w:r>
            <w:r w:rsidR="00825499" w:rsidRPr="001841A8">
              <w:rPr>
                <w:webHidden/>
              </w:rPr>
            </w:r>
            <w:r w:rsidR="00825499" w:rsidRPr="001841A8">
              <w:rPr>
                <w:webHidden/>
              </w:rPr>
              <w:fldChar w:fldCharType="separate"/>
            </w:r>
            <w:r w:rsidR="00DF2909">
              <w:rPr>
                <w:webHidden/>
              </w:rPr>
              <w:t>17</w:t>
            </w:r>
            <w:r w:rsidR="00825499" w:rsidRPr="001841A8">
              <w:rPr>
                <w:webHidden/>
              </w:rPr>
              <w:fldChar w:fldCharType="end"/>
            </w:r>
          </w:hyperlink>
        </w:p>
        <w:p w14:paraId="6D898EFA" w14:textId="4FB17F3E" w:rsidR="00825499" w:rsidRPr="001841A8" w:rsidRDefault="000A431B">
          <w:pPr>
            <w:pStyle w:val="TOC1"/>
            <w:rPr>
              <w:rFonts w:eastAsiaTheme="minorEastAsia" w:cstheme="minorBidi"/>
            </w:rPr>
          </w:pPr>
          <w:hyperlink w:anchor="_Toc58960225" w:history="1">
            <w:r w:rsidR="00825499" w:rsidRPr="001841A8">
              <w:rPr>
                <w:rStyle w:val="Hyperlink"/>
              </w:rPr>
              <w:t>Factor 6: Fulfillment of DPH Community-based Health Initiatives Guideline</w:t>
            </w:r>
            <w:r w:rsidR="00825499" w:rsidRPr="001841A8">
              <w:rPr>
                <w:webHidden/>
              </w:rPr>
              <w:tab/>
            </w:r>
            <w:r w:rsidR="00825499" w:rsidRPr="001841A8">
              <w:rPr>
                <w:webHidden/>
              </w:rPr>
              <w:fldChar w:fldCharType="begin"/>
            </w:r>
            <w:r w:rsidR="00825499" w:rsidRPr="001841A8">
              <w:rPr>
                <w:webHidden/>
              </w:rPr>
              <w:instrText xml:space="preserve"> PAGEREF _Toc58960225 \h </w:instrText>
            </w:r>
            <w:r w:rsidR="00825499" w:rsidRPr="001841A8">
              <w:rPr>
                <w:webHidden/>
              </w:rPr>
            </w:r>
            <w:r w:rsidR="00825499" w:rsidRPr="001841A8">
              <w:rPr>
                <w:webHidden/>
              </w:rPr>
              <w:fldChar w:fldCharType="separate"/>
            </w:r>
            <w:r w:rsidR="00DF2909">
              <w:rPr>
                <w:webHidden/>
              </w:rPr>
              <w:t>17</w:t>
            </w:r>
            <w:r w:rsidR="00825499" w:rsidRPr="001841A8">
              <w:rPr>
                <w:webHidden/>
              </w:rPr>
              <w:fldChar w:fldCharType="end"/>
            </w:r>
          </w:hyperlink>
        </w:p>
        <w:p w14:paraId="513EED07" w14:textId="77501779" w:rsidR="00825499" w:rsidRPr="001841A8" w:rsidRDefault="000A431B">
          <w:pPr>
            <w:pStyle w:val="TOC1"/>
            <w:rPr>
              <w:rFonts w:eastAsiaTheme="minorEastAsia" w:cstheme="minorBidi"/>
            </w:rPr>
          </w:pPr>
          <w:hyperlink w:anchor="_Toc58960226" w:history="1">
            <w:r w:rsidR="00825499" w:rsidRPr="001841A8">
              <w:rPr>
                <w:rStyle w:val="Hyperlink"/>
              </w:rPr>
              <w:t>Findings and Recommendations</w:t>
            </w:r>
            <w:r w:rsidR="00825499" w:rsidRPr="001841A8">
              <w:rPr>
                <w:webHidden/>
              </w:rPr>
              <w:tab/>
            </w:r>
            <w:r w:rsidR="00825499" w:rsidRPr="001841A8">
              <w:rPr>
                <w:webHidden/>
              </w:rPr>
              <w:fldChar w:fldCharType="begin"/>
            </w:r>
            <w:r w:rsidR="00825499" w:rsidRPr="001841A8">
              <w:rPr>
                <w:webHidden/>
              </w:rPr>
              <w:instrText xml:space="preserve"> PAGEREF _Toc58960226 \h </w:instrText>
            </w:r>
            <w:r w:rsidR="00825499" w:rsidRPr="001841A8">
              <w:rPr>
                <w:webHidden/>
              </w:rPr>
            </w:r>
            <w:r w:rsidR="00825499" w:rsidRPr="001841A8">
              <w:rPr>
                <w:webHidden/>
              </w:rPr>
              <w:fldChar w:fldCharType="separate"/>
            </w:r>
            <w:r w:rsidR="00DF2909">
              <w:rPr>
                <w:webHidden/>
              </w:rPr>
              <w:t>17</w:t>
            </w:r>
            <w:r w:rsidR="00825499" w:rsidRPr="001841A8">
              <w:rPr>
                <w:webHidden/>
              </w:rPr>
              <w:fldChar w:fldCharType="end"/>
            </w:r>
          </w:hyperlink>
        </w:p>
        <w:p w14:paraId="76180812" w14:textId="491051C5" w:rsidR="00825499" w:rsidRPr="001841A8" w:rsidRDefault="000A431B">
          <w:pPr>
            <w:pStyle w:val="TOC1"/>
            <w:rPr>
              <w:rFonts w:eastAsiaTheme="minorEastAsia" w:cstheme="minorBidi"/>
            </w:rPr>
          </w:pPr>
          <w:hyperlink w:anchor="_Toc58960227" w:history="1">
            <w:r w:rsidR="00825499" w:rsidRPr="001841A8">
              <w:rPr>
                <w:rStyle w:val="Hyperlink"/>
              </w:rPr>
              <w:t>Other Conditions</w:t>
            </w:r>
            <w:r w:rsidR="00825499" w:rsidRPr="001841A8">
              <w:rPr>
                <w:webHidden/>
              </w:rPr>
              <w:tab/>
            </w:r>
            <w:r w:rsidR="00825499" w:rsidRPr="001841A8">
              <w:rPr>
                <w:webHidden/>
              </w:rPr>
              <w:fldChar w:fldCharType="begin"/>
            </w:r>
            <w:r w:rsidR="00825499" w:rsidRPr="001841A8">
              <w:rPr>
                <w:webHidden/>
              </w:rPr>
              <w:instrText xml:space="preserve"> PAGEREF _Toc58960227 \h </w:instrText>
            </w:r>
            <w:r w:rsidR="00825499" w:rsidRPr="001841A8">
              <w:rPr>
                <w:webHidden/>
              </w:rPr>
            </w:r>
            <w:r w:rsidR="00825499" w:rsidRPr="001841A8">
              <w:rPr>
                <w:webHidden/>
              </w:rPr>
              <w:fldChar w:fldCharType="separate"/>
            </w:r>
            <w:r w:rsidR="00DF2909">
              <w:rPr>
                <w:webHidden/>
              </w:rPr>
              <w:t>17</w:t>
            </w:r>
            <w:r w:rsidR="00825499" w:rsidRPr="001841A8">
              <w:rPr>
                <w:webHidden/>
              </w:rPr>
              <w:fldChar w:fldCharType="end"/>
            </w:r>
          </w:hyperlink>
        </w:p>
        <w:p w14:paraId="28FD75DC" w14:textId="12FA9546" w:rsidR="00D14F77" w:rsidRPr="007B1C0B" w:rsidRDefault="00D14F77" w:rsidP="00EA38CA">
          <w:pPr>
            <w:spacing w:line="240" w:lineRule="auto"/>
            <w:rPr>
              <w:rFonts w:ascii="Garamond" w:hAnsi="Garamond"/>
            </w:rPr>
          </w:pPr>
          <w:r w:rsidRPr="000D1001">
            <w:rPr>
              <w:rFonts w:ascii="Garamond" w:hAnsi="Garamond"/>
              <w:b/>
              <w:bCs/>
              <w:noProof/>
            </w:rPr>
            <w:fldChar w:fldCharType="end"/>
          </w:r>
        </w:p>
      </w:sdtContent>
    </w:sdt>
    <w:p w14:paraId="1E9F4F04" w14:textId="77777777" w:rsidR="00B12018" w:rsidRPr="005F4493" w:rsidRDefault="00D14F77" w:rsidP="00EA38CA">
      <w:pPr>
        <w:spacing w:line="240" w:lineRule="auto"/>
        <w:rPr>
          <w:rFonts w:ascii="Garamond" w:hAnsi="Garamond"/>
        </w:rPr>
      </w:pPr>
      <w:r w:rsidRPr="000D1001">
        <w:rPr>
          <w:rFonts w:ascii="Garamond" w:hAnsi="Garamond"/>
        </w:rPr>
        <w:br w:type="page"/>
      </w:r>
    </w:p>
    <w:p w14:paraId="39198539" w14:textId="0B9F28BF" w:rsidR="00944246" w:rsidRPr="00AE7C27" w:rsidRDefault="00944246" w:rsidP="00EA38CA">
      <w:pPr>
        <w:spacing w:after="0" w:line="240" w:lineRule="auto"/>
        <w:contextualSpacing/>
        <w:rPr>
          <w:rFonts w:ascii="Garamond" w:hAnsi="Garamond"/>
          <w:sz w:val="24"/>
          <w:szCs w:val="24"/>
        </w:rPr>
        <w:sectPr w:rsidR="00944246" w:rsidRPr="00AE7C27" w:rsidSect="00B7794F">
          <w:footerReference w:type="default" r:id="rId9"/>
          <w:footerReference w:type="first" r:id="rId10"/>
          <w:endnotePr>
            <w:numFmt w:val="lowerLetter"/>
          </w:endnotePr>
          <w:pgSz w:w="12240" w:h="15840"/>
          <w:pgMar w:top="1440" w:right="1080" w:bottom="1440" w:left="1080" w:header="720" w:footer="720" w:gutter="0"/>
          <w:cols w:space="720"/>
          <w:titlePg/>
          <w:docGrid w:linePitch="360"/>
        </w:sectPr>
      </w:pPr>
      <w:bookmarkStart w:id="0" w:name="_Hlk30359795"/>
      <w:bookmarkStart w:id="1" w:name="_Toc17474921"/>
    </w:p>
    <w:p w14:paraId="2318C056" w14:textId="444705CF" w:rsidR="00AC68E5" w:rsidRPr="007B1C0B" w:rsidRDefault="00AC68E5" w:rsidP="00EA38CA">
      <w:pPr>
        <w:spacing w:after="0" w:line="240" w:lineRule="auto"/>
        <w:contextualSpacing/>
        <w:jc w:val="center"/>
        <w:rPr>
          <w:rFonts w:ascii="Garamond" w:hAnsi="Garamond"/>
        </w:rPr>
      </w:pPr>
      <w:bookmarkStart w:id="2" w:name="_Toc17151136"/>
      <w:bookmarkEnd w:id="0"/>
      <w:r w:rsidRPr="00C867B4">
        <w:rPr>
          <w:rFonts w:ascii="Garamond" w:hAnsi="Garamond"/>
          <w:b/>
          <w:bCs/>
          <w:sz w:val="32"/>
          <w:szCs w:val="32"/>
        </w:rPr>
        <w:lastRenderedPageBreak/>
        <w:t xml:space="preserve">OVERVIEW of </w:t>
      </w:r>
      <w:r w:rsidR="00DD43B0">
        <w:rPr>
          <w:rFonts w:ascii="Garamond" w:hAnsi="Garamond"/>
          <w:b/>
          <w:bCs/>
          <w:sz w:val="32"/>
          <w:szCs w:val="32"/>
        </w:rPr>
        <w:t>PROPOSED PROJECT</w:t>
      </w:r>
      <w:r w:rsidRPr="00C867B4">
        <w:rPr>
          <w:rFonts w:ascii="Garamond" w:hAnsi="Garamond"/>
          <w:b/>
          <w:bCs/>
          <w:sz w:val="32"/>
          <w:szCs w:val="32"/>
        </w:rPr>
        <w:t xml:space="preserve"> AND FACTOR REVIEW</w:t>
      </w:r>
      <w:bookmarkEnd w:id="2"/>
    </w:p>
    <w:tbl>
      <w:tblPr>
        <w:tblStyle w:val="GridTable4-Accent11"/>
        <w:tblW w:w="0" w:type="auto"/>
        <w:tblInd w:w="-643" w:type="dxa"/>
        <w:tblBorders>
          <w:top w:val="single" w:sz="12" w:space="0" w:color="9FACD2" w:themeColor="accent1" w:themeTint="99"/>
          <w:left w:val="single" w:sz="12" w:space="0" w:color="9FACD2" w:themeColor="accent1" w:themeTint="99"/>
          <w:bottom w:val="single" w:sz="12" w:space="0" w:color="9FACD2" w:themeColor="accent1" w:themeTint="99"/>
          <w:right w:val="single" w:sz="12" w:space="0" w:color="9FACD2" w:themeColor="accent1" w:themeTint="99"/>
          <w:insideH w:val="single" w:sz="12" w:space="0" w:color="9FACD2" w:themeColor="accent1" w:themeTint="99"/>
          <w:insideV w:val="single" w:sz="12" w:space="0" w:color="9FACD2" w:themeColor="accent1" w:themeTint="99"/>
        </w:tblBorders>
        <w:tblCellMar>
          <w:left w:w="115" w:type="dxa"/>
          <w:right w:w="115" w:type="dxa"/>
        </w:tblCellMar>
        <w:tblLook w:val="04A0" w:firstRow="1" w:lastRow="0" w:firstColumn="1" w:lastColumn="0" w:noHBand="0" w:noVBand="1"/>
      </w:tblPr>
      <w:tblGrid>
        <w:gridCol w:w="2953"/>
        <w:gridCol w:w="4405"/>
        <w:gridCol w:w="2986"/>
        <w:gridCol w:w="1092"/>
        <w:gridCol w:w="3117"/>
      </w:tblGrid>
      <w:tr w:rsidR="002E0353" w:rsidRPr="007B1C0B" w14:paraId="45CE8AD1" w14:textId="04945E27" w:rsidTr="00C625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6076B4" w:themeColor="accent1"/>
            </w:tcBorders>
            <w:shd w:val="clear" w:color="auto" w:fill="BFC8E1" w:themeFill="accent1" w:themeFillTint="66"/>
          </w:tcPr>
          <w:p w14:paraId="07977AE9" w14:textId="31EB0C4A" w:rsidR="0094608C" w:rsidRPr="00CC0B29" w:rsidRDefault="0094608C" w:rsidP="00EA38CA">
            <w:pPr>
              <w:contextualSpacing/>
              <w:rPr>
                <w:rFonts w:ascii="Garamond" w:hAnsi="Garamond" w:cstheme="majorHAnsi"/>
                <w:color w:val="auto"/>
              </w:rPr>
            </w:pPr>
            <w:r w:rsidRPr="002E0353">
              <w:rPr>
                <w:rFonts w:ascii="Garamond" w:hAnsi="Garamond" w:cstheme="majorHAnsi"/>
              </w:rPr>
              <w:t>Description</w:t>
            </w:r>
          </w:p>
        </w:tc>
        <w:tc>
          <w:tcPr>
            <w:tcW w:w="0" w:type="auto"/>
            <w:tcBorders>
              <w:left w:val="single" w:sz="4" w:space="0" w:color="6076B4" w:themeColor="accent1"/>
              <w:right w:val="single" w:sz="4" w:space="0" w:color="6076B4" w:themeColor="accent1"/>
            </w:tcBorders>
            <w:shd w:val="clear" w:color="auto" w:fill="BFC8E1" w:themeFill="accent1" w:themeFillTint="66"/>
          </w:tcPr>
          <w:p w14:paraId="5953040D" w14:textId="253631E1" w:rsidR="0094608C" w:rsidRPr="002E0353" w:rsidRDefault="0094608C" w:rsidP="00EA38CA">
            <w:pPr>
              <w:contextualSpacing/>
              <w:cnfStyle w:val="100000000000" w:firstRow="1" w:lastRow="0" w:firstColumn="0" w:lastColumn="0" w:oddVBand="0" w:evenVBand="0" w:oddHBand="0" w:evenHBand="0" w:firstRowFirstColumn="0" w:firstRowLastColumn="0" w:lastRowFirstColumn="0" w:lastRowLastColumn="0"/>
              <w:rPr>
                <w:rFonts w:ascii="Garamond" w:hAnsi="Garamond" w:cstheme="majorHAnsi"/>
                <w:color w:val="auto"/>
              </w:rPr>
            </w:pPr>
            <w:r w:rsidRPr="002E0353">
              <w:rPr>
                <w:rFonts w:ascii="Garamond" w:hAnsi="Garamond" w:cstheme="majorHAnsi"/>
                <w:color w:val="auto"/>
              </w:rPr>
              <w:t>What’s Needed to Meet Factor 1</w:t>
            </w:r>
            <w:r w:rsidRPr="002E0353">
              <w:rPr>
                <w:rFonts w:ascii="Garamond" w:hAnsi="Garamond" w:cstheme="majorHAnsi"/>
              </w:rPr>
              <w:t xml:space="preserve">: </w:t>
            </w:r>
            <w:r w:rsidRPr="002E0353">
              <w:rPr>
                <w:rFonts w:ascii="Garamond" w:hAnsi="Garamond" w:cstheme="majorHAnsi"/>
                <w:color w:val="auto"/>
              </w:rPr>
              <w:t>Demonstration of</w:t>
            </w:r>
            <w:r w:rsidRPr="00220D48">
              <w:rPr>
                <w:rFonts w:ascii="Garamond" w:hAnsi="Garamond" w:cstheme="majorHAnsi"/>
                <w:color w:val="auto"/>
              </w:rPr>
              <w:t xml:space="preserve"> </w:t>
            </w:r>
            <w:r w:rsidRPr="002E0353">
              <w:rPr>
                <w:rFonts w:ascii="Garamond" w:hAnsi="Garamond" w:cstheme="majorHAnsi"/>
              </w:rPr>
              <w:t>need; improved health outcomes and quality of life; assurances of health equity; continuity and coordination of care; evidence of community engagement; and competition on recognized measures of health care spending.</w:t>
            </w:r>
          </w:p>
          <w:p w14:paraId="60CF4488" w14:textId="77777777" w:rsidR="0094608C" w:rsidRPr="00CC0B29" w:rsidRDefault="0094608C" w:rsidP="00EA38CA">
            <w:pPr>
              <w:contextualSpacing/>
              <w:cnfStyle w:val="100000000000" w:firstRow="1" w:lastRow="0" w:firstColumn="0" w:lastColumn="0" w:oddVBand="0" w:evenVBand="0" w:oddHBand="0" w:evenHBand="0" w:firstRowFirstColumn="0" w:firstRowLastColumn="0" w:lastRowFirstColumn="0" w:lastRowLastColumn="0"/>
              <w:rPr>
                <w:rFonts w:ascii="Garamond" w:hAnsi="Garamond" w:cstheme="majorHAnsi"/>
                <w:smallCaps/>
                <w:color w:val="auto"/>
              </w:rPr>
            </w:pPr>
          </w:p>
        </w:tc>
        <w:tc>
          <w:tcPr>
            <w:tcW w:w="0" w:type="auto"/>
            <w:tcBorders>
              <w:left w:val="single" w:sz="4" w:space="0" w:color="6076B4" w:themeColor="accent1"/>
              <w:right w:val="single" w:sz="4" w:space="0" w:color="6076B4" w:themeColor="accent1"/>
            </w:tcBorders>
            <w:shd w:val="clear" w:color="auto" w:fill="BFC8E1" w:themeFill="accent1" w:themeFillTint="66"/>
          </w:tcPr>
          <w:p w14:paraId="0A84FF22" w14:textId="09F696FC" w:rsidR="0094608C" w:rsidRPr="00CC0B29" w:rsidRDefault="0094608C" w:rsidP="00EA38CA">
            <w:pPr>
              <w:contextualSpacing/>
              <w:cnfStyle w:val="100000000000" w:firstRow="1" w:lastRow="0" w:firstColumn="0" w:lastColumn="0" w:oddVBand="0" w:evenVBand="0" w:oddHBand="0" w:evenHBand="0" w:firstRowFirstColumn="0" w:firstRowLastColumn="0" w:lastRowFirstColumn="0" w:lastRowLastColumn="0"/>
              <w:rPr>
                <w:rFonts w:ascii="Garamond" w:hAnsi="Garamond" w:cstheme="majorHAnsi"/>
                <w:color w:val="auto"/>
              </w:rPr>
            </w:pPr>
            <w:r w:rsidRPr="002E0353">
              <w:rPr>
                <w:rFonts w:ascii="Garamond" w:hAnsi="Garamond" w:cstheme="majorHAnsi"/>
                <w:color w:val="auto"/>
              </w:rPr>
              <w:t>What’s Needed to Meet Factor 2:</w:t>
            </w:r>
            <w:r w:rsidRPr="002E0353">
              <w:rPr>
                <w:rFonts w:ascii="Garamond" w:hAnsi="Garamond" w:cstheme="majorHAnsi"/>
              </w:rPr>
              <w:t xml:space="preserve"> </w:t>
            </w:r>
            <w:r w:rsidRPr="002E0353">
              <w:rPr>
                <w:rFonts w:ascii="Garamond" w:hAnsi="Garamond" w:cstheme="majorHAnsi"/>
                <w:color w:val="auto"/>
              </w:rPr>
              <w:t>Demonstration</w:t>
            </w:r>
            <w:r w:rsidRPr="00220D48">
              <w:rPr>
                <w:rFonts w:ascii="Garamond" w:hAnsi="Garamond" w:cstheme="majorHAnsi"/>
                <w:color w:val="auto"/>
              </w:rPr>
              <w:t xml:space="preserve"> of </w:t>
            </w:r>
            <w:r w:rsidRPr="002E0353">
              <w:rPr>
                <w:rFonts w:ascii="Garamond" w:hAnsi="Garamond" w:cstheme="majorHAnsi"/>
              </w:rPr>
              <w:t>cost containment</w:t>
            </w:r>
            <w:r w:rsidR="001C79BC">
              <w:rPr>
                <w:rFonts w:ascii="Garamond" w:hAnsi="Garamond" w:cstheme="majorHAnsi"/>
              </w:rPr>
              <w:t>,</w:t>
            </w:r>
            <w:r w:rsidRPr="002E0353">
              <w:rPr>
                <w:rFonts w:ascii="Garamond" w:hAnsi="Garamond" w:cstheme="majorHAnsi"/>
              </w:rPr>
              <w:t xml:space="preserve"> improved public health outcomes, and delivery system transformation</w:t>
            </w:r>
          </w:p>
          <w:p w14:paraId="2B3C7A25" w14:textId="77777777" w:rsidR="0094608C" w:rsidRPr="00CC0B29" w:rsidRDefault="0094608C" w:rsidP="00EA38CA">
            <w:pPr>
              <w:contextualSpacing/>
              <w:cnfStyle w:val="100000000000" w:firstRow="1" w:lastRow="0" w:firstColumn="0" w:lastColumn="0" w:oddVBand="0" w:evenVBand="0" w:oddHBand="0" w:evenHBand="0" w:firstRowFirstColumn="0" w:firstRowLastColumn="0" w:lastRowFirstColumn="0" w:lastRowLastColumn="0"/>
              <w:rPr>
                <w:rFonts w:ascii="Garamond" w:hAnsi="Garamond" w:cstheme="majorHAnsi"/>
                <w:color w:val="auto"/>
              </w:rPr>
            </w:pPr>
          </w:p>
        </w:tc>
        <w:tc>
          <w:tcPr>
            <w:tcW w:w="0" w:type="auto"/>
            <w:tcBorders>
              <w:left w:val="single" w:sz="4" w:space="0" w:color="6076B4" w:themeColor="accent1"/>
              <w:right w:val="single" w:sz="4" w:space="0" w:color="6076B4" w:themeColor="accent1"/>
            </w:tcBorders>
            <w:shd w:val="clear" w:color="auto" w:fill="BFC8E1" w:themeFill="accent1" w:themeFillTint="66"/>
          </w:tcPr>
          <w:p w14:paraId="4A269929" w14:textId="00FE6895" w:rsidR="0094608C" w:rsidRPr="00CC0B29" w:rsidRDefault="0094608C" w:rsidP="00EA38CA">
            <w:pPr>
              <w:contextualSpacing/>
              <w:cnfStyle w:val="100000000000" w:firstRow="1" w:lastRow="0" w:firstColumn="0" w:lastColumn="0" w:oddVBand="0" w:evenVBand="0" w:oddHBand="0" w:evenHBand="0" w:firstRowFirstColumn="0" w:firstRowLastColumn="0" w:lastRowFirstColumn="0" w:lastRowLastColumn="0"/>
              <w:rPr>
                <w:rFonts w:ascii="Garamond" w:hAnsi="Garamond" w:cstheme="majorHAnsi"/>
                <w:color w:val="auto"/>
              </w:rPr>
            </w:pPr>
            <w:r w:rsidRPr="002E0353">
              <w:rPr>
                <w:rFonts w:ascii="Garamond" w:hAnsi="Garamond" w:cstheme="majorHAnsi"/>
              </w:rPr>
              <w:t>Factors 3, 4 &amp; 5</w:t>
            </w:r>
            <w:r w:rsidRPr="002E0353">
              <w:rPr>
                <w:rFonts w:ascii="Garamond" w:hAnsi="Garamond" w:cstheme="majorHAnsi"/>
                <w:vertAlign w:val="superscript"/>
              </w:rPr>
              <w:footnoteReference w:id="1"/>
            </w:r>
          </w:p>
        </w:tc>
        <w:tc>
          <w:tcPr>
            <w:tcW w:w="0" w:type="auto"/>
            <w:tcBorders>
              <w:left w:val="single" w:sz="4" w:space="0" w:color="6076B4" w:themeColor="accent1"/>
            </w:tcBorders>
            <w:shd w:val="clear" w:color="auto" w:fill="BFC8E1" w:themeFill="accent1" w:themeFillTint="66"/>
          </w:tcPr>
          <w:p w14:paraId="4AECA9B3" w14:textId="71A42816" w:rsidR="0094608C" w:rsidRPr="002E0353" w:rsidRDefault="0094608C" w:rsidP="00EA38CA">
            <w:pPr>
              <w:contextualSpacing/>
              <w:cnfStyle w:val="100000000000" w:firstRow="1" w:lastRow="0" w:firstColumn="0" w:lastColumn="0" w:oddVBand="0" w:evenVBand="0" w:oddHBand="0" w:evenHBand="0" w:firstRowFirstColumn="0" w:firstRowLastColumn="0" w:lastRowFirstColumn="0" w:lastRowLastColumn="0"/>
              <w:rPr>
                <w:rFonts w:ascii="Garamond" w:hAnsi="Garamond" w:cstheme="majorHAnsi"/>
              </w:rPr>
            </w:pPr>
            <w:r w:rsidRPr="002E0353">
              <w:rPr>
                <w:rFonts w:ascii="Garamond" w:hAnsi="Garamond" w:cstheme="majorHAnsi"/>
                <w:color w:val="auto"/>
              </w:rPr>
              <w:t>What’s Needed to Meet Factor 6</w:t>
            </w:r>
            <w:r w:rsidRPr="002E0353">
              <w:rPr>
                <w:rFonts w:ascii="Garamond" w:hAnsi="Garamond" w:cstheme="majorHAnsi"/>
              </w:rPr>
              <w:t xml:space="preserve">: </w:t>
            </w:r>
            <w:r w:rsidRPr="002E0353">
              <w:rPr>
                <w:rFonts w:ascii="Garamond" w:hAnsi="Garamond" w:cstheme="majorHAnsi"/>
                <w:color w:val="auto"/>
              </w:rPr>
              <w:t xml:space="preserve">Demonstration of </w:t>
            </w:r>
            <w:r w:rsidRPr="002E0353">
              <w:rPr>
                <w:rFonts w:ascii="Garamond" w:hAnsi="Garamond" w:cstheme="majorHAnsi"/>
              </w:rPr>
              <w:t>plans for fulfilling … responsibilities … in the DPH Community-based Health Initiatives Guideline.</w:t>
            </w:r>
          </w:p>
        </w:tc>
      </w:tr>
      <w:tr w:rsidR="00A739BB" w:rsidRPr="007B1C0B" w14:paraId="221BB625" w14:textId="74372652" w:rsidTr="0094608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FB0545C" w14:textId="77777777" w:rsidR="0094608C" w:rsidRPr="007B1C0B" w:rsidRDefault="0094608C" w:rsidP="00EA38CA">
            <w:pPr>
              <w:contextualSpacing/>
              <w:rPr>
                <w:rFonts w:ascii="Garamond" w:hAnsi="Garamond" w:cstheme="majorHAnsi"/>
                <w:b w:val="0"/>
              </w:rPr>
            </w:pPr>
          </w:p>
        </w:tc>
        <w:tc>
          <w:tcPr>
            <w:tcW w:w="0" w:type="auto"/>
            <w:gridSpan w:val="3"/>
          </w:tcPr>
          <w:p w14:paraId="4AA11E7E" w14:textId="77777777" w:rsidR="0094608C" w:rsidRPr="000D1001" w:rsidRDefault="0094608C" w:rsidP="00A354D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b/>
                <w:bCs/>
                <w:i/>
                <w:iCs/>
                <w:smallCaps/>
              </w:rPr>
            </w:pPr>
            <w:r w:rsidRPr="000D1001">
              <w:rPr>
                <w:rFonts w:ascii="Garamond" w:hAnsi="Garamond" w:cstheme="majorHAnsi"/>
                <w:b/>
                <w:i/>
                <w:iCs/>
              </w:rPr>
              <w:t>Staff Report finds</w:t>
            </w:r>
          </w:p>
        </w:tc>
        <w:tc>
          <w:tcPr>
            <w:tcW w:w="0" w:type="auto"/>
          </w:tcPr>
          <w:p w14:paraId="02C60005" w14:textId="77777777" w:rsidR="0094608C" w:rsidRPr="000D1001" w:rsidRDefault="0094608C" w:rsidP="00EA38CA">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b/>
                <w:i/>
                <w:iCs/>
              </w:rPr>
            </w:pPr>
          </w:p>
        </w:tc>
      </w:tr>
      <w:tr w:rsidR="004122C1" w:rsidRPr="007B1C0B" w14:paraId="429C0AE6" w14:textId="00FB6669" w:rsidTr="0094608C">
        <w:trPr>
          <w:trHeight w:val="323"/>
        </w:trPr>
        <w:tc>
          <w:tcPr>
            <w:cnfStyle w:val="001000000000" w:firstRow="0" w:lastRow="0" w:firstColumn="1" w:lastColumn="0" w:oddVBand="0" w:evenVBand="0" w:oddHBand="0" w:evenHBand="0" w:firstRowFirstColumn="0" w:firstRowLastColumn="0" w:lastRowFirstColumn="0" w:lastRowLastColumn="0"/>
            <w:tcW w:w="0" w:type="auto"/>
            <w:vMerge/>
          </w:tcPr>
          <w:p w14:paraId="1C277246" w14:textId="77777777" w:rsidR="0094608C" w:rsidRPr="00C867B4" w:rsidRDefault="0094608C" w:rsidP="00EA38CA">
            <w:pPr>
              <w:contextualSpacing/>
              <w:rPr>
                <w:rFonts w:ascii="Garamond" w:hAnsi="Garamond" w:cstheme="majorHAnsi"/>
                <w:b w:val="0"/>
              </w:rPr>
            </w:pPr>
          </w:p>
        </w:tc>
        <w:tc>
          <w:tcPr>
            <w:tcW w:w="0" w:type="auto"/>
            <w:shd w:val="clear" w:color="auto" w:fill="DFE3F0" w:themeFill="accent1" w:themeFillTint="33"/>
          </w:tcPr>
          <w:p w14:paraId="3057B030" w14:textId="4B1C7CC4" w:rsidR="0094608C" w:rsidRPr="00C867B4" w:rsidRDefault="0094608C" w:rsidP="004B57E9">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rPr>
            </w:pPr>
            <w:r w:rsidRPr="00C867B4">
              <w:rPr>
                <w:rFonts w:ascii="Garamond" w:hAnsi="Garamond" w:cstheme="majorHAnsi"/>
                <w:b/>
                <w:bCs/>
                <w:smallCaps/>
              </w:rPr>
              <w:t>MEETS</w:t>
            </w:r>
          </w:p>
        </w:tc>
        <w:tc>
          <w:tcPr>
            <w:tcW w:w="0" w:type="auto"/>
            <w:shd w:val="clear" w:color="auto" w:fill="DFE3F0" w:themeFill="accent1" w:themeFillTint="33"/>
          </w:tcPr>
          <w:p w14:paraId="2F0EE33A" w14:textId="1EEB3CE1" w:rsidR="0094608C" w:rsidRPr="00C867B4" w:rsidRDefault="0094608C" w:rsidP="004B57E9">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rPr>
            </w:pPr>
            <w:r w:rsidRPr="00C867B4">
              <w:rPr>
                <w:rFonts w:ascii="Garamond" w:hAnsi="Garamond" w:cstheme="majorHAnsi"/>
                <w:b/>
                <w:bCs/>
                <w:smallCaps/>
              </w:rPr>
              <w:t>MEETS</w:t>
            </w:r>
          </w:p>
        </w:tc>
        <w:tc>
          <w:tcPr>
            <w:tcW w:w="0" w:type="auto"/>
            <w:shd w:val="clear" w:color="auto" w:fill="DFE3F0" w:themeFill="accent1" w:themeFillTint="33"/>
          </w:tcPr>
          <w:p w14:paraId="692FEDFA" w14:textId="77777777" w:rsidR="0094608C" w:rsidRPr="00C867B4" w:rsidRDefault="0094608C" w:rsidP="00EA38CA">
            <w:pPr>
              <w:contextualSpacing/>
              <w:cnfStyle w:val="000000000000" w:firstRow="0" w:lastRow="0" w:firstColumn="0" w:lastColumn="0" w:oddVBand="0" w:evenVBand="0" w:oddHBand="0" w:evenHBand="0" w:firstRowFirstColumn="0" w:firstRowLastColumn="0" w:lastRowFirstColumn="0" w:lastRowLastColumn="0"/>
              <w:rPr>
                <w:rFonts w:ascii="Garamond" w:hAnsi="Garamond" w:cstheme="majorHAnsi"/>
                <w:b/>
                <w:bCs/>
              </w:rPr>
            </w:pPr>
            <w:r w:rsidRPr="00C867B4">
              <w:rPr>
                <w:rFonts w:ascii="Garamond" w:hAnsi="Garamond" w:cstheme="majorHAnsi"/>
                <w:b/>
                <w:bCs/>
                <w:smallCaps/>
              </w:rPr>
              <w:t>MEETS</w:t>
            </w:r>
          </w:p>
          <w:p w14:paraId="6EC97BB7" w14:textId="77777777" w:rsidR="0094608C" w:rsidRPr="00C867B4" w:rsidRDefault="0094608C" w:rsidP="00EA38CA">
            <w:pPr>
              <w:contextualSpacing/>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0" w:type="auto"/>
            <w:shd w:val="clear" w:color="auto" w:fill="DFE3F0" w:themeFill="accent1" w:themeFillTint="33"/>
          </w:tcPr>
          <w:p w14:paraId="47946C2A" w14:textId="28339A7F" w:rsidR="0094608C" w:rsidRPr="00C867B4" w:rsidRDefault="004B57E9" w:rsidP="004B57E9">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heme="majorHAnsi"/>
                <w:b/>
                <w:bCs/>
                <w:smallCaps/>
              </w:rPr>
            </w:pPr>
            <w:r>
              <w:rPr>
                <w:rFonts w:ascii="Garamond" w:hAnsi="Garamond" w:cstheme="majorHAnsi"/>
                <w:b/>
                <w:bCs/>
                <w:smallCaps/>
              </w:rPr>
              <w:t>MEETS</w:t>
            </w:r>
          </w:p>
        </w:tc>
      </w:tr>
      <w:tr w:rsidR="004122C1" w:rsidRPr="007B1C0B" w14:paraId="75DE19FE" w14:textId="24066391" w:rsidTr="0094608C">
        <w:trPr>
          <w:cnfStyle w:val="000000100000" w:firstRow="0" w:lastRow="0" w:firstColumn="0" w:lastColumn="0" w:oddVBand="0" w:evenVBand="0" w:oddHBand="1" w:evenHBand="0" w:firstRowFirstColumn="0" w:firstRowLastColumn="0" w:lastRowFirstColumn="0" w:lastRowLastColumn="0"/>
          <w:trHeight w:val="2510"/>
        </w:trPr>
        <w:tc>
          <w:tcPr>
            <w:cnfStyle w:val="001000000000" w:firstRow="0" w:lastRow="0" w:firstColumn="1" w:lastColumn="0" w:oddVBand="0" w:evenVBand="0" w:oddHBand="0" w:evenHBand="0" w:firstRowFirstColumn="0" w:firstRowLastColumn="0" w:lastRowFirstColumn="0" w:lastRowLastColumn="0"/>
            <w:tcW w:w="0" w:type="auto"/>
          </w:tcPr>
          <w:p w14:paraId="3AA53A8F" w14:textId="442A6775" w:rsidR="0094608C" w:rsidRPr="00C867B4" w:rsidRDefault="0094608C" w:rsidP="00CA52B4">
            <w:pPr>
              <w:contextualSpacing/>
              <w:rPr>
                <w:rFonts w:ascii="Garamond" w:hAnsi="Garamond"/>
                <w:b w:val="0"/>
                <w:bCs w:val="0"/>
                <w:sz w:val="20"/>
                <w:szCs w:val="20"/>
              </w:rPr>
            </w:pPr>
            <w:r w:rsidRPr="007B1C0B">
              <w:rPr>
                <w:rFonts w:ascii="Garamond" w:hAnsi="Garamond"/>
                <w:b w:val="0"/>
                <w:bCs w:val="0"/>
                <w:sz w:val="20"/>
                <w:szCs w:val="20"/>
              </w:rPr>
              <w:t>The Applicant</w:t>
            </w:r>
            <w:r w:rsidR="000D5AD2">
              <w:rPr>
                <w:rFonts w:ascii="Garamond" w:hAnsi="Garamond"/>
                <w:b w:val="0"/>
                <w:bCs w:val="0"/>
                <w:sz w:val="20"/>
                <w:szCs w:val="20"/>
              </w:rPr>
              <w:t xml:space="preserve">, </w:t>
            </w:r>
            <w:r>
              <w:rPr>
                <w:rFonts w:ascii="Garamond" w:hAnsi="Garamond"/>
                <w:b w:val="0"/>
                <w:bCs w:val="0"/>
                <w:sz w:val="20"/>
                <w:szCs w:val="20"/>
              </w:rPr>
              <w:t>a multispecialty</w:t>
            </w:r>
            <w:r w:rsidR="009E4011">
              <w:rPr>
                <w:rFonts w:ascii="Garamond" w:hAnsi="Garamond"/>
                <w:b w:val="0"/>
                <w:bCs w:val="0"/>
                <w:sz w:val="20"/>
                <w:szCs w:val="20"/>
              </w:rPr>
              <w:t>,</w:t>
            </w:r>
            <w:r>
              <w:rPr>
                <w:rFonts w:ascii="Garamond" w:hAnsi="Garamond"/>
                <w:b w:val="0"/>
                <w:bCs w:val="0"/>
                <w:sz w:val="20"/>
                <w:szCs w:val="20"/>
              </w:rPr>
              <w:t xml:space="preserve"> freestanding ambulatory surgery center</w:t>
            </w:r>
            <w:r w:rsidRPr="005F4493">
              <w:rPr>
                <w:rFonts w:ascii="Garamond" w:hAnsi="Garamond"/>
                <w:sz w:val="20"/>
                <w:szCs w:val="20"/>
              </w:rPr>
              <w:t>,</w:t>
            </w:r>
            <w:r w:rsidRPr="00C00156">
              <w:rPr>
                <w:rFonts w:ascii="Garamond" w:hAnsi="Garamond"/>
                <w:b w:val="0"/>
                <w:bCs w:val="0"/>
                <w:sz w:val="20"/>
                <w:szCs w:val="20"/>
              </w:rPr>
              <w:t xml:space="preserve"> is </w:t>
            </w:r>
            <w:r>
              <w:rPr>
                <w:rFonts w:ascii="Garamond" w:hAnsi="Garamond"/>
                <w:b w:val="0"/>
                <w:bCs w:val="0"/>
                <w:sz w:val="20"/>
                <w:szCs w:val="20"/>
              </w:rPr>
              <w:t xml:space="preserve">renovating existing space to </w:t>
            </w:r>
            <w:r w:rsidR="0060696F">
              <w:rPr>
                <w:rFonts w:ascii="Garamond" w:hAnsi="Garamond"/>
                <w:b w:val="0"/>
                <w:bCs w:val="0"/>
                <w:sz w:val="20"/>
                <w:szCs w:val="20"/>
              </w:rPr>
              <w:t>add a second operating room and additional patient support and administrative areas</w:t>
            </w:r>
            <w:r>
              <w:rPr>
                <w:rFonts w:ascii="Garamond" w:hAnsi="Garamond"/>
                <w:b w:val="0"/>
                <w:bCs w:val="0"/>
                <w:sz w:val="20"/>
                <w:szCs w:val="20"/>
              </w:rPr>
              <w:t xml:space="preserve">. </w:t>
            </w:r>
          </w:p>
          <w:p w14:paraId="574013E3" w14:textId="77777777" w:rsidR="0094608C" w:rsidRPr="00C867B4" w:rsidRDefault="0094608C" w:rsidP="00CA52B4">
            <w:pPr>
              <w:contextualSpacing/>
              <w:rPr>
                <w:rFonts w:ascii="Garamond" w:hAnsi="Garamond"/>
                <w:b w:val="0"/>
                <w:bCs w:val="0"/>
                <w:sz w:val="20"/>
                <w:szCs w:val="20"/>
              </w:rPr>
            </w:pPr>
          </w:p>
          <w:p w14:paraId="775AF749" w14:textId="0C3CFCEB" w:rsidR="0094608C" w:rsidRPr="00C867B4" w:rsidRDefault="0094608C" w:rsidP="001A0A75">
            <w:pPr>
              <w:contextualSpacing/>
              <w:rPr>
                <w:rFonts w:ascii="Garamond" w:hAnsi="Garamond" w:cstheme="majorHAnsi"/>
                <w:b w:val="0"/>
                <w:sz w:val="20"/>
                <w:szCs w:val="20"/>
              </w:rPr>
            </w:pPr>
            <w:r w:rsidRPr="00C867B4">
              <w:rPr>
                <w:rFonts w:ascii="Garamond" w:hAnsi="Garamond" w:cstheme="majorHAnsi"/>
                <w:b w:val="0"/>
                <w:bCs w:val="0"/>
                <w:sz w:val="20"/>
                <w:szCs w:val="20"/>
              </w:rPr>
              <w:t xml:space="preserve">The Applicant proposes to provide more patients access to </w:t>
            </w:r>
            <w:r w:rsidR="00A739BB">
              <w:rPr>
                <w:rFonts w:ascii="Garamond" w:hAnsi="Garamond" w:cstheme="majorHAnsi"/>
                <w:b w:val="0"/>
                <w:bCs w:val="0"/>
                <w:sz w:val="20"/>
                <w:szCs w:val="20"/>
              </w:rPr>
              <w:t xml:space="preserve">outpatient surgical services in </w:t>
            </w:r>
            <w:r w:rsidR="004122C1">
              <w:rPr>
                <w:rFonts w:ascii="Garamond" w:hAnsi="Garamond" w:cstheme="majorHAnsi"/>
                <w:b w:val="0"/>
                <w:bCs w:val="0"/>
                <w:sz w:val="20"/>
                <w:szCs w:val="20"/>
              </w:rPr>
              <w:t>the ASC</w:t>
            </w:r>
            <w:r w:rsidR="00A739BB">
              <w:rPr>
                <w:rFonts w:ascii="Garamond" w:hAnsi="Garamond" w:cstheme="majorHAnsi"/>
                <w:b w:val="0"/>
                <w:bCs w:val="0"/>
                <w:sz w:val="20"/>
                <w:szCs w:val="20"/>
              </w:rPr>
              <w:t xml:space="preserve"> setting </w:t>
            </w:r>
            <w:r w:rsidR="004122C1">
              <w:rPr>
                <w:rFonts w:ascii="Garamond" w:hAnsi="Garamond" w:cstheme="majorHAnsi"/>
                <w:b w:val="0"/>
                <w:bCs w:val="0"/>
                <w:sz w:val="20"/>
                <w:szCs w:val="20"/>
              </w:rPr>
              <w:t xml:space="preserve">which </w:t>
            </w:r>
            <w:r w:rsidRPr="00C867B4">
              <w:rPr>
                <w:rFonts w:ascii="Garamond" w:hAnsi="Garamond" w:cstheme="majorHAnsi"/>
                <w:b w:val="0"/>
                <w:bCs w:val="0"/>
                <w:sz w:val="20"/>
                <w:szCs w:val="20"/>
              </w:rPr>
              <w:t xml:space="preserve">will serve as a lower cost </w:t>
            </w:r>
            <w:r>
              <w:rPr>
                <w:rFonts w:ascii="Garamond" w:hAnsi="Garamond" w:cstheme="majorHAnsi"/>
                <w:b w:val="0"/>
                <w:sz w:val="20"/>
                <w:szCs w:val="20"/>
              </w:rPr>
              <w:t xml:space="preserve">alternative </w:t>
            </w:r>
            <w:r w:rsidR="002D5DD6">
              <w:rPr>
                <w:rFonts w:ascii="Garamond" w:hAnsi="Garamond" w:cstheme="majorHAnsi"/>
                <w:b w:val="0"/>
                <w:sz w:val="20"/>
                <w:szCs w:val="20"/>
              </w:rPr>
              <w:t>to</w:t>
            </w:r>
            <w:r>
              <w:rPr>
                <w:rFonts w:ascii="Garamond" w:hAnsi="Garamond" w:cstheme="majorHAnsi"/>
                <w:b w:val="0"/>
                <w:sz w:val="20"/>
                <w:szCs w:val="20"/>
              </w:rPr>
              <w:t xml:space="preserve"> hospital outpatient departments (HOPDs)</w:t>
            </w:r>
            <w:r w:rsidRPr="00C867B4">
              <w:rPr>
                <w:rFonts w:ascii="Garamond" w:hAnsi="Garamond" w:cstheme="majorHAnsi"/>
                <w:b w:val="0"/>
                <w:sz w:val="20"/>
                <w:szCs w:val="20"/>
              </w:rPr>
              <w:t xml:space="preserve">. </w:t>
            </w:r>
          </w:p>
        </w:tc>
        <w:tc>
          <w:tcPr>
            <w:tcW w:w="0" w:type="auto"/>
          </w:tcPr>
          <w:p w14:paraId="77CDB4A3" w14:textId="272E9302" w:rsidR="0094608C" w:rsidRPr="00C867B4" w:rsidRDefault="00FD6A5C" w:rsidP="006E55C9">
            <w:pPr>
              <w:ind w:left="720"/>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0"/>
                <w:szCs w:val="20"/>
              </w:rPr>
            </w:pPr>
            <w:r>
              <w:rPr>
                <w:rFonts w:ascii="Garamond" w:hAnsi="Garamond" w:cstheme="majorHAnsi"/>
                <w:sz w:val="20"/>
                <w:szCs w:val="20"/>
              </w:rPr>
              <w:sym w:font="Wingdings" w:char="F0FC"/>
            </w:r>
          </w:p>
        </w:tc>
        <w:tc>
          <w:tcPr>
            <w:tcW w:w="0" w:type="auto"/>
          </w:tcPr>
          <w:p w14:paraId="2997BAA4" w14:textId="29442B74" w:rsidR="0094608C" w:rsidRPr="00C867B4" w:rsidRDefault="00FD6A5C" w:rsidP="006E55C9">
            <w:pPr>
              <w:ind w:left="720"/>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heme="majorHAnsi"/>
                <w:sz w:val="20"/>
                <w:szCs w:val="20"/>
              </w:rPr>
            </w:pPr>
            <w:r>
              <w:rPr>
                <w:rFonts w:ascii="Garamond" w:hAnsi="Garamond" w:cstheme="majorHAnsi"/>
                <w:sz w:val="20"/>
                <w:szCs w:val="20"/>
              </w:rPr>
              <w:sym w:font="Wingdings" w:char="F0FC"/>
            </w:r>
          </w:p>
        </w:tc>
        <w:tc>
          <w:tcPr>
            <w:tcW w:w="0" w:type="auto"/>
          </w:tcPr>
          <w:p w14:paraId="3CDFEEEF" w14:textId="3743D97B" w:rsidR="0094608C" w:rsidRPr="007B1C0B" w:rsidRDefault="00FD6A5C" w:rsidP="006E55C9">
            <w:pPr>
              <w:jc w:val="center"/>
              <w:cnfStyle w:val="000000100000" w:firstRow="0" w:lastRow="0" w:firstColumn="0" w:lastColumn="0" w:oddVBand="0" w:evenVBand="0" w:oddHBand="1" w:evenHBand="0" w:firstRowFirstColumn="0" w:firstRowLastColumn="0" w:lastRowFirstColumn="0" w:lastRowLastColumn="0"/>
              <w:rPr>
                <w:rFonts w:ascii="Garamond" w:hAnsi="Garamond"/>
                <w:b/>
                <w:sz w:val="20"/>
                <w:szCs w:val="20"/>
              </w:rPr>
            </w:pPr>
            <w:r>
              <w:rPr>
                <w:rFonts w:ascii="Garamond" w:hAnsi="Garamond" w:cstheme="majorHAnsi"/>
                <w:sz w:val="20"/>
                <w:szCs w:val="20"/>
              </w:rPr>
              <w:sym w:font="Wingdings" w:char="F0FC"/>
            </w:r>
          </w:p>
        </w:tc>
        <w:tc>
          <w:tcPr>
            <w:tcW w:w="0" w:type="auto"/>
          </w:tcPr>
          <w:p w14:paraId="24267005" w14:textId="40FB2371" w:rsidR="0094608C" w:rsidRPr="007B1C0B" w:rsidRDefault="00FD6A5C" w:rsidP="006E55C9">
            <w:pPr>
              <w:jc w:val="center"/>
              <w:cnfStyle w:val="000000100000" w:firstRow="0" w:lastRow="0" w:firstColumn="0" w:lastColumn="0" w:oddVBand="0" w:evenVBand="0" w:oddHBand="1" w:evenHBand="0" w:firstRowFirstColumn="0" w:firstRowLastColumn="0" w:lastRowFirstColumn="0" w:lastRowLastColumn="0"/>
              <w:rPr>
                <w:rFonts w:ascii="Garamond" w:hAnsi="Garamond"/>
                <w:b/>
                <w:sz w:val="20"/>
                <w:szCs w:val="20"/>
              </w:rPr>
            </w:pPr>
            <w:r>
              <w:rPr>
                <w:rFonts w:ascii="Garamond" w:hAnsi="Garamond" w:cstheme="majorHAnsi"/>
                <w:sz w:val="20"/>
                <w:szCs w:val="20"/>
              </w:rPr>
              <w:sym w:font="Wingdings" w:char="F0FC"/>
            </w:r>
          </w:p>
        </w:tc>
      </w:tr>
    </w:tbl>
    <w:p w14:paraId="649816F0" w14:textId="77777777" w:rsidR="00AC68E5" w:rsidRPr="00C867B4" w:rsidRDefault="00AC68E5" w:rsidP="00EA38CA">
      <w:pPr>
        <w:spacing w:after="0" w:line="240" w:lineRule="auto"/>
        <w:contextualSpacing/>
        <w:rPr>
          <w:rFonts w:ascii="Garamond" w:hAnsi="Garamond"/>
        </w:rPr>
        <w:sectPr w:rsidR="00AC68E5" w:rsidRPr="00C867B4" w:rsidSect="00076B1A">
          <w:endnotePr>
            <w:numFmt w:val="lowerLetter"/>
          </w:endnotePr>
          <w:pgSz w:w="15840" w:h="12240" w:orient="landscape"/>
          <w:pgMar w:top="360" w:right="1080" w:bottom="1440" w:left="1080" w:header="720" w:footer="720" w:gutter="0"/>
          <w:cols w:space="720"/>
          <w:docGrid w:linePitch="360"/>
        </w:sectPr>
      </w:pPr>
    </w:p>
    <w:p w14:paraId="387C849A" w14:textId="77777777" w:rsidR="00B0533D" w:rsidRPr="000369E7" w:rsidRDefault="00B0533D" w:rsidP="00B0533D">
      <w:pPr>
        <w:pStyle w:val="Heading1"/>
        <w:spacing w:line="240" w:lineRule="auto"/>
        <w:rPr>
          <w:rFonts w:ascii="Garamond" w:hAnsi="Garamond"/>
        </w:rPr>
      </w:pPr>
      <w:bookmarkStart w:id="3" w:name="_Toc17151134"/>
      <w:bookmarkStart w:id="4" w:name="_Toc17228947"/>
      <w:bookmarkStart w:id="5" w:name="_Toc17731303"/>
      <w:bookmarkStart w:id="6" w:name="_Toc17748221"/>
      <w:bookmarkStart w:id="7" w:name="_Toc17748448"/>
      <w:bookmarkStart w:id="8" w:name="_Toc17748692"/>
      <w:bookmarkStart w:id="9" w:name="_Toc18922392"/>
      <w:bookmarkStart w:id="10" w:name="_Toc23110213"/>
      <w:bookmarkStart w:id="11" w:name="_Toc23157976"/>
      <w:bookmarkStart w:id="12" w:name="_Toc23323238"/>
      <w:bookmarkStart w:id="13" w:name="_Toc23324244"/>
      <w:bookmarkStart w:id="14" w:name="_Toc23424528"/>
      <w:bookmarkStart w:id="15" w:name="_Toc29755670"/>
      <w:bookmarkStart w:id="16" w:name="_Toc58960194"/>
      <w:bookmarkStart w:id="17" w:name="_Toc28797399"/>
      <w:bookmarkStart w:id="18" w:name="_Toc29755677"/>
      <w:bookmarkStart w:id="19" w:name="_Toc27567690"/>
      <w:bookmarkStart w:id="20" w:name="_Toc17151137"/>
      <w:r w:rsidRPr="000369E7">
        <w:rPr>
          <w:rFonts w:ascii="Garamond" w:hAnsi="Garamond"/>
        </w:rPr>
        <w:lastRenderedPageBreak/>
        <w:t xml:space="preserve">Background: </w:t>
      </w:r>
      <w:bookmarkEnd w:id="3"/>
      <w:bookmarkEnd w:id="4"/>
      <w:bookmarkEnd w:id="5"/>
      <w:bookmarkEnd w:id="6"/>
      <w:bookmarkEnd w:id="7"/>
      <w:bookmarkEnd w:id="8"/>
      <w:bookmarkEnd w:id="9"/>
      <w:bookmarkEnd w:id="10"/>
      <w:bookmarkEnd w:id="11"/>
      <w:bookmarkEnd w:id="12"/>
      <w:bookmarkEnd w:id="13"/>
      <w:bookmarkEnd w:id="14"/>
      <w:r w:rsidRPr="000369E7">
        <w:rPr>
          <w:rFonts w:ascii="Garamond" w:hAnsi="Garamond"/>
        </w:rPr>
        <w:t>New England Surgery Center</w:t>
      </w:r>
      <w:bookmarkEnd w:id="15"/>
      <w:r w:rsidRPr="000369E7">
        <w:rPr>
          <w:rFonts w:ascii="Garamond" w:hAnsi="Garamond"/>
        </w:rPr>
        <w:t xml:space="preserve"> and Application Overview</w:t>
      </w:r>
      <w:bookmarkEnd w:id="16"/>
    </w:p>
    <w:p w14:paraId="38CB4867" w14:textId="5A90995F" w:rsidR="00D0616D" w:rsidRDefault="00B0533D" w:rsidP="00B0533D">
      <w:pPr>
        <w:keepNext/>
        <w:keepLines/>
        <w:spacing w:after="0" w:line="240" w:lineRule="auto"/>
        <w:contextualSpacing/>
        <w:outlineLvl w:val="0"/>
        <w:rPr>
          <w:rFonts w:ascii="Garamond" w:hAnsi="Garamond"/>
          <w:sz w:val="24"/>
          <w:szCs w:val="24"/>
        </w:rPr>
      </w:pPr>
      <w:bookmarkStart w:id="21" w:name="_Toc23110214"/>
      <w:bookmarkStart w:id="22" w:name="_Toc23157230"/>
      <w:bookmarkStart w:id="23" w:name="_Toc23157977"/>
      <w:bookmarkStart w:id="24" w:name="_Toc23323239"/>
      <w:bookmarkStart w:id="25" w:name="_Toc23324245"/>
      <w:bookmarkStart w:id="26" w:name="_Toc23424529"/>
      <w:bookmarkStart w:id="27" w:name="_Toc23855899"/>
      <w:bookmarkStart w:id="28" w:name="_Toc58395914"/>
      <w:bookmarkStart w:id="29" w:name="_Toc58396380"/>
      <w:bookmarkStart w:id="30" w:name="_Toc58396486"/>
      <w:bookmarkStart w:id="31" w:name="_Toc29755671"/>
      <w:bookmarkStart w:id="32" w:name="_Toc29755709"/>
      <w:bookmarkStart w:id="33" w:name="_Toc30593441"/>
      <w:bookmarkStart w:id="34" w:name="_Toc58743885"/>
      <w:bookmarkStart w:id="35" w:name="_Toc58744043"/>
      <w:bookmarkStart w:id="36" w:name="_Toc58958849"/>
      <w:bookmarkStart w:id="37" w:name="_Toc58960195"/>
      <w:bookmarkStart w:id="38" w:name="_Toc55655179"/>
      <w:bookmarkStart w:id="39" w:name="_Toc55802707"/>
      <w:r w:rsidRPr="00C867B4">
        <w:rPr>
          <w:rFonts w:ascii="Garamond" w:hAnsi="Garamond"/>
          <w:sz w:val="24"/>
          <w:szCs w:val="24"/>
        </w:rPr>
        <w:t xml:space="preserve">The Applicant </w:t>
      </w:r>
      <w:bookmarkEnd w:id="21"/>
      <w:bookmarkEnd w:id="22"/>
      <w:bookmarkEnd w:id="23"/>
      <w:bookmarkEnd w:id="24"/>
      <w:bookmarkEnd w:id="25"/>
      <w:bookmarkEnd w:id="26"/>
      <w:bookmarkEnd w:id="27"/>
      <w:r w:rsidRPr="00C867B4">
        <w:rPr>
          <w:rFonts w:ascii="Garamond" w:hAnsi="Garamond"/>
          <w:sz w:val="24"/>
          <w:szCs w:val="24"/>
        </w:rPr>
        <w:t xml:space="preserve">is </w:t>
      </w:r>
      <w:r>
        <w:rPr>
          <w:rFonts w:ascii="Garamond" w:hAnsi="Garamond"/>
          <w:sz w:val="24"/>
          <w:szCs w:val="24"/>
        </w:rPr>
        <w:t>New England Surgery Center</w:t>
      </w:r>
      <w:r w:rsidRPr="00C867B4">
        <w:rPr>
          <w:rFonts w:ascii="Garamond" w:hAnsi="Garamond"/>
          <w:sz w:val="24"/>
          <w:szCs w:val="24"/>
        </w:rPr>
        <w:t>, LLC</w:t>
      </w:r>
      <w:r>
        <w:rPr>
          <w:rFonts w:ascii="Garamond" w:hAnsi="Garamond"/>
          <w:sz w:val="24"/>
          <w:szCs w:val="24"/>
        </w:rPr>
        <w:t xml:space="preserve"> (NESC), a freestanding</w:t>
      </w:r>
      <w:r w:rsidR="001A01B9">
        <w:rPr>
          <w:rFonts w:ascii="Garamond" w:hAnsi="Garamond"/>
          <w:sz w:val="24"/>
          <w:szCs w:val="24"/>
        </w:rPr>
        <w:t>, multispecialty</w:t>
      </w:r>
      <w:r>
        <w:rPr>
          <w:rFonts w:ascii="Garamond" w:hAnsi="Garamond"/>
          <w:sz w:val="24"/>
          <w:szCs w:val="24"/>
        </w:rPr>
        <w:t xml:space="preserve"> ambulatory surgery center</w:t>
      </w:r>
      <w:r w:rsidR="001A01B9">
        <w:rPr>
          <w:rFonts w:ascii="Garamond" w:hAnsi="Garamond"/>
          <w:sz w:val="24"/>
          <w:szCs w:val="24"/>
        </w:rPr>
        <w:t xml:space="preserve"> (ASC)</w:t>
      </w:r>
      <w:r>
        <w:rPr>
          <w:rFonts w:ascii="Garamond" w:hAnsi="Garamond"/>
          <w:sz w:val="24"/>
          <w:szCs w:val="24"/>
        </w:rPr>
        <w:t xml:space="preserve"> located in Beverly, MA</w:t>
      </w:r>
      <w:r w:rsidRPr="007B1C0B">
        <w:rPr>
          <w:rFonts w:ascii="Garamond" w:hAnsi="Garamond"/>
          <w:sz w:val="24"/>
          <w:szCs w:val="24"/>
        </w:rPr>
        <w:t>.</w:t>
      </w:r>
      <w:r>
        <w:rPr>
          <w:rFonts w:ascii="Garamond" w:hAnsi="Garamond"/>
          <w:sz w:val="24"/>
          <w:szCs w:val="24"/>
        </w:rPr>
        <w:t xml:space="preserve"> NESC offers services in Orthopedics, Otolaryngology (ENT), Urology, Pain Management, Ophthalmology, Plastic</w:t>
      </w:r>
      <w:r w:rsidR="00CE34E7">
        <w:rPr>
          <w:rFonts w:ascii="Garamond" w:hAnsi="Garamond"/>
          <w:sz w:val="24"/>
          <w:szCs w:val="24"/>
        </w:rPr>
        <w:t>s</w:t>
      </w:r>
      <w:r>
        <w:rPr>
          <w:rFonts w:ascii="Garamond" w:hAnsi="Garamond"/>
          <w:sz w:val="24"/>
          <w:szCs w:val="24"/>
        </w:rPr>
        <w:t xml:space="preserve">, </w:t>
      </w:r>
      <w:r w:rsidR="00412C4B">
        <w:rPr>
          <w:rFonts w:ascii="Garamond" w:hAnsi="Garamond"/>
          <w:sz w:val="24"/>
          <w:szCs w:val="24"/>
        </w:rPr>
        <w:t xml:space="preserve">Podiatry, </w:t>
      </w:r>
      <w:r>
        <w:rPr>
          <w:rFonts w:ascii="Garamond" w:hAnsi="Garamond"/>
          <w:sz w:val="24"/>
          <w:szCs w:val="24"/>
        </w:rPr>
        <w:t>and General Surgery to patients age four years and older. NESC is Medicare-certified and accredited by the Accreditation Association for Ambulatory Health Care (AAAHC). The current facility has one operating room and seven pre/post procedure beds.</w:t>
      </w:r>
      <w:bookmarkEnd w:id="28"/>
      <w:bookmarkEnd w:id="29"/>
      <w:bookmarkEnd w:id="30"/>
      <w:r>
        <w:rPr>
          <w:rFonts w:ascii="Garamond" w:hAnsi="Garamond"/>
          <w:sz w:val="24"/>
          <w:szCs w:val="24"/>
        </w:rPr>
        <w:t xml:space="preserve"> </w:t>
      </w:r>
      <w:bookmarkEnd w:id="31"/>
      <w:bookmarkEnd w:id="32"/>
      <w:bookmarkEnd w:id="33"/>
      <w:r w:rsidR="00477BD6">
        <w:rPr>
          <w:rFonts w:ascii="Garamond" w:hAnsi="Garamond"/>
          <w:sz w:val="24"/>
          <w:szCs w:val="24"/>
        </w:rPr>
        <w:t>NESC</w:t>
      </w:r>
      <w:r w:rsidR="00A13DEA" w:rsidRPr="00A13DEA">
        <w:rPr>
          <w:rFonts w:ascii="Garamond" w:hAnsi="Garamond"/>
          <w:sz w:val="24"/>
          <w:szCs w:val="24"/>
        </w:rPr>
        <w:t xml:space="preserve"> was organized in 2007 as a Massachusetts LLC.</w:t>
      </w:r>
      <w:r w:rsidR="00A13DEA">
        <w:rPr>
          <w:rFonts w:ascii="Garamond" w:hAnsi="Garamond"/>
          <w:sz w:val="24"/>
          <w:szCs w:val="24"/>
        </w:rPr>
        <w:t xml:space="preserve"> </w:t>
      </w:r>
      <w:r w:rsidR="00C30665">
        <w:rPr>
          <w:rFonts w:ascii="Garamond" w:hAnsi="Garamond"/>
          <w:sz w:val="24"/>
          <w:szCs w:val="24"/>
        </w:rPr>
        <w:t xml:space="preserve">The </w:t>
      </w:r>
      <w:r w:rsidR="00C30665" w:rsidRPr="00C30665">
        <w:rPr>
          <w:rFonts w:ascii="Garamond" w:hAnsi="Garamond"/>
          <w:sz w:val="24"/>
          <w:szCs w:val="24"/>
        </w:rPr>
        <w:t>applicant is eligible to expand through the grandfathering provision of 105 CMR 100.715.</w:t>
      </w:r>
      <w:r w:rsidR="00C30665">
        <w:rPr>
          <w:rStyle w:val="FootnoteReference"/>
          <w:rFonts w:ascii="Garamond" w:hAnsi="Garamond"/>
          <w:sz w:val="24"/>
          <w:szCs w:val="24"/>
        </w:rPr>
        <w:footnoteReference w:id="2"/>
      </w:r>
      <w:bookmarkEnd w:id="34"/>
      <w:bookmarkEnd w:id="35"/>
      <w:bookmarkEnd w:id="36"/>
      <w:bookmarkEnd w:id="37"/>
    </w:p>
    <w:p w14:paraId="072E0E3C" w14:textId="77777777" w:rsidR="00D0616D" w:rsidRDefault="00D0616D" w:rsidP="00B0533D">
      <w:pPr>
        <w:keepNext/>
        <w:keepLines/>
        <w:spacing w:after="0" w:line="240" w:lineRule="auto"/>
        <w:contextualSpacing/>
        <w:outlineLvl w:val="0"/>
        <w:rPr>
          <w:rFonts w:ascii="Garamond" w:hAnsi="Garamond"/>
          <w:sz w:val="24"/>
          <w:szCs w:val="24"/>
        </w:rPr>
      </w:pPr>
    </w:p>
    <w:p w14:paraId="1BF7E95B" w14:textId="319A7BE9" w:rsidR="00B0533D" w:rsidRDefault="00B0533D">
      <w:pPr>
        <w:keepNext/>
        <w:keepLines/>
        <w:spacing w:after="0" w:line="240" w:lineRule="auto"/>
        <w:contextualSpacing/>
        <w:outlineLvl w:val="0"/>
        <w:rPr>
          <w:rFonts w:ascii="Garamond" w:hAnsi="Garamond" w:cstheme="majorHAnsi"/>
          <w:sz w:val="24"/>
          <w:szCs w:val="24"/>
        </w:rPr>
      </w:pPr>
      <w:bookmarkStart w:id="40" w:name="_Toc58743886"/>
      <w:bookmarkStart w:id="41" w:name="_Toc58744044"/>
      <w:bookmarkStart w:id="42" w:name="_Toc58958850"/>
      <w:bookmarkStart w:id="43" w:name="_Toc58960196"/>
      <w:bookmarkStart w:id="44" w:name="_Toc58395915"/>
      <w:bookmarkStart w:id="45" w:name="_Toc58396381"/>
      <w:bookmarkStart w:id="46" w:name="_Toc58396487"/>
      <w:r w:rsidRPr="00C867B4">
        <w:rPr>
          <w:rFonts w:ascii="Garamond" w:hAnsi="Garamond"/>
          <w:sz w:val="24"/>
          <w:szCs w:val="24"/>
        </w:rPr>
        <w:t xml:space="preserve">The Applicant is proposing </w:t>
      </w:r>
      <w:r>
        <w:rPr>
          <w:rFonts w:ascii="Garamond" w:hAnsi="Garamond"/>
          <w:sz w:val="24"/>
          <w:szCs w:val="24"/>
        </w:rPr>
        <w:t xml:space="preserve">to renovate existing space located adjacent to the current </w:t>
      </w:r>
      <w:r w:rsidR="00FD2B16">
        <w:rPr>
          <w:rFonts w:ascii="Garamond" w:hAnsi="Garamond"/>
          <w:sz w:val="24"/>
          <w:szCs w:val="24"/>
        </w:rPr>
        <w:t xml:space="preserve">site </w:t>
      </w:r>
      <w:r>
        <w:rPr>
          <w:rFonts w:ascii="Garamond" w:hAnsi="Garamond"/>
          <w:sz w:val="24"/>
          <w:szCs w:val="24"/>
        </w:rPr>
        <w:t xml:space="preserve">to add </w:t>
      </w:r>
      <w:r w:rsidR="00837CC5" w:rsidRPr="00837CC5">
        <w:rPr>
          <w:rFonts w:ascii="Garamond" w:hAnsi="Garamond"/>
          <w:sz w:val="24"/>
          <w:szCs w:val="24"/>
        </w:rPr>
        <w:t>one operating room, two pre/post-operative beds, one enclosed pediatric room, an enlarged central sterile area, and additional administrative offices and storage spaces</w:t>
      </w:r>
      <w:r w:rsidR="00837CC5">
        <w:rPr>
          <w:rFonts w:ascii="Garamond" w:hAnsi="Garamond"/>
          <w:sz w:val="24"/>
          <w:szCs w:val="24"/>
        </w:rPr>
        <w:t xml:space="preserve"> </w:t>
      </w:r>
      <w:bookmarkEnd w:id="38"/>
      <w:bookmarkEnd w:id="39"/>
      <w:r>
        <w:rPr>
          <w:rFonts w:ascii="Garamond" w:hAnsi="Garamond" w:cstheme="majorHAnsi"/>
          <w:bCs/>
          <w:sz w:val="24"/>
          <w:szCs w:val="24"/>
        </w:rPr>
        <w:t xml:space="preserve">in order </w:t>
      </w:r>
      <w:r w:rsidRPr="00AE7C27">
        <w:rPr>
          <w:rFonts w:ascii="Garamond" w:hAnsi="Garamond" w:cstheme="majorHAnsi"/>
          <w:bCs/>
          <w:sz w:val="24"/>
          <w:szCs w:val="24"/>
        </w:rPr>
        <w:t xml:space="preserve">to </w:t>
      </w:r>
      <w:r>
        <w:rPr>
          <w:rFonts w:ascii="Garamond" w:hAnsi="Garamond" w:cstheme="majorHAnsi"/>
          <w:bCs/>
          <w:sz w:val="24"/>
          <w:szCs w:val="24"/>
        </w:rPr>
        <w:t xml:space="preserve">increase </w:t>
      </w:r>
      <w:r w:rsidR="00B9062A">
        <w:rPr>
          <w:rFonts w:ascii="Garamond" w:hAnsi="Garamond" w:cstheme="majorHAnsi"/>
          <w:bCs/>
          <w:sz w:val="24"/>
          <w:szCs w:val="24"/>
        </w:rPr>
        <w:t xml:space="preserve">its </w:t>
      </w:r>
      <w:r>
        <w:rPr>
          <w:rFonts w:ascii="Garamond" w:hAnsi="Garamond" w:cstheme="majorHAnsi"/>
          <w:bCs/>
          <w:sz w:val="24"/>
          <w:szCs w:val="24"/>
        </w:rPr>
        <w:t>Patient Panel access to NESC’s services</w:t>
      </w:r>
      <w:r w:rsidRPr="00AE7C27">
        <w:rPr>
          <w:rFonts w:ascii="Garamond" w:hAnsi="Garamond" w:cstheme="majorHAnsi"/>
          <w:bCs/>
          <w:sz w:val="24"/>
          <w:szCs w:val="24"/>
        </w:rPr>
        <w:t xml:space="preserve">. </w:t>
      </w:r>
      <w:r>
        <w:rPr>
          <w:rFonts w:ascii="Garamond" w:hAnsi="Garamond" w:cstheme="majorHAnsi"/>
          <w:bCs/>
          <w:sz w:val="24"/>
          <w:szCs w:val="24"/>
        </w:rPr>
        <w:t xml:space="preserve">The additional capacity will allow the Applicant to accommodate the current shift it is experiencing towards more complex surgeries </w:t>
      </w:r>
      <w:r w:rsidR="00FD2B16">
        <w:rPr>
          <w:rFonts w:ascii="Garamond" w:hAnsi="Garamond" w:cstheme="majorHAnsi"/>
          <w:bCs/>
          <w:sz w:val="24"/>
          <w:szCs w:val="24"/>
        </w:rPr>
        <w:t xml:space="preserve">which </w:t>
      </w:r>
      <w:r>
        <w:rPr>
          <w:rFonts w:ascii="Garamond" w:hAnsi="Garamond" w:cstheme="majorHAnsi"/>
          <w:bCs/>
          <w:sz w:val="24"/>
          <w:szCs w:val="24"/>
        </w:rPr>
        <w:t>requir</w:t>
      </w:r>
      <w:r w:rsidR="00FD2B16">
        <w:rPr>
          <w:rFonts w:ascii="Garamond" w:hAnsi="Garamond" w:cstheme="majorHAnsi"/>
          <w:bCs/>
          <w:sz w:val="24"/>
          <w:szCs w:val="24"/>
        </w:rPr>
        <w:t>e</w:t>
      </w:r>
      <w:r>
        <w:rPr>
          <w:rFonts w:ascii="Garamond" w:hAnsi="Garamond" w:cstheme="majorHAnsi"/>
          <w:bCs/>
          <w:sz w:val="24"/>
          <w:szCs w:val="24"/>
        </w:rPr>
        <w:t xml:space="preserve"> </w:t>
      </w:r>
      <w:r w:rsidR="00FD2B16">
        <w:rPr>
          <w:rFonts w:ascii="Garamond" w:hAnsi="Garamond" w:cstheme="majorHAnsi"/>
          <w:bCs/>
          <w:sz w:val="24"/>
          <w:szCs w:val="24"/>
        </w:rPr>
        <w:t xml:space="preserve">longer </w:t>
      </w:r>
      <w:r>
        <w:rPr>
          <w:rFonts w:ascii="Garamond" w:hAnsi="Garamond" w:cstheme="majorHAnsi"/>
          <w:bCs/>
          <w:sz w:val="24"/>
          <w:szCs w:val="24"/>
        </w:rPr>
        <w:t>operating room (OR) time per procedure.</w:t>
      </w:r>
      <w:bookmarkEnd w:id="40"/>
      <w:bookmarkEnd w:id="41"/>
      <w:bookmarkEnd w:id="42"/>
      <w:bookmarkEnd w:id="43"/>
      <w:r>
        <w:rPr>
          <w:rFonts w:ascii="Garamond" w:hAnsi="Garamond" w:cstheme="majorHAnsi"/>
          <w:bCs/>
          <w:sz w:val="24"/>
          <w:szCs w:val="24"/>
        </w:rPr>
        <w:t xml:space="preserve"> </w:t>
      </w:r>
      <w:bookmarkEnd w:id="44"/>
      <w:bookmarkEnd w:id="45"/>
      <w:bookmarkEnd w:id="46"/>
    </w:p>
    <w:p w14:paraId="59CEDA09" w14:textId="526EEBA1" w:rsidR="00A67525" w:rsidRDefault="00A67525">
      <w:pPr>
        <w:keepNext/>
        <w:keepLines/>
        <w:spacing w:after="0" w:line="240" w:lineRule="auto"/>
        <w:contextualSpacing/>
        <w:outlineLvl w:val="0"/>
        <w:rPr>
          <w:rFonts w:ascii="Garamond" w:hAnsi="Garamond" w:cstheme="majorHAnsi"/>
          <w:sz w:val="24"/>
          <w:szCs w:val="24"/>
        </w:rPr>
      </w:pPr>
    </w:p>
    <w:tbl>
      <w:tblPr>
        <w:tblStyle w:val="TableGrid"/>
        <w:tblW w:w="0" w:type="auto"/>
        <w:jc w:val="center"/>
        <w:tblLook w:val="04A0" w:firstRow="1" w:lastRow="0" w:firstColumn="1" w:lastColumn="0" w:noHBand="0" w:noVBand="1"/>
      </w:tblPr>
      <w:tblGrid>
        <w:gridCol w:w="2491"/>
        <w:gridCol w:w="997"/>
        <w:gridCol w:w="1174"/>
        <w:gridCol w:w="2004"/>
      </w:tblGrid>
      <w:tr w:rsidR="00A67525" w14:paraId="0A5834D4" w14:textId="7E207822" w:rsidTr="00264E5C">
        <w:trPr>
          <w:jc w:val="center"/>
        </w:trPr>
        <w:tc>
          <w:tcPr>
            <w:tcW w:w="0" w:type="auto"/>
          </w:tcPr>
          <w:p w14:paraId="19C39BCA" w14:textId="77777777" w:rsidR="00A67525" w:rsidRDefault="00A67525">
            <w:pPr>
              <w:keepNext/>
              <w:keepLines/>
              <w:contextualSpacing/>
              <w:outlineLvl w:val="0"/>
              <w:rPr>
                <w:rFonts w:ascii="Garamond" w:hAnsi="Garamond"/>
                <w:sz w:val="24"/>
                <w:szCs w:val="24"/>
              </w:rPr>
            </w:pPr>
          </w:p>
        </w:tc>
        <w:tc>
          <w:tcPr>
            <w:tcW w:w="0" w:type="auto"/>
            <w:shd w:val="clear" w:color="auto" w:fill="DFE3F0" w:themeFill="accent1" w:themeFillTint="33"/>
          </w:tcPr>
          <w:p w14:paraId="003C5F04" w14:textId="44F63600" w:rsidR="00A67525" w:rsidRPr="00264E5C" w:rsidRDefault="00A67525">
            <w:pPr>
              <w:keepNext/>
              <w:keepLines/>
              <w:contextualSpacing/>
              <w:outlineLvl w:val="0"/>
              <w:rPr>
                <w:rFonts w:ascii="Garamond" w:hAnsi="Garamond"/>
                <w:b/>
                <w:bCs/>
                <w:sz w:val="24"/>
                <w:szCs w:val="24"/>
              </w:rPr>
            </w:pPr>
            <w:bookmarkStart w:id="47" w:name="_Toc58395916"/>
            <w:bookmarkStart w:id="48" w:name="_Toc58396382"/>
            <w:bookmarkStart w:id="49" w:name="_Toc58396488"/>
            <w:bookmarkStart w:id="50" w:name="_Toc58743887"/>
            <w:bookmarkStart w:id="51" w:name="_Toc58744045"/>
            <w:bookmarkStart w:id="52" w:name="_Toc58958851"/>
            <w:bookmarkStart w:id="53" w:name="_Toc58960197"/>
            <w:r w:rsidRPr="00264E5C">
              <w:rPr>
                <w:rFonts w:ascii="Garamond" w:hAnsi="Garamond"/>
                <w:b/>
                <w:bCs/>
                <w:sz w:val="24"/>
                <w:szCs w:val="24"/>
              </w:rPr>
              <w:t>Current</w:t>
            </w:r>
            <w:bookmarkEnd w:id="47"/>
            <w:bookmarkEnd w:id="48"/>
            <w:bookmarkEnd w:id="49"/>
            <w:bookmarkEnd w:id="50"/>
            <w:bookmarkEnd w:id="51"/>
            <w:bookmarkEnd w:id="52"/>
            <w:bookmarkEnd w:id="53"/>
            <w:r w:rsidRPr="00264E5C">
              <w:rPr>
                <w:rFonts w:ascii="Garamond" w:hAnsi="Garamond"/>
                <w:b/>
                <w:bCs/>
                <w:sz w:val="24"/>
                <w:szCs w:val="24"/>
              </w:rPr>
              <w:t xml:space="preserve"> </w:t>
            </w:r>
          </w:p>
        </w:tc>
        <w:tc>
          <w:tcPr>
            <w:tcW w:w="0" w:type="auto"/>
            <w:shd w:val="clear" w:color="auto" w:fill="DFE3F0" w:themeFill="accent1" w:themeFillTint="33"/>
          </w:tcPr>
          <w:p w14:paraId="2715CCA2" w14:textId="3D81CAE7" w:rsidR="00A67525" w:rsidRPr="00264E5C" w:rsidRDefault="00A67525">
            <w:pPr>
              <w:keepNext/>
              <w:keepLines/>
              <w:contextualSpacing/>
              <w:outlineLvl w:val="0"/>
              <w:rPr>
                <w:rFonts w:ascii="Garamond" w:hAnsi="Garamond"/>
                <w:b/>
                <w:bCs/>
                <w:sz w:val="24"/>
                <w:szCs w:val="24"/>
              </w:rPr>
            </w:pPr>
            <w:bookmarkStart w:id="54" w:name="_Toc58395917"/>
            <w:bookmarkStart w:id="55" w:name="_Toc58396383"/>
            <w:bookmarkStart w:id="56" w:name="_Toc58396489"/>
            <w:bookmarkStart w:id="57" w:name="_Toc58743888"/>
            <w:bookmarkStart w:id="58" w:name="_Toc58744046"/>
            <w:bookmarkStart w:id="59" w:name="_Toc58958852"/>
            <w:bookmarkStart w:id="60" w:name="_Toc58960198"/>
            <w:r w:rsidRPr="00264E5C">
              <w:rPr>
                <w:rFonts w:ascii="Garamond" w:hAnsi="Garamond"/>
                <w:b/>
                <w:bCs/>
                <w:sz w:val="24"/>
                <w:szCs w:val="24"/>
              </w:rPr>
              <w:t>Proposed</w:t>
            </w:r>
            <w:bookmarkEnd w:id="54"/>
            <w:bookmarkEnd w:id="55"/>
            <w:bookmarkEnd w:id="56"/>
            <w:bookmarkEnd w:id="57"/>
            <w:bookmarkEnd w:id="58"/>
            <w:bookmarkEnd w:id="59"/>
            <w:bookmarkEnd w:id="60"/>
          </w:p>
        </w:tc>
        <w:tc>
          <w:tcPr>
            <w:tcW w:w="0" w:type="auto"/>
            <w:shd w:val="clear" w:color="auto" w:fill="DFE3F0" w:themeFill="accent1" w:themeFillTint="33"/>
          </w:tcPr>
          <w:p w14:paraId="6322FE79" w14:textId="18EEEA31" w:rsidR="00A67525" w:rsidRPr="00264E5C" w:rsidRDefault="00A67525">
            <w:pPr>
              <w:keepNext/>
              <w:keepLines/>
              <w:contextualSpacing/>
              <w:outlineLvl w:val="0"/>
              <w:rPr>
                <w:rFonts w:ascii="Garamond" w:hAnsi="Garamond"/>
                <w:b/>
                <w:bCs/>
                <w:sz w:val="24"/>
                <w:szCs w:val="24"/>
              </w:rPr>
            </w:pPr>
            <w:bookmarkStart w:id="61" w:name="_Toc58395918"/>
            <w:bookmarkStart w:id="62" w:name="_Toc58396384"/>
            <w:bookmarkStart w:id="63" w:name="_Toc58396490"/>
            <w:bookmarkStart w:id="64" w:name="_Toc58743889"/>
            <w:bookmarkStart w:id="65" w:name="_Toc58744047"/>
            <w:bookmarkStart w:id="66" w:name="_Toc58958853"/>
            <w:bookmarkStart w:id="67" w:name="_Toc58960199"/>
            <w:r w:rsidRPr="00264E5C">
              <w:rPr>
                <w:rFonts w:ascii="Garamond" w:hAnsi="Garamond"/>
                <w:b/>
                <w:bCs/>
                <w:sz w:val="24"/>
                <w:szCs w:val="24"/>
              </w:rPr>
              <w:t>Total if Approved</w:t>
            </w:r>
            <w:bookmarkEnd w:id="61"/>
            <w:bookmarkEnd w:id="62"/>
            <w:bookmarkEnd w:id="63"/>
            <w:bookmarkEnd w:id="64"/>
            <w:bookmarkEnd w:id="65"/>
            <w:bookmarkEnd w:id="66"/>
            <w:bookmarkEnd w:id="67"/>
          </w:p>
        </w:tc>
      </w:tr>
      <w:tr w:rsidR="00A67525" w14:paraId="5AACE363" w14:textId="29A59A89" w:rsidTr="00264E5C">
        <w:trPr>
          <w:jc w:val="center"/>
        </w:trPr>
        <w:tc>
          <w:tcPr>
            <w:tcW w:w="0" w:type="auto"/>
          </w:tcPr>
          <w:p w14:paraId="74EF5FEF" w14:textId="0FA5D2CD" w:rsidR="00A67525" w:rsidRDefault="00A67525">
            <w:pPr>
              <w:keepNext/>
              <w:keepLines/>
              <w:contextualSpacing/>
              <w:outlineLvl w:val="0"/>
              <w:rPr>
                <w:rFonts w:ascii="Garamond" w:hAnsi="Garamond"/>
                <w:sz w:val="24"/>
                <w:szCs w:val="24"/>
              </w:rPr>
            </w:pPr>
            <w:bookmarkStart w:id="68" w:name="_Toc58395919"/>
            <w:bookmarkStart w:id="69" w:name="_Toc58396385"/>
            <w:bookmarkStart w:id="70" w:name="_Toc58396491"/>
            <w:bookmarkStart w:id="71" w:name="_Toc58743890"/>
            <w:bookmarkStart w:id="72" w:name="_Toc58744048"/>
            <w:bookmarkStart w:id="73" w:name="_Toc58958854"/>
            <w:bookmarkStart w:id="74" w:name="_Toc58960200"/>
            <w:r>
              <w:rPr>
                <w:rFonts w:ascii="Garamond" w:hAnsi="Garamond"/>
                <w:sz w:val="24"/>
                <w:szCs w:val="24"/>
              </w:rPr>
              <w:t>ORs</w:t>
            </w:r>
            <w:bookmarkEnd w:id="68"/>
            <w:bookmarkEnd w:id="69"/>
            <w:bookmarkEnd w:id="70"/>
            <w:bookmarkEnd w:id="71"/>
            <w:bookmarkEnd w:id="72"/>
            <w:bookmarkEnd w:id="73"/>
            <w:bookmarkEnd w:id="74"/>
          </w:p>
        </w:tc>
        <w:tc>
          <w:tcPr>
            <w:tcW w:w="0" w:type="auto"/>
          </w:tcPr>
          <w:p w14:paraId="1E405980" w14:textId="34827285" w:rsidR="00A67525" w:rsidRDefault="00A67525">
            <w:pPr>
              <w:keepNext/>
              <w:keepLines/>
              <w:contextualSpacing/>
              <w:outlineLvl w:val="0"/>
              <w:rPr>
                <w:rFonts w:ascii="Garamond" w:hAnsi="Garamond"/>
                <w:sz w:val="24"/>
                <w:szCs w:val="24"/>
              </w:rPr>
            </w:pPr>
            <w:bookmarkStart w:id="75" w:name="_Toc58395920"/>
            <w:bookmarkStart w:id="76" w:name="_Toc58396386"/>
            <w:bookmarkStart w:id="77" w:name="_Toc58396492"/>
            <w:bookmarkStart w:id="78" w:name="_Toc58743891"/>
            <w:bookmarkStart w:id="79" w:name="_Toc58744049"/>
            <w:bookmarkStart w:id="80" w:name="_Toc58958855"/>
            <w:bookmarkStart w:id="81" w:name="_Toc58960201"/>
            <w:r>
              <w:rPr>
                <w:rFonts w:ascii="Garamond" w:hAnsi="Garamond"/>
                <w:sz w:val="24"/>
                <w:szCs w:val="24"/>
              </w:rPr>
              <w:t>1</w:t>
            </w:r>
            <w:bookmarkEnd w:id="75"/>
            <w:bookmarkEnd w:id="76"/>
            <w:bookmarkEnd w:id="77"/>
            <w:bookmarkEnd w:id="78"/>
            <w:bookmarkEnd w:id="79"/>
            <w:bookmarkEnd w:id="80"/>
            <w:bookmarkEnd w:id="81"/>
          </w:p>
        </w:tc>
        <w:tc>
          <w:tcPr>
            <w:tcW w:w="0" w:type="auto"/>
          </w:tcPr>
          <w:p w14:paraId="25B638C7" w14:textId="3751D7A9" w:rsidR="00A67525" w:rsidRDefault="00A67525">
            <w:pPr>
              <w:keepNext/>
              <w:keepLines/>
              <w:contextualSpacing/>
              <w:outlineLvl w:val="0"/>
              <w:rPr>
                <w:rFonts w:ascii="Garamond" w:hAnsi="Garamond"/>
                <w:sz w:val="24"/>
                <w:szCs w:val="24"/>
              </w:rPr>
            </w:pPr>
            <w:bookmarkStart w:id="82" w:name="_Toc58395921"/>
            <w:bookmarkStart w:id="83" w:name="_Toc58396387"/>
            <w:bookmarkStart w:id="84" w:name="_Toc58396493"/>
            <w:bookmarkStart w:id="85" w:name="_Toc58743892"/>
            <w:bookmarkStart w:id="86" w:name="_Toc58744050"/>
            <w:bookmarkStart w:id="87" w:name="_Toc58958856"/>
            <w:bookmarkStart w:id="88" w:name="_Toc58960202"/>
            <w:r>
              <w:rPr>
                <w:rFonts w:ascii="Garamond" w:hAnsi="Garamond"/>
                <w:sz w:val="24"/>
                <w:szCs w:val="24"/>
              </w:rPr>
              <w:t>1</w:t>
            </w:r>
            <w:bookmarkEnd w:id="82"/>
            <w:bookmarkEnd w:id="83"/>
            <w:bookmarkEnd w:id="84"/>
            <w:bookmarkEnd w:id="85"/>
            <w:bookmarkEnd w:id="86"/>
            <w:bookmarkEnd w:id="87"/>
            <w:bookmarkEnd w:id="88"/>
          </w:p>
        </w:tc>
        <w:tc>
          <w:tcPr>
            <w:tcW w:w="0" w:type="auto"/>
          </w:tcPr>
          <w:p w14:paraId="3D2C7B17" w14:textId="0D14D054" w:rsidR="00A67525" w:rsidRDefault="00A67525">
            <w:pPr>
              <w:keepNext/>
              <w:keepLines/>
              <w:contextualSpacing/>
              <w:outlineLvl w:val="0"/>
              <w:rPr>
                <w:rFonts w:ascii="Garamond" w:hAnsi="Garamond"/>
                <w:sz w:val="24"/>
                <w:szCs w:val="24"/>
              </w:rPr>
            </w:pPr>
            <w:bookmarkStart w:id="89" w:name="_Toc58395922"/>
            <w:bookmarkStart w:id="90" w:name="_Toc58396388"/>
            <w:bookmarkStart w:id="91" w:name="_Toc58396494"/>
            <w:bookmarkStart w:id="92" w:name="_Toc58743893"/>
            <w:bookmarkStart w:id="93" w:name="_Toc58744051"/>
            <w:bookmarkStart w:id="94" w:name="_Toc58958857"/>
            <w:bookmarkStart w:id="95" w:name="_Toc58960203"/>
            <w:r>
              <w:rPr>
                <w:rFonts w:ascii="Garamond" w:hAnsi="Garamond"/>
                <w:sz w:val="24"/>
                <w:szCs w:val="24"/>
              </w:rPr>
              <w:t>2</w:t>
            </w:r>
            <w:bookmarkEnd w:id="89"/>
            <w:bookmarkEnd w:id="90"/>
            <w:bookmarkEnd w:id="91"/>
            <w:bookmarkEnd w:id="92"/>
            <w:bookmarkEnd w:id="93"/>
            <w:bookmarkEnd w:id="94"/>
            <w:bookmarkEnd w:id="95"/>
          </w:p>
        </w:tc>
      </w:tr>
      <w:tr w:rsidR="00A67525" w14:paraId="38EEB835" w14:textId="465F7979" w:rsidTr="00264E5C">
        <w:trPr>
          <w:jc w:val="center"/>
        </w:trPr>
        <w:tc>
          <w:tcPr>
            <w:tcW w:w="0" w:type="auto"/>
          </w:tcPr>
          <w:p w14:paraId="359C368A" w14:textId="4A615CC4" w:rsidR="00A67525" w:rsidRDefault="00A67525">
            <w:pPr>
              <w:keepNext/>
              <w:keepLines/>
              <w:contextualSpacing/>
              <w:outlineLvl w:val="0"/>
              <w:rPr>
                <w:rFonts w:ascii="Garamond" w:hAnsi="Garamond"/>
                <w:sz w:val="24"/>
                <w:szCs w:val="24"/>
              </w:rPr>
            </w:pPr>
            <w:bookmarkStart w:id="96" w:name="_Toc58395923"/>
            <w:bookmarkStart w:id="97" w:name="_Toc58396389"/>
            <w:bookmarkStart w:id="98" w:name="_Toc58396495"/>
            <w:bookmarkStart w:id="99" w:name="_Toc58743894"/>
            <w:bookmarkStart w:id="100" w:name="_Toc58744052"/>
            <w:bookmarkStart w:id="101" w:name="_Toc58958858"/>
            <w:bookmarkStart w:id="102" w:name="_Toc58960204"/>
            <w:r>
              <w:rPr>
                <w:rFonts w:ascii="Garamond" w:hAnsi="Garamond"/>
                <w:sz w:val="24"/>
                <w:szCs w:val="24"/>
              </w:rPr>
              <w:t>Pre/Post-operative beds</w:t>
            </w:r>
            <w:bookmarkEnd w:id="96"/>
            <w:bookmarkEnd w:id="97"/>
            <w:bookmarkEnd w:id="98"/>
            <w:bookmarkEnd w:id="99"/>
            <w:bookmarkEnd w:id="100"/>
            <w:bookmarkEnd w:id="101"/>
            <w:bookmarkEnd w:id="102"/>
          </w:p>
        </w:tc>
        <w:tc>
          <w:tcPr>
            <w:tcW w:w="0" w:type="auto"/>
          </w:tcPr>
          <w:p w14:paraId="44E52359" w14:textId="0B702DF7" w:rsidR="00A67525" w:rsidRDefault="00A67525">
            <w:pPr>
              <w:keepNext/>
              <w:keepLines/>
              <w:contextualSpacing/>
              <w:outlineLvl w:val="0"/>
              <w:rPr>
                <w:rFonts w:ascii="Garamond" w:hAnsi="Garamond"/>
                <w:sz w:val="24"/>
                <w:szCs w:val="24"/>
              </w:rPr>
            </w:pPr>
            <w:bookmarkStart w:id="103" w:name="_Toc58395924"/>
            <w:bookmarkStart w:id="104" w:name="_Toc58396390"/>
            <w:bookmarkStart w:id="105" w:name="_Toc58396496"/>
            <w:bookmarkStart w:id="106" w:name="_Toc58743895"/>
            <w:bookmarkStart w:id="107" w:name="_Toc58744053"/>
            <w:bookmarkStart w:id="108" w:name="_Toc58958859"/>
            <w:bookmarkStart w:id="109" w:name="_Toc58960205"/>
            <w:r>
              <w:rPr>
                <w:rFonts w:ascii="Garamond" w:hAnsi="Garamond"/>
                <w:sz w:val="24"/>
                <w:szCs w:val="24"/>
              </w:rPr>
              <w:t>7</w:t>
            </w:r>
            <w:bookmarkEnd w:id="103"/>
            <w:bookmarkEnd w:id="104"/>
            <w:bookmarkEnd w:id="105"/>
            <w:bookmarkEnd w:id="106"/>
            <w:bookmarkEnd w:id="107"/>
            <w:bookmarkEnd w:id="108"/>
            <w:bookmarkEnd w:id="109"/>
          </w:p>
        </w:tc>
        <w:tc>
          <w:tcPr>
            <w:tcW w:w="0" w:type="auto"/>
          </w:tcPr>
          <w:p w14:paraId="2589F7A8" w14:textId="59CB3CC5" w:rsidR="00A67525" w:rsidRDefault="00A67525">
            <w:pPr>
              <w:keepNext/>
              <w:keepLines/>
              <w:contextualSpacing/>
              <w:outlineLvl w:val="0"/>
              <w:rPr>
                <w:rFonts w:ascii="Garamond" w:hAnsi="Garamond"/>
                <w:sz w:val="24"/>
                <w:szCs w:val="24"/>
              </w:rPr>
            </w:pPr>
            <w:bookmarkStart w:id="110" w:name="_Toc58395925"/>
            <w:bookmarkStart w:id="111" w:name="_Toc58396391"/>
            <w:bookmarkStart w:id="112" w:name="_Toc58396497"/>
            <w:bookmarkStart w:id="113" w:name="_Toc58743896"/>
            <w:bookmarkStart w:id="114" w:name="_Toc58744054"/>
            <w:bookmarkStart w:id="115" w:name="_Toc58958860"/>
            <w:bookmarkStart w:id="116" w:name="_Toc58960206"/>
            <w:r>
              <w:rPr>
                <w:rFonts w:ascii="Garamond" w:hAnsi="Garamond"/>
                <w:sz w:val="24"/>
                <w:szCs w:val="24"/>
              </w:rPr>
              <w:t>2</w:t>
            </w:r>
            <w:bookmarkEnd w:id="110"/>
            <w:bookmarkEnd w:id="111"/>
            <w:bookmarkEnd w:id="112"/>
            <w:bookmarkEnd w:id="113"/>
            <w:bookmarkEnd w:id="114"/>
            <w:bookmarkEnd w:id="115"/>
            <w:bookmarkEnd w:id="116"/>
          </w:p>
        </w:tc>
        <w:tc>
          <w:tcPr>
            <w:tcW w:w="0" w:type="auto"/>
          </w:tcPr>
          <w:p w14:paraId="0084AD83" w14:textId="7288DA23" w:rsidR="00A67525" w:rsidRDefault="00A67525">
            <w:pPr>
              <w:keepNext/>
              <w:keepLines/>
              <w:contextualSpacing/>
              <w:outlineLvl w:val="0"/>
              <w:rPr>
                <w:rFonts w:ascii="Garamond" w:hAnsi="Garamond"/>
                <w:sz w:val="24"/>
                <w:szCs w:val="24"/>
              </w:rPr>
            </w:pPr>
            <w:bookmarkStart w:id="117" w:name="_Toc58395926"/>
            <w:bookmarkStart w:id="118" w:name="_Toc58396392"/>
            <w:bookmarkStart w:id="119" w:name="_Toc58396498"/>
            <w:bookmarkStart w:id="120" w:name="_Toc58743897"/>
            <w:bookmarkStart w:id="121" w:name="_Toc58744055"/>
            <w:bookmarkStart w:id="122" w:name="_Toc58958861"/>
            <w:bookmarkStart w:id="123" w:name="_Toc58960207"/>
            <w:r>
              <w:rPr>
                <w:rFonts w:ascii="Garamond" w:hAnsi="Garamond"/>
                <w:sz w:val="24"/>
                <w:szCs w:val="24"/>
              </w:rPr>
              <w:t>9</w:t>
            </w:r>
            <w:bookmarkEnd w:id="117"/>
            <w:bookmarkEnd w:id="118"/>
            <w:bookmarkEnd w:id="119"/>
            <w:bookmarkEnd w:id="120"/>
            <w:bookmarkEnd w:id="121"/>
            <w:bookmarkEnd w:id="122"/>
            <w:bookmarkEnd w:id="123"/>
          </w:p>
        </w:tc>
      </w:tr>
      <w:tr w:rsidR="00846394" w14:paraId="6F26ACFD" w14:textId="77777777" w:rsidTr="00A67525">
        <w:trPr>
          <w:jc w:val="center"/>
        </w:trPr>
        <w:tc>
          <w:tcPr>
            <w:tcW w:w="0" w:type="auto"/>
          </w:tcPr>
          <w:p w14:paraId="3F190740" w14:textId="60D805F9" w:rsidR="00846394" w:rsidRDefault="00846394">
            <w:pPr>
              <w:keepNext/>
              <w:keepLines/>
              <w:contextualSpacing/>
              <w:outlineLvl w:val="0"/>
              <w:rPr>
                <w:rFonts w:ascii="Garamond" w:hAnsi="Garamond"/>
                <w:sz w:val="24"/>
                <w:szCs w:val="24"/>
              </w:rPr>
            </w:pPr>
            <w:bookmarkStart w:id="124" w:name="_Toc58395927"/>
            <w:bookmarkStart w:id="125" w:name="_Toc58396393"/>
            <w:bookmarkStart w:id="126" w:name="_Toc58396499"/>
            <w:bookmarkStart w:id="127" w:name="_Toc58743898"/>
            <w:bookmarkStart w:id="128" w:name="_Toc58744056"/>
            <w:bookmarkStart w:id="129" w:name="_Toc58958862"/>
            <w:bookmarkStart w:id="130" w:name="_Toc58960208"/>
            <w:r>
              <w:rPr>
                <w:rFonts w:ascii="Garamond" w:hAnsi="Garamond"/>
                <w:sz w:val="24"/>
                <w:szCs w:val="24"/>
              </w:rPr>
              <w:t>Pediatric room</w:t>
            </w:r>
            <w:bookmarkEnd w:id="124"/>
            <w:bookmarkEnd w:id="125"/>
            <w:bookmarkEnd w:id="126"/>
            <w:bookmarkEnd w:id="127"/>
            <w:bookmarkEnd w:id="128"/>
            <w:bookmarkEnd w:id="129"/>
            <w:bookmarkEnd w:id="130"/>
            <w:r>
              <w:rPr>
                <w:rFonts w:ascii="Garamond" w:hAnsi="Garamond"/>
                <w:sz w:val="24"/>
                <w:szCs w:val="24"/>
              </w:rPr>
              <w:t xml:space="preserve"> </w:t>
            </w:r>
          </w:p>
        </w:tc>
        <w:tc>
          <w:tcPr>
            <w:tcW w:w="0" w:type="auto"/>
          </w:tcPr>
          <w:p w14:paraId="3E37F50C" w14:textId="5A6A0ACE" w:rsidR="00846394" w:rsidRDefault="00846394">
            <w:pPr>
              <w:keepNext/>
              <w:keepLines/>
              <w:contextualSpacing/>
              <w:outlineLvl w:val="0"/>
              <w:rPr>
                <w:rFonts w:ascii="Garamond" w:hAnsi="Garamond"/>
                <w:sz w:val="24"/>
                <w:szCs w:val="24"/>
              </w:rPr>
            </w:pPr>
            <w:bookmarkStart w:id="131" w:name="_Toc58395928"/>
            <w:bookmarkStart w:id="132" w:name="_Toc58396394"/>
            <w:bookmarkStart w:id="133" w:name="_Toc58396500"/>
            <w:bookmarkStart w:id="134" w:name="_Toc58743899"/>
            <w:bookmarkStart w:id="135" w:name="_Toc58744057"/>
            <w:bookmarkStart w:id="136" w:name="_Toc58958863"/>
            <w:bookmarkStart w:id="137" w:name="_Toc58960209"/>
            <w:r>
              <w:rPr>
                <w:rFonts w:ascii="Garamond" w:hAnsi="Garamond"/>
                <w:sz w:val="24"/>
                <w:szCs w:val="24"/>
              </w:rPr>
              <w:t>0</w:t>
            </w:r>
            <w:bookmarkEnd w:id="131"/>
            <w:bookmarkEnd w:id="132"/>
            <w:bookmarkEnd w:id="133"/>
            <w:bookmarkEnd w:id="134"/>
            <w:bookmarkEnd w:id="135"/>
            <w:bookmarkEnd w:id="136"/>
            <w:bookmarkEnd w:id="137"/>
          </w:p>
        </w:tc>
        <w:tc>
          <w:tcPr>
            <w:tcW w:w="0" w:type="auto"/>
          </w:tcPr>
          <w:p w14:paraId="03C09C30" w14:textId="312D6983" w:rsidR="00846394" w:rsidRDefault="00846394">
            <w:pPr>
              <w:keepNext/>
              <w:keepLines/>
              <w:contextualSpacing/>
              <w:outlineLvl w:val="0"/>
              <w:rPr>
                <w:rFonts w:ascii="Garamond" w:hAnsi="Garamond"/>
                <w:sz w:val="24"/>
                <w:szCs w:val="24"/>
              </w:rPr>
            </w:pPr>
            <w:bookmarkStart w:id="138" w:name="_Toc58395929"/>
            <w:bookmarkStart w:id="139" w:name="_Toc58396395"/>
            <w:bookmarkStart w:id="140" w:name="_Toc58396501"/>
            <w:bookmarkStart w:id="141" w:name="_Toc58743900"/>
            <w:bookmarkStart w:id="142" w:name="_Toc58744058"/>
            <w:bookmarkStart w:id="143" w:name="_Toc58958864"/>
            <w:bookmarkStart w:id="144" w:name="_Toc58960210"/>
            <w:r>
              <w:rPr>
                <w:rFonts w:ascii="Garamond" w:hAnsi="Garamond"/>
                <w:sz w:val="24"/>
                <w:szCs w:val="24"/>
              </w:rPr>
              <w:t>1</w:t>
            </w:r>
            <w:bookmarkEnd w:id="138"/>
            <w:bookmarkEnd w:id="139"/>
            <w:bookmarkEnd w:id="140"/>
            <w:bookmarkEnd w:id="141"/>
            <w:bookmarkEnd w:id="142"/>
            <w:bookmarkEnd w:id="143"/>
            <w:bookmarkEnd w:id="144"/>
          </w:p>
        </w:tc>
        <w:tc>
          <w:tcPr>
            <w:tcW w:w="0" w:type="auto"/>
          </w:tcPr>
          <w:p w14:paraId="0F349437" w14:textId="45793DCD" w:rsidR="00846394" w:rsidRDefault="00846394">
            <w:pPr>
              <w:keepNext/>
              <w:keepLines/>
              <w:contextualSpacing/>
              <w:outlineLvl w:val="0"/>
              <w:rPr>
                <w:rFonts w:ascii="Garamond" w:hAnsi="Garamond"/>
                <w:sz w:val="24"/>
                <w:szCs w:val="24"/>
              </w:rPr>
            </w:pPr>
            <w:bookmarkStart w:id="145" w:name="_Toc58395930"/>
            <w:bookmarkStart w:id="146" w:name="_Toc58396396"/>
            <w:bookmarkStart w:id="147" w:name="_Toc58396502"/>
            <w:bookmarkStart w:id="148" w:name="_Toc58743901"/>
            <w:bookmarkStart w:id="149" w:name="_Toc58744059"/>
            <w:bookmarkStart w:id="150" w:name="_Toc58958865"/>
            <w:bookmarkStart w:id="151" w:name="_Toc58960211"/>
            <w:r>
              <w:rPr>
                <w:rFonts w:ascii="Garamond" w:hAnsi="Garamond"/>
                <w:sz w:val="24"/>
                <w:szCs w:val="24"/>
              </w:rPr>
              <w:t>1</w:t>
            </w:r>
            <w:bookmarkEnd w:id="145"/>
            <w:bookmarkEnd w:id="146"/>
            <w:bookmarkEnd w:id="147"/>
            <w:bookmarkEnd w:id="148"/>
            <w:bookmarkEnd w:id="149"/>
            <w:bookmarkEnd w:id="150"/>
            <w:bookmarkEnd w:id="151"/>
            <w:r w:rsidR="00FD2B16">
              <w:rPr>
                <w:rFonts w:ascii="Garamond" w:hAnsi="Garamond"/>
                <w:sz w:val="24"/>
                <w:szCs w:val="24"/>
              </w:rPr>
              <w:t xml:space="preserve"> </w:t>
            </w:r>
          </w:p>
        </w:tc>
      </w:tr>
    </w:tbl>
    <w:p w14:paraId="39B4E428" w14:textId="5130EF7B" w:rsidR="00C83E14" w:rsidRPr="000369E7" w:rsidRDefault="003501E4">
      <w:pPr>
        <w:pStyle w:val="Heading1"/>
        <w:spacing w:line="240" w:lineRule="auto"/>
        <w:rPr>
          <w:rFonts w:ascii="Garamond" w:hAnsi="Garamond"/>
        </w:rPr>
      </w:pPr>
      <w:bookmarkStart w:id="152" w:name="_Toc58960212"/>
      <w:r>
        <w:rPr>
          <w:rFonts w:ascii="Garamond" w:hAnsi="Garamond"/>
        </w:rPr>
        <w:t>P</w:t>
      </w:r>
      <w:r w:rsidR="00C83E14" w:rsidRPr="000369E7">
        <w:rPr>
          <w:rFonts w:ascii="Garamond" w:hAnsi="Garamond"/>
        </w:rPr>
        <w:t>atient Panel</w:t>
      </w:r>
      <w:r w:rsidR="00C83E14" w:rsidRPr="000369E7">
        <w:rPr>
          <w:rFonts w:ascii="Garamond" w:hAnsi="Garamond"/>
          <w:b w:val="0"/>
          <w:vertAlign w:val="superscript"/>
        </w:rPr>
        <w:footnoteReference w:id="3"/>
      </w:r>
      <w:bookmarkEnd w:id="17"/>
      <w:bookmarkEnd w:id="18"/>
      <w:bookmarkEnd w:id="152"/>
    </w:p>
    <w:p w14:paraId="6B17712F" w14:textId="0E906134" w:rsidR="00E85F9C" w:rsidRPr="00356C7D" w:rsidRDefault="00BA3AD6" w:rsidP="00EA38CA">
      <w:pPr>
        <w:spacing w:after="0" w:line="240" w:lineRule="auto"/>
        <w:rPr>
          <w:rFonts w:ascii="Garamond" w:eastAsia="Calibri" w:hAnsi="Garamond" w:cs="Calibri"/>
          <w:bCs/>
          <w:sz w:val="24"/>
          <w:szCs w:val="24"/>
        </w:rPr>
      </w:pPr>
      <w:r>
        <w:rPr>
          <w:rFonts w:ascii="Garamond" w:eastAsia="Calibri" w:hAnsi="Garamond" w:cs="Calibri"/>
          <w:bCs/>
          <w:sz w:val="24"/>
          <w:szCs w:val="24"/>
        </w:rPr>
        <w:t>The Applicant provided Patient Panel information for the period FY2017-2019</w:t>
      </w:r>
      <w:r w:rsidR="0035750E">
        <w:rPr>
          <w:rFonts w:ascii="Garamond" w:eastAsia="Calibri" w:hAnsi="Garamond" w:cs="Calibri"/>
          <w:bCs/>
          <w:sz w:val="24"/>
          <w:szCs w:val="24"/>
        </w:rPr>
        <w:t xml:space="preserve"> d</w:t>
      </w:r>
      <w:r w:rsidR="005662B1">
        <w:rPr>
          <w:rFonts w:ascii="Garamond" w:eastAsia="Calibri" w:hAnsi="Garamond" w:cs="Calibri"/>
          <w:bCs/>
          <w:sz w:val="24"/>
          <w:szCs w:val="24"/>
        </w:rPr>
        <w:t xml:space="preserve">uring </w:t>
      </w:r>
      <w:r w:rsidR="0035750E">
        <w:rPr>
          <w:rFonts w:ascii="Garamond" w:eastAsia="Calibri" w:hAnsi="Garamond" w:cs="Calibri"/>
          <w:bCs/>
          <w:sz w:val="24"/>
          <w:szCs w:val="24"/>
        </w:rPr>
        <w:t>which</w:t>
      </w:r>
      <w:r w:rsidR="005662B1">
        <w:rPr>
          <w:rFonts w:ascii="Garamond" w:eastAsia="Calibri" w:hAnsi="Garamond" w:cs="Calibri"/>
          <w:bCs/>
          <w:sz w:val="24"/>
          <w:szCs w:val="24"/>
        </w:rPr>
        <w:t xml:space="preserve"> time the Applicant served </w:t>
      </w:r>
      <w:r w:rsidR="0049361D">
        <w:rPr>
          <w:rFonts w:ascii="Garamond" w:eastAsia="Calibri" w:hAnsi="Garamond" w:cs="Calibri"/>
          <w:bCs/>
          <w:sz w:val="24"/>
          <w:szCs w:val="24"/>
        </w:rPr>
        <w:t>3,752 patients.</w:t>
      </w:r>
      <w:r w:rsidR="00CD1DE8">
        <w:rPr>
          <w:rStyle w:val="FootnoteReference"/>
          <w:rFonts w:ascii="Garamond" w:eastAsia="Calibri" w:hAnsi="Garamond" w:cs="Calibri"/>
          <w:bCs/>
          <w:sz w:val="24"/>
          <w:szCs w:val="24"/>
        </w:rPr>
        <w:footnoteReference w:id="4"/>
      </w:r>
      <w:r w:rsidR="0049361D">
        <w:rPr>
          <w:rFonts w:ascii="Garamond" w:eastAsia="Calibri" w:hAnsi="Garamond" w:cs="Calibri"/>
          <w:bCs/>
          <w:sz w:val="24"/>
          <w:szCs w:val="24"/>
        </w:rPr>
        <w:t xml:space="preserve"> </w:t>
      </w:r>
      <w:bookmarkEnd w:id="19"/>
      <w:r w:rsidR="000B36EA" w:rsidRPr="00C867B4">
        <w:rPr>
          <w:rFonts w:ascii="Garamond" w:hAnsi="Garamond"/>
          <w:sz w:val="24"/>
          <w:szCs w:val="24"/>
        </w:rPr>
        <w:t>Table 1</w:t>
      </w:r>
      <w:r w:rsidR="008070AD">
        <w:rPr>
          <w:rFonts w:ascii="Garamond" w:hAnsi="Garamond"/>
          <w:sz w:val="24"/>
          <w:szCs w:val="24"/>
        </w:rPr>
        <w:t xml:space="preserve"> </w:t>
      </w:r>
      <w:r w:rsidR="00DF14C1">
        <w:rPr>
          <w:rFonts w:ascii="Garamond" w:hAnsi="Garamond"/>
          <w:sz w:val="24"/>
          <w:szCs w:val="24"/>
        </w:rPr>
        <w:t xml:space="preserve">below </w:t>
      </w:r>
      <w:r w:rsidR="000B36EA" w:rsidRPr="00C867B4">
        <w:rPr>
          <w:rFonts w:ascii="Garamond" w:hAnsi="Garamond"/>
          <w:sz w:val="24"/>
          <w:szCs w:val="24"/>
        </w:rPr>
        <w:t>present</w:t>
      </w:r>
      <w:r w:rsidR="008070AD">
        <w:rPr>
          <w:rFonts w:ascii="Garamond" w:hAnsi="Garamond"/>
          <w:sz w:val="24"/>
          <w:szCs w:val="24"/>
        </w:rPr>
        <w:t>s</w:t>
      </w:r>
      <w:r w:rsidR="000B36EA" w:rsidRPr="00C867B4">
        <w:rPr>
          <w:rFonts w:ascii="Garamond" w:hAnsi="Garamond"/>
          <w:sz w:val="24"/>
          <w:szCs w:val="24"/>
        </w:rPr>
        <w:t xml:space="preserve"> </w:t>
      </w:r>
      <w:r w:rsidR="00F81FA2">
        <w:rPr>
          <w:rFonts w:ascii="Garamond" w:hAnsi="Garamond"/>
          <w:sz w:val="24"/>
          <w:szCs w:val="24"/>
        </w:rPr>
        <w:t>demographic</w:t>
      </w:r>
      <w:r w:rsidR="000B36EA" w:rsidRPr="00C867B4">
        <w:rPr>
          <w:rFonts w:ascii="Garamond" w:hAnsi="Garamond"/>
          <w:sz w:val="24"/>
          <w:szCs w:val="24"/>
        </w:rPr>
        <w:t xml:space="preserve"> information for these patients </w:t>
      </w:r>
      <w:r w:rsidR="0030421F">
        <w:rPr>
          <w:rFonts w:ascii="Garamond" w:hAnsi="Garamond"/>
          <w:sz w:val="24"/>
          <w:szCs w:val="24"/>
        </w:rPr>
        <w:t>during</w:t>
      </w:r>
      <w:r w:rsidR="000B36EA" w:rsidRPr="00C867B4">
        <w:rPr>
          <w:rFonts w:ascii="Garamond" w:hAnsi="Garamond"/>
          <w:sz w:val="24"/>
          <w:szCs w:val="24"/>
        </w:rPr>
        <w:t xml:space="preserve"> </w:t>
      </w:r>
      <w:r w:rsidR="006F5D21" w:rsidRPr="00C867B4">
        <w:rPr>
          <w:rFonts w:ascii="Garamond" w:hAnsi="Garamond"/>
          <w:sz w:val="24"/>
          <w:szCs w:val="24"/>
        </w:rPr>
        <w:t>FY</w:t>
      </w:r>
      <w:r w:rsidR="00B20D27">
        <w:rPr>
          <w:rFonts w:ascii="Garamond" w:hAnsi="Garamond"/>
          <w:sz w:val="24"/>
          <w:szCs w:val="24"/>
        </w:rPr>
        <w:t>19</w:t>
      </w:r>
      <w:r w:rsidR="006F5D21" w:rsidRPr="00C867B4">
        <w:rPr>
          <w:rFonts w:ascii="Garamond" w:hAnsi="Garamond"/>
          <w:sz w:val="24"/>
          <w:szCs w:val="24"/>
        </w:rPr>
        <w:t xml:space="preserve">. </w:t>
      </w:r>
      <w:r w:rsidR="00F90C46">
        <w:rPr>
          <w:rFonts w:ascii="Garamond" w:hAnsi="Garamond"/>
          <w:sz w:val="24"/>
          <w:szCs w:val="24"/>
        </w:rPr>
        <w:t xml:space="preserve">Staff </w:t>
      </w:r>
      <w:r w:rsidR="000D7212">
        <w:rPr>
          <w:rFonts w:ascii="Garamond" w:hAnsi="Garamond"/>
          <w:sz w:val="24"/>
          <w:szCs w:val="24"/>
        </w:rPr>
        <w:t>compared the demographic</w:t>
      </w:r>
      <w:r w:rsidR="00F90C46">
        <w:rPr>
          <w:rFonts w:ascii="Garamond" w:hAnsi="Garamond"/>
          <w:sz w:val="24"/>
          <w:szCs w:val="24"/>
        </w:rPr>
        <w:t xml:space="preserve"> profile of NESC patients </w:t>
      </w:r>
      <w:r w:rsidR="000D7212">
        <w:rPr>
          <w:rFonts w:ascii="Garamond" w:hAnsi="Garamond"/>
          <w:sz w:val="24"/>
          <w:szCs w:val="24"/>
        </w:rPr>
        <w:t>to that of Essex County</w:t>
      </w:r>
      <w:r w:rsidR="0099146D">
        <w:rPr>
          <w:rFonts w:ascii="Garamond" w:hAnsi="Garamond"/>
          <w:sz w:val="24"/>
          <w:szCs w:val="24"/>
        </w:rPr>
        <w:t xml:space="preserve"> where the majority of NESC patients reside</w:t>
      </w:r>
      <w:r w:rsidR="000D7212">
        <w:rPr>
          <w:rFonts w:ascii="Garamond" w:hAnsi="Garamond"/>
          <w:sz w:val="24"/>
          <w:szCs w:val="24"/>
        </w:rPr>
        <w:t xml:space="preserve"> and found that the</w:t>
      </w:r>
      <w:r w:rsidR="00F90C46">
        <w:rPr>
          <w:rFonts w:ascii="Garamond" w:hAnsi="Garamond"/>
          <w:sz w:val="24"/>
          <w:szCs w:val="24"/>
        </w:rPr>
        <w:t xml:space="preserve"> </w:t>
      </w:r>
      <w:r w:rsidR="000D7212">
        <w:rPr>
          <w:rFonts w:ascii="Garamond" w:hAnsi="Garamond"/>
          <w:sz w:val="24"/>
          <w:szCs w:val="24"/>
        </w:rPr>
        <w:t>racial/ethnic makeup of</w:t>
      </w:r>
      <w:r w:rsidR="00F90C46">
        <w:rPr>
          <w:rFonts w:ascii="Garamond" w:hAnsi="Garamond"/>
          <w:sz w:val="24"/>
          <w:szCs w:val="24"/>
        </w:rPr>
        <w:t xml:space="preserve"> NESC patients </w:t>
      </w:r>
      <w:r w:rsidR="000D7212">
        <w:rPr>
          <w:rFonts w:ascii="Garamond" w:hAnsi="Garamond"/>
          <w:sz w:val="24"/>
          <w:szCs w:val="24"/>
        </w:rPr>
        <w:t>differs from that of Essex County</w:t>
      </w:r>
      <w:r w:rsidR="00F90C46">
        <w:rPr>
          <w:rFonts w:ascii="Garamond" w:hAnsi="Garamond"/>
          <w:sz w:val="24"/>
          <w:szCs w:val="24"/>
        </w:rPr>
        <w:t>.</w:t>
      </w:r>
      <w:r w:rsidR="001444CD">
        <w:rPr>
          <w:rStyle w:val="FootnoteReference"/>
          <w:rFonts w:ascii="Garamond" w:hAnsi="Garamond"/>
          <w:sz w:val="24"/>
          <w:szCs w:val="24"/>
        </w:rPr>
        <w:footnoteReference w:id="5"/>
      </w:r>
    </w:p>
    <w:p w14:paraId="7D5DFC40" w14:textId="77777777" w:rsidR="00AE7FD3" w:rsidRPr="00C00156" w:rsidRDefault="00AE7FD3" w:rsidP="00EA38CA">
      <w:pPr>
        <w:spacing w:after="0" w:line="240" w:lineRule="auto"/>
        <w:contextualSpacing/>
        <w:rPr>
          <w:rFonts w:ascii="Garamond" w:hAnsi="Garamond"/>
          <w:sz w:val="24"/>
          <w:szCs w:val="24"/>
        </w:rPr>
      </w:pPr>
    </w:p>
    <w:p w14:paraId="6F248F9E" w14:textId="5B2CB654" w:rsidR="00816893" w:rsidRPr="000369E7" w:rsidRDefault="00D865B4" w:rsidP="00D865B4">
      <w:pPr>
        <w:pStyle w:val="Caption"/>
        <w:rPr>
          <w:rFonts w:ascii="Garamond" w:hAnsi="Garamond"/>
          <w:color w:val="42558C" w:themeColor="accent1" w:themeShade="BF"/>
          <w:sz w:val="24"/>
          <w:szCs w:val="24"/>
        </w:rPr>
      </w:pPr>
      <w:r w:rsidRPr="000369E7">
        <w:rPr>
          <w:rFonts w:ascii="Garamond" w:hAnsi="Garamond"/>
          <w:color w:val="42558C" w:themeColor="accent1" w:themeShade="BF"/>
          <w:sz w:val="24"/>
          <w:szCs w:val="24"/>
        </w:rPr>
        <w:t xml:space="preserve">Table </w:t>
      </w:r>
      <w:r w:rsidRPr="000369E7">
        <w:rPr>
          <w:rFonts w:ascii="Garamond" w:hAnsi="Garamond"/>
          <w:color w:val="42558C" w:themeColor="accent1" w:themeShade="BF"/>
          <w:sz w:val="24"/>
          <w:szCs w:val="24"/>
        </w:rPr>
        <w:fldChar w:fldCharType="begin"/>
      </w:r>
      <w:r w:rsidRPr="000369E7">
        <w:rPr>
          <w:rFonts w:ascii="Garamond" w:hAnsi="Garamond"/>
          <w:color w:val="42558C" w:themeColor="accent1" w:themeShade="BF"/>
          <w:sz w:val="24"/>
          <w:szCs w:val="24"/>
        </w:rPr>
        <w:instrText xml:space="preserve"> SEQ Table \* ARABIC </w:instrText>
      </w:r>
      <w:r w:rsidRPr="000369E7">
        <w:rPr>
          <w:rFonts w:ascii="Garamond" w:hAnsi="Garamond"/>
          <w:color w:val="42558C" w:themeColor="accent1" w:themeShade="BF"/>
          <w:sz w:val="24"/>
          <w:szCs w:val="24"/>
        </w:rPr>
        <w:fldChar w:fldCharType="separate"/>
      </w:r>
      <w:r w:rsidR="00E578B8">
        <w:rPr>
          <w:rFonts w:ascii="Garamond" w:hAnsi="Garamond"/>
          <w:noProof/>
          <w:color w:val="42558C" w:themeColor="accent1" w:themeShade="BF"/>
          <w:sz w:val="24"/>
          <w:szCs w:val="24"/>
        </w:rPr>
        <w:t>1</w:t>
      </w:r>
      <w:r w:rsidRPr="000369E7">
        <w:rPr>
          <w:rFonts w:ascii="Garamond" w:hAnsi="Garamond"/>
          <w:color w:val="42558C" w:themeColor="accent1" w:themeShade="BF"/>
          <w:sz w:val="24"/>
          <w:szCs w:val="24"/>
        </w:rPr>
        <w:fldChar w:fldCharType="end"/>
      </w:r>
      <w:r w:rsidRPr="000369E7">
        <w:rPr>
          <w:rFonts w:ascii="Garamond" w:hAnsi="Garamond"/>
          <w:color w:val="42558C" w:themeColor="accent1" w:themeShade="BF"/>
          <w:sz w:val="24"/>
          <w:szCs w:val="24"/>
        </w:rPr>
        <w:t xml:space="preserve">: Overview of </w:t>
      </w:r>
      <w:r w:rsidR="004F123E" w:rsidRPr="000369E7">
        <w:rPr>
          <w:rFonts w:ascii="Garamond" w:hAnsi="Garamond"/>
          <w:color w:val="42558C" w:themeColor="accent1" w:themeShade="BF"/>
          <w:sz w:val="24"/>
          <w:szCs w:val="24"/>
        </w:rPr>
        <w:t xml:space="preserve">NESC Patients </w:t>
      </w:r>
    </w:p>
    <w:tbl>
      <w:tblPr>
        <w:tblStyle w:val="TableGrid"/>
        <w:tblW w:w="0" w:type="auto"/>
        <w:tblLook w:val="04A0" w:firstRow="1" w:lastRow="0" w:firstColumn="1" w:lastColumn="0" w:noHBand="0" w:noVBand="1"/>
      </w:tblPr>
      <w:tblGrid>
        <w:gridCol w:w="3965"/>
        <w:gridCol w:w="3719"/>
      </w:tblGrid>
      <w:tr w:rsidR="00816893" w14:paraId="18B4E012" w14:textId="77777777" w:rsidTr="00264E5C">
        <w:tc>
          <w:tcPr>
            <w:tcW w:w="0" w:type="auto"/>
          </w:tcPr>
          <w:p w14:paraId="50DC2280" w14:textId="77777777" w:rsidR="00816893" w:rsidRDefault="00816893" w:rsidP="00122D29">
            <w:pPr>
              <w:rPr>
                <w:rFonts w:ascii="Garamond" w:hAnsi="Garamond"/>
                <w:sz w:val="20"/>
                <w:szCs w:val="20"/>
              </w:rPr>
            </w:pPr>
          </w:p>
        </w:tc>
        <w:tc>
          <w:tcPr>
            <w:tcW w:w="3719" w:type="dxa"/>
            <w:shd w:val="clear" w:color="auto" w:fill="DFE3F0" w:themeFill="accent1" w:themeFillTint="33"/>
          </w:tcPr>
          <w:p w14:paraId="28246EA1" w14:textId="5C75CF62" w:rsidR="00816893" w:rsidRPr="005F41E2" w:rsidRDefault="00816893" w:rsidP="00122D29">
            <w:pPr>
              <w:rPr>
                <w:rFonts w:ascii="Garamond" w:hAnsi="Garamond"/>
                <w:b/>
                <w:bCs/>
                <w:sz w:val="20"/>
                <w:szCs w:val="20"/>
              </w:rPr>
            </w:pPr>
            <w:r w:rsidRPr="005F41E2">
              <w:rPr>
                <w:rFonts w:ascii="Garamond" w:hAnsi="Garamond"/>
                <w:b/>
                <w:bCs/>
                <w:sz w:val="20"/>
                <w:szCs w:val="20"/>
              </w:rPr>
              <w:t>FY19</w:t>
            </w:r>
          </w:p>
        </w:tc>
      </w:tr>
      <w:tr w:rsidR="00816893" w14:paraId="6703913D" w14:textId="77777777" w:rsidTr="00264E5C">
        <w:tc>
          <w:tcPr>
            <w:tcW w:w="0" w:type="auto"/>
          </w:tcPr>
          <w:p w14:paraId="6E04D440" w14:textId="747E7015" w:rsidR="00816893" w:rsidRDefault="00816893" w:rsidP="00122D29">
            <w:pPr>
              <w:rPr>
                <w:rFonts w:ascii="Garamond" w:hAnsi="Garamond"/>
                <w:sz w:val="20"/>
                <w:szCs w:val="20"/>
              </w:rPr>
            </w:pPr>
            <w:r>
              <w:rPr>
                <w:rFonts w:ascii="Garamond" w:hAnsi="Garamond"/>
                <w:sz w:val="20"/>
                <w:szCs w:val="20"/>
              </w:rPr>
              <w:t>Total Unique Patients</w:t>
            </w:r>
          </w:p>
        </w:tc>
        <w:tc>
          <w:tcPr>
            <w:tcW w:w="3719" w:type="dxa"/>
          </w:tcPr>
          <w:p w14:paraId="4A4F808E" w14:textId="48707232" w:rsidR="00816893" w:rsidRDefault="005F0912" w:rsidP="00122D29">
            <w:pPr>
              <w:rPr>
                <w:rFonts w:ascii="Garamond" w:hAnsi="Garamond"/>
                <w:sz w:val="20"/>
                <w:szCs w:val="20"/>
              </w:rPr>
            </w:pPr>
            <w:r>
              <w:rPr>
                <w:rFonts w:ascii="Garamond" w:hAnsi="Garamond"/>
                <w:sz w:val="20"/>
                <w:szCs w:val="20"/>
              </w:rPr>
              <w:t>1</w:t>
            </w:r>
            <w:r w:rsidR="004D0642">
              <w:rPr>
                <w:rFonts w:ascii="Garamond" w:hAnsi="Garamond"/>
                <w:sz w:val="20"/>
                <w:szCs w:val="20"/>
              </w:rPr>
              <w:t>,</w:t>
            </w:r>
            <w:r>
              <w:rPr>
                <w:rFonts w:ascii="Garamond" w:hAnsi="Garamond"/>
                <w:sz w:val="20"/>
                <w:szCs w:val="20"/>
              </w:rPr>
              <w:t>024</w:t>
            </w:r>
          </w:p>
        </w:tc>
      </w:tr>
      <w:tr w:rsidR="00816893" w14:paraId="0FCFDEEF" w14:textId="77777777" w:rsidTr="00264E5C">
        <w:tc>
          <w:tcPr>
            <w:tcW w:w="0" w:type="auto"/>
          </w:tcPr>
          <w:p w14:paraId="2D4072FE" w14:textId="77777777" w:rsidR="00816893" w:rsidRPr="00CB2757" w:rsidRDefault="00816893" w:rsidP="00122D29">
            <w:pPr>
              <w:rPr>
                <w:rFonts w:ascii="Garamond" w:hAnsi="Garamond"/>
                <w:b/>
                <w:bCs/>
                <w:sz w:val="20"/>
                <w:szCs w:val="20"/>
              </w:rPr>
            </w:pPr>
            <w:r w:rsidRPr="00CB2757">
              <w:rPr>
                <w:rFonts w:ascii="Garamond" w:hAnsi="Garamond"/>
                <w:b/>
                <w:bCs/>
                <w:sz w:val="20"/>
                <w:szCs w:val="20"/>
              </w:rPr>
              <w:t>Gender</w:t>
            </w:r>
          </w:p>
          <w:p w14:paraId="7977837D" w14:textId="77777777" w:rsidR="00816893" w:rsidRDefault="00816893" w:rsidP="00CB2757">
            <w:pPr>
              <w:ind w:left="288"/>
              <w:rPr>
                <w:rFonts w:ascii="Garamond" w:hAnsi="Garamond"/>
                <w:sz w:val="20"/>
                <w:szCs w:val="20"/>
              </w:rPr>
            </w:pPr>
            <w:r>
              <w:rPr>
                <w:rFonts w:ascii="Garamond" w:hAnsi="Garamond"/>
                <w:sz w:val="20"/>
                <w:szCs w:val="20"/>
              </w:rPr>
              <w:t xml:space="preserve">Male </w:t>
            </w:r>
          </w:p>
          <w:p w14:paraId="0EE7C035" w14:textId="2A12C8DD" w:rsidR="00816893" w:rsidRDefault="00816893" w:rsidP="00CB2757">
            <w:pPr>
              <w:ind w:left="288"/>
              <w:rPr>
                <w:rFonts w:ascii="Garamond" w:hAnsi="Garamond"/>
                <w:sz w:val="20"/>
                <w:szCs w:val="20"/>
              </w:rPr>
            </w:pPr>
            <w:r>
              <w:rPr>
                <w:rFonts w:ascii="Garamond" w:hAnsi="Garamond"/>
                <w:sz w:val="20"/>
                <w:szCs w:val="20"/>
              </w:rPr>
              <w:t>Female</w:t>
            </w:r>
          </w:p>
        </w:tc>
        <w:tc>
          <w:tcPr>
            <w:tcW w:w="3719" w:type="dxa"/>
          </w:tcPr>
          <w:p w14:paraId="0DEF1159" w14:textId="77777777" w:rsidR="00816893" w:rsidRDefault="00816893" w:rsidP="00122D29">
            <w:pPr>
              <w:rPr>
                <w:rFonts w:ascii="Garamond" w:hAnsi="Garamond"/>
                <w:sz w:val="20"/>
                <w:szCs w:val="20"/>
              </w:rPr>
            </w:pPr>
          </w:p>
          <w:p w14:paraId="6C24F391" w14:textId="77777777" w:rsidR="00816893" w:rsidRDefault="005F0912" w:rsidP="00122D29">
            <w:pPr>
              <w:rPr>
                <w:rFonts w:ascii="Garamond" w:hAnsi="Garamond"/>
                <w:sz w:val="20"/>
                <w:szCs w:val="20"/>
              </w:rPr>
            </w:pPr>
            <w:r>
              <w:rPr>
                <w:rFonts w:ascii="Garamond" w:hAnsi="Garamond"/>
                <w:sz w:val="20"/>
                <w:szCs w:val="20"/>
              </w:rPr>
              <w:t>50%</w:t>
            </w:r>
          </w:p>
          <w:p w14:paraId="6BC56C12" w14:textId="0C728CCD" w:rsidR="005F0912" w:rsidRDefault="005F0912" w:rsidP="00122D29">
            <w:pPr>
              <w:rPr>
                <w:rFonts w:ascii="Garamond" w:hAnsi="Garamond"/>
                <w:sz w:val="20"/>
                <w:szCs w:val="20"/>
              </w:rPr>
            </w:pPr>
            <w:r>
              <w:rPr>
                <w:rFonts w:ascii="Garamond" w:hAnsi="Garamond"/>
                <w:sz w:val="20"/>
                <w:szCs w:val="20"/>
              </w:rPr>
              <w:t>50%</w:t>
            </w:r>
          </w:p>
        </w:tc>
      </w:tr>
      <w:tr w:rsidR="00816893" w14:paraId="0E753A88" w14:textId="77777777" w:rsidTr="00264E5C">
        <w:tc>
          <w:tcPr>
            <w:tcW w:w="0" w:type="auto"/>
          </w:tcPr>
          <w:p w14:paraId="7CAB27DA" w14:textId="77777777" w:rsidR="00816893" w:rsidRPr="00CB2757" w:rsidRDefault="00816893" w:rsidP="00122D29">
            <w:pPr>
              <w:rPr>
                <w:rFonts w:ascii="Garamond" w:hAnsi="Garamond"/>
                <w:b/>
                <w:bCs/>
                <w:sz w:val="20"/>
                <w:szCs w:val="20"/>
              </w:rPr>
            </w:pPr>
            <w:r w:rsidRPr="00CB2757">
              <w:rPr>
                <w:rFonts w:ascii="Garamond" w:hAnsi="Garamond"/>
                <w:b/>
                <w:bCs/>
                <w:sz w:val="20"/>
                <w:szCs w:val="20"/>
              </w:rPr>
              <w:t xml:space="preserve">Age </w:t>
            </w:r>
          </w:p>
          <w:p w14:paraId="7A3DC8FE" w14:textId="77777777" w:rsidR="00816893" w:rsidRDefault="00816893" w:rsidP="00CB2757">
            <w:pPr>
              <w:ind w:left="288"/>
              <w:rPr>
                <w:rFonts w:ascii="Garamond" w:hAnsi="Garamond"/>
                <w:sz w:val="20"/>
                <w:szCs w:val="20"/>
              </w:rPr>
            </w:pPr>
            <w:r>
              <w:rPr>
                <w:rFonts w:ascii="Garamond" w:hAnsi="Garamond"/>
                <w:sz w:val="20"/>
                <w:szCs w:val="20"/>
              </w:rPr>
              <w:t>0-17</w:t>
            </w:r>
          </w:p>
          <w:p w14:paraId="0AD7EBA5" w14:textId="77777777" w:rsidR="00816893" w:rsidRDefault="00816893" w:rsidP="00CB2757">
            <w:pPr>
              <w:ind w:left="288"/>
              <w:rPr>
                <w:rFonts w:ascii="Garamond" w:hAnsi="Garamond"/>
                <w:sz w:val="20"/>
                <w:szCs w:val="20"/>
              </w:rPr>
            </w:pPr>
            <w:r>
              <w:rPr>
                <w:rFonts w:ascii="Garamond" w:hAnsi="Garamond"/>
                <w:sz w:val="20"/>
                <w:szCs w:val="20"/>
              </w:rPr>
              <w:lastRenderedPageBreak/>
              <w:t>18-64</w:t>
            </w:r>
          </w:p>
          <w:p w14:paraId="34A83BFC" w14:textId="7D48E459" w:rsidR="00816893" w:rsidRDefault="00816893" w:rsidP="00CB2757">
            <w:pPr>
              <w:ind w:left="288"/>
              <w:rPr>
                <w:rFonts w:ascii="Garamond" w:hAnsi="Garamond"/>
                <w:sz w:val="20"/>
                <w:szCs w:val="20"/>
              </w:rPr>
            </w:pPr>
            <w:r>
              <w:rPr>
                <w:rFonts w:ascii="Garamond" w:hAnsi="Garamond"/>
                <w:sz w:val="20"/>
                <w:szCs w:val="20"/>
              </w:rPr>
              <w:t>65+</w:t>
            </w:r>
          </w:p>
        </w:tc>
        <w:tc>
          <w:tcPr>
            <w:tcW w:w="3719" w:type="dxa"/>
          </w:tcPr>
          <w:p w14:paraId="3894F665" w14:textId="77777777" w:rsidR="00816893" w:rsidRDefault="00816893" w:rsidP="00122D29">
            <w:pPr>
              <w:rPr>
                <w:rFonts w:ascii="Garamond" w:hAnsi="Garamond"/>
                <w:sz w:val="20"/>
                <w:szCs w:val="20"/>
              </w:rPr>
            </w:pPr>
          </w:p>
          <w:p w14:paraId="321078FF" w14:textId="77777777" w:rsidR="005F0912" w:rsidRDefault="005F0912" w:rsidP="00122D29">
            <w:pPr>
              <w:rPr>
                <w:rFonts w:ascii="Garamond" w:hAnsi="Garamond"/>
                <w:sz w:val="20"/>
                <w:szCs w:val="20"/>
              </w:rPr>
            </w:pPr>
            <w:r>
              <w:rPr>
                <w:rFonts w:ascii="Garamond" w:hAnsi="Garamond"/>
                <w:sz w:val="20"/>
                <w:szCs w:val="20"/>
              </w:rPr>
              <w:t>9%</w:t>
            </w:r>
          </w:p>
          <w:p w14:paraId="1C10F74B" w14:textId="77777777" w:rsidR="005F0912" w:rsidRDefault="005F0912" w:rsidP="00122D29">
            <w:pPr>
              <w:rPr>
                <w:rFonts w:ascii="Garamond" w:hAnsi="Garamond"/>
                <w:sz w:val="20"/>
                <w:szCs w:val="20"/>
              </w:rPr>
            </w:pPr>
            <w:r>
              <w:rPr>
                <w:rFonts w:ascii="Garamond" w:hAnsi="Garamond"/>
                <w:sz w:val="20"/>
                <w:szCs w:val="20"/>
              </w:rPr>
              <w:lastRenderedPageBreak/>
              <w:t>58%</w:t>
            </w:r>
          </w:p>
          <w:p w14:paraId="3511FF20" w14:textId="300FC1B7" w:rsidR="005F0912" w:rsidRDefault="005F0912" w:rsidP="00122D29">
            <w:pPr>
              <w:rPr>
                <w:rFonts w:ascii="Garamond" w:hAnsi="Garamond"/>
                <w:sz w:val="20"/>
                <w:szCs w:val="20"/>
              </w:rPr>
            </w:pPr>
            <w:r>
              <w:rPr>
                <w:rFonts w:ascii="Garamond" w:hAnsi="Garamond"/>
                <w:sz w:val="20"/>
                <w:szCs w:val="20"/>
              </w:rPr>
              <w:t>32%</w:t>
            </w:r>
          </w:p>
        </w:tc>
      </w:tr>
      <w:tr w:rsidR="00816893" w14:paraId="27B75836" w14:textId="77777777" w:rsidTr="00264E5C">
        <w:tc>
          <w:tcPr>
            <w:tcW w:w="0" w:type="auto"/>
          </w:tcPr>
          <w:p w14:paraId="4E67D2D5" w14:textId="32C2A9B5" w:rsidR="00816893" w:rsidRDefault="00816893" w:rsidP="00122D29">
            <w:pPr>
              <w:rPr>
                <w:rFonts w:ascii="Garamond" w:hAnsi="Garamond"/>
                <w:b/>
                <w:bCs/>
                <w:sz w:val="20"/>
                <w:szCs w:val="20"/>
                <w:vertAlign w:val="superscript"/>
              </w:rPr>
            </w:pPr>
            <w:r w:rsidRPr="007B1C0B">
              <w:rPr>
                <w:rFonts w:ascii="Garamond" w:hAnsi="Garamond"/>
                <w:b/>
                <w:bCs/>
                <w:sz w:val="20"/>
                <w:szCs w:val="20"/>
              </w:rPr>
              <w:lastRenderedPageBreak/>
              <w:t>Race/Ethnicity</w:t>
            </w:r>
            <w:r w:rsidRPr="007B1C0B">
              <w:rPr>
                <w:rStyle w:val="FootnoteReference"/>
                <w:rFonts w:ascii="Garamond" w:hAnsi="Garamond"/>
                <w:b/>
                <w:bCs/>
                <w:sz w:val="20"/>
                <w:szCs w:val="20"/>
              </w:rPr>
              <w:footnoteReference w:id="6"/>
            </w:r>
          </w:p>
          <w:p w14:paraId="1E1F9FB2" w14:textId="77777777" w:rsidR="005F0912" w:rsidRPr="005F0912" w:rsidRDefault="005F0912" w:rsidP="00CB2757">
            <w:pPr>
              <w:ind w:left="288"/>
              <w:rPr>
                <w:rFonts w:ascii="Garamond" w:hAnsi="Garamond"/>
                <w:sz w:val="20"/>
                <w:szCs w:val="20"/>
              </w:rPr>
            </w:pPr>
            <w:r w:rsidRPr="005F0912">
              <w:rPr>
                <w:rFonts w:ascii="Garamond" w:hAnsi="Garamond"/>
                <w:sz w:val="20"/>
                <w:szCs w:val="20"/>
              </w:rPr>
              <w:t>White</w:t>
            </w:r>
          </w:p>
          <w:p w14:paraId="3E3E3127" w14:textId="77777777" w:rsidR="005F0912" w:rsidRPr="005F0912" w:rsidRDefault="005F0912" w:rsidP="00CB2757">
            <w:pPr>
              <w:ind w:left="288"/>
              <w:rPr>
                <w:rFonts w:ascii="Garamond" w:hAnsi="Garamond"/>
                <w:sz w:val="20"/>
                <w:szCs w:val="20"/>
              </w:rPr>
            </w:pPr>
            <w:r w:rsidRPr="005F0912">
              <w:rPr>
                <w:rFonts w:ascii="Garamond" w:hAnsi="Garamond"/>
                <w:sz w:val="20"/>
                <w:szCs w:val="20"/>
              </w:rPr>
              <w:t>Black/African American</w:t>
            </w:r>
          </w:p>
          <w:p w14:paraId="72F07590" w14:textId="635B933E" w:rsidR="005F0912" w:rsidRDefault="005F0912" w:rsidP="00CB2757">
            <w:pPr>
              <w:ind w:left="288"/>
              <w:rPr>
                <w:rFonts w:ascii="Garamond" w:hAnsi="Garamond"/>
                <w:sz w:val="20"/>
                <w:szCs w:val="20"/>
              </w:rPr>
            </w:pPr>
            <w:r w:rsidRPr="005F0912">
              <w:rPr>
                <w:rFonts w:ascii="Garamond" w:hAnsi="Garamond"/>
                <w:sz w:val="20"/>
                <w:szCs w:val="20"/>
              </w:rPr>
              <w:t>Hispanic/Latino</w:t>
            </w:r>
          </w:p>
          <w:p w14:paraId="4B2C975A" w14:textId="42111722" w:rsidR="00BA67D7" w:rsidRPr="005F0912" w:rsidRDefault="00BA67D7" w:rsidP="00CB2757">
            <w:pPr>
              <w:ind w:left="288"/>
              <w:rPr>
                <w:rFonts w:ascii="Garamond" w:hAnsi="Garamond"/>
                <w:sz w:val="20"/>
                <w:szCs w:val="20"/>
              </w:rPr>
            </w:pPr>
            <w:r>
              <w:rPr>
                <w:rFonts w:ascii="Garamond" w:hAnsi="Garamond"/>
                <w:sz w:val="20"/>
                <w:szCs w:val="20"/>
              </w:rPr>
              <w:t>Asian</w:t>
            </w:r>
          </w:p>
          <w:p w14:paraId="2842A139" w14:textId="77777777" w:rsidR="005F0912" w:rsidRPr="005F0912" w:rsidRDefault="005F0912" w:rsidP="00CB2757">
            <w:pPr>
              <w:ind w:left="288"/>
              <w:rPr>
                <w:rFonts w:ascii="Garamond" w:hAnsi="Garamond"/>
                <w:sz w:val="20"/>
                <w:szCs w:val="20"/>
              </w:rPr>
            </w:pPr>
            <w:r w:rsidRPr="005F0912">
              <w:rPr>
                <w:rFonts w:ascii="Garamond" w:hAnsi="Garamond"/>
                <w:sz w:val="20"/>
                <w:szCs w:val="20"/>
              </w:rPr>
              <w:t>Multiracial</w:t>
            </w:r>
          </w:p>
          <w:p w14:paraId="425326F5" w14:textId="388520B8" w:rsidR="005F0912" w:rsidRPr="00816893" w:rsidRDefault="005F0912">
            <w:pPr>
              <w:ind w:left="288"/>
              <w:rPr>
                <w:rFonts w:ascii="Garamond" w:hAnsi="Garamond"/>
                <w:b/>
                <w:bCs/>
                <w:sz w:val="20"/>
                <w:szCs w:val="20"/>
              </w:rPr>
            </w:pPr>
            <w:r w:rsidRPr="005F0912">
              <w:rPr>
                <w:rFonts w:ascii="Garamond" w:hAnsi="Garamond"/>
                <w:sz w:val="20"/>
                <w:szCs w:val="20"/>
              </w:rPr>
              <w:t>Othe</w:t>
            </w:r>
            <w:r w:rsidR="004D237B">
              <w:rPr>
                <w:rFonts w:ascii="Garamond" w:hAnsi="Garamond"/>
                <w:sz w:val="20"/>
                <w:szCs w:val="20"/>
              </w:rPr>
              <w:t>r</w:t>
            </w:r>
          </w:p>
        </w:tc>
        <w:tc>
          <w:tcPr>
            <w:tcW w:w="3719" w:type="dxa"/>
          </w:tcPr>
          <w:p w14:paraId="7C7A97B0" w14:textId="77777777" w:rsidR="00816893" w:rsidRDefault="00816893" w:rsidP="00122D29">
            <w:pPr>
              <w:rPr>
                <w:rFonts w:ascii="Garamond" w:hAnsi="Garamond"/>
                <w:sz w:val="20"/>
                <w:szCs w:val="20"/>
              </w:rPr>
            </w:pPr>
          </w:p>
          <w:p w14:paraId="4E4FA857" w14:textId="77777777" w:rsidR="00BA67D7" w:rsidRDefault="00BA67D7" w:rsidP="00122D29">
            <w:pPr>
              <w:rPr>
                <w:rFonts w:ascii="Garamond" w:hAnsi="Garamond"/>
                <w:sz w:val="20"/>
                <w:szCs w:val="20"/>
              </w:rPr>
            </w:pPr>
            <w:r>
              <w:rPr>
                <w:rFonts w:ascii="Garamond" w:hAnsi="Garamond"/>
                <w:sz w:val="20"/>
                <w:szCs w:val="20"/>
              </w:rPr>
              <w:t>90%</w:t>
            </w:r>
          </w:p>
          <w:p w14:paraId="757306C9" w14:textId="77777777" w:rsidR="00BA67D7" w:rsidRDefault="00BA67D7" w:rsidP="00122D29">
            <w:pPr>
              <w:rPr>
                <w:rFonts w:ascii="Garamond" w:hAnsi="Garamond"/>
                <w:sz w:val="20"/>
                <w:szCs w:val="20"/>
              </w:rPr>
            </w:pPr>
            <w:r>
              <w:rPr>
                <w:rFonts w:ascii="Garamond" w:hAnsi="Garamond"/>
                <w:sz w:val="20"/>
                <w:szCs w:val="20"/>
              </w:rPr>
              <w:t>2%</w:t>
            </w:r>
          </w:p>
          <w:p w14:paraId="7E698268" w14:textId="77777777" w:rsidR="00BA67D7" w:rsidRDefault="00BA67D7" w:rsidP="00122D29">
            <w:pPr>
              <w:rPr>
                <w:rFonts w:ascii="Garamond" w:hAnsi="Garamond"/>
                <w:sz w:val="20"/>
                <w:szCs w:val="20"/>
              </w:rPr>
            </w:pPr>
            <w:r>
              <w:rPr>
                <w:rFonts w:ascii="Garamond" w:hAnsi="Garamond"/>
                <w:sz w:val="20"/>
                <w:szCs w:val="20"/>
              </w:rPr>
              <w:t>4%</w:t>
            </w:r>
          </w:p>
          <w:p w14:paraId="53FD0577" w14:textId="40E562BB" w:rsidR="00BA67D7" w:rsidRDefault="00BA67D7" w:rsidP="00122D29">
            <w:pPr>
              <w:rPr>
                <w:rFonts w:ascii="Garamond" w:hAnsi="Garamond"/>
                <w:sz w:val="20"/>
                <w:szCs w:val="20"/>
              </w:rPr>
            </w:pPr>
            <w:r>
              <w:rPr>
                <w:rFonts w:ascii="Garamond" w:hAnsi="Garamond"/>
                <w:sz w:val="20"/>
                <w:szCs w:val="20"/>
              </w:rPr>
              <w:t>1%</w:t>
            </w:r>
          </w:p>
          <w:p w14:paraId="7F8881AD" w14:textId="32E08B71" w:rsidR="00BA67D7" w:rsidRDefault="00BA67D7" w:rsidP="00122D29">
            <w:pPr>
              <w:rPr>
                <w:rFonts w:ascii="Garamond" w:hAnsi="Garamond"/>
                <w:sz w:val="20"/>
                <w:szCs w:val="20"/>
              </w:rPr>
            </w:pPr>
            <w:r>
              <w:rPr>
                <w:rFonts w:ascii="Garamond" w:hAnsi="Garamond"/>
                <w:sz w:val="20"/>
                <w:szCs w:val="20"/>
              </w:rPr>
              <w:t>2%</w:t>
            </w:r>
          </w:p>
          <w:p w14:paraId="0B0A5DA6" w14:textId="02748235" w:rsidR="00BA67D7" w:rsidRDefault="00BA67D7" w:rsidP="00122D29">
            <w:pPr>
              <w:rPr>
                <w:rFonts w:ascii="Garamond" w:hAnsi="Garamond"/>
                <w:sz w:val="20"/>
                <w:szCs w:val="20"/>
              </w:rPr>
            </w:pPr>
            <w:r>
              <w:rPr>
                <w:rFonts w:ascii="Garamond" w:hAnsi="Garamond"/>
                <w:sz w:val="20"/>
                <w:szCs w:val="20"/>
              </w:rPr>
              <w:t>1%</w:t>
            </w:r>
          </w:p>
        </w:tc>
      </w:tr>
      <w:tr w:rsidR="00816893" w14:paraId="48198E2C" w14:textId="77777777" w:rsidTr="00264E5C">
        <w:tc>
          <w:tcPr>
            <w:tcW w:w="0" w:type="auto"/>
          </w:tcPr>
          <w:p w14:paraId="42BB449A" w14:textId="60AD9BF3" w:rsidR="000368BE" w:rsidRDefault="000368BE" w:rsidP="000368BE">
            <w:pPr>
              <w:rPr>
                <w:rFonts w:ascii="Garamond" w:hAnsi="Garamond"/>
                <w:b/>
                <w:bCs/>
                <w:sz w:val="20"/>
                <w:szCs w:val="20"/>
              </w:rPr>
            </w:pPr>
            <w:r w:rsidRPr="007B1C0B">
              <w:rPr>
                <w:rFonts w:ascii="Garamond" w:hAnsi="Garamond"/>
                <w:b/>
                <w:bCs/>
                <w:sz w:val="20"/>
                <w:szCs w:val="20"/>
              </w:rPr>
              <w:t>Patient Origin</w:t>
            </w:r>
          </w:p>
          <w:p w14:paraId="7C083478" w14:textId="3D9FE554" w:rsidR="00816893" w:rsidRDefault="00411E59">
            <w:pPr>
              <w:ind w:left="288"/>
              <w:rPr>
                <w:rFonts w:ascii="Garamond" w:hAnsi="Garamond"/>
                <w:sz w:val="20"/>
                <w:szCs w:val="20"/>
              </w:rPr>
            </w:pPr>
            <w:r w:rsidRPr="00411E59">
              <w:rPr>
                <w:rFonts w:ascii="Garamond" w:hAnsi="Garamond"/>
                <w:sz w:val="20"/>
                <w:szCs w:val="20"/>
              </w:rPr>
              <w:t>75% of patients came from 14 communities</w:t>
            </w:r>
            <w:r>
              <w:rPr>
                <w:rStyle w:val="FootnoteReference"/>
                <w:rFonts w:ascii="Garamond" w:hAnsi="Garamond"/>
                <w:sz w:val="20"/>
                <w:szCs w:val="20"/>
              </w:rPr>
              <w:footnoteReference w:id="7"/>
            </w:r>
          </w:p>
        </w:tc>
        <w:tc>
          <w:tcPr>
            <w:tcW w:w="3719" w:type="dxa"/>
          </w:tcPr>
          <w:p w14:paraId="03F2CD77" w14:textId="77777777" w:rsidR="00411E59" w:rsidRDefault="00411E59" w:rsidP="00411E59">
            <w:pPr>
              <w:rPr>
                <w:rFonts w:ascii="Garamond" w:hAnsi="Garamond"/>
                <w:sz w:val="20"/>
                <w:szCs w:val="20"/>
              </w:rPr>
            </w:pPr>
          </w:p>
          <w:p w14:paraId="0EBCAF84" w14:textId="77777777" w:rsidR="003D1E3A" w:rsidRDefault="003D1E3A" w:rsidP="00411E59">
            <w:pPr>
              <w:rPr>
                <w:rFonts w:ascii="Garamond" w:hAnsi="Garamond"/>
                <w:sz w:val="20"/>
                <w:szCs w:val="20"/>
              </w:rPr>
            </w:pPr>
            <w:r w:rsidRPr="003D1E3A">
              <w:rPr>
                <w:rFonts w:ascii="Garamond" w:hAnsi="Garamond"/>
                <w:sz w:val="20"/>
                <w:szCs w:val="20"/>
              </w:rPr>
              <w:t>Beverly (13%)</w:t>
            </w:r>
          </w:p>
          <w:p w14:paraId="3BD1CFCC" w14:textId="77777777" w:rsidR="003D1E3A" w:rsidRDefault="003D1E3A" w:rsidP="00411E59">
            <w:pPr>
              <w:rPr>
                <w:rFonts w:ascii="Garamond" w:hAnsi="Garamond"/>
                <w:sz w:val="20"/>
                <w:szCs w:val="20"/>
              </w:rPr>
            </w:pPr>
            <w:r w:rsidRPr="003D1E3A">
              <w:rPr>
                <w:rFonts w:ascii="Garamond" w:hAnsi="Garamond"/>
                <w:sz w:val="20"/>
                <w:szCs w:val="20"/>
              </w:rPr>
              <w:t>Gloucester (11%)</w:t>
            </w:r>
          </w:p>
          <w:p w14:paraId="300FA5A5" w14:textId="77777777" w:rsidR="003D1E3A" w:rsidRDefault="003D1E3A" w:rsidP="00411E59">
            <w:pPr>
              <w:rPr>
                <w:rFonts w:ascii="Garamond" w:hAnsi="Garamond"/>
                <w:sz w:val="20"/>
                <w:szCs w:val="20"/>
              </w:rPr>
            </w:pPr>
            <w:r w:rsidRPr="003D1E3A">
              <w:rPr>
                <w:rFonts w:ascii="Garamond" w:hAnsi="Garamond"/>
                <w:sz w:val="20"/>
                <w:szCs w:val="20"/>
              </w:rPr>
              <w:t>Lynn (8%)</w:t>
            </w:r>
          </w:p>
          <w:p w14:paraId="763C01C6" w14:textId="77777777" w:rsidR="003D1E3A" w:rsidRDefault="003D1E3A" w:rsidP="00411E59">
            <w:pPr>
              <w:rPr>
                <w:rFonts w:ascii="Garamond" w:hAnsi="Garamond"/>
                <w:sz w:val="20"/>
                <w:szCs w:val="20"/>
              </w:rPr>
            </w:pPr>
            <w:r w:rsidRPr="003D1E3A">
              <w:rPr>
                <w:rFonts w:ascii="Garamond" w:hAnsi="Garamond"/>
                <w:sz w:val="20"/>
                <w:szCs w:val="20"/>
              </w:rPr>
              <w:t>Peabody (7%)</w:t>
            </w:r>
          </w:p>
          <w:p w14:paraId="4C289D73" w14:textId="77777777" w:rsidR="003D1E3A" w:rsidRDefault="003D1E3A" w:rsidP="00411E59">
            <w:pPr>
              <w:rPr>
                <w:rFonts w:ascii="Garamond" w:hAnsi="Garamond"/>
                <w:sz w:val="20"/>
                <w:szCs w:val="20"/>
              </w:rPr>
            </w:pPr>
            <w:r w:rsidRPr="003D1E3A">
              <w:rPr>
                <w:rFonts w:ascii="Garamond" w:hAnsi="Garamond"/>
                <w:sz w:val="20"/>
                <w:szCs w:val="20"/>
              </w:rPr>
              <w:t>Danvers (7%)</w:t>
            </w:r>
          </w:p>
          <w:p w14:paraId="172161E3" w14:textId="58744F76" w:rsidR="003D1E3A" w:rsidRDefault="003D1E3A" w:rsidP="00411E59">
            <w:pPr>
              <w:rPr>
                <w:rFonts w:ascii="Garamond" w:hAnsi="Garamond"/>
                <w:sz w:val="20"/>
                <w:szCs w:val="20"/>
              </w:rPr>
            </w:pPr>
            <w:r w:rsidRPr="003D1E3A">
              <w:rPr>
                <w:rFonts w:ascii="Garamond" w:hAnsi="Garamond"/>
                <w:sz w:val="20"/>
                <w:szCs w:val="20"/>
              </w:rPr>
              <w:t>Salem</w:t>
            </w:r>
            <w:r w:rsidR="003B0BB2">
              <w:rPr>
                <w:rFonts w:ascii="Garamond" w:hAnsi="Garamond"/>
                <w:sz w:val="20"/>
                <w:szCs w:val="20"/>
              </w:rPr>
              <w:t xml:space="preserve"> </w:t>
            </w:r>
            <w:r w:rsidRPr="003D1E3A">
              <w:rPr>
                <w:rFonts w:ascii="Garamond" w:hAnsi="Garamond"/>
                <w:sz w:val="20"/>
                <w:szCs w:val="20"/>
              </w:rPr>
              <w:t xml:space="preserve">(6%) </w:t>
            </w:r>
          </w:p>
          <w:p w14:paraId="70ED7708" w14:textId="77777777" w:rsidR="003D1E3A" w:rsidRDefault="003D1E3A" w:rsidP="00411E59">
            <w:pPr>
              <w:rPr>
                <w:rFonts w:ascii="Garamond" w:hAnsi="Garamond"/>
                <w:sz w:val="20"/>
                <w:szCs w:val="20"/>
              </w:rPr>
            </w:pPr>
            <w:r w:rsidRPr="003D1E3A">
              <w:rPr>
                <w:rFonts w:ascii="Garamond" w:hAnsi="Garamond"/>
                <w:sz w:val="20"/>
                <w:szCs w:val="20"/>
              </w:rPr>
              <w:t>Wilmington (6%)</w:t>
            </w:r>
          </w:p>
          <w:p w14:paraId="122B7323" w14:textId="77777777" w:rsidR="003D1E3A" w:rsidRDefault="003D1E3A" w:rsidP="00411E59">
            <w:pPr>
              <w:rPr>
                <w:rFonts w:ascii="Garamond" w:hAnsi="Garamond"/>
                <w:sz w:val="20"/>
                <w:szCs w:val="20"/>
              </w:rPr>
            </w:pPr>
            <w:r w:rsidRPr="003D1E3A">
              <w:rPr>
                <w:rFonts w:ascii="Garamond" w:hAnsi="Garamond"/>
                <w:sz w:val="20"/>
                <w:szCs w:val="20"/>
              </w:rPr>
              <w:t>Marblehead (3%)</w:t>
            </w:r>
          </w:p>
          <w:p w14:paraId="465BBD8D" w14:textId="0119551C" w:rsidR="003D1E3A" w:rsidRDefault="003D1E3A" w:rsidP="00411E59">
            <w:pPr>
              <w:rPr>
                <w:rFonts w:ascii="Garamond" w:hAnsi="Garamond"/>
                <w:sz w:val="20"/>
                <w:szCs w:val="20"/>
              </w:rPr>
            </w:pPr>
            <w:r w:rsidRPr="003D1E3A">
              <w:rPr>
                <w:rFonts w:ascii="Garamond" w:hAnsi="Garamond"/>
                <w:sz w:val="20"/>
                <w:szCs w:val="20"/>
              </w:rPr>
              <w:t>Ipswich</w:t>
            </w:r>
            <w:r w:rsidR="003B0BB2">
              <w:rPr>
                <w:rFonts w:ascii="Garamond" w:hAnsi="Garamond"/>
                <w:sz w:val="20"/>
                <w:szCs w:val="20"/>
              </w:rPr>
              <w:t xml:space="preserve"> </w:t>
            </w:r>
            <w:r w:rsidRPr="003D1E3A">
              <w:rPr>
                <w:rFonts w:ascii="Garamond" w:hAnsi="Garamond"/>
                <w:sz w:val="20"/>
                <w:szCs w:val="20"/>
              </w:rPr>
              <w:t>(3%)</w:t>
            </w:r>
          </w:p>
          <w:p w14:paraId="602E3DB3" w14:textId="228E0E57" w:rsidR="003D1E3A" w:rsidRDefault="003D1E3A" w:rsidP="00411E59">
            <w:pPr>
              <w:rPr>
                <w:rFonts w:ascii="Garamond" w:hAnsi="Garamond"/>
                <w:sz w:val="20"/>
                <w:szCs w:val="20"/>
              </w:rPr>
            </w:pPr>
            <w:r w:rsidRPr="003D1E3A">
              <w:rPr>
                <w:rFonts w:ascii="Garamond" w:hAnsi="Garamond"/>
                <w:sz w:val="20"/>
                <w:szCs w:val="20"/>
              </w:rPr>
              <w:t>Manchester</w:t>
            </w:r>
            <w:r w:rsidR="003B0BB2">
              <w:rPr>
                <w:rFonts w:ascii="Garamond" w:hAnsi="Garamond"/>
                <w:sz w:val="20"/>
                <w:szCs w:val="20"/>
              </w:rPr>
              <w:t xml:space="preserve"> </w:t>
            </w:r>
            <w:r w:rsidRPr="003D1E3A">
              <w:rPr>
                <w:rFonts w:ascii="Garamond" w:hAnsi="Garamond"/>
                <w:sz w:val="20"/>
                <w:szCs w:val="20"/>
              </w:rPr>
              <w:t>(3%)</w:t>
            </w:r>
          </w:p>
          <w:p w14:paraId="53CEE528" w14:textId="3EC8DEC5" w:rsidR="003D1E3A" w:rsidRDefault="003D1E3A" w:rsidP="00411E59">
            <w:pPr>
              <w:rPr>
                <w:rFonts w:ascii="Garamond" w:hAnsi="Garamond"/>
                <w:sz w:val="20"/>
                <w:szCs w:val="20"/>
              </w:rPr>
            </w:pPr>
            <w:r w:rsidRPr="003D1E3A">
              <w:rPr>
                <w:rFonts w:ascii="Garamond" w:hAnsi="Garamond"/>
                <w:sz w:val="20"/>
                <w:szCs w:val="20"/>
              </w:rPr>
              <w:t>Rockport</w:t>
            </w:r>
            <w:r w:rsidR="003B0BB2">
              <w:rPr>
                <w:rFonts w:ascii="Garamond" w:hAnsi="Garamond"/>
                <w:sz w:val="20"/>
                <w:szCs w:val="20"/>
              </w:rPr>
              <w:t xml:space="preserve"> </w:t>
            </w:r>
            <w:r w:rsidRPr="003D1E3A">
              <w:rPr>
                <w:rFonts w:ascii="Garamond" w:hAnsi="Garamond"/>
                <w:sz w:val="20"/>
                <w:szCs w:val="20"/>
              </w:rPr>
              <w:t>(2%)</w:t>
            </w:r>
          </w:p>
          <w:p w14:paraId="2874A2B1" w14:textId="3B170A20" w:rsidR="003D1E3A" w:rsidRDefault="003D1E3A" w:rsidP="00411E59">
            <w:pPr>
              <w:rPr>
                <w:rFonts w:ascii="Garamond" w:hAnsi="Garamond"/>
                <w:sz w:val="20"/>
                <w:szCs w:val="20"/>
              </w:rPr>
            </w:pPr>
            <w:r w:rsidRPr="003D1E3A">
              <w:rPr>
                <w:rFonts w:ascii="Garamond" w:hAnsi="Garamond"/>
                <w:sz w:val="20"/>
                <w:szCs w:val="20"/>
              </w:rPr>
              <w:t>Swampscott</w:t>
            </w:r>
            <w:r w:rsidR="003B0BB2">
              <w:rPr>
                <w:rFonts w:ascii="Garamond" w:hAnsi="Garamond"/>
                <w:sz w:val="20"/>
                <w:szCs w:val="20"/>
              </w:rPr>
              <w:t xml:space="preserve"> </w:t>
            </w:r>
            <w:r w:rsidRPr="003D1E3A">
              <w:rPr>
                <w:rFonts w:ascii="Garamond" w:hAnsi="Garamond"/>
                <w:sz w:val="20"/>
                <w:szCs w:val="20"/>
              </w:rPr>
              <w:t>(2%)</w:t>
            </w:r>
          </w:p>
          <w:p w14:paraId="1B26AF2C" w14:textId="7DEC504D" w:rsidR="003D1E3A" w:rsidRDefault="003D1E3A" w:rsidP="00411E59">
            <w:pPr>
              <w:rPr>
                <w:rFonts w:ascii="Garamond" w:hAnsi="Garamond"/>
                <w:sz w:val="20"/>
                <w:szCs w:val="20"/>
              </w:rPr>
            </w:pPr>
            <w:r w:rsidRPr="003D1E3A">
              <w:rPr>
                <w:rFonts w:ascii="Garamond" w:hAnsi="Garamond"/>
                <w:sz w:val="20"/>
                <w:szCs w:val="20"/>
              </w:rPr>
              <w:t>Middleton</w:t>
            </w:r>
            <w:r w:rsidR="003B0BB2">
              <w:rPr>
                <w:rFonts w:ascii="Garamond" w:hAnsi="Garamond"/>
                <w:sz w:val="20"/>
                <w:szCs w:val="20"/>
              </w:rPr>
              <w:t xml:space="preserve"> </w:t>
            </w:r>
            <w:r w:rsidRPr="003D1E3A">
              <w:rPr>
                <w:rFonts w:ascii="Garamond" w:hAnsi="Garamond"/>
                <w:sz w:val="20"/>
                <w:szCs w:val="20"/>
              </w:rPr>
              <w:t>(2%)</w:t>
            </w:r>
          </w:p>
          <w:p w14:paraId="61D1C904" w14:textId="147B6971" w:rsidR="003D1E3A" w:rsidRDefault="003D1E3A" w:rsidP="00411E59">
            <w:pPr>
              <w:rPr>
                <w:rFonts w:ascii="Garamond" w:hAnsi="Garamond"/>
                <w:sz w:val="20"/>
                <w:szCs w:val="20"/>
              </w:rPr>
            </w:pPr>
            <w:r w:rsidRPr="003D1E3A">
              <w:rPr>
                <w:rFonts w:ascii="Garamond" w:hAnsi="Garamond"/>
                <w:sz w:val="20"/>
                <w:szCs w:val="20"/>
              </w:rPr>
              <w:t>Topsfield (2%)</w:t>
            </w:r>
          </w:p>
        </w:tc>
      </w:tr>
      <w:tr w:rsidR="008070AD" w14:paraId="6C609457" w14:textId="77777777" w:rsidTr="00264E5C">
        <w:tc>
          <w:tcPr>
            <w:tcW w:w="0" w:type="auto"/>
          </w:tcPr>
          <w:p w14:paraId="4A6BEFAA" w14:textId="77777777" w:rsidR="008070AD" w:rsidRPr="007B1C0B" w:rsidRDefault="008070AD" w:rsidP="008070AD">
            <w:pPr>
              <w:rPr>
                <w:rFonts w:ascii="Garamond" w:hAnsi="Garamond"/>
                <w:b/>
                <w:bCs/>
                <w:sz w:val="20"/>
                <w:szCs w:val="20"/>
              </w:rPr>
            </w:pPr>
            <w:r w:rsidRPr="007B1C0B">
              <w:rPr>
                <w:rFonts w:ascii="Garamond" w:hAnsi="Garamond"/>
                <w:b/>
                <w:bCs/>
                <w:sz w:val="20"/>
                <w:szCs w:val="20"/>
              </w:rPr>
              <w:t>Payer-Mix</w:t>
            </w:r>
          </w:p>
          <w:p w14:paraId="29D617B0" w14:textId="77777777" w:rsidR="008070AD" w:rsidRPr="005F4493" w:rsidRDefault="008070AD" w:rsidP="008070AD">
            <w:pPr>
              <w:ind w:left="288"/>
              <w:rPr>
                <w:rFonts w:ascii="Garamond" w:hAnsi="Garamond"/>
                <w:sz w:val="20"/>
                <w:szCs w:val="20"/>
              </w:rPr>
            </w:pPr>
            <w:r w:rsidRPr="000D1001">
              <w:rPr>
                <w:rFonts w:ascii="Garamond" w:hAnsi="Garamond"/>
                <w:sz w:val="20"/>
                <w:szCs w:val="20"/>
              </w:rPr>
              <w:t>Commercial</w:t>
            </w:r>
          </w:p>
          <w:p w14:paraId="155786FE" w14:textId="77777777" w:rsidR="008070AD" w:rsidRPr="000F383A" w:rsidRDefault="008070AD" w:rsidP="008070AD">
            <w:pPr>
              <w:ind w:left="288"/>
              <w:rPr>
                <w:rFonts w:ascii="Garamond" w:hAnsi="Garamond"/>
                <w:sz w:val="20"/>
                <w:szCs w:val="20"/>
              </w:rPr>
            </w:pPr>
            <w:r w:rsidRPr="000F383A">
              <w:rPr>
                <w:rFonts w:ascii="Garamond" w:hAnsi="Garamond"/>
                <w:sz w:val="20"/>
                <w:szCs w:val="20"/>
              </w:rPr>
              <w:t>MassHealth</w:t>
            </w:r>
          </w:p>
          <w:p w14:paraId="59E27FC2" w14:textId="77777777" w:rsidR="008070AD" w:rsidRPr="00C867B4" w:rsidRDefault="008070AD" w:rsidP="008070AD">
            <w:pPr>
              <w:ind w:left="288"/>
              <w:rPr>
                <w:rFonts w:ascii="Garamond" w:hAnsi="Garamond"/>
                <w:sz w:val="20"/>
                <w:szCs w:val="20"/>
              </w:rPr>
            </w:pPr>
            <w:r w:rsidRPr="000F383A">
              <w:rPr>
                <w:rFonts w:ascii="Garamond" w:hAnsi="Garamond"/>
                <w:sz w:val="20"/>
                <w:szCs w:val="20"/>
              </w:rPr>
              <w:t>Managed Medicaid</w:t>
            </w:r>
          </w:p>
          <w:p w14:paraId="614C2C3C" w14:textId="77777777" w:rsidR="008070AD" w:rsidRPr="00C867B4" w:rsidRDefault="008070AD" w:rsidP="008070AD">
            <w:pPr>
              <w:ind w:left="288"/>
              <w:rPr>
                <w:rFonts w:ascii="Garamond" w:hAnsi="Garamond"/>
                <w:sz w:val="20"/>
                <w:szCs w:val="20"/>
              </w:rPr>
            </w:pPr>
            <w:r>
              <w:rPr>
                <w:rFonts w:ascii="Garamond" w:hAnsi="Garamond"/>
                <w:sz w:val="20"/>
                <w:szCs w:val="20"/>
              </w:rPr>
              <w:t>Commercial Medicare</w:t>
            </w:r>
          </w:p>
          <w:p w14:paraId="4249F62E" w14:textId="77777777" w:rsidR="008070AD" w:rsidRDefault="008070AD" w:rsidP="008070AD">
            <w:pPr>
              <w:ind w:left="288"/>
              <w:rPr>
                <w:rFonts w:ascii="Garamond" w:hAnsi="Garamond"/>
                <w:sz w:val="20"/>
                <w:szCs w:val="20"/>
              </w:rPr>
            </w:pPr>
            <w:r>
              <w:rPr>
                <w:rFonts w:ascii="Garamond" w:hAnsi="Garamond"/>
                <w:sz w:val="20"/>
                <w:szCs w:val="20"/>
              </w:rPr>
              <w:t>Medicare FFS</w:t>
            </w:r>
          </w:p>
          <w:p w14:paraId="580649C2" w14:textId="2A760A45" w:rsidR="008070AD" w:rsidRPr="007B1C0B" w:rsidRDefault="008070AD" w:rsidP="00264E5C">
            <w:pPr>
              <w:ind w:left="288"/>
              <w:rPr>
                <w:rFonts w:ascii="Garamond" w:hAnsi="Garamond"/>
                <w:b/>
                <w:bCs/>
                <w:sz w:val="20"/>
                <w:szCs w:val="20"/>
              </w:rPr>
            </w:pPr>
            <w:r>
              <w:rPr>
                <w:rFonts w:ascii="Garamond" w:hAnsi="Garamond"/>
                <w:sz w:val="20"/>
                <w:szCs w:val="20"/>
              </w:rPr>
              <w:t>All Other</w:t>
            </w:r>
          </w:p>
        </w:tc>
        <w:tc>
          <w:tcPr>
            <w:tcW w:w="3719" w:type="dxa"/>
          </w:tcPr>
          <w:p w14:paraId="069B3DA0" w14:textId="77777777" w:rsidR="008070AD" w:rsidRDefault="008070AD" w:rsidP="008070AD">
            <w:pPr>
              <w:rPr>
                <w:rFonts w:ascii="Garamond" w:hAnsi="Garamond"/>
                <w:sz w:val="20"/>
                <w:szCs w:val="20"/>
              </w:rPr>
            </w:pPr>
          </w:p>
          <w:p w14:paraId="7A030495" w14:textId="3BFA2647" w:rsidR="008070AD" w:rsidRPr="008070AD" w:rsidRDefault="008070AD" w:rsidP="008070AD">
            <w:pPr>
              <w:rPr>
                <w:rFonts w:ascii="Garamond" w:hAnsi="Garamond"/>
                <w:sz w:val="20"/>
                <w:szCs w:val="20"/>
              </w:rPr>
            </w:pPr>
            <w:r w:rsidRPr="008070AD">
              <w:rPr>
                <w:rFonts w:ascii="Garamond" w:hAnsi="Garamond"/>
                <w:sz w:val="20"/>
                <w:szCs w:val="20"/>
              </w:rPr>
              <w:t>40%</w:t>
            </w:r>
          </w:p>
          <w:p w14:paraId="60D3B2E6" w14:textId="77777777" w:rsidR="008070AD" w:rsidRPr="008070AD" w:rsidRDefault="008070AD" w:rsidP="008070AD">
            <w:pPr>
              <w:rPr>
                <w:rFonts w:ascii="Garamond" w:hAnsi="Garamond"/>
                <w:sz w:val="20"/>
                <w:szCs w:val="20"/>
              </w:rPr>
            </w:pPr>
            <w:r w:rsidRPr="008070AD">
              <w:rPr>
                <w:rFonts w:ascii="Garamond" w:hAnsi="Garamond"/>
                <w:sz w:val="20"/>
                <w:szCs w:val="20"/>
              </w:rPr>
              <w:t>2.1%</w:t>
            </w:r>
          </w:p>
          <w:p w14:paraId="34831B9D" w14:textId="77777777" w:rsidR="008070AD" w:rsidRPr="008070AD" w:rsidRDefault="008070AD" w:rsidP="008070AD">
            <w:pPr>
              <w:rPr>
                <w:rFonts w:ascii="Garamond" w:hAnsi="Garamond"/>
                <w:sz w:val="20"/>
                <w:szCs w:val="20"/>
              </w:rPr>
            </w:pPr>
            <w:r w:rsidRPr="008070AD">
              <w:rPr>
                <w:rFonts w:ascii="Garamond" w:hAnsi="Garamond"/>
                <w:sz w:val="20"/>
                <w:szCs w:val="20"/>
              </w:rPr>
              <w:t>11.4%</w:t>
            </w:r>
          </w:p>
          <w:p w14:paraId="24C72BC1" w14:textId="77777777" w:rsidR="008070AD" w:rsidRPr="008070AD" w:rsidRDefault="008070AD" w:rsidP="008070AD">
            <w:pPr>
              <w:rPr>
                <w:rFonts w:ascii="Garamond" w:hAnsi="Garamond"/>
                <w:sz w:val="20"/>
                <w:szCs w:val="20"/>
              </w:rPr>
            </w:pPr>
            <w:r w:rsidRPr="008070AD">
              <w:rPr>
                <w:rFonts w:ascii="Garamond" w:hAnsi="Garamond"/>
                <w:sz w:val="20"/>
                <w:szCs w:val="20"/>
              </w:rPr>
              <w:t>6.3%</w:t>
            </w:r>
          </w:p>
          <w:p w14:paraId="07E65D2A" w14:textId="77777777" w:rsidR="008070AD" w:rsidRPr="008070AD" w:rsidRDefault="008070AD" w:rsidP="008070AD">
            <w:pPr>
              <w:rPr>
                <w:rFonts w:ascii="Garamond" w:hAnsi="Garamond"/>
                <w:sz w:val="20"/>
                <w:szCs w:val="20"/>
              </w:rPr>
            </w:pPr>
            <w:r w:rsidRPr="008070AD">
              <w:rPr>
                <w:rFonts w:ascii="Garamond" w:hAnsi="Garamond"/>
                <w:sz w:val="20"/>
                <w:szCs w:val="20"/>
              </w:rPr>
              <w:t>32.8%</w:t>
            </w:r>
          </w:p>
          <w:p w14:paraId="04487FEF" w14:textId="2B90C3C4" w:rsidR="008070AD" w:rsidRPr="00DA279B" w:rsidRDefault="008070AD" w:rsidP="008070AD">
            <w:pPr>
              <w:rPr>
                <w:rFonts w:ascii="Garamond" w:hAnsi="Garamond"/>
                <w:sz w:val="20"/>
                <w:szCs w:val="20"/>
              </w:rPr>
            </w:pPr>
            <w:r w:rsidRPr="008070AD">
              <w:rPr>
                <w:rFonts w:ascii="Garamond" w:hAnsi="Garamond"/>
                <w:sz w:val="20"/>
                <w:szCs w:val="20"/>
              </w:rPr>
              <w:t>7.4%</w:t>
            </w:r>
          </w:p>
        </w:tc>
      </w:tr>
    </w:tbl>
    <w:p w14:paraId="1739ACE7" w14:textId="3A5C5041" w:rsidR="00725F24" w:rsidRDefault="00725F24" w:rsidP="00264E5C">
      <w:pPr>
        <w:spacing w:after="0" w:line="240" w:lineRule="auto"/>
        <w:rPr>
          <w:rFonts w:ascii="Garamond" w:hAnsi="Garamond"/>
          <w:sz w:val="20"/>
          <w:szCs w:val="20"/>
        </w:rPr>
      </w:pPr>
    </w:p>
    <w:p w14:paraId="76C52B0D" w14:textId="4A2BF944" w:rsidR="00AC68E5" w:rsidRPr="000369E7" w:rsidRDefault="00AC68E5" w:rsidP="00EA38CA">
      <w:pPr>
        <w:pStyle w:val="Heading1"/>
        <w:spacing w:line="240" w:lineRule="auto"/>
        <w:rPr>
          <w:rFonts w:ascii="Garamond" w:eastAsia="Calibri" w:hAnsi="Garamond"/>
        </w:rPr>
      </w:pPr>
      <w:bookmarkStart w:id="153" w:name="_Toc17731309"/>
      <w:bookmarkStart w:id="154" w:name="_Toc18922398"/>
      <w:bookmarkStart w:id="155" w:name="_Toc29755679"/>
      <w:bookmarkStart w:id="156" w:name="_Toc58960213"/>
      <w:bookmarkEnd w:id="20"/>
      <w:r w:rsidRPr="000369E7">
        <w:rPr>
          <w:rFonts w:ascii="Garamond" w:eastAsia="Calibri" w:hAnsi="Garamond"/>
        </w:rPr>
        <w:t>Factor 1</w:t>
      </w:r>
      <w:r w:rsidR="000A431B">
        <w:rPr>
          <w:rFonts w:ascii="Garamond" w:eastAsia="Calibri" w:hAnsi="Garamond"/>
        </w:rPr>
        <w:t xml:space="preserve">: </w:t>
      </w:r>
      <w:r w:rsidR="00B85B1D" w:rsidRPr="000369E7">
        <w:rPr>
          <w:rFonts w:ascii="Garamond" w:eastAsia="Calibri" w:hAnsi="Garamond"/>
        </w:rPr>
        <w:t>a</w:t>
      </w:r>
      <w:r w:rsidR="000A431B">
        <w:rPr>
          <w:rFonts w:ascii="Garamond" w:eastAsia="Calibri" w:hAnsi="Garamond"/>
        </w:rPr>
        <w:t>)</w:t>
      </w:r>
      <w:r w:rsidRPr="000369E7">
        <w:rPr>
          <w:rFonts w:ascii="Garamond" w:eastAsia="Calibri" w:hAnsi="Garamond"/>
        </w:rPr>
        <w:t xml:space="preserve"> Patient Panel Need</w:t>
      </w:r>
      <w:bookmarkEnd w:id="153"/>
      <w:bookmarkEnd w:id="154"/>
      <w:bookmarkEnd w:id="155"/>
      <w:bookmarkEnd w:id="156"/>
    </w:p>
    <w:p w14:paraId="25A85C63" w14:textId="76D311C0" w:rsidR="00CF23F3" w:rsidRPr="00B35CC3" w:rsidRDefault="00AC68E5" w:rsidP="00EA38CA">
      <w:pPr>
        <w:spacing w:after="0" w:line="240" w:lineRule="auto"/>
        <w:contextualSpacing/>
        <w:rPr>
          <w:rFonts w:ascii="Garamond" w:eastAsia="Calibri" w:hAnsi="Garamond" w:cs="Calibri"/>
          <w:sz w:val="24"/>
          <w:szCs w:val="24"/>
        </w:rPr>
      </w:pPr>
      <w:r w:rsidRPr="00C867B4">
        <w:rPr>
          <w:rFonts w:ascii="Garamond" w:eastAsia="Calibri" w:hAnsi="Garamond" w:cs="Calibri"/>
          <w:b/>
          <w:sz w:val="24"/>
          <w:szCs w:val="24"/>
        </w:rPr>
        <w:t xml:space="preserve">In this section, we assess </w:t>
      </w:r>
      <w:r w:rsidR="00030F81">
        <w:rPr>
          <w:rFonts w:ascii="Garamond" w:eastAsia="Calibri" w:hAnsi="Garamond" w:cs="Calibri"/>
          <w:b/>
          <w:sz w:val="24"/>
          <w:szCs w:val="24"/>
        </w:rPr>
        <w:t>whether</w:t>
      </w:r>
      <w:r w:rsidR="00030F81" w:rsidRPr="00C867B4">
        <w:rPr>
          <w:rFonts w:ascii="Garamond" w:eastAsia="Calibri" w:hAnsi="Garamond" w:cs="Calibri"/>
          <w:b/>
          <w:sz w:val="24"/>
          <w:szCs w:val="24"/>
        </w:rPr>
        <w:t xml:space="preserve"> </w:t>
      </w:r>
      <w:r w:rsidRPr="00C867B4">
        <w:rPr>
          <w:rFonts w:ascii="Garamond" w:eastAsia="Calibri" w:hAnsi="Garamond" w:cs="Calibri"/>
          <w:b/>
          <w:sz w:val="24"/>
          <w:szCs w:val="24"/>
        </w:rPr>
        <w:t xml:space="preserve">the Applicant has sufficiently addressed </w:t>
      </w:r>
      <w:r w:rsidR="00235B69" w:rsidRPr="00C867B4">
        <w:rPr>
          <w:rFonts w:ascii="Garamond" w:eastAsia="Calibri" w:hAnsi="Garamond" w:cs="Calibri"/>
          <w:sz w:val="24"/>
          <w:szCs w:val="24"/>
        </w:rPr>
        <w:t>P</w:t>
      </w:r>
      <w:r w:rsidRPr="00C867B4">
        <w:rPr>
          <w:rFonts w:ascii="Garamond" w:eastAsia="Calibri" w:hAnsi="Garamond" w:cs="Calibri"/>
          <w:sz w:val="24"/>
          <w:szCs w:val="24"/>
        </w:rPr>
        <w:t xml:space="preserve">atient </w:t>
      </w:r>
      <w:r w:rsidR="00235B69" w:rsidRPr="00C867B4">
        <w:rPr>
          <w:rFonts w:ascii="Garamond" w:eastAsia="Calibri" w:hAnsi="Garamond" w:cs="Calibri"/>
          <w:sz w:val="24"/>
          <w:szCs w:val="24"/>
        </w:rPr>
        <w:t>P</w:t>
      </w:r>
      <w:r w:rsidRPr="00C867B4">
        <w:rPr>
          <w:rFonts w:ascii="Garamond" w:eastAsia="Calibri" w:hAnsi="Garamond" w:cs="Calibri"/>
          <w:sz w:val="24"/>
          <w:szCs w:val="24"/>
        </w:rPr>
        <w:t xml:space="preserve">anel need </w:t>
      </w:r>
      <w:r w:rsidR="00C527E7">
        <w:rPr>
          <w:rFonts w:ascii="Garamond" w:eastAsia="Calibri" w:hAnsi="Garamond" w:cs="Calibri"/>
          <w:sz w:val="24"/>
          <w:szCs w:val="24"/>
        </w:rPr>
        <w:t>for</w:t>
      </w:r>
      <w:r w:rsidR="006256C7">
        <w:rPr>
          <w:rFonts w:ascii="Garamond" w:eastAsia="Calibri" w:hAnsi="Garamond" w:cs="Calibri"/>
          <w:sz w:val="24"/>
          <w:szCs w:val="24"/>
        </w:rPr>
        <w:t xml:space="preserve"> </w:t>
      </w:r>
      <w:r w:rsidR="006917C1">
        <w:rPr>
          <w:rFonts w:ascii="Garamond" w:eastAsia="Calibri" w:hAnsi="Garamond" w:cs="Calibri"/>
          <w:sz w:val="24"/>
          <w:szCs w:val="24"/>
        </w:rPr>
        <w:t xml:space="preserve">the </w:t>
      </w:r>
      <w:r w:rsidR="00DA25FC">
        <w:rPr>
          <w:rFonts w:ascii="Garamond" w:eastAsia="Calibri" w:hAnsi="Garamond" w:cs="Calibri"/>
          <w:sz w:val="24"/>
          <w:szCs w:val="24"/>
        </w:rPr>
        <w:t>P</w:t>
      </w:r>
      <w:r w:rsidR="006256C7">
        <w:rPr>
          <w:rFonts w:ascii="Garamond" w:eastAsia="Calibri" w:hAnsi="Garamond" w:cs="Calibri"/>
          <w:sz w:val="24"/>
          <w:szCs w:val="24"/>
        </w:rPr>
        <w:t xml:space="preserve">roposed </w:t>
      </w:r>
      <w:r w:rsidR="00DA25FC">
        <w:rPr>
          <w:rFonts w:ascii="Garamond" w:eastAsia="Calibri" w:hAnsi="Garamond" w:cs="Calibri"/>
          <w:sz w:val="24"/>
          <w:szCs w:val="24"/>
        </w:rPr>
        <w:t>P</w:t>
      </w:r>
      <w:r w:rsidR="006256C7">
        <w:rPr>
          <w:rFonts w:ascii="Garamond" w:eastAsia="Calibri" w:hAnsi="Garamond" w:cs="Calibri"/>
          <w:sz w:val="24"/>
          <w:szCs w:val="24"/>
        </w:rPr>
        <w:t>roject</w:t>
      </w:r>
      <w:r w:rsidR="00A3423E" w:rsidRPr="00C867B4">
        <w:rPr>
          <w:rFonts w:ascii="Garamond" w:eastAsia="Calibri" w:hAnsi="Garamond" w:cs="Calibri"/>
          <w:sz w:val="24"/>
          <w:szCs w:val="24"/>
        </w:rPr>
        <w:t>.</w:t>
      </w:r>
      <w:r w:rsidR="00B35CC3">
        <w:rPr>
          <w:rFonts w:ascii="Garamond" w:eastAsia="Calibri" w:hAnsi="Garamond" w:cs="Calibri"/>
          <w:sz w:val="24"/>
          <w:szCs w:val="24"/>
        </w:rPr>
        <w:t xml:space="preserve"> </w:t>
      </w:r>
      <w:r w:rsidR="007E60D5">
        <w:rPr>
          <w:rFonts w:ascii="Garamond" w:eastAsia="Calibri" w:hAnsi="Garamond" w:cs="Calibri"/>
          <w:sz w:val="24"/>
          <w:szCs w:val="24"/>
        </w:rPr>
        <w:t>T</w:t>
      </w:r>
      <w:r w:rsidR="007E60D5">
        <w:rPr>
          <w:rFonts w:ascii="Garamond" w:hAnsi="Garamond" w:cstheme="majorHAnsi"/>
          <w:bCs/>
          <w:sz w:val="24"/>
          <w:szCs w:val="24"/>
        </w:rPr>
        <w:t>he Applicant states</w:t>
      </w:r>
      <w:r w:rsidR="007E60D5" w:rsidRPr="00BC1F7D">
        <w:rPr>
          <w:rFonts w:ascii="Garamond" w:hAnsi="Garamond" w:cstheme="majorHAnsi"/>
          <w:bCs/>
          <w:sz w:val="24"/>
          <w:szCs w:val="24"/>
        </w:rPr>
        <w:t xml:space="preserve"> </w:t>
      </w:r>
      <w:r w:rsidR="007E60D5">
        <w:rPr>
          <w:rFonts w:ascii="Garamond" w:hAnsi="Garamond" w:cstheme="majorHAnsi"/>
          <w:bCs/>
          <w:sz w:val="24"/>
          <w:szCs w:val="24"/>
        </w:rPr>
        <w:t xml:space="preserve">that </w:t>
      </w:r>
      <w:r w:rsidR="00C16407" w:rsidRPr="00BC1F7D">
        <w:rPr>
          <w:rFonts w:ascii="Garamond" w:hAnsi="Garamond" w:cstheme="majorHAnsi"/>
          <w:bCs/>
          <w:sz w:val="24"/>
          <w:szCs w:val="24"/>
        </w:rPr>
        <w:t xml:space="preserve">the </w:t>
      </w:r>
      <w:r w:rsidR="00DA25FC">
        <w:rPr>
          <w:rFonts w:ascii="Garamond" w:hAnsi="Garamond" w:cstheme="majorHAnsi"/>
          <w:bCs/>
          <w:sz w:val="24"/>
          <w:szCs w:val="24"/>
        </w:rPr>
        <w:t>P</w:t>
      </w:r>
      <w:r w:rsidR="00C16407" w:rsidRPr="00BC1F7D">
        <w:rPr>
          <w:rFonts w:ascii="Garamond" w:hAnsi="Garamond" w:cstheme="majorHAnsi"/>
          <w:bCs/>
          <w:sz w:val="24"/>
          <w:szCs w:val="24"/>
        </w:rPr>
        <w:t xml:space="preserve">roposed </w:t>
      </w:r>
      <w:r w:rsidR="00DA25FC">
        <w:rPr>
          <w:rFonts w:ascii="Garamond" w:hAnsi="Garamond" w:cstheme="majorHAnsi"/>
          <w:bCs/>
          <w:sz w:val="24"/>
          <w:szCs w:val="24"/>
        </w:rPr>
        <w:t>P</w:t>
      </w:r>
      <w:r w:rsidR="00593B00">
        <w:rPr>
          <w:rFonts w:ascii="Garamond" w:hAnsi="Garamond" w:cstheme="majorHAnsi"/>
          <w:bCs/>
          <w:sz w:val="24"/>
          <w:szCs w:val="24"/>
        </w:rPr>
        <w:t>roject</w:t>
      </w:r>
      <w:r w:rsidR="00904F53">
        <w:rPr>
          <w:rFonts w:ascii="Garamond" w:hAnsi="Garamond" w:cstheme="majorHAnsi"/>
          <w:bCs/>
          <w:sz w:val="24"/>
          <w:szCs w:val="24"/>
        </w:rPr>
        <w:t xml:space="preserve"> </w:t>
      </w:r>
      <w:r w:rsidR="007E60D5">
        <w:rPr>
          <w:rFonts w:ascii="Garamond" w:hAnsi="Garamond" w:cstheme="majorHAnsi"/>
          <w:bCs/>
          <w:sz w:val="24"/>
          <w:szCs w:val="24"/>
        </w:rPr>
        <w:t xml:space="preserve">will expand access to its services to </w:t>
      </w:r>
      <w:r w:rsidR="008E3882">
        <w:rPr>
          <w:rFonts w:ascii="Garamond" w:hAnsi="Garamond" w:cstheme="majorHAnsi"/>
          <w:bCs/>
          <w:sz w:val="24"/>
          <w:szCs w:val="24"/>
        </w:rPr>
        <w:t>additional patients</w:t>
      </w:r>
      <w:r w:rsidR="00621F24">
        <w:rPr>
          <w:rFonts w:ascii="Garamond" w:hAnsi="Garamond" w:cstheme="majorHAnsi"/>
          <w:bCs/>
          <w:sz w:val="24"/>
          <w:szCs w:val="24"/>
        </w:rPr>
        <w:t xml:space="preserve">, </w:t>
      </w:r>
      <w:r w:rsidR="00904F53">
        <w:rPr>
          <w:rFonts w:ascii="Garamond" w:hAnsi="Garamond" w:cstheme="majorHAnsi"/>
          <w:bCs/>
          <w:sz w:val="24"/>
          <w:szCs w:val="24"/>
        </w:rPr>
        <w:t>and</w:t>
      </w:r>
      <w:r w:rsidR="00621F24">
        <w:rPr>
          <w:rFonts w:ascii="Garamond" w:hAnsi="Garamond" w:cstheme="majorHAnsi"/>
          <w:bCs/>
          <w:sz w:val="24"/>
          <w:szCs w:val="24"/>
        </w:rPr>
        <w:t xml:space="preserve"> </w:t>
      </w:r>
      <w:r w:rsidR="006E10CD">
        <w:rPr>
          <w:rFonts w:ascii="Garamond" w:hAnsi="Garamond" w:cstheme="majorHAnsi"/>
          <w:bCs/>
          <w:sz w:val="24"/>
          <w:szCs w:val="24"/>
        </w:rPr>
        <w:t xml:space="preserve">address Patient Panel need for outpatient surgery to </w:t>
      </w:r>
      <w:r w:rsidR="00884952">
        <w:rPr>
          <w:rFonts w:ascii="Garamond" w:hAnsi="Garamond" w:cstheme="majorHAnsi"/>
          <w:sz w:val="24"/>
          <w:szCs w:val="24"/>
        </w:rPr>
        <w:t>improve health outcomes and quality of life</w:t>
      </w:r>
      <w:r w:rsidR="00C16407" w:rsidRPr="00BC1F7D">
        <w:rPr>
          <w:rFonts w:ascii="Garamond" w:eastAsia="Calibri" w:hAnsi="Garamond" w:cs="Calibri"/>
          <w:bCs/>
          <w:sz w:val="24"/>
          <w:szCs w:val="24"/>
        </w:rPr>
        <w:t>.</w:t>
      </w:r>
    </w:p>
    <w:p w14:paraId="3DC16D33" w14:textId="77777777" w:rsidR="006E10CD" w:rsidRPr="006E10CD" w:rsidRDefault="006E10CD" w:rsidP="00EA38CA">
      <w:pPr>
        <w:spacing w:after="0" w:line="240" w:lineRule="auto"/>
        <w:contextualSpacing/>
        <w:rPr>
          <w:rFonts w:ascii="Garamond" w:eastAsia="Calibri" w:hAnsi="Garamond" w:cs="Calibri"/>
          <w:bCs/>
          <w:sz w:val="24"/>
          <w:szCs w:val="24"/>
        </w:rPr>
      </w:pPr>
    </w:p>
    <w:bookmarkEnd w:id="1"/>
    <w:p w14:paraId="46ECFF7B" w14:textId="77777777" w:rsidR="00956201" w:rsidRPr="00C867B4" w:rsidRDefault="007C5560" w:rsidP="00EA38CA">
      <w:pPr>
        <w:spacing w:after="0" w:line="240" w:lineRule="auto"/>
        <w:contextualSpacing/>
        <w:rPr>
          <w:rFonts w:ascii="Garamond" w:hAnsi="Garamond"/>
          <w:b/>
          <w:sz w:val="24"/>
          <w:szCs w:val="24"/>
        </w:rPr>
      </w:pPr>
      <w:r w:rsidRPr="00C867B4">
        <w:rPr>
          <w:rFonts w:ascii="Garamond" w:hAnsi="Garamond"/>
          <w:b/>
          <w:sz w:val="24"/>
          <w:szCs w:val="24"/>
        </w:rPr>
        <w:t>Patient Panel Need</w:t>
      </w:r>
    </w:p>
    <w:p w14:paraId="0D11F065" w14:textId="75F4FEFC" w:rsidR="00C12BBA" w:rsidRPr="00C867B4" w:rsidRDefault="00F44C53" w:rsidP="00EA38CA">
      <w:pPr>
        <w:spacing w:after="0" w:line="240" w:lineRule="auto"/>
        <w:contextualSpacing/>
        <w:rPr>
          <w:rFonts w:ascii="Garamond" w:hAnsi="Garamond" w:cs="Arial"/>
          <w:sz w:val="24"/>
          <w:szCs w:val="24"/>
        </w:rPr>
      </w:pPr>
      <w:r w:rsidRPr="00C867B4">
        <w:rPr>
          <w:rFonts w:ascii="Garamond" w:hAnsi="Garamond" w:cs="Arial"/>
          <w:sz w:val="24"/>
          <w:szCs w:val="24"/>
        </w:rPr>
        <w:t>Th</w:t>
      </w:r>
      <w:r w:rsidR="000C2263" w:rsidRPr="00C867B4">
        <w:rPr>
          <w:rFonts w:ascii="Garamond" w:hAnsi="Garamond" w:cs="Arial"/>
          <w:sz w:val="24"/>
          <w:szCs w:val="24"/>
        </w:rPr>
        <w:t>e Applicant attributes</w:t>
      </w:r>
      <w:r w:rsidR="0051630F" w:rsidRPr="00C867B4">
        <w:rPr>
          <w:rFonts w:ascii="Garamond" w:hAnsi="Garamond" w:cs="Arial"/>
          <w:sz w:val="24"/>
          <w:szCs w:val="24"/>
        </w:rPr>
        <w:t xml:space="preserve"> </w:t>
      </w:r>
      <w:r w:rsidR="00BE542D" w:rsidRPr="00C867B4">
        <w:rPr>
          <w:rFonts w:ascii="Garamond" w:hAnsi="Garamond" w:cs="Arial"/>
          <w:sz w:val="24"/>
          <w:szCs w:val="24"/>
        </w:rPr>
        <w:t xml:space="preserve">Patient Panel </w:t>
      </w:r>
      <w:r w:rsidR="0051630F" w:rsidRPr="00C867B4">
        <w:rPr>
          <w:rFonts w:ascii="Garamond" w:hAnsi="Garamond" w:cs="Arial"/>
          <w:sz w:val="24"/>
          <w:szCs w:val="24"/>
        </w:rPr>
        <w:t xml:space="preserve">need for </w:t>
      </w:r>
      <w:r w:rsidR="00832489">
        <w:rPr>
          <w:rFonts w:ascii="Garamond" w:hAnsi="Garamond" w:cs="Arial"/>
          <w:sz w:val="24"/>
          <w:szCs w:val="24"/>
        </w:rPr>
        <w:t xml:space="preserve">increased </w:t>
      </w:r>
      <w:r w:rsidR="00BD5E91">
        <w:rPr>
          <w:rFonts w:ascii="Garamond" w:hAnsi="Garamond" w:cs="Arial"/>
          <w:sz w:val="24"/>
          <w:szCs w:val="24"/>
        </w:rPr>
        <w:t>outpatient surgery</w:t>
      </w:r>
      <w:r w:rsidR="007E60D5">
        <w:rPr>
          <w:rFonts w:ascii="Garamond" w:hAnsi="Garamond" w:cs="Arial"/>
          <w:sz w:val="24"/>
          <w:szCs w:val="24"/>
        </w:rPr>
        <w:t xml:space="preserve"> </w:t>
      </w:r>
      <w:r w:rsidR="00832489">
        <w:rPr>
          <w:rFonts w:ascii="Garamond" w:hAnsi="Garamond" w:cs="Arial"/>
          <w:sz w:val="24"/>
          <w:szCs w:val="24"/>
        </w:rPr>
        <w:t xml:space="preserve">capacity </w:t>
      </w:r>
      <w:r w:rsidR="0051630F" w:rsidRPr="00C867B4">
        <w:rPr>
          <w:rFonts w:ascii="Garamond" w:hAnsi="Garamond" w:cs="Arial"/>
          <w:sz w:val="24"/>
          <w:szCs w:val="24"/>
        </w:rPr>
        <w:t>to</w:t>
      </w:r>
      <w:r w:rsidR="00A643FA" w:rsidRPr="00C867B4">
        <w:rPr>
          <w:rFonts w:ascii="Garamond" w:hAnsi="Garamond" w:cs="Arial"/>
          <w:sz w:val="24"/>
          <w:szCs w:val="24"/>
        </w:rPr>
        <w:t xml:space="preserve"> </w:t>
      </w:r>
      <w:r w:rsidR="00FB4C1B">
        <w:rPr>
          <w:rFonts w:ascii="Garamond" w:hAnsi="Garamond" w:cs="Arial"/>
          <w:sz w:val="24"/>
          <w:szCs w:val="24"/>
        </w:rPr>
        <w:t>t</w:t>
      </w:r>
      <w:r w:rsidR="000A0CE8">
        <w:rPr>
          <w:rFonts w:ascii="Garamond" w:hAnsi="Garamond" w:cs="Arial"/>
          <w:sz w:val="24"/>
          <w:szCs w:val="24"/>
        </w:rPr>
        <w:t>wo</w:t>
      </w:r>
      <w:r w:rsidR="00140642">
        <w:rPr>
          <w:rFonts w:ascii="Garamond" w:hAnsi="Garamond" w:cs="Arial"/>
          <w:sz w:val="24"/>
          <w:szCs w:val="24"/>
        </w:rPr>
        <w:t xml:space="preserve"> </w:t>
      </w:r>
      <w:r w:rsidR="0051630F" w:rsidRPr="00C867B4">
        <w:rPr>
          <w:rFonts w:ascii="Garamond" w:hAnsi="Garamond" w:cs="Arial"/>
          <w:sz w:val="24"/>
          <w:szCs w:val="24"/>
        </w:rPr>
        <w:t>factors:</w:t>
      </w:r>
      <w:r w:rsidR="00B10E45" w:rsidRPr="00B10E45">
        <w:t xml:space="preserve"> </w:t>
      </w:r>
      <w:r w:rsidR="00B10E45" w:rsidRPr="00B10E45">
        <w:rPr>
          <w:rFonts w:ascii="Garamond" w:hAnsi="Garamond" w:cs="Arial"/>
          <w:sz w:val="24"/>
          <w:szCs w:val="24"/>
        </w:rPr>
        <w:t>capacity constraints due to more complex procedures and more providers performing cases requiring anesthesia; and an aging population.</w:t>
      </w:r>
    </w:p>
    <w:p w14:paraId="71913FC8" w14:textId="77777777" w:rsidR="008425E5" w:rsidRDefault="008425E5" w:rsidP="008425E5">
      <w:pPr>
        <w:spacing w:after="0" w:line="240" w:lineRule="auto"/>
        <w:rPr>
          <w:rFonts w:ascii="Garamond" w:hAnsi="Garamond" w:cs="Arial"/>
          <w:b/>
          <w:sz w:val="24"/>
          <w:szCs w:val="24"/>
        </w:rPr>
      </w:pPr>
    </w:p>
    <w:p w14:paraId="7D8FB2DC" w14:textId="07D534C1" w:rsidR="002D525E" w:rsidRPr="002D525E" w:rsidRDefault="00A67C65" w:rsidP="002D525E">
      <w:pPr>
        <w:pStyle w:val="ListParagraph"/>
        <w:numPr>
          <w:ilvl w:val="0"/>
          <w:numId w:val="5"/>
        </w:numPr>
        <w:spacing w:after="0" w:line="240" w:lineRule="auto"/>
        <w:rPr>
          <w:rFonts w:ascii="Garamond" w:hAnsi="Garamond" w:cs="Arial"/>
          <w:b/>
          <w:sz w:val="24"/>
          <w:szCs w:val="24"/>
        </w:rPr>
      </w:pPr>
      <w:r>
        <w:rPr>
          <w:rFonts w:ascii="Garamond" w:hAnsi="Garamond" w:cs="Arial"/>
          <w:b/>
          <w:sz w:val="24"/>
          <w:szCs w:val="24"/>
        </w:rPr>
        <w:t>Capacity Constraints</w:t>
      </w:r>
      <w:r w:rsidR="007772C6" w:rsidRPr="00D63207">
        <w:rPr>
          <w:rFonts w:ascii="Garamond" w:hAnsi="Garamond" w:cs="Arial"/>
          <w:b/>
          <w:sz w:val="24"/>
          <w:szCs w:val="24"/>
        </w:rPr>
        <w:t>.</w:t>
      </w:r>
      <w:r w:rsidR="009C1B99" w:rsidRPr="00D63207">
        <w:rPr>
          <w:rFonts w:ascii="Garamond" w:hAnsi="Garamond" w:cs="Arial"/>
          <w:b/>
          <w:sz w:val="24"/>
          <w:szCs w:val="24"/>
        </w:rPr>
        <w:t xml:space="preserve"> </w:t>
      </w:r>
      <w:r w:rsidR="005723EE" w:rsidRPr="00D63207">
        <w:rPr>
          <w:rFonts w:ascii="Garamond" w:hAnsi="Garamond" w:cs="Arial"/>
          <w:bCs/>
          <w:sz w:val="24"/>
          <w:szCs w:val="24"/>
        </w:rPr>
        <w:t xml:space="preserve">The Applicant describes a need for additional </w:t>
      </w:r>
      <w:r w:rsidR="00AD4D53" w:rsidRPr="00D63207">
        <w:rPr>
          <w:rFonts w:ascii="Garamond" w:hAnsi="Garamond" w:cs="Arial"/>
          <w:bCs/>
          <w:sz w:val="24"/>
          <w:szCs w:val="24"/>
        </w:rPr>
        <w:t>OR</w:t>
      </w:r>
      <w:r w:rsidR="005723EE" w:rsidRPr="00D63207">
        <w:rPr>
          <w:rFonts w:ascii="Garamond" w:hAnsi="Garamond" w:cs="Arial"/>
          <w:bCs/>
          <w:sz w:val="24"/>
          <w:szCs w:val="24"/>
        </w:rPr>
        <w:t xml:space="preserve"> </w:t>
      </w:r>
      <w:r w:rsidR="004763CF" w:rsidRPr="00D63207">
        <w:rPr>
          <w:rFonts w:ascii="Garamond" w:hAnsi="Garamond" w:cs="Arial"/>
          <w:bCs/>
          <w:sz w:val="24"/>
          <w:szCs w:val="24"/>
        </w:rPr>
        <w:t xml:space="preserve">capacity </w:t>
      </w:r>
      <w:r w:rsidR="00904F53">
        <w:rPr>
          <w:rFonts w:ascii="Garamond" w:hAnsi="Garamond" w:cs="Arial"/>
          <w:bCs/>
          <w:sz w:val="24"/>
          <w:szCs w:val="24"/>
        </w:rPr>
        <w:t>as a result of</w:t>
      </w:r>
      <w:r w:rsidR="004763CF" w:rsidRPr="00D63207">
        <w:rPr>
          <w:rFonts w:ascii="Garamond" w:hAnsi="Garamond" w:cs="Arial"/>
          <w:bCs/>
          <w:sz w:val="24"/>
          <w:szCs w:val="24"/>
        </w:rPr>
        <w:t xml:space="preserve"> </w:t>
      </w:r>
      <w:r w:rsidR="00BD5E91">
        <w:rPr>
          <w:rFonts w:ascii="Garamond" w:hAnsi="Garamond" w:cs="Arial"/>
          <w:bCs/>
          <w:sz w:val="24"/>
          <w:szCs w:val="24"/>
        </w:rPr>
        <w:t>heavier demand</w:t>
      </w:r>
      <w:r w:rsidR="00BD5E91" w:rsidRPr="00D63207">
        <w:rPr>
          <w:rFonts w:ascii="Garamond" w:hAnsi="Garamond" w:cs="Arial"/>
          <w:bCs/>
          <w:sz w:val="24"/>
          <w:szCs w:val="24"/>
        </w:rPr>
        <w:t xml:space="preserve"> </w:t>
      </w:r>
      <w:r w:rsidR="004763CF" w:rsidRPr="00D63207">
        <w:rPr>
          <w:rFonts w:ascii="Garamond" w:hAnsi="Garamond" w:cs="Arial"/>
          <w:bCs/>
          <w:sz w:val="24"/>
          <w:szCs w:val="24"/>
        </w:rPr>
        <w:t>on the existing OR</w:t>
      </w:r>
      <w:r w:rsidR="00DD4F65">
        <w:rPr>
          <w:rFonts w:ascii="Garamond" w:hAnsi="Garamond" w:cs="Arial"/>
          <w:bCs/>
          <w:sz w:val="24"/>
          <w:szCs w:val="24"/>
        </w:rPr>
        <w:t xml:space="preserve"> </w:t>
      </w:r>
      <w:r w:rsidR="00904F53">
        <w:rPr>
          <w:rFonts w:ascii="Garamond" w:hAnsi="Garamond" w:cs="Arial"/>
          <w:bCs/>
          <w:sz w:val="24"/>
          <w:szCs w:val="24"/>
        </w:rPr>
        <w:t>and a subsequent</w:t>
      </w:r>
      <w:r w:rsidR="00003172">
        <w:rPr>
          <w:rFonts w:ascii="Garamond" w:hAnsi="Garamond" w:cs="Arial"/>
          <w:bCs/>
          <w:sz w:val="24"/>
          <w:szCs w:val="24"/>
        </w:rPr>
        <w:t xml:space="preserve"> </w:t>
      </w:r>
      <w:r w:rsidR="00DD4F65">
        <w:rPr>
          <w:rFonts w:ascii="Garamond" w:hAnsi="Garamond" w:cs="Arial"/>
          <w:bCs/>
          <w:sz w:val="24"/>
          <w:szCs w:val="24"/>
        </w:rPr>
        <w:t>decreas</w:t>
      </w:r>
      <w:r w:rsidR="00E60E9B">
        <w:rPr>
          <w:rFonts w:ascii="Garamond" w:hAnsi="Garamond" w:cs="Arial"/>
          <w:bCs/>
          <w:sz w:val="24"/>
          <w:szCs w:val="24"/>
        </w:rPr>
        <w:t>e</w:t>
      </w:r>
      <w:r w:rsidR="00904F53">
        <w:rPr>
          <w:rFonts w:ascii="Garamond" w:hAnsi="Garamond" w:cs="Arial"/>
          <w:bCs/>
          <w:sz w:val="24"/>
          <w:szCs w:val="24"/>
        </w:rPr>
        <w:t xml:space="preserve"> in</w:t>
      </w:r>
      <w:r w:rsidR="00DD4F65">
        <w:rPr>
          <w:rFonts w:ascii="Garamond" w:hAnsi="Garamond" w:cs="Arial"/>
          <w:bCs/>
          <w:sz w:val="24"/>
          <w:szCs w:val="24"/>
        </w:rPr>
        <w:t xml:space="preserve"> available time</w:t>
      </w:r>
      <w:r w:rsidR="003E4578">
        <w:rPr>
          <w:rFonts w:ascii="Garamond" w:hAnsi="Garamond" w:cs="Arial"/>
          <w:bCs/>
          <w:sz w:val="24"/>
          <w:szCs w:val="24"/>
        </w:rPr>
        <w:t xml:space="preserve"> slots for procedures</w:t>
      </w:r>
      <w:r w:rsidR="00DD4F65">
        <w:rPr>
          <w:rFonts w:ascii="Garamond" w:hAnsi="Garamond" w:cs="Arial"/>
          <w:bCs/>
          <w:sz w:val="24"/>
          <w:szCs w:val="24"/>
        </w:rPr>
        <w:t xml:space="preserve">. </w:t>
      </w:r>
      <w:r w:rsidR="004763CF" w:rsidRPr="00D63207">
        <w:rPr>
          <w:rFonts w:ascii="Garamond" w:hAnsi="Garamond" w:cs="Arial"/>
          <w:bCs/>
          <w:sz w:val="24"/>
          <w:szCs w:val="24"/>
        </w:rPr>
        <w:t xml:space="preserve"> </w:t>
      </w:r>
    </w:p>
    <w:p w14:paraId="17E1EF43" w14:textId="77777777" w:rsidR="00325183" w:rsidRDefault="00325183" w:rsidP="00325183">
      <w:pPr>
        <w:spacing w:after="0" w:line="240" w:lineRule="auto"/>
        <w:ind w:firstLine="720"/>
        <w:rPr>
          <w:rFonts w:ascii="Garamond" w:hAnsi="Garamond" w:cs="Arial"/>
          <w:bCs/>
          <w:sz w:val="24"/>
          <w:szCs w:val="24"/>
        </w:rPr>
      </w:pPr>
    </w:p>
    <w:p w14:paraId="66E9B8B3" w14:textId="42718401" w:rsidR="00E2313D" w:rsidRPr="00325183" w:rsidRDefault="00E563A4" w:rsidP="00325183">
      <w:pPr>
        <w:spacing w:after="0" w:line="240" w:lineRule="auto"/>
        <w:ind w:left="720"/>
        <w:rPr>
          <w:rFonts w:ascii="Garamond" w:hAnsi="Garamond" w:cs="Arial"/>
          <w:b/>
          <w:sz w:val="24"/>
          <w:szCs w:val="24"/>
        </w:rPr>
      </w:pPr>
      <w:r w:rsidRPr="00325183">
        <w:rPr>
          <w:rFonts w:ascii="Garamond" w:hAnsi="Garamond" w:cs="Arial"/>
          <w:bCs/>
          <w:sz w:val="24"/>
          <w:szCs w:val="24"/>
        </w:rPr>
        <w:t xml:space="preserve">The Applicant notes that despite the procedure volume decrease, scheduled time in the OR remains high due to the complexity of the current case load. From 2017 to 2019, the Applicant experienced a shift from a higher volume of simple cases to a lower volume of </w:t>
      </w:r>
      <w:r w:rsidRPr="00325183">
        <w:rPr>
          <w:rFonts w:ascii="Garamond" w:hAnsi="Garamond" w:cs="Arial"/>
          <w:bCs/>
          <w:sz w:val="24"/>
          <w:szCs w:val="24"/>
        </w:rPr>
        <w:lastRenderedPageBreak/>
        <w:t>more complex cases requir</w:t>
      </w:r>
      <w:r w:rsidR="000E7F2D" w:rsidRPr="00325183">
        <w:rPr>
          <w:rFonts w:ascii="Garamond" w:hAnsi="Garamond" w:cs="Arial"/>
          <w:bCs/>
          <w:sz w:val="24"/>
          <w:szCs w:val="24"/>
        </w:rPr>
        <w:t>ing</w:t>
      </w:r>
      <w:r w:rsidRPr="00325183">
        <w:rPr>
          <w:rFonts w:ascii="Garamond" w:hAnsi="Garamond" w:cs="Arial"/>
          <w:bCs/>
          <w:sz w:val="24"/>
          <w:szCs w:val="24"/>
        </w:rPr>
        <w:t xml:space="preserve"> additional operating room (OR) time. </w:t>
      </w:r>
      <w:r w:rsidR="005723EE" w:rsidRPr="00325183">
        <w:rPr>
          <w:rFonts w:ascii="Garamond" w:hAnsi="Garamond" w:cs="Arial"/>
          <w:bCs/>
          <w:sz w:val="24"/>
          <w:szCs w:val="24"/>
        </w:rPr>
        <w:t xml:space="preserve"> </w:t>
      </w:r>
      <w:bookmarkStart w:id="157" w:name="_Hlk56137646"/>
      <w:r w:rsidR="005646FE" w:rsidRPr="00325183">
        <w:rPr>
          <w:rFonts w:ascii="Garamond" w:hAnsi="Garamond" w:cs="Arial"/>
          <w:bCs/>
          <w:sz w:val="24"/>
          <w:szCs w:val="24"/>
        </w:rPr>
        <w:t>Overall case numbers are 1</w:t>
      </w:r>
      <w:r w:rsidR="009C785F" w:rsidRPr="00325183">
        <w:rPr>
          <w:rFonts w:ascii="Garamond" w:hAnsi="Garamond" w:cs="Arial"/>
          <w:bCs/>
          <w:sz w:val="24"/>
          <w:szCs w:val="24"/>
        </w:rPr>
        <w:t>,</w:t>
      </w:r>
      <w:r w:rsidR="005646FE" w:rsidRPr="00325183">
        <w:rPr>
          <w:rFonts w:ascii="Garamond" w:hAnsi="Garamond" w:cs="Arial"/>
          <w:bCs/>
          <w:sz w:val="24"/>
          <w:szCs w:val="24"/>
        </w:rPr>
        <w:t>621 visits in 2017, 1,500 visits in 2018 and 1,474 visits in 2019</w:t>
      </w:r>
      <w:bookmarkEnd w:id="157"/>
      <w:r w:rsidR="005646FE" w:rsidRPr="00325183">
        <w:rPr>
          <w:rFonts w:ascii="Garamond" w:hAnsi="Garamond" w:cs="Arial"/>
          <w:bCs/>
          <w:sz w:val="24"/>
          <w:szCs w:val="24"/>
        </w:rPr>
        <w:t>.</w:t>
      </w:r>
      <w:r w:rsidR="005646FE">
        <w:rPr>
          <w:rStyle w:val="FootnoteReference"/>
          <w:rFonts w:ascii="Garamond" w:hAnsi="Garamond" w:cs="Arial"/>
          <w:bCs/>
          <w:sz w:val="24"/>
          <w:szCs w:val="24"/>
        </w:rPr>
        <w:footnoteReference w:id="8"/>
      </w:r>
      <w:r w:rsidR="005646FE" w:rsidRPr="00325183">
        <w:rPr>
          <w:rFonts w:ascii="Garamond" w:hAnsi="Garamond" w:cs="Arial"/>
          <w:bCs/>
          <w:sz w:val="24"/>
          <w:szCs w:val="24"/>
        </w:rPr>
        <w:t xml:space="preserve"> </w:t>
      </w:r>
      <w:r w:rsidR="00B648BE" w:rsidRPr="00325183">
        <w:rPr>
          <w:rFonts w:ascii="Garamond" w:hAnsi="Garamond" w:cs="Arial"/>
          <w:bCs/>
          <w:sz w:val="24"/>
          <w:szCs w:val="24"/>
        </w:rPr>
        <w:t>Complex procedures</w:t>
      </w:r>
      <w:r w:rsidR="00EA1A6E" w:rsidRPr="00325183">
        <w:rPr>
          <w:rFonts w:ascii="Garamond" w:hAnsi="Garamond" w:cs="Arial"/>
          <w:bCs/>
          <w:sz w:val="24"/>
          <w:szCs w:val="24"/>
        </w:rPr>
        <w:t xml:space="preserve">, </w:t>
      </w:r>
      <w:r w:rsidR="00541D43" w:rsidRPr="00325183">
        <w:rPr>
          <w:rFonts w:ascii="Garamond" w:hAnsi="Garamond" w:cs="Arial"/>
          <w:bCs/>
          <w:sz w:val="24"/>
          <w:szCs w:val="24"/>
        </w:rPr>
        <w:t xml:space="preserve">described </w:t>
      </w:r>
      <w:r w:rsidR="00EA1A6E" w:rsidRPr="00325183">
        <w:rPr>
          <w:rFonts w:ascii="Garamond" w:hAnsi="Garamond" w:cs="Arial"/>
          <w:bCs/>
          <w:sz w:val="24"/>
          <w:szCs w:val="24"/>
        </w:rPr>
        <w:t>further below</w:t>
      </w:r>
      <w:r w:rsidR="00586C87" w:rsidRPr="00325183">
        <w:rPr>
          <w:rFonts w:ascii="Garamond" w:hAnsi="Garamond" w:cs="Arial"/>
          <w:bCs/>
          <w:sz w:val="24"/>
          <w:szCs w:val="24"/>
        </w:rPr>
        <w:t xml:space="preserve">, </w:t>
      </w:r>
      <w:r w:rsidR="00B648BE" w:rsidRPr="00325183">
        <w:rPr>
          <w:rFonts w:ascii="Garamond" w:hAnsi="Garamond" w:cs="Arial"/>
          <w:bCs/>
          <w:sz w:val="24"/>
          <w:szCs w:val="24"/>
        </w:rPr>
        <w:t xml:space="preserve">make up 13% of the 2019 case volume. </w:t>
      </w:r>
      <w:r w:rsidR="00316AEA" w:rsidRPr="00325183">
        <w:rPr>
          <w:rFonts w:ascii="Garamond" w:hAnsi="Garamond" w:cs="Arial"/>
          <w:bCs/>
          <w:sz w:val="24"/>
          <w:szCs w:val="24"/>
        </w:rPr>
        <w:t xml:space="preserve">The majority of patient diagnoses were related to otolaryngology, urology, ophthalmology, pain management and orthopedics. </w:t>
      </w:r>
    </w:p>
    <w:p w14:paraId="02615D52" w14:textId="77777777" w:rsidR="00E2313D" w:rsidRPr="00E2313D" w:rsidRDefault="00E2313D" w:rsidP="00E2313D">
      <w:pPr>
        <w:pStyle w:val="ListParagraph"/>
        <w:spacing w:after="0" w:line="240" w:lineRule="auto"/>
        <w:ind w:left="1440"/>
        <w:rPr>
          <w:rFonts w:ascii="Garamond" w:hAnsi="Garamond" w:cs="Arial"/>
          <w:b/>
          <w:sz w:val="24"/>
          <w:szCs w:val="24"/>
        </w:rPr>
      </w:pPr>
    </w:p>
    <w:p w14:paraId="318EF33C" w14:textId="71EA6A05" w:rsidR="00325183" w:rsidRDefault="00E563A4" w:rsidP="00325183">
      <w:pPr>
        <w:spacing w:after="0" w:line="240" w:lineRule="auto"/>
        <w:ind w:left="720"/>
        <w:rPr>
          <w:rFonts w:ascii="Garamond" w:hAnsi="Garamond" w:cs="Arial"/>
          <w:b/>
          <w:sz w:val="24"/>
          <w:szCs w:val="24"/>
        </w:rPr>
      </w:pPr>
      <w:r w:rsidRPr="00AE433F">
        <w:rPr>
          <w:rFonts w:ascii="Garamond" w:hAnsi="Garamond" w:cs="Arial"/>
          <w:bCs/>
          <w:sz w:val="24"/>
          <w:szCs w:val="24"/>
        </w:rPr>
        <w:t>Th</w:t>
      </w:r>
      <w:r w:rsidR="00DC7A24" w:rsidRPr="00AE433F">
        <w:rPr>
          <w:rFonts w:ascii="Garamond" w:hAnsi="Garamond" w:cs="Arial"/>
          <w:bCs/>
          <w:sz w:val="24"/>
          <w:szCs w:val="24"/>
        </w:rPr>
        <w:t xml:space="preserve">e biggest impact </w:t>
      </w:r>
      <w:r w:rsidR="00C532F3" w:rsidRPr="00AE433F">
        <w:rPr>
          <w:rFonts w:ascii="Garamond" w:hAnsi="Garamond" w:cs="Arial"/>
          <w:bCs/>
          <w:sz w:val="24"/>
          <w:szCs w:val="24"/>
        </w:rPr>
        <w:t>o</w:t>
      </w:r>
      <w:r w:rsidR="00DC7A24" w:rsidRPr="00AE433F">
        <w:rPr>
          <w:rFonts w:ascii="Garamond" w:hAnsi="Garamond" w:cs="Arial"/>
          <w:bCs/>
          <w:sz w:val="24"/>
          <w:szCs w:val="24"/>
        </w:rPr>
        <w:t xml:space="preserve">n OR demand was </w:t>
      </w:r>
      <w:r w:rsidRPr="00AE433F">
        <w:rPr>
          <w:rFonts w:ascii="Garamond" w:hAnsi="Garamond" w:cs="Arial"/>
          <w:bCs/>
          <w:sz w:val="24"/>
          <w:szCs w:val="24"/>
        </w:rPr>
        <w:t>driven by a shift noted from</w:t>
      </w:r>
      <w:r w:rsidR="00441017" w:rsidRPr="00AE433F">
        <w:rPr>
          <w:rFonts w:ascii="Garamond" w:hAnsi="Garamond" w:cs="Arial"/>
          <w:bCs/>
          <w:sz w:val="24"/>
          <w:szCs w:val="24"/>
        </w:rPr>
        <w:t xml:space="preserve"> </w:t>
      </w:r>
      <w:r w:rsidR="007E7648" w:rsidRPr="00AE433F">
        <w:rPr>
          <w:rFonts w:ascii="Garamond" w:hAnsi="Garamond" w:cs="Arial"/>
          <w:bCs/>
          <w:sz w:val="24"/>
          <w:szCs w:val="24"/>
        </w:rPr>
        <w:t>2017</w:t>
      </w:r>
      <w:r w:rsidRPr="00AE433F">
        <w:rPr>
          <w:rFonts w:ascii="Garamond" w:hAnsi="Garamond" w:cs="Arial"/>
          <w:bCs/>
          <w:sz w:val="24"/>
          <w:szCs w:val="24"/>
        </w:rPr>
        <w:t xml:space="preserve"> in which</w:t>
      </w:r>
      <w:r w:rsidR="007E7648" w:rsidRPr="00AE433F">
        <w:rPr>
          <w:rFonts w:ascii="Garamond" w:hAnsi="Garamond" w:cs="Arial"/>
          <w:bCs/>
          <w:sz w:val="24"/>
          <w:szCs w:val="24"/>
        </w:rPr>
        <w:t xml:space="preserve"> 18% of pain procedures were complex </w:t>
      </w:r>
      <w:r w:rsidRPr="00AE433F">
        <w:rPr>
          <w:rFonts w:ascii="Garamond" w:hAnsi="Garamond" w:cs="Arial"/>
          <w:bCs/>
          <w:sz w:val="24"/>
          <w:szCs w:val="24"/>
        </w:rPr>
        <w:t xml:space="preserve">to an </w:t>
      </w:r>
      <w:r w:rsidR="009C785F" w:rsidRPr="00AE433F">
        <w:rPr>
          <w:rFonts w:ascii="Garamond" w:hAnsi="Garamond" w:cs="Arial"/>
          <w:bCs/>
          <w:sz w:val="24"/>
          <w:szCs w:val="24"/>
        </w:rPr>
        <w:t xml:space="preserve">increase to 97% </w:t>
      </w:r>
      <w:r w:rsidR="00832489" w:rsidRPr="00AE433F">
        <w:rPr>
          <w:rFonts w:ascii="Garamond" w:hAnsi="Garamond" w:cs="Arial"/>
          <w:bCs/>
          <w:sz w:val="24"/>
          <w:szCs w:val="24"/>
        </w:rPr>
        <w:t xml:space="preserve">of such </w:t>
      </w:r>
      <w:r w:rsidR="00B9062A">
        <w:rPr>
          <w:rFonts w:ascii="Garamond" w:hAnsi="Garamond" w:cs="Arial"/>
          <w:bCs/>
          <w:sz w:val="24"/>
          <w:szCs w:val="24"/>
        </w:rPr>
        <w:t xml:space="preserve">complex </w:t>
      </w:r>
      <w:r w:rsidR="00832489" w:rsidRPr="00AE433F">
        <w:rPr>
          <w:rFonts w:ascii="Garamond" w:hAnsi="Garamond" w:cs="Arial"/>
          <w:bCs/>
          <w:sz w:val="24"/>
          <w:szCs w:val="24"/>
        </w:rPr>
        <w:t xml:space="preserve">procedures </w:t>
      </w:r>
      <w:r w:rsidR="009C785F" w:rsidRPr="00AE433F">
        <w:rPr>
          <w:rFonts w:ascii="Garamond" w:hAnsi="Garamond" w:cs="Arial"/>
          <w:bCs/>
          <w:sz w:val="24"/>
          <w:szCs w:val="24"/>
        </w:rPr>
        <w:t xml:space="preserve">in </w:t>
      </w:r>
      <w:r w:rsidR="00735BA8" w:rsidRPr="00AE433F">
        <w:rPr>
          <w:rFonts w:ascii="Garamond" w:hAnsi="Garamond" w:cs="Arial"/>
          <w:bCs/>
          <w:sz w:val="24"/>
          <w:szCs w:val="24"/>
        </w:rPr>
        <w:t>2020</w:t>
      </w:r>
      <w:r w:rsidRPr="00AE433F">
        <w:rPr>
          <w:rFonts w:ascii="Garamond" w:hAnsi="Garamond" w:cs="Arial"/>
          <w:bCs/>
          <w:sz w:val="24"/>
          <w:szCs w:val="24"/>
        </w:rPr>
        <w:t>.</w:t>
      </w:r>
      <w:r w:rsidR="00DE2945">
        <w:rPr>
          <w:rStyle w:val="FootnoteReference"/>
          <w:rFonts w:ascii="Garamond" w:hAnsi="Garamond" w:cs="Arial"/>
          <w:bCs/>
          <w:sz w:val="24"/>
          <w:szCs w:val="24"/>
        </w:rPr>
        <w:footnoteReference w:id="9"/>
      </w:r>
      <w:r w:rsidRPr="00AE433F">
        <w:rPr>
          <w:rFonts w:ascii="Garamond" w:hAnsi="Garamond" w:cs="Arial"/>
          <w:bCs/>
          <w:sz w:val="24"/>
          <w:szCs w:val="24"/>
        </w:rPr>
        <w:t xml:space="preserve"> </w:t>
      </w:r>
      <w:r w:rsidR="009A2222" w:rsidRPr="00AE433F">
        <w:rPr>
          <w:rFonts w:ascii="Garamond" w:hAnsi="Garamond"/>
          <w:sz w:val="24"/>
          <w:szCs w:val="24"/>
        </w:rPr>
        <w:t xml:space="preserve">The Applicant attributes </w:t>
      </w:r>
      <w:r w:rsidR="009A2222" w:rsidRPr="00AE433F">
        <w:rPr>
          <w:rFonts w:ascii="Garamond" w:hAnsi="Garamond" w:cs="Arial"/>
          <w:bCs/>
          <w:sz w:val="24"/>
          <w:szCs w:val="24"/>
        </w:rPr>
        <w:t xml:space="preserve">this dramatic difference </w:t>
      </w:r>
      <w:r w:rsidR="009A2222" w:rsidRPr="00AE433F">
        <w:rPr>
          <w:rFonts w:ascii="Garamond" w:hAnsi="Garamond"/>
          <w:sz w:val="24"/>
          <w:szCs w:val="24"/>
        </w:rPr>
        <w:t xml:space="preserve">to recent Medicare approval of </w:t>
      </w:r>
      <w:r w:rsidR="00B9062A">
        <w:rPr>
          <w:rFonts w:ascii="Garamond" w:hAnsi="Garamond"/>
          <w:sz w:val="24"/>
          <w:szCs w:val="24"/>
        </w:rPr>
        <w:t xml:space="preserve">these </w:t>
      </w:r>
      <w:r w:rsidR="009A2222" w:rsidRPr="00AE433F">
        <w:rPr>
          <w:rFonts w:ascii="Garamond" w:hAnsi="Garamond"/>
          <w:sz w:val="24"/>
          <w:szCs w:val="24"/>
        </w:rPr>
        <w:t>procedures for the outpatient setting</w:t>
      </w:r>
      <w:r w:rsidR="00D733DB" w:rsidRPr="00AE433F">
        <w:rPr>
          <w:rFonts w:ascii="Garamond" w:hAnsi="Garamond"/>
          <w:sz w:val="24"/>
          <w:szCs w:val="24"/>
        </w:rPr>
        <w:t xml:space="preserve">, </w:t>
      </w:r>
      <w:r w:rsidR="00FD7965" w:rsidRPr="00AE433F">
        <w:rPr>
          <w:rFonts w:ascii="Garamond" w:hAnsi="Garamond"/>
          <w:sz w:val="24"/>
          <w:szCs w:val="24"/>
        </w:rPr>
        <w:t xml:space="preserve">which has </w:t>
      </w:r>
      <w:r w:rsidR="007C5A97" w:rsidRPr="00AE433F">
        <w:rPr>
          <w:rFonts w:ascii="Garamond" w:hAnsi="Garamond"/>
          <w:sz w:val="24"/>
          <w:szCs w:val="24"/>
        </w:rPr>
        <w:t>led</w:t>
      </w:r>
      <w:r w:rsidR="00FD7965" w:rsidRPr="00AE433F">
        <w:rPr>
          <w:rFonts w:ascii="Garamond" w:hAnsi="Garamond"/>
          <w:sz w:val="24"/>
          <w:szCs w:val="24"/>
        </w:rPr>
        <w:t xml:space="preserve"> to</w:t>
      </w:r>
      <w:r w:rsidR="00D733DB" w:rsidRPr="00AE433F">
        <w:rPr>
          <w:rFonts w:ascii="Garamond" w:hAnsi="Garamond"/>
          <w:sz w:val="24"/>
          <w:szCs w:val="24"/>
        </w:rPr>
        <w:t xml:space="preserve"> m</w:t>
      </w:r>
      <w:r w:rsidR="007A431C" w:rsidRPr="00AE433F">
        <w:rPr>
          <w:rFonts w:ascii="Garamond" w:hAnsi="Garamond"/>
          <w:sz w:val="24"/>
          <w:szCs w:val="24"/>
        </w:rPr>
        <w:t>ore complex interventional techniques performed in place of prescription opioid pain management.</w:t>
      </w:r>
      <w:r w:rsidR="00DE1424">
        <w:rPr>
          <w:rStyle w:val="EndnoteReference"/>
          <w:rFonts w:ascii="Garamond" w:hAnsi="Garamond"/>
          <w:sz w:val="24"/>
          <w:szCs w:val="24"/>
        </w:rPr>
        <w:endnoteReference w:id="1"/>
      </w:r>
      <w:r w:rsidR="00D733DB" w:rsidRPr="00AE433F">
        <w:rPr>
          <w:rFonts w:ascii="Garamond" w:hAnsi="Garamond"/>
          <w:sz w:val="24"/>
          <w:szCs w:val="24"/>
        </w:rPr>
        <w:t xml:space="preserve"> </w:t>
      </w:r>
      <w:r w:rsidR="00B9062A">
        <w:rPr>
          <w:rFonts w:ascii="Garamond" w:hAnsi="Garamond"/>
          <w:sz w:val="24"/>
          <w:szCs w:val="24"/>
        </w:rPr>
        <w:t>A</w:t>
      </w:r>
      <w:r w:rsidR="00455762">
        <w:rPr>
          <w:rFonts w:ascii="Garamond" w:hAnsi="Garamond"/>
          <w:sz w:val="24"/>
          <w:szCs w:val="24"/>
        </w:rPr>
        <w:t>lso</w:t>
      </w:r>
      <w:r w:rsidR="00B9062A">
        <w:rPr>
          <w:rFonts w:ascii="Garamond" w:hAnsi="Garamond"/>
          <w:sz w:val="24"/>
          <w:szCs w:val="24"/>
        </w:rPr>
        <w:t>, f</w:t>
      </w:r>
      <w:r w:rsidR="00B9062A" w:rsidRPr="00AE433F">
        <w:rPr>
          <w:rFonts w:ascii="Garamond" w:hAnsi="Garamond"/>
          <w:sz w:val="24"/>
          <w:szCs w:val="24"/>
        </w:rPr>
        <w:t xml:space="preserve">or pain management procedures </w:t>
      </w:r>
      <w:r w:rsidR="00AE433F" w:rsidRPr="00AE433F">
        <w:rPr>
          <w:rFonts w:ascii="Garamond" w:hAnsi="Garamond"/>
          <w:sz w:val="24"/>
          <w:szCs w:val="24"/>
        </w:rPr>
        <w:t>NESC has experienced a change in OR time. Per patient registration</w:t>
      </w:r>
      <w:r w:rsidR="00455762">
        <w:rPr>
          <w:rFonts w:ascii="Garamond" w:hAnsi="Garamond"/>
          <w:sz w:val="24"/>
          <w:szCs w:val="24"/>
        </w:rPr>
        <w:t>-</w:t>
      </w:r>
      <w:r w:rsidR="00AE433F" w:rsidRPr="00AE433F">
        <w:rPr>
          <w:rFonts w:ascii="Garamond" w:hAnsi="Garamond"/>
          <w:sz w:val="24"/>
          <w:szCs w:val="24"/>
        </w:rPr>
        <w:t>to</w:t>
      </w:r>
      <w:r w:rsidR="00455762">
        <w:rPr>
          <w:rFonts w:ascii="Garamond" w:hAnsi="Garamond"/>
          <w:sz w:val="24"/>
          <w:szCs w:val="24"/>
        </w:rPr>
        <w:t>-</w:t>
      </w:r>
      <w:r w:rsidR="00AE433F" w:rsidRPr="00AE433F">
        <w:rPr>
          <w:rFonts w:ascii="Garamond" w:hAnsi="Garamond"/>
          <w:sz w:val="24"/>
          <w:szCs w:val="24"/>
        </w:rPr>
        <w:t>discharge time increased from 30 minutes for patient pain injections to one to two hours of OR time for more advanced pain procedures. Complex surgeries include Veritflex</w:t>
      </w:r>
      <w:r w:rsidR="00AE433F" w:rsidRPr="00611C53">
        <w:rPr>
          <w:vertAlign w:val="superscript"/>
        </w:rPr>
        <w:footnoteReference w:id="10"/>
      </w:r>
      <w:r w:rsidR="00AE433F" w:rsidRPr="00AE433F">
        <w:rPr>
          <w:rFonts w:ascii="Garamond" w:hAnsi="Garamond"/>
          <w:sz w:val="24"/>
          <w:szCs w:val="24"/>
        </w:rPr>
        <w:t>, MILD</w:t>
      </w:r>
      <w:r w:rsidR="00AE433F" w:rsidRPr="00611C53">
        <w:rPr>
          <w:vertAlign w:val="superscript"/>
        </w:rPr>
        <w:footnoteReference w:id="11"/>
      </w:r>
      <w:r w:rsidR="00964492">
        <w:rPr>
          <w:rFonts w:ascii="Garamond" w:hAnsi="Garamond"/>
          <w:sz w:val="24"/>
          <w:szCs w:val="24"/>
        </w:rPr>
        <w:t>,</w:t>
      </w:r>
      <w:r w:rsidR="00AE433F" w:rsidRPr="00AE433F">
        <w:rPr>
          <w:rFonts w:ascii="Garamond" w:hAnsi="Garamond"/>
          <w:sz w:val="24"/>
          <w:szCs w:val="24"/>
        </w:rPr>
        <w:t xml:space="preserve"> </w:t>
      </w:r>
      <w:r w:rsidR="00455762">
        <w:rPr>
          <w:rFonts w:ascii="Garamond" w:hAnsi="Garamond"/>
          <w:sz w:val="24"/>
          <w:szCs w:val="24"/>
        </w:rPr>
        <w:t xml:space="preserve">and </w:t>
      </w:r>
      <w:r w:rsidR="00AE433F" w:rsidRPr="00AE433F">
        <w:rPr>
          <w:rFonts w:ascii="Garamond" w:hAnsi="Garamond"/>
          <w:sz w:val="24"/>
          <w:szCs w:val="24"/>
        </w:rPr>
        <w:t xml:space="preserve">neurostimulator implantation procedures for pain. </w:t>
      </w:r>
    </w:p>
    <w:p w14:paraId="6DDBF951" w14:textId="77777777" w:rsidR="00325183" w:rsidRDefault="00325183" w:rsidP="00325183">
      <w:pPr>
        <w:spacing w:after="0" w:line="240" w:lineRule="auto"/>
        <w:ind w:left="720"/>
        <w:rPr>
          <w:rFonts w:ascii="Garamond" w:hAnsi="Garamond" w:cs="Arial"/>
          <w:b/>
          <w:sz w:val="24"/>
          <w:szCs w:val="24"/>
        </w:rPr>
      </w:pPr>
    </w:p>
    <w:p w14:paraId="0D3A9BBE" w14:textId="77777777" w:rsidR="00325183" w:rsidRDefault="00DC7A24" w:rsidP="00325183">
      <w:pPr>
        <w:spacing w:after="0" w:line="240" w:lineRule="auto"/>
        <w:ind w:left="720"/>
        <w:rPr>
          <w:rFonts w:ascii="Garamond" w:hAnsi="Garamond" w:cs="Arial"/>
          <w:b/>
          <w:sz w:val="24"/>
          <w:szCs w:val="24"/>
        </w:rPr>
      </w:pPr>
      <w:r w:rsidRPr="00AE433F">
        <w:rPr>
          <w:rFonts w:ascii="Garamond" w:hAnsi="Garamond" w:cs="Arial"/>
          <w:bCs/>
          <w:sz w:val="24"/>
          <w:szCs w:val="24"/>
        </w:rPr>
        <w:t xml:space="preserve">Additionally, the percentage of complex otolaryngology procedures increased from </w:t>
      </w:r>
      <w:r w:rsidR="007E7648" w:rsidRPr="00AE433F">
        <w:rPr>
          <w:rFonts w:ascii="Garamond" w:hAnsi="Garamond" w:cs="Arial"/>
          <w:bCs/>
          <w:sz w:val="24"/>
          <w:szCs w:val="24"/>
        </w:rPr>
        <w:t>8%</w:t>
      </w:r>
      <w:r w:rsidR="004763CF" w:rsidRPr="00AE433F">
        <w:rPr>
          <w:rFonts w:ascii="Garamond" w:hAnsi="Garamond" w:cs="Arial"/>
          <w:bCs/>
          <w:sz w:val="24"/>
          <w:szCs w:val="24"/>
        </w:rPr>
        <w:t xml:space="preserve"> </w:t>
      </w:r>
      <w:r w:rsidRPr="00AE433F">
        <w:rPr>
          <w:rFonts w:ascii="Garamond" w:hAnsi="Garamond" w:cs="Arial"/>
          <w:bCs/>
          <w:sz w:val="24"/>
          <w:szCs w:val="24"/>
        </w:rPr>
        <w:t>in 2018,</w:t>
      </w:r>
      <w:r w:rsidR="009C785F" w:rsidRPr="00AE433F">
        <w:rPr>
          <w:rFonts w:ascii="Garamond" w:hAnsi="Garamond" w:cs="Arial"/>
          <w:bCs/>
          <w:sz w:val="24"/>
          <w:szCs w:val="24"/>
        </w:rPr>
        <w:t xml:space="preserve"> to 14% in </w:t>
      </w:r>
      <w:r w:rsidR="007E7648" w:rsidRPr="00AE433F">
        <w:rPr>
          <w:rFonts w:ascii="Garamond" w:hAnsi="Garamond" w:cs="Arial"/>
          <w:bCs/>
          <w:sz w:val="24"/>
          <w:szCs w:val="24"/>
        </w:rPr>
        <w:t>2020</w:t>
      </w:r>
      <w:r w:rsidR="004763CF" w:rsidRPr="00AE433F">
        <w:rPr>
          <w:rFonts w:ascii="Garamond" w:hAnsi="Garamond" w:cs="Arial"/>
          <w:bCs/>
          <w:sz w:val="24"/>
          <w:szCs w:val="24"/>
        </w:rPr>
        <w:t>.</w:t>
      </w:r>
      <w:r w:rsidR="00AC4E2F">
        <w:rPr>
          <w:rStyle w:val="FootnoteReference"/>
          <w:rFonts w:ascii="Garamond" w:hAnsi="Garamond" w:cs="Arial"/>
          <w:bCs/>
          <w:sz w:val="24"/>
          <w:szCs w:val="24"/>
        </w:rPr>
        <w:footnoteReference w:id="12"/>
      </w:r>
      <w:r w:rsidR="004763CF" w:rsidRPr="00AE433F">
        <w:rPr>
          <w:rFonts w:ascii="Garamond" w:hAnsi="Garamond" w:cs="Arial"/>
          <w:bCs/>
          <w:sz w:val="24"/>
          <w:szCs w:val="24"/>
        </w:rPr>
        <w:t xml:space="preserve"> </w:t>
      </w:r>
      <w:r w:rsidR="00AE433F" w:rsidRPr="00AE433F">
        <w:rPr>
          <w:rFonts w:ascii="Garamond" w:hAnsi="Garamond"/>
          <w:sz w:val="24"/>
          <w:szCs w:val="24"/>
        </w:rPr>
        <w:t xml:space="preserve">The otolaryngology </w:t>
      </w:r>
      <w:r w:rsidR="00483283">
        <w:rPr>
          <w:rFonts w:ascii="Garamond" w:hAnsi="Garamond"/>
          <w:sz w:val="24"/>
          <w:szCs w:val="24"/>
        </w:rPr>
        <w:t xml:space="preserve">case </w:t>
      </w:r>
      <w:r w:rsidR="003760BE">
        <w:rPr>
          <w:rFonts w:ascii="Garamond" w:hAnsi="Garamond"/>
          <w:sz w:val="24"/>
          <w:szCs w:val="24"/>
        </w:rPr>
        <w:t>shift</w:t>
      </w:r>
      <w:r w:rsidR="00AE433F" w:rsidRPr="00AE433F">
        <w:rPr>
          <w:rFonts w:ascii="Garamond" w:hAnsi="Garamond"/>
          <w:sz w:val="24"/>
          <w:szCs w:val="24"/>
        </w:rPr>
        <w:t xml:space="preserve"> from uncomplicated pediatric otolaryngology services to higher complexity frontal sinus cases began in 2018. High-volume pediatric care (including tubes, tonsils and adenoids) require 30 minutes of OR time compared to the frontal sinus surgeries which can require up to three hours in the OR.</w:t>
      </w:r>
      <w:r w:rsidR="00AE433F">
        <w:rPr>
          <w:rStyle w:val="FootnoteReference"/>
          <w:rFonts w:ascii="Garamond" w:hAnsi="Garamond"/>
          <w:sz w:val="24"/>
          <w:szCs w:val="24"/>
        </w:rPr>
        <w:footnoteReference w:id="13"/>
      </w:r>
      <w:r w:rsidR="00AE433F" w:rsidRPr="00AE433F">
        <w:rPr>
          <w:rFonts w:ascii="Garamond" w:hAnsi="Garamond"/>
          <w:sz w:val="24"/>
          <w:szCs w:val="24"/>
        </w:rPr>
        <w:t xml:space="preserve"> The Applicant asserts complex fusion sinus cases allow for better visualization of sinus anatomy and disease, and this helps to reduce the need for </w:t>
      </w:r>
      <w:r w:rsidR="00455762">
        <w:rPr>
          <w:rFonts w:ascii="Garamond" w:hAnsi="Garamond"/>
          <w:sz w:val="24"/>
          <w:szCs w:val="24"/>
        </w:rPr>
        <w:t>subsequent</w:t>
      </w:r>
      <w:r w:rsidR="00AE433F" w:rsidRPr="00AE433F">
        <w:rPr>
          <w:rFonts w:ascii="Garamond" w:hAnsi="Garamond"/>
          <w:sz w:val="24"/>
          <w:szCs w:val="24"/>
        </w:rPr>
        <w:t xml:space="preserve"> surgery and enhances patient safety.</w:t>
      </w:r>
    </w:p>
    <w:p w14:paraId="62DEA5DC" w14:textId="77777777" w:rsidR="00325183" w:rsidRDefault="00325183" w:rsidP="00325183">
      <w:pPr>
        <w:spacing w:after="0" w:line="240" w:lineRule="auto"/>
        <w:ind w:left="720"/>
        <w:rPr>
          <w:rFonts w:ascii="Garamond" w:hAnsi="Garamond" w:cs="Arial"/>
          <w:b/>
          <w:sz w:val="24"/>
          <w:szCs w:val="24"/>
        </w:rPr>
      </w:pPr>
    </w:p>
    <w:p w14:paraId="61EDA6B5" w14:textId="1C7580E6" w:rsidR="00AE433F" w:rsidRPr="00325183" w:rsidRDefault="005C44D7" w:rsidP="00325183">
      <w:pPr>
        <w:spacing w:after="0" w:line="240" w:lineRule="auto"/>
        <w:ind w:left="720"/>
        <w:rPr>
          <w:rFonts w:ascii="Garamond" w:hAnsi="Garamond" w:cs="Arial"/>
          <w:b/>
          <w:sz w:val="24"/>
          <w:szCs w:val="24"/>
        </w:rPr>
      </w:pPr>
      <w:r w:rsidRPr="00325183">
        <w:rPr>
          <w:rFonts w:ascii="Garamond" w:hAnsi="Garamond" w:cs="Arial"/>
          <w:bCs/>
          <w:sz w:val="24"/>
          <w:szCs w:val="24"/>
        </w:rPr>
        <w:t xml:space="preserve">The more complex cases require longer time in the OR which leads to a reduction in </w:t>
      </w:r>
      <w:r w:rsidRPr="00325183">
        <w:rPr>
          <w:rFonts w:ascii="Garamond" w:hAnsi="Garamond"/>
          <w:sz w:val="24"/>
          <w:szCs w:val="24"/>
        </w:rPr>
        <w:t xml:space="preserve">the number of cases that can be performed per day. </w:t>
      </w:r>
      <w:r w:rsidR="001A143B" w:rsidRPr="00325183">
        <w:rPr>
          <w:rFonts w:ascii="Garamond" w:hAnsi="Garamond"/>
          <w:sz w:val="24"/>
          <w:szCs w:val="24"/>
        </w:rPr>
        <w:t>Previously, e</w:t>
      </w:r>
      <w:r w:rsidRPr="00325183">
        <w:rPr>
          <w:rFonts w:ascii="Garamond" w:hAnsi="Garamond"/>
          <w:sz w:val="24"/>
          <w:szCs w:val="24"/>
        </w:rPr>
        <w:t xml:space="preserve">ight cases would be performed on a full OR day including turnaround time. However, as the operative time per procedure has increased, the number of cases decreased to </w:t>
      </w:r>
      <w:r w:rsidR="00832489" w:rsidRPr="00325183">
        <w:rPr>
          <w:rFonts w:ascii="Garamond" w:hAnsi="Garamond"/>
          <w:sz w:val="24"/>
          <w:szCs w:val="24"/>
        </w:rPr>
        <w:t xml:space="preserve">between </w:t>
      </w:r>
      <w:r w:rsidR="001A143B" w:rsidRPr="00325183">
        <w:rPr>
          <w:rFonts w:ascii="Garamond" w:hAnsi="Garamond"/>
          <w:sz w:val="24"/>
          <w:szCs w:val="24"/>
        </w:rPr>
        <w:t xml:space="preserve">four </w:t>
      </w:r>
      <w:r w:rsidR="00832489" w:rsidRPr="00325183">
        <w:rPr>
          <w:rFonts w:ascii="Garamond" w:hAnsi="Garamond"/>
          <w:sz w:val="24"/>
          <w:szCs w:val="24"/>
        </w:rPr>
        <w:t>and</w:t>
      </w:r>
      <w:r w:rsidR="001A143B" w:rsidRPr="00325183">
        <w:rPr>
          <w:rFonts w:ascii="Garamond" w:hAnsi="Garamond"/>
          <w:sz w:val="24"/>
          <w:szCs w:val="24"/>
        </w:rPr>
        <w:t xml:space="preserve"> seven,</w:t>
      </w:r>
      <w:r w:rsidRPr="00325183">
        <w:rPr>
          <w:rFonts w:ascii="Garamond" w:hAnsi="Garamond"/>
          <w:sz w:val="24"/>
          <w:szCs w:val="24"/>
        </w:rPr>
        <w:t xml:space="preserve"> depending on the number of complex cases scheduled per day. This calculates to a decrease of </w:t>
      </w:r>
      <w:r w:rsidR="006767D0" w:rsidRPr="00325183">
        <w:rPr>
          <w:rFonts w:ascii="Garamond" w:hAnsi="Garamond"/>
          <w:sz w:val="24"/>
          <w:szCs w:val="24"/>
        </w:rPr>
        <w:t xml:space="preserve">up to </w:t>
      </w:r>
      <w:r w:rsidRPr="00325183">
        <w:rPr>
          <w:rFonts w:ascii="Garamond" w:hAnsi="Garamond"/>
          <w:sz w:val="24"/>
          <w:szCs w:val="24"/>
        </w:rPr>
        <w:t>20 or more cases per month, or 100+ cases annually.</w:t>
      </w:r>
      <w:r w:rsidR="00B247C5" w:rsidRPr="00325183">
        <w:rPr>
          <w:rFonts w:ascii="Garamond" w:hAnsi="Garamond"/>
          <w:sz w:val="24"/>
          <w:szCs w:val="24"/>
        </w:rPr>
        <w:t xml:space="preserve"> The Applicant also attributes the shift to more complex procedures to the aging population in Massachusetts, which is explained further below (2a,2b). </w:t>
      </w:r>
    </w:p>
    <w:p w14:paraId="2883735D" w14:textId="77777777" w:rsidR="00453291" w:rsidRPr="00E61F61" w:rsidRDefault="00453291" w:rsidP="00453291">
      <w:pPr>
        <w:pStyle w:val="ListParagraph"/>
        <w:spacing w:after="0" w:line="240" w:lineRule="auto"/>
        <w:ind w:left="1260"/>
        <w:rPr>
          <w:rFonts w:ascii="Garamond" w:hAnsi="Garamond"/>
          <w:sz w:val="24"/>
          <w:szCs w:val="24"/>
        </w:rPr>
      </w:pPr>
    </w:p>
    <w:p w14:paraId="22169497" w14:textId="77777777" w:rsidR="00325183" w:rsidRPr="00325183" w:rsidRDefault="00325183" w:rsidP="00455762">
      <w:pPr>
        <w:pStyle w:val="ListParagraph"/>
        <w:numPr>
          <w:ilvl w:val="0"/>
          <w:numId w:val="5"/>
        </w:numPr>
        <w:spacing w:after="0" w:line="240" w:lineRule="auto"/>
        <w:rPr>
          <w:rFonts w:ascii="Garamond" w:hAnsi="Garamond" w:cs="Arial"/>
          <w:sz w:val="24"/>
          <w:szCs w:val="24"/>
        </w:rPr>
      </w:pPr>
      <w:r w:rsidRPr="00AE3117">
        <w:rPr>
          <w:rFonts w:ascii="Garamond" w:hAnsi="Garamond"/>
          <w:sz w:val="24"/>
          <w:szCs w:val="24"/>
        </w:rPr>
        <w:t>Current w</w:t>
      </w:r>
      <w:r w:rsidRPr="002A1CCB">
        <w:rPr>
          <w:rFonts w:ascii="Garamond" w:hAnsi="Garamond"/>
          <w:sz w:val="24"/>
          <w:szCs w:val="24"/>
        </w:rPr>
        <w:t xml:space="preserve">ait times </w:t>
      </w:r>
      <w:r w:rsidRPr="00AE3117">
        <w:rPr>
          <w:rFonts w:ascii="Garamond" w:hAnsi="Garamond"/>
          <w:sz w:val="24"/>
          <w:szCs w:val="24"/>
        </w:rPr>
        <w:t xml:space="preserve">for patients </w:t>
      </w:r>
      <w:r w:rsidRPr="002A1CCB">
        <w:rPr>
          <w:rFonts w:ascii="Garamond" w:hAnsi="Garamond"/>
          <w:sz w:val="24"/>
          <w:szCs w:val="24"/>
        </w:rPr>
        <w:t>to schedule a procedure vary by specialty: five to ten days for otolaryngology</w:t>
      </w:r>
      <w:r>
        <w:rPr>
          <w:rFonts w:ascii="Garamond" w:hAnsi="Garamond"/>
          <w:sz w:val="24"/>
          <w:szCs w:val="24"/>
        </w:rPr>
        <w:t xml:space="preserve">, and </w:t>
      </w:r>
      <w:r w:rsidRPr="002A1CCB">
        <w:rPr>
          <w:rFonts w:ascii="Garamond" w:hAnsi="Garamond"/>
          <w:sz w:val="24"/>
          <w:szCs w:val="24"/>
        </w:rPr>
        <w:t xml:space="preserve">five to ten days for pain management. </w:t>
      </w:r>
      <w:r>
        <w:rPr>
          <w:rFonts w:ascii="Garamond" w:hAnsi="Garamond"/>
          <w:sz w:val="24"/>
          <w:szCs w:val="24"/>
        </w:rPr>
        <w:t xml:space="preserve">To shorten wait times, the Applicant plans to add new providers. </w:t>
      </w:r>
      <w:r w:rsidRPr="00AE3117">
        <w:rPr>
          <w:rFonts w:ascii="Garamond" w:hAnsi="Garamond"/>
          <w:sz w:val="24"/>
          <w:szCs w:val="24"/>
        </w:rPr>
        <w:t>The new surgeon</w:t>
      </w:r>
      <w:r>
        <w:rPr>
          <w:rFonts w:ascii="Garamond" w:hAnsi="Garamond"/>
          <w:sz w:val="24"/>
          <w:szCs w:val="24"/>
        </w:rPr>
        <w:t>s</w:t>
      </w:r>
      <w:r w:rsidRPr="00AE3117">
        <w:rPr>
          <w:rFonts w:ascii="Garamond" w:hAnsi="Garamond"/>
          <w:sz w:val="24"/>
          <w:szCs w:val="24"/>
        </w:rPr>
        <w:t xml:space="preserve"> include </w:t>
      </w:r>
      <w:r w:rsidRPr="00C51E1B">
        <w:rPr>
          <w:rFonts w:ascii="Garamond" w:hAnsi="Garamond"/>
          <w:sz w:val="24"/>
          <w:szCs w:val="24"/>
        </w:rPr>
        <w:t>four general surgeons, four orthopedic surgeons, and two urologists</w:t>
      </w:r>
      <w:r w:rsidRPr="00AE3117">
        <w:rPr>
          <w:rFonts w:ascii="Garamond" w:hAnsi="Garamond"/>
          <w:sz w:val="24"/>
          <w:szCs w:val="24"/>
        </w:rPr>
        <w:t>.</w:t>
      </w:r>
      <w:r w:rsidRPr="00C51E1B">
        <w:rPr>
          <w:rFonts w:ascii="Garamond" w:hAnsi="Garamond"/>
          <w:sz w:val="24"/>
          <w:szCs w:val="24"/>
        </w:rPr>
        <w:t xml:space="preserve"> Operating room scheduling consists of individual and group block scheduling. The Applicant states optimal OR usage would be 75-80%, and that utilization higher than 85 to 90% leads to patient delays and staff overtime.</w:t>
      </w:r>
      <w:r w:rsidRPr="00D02D92">
        <w:rPr>
          <w:rStyle w:val="EndnoteReference"/>
          <w:rFonts w:ascii="Garamond" w:hAnsi="Garamond"/>
          <w:sz w:val="24"/>
          <w:szCs w:val="24"/>
        </w:rPr>
        <w:endnoteReference w:id="2"/>
      </w:r>
      <w:r w:rsidRPr="00AE3117">
        <w:rPr>
          <w:rFonts w:ascii="Garamond" w:hAnsi="Garamond"/>
          <w:sz w:val="24"/>
          <w:szCs w:val="24"/>
        </w:rPr>
        <w:t xml:space="preserve"> </w:t>
      </w:r>
      <w:r>
        <w:rPr>
          <w:rFonts w:ascii="Garamond" w:hAnsi="Garamond"/>
          <w:sz w:val="24"/>
          <w:szCs w:val="24"/>
        </w:rPr>
        <w:t xml:space="preserve">At the time </w:t>
      </w:r>
      <w:r>
        <w:rPr>
          <w:rFonts w:ascii="Garamond" w:hAnsi="Garamond"/>
          <w:sz w:val="24"/>
          <w:szCs w:val="24"/>
        </w:rPr>
        <w:lastRenderedPageBreak/>
        <w:t>of application submission, the Applicant states the</w:t>
      </w:r>
      <w:r w:rsidRPr="00C51E1B">
        <w:rPr>
          <w:rFonts w:ascii="Garamond" w:hAnsi="Garamond"/>
          <w:sz w:val="24"/>
          <w:szCs w:val="24"/>
        </w:rPr>
        <w:t xml:space="preserve"> current operating room reserved time usage </w:t>
      </w:r>
      <w:r>
        <w:rPr>
          <w:rFonts w:ascii="Garamond" w:hAnsi="Garamond"/>
          <w:sz w:val="24"/>
          <w:szCs w:val="24"/>
        </w:rPr>
        <w:t>was</w:t>
      </w:r>
      <w:r w:rsidRPr="00C51E1B">
        <w:rPr>
          <w:rFonts w:ascii="Garamond" w:hAnsi="Garamond"/>
          <w:sz w:val="24"/>
          <w:szCs w:val="24"/>
        </w:rPr>
        <w:t xml:space="preserve"> 58%-62%; OR block utilization</w:t>
      </w:r>
      <w:r>
        <w:rPr>
          <w:rFonts w:ascii="Garamond" w:hAnsi="Garamond"/>
          <w:sz w:val="24"/>
          <w:szCs w:val="24"/>
        </w:rPr>
        <w:t xml:space="preserve"> had</w:t>
      </w:r>
      <w:r w:rsidRPr="00C51E1B">
        <w:rPr>
          <w:rFonts w:ascii="Garamond" w:hAnsi="Garamond"/>
          <w:sz w:val="24"/>
          <w:szCs w:val="24"/>
        </w:rPr>
        <w:t xml:space="preserve"> increased from 60.3% to 63.5% between 2017 and 2019. </w:t>
      </w:r>
      <w:r>
        <w:rPr>
          <w:rFonts w:ascii="Garamond" w:hAnsi="Garamond"/>
          <w:sz w:val="24"/>
          <w:szCs w:val="24"/>
        </w:rPr>
        <w:t xml:space="preserve">As of October 31, 2020, OR utilization increased to 65.7%, and in November, it increased to 73.7%. The Applicant states that </w:t>
      </w:r>
      <w:r w:rsidRPr="00E61F61">
        <w:rPr>
          <w:rFonts w:ascii="Garamond" w:hAnsi="Garamond"/>
          <w:sz w:val="24"/>
          <w:szCs w:val="24"/>
        </w:rPr>
        <w:t xml:space="preserve">the time between cases has increased </w:t>
      </w:r>
      <w:r>
        <w:rPr>
          <w:rFonts w:ascii="Garamond" w:hAnsi="Garamond"/>
          <w:sz w:val="24"/>
          <w:szCs w:val="24"/>
        </w:rPr>
        <w:t>in order to permit</w:t>
      </w:r>
      <w:r w:rsidRPr="00E61F61">
        <w:rPr>
          <w:rFonts w:ascii="Garamond" w:hAnsi="Garamond"/>
          <w:sz w:val="24"/>
          <w:szCs w:val="24"/>
        </w:rPr>
        <w:t xml:space="preserve"> adequate air</w:t>
      </w:r>
      <w:r>
        <w:rPr>
          <w:rFonts w:ascii="Garamond" w:hAnsi="Garamond"/>
          <w:sz w:val="24"/>
          <w:szCs w:val="24"/>
        </w:rPr>
        <w:t xml:space="preserve"> exchanges to prevent COVID transmission. </w:t>
      </w:r>
    </w:p>
    <w:p w14:paraId="24C68A7C" w14:textId="77777777" w:rsidR="00325183" w:rsidRDefault="00325183" w:rsidP="00325183">
      <w:pPr>
        <w:pStyle w:val="ListParagraph"/>
        <w:spacing w:after="0" w:line="240" w:lineRule="auto"/>
        <w:rPr>
          <w:rFonts w:ascii="Garamond" w:hAnsi="Garamond"/>
          <w:sz w:val="24"/>
          <w:szCs w:val="24"/>
        </w:rPr>
      </w:pPr>
    </w:p>
    <w:p w14:paraId="5322713B" w14:textId="2B274CB9" w:rsidR="00325183" w:rsidRDefault="00E25409" w:rsidP="00325183">
      <w:pPr>
        <w:pStyle w:val="ListParagraph"/>
        <w:spacing w:after="0" w:line="240" w:lineRule="auto"/>
        <w:rPr>
          <w:rFonts w:ascii="Garamond" w:hAnsi="Garamond"/>
          <w:sz w:val="24"/>
          <w:szCs w:val="24"/>
        </w:rPr>
      </w:pPr>
      <w:r w:rsidRPr="00325183">
        <w:rPr>
          <w:rFonts w:ascii="Garamond" w:hAnsi="Garamond"/>
          <w:sz w:val="24"/>
          <w:szCs w:val="24"/>
        </w:rPr>
        <w:t xml:space="preserve">While the </w:t>
      </w:r>
      <w:r w:rsidR="00AB0E5A" w:rsidRPr="00325183">
        <w:rPr>
          <w:rFonts w:ascii="Garamond" w:hAnsi="Garamond"/>
          <w:sz w:val="24"/>
          <w:szCs w:val="24"/>
        </w:rPr>
        <w:t>new providers</w:t>
      </w:r>
      <w:r w:rsidRPr="00325183">
        <w:rPr>
          <w:rFonts w:ascii="Garamond" w:hAnsi="Garamond"/>
          <w:sz w:val="24"/>
          <w:szCs w:val="24"/>
        </w:rPr>
        <w:t xml:space="preserve"> can increase access</w:t>
      </w:r>
      <w:r w:rsidR="00AB0E5A" w:rsidRPr="00325183">
        <w:rPr>
          <w:rFonts w:ascii="Garamond" w:hAnsi="Garamond"/>
          <w:sz w:val="24"/>
          <w:szCs w:val="24"/>
        </w:rPr>
        <w:t>, usage of the single OR will be strained. An</w:t>
      </w:r>
      <w:r w:rsidR="00D02D92" w:rsidRPr="00325183">
        <w:rPr>
          <w:rFonts w:ascii="Garamond" w:hAnsi="Garamond"/>
          <w:sz w:val="24"/>
          <w:szCs w:val="24"/>
        </w:rPr>
        <w:t xml:space="preserve"> addition</w:t>
      </w:r>
      <w:r w:rsidR="00AB0E5A" w:rsidRPr="00325183">
        <w:rPr>
          <w:rFonts w:ascii="Garamond" w:hAnsi="Garamond"/>
          <w:sz w:val="24"/>
          <w:szCs w:val="24"/>
        </w:rPr>
        <w:t xml:space="preserve">al factor contributing to an increased demand on OR time is the increase in </w:t>
      </w:r>
      <w:r w:rsidR="00D02D92" w:rsidRPr="00325183">
        <w:rPr>
          <w:rFonts w:ascii="Garamond" w:hAnsi="Garamond"/>
          <w:sz w:val="24"/>
          <w:szCs w:val="24"/>
        </w:rPr>
        <w:t xml:space="preserve">cases requiring general anesthesia. To date, </w:t>
      </w:r>
      <w:r w:rsidR="001A2289" w:rsidRPr="00325183">
        <w:rPr>
          <w:rFonts w:ascii="Garamond" w:hAnsi="Garamond"/>
          <w:sz w:val="24"/>
          <w:szCs w:val="24"/>
        </w:rPr>
        <w:t xml:space="preserve">total operative time per procedure increased from 71.01 minutes in 2017 to 76.83 minutes in 2019. </w:t>
      </w:r>
      <w:r w:rsidR="00D02D92" w:rsidRPr="00325183">
        <w:rPr>
          <w:rFonts w:ascii="Garamond" w:hAnsi="Garamond"/>
          <w:sz w:val="24"/>
          <w:szCs w:val="24"/>
        </w:rPr>
        <w:t>The bulk of the procedures pe</w:t>
      </w:r>
      <w:r w:rsidR="00AB0E5A" w:rsidRPr="00325183">
        <w:rPr>
          <w:rFonts w:ascii="Garamond" w:hAnsi="Garamond"/>
          <w:sz w:val="24"/>
          <w:szCs w:val="24"/>
        </w:rPr>
        <w:t>r</w:t>
      </w:r>
      <w:r w:rsidR="00D02D92" w:rsidRPr="00325183">
        <w:rPr>
          <w:rFonts w:ascii="Garamond" w:hAnsi="Garamond"/>
          <w:sz w:val="24"/>
          <w:szCs w:val="24"/>
        </w:rPr>
        <w:t xml:space="preserve">formed by the new surgeons will require anesthesia and will </w:t>
      </w:r>
      <w:r w:rsidR="00AB0E5A" w:rsidRPr="00325183">
        <w:rPr>
          <w:rFonts w:ascii="Garamond" w:hAnsi="Garamond"/>
          <w:sz w:val="24"/>
          <w:szCs w:val="24"/>
        </w:rPr>
        <w:t xml:space="preserve">have more </w:t>
      </w:r>
      <w:r w:rsidR="00D02D92" w:rsidRPr="00325183">
        <w:rPr>
          <w:rFonts w:ascii="Garamond" w:hAnsi="Garamond"/>
          <w:sz w:val="24"/>
          <w:szCs w:val="24"/>
        </w:rPr>
        <w:t xml:space="preserve">impact </w:t>
      </w:r>
      <w:r w:rsidR="00AB0E5A" w:rsidRPr="00325183">
        <w:rPr>
          <w:rFonts w:ascii="Garamond" w:hAnsi="Garamond"/>
          <w:sz w:val="24"/>
          <w:szCs w:val="24"/>
        </w:rPr>
        <w:t xml:space="preserve">on </w:t>
      </w:r>
      <w:r w:rsidR="00D02D92" w:rsidRPr="00325183">
        <w:rPr>
          <w:rFonts w:ascii="Garamond" w:hAnsi="Garamond"/>
          <w:sz w:val="24"/>
          <w:szCs w:val="24"/>
        </w:rPr>
        <w:t>the time per procedure at the facility.</w:t>
      </w:r>
      <w:r w:rsidR="00D02D92" w:rsidRPr="00325183">
        <w:rPr>
          <w:rFonts w:ascii="Garamond" w:hAnsi="Garamond"/>
          <w:color w:val="FF0000"/>
          <w:sz w:val="24"/>
          <w:szCs w:val="24"/>
        </w:rPr>
        <w:t xml:space="preserve"> </w:t>
      </w:r>
      <w:r w:rsidR="00AE3117" w:rsidRPr="00325183">
        <w:rPr>
          <w:rFonts w:ascii="Garamond" w:hAnsi="Garamond"/>
          <w:sz w:val="24"/>
          <w:szCs w:val="24"/>
        </w:rPr>
        <w:t xml:space="preserve">The addition of an OR will simultaneously allow for the </w:t>
      </w:r>
      <w:r w:rsidR="00AB0E5A" w:rsidRPr="00325183">
        <w:rPr>
          <w:rFonts w:ascii="Garamond" w:hAnsi="Garamond"/>
          <w:sz w:val="24"/>
          <w:szCs w:val="24"/>
        </w:rPr>
        <w:t>new</w:t>
      </w:r>
      <w:r w:rsidR="00AE3117" w:rsidRPr="00325183">
        <w:rPr>
          <w:rFonts w:ascii="Garamond" w:hAnsi="Garamond"/>
          <w:sz w:val="24"/>
          <w:szCs w:val="24"/>
        </w:rPr>
        <w:t xml:space="preserve"> providers to schedule more procedures and subsequently decrease wait times for patients,</w:t>
      </w:r>
      <w:r w:rsidR="00325183">
        <w:rPr>
          <w:rFonts w:ascii="Garamond" w:hAnsi="Garamond"/>
          <w:sz w:val="24"/>
          <w:szCs w:val="24"/>
        </w:rPr>
        <w:t xml:space="preserve"> as well as</w:t>
      </w:r>
      <w:r w:rsidR="00AB0E5A" w:rsidRPr="00325183">
        <w:rPr>
          <w:rFonts w:ascii="Garamond" w:hAnsi="Garamond"/>
          <w:sz w:val="24"/>
          <w:szCs w:val="24"/>
        </w:rPr>
        <w:t xml:space="preserve"> </w:t>
      </w:r>
      <w:r w:rsidR="00AE3117" w:rsidRPr="00325183">
        <w:rPr>
          <w:rFonts w:ascii="Garamond" w:hAnsi="Garamond"/>
          <w:sz w:val="24"/>
          <w:szCs w:val="24"/>
        </w:rPr>
        <w:t>accommodate the longer OR times required for procedures involving anesthesia.</w:t>
      </w:r>
      <w:r w:rsidR="00AB0E5A" w:rsidRPr="00325183">
        <w:rPr>
          <w:rFonts w:ascii="Garamond" w:hAnsi="Garamond"/>
          <w:sz w:val="24"/>
          <w:szCs w:val="24"/>
        </w:rPr>
        <w:t xml:space="preserve"> The Applicant described trends in volume and types of cases the surgery center will be seeing </w:t>
      </w:r>
      <w:r w:rsidR="00325183">
        <w:rPr>
          <w:rFonts w:ascii="Garamond" w:hAnsi="Garamond"/>
          <w:sz w:val="24"/>
          <w:szCs w:val="24"/>
        </w:rPr>
        <w:t xml:space="preserve">by specialty </w:t>
      </w:r>
      <w:r w:rsidR="00AB0E5A" w:rsidRPr="00325183">
        <w:rPr>
          <w:rFonts w:ascii="Garamond" w:hAnsi="Garamond"/>
          <w:sz w:val="24"/>
          <w:szCs w:val="24"/>
        </w:rPr>
        <w:t>due to the addition of new surgeons to increase the range of s</w:t>
      </w:r>
      <w:r w:rsidR="00325183">
        <w:rPr>
          <w:rFonts w:ascii="Garamond" w:hAnsi="Garamond"/>
          <w:sz w:val="24"/>
          <w:szCs w:val="24"/>
        </w:rPr>
        <w:t>ervices</w:t>
      </w:r>
      <w:r w:rsidR="00AB0E5A" w:rsidRPr="00325183">
        <w:rPr>
          <w:rFonts w:ascii="Garamond" w:hAnsi="Garamond"/>
          <w:sz w:val="24"/>
          <w:szCs w:val="24"/>
        </w:rPr>
        <w:t xml:space="preserve"> available at the facility</w:t>
      </w:r>
      <w:r w:rsidR="00325183">
        <w:rPr>
          <w:rFonts w:ascii="Garamond" w:hAnsi="Garamond"/>
          <w:sz w:val="24"/>
          <w:szCs w:val="24"/>
        </w:rPr>
        <w:t xml:space="preserve"> </w:t>
      </w:r>
      <w:r w:rsidR="00AB0E5A" w:rsidRPr="00325183">
        <w:rPr>
          <w:rFonts w:ascii="Garamond" w:hAnsi="Garamond"/>
          <w:sz w:val="24"/>
          <w:szCs w:val="24"/>
        </w:rPr>
        <w:t>and reduce wait times for procedures.</w:t>
      </w:r>
    </w:p>
    <w:p w14:paraId="2CD313CF" w14:textId="77777777" w:rsidR="00325183" w:rsidRDefault="00325183" w:rsidP="00325183">
      <w:pPr>
        <w:pStyle w:val="ListParagraph"/>
        <w:spacing w:after="0" w:line="240" w:lineRule="auto"/>
        <w:rPr>
          <w:rFonts w:ascii="Garamond" w:hAnsi="Garamond"/>
          <w:sz w:val="24"/>
          <w:szCs w:val="24"/>
        </w:rPr>
      </w:pPr>
    </w:p>
    <w:p w14:paraId="636B2A04" w14:textId="6681E3C8" w:rsidR="00325183" w:rsidRPr="00325183" w:rsidRDefault="005767E7" w:rsidP="00CA4822">
      <w:pPr>
        <w:pStyle w:val="ListParagraph"/>
        <w:numPr>
          <w:ilvl w:val="0"/>
          <w:numId w:val="17"/>
        </w:numPr>
        <w:spacing w:after="0" w:line="240" w:lineRule="auto"/>
        <w:ind w:left="1224"/>
        <w:rPr>
          <w:rFonts w:ascii="Garamond" w:hAnsi="Garamond" w:cs="Arial"/>
          <w:sz w:val="24"/>
          <w:szCs w:val="24"/>
        </w:rPr>
      </w:pPr>
      <w:bookmarkStart w:id="158" w:name="_Hlk59196891"/>
      <w:r w:rsidRPr="00325183">
        <w:rPr>
          <w:rFonts w:ascii="Garamond" w:hAnsi="Garamond"/>
          <w:sz w:val="24"/>
          <w:szCs w:val="24"/>
        </w:rPr>
        <w:t xml:space="preserve">Orthopedics </w:t>
      </w:r>
      <w:r w:rsidR="00325183" w:rsidRPr="00325183">
        <w:rPr>
          <w:rFonts w:ascii="Garamond" w:hAnsi="Garamond"/>
          <w:sz w:val="24"/>
          <w:szCs w:val="24"/>
        </w:rPr>
        <w:t>–</w:t>
      </w:r>
      <w:r w:rsidRPr="00325183">
        <w:rPr>
          <w:rFonts w:ascii="Garamond" w:hAnsi="Garamond"/>
          <w:sz w:val="24"/>
          <w:szCs w:val="24"/>
        </w:rPr>
        <w:t xml:space="preserve"> </w:t>
      </w:r>
      <w:r w:rsidR="00B505A7" w:rsidRPr="00325183">
        <w:rPr>
          <w:rFonts w:ascii="Garamond" w:hAnsi="Garamond"/>
          <w:sz w:val="24"/>
          <w:szCs w:val="24"/>
        </w:rPr>
        <w:t>T</w:t>
      </w:r>
      <w:r w:rsidR="00BE1D08" w:rsidRPr="00325183">
        <w:rPr>
          <w:rFonts w:ascii="Garamond" w:hAnsi="Garamond"/>
          <w:sz w:val="24"/>
          <w:szCs w:val="24"/>
        </w:rPr>
        <w:t>he</w:t>
      </w:r>
      <w:r w:rsidR="004E18CC" w:rsidRPr="00325183">
        <w:rPr>
          <w:rFonts w:ascii="Garamond" w:hAnsi="Garamond"/>
          <w:sz w:val="24"/>
          <w:szCs w:val="24"/>
        </w:rPr>
        <w:t xml:space="preserve"> majority</w:t>
      </w:r>
      <w:r w:rsidR="00B16824" w:rsidRPr="00325183">
        <w:rPr>
          <w:rFonts w:ascii="Garamond" w:hAnsi="Garamond"/>
          <w:sz w:val="24"/>
          <w:szCs w:val="24"/>
        </w:rPr>
        <w:t xml:space="preserve"> of</w:t>
      </w:r>
      <w:r w:rsidR="00B505A7" w:rsidRPr="00325183">
        <w:rPr>
          <w:rFonts w:ascii="Garamond" w:hAnsi="Garamond"/>
          <w:sz w:val="24"/>
          <w:szCs w:val="24"/>
        </w:rPr>
        <w:t xml:space="preserve"> surgical services provided</w:t>
      </w:r>
      <w:r w:rsidRPr="00325183">
        <w:rPr>
          <w:rFonts w:ascii="Garamond" w:hAnsi="Garamond"/>
          <w:sz w:val="24"/>
          <w:szCs w:val="24"/>
        </w:rPr>
        <w:t xml:space="preserve"> </w:t>
      </w:r>
      <w:r w:rsidR="00B505A7" w:rsidRPr="00325183">
        <w:rPr>
          <w:rFonts w:ascii="Garamond" w:hAnsi="Garamond"/>
          <w:sz w:val="24"/>
          <w:szCs w:val="24"/>
        </w:rPr>
        <w:t>by the orthopedic surgeons</w:t>
      </w:r>
      <w:r w:rsidR="00886F5E" w:rsidRPr="00325183">
        <w:rPr>
          <w:rFonts w:ascii="Garamond" w:hAnsi="Garamond"/>
          <w:sz w:val="24"/>
          <w:szCs w:val="24"/>
        </w:rPr>
        <w:t xml:space="preserve"> </w:t>
      </w:r>
      <w:r w:rsidR="004E18CC" w:rsidRPr="00325183">
        <w:rPr>
          <w:rFonts w:ascii="Garamond" w:hAnsi="Garamond"/>
          <w:sz w:val="24"/>
          <w:szCs w:val="24"/>
        </w:rPr>
        <w:t>requir</w:t>
      </w:r>
      <w:r w:rsidRPr="00325183">
        <w:rPr>
          <w:rFonts w:ascii="Garamond" w:hAnsi="Garamond"/>
          <w:sz w:val="24"/>
          <w:szCs w:val="24"/>
        </w:rPr>
        <w:t>e</w:t>
      </w:r>
      <w:r w:rsidR="004E18CC" w:rsidRPr="00325183">
        <w:rPr>
          <w:rFonts w:ascii="Garamond" w:hAnsi="Garamond"/>
          <w:sz w:val="24"/>
          <w:szCs w:val="24"/>
        </w:rPr>
        <w:t xml:space="preserve"> general anesthesia.</w:t>
      </w:r>
      <w:r w:rsidR="002156DC">
        <w:rPr>
          <w:rStyle w:val="FootnoteReference"/>
          <w:rFonts w:ascii="Garamond" w:hAnsi="Garamond"/>
          <w:sz w:val="24"/>
          <w:szCs w:val="24"/>
        </w:rPr>
        <w:footnoteReference w:id="14"/>
      </w:r>
      <w:r w:rsidR="004E18CC" w:rsidRPr="00325183">
        <w:rPr>
          <w:rFonts w:ascii="Garamond" w:hAnsi="Garamond"/>
          <w:sz w:val="24"/>
          <w:szCs w:val="24"/>
        </w:rPr>
        <w:t xml:space="preserve"> </w:t>
      </w:r>
      <w:r w:rsidR="00171777" w:rsidRPr="00325183">
        <w:rPr>
          <w:rFonts w:ascii="Garamond" w:hAnsi="Garamond"/>
          <w:sz w:val="24"/>
          <w:szCs w:val="24"/>
        </w:rPr>
        <w:t xml:space="preserve">The </w:t>
      </w:r>
      <w:r w:rsidR="0095595E" w:rsidRPr="00325183">
        <w:rPr>
          <w:rFonts w:ascii="Garamond" w:hAnsi="Garamond"/>
          <w:sz w:val="24"/>
          <w:szCs w:val="24"/>
        </w:rPr>
        <w:t xml:space="preserve">surgeons are projected to bring in </w:t>
      </w:r>
      <w:r w:rsidRPr="00325183">
        <w:rPr>
          <w:rFonts w:ascii="Garamond" w:hAnsi="Garamond"/>
          <w:sz w:val="24"/>
          <w:szCs w:val="24"/>
        </w:rPr>
        <w:t xml:space="preserve">an additional </w:t>
      </w:r>
      <w:r w:rsidR="00A52E4E" w:rsidRPr="00325183">
        <w:rPr>
          <w:rFonts w:ascii="Garamond" w:hAnsi="Garamond"/>
          <w:sz w:val="24"/>
          <w:szCs w:val="24"/>
        </w:rPr>
        <w:t>five to ten</w:t>
      </w:r>
      <w:r w:rsidR="0095595E" w:rsidRPr="00325183">
        <w:rPr>
          <w:rFonts w:ascii="Garamond" w:hAnsi="Garamond"/>
          <w:sz w:val="24"/>
          <w:szCs w:val="24"/>
        </w:rPr>
        <w:t xml:space="preserve"> cases per </w:t>
      </w:r>
      <w:r w:rsidR="00483588" w:rsidRPr="00325183">
        <w:rPr>
          <w:rFonts w:ascii="Garamond" w:hAnsi="Garamond"/>
          <w:sz w:val="24"/>
          <w:szCs w:val="24"/>
        </w:rPr>
        <w:t>week</w:t>
      </w:r>
      <w:r w:rsidR="00A52E4E" w:rsidRPr="00325183">
        <w:rPr>
          <w:rFonts w:ascii="Garamond" w:hAnsi="Garamond"/>
          <w:sz w:val="24"/>
          <w:szCs w:val="24"/>
        </w:rPr>
        <w:t xml:space="preserve">. The </w:t>
      </w:r>
      <w:r w:rsidR="00B9593F" w:rsidRPr="00325183">
        <w:rPr>
          <w:rFonts w:ascii="Garamond" w:hAnsi="Garamond"/>
          <w:sz w:val="24"/>
          <w:szCs w:val="24"/>
        </w:rPr>
        <w:t xml:space="preserve">Applicant asserts the additional cases will </w:t>
      </w:r>
      <w:r w:rsidR="0095595E" w:rsidRPr="00325183">
        <w:rPr>
          <w:rFonts w:ascii="Garamond" w:hAnsi="Garamond"/>
          <w:sz w:val="24"/>
          <w:szCs w:val="24"/>
        </w:rPr>
        <w:t>bring t</w:t>
      </w:r>
      <w:r w:rsidR="00171777" w:rsidRPr="00325183">
        <w:rPr>
          <w:rFonts w:ascii="Garamond" w:hAnsi="Garamond"/>
          <w:sz w:val="24"/>
          <w:szCs w:val="24"/>
        </w:rPr>
        <w:t>he</w:t>
      </w:r>
      <w:r w:rsidR="0095595E" w:rsidRPr="00325183">
        <w:rPr>
          <w:rFonts w:ascii="Garamond" w:hAnsi="Garamond"/>
          <w:sz w:val="24"/>
          <w:szCs w:val="24"/>
        </w:rPr>
        <w:t xml:space="preserve"> existing OR to near its maximum capacity resulting in </w:t>
      </w:r>
      <w:r w:rsidR="00AF5499" w:rsidRPr="00325183">
        <w:rPr>
          <w:rFonts w:ascii="Garamond" w:hAnsi="Garamond"/>
          <w:sz w:val="24"/>
          <w:szCs w:val="24"/>
        </w:rPr>
        <w:t xml:space="preserve">a </w:t>
      </w:r>
      <w:r w:rsidR="00B338AA" w:rsidRPr="00325183">
        <w:rPr>
          <w:rFonts w:ascii="Garamond" w:hAnsi="Garamond"/>
          <w:sz w:val="24"/>
          <w:szCs w:val="24"/>
        </w:rPr>
        <w:t xml:space="preserve">shortage of </w:t>
      </w:r>
      <w:r w:rsidR="00C02201">
        <w:rPr>
          <w:rFonts w:ascii="Garamond" w:hAnsi="Garamond"/>
          <w:sz w:val="24"/>
          <w:szCs w:val="24"/>
        </w:rPr>
        <w:t xml:space="preserve">currently </w:t>
      </w:r>
      <w:r w:rsidR="00B338AA" w:rsidRPr="00325183">
        <w:rPr>
          <w:rFonts w:ascii="Garamond" w:hAnsi="Garamond"/>
          <w:sz w:val="24"/>
          <w:szCs w:val="24"/>
        </w:rPr>
        <w:t>available OR time</w:t>
      </w:r>
      <w:r w:rsidR="0048425F" w:rsidRPr="00325183">
        <w:rPr>
          <w:rFonts w:ascii="Garamond" w:hAnsi="Garamond"/>
          <w:sz w:val="24"/>
          <w:szCs w:val="24"/>
        </w:rPr>
        <w:t>.</w:t>
      </w:r>
      <w:r w:rsidR="00D67193">
        <w:rPr>
          <w:rStyle w:val="FootnoteReference"/>
          <w:rFonts w:ascii="Garamond" w:hAnsi="Garamond"/>
          <w:sz w:val="24"/>
          <w:szCs w:val="24"/>
        </w:rPr>
        <w:footnoteReference w:id="15"/>
      </w:r>
      <w:r w:rsidR="001E6B51" w:rsidRPr="00325183">
        <w:rPr>
          <w:rFonts w:ascii="Garamond" w:hAnsi="Garamond"/>
          <w:sz w:val="24"/>
          <w:szCs w:val="24"/>
        </w:rPr>
        <w:t xml:space="preserve"> </w:t>
      </w:r>
    </w:p>
    <w:bookmarkEnd w:id="158"/>
    <w:p w14:paraId="1EB9F3E5" w14:textId="636EFEA7" w:rsidR="00325183" w:rsidRPr="00325183" w:rsidRDefault="005767E7" w:rsidP="00CA4822">
      <w:pPr>
        <w:pStyle w:val="ListParagraph"/>
        <w:numPr>
          <w:ilvl w:val="0"/>
          <w:numId w:val="17"/>
        </w:numPr>
        <w:spacing w:after="0" w:line="240" w:lineRule="auto"/>
        <w:ind w:left="1224"/>
        <w:rPr>
          <w:rFonts w:ascii="Garamond" w:hAnsi="Garamond" w:cs="Arial"/>
          <w:sz w:val="24"/>
          <w:szCs w:val="24"/>
        </w:rPr>
      </w:pPr>
      <w:r w:rsidRPr="00325183">
        <w:rPr>
          <w:rFonts w:ascii="Garamond" w:hAnsi="Garamond"/>
          <w:sz w:val="24"/>
          <w:szCs w:val="24"/>
        </w:rPr>
        <w:t xml:space="preserve">General Surgery </w:t>
      </w:r>
      <w:r w:rsidR="00325183" w:rsidRPr="00325183">
        <w:rPr>
          <w:rFonts w:ascii="Garamond" w:hAnsi="Garamond"/>
          <w:sz w:val="24"/>
          <w:szCs w:val="24"/>
        </w:rPr>
        <w:t>–</w:t>
      </w:r>
      <w:r w:rsidRPr="00325183">
        <w:rPr>
          <w:rFonts w:ascii="Garamond" w:hAnsi="Garamond"/>
          <w:sz w:val="24"/>
          <w:szCs w:val="24"/>
        </w:rPr>
        <w:t xml:space="preserve"> </w:t>
      </w:r>
      <w:r w:rsidR="00C5753D" w:rsidRPr="00325183">
        <w:rPr>
          <w:rFonts w:ascii="Garamond" w:hAnsi="Garamond"/>
          <w:sz w:val="24"/>
          <w:szCs w:val="24"/>
        </w:rPr>
        <w:t xml:space="preserve">The </w:t>
      </w:r>
      <w:r w:rsidRPr="00325183">
        <w:rPr>
          <w:rFonts w:ascii="Garamond" w:hAnsi="Garamond"/>
          <w:sz w:val="24"/>
          <w:szCs w:val="24"/>
        </w:rPr>
        <w:t>ability of</w:t>
      </w:r>
      <w:r w:rsidR="00300C5E" w:rsidRPr="00325183">
        <w:rPr>
          <w:rFonts w:ascii="Garamond" w:hAnsi="Garamond"/>
          <w:sz w:val="24"/>
          <w:szCs w:val="24"/>
        </w:rPr>
        <w:t xml:space="preserve"> general surgeons</w:t>
      </w:r>
      <w:r w:rsidR="00A52E4E" w:rsidRPr="00325183">
        <w:rPr>
          <w:rFonts w:ascii="Garamond" w:hAnsi="Garamond"/>
          <w:sz w:val="24"/>
          <w:szCs w:val="24"/>
        </w:rPr>
        <w:t xml:space="preserve"> </w:t>
      </w:r>
      <w:r w:rsidRPr="00325183">
        <w:rPr>
          <w:rFonts w:ascii="Garamond" w:hAnsi="Garamond"/>
          <w:sz w:val="24"/>
          <w:szCs w:val="24"/>
        </w:rPr>
        <w:t xml:space="preserve">to book additional procedures </w:t>
      </w:r>
      <w:r w:rsidR="004E18CC" w:rsidRPr="00325183">
        <w:rPr>
          <w:rFonts w:ascii="Garamond" w:hAnsi="Garamond"/>
          <w:sz w:val="24"/>
          <w:szCs w:val="24"/>
        </w:rPr>
        <w:t>is dependent upon OR time</w:t>
      </w:r>
      <w:r w:rsidR="00C5753D" w:rsidRPr="00325183">
        <w:rPr>
          <w:rFonts w:ascii="Garamond" w:hAnsi="Garamond"/>
          <w:sz w:val="24"/>
          <w:szCs w:val="24"/>
        </w:rPr>
        <w:t xml:space="preserve"> availability </w:t>
      </w:r>
      <w:r w:rsidRPr="00325183">
        <w:rPr>
          <w:rFonts w:ascii="Garamond" w:hAnsi="Garamond"/>
          <w:sz w:val="24"/>
          <w:szCs w:val="24"/>
        </w:rPr>
        <w:t>for longer periods</w:t>
      </w:r>
      <w:r w:rsidR="00C5753D" w:rsidRPr="00325183">
        <w:rPr>
          <w:rFonts w:ascii="Garamond" w:hAnsi="Garamond"/>
          <w:sz w:val="24"/>
          <w:szCs w:val="24"/>
        </w:rPr>
        <w:t>, with m</w:t>
      </w:r>
      <w:r w:rsidR="004E18CC" w:rsidRPr="00325183">
        <w:rPr>
          <w:rFonts w:ascii="Garamond" w:hAnsi="Garamond"/>
          <w:sz w:val="24"/>
          <w:szCs w:val="24"/>
        </w:rPr>
        <w:t>ost</w:t>
      </w:r>
      <w:r w:rsidRPr="00325183">
        <w:rPr>
          <w:rFonts w:ascii="Garamond" w:hAnsi="Garamond"/>
          <w:sz w:val="24"/>
          <w:szCs w:val="24"/>
        </w:rPr>
        <w:t xml:space="preserve"> cases</w:t>
      </w:r>
      <w:r w:rsidR="00C5753D" w:rsidRPr="00325183">
        <w:rPr>
          <w:rFonts w:ascii="Garamond" w:hAnsi="Garamond"/>
          <w:sz w:val="24"/>
          <w:szCs w:val="24"/>
        </w:rPr>
        <w:t xml:space="preserve"> lasting</w:t>
      </w:r>
      <w:r w:rsidR="004E18CC" w:rsidRPr="00325183">
        <w:rPr>
          <w:rFonts w:ascii="Garamond" w:hAnsi="Garamond"/>
          <w:sz w:val="24"/>
          <w:szCs w:val="24"/>
        </w:rPr>
        <w:t xml:space="preserve"> one hour.</w:t>
      </w:r>
      <w:r w:rsidR="00A52E4E" w:rsidRPr="00300C5E">
        <w:rPr>
          <w:vertAlign w:val="superscript"/>
        </w:rPr>
        <w:footnoteReference w:id="16"/>
      </w:r>
      <w:r w:rsidR="00A52E4E" w:rsidRPr="00325183">
        <w:rPr>
          <w:rFonts w:ascii="Garamond" w:hAnsi="Garamond"/>
          <w:sz w:val="24"/>
          <w:szCs w:val="24"/>
        </w:rPr>
        <w:t xml:space="preserve"> </w:t>
      </w:r>
      <w:r w:rsidR="001E6B51" w:rsidRPr="00325183">
        <w:rPr>
          <w:rFonts w:ascii="Garamond" w:hAnsi="Garamond"/>
          <w:sz w:val="24"/>
          <w:szCs w:val="24"/>
        </w:rPr>
        <w:t>The additional volume from the new surgeons will</w:t>
      </w:r>
      <w:r w:rsidR="00E14CDA" w:rsidRPr="00325183">
        <w:rPr>
          <w:rFonts w:ascii="Garamond" w:hAnsi="Garamond"/>
          <w:sz w:val="24"/>
          <w:szCs w:val="24"/>
        </w:rPr>
        <w:t xml:space="preserve"> place constraints on </w:t>
      </w:r>
      <w:r w:rsidR="00C5753D" w:rsidRPr="00325183">
        <w:rPr>
          <w:rFonts w:ascii="Garamond" w:hAnsi="Garamond"/>
          <w:sz w:val="24"/>
          <w:szCs w:val="24"/>
        </w:rPr>
        <w:t xml:space="preserve">the </w:t>
      </w:r>
      <w:r w:rsidR="00E14CDA" w:rsidRPr="00325183">
        <w:rPr>
          <w:rFonts w:ascii="Garamond" w:hAnsi="Garamond"/>
          <w:sz w:val="24"/>
          <w:szCs w:val="24"/>
        </w:rPr>
        <w:t xml:space="preserve">single </w:t>
      </w:r>
      <w:r w:rsidR="00C5753D" w:rsidRPr="00325183">
        <w:rPr>
          <w:rFonts w:ascii="Garamond" w:hAnsi="Garamond"/>
          <w:sz w:val="24"/>
          <w:szCs w:val="24"/>
        </w:rPr>
        <w:t>OR</w:t>
      </w:r>
      <w:r w:rsidR="00B505A7" w:rsidRPr="00325183">
        <w:rPr>
          <w:rFonts w:ascii="Garamond" w:hAnsi="Garamond"/>
          <w:sz w:val="24"/>
          <w:szCs w:val="24"/>
        </w:rPr>
        <w:t>,</w:t>
      </w:r>
      <w:r w:rsidR="00E14CDA" w:rsidRPr="00325183">
        <w:rPr>
          <w:rFonts w:ascii="Garamond" w:hAnsi="Garamond"/>
          <w:sz w:val="24"/>
          <w:szCs w:val="24"/>
        </w:rPr>
        <w:t xml:space="preserve"> reducing</w:t>
      </w:r>
      <w:r w:rsidR="00B8613C" w:rsidRPr="00325183">
        <w:rPr>
          <w:rFonts w:ascii="Garamond" w:hAnsi="Garamond"/>
          <w:sz w:val="24"/>
          <w:szCs w:val="24"/>
        </w:rPr>
        <w:t xml:space="preserve"> </w:t>
      </w:r>
      <w:r w:rsidR="00E14CDA" w:rsidRPr="00325183">
        <w:rPr>
          <w:rFonts w:ascii="Garamond" w:hAnsi="Garamond"/>
          <w:sz w:val="24"/>
          <w:szCs w:val="24"/>
        </w:rPr>
        <w:t>block time</w:t>
      </w:r>
      <w:r w:rsidR="004E40F1" w:rsidRPr="00325183">
        <w:rPr>
          <w:rFonts w:ascii="Garamond" w:hAnsi="Garamond"/>
          <w:sz w:val="24"/>
          <w:szCs w:val="24"/>
        </w:rPr>
        <w:t xml:space="preserve">. </w:t>
      </w:r>
    </w:p>
    <w:p w14:paraId="0F62C5C8" w14:textId="586E1E56" w:rsidR="00325183" w:rsidRPr="00325183" w:rsidRDefault="005767E7" w:rsidP="00CA4822">
      <w:pPr>
        <w:pStyle w:val="ListParagraph"/>
        <w:numPr>
          <w:ilvl w:val="0"/>
          <w:numId w:val="17"/>
        </w:numPr>
        <w:spacing w:after="0" w:line="240" w:lineRule="auto"/>
        <w:ind w:left="1224"/>
        <w:rPr>
          <w:rFonts w:ascii="Garamond" w:hAnsi="Garamond" w:cs="Arial"/>
          <w:sz w:val="24"/>
          <w:szCs w:val="24"/>
        </w:rPr>
      </w:pPr>
      <w:r w:rsidRPr="00325183">
        <w:rPr>
          <w:rFonts w:ascii="Garamond" w:hAnsi="Garamond"/>
          <w:sz w:val="24"/>
          <w:szCs w:val="24"/>
        </w:rPr>
        <w:t xml:space="preserve">Urology </w:t>
      </w:r>
      <w:r w:rsidR="00325183" w:rsidRPr="00325183">
        <w:rPr>
          <w:rFonts w:ascii="Garamond" w:hAnsi="Garamond"/>
          <w:sz w:val="24"/>
          <w:szCs w:val="24"/>
        </w:rPr>
        <w:t>–</w:t>
      </w:r>
      <w:r w:rsidRPr="00325183">
        <w:rPr>
          <w:rFonts w:ascii="Garamond" w:hAnsi="Garamond"/>
          <w:sz w:val="24"/>
          <w:szCs w:val="24"/>
        </w:rPr>
        <w:t xml:space="preserve"> </w:t>
      </w:r>
      <w:r w:rsidR="002106A3" w:rsidRPr="00325183">
        <w:rPr>
          <w:rFonts w:ascii="Garamond" w:hAnsi="Garamond"/>
          <w:sz w:val="24"/>
          <w:szCs w:val="24"/>
        </w:rPr>
        <w:t>S</w:t>
      </w:r>
      <w:r w:rsidR="00632E38" w:rsidRPr="00325183">
        <w:rPr>
          <w:rFonts w:ascii="Garamond" w:hAnsi="Garamond"/>
          <w:sz w:val="24"/>
          <w:szCs w:val="24"/>
        </w:rPr>
        <w:t xml:space="preserve">ince Application submission, </w:t>
      </w:r>
      <w:r w:rsidR="002106A3" w:rsidRPr="00325183">
        <w:rPr>
          <w:rFonts w:ascii="Garamond" w:hAnsi="Garamond"/>
          <w:sz w:val="24"/>
          <w:szCs w:val="24"/>
        </w:rPr>
        <w:t xml:space="preserve">the </w:t>
      </w:r>
      <w:r w:rsidR="00632E38" w:rsidRPr="00325183">
        <w:rPr>
          <w:rFonts w:ascii="Garamond" w:hAnsi="Garamond"/>
          <w:sz w:val="24"/>
          <w:szCs w:val="24"/>
        </w:rPr>
        <w:t xml:space="preserve">Applicant </w:t>
      </w:r>
      <w:r w:rsidRPr="00325183">
        <w:rPr>
          <w:rFonts w:ascii="Garamond" w:hAnsi="Garamond"/>
          <w:sz w:val="24"/>
          <w:szCs w:val="24"/>
        </w:rPr>
        <w:t xml:space="preserve">has </w:t>
      </w:r>
      <w:r w:rsidR="00632E38" w:rsidRPr="00325183">
        <w:rPr>
          <w:rFonts w:ascii="Garamond" w:hAnsi="Garamond"/>
          <w:sz w:val="24"/>
          <w:szCs w:val="24"/>
        </w:rPr>
        <w:t>credential</w:t>
      </w:r>
      <w:r w:rsidRPr="00325183">
        <w:rPr>
          <w:rFonts w:ascii="Garamond" w:hAnsi="Garamond"/>
          <w:sz w:val="24"/>
          <w:szCs w:val="24"/>
        </w:rPr>
        <w:t>ed</w:t>
      </w:r>
      <w:r w:rsidR="00632E38" w:rsidRPr="00325183">
        <w:rPr>
          <w:rFonts w:ascii="Garamond" w:hAnsi="Garamond"/>
          <w:sz w:val="24"/>
          <w:szCs w:val="24"/>
        </w:rPr>
        <w:t xml:space="preserve"> two </w:t>
      </w:r>
      <w:r w:rsidRPr="00325183">
        <w:rPr>
          <w:rFonts w:ascii="Garamond" w:hAnsi="Garamond"/>
          <w:sz w:val="24"/>
          <w:szCs w:val="24"/>
        </w:rPr>
        <w:t xml:space="preserve">new </w:t>
      </w:r>
      <w:r w:rsidR="00275D5D" w:rsidRPr="00325183">
        <w:rPr>
          <w:rFonts w:ascii="Garamond" w:hAnsi="Garamond"/>
          <w:sz w:val="24"/>
          <w:szCs w:val="24"/>
        </w:rPr>
        <w:t>u</w:t>
      </w:r>
      <w:r w:rsidR="00632E38" w:rsidRPr="00325183">
        <w:rPr>
          <w:rFonts w:ascii="Garamond" w:hAnsi="Garamond"/>
          <w:sz w:val="24"/>
          <w:szCs w:val="24"/>
        </w:rPr>
        <w:t>rologists</w:t>
      </w:r>
      <w:r w:rsidRPr="00325183">
        <w:rPr>
          <w:rFonts w:ascii="Garamond" w:hAnsi="Garamond"/>
          <w:sz w:val="24"/>
          <w:szCs w:val="24"/>
        </w:rPr>
        <w:t>. With these new providers, an additional 20 urology cases, all requiring anesthesia, are being scheduled per month</w:t>
      </w:r>
      <w:r w:rsidR="00632E38" w:rsidRPr="00325183">
        <w:rPr>
          <w:rFonts w:ascii="Garamond" w:hAnsi="Garamond"/>
          <w:sz w:val="24"/>
          <w:szCs w:val="24"/>
        </w:rPr>
        <w:t>.</w:t>
      </w:r>
      <w:r w:rsidR="007A0753">
        <w:rPr>
          <w:rStyle w:val="FootnoteReference"/>
          <w:rFonts w:ascii="Garamond" w:hAnsi="Garamond"/>
          <w:sz w:val="24"/>
          <w:szCs w:val="24"/>
        </w:rPr>
        <w:footnoteReference w:id="17"/>
      </w:r>
      <w:r w:rsidR="007A0753" w:rsidRPr="00325183">
        <w:rPr>
          <w:rFonts w:ascii="Garamond" w:hAnsi="Garamond"/>
          <w:sz w:val="24"/>
          <w:szCs w:val="24"/>
        </w:rPr>
        <w:t xml:space="preserve"> </w:t>
      </w:r>
    </w:p>
    <w:p w14:paraId="73DAD890" w14:textId="0A9BA056" w:rsidR="00C02F5A" w:rsidRPr="00325183" w:rsidRDefault="005767E7" w:rsidP="00CA4822">
      <w:pPr>
        <w:pStyle w:val="ListParagraph"/>
        <w:numPr>
          <w:ilvl w:val="0"/>
          <w:numId w:val="17"/>
        </w:numPr>
        <w:spacing w:after="0" w:line="240" w:lineRule="auto"/>
        <w:ind w:left="1224"/>
        <w:rPr>
          <w:rFonts w:ascii="Garamond" w:hAnsi="Garamond" w:cs="Arial"/>
          <w:sz w:val="24"/>
          <w:szCs w:val="24"/>
        </w:rPr>
      </w:pPr>
      <w:r w:rsidRPr="00325183">
        <w:rPr>
          <w:rFonts w:ascii="Garamond" w:hAnsi="Garamond"/>
          <w:sz w:val="24"/>
          <w:szCs w:val="24"/>
        </w:rPr>
        <w:t xml:space="preserve">Otolaryngology </w:t>
      </w:r>
      <w:r w:rsidR="005870EF" w:rsidRPr="00325183">
        <w:rPr>
          <w:rFonts w:ascii="Garamond" w:hAnsi="Garamond"/>
          <w:sz w:val="24"/>
          <w:szCs w:val="24"/>
        </w:rPr>
        <w:t>–</w:t>
      </w:r>
      <w:r w:rsidRPr="00325183">
        <w:rPr>
          <w:rFonts w:ascii="Garamond" w:hAnsi="Garamond"/>
          <w:sz w:val="24"/>
          <w:szCs w:val="24"/>
        </w:rPr>
        <w:t xml:space="preserve"> </w:t>
      </w:r>
      <w:r w:rsidR="005870EF" w:rsidRPr="00325183">
        <w:rPr>
          <w:rFonts w:ascii="Garamond" w:hAnsi="Garamond"/>
          <w:sz w:val="24"/>
          <w:szCs w:val="24"/>
        </w:rPr>
        <w:t>In 2019,</w:t>
      </w:r>
      <w:r w:rsidR="00B505A7" w:rsidRPr="00325183">
        <w:rPr>
          <w:rFonts w:ascii="Garamond" w:hAnsi="Garamond"/>
          <w:sz w:val="24"/>
          <w:szCs w:val="24"/>
        </w:rPr>
        <w:t xml:space="preserve"> </w:t>
      </w:r>
      <w:r w:rsidR="0020082D" w:rsidRPr="00325183">
        <w:rPr>
          <w:rFonts w:ascii="Garamond" w:hAnsi="Garamond"/>
          <w:sz w:val="24"/>
          <w:szCs w:val="24"/>
        </w:rPr>
        <w:t xml:space="preserve">OR days </w:t>
      </w:r>
      <w:r w:rsidR="00B505A7" w:rsidRPr="00325183">
        <w:rPr>
          <w:rFonts w:ascii="Garamond" w:hAnsi="Garamond"/>
          <w:sz w:val="24"/>
          <w:szCs w:val="24"/>
        </w:rPr>
        <w:t xml:space="preserve">available </w:t>
      </w:r>
      <w:r w:rsidR="0020082D" w:rsidRPr="00325183">
        <w:rPr>
          <w:rFonts w:ascii="Garamond" w:hAnsi="Garamond"/>
          <w:sz w:val="24"/>
          <w:szCs w:val="24"/>
        </w:rPr>
        <w:t>for the four surgeons performing otolaryngology cases were reduced from nine full days</w:t>
      </w:r>
      <w:r w:rsidR="00760FAE" w:rsidRPr="00325183">
        <w:rPr>
          <w:rFonts w:ascii="Garamond" w:hAnsi="Garamond"/>
          <w:sz w:val="24"/>
          <w:szCs w:val="24"/>
        </w:rPr>
        <w:t xml:space="preserve"> per month</w:t>
      </w:r>
      <w:r w:rsidR="0020082D" w:rsidRPr="00325183">
        <w:rPr>
          <w:rFonts w:ascii="Garamond" w:hAnsi="Garamond"/>
          <w:sz w:val="24"/>
          <w:szCs w:val="24"/>
        </w:rPr>
        <w:t xml:space="preserve"> to five days in order to accommodate additional orthopedic and urology cases. The </w:t>
      </w:r>
      <w:r w:rsidR="005870EF" w:rsidRPr="00325183">
        <w:rPr>
          <w:rFonts w:ascii="Garamond" w:hAnsi="Garamond"/>
          <w:sz w:val="24"/>
          <w:szCs w:val="24"/>
        </w:rPr>
        <w:t>A</w:t>
      </w:r>
      <w:r w:rsidR="0020082D" w:rsidRPr="00325183">
        <w:rPr>
          <w:rFonts w:ascii="Garamond" w:hAnsi="Garamond"/>
          <w:sz w:val="24"/>
          <w:szCs w:val="24"/>
        </w:rPr>
        <w:t>pplicant asserts that the addition of the OR would allow for the return to nine full OR days</w:t>
      </w:r>
      <w:r w:rsidR="00C5444D" w:rsidRPr="00325183">
        <w:rPr>
          <w:rFonts w:ascii="Garamond" w:hAnsi="Garamond"/>
          <w:sz w:val="24"/>
          <w:szCs w:val="24"/>
        </w:rPr>
        <w:t xml:space="preserve"> per month</w:t>
      </w:r>
      <w:r w:rsidR="0020082D" w:rsidRPr="00325183">
        <w:rPr>
          <w:rFonts w:ascii="Garamond" w:hAnsi="Garamond"/>
          <w:sz w:val="24"/>
          <w:szCs w:val="24"/>
        </w:rPr>
        <w:t xml:space="preserve"> to accommodate demand.</w:t>
      </w:r>
    </w:p>
    <w:p w14:paraId="3C06AD35" w14:textId="69A3AAA5" w:rsidR="00B82991" w:rsidRDefault="00B82991" w:rsidP="00B82991">
      <w:pPr>
        <w:spacing w:after="0" w:line="240" w:lineRule="auto"/>
        <w:rPr>
          <w:rFonts w:ascii="Garamond" w:hAnsi="Garamond"/>
          <w:sz w:val="24"/>
          <w:szCs w:val="24"/>
        </w:rPr>
      </w:pPr>
    </w:p>
    <w:p w14:paraId="512E31D3" w14:textId="7B70B6C9" w:rsidR="00C52B5A" w:rsidRPr="00C52B5A" w:rsidRDefault="00BD5E91" w:rsidP="00CC0B29">
      <w:pPr>
        <w:pStyle w:val="ListParagraph"/>
        <w:numPr>
          <w:ilvl w:val="0"/>
          <w:numId w:val="5"/>
        </w:numPr>
        <w:spacing w:after="0" w:line="240" w:lineRule="auto"/>
        <w:rPr>
          <w:rFonts w:ascii="Garamond" w:hAnsi="Garamond"/>
          <w:sz w:val="24"/>
          <w:szCs w:val="24"/>
        </w:rPr>
      </w:pPr>
      <w:r>
        <w:rPr>
          <w:rFonts w:ascii="Garamond" w:hAnsi="Garamond"/>
          <w:b/>
          <w:bCs/>
          <w:sz w:val="24"/>
          <w:szCs w:val="24"/>
        </w:rPr>
        <w:t>A</w:t>
      </w:r>
      <w:r w:rsidR="00BE6988" w:rsidRPr="006E3896">
        <w:rPr>
          <w:rFonts w:ascii="Garamond" w:hAnsi="Garamond"/>
          <w:b/>
          <w:bCs/>
          <w:sz w:val="24"/>
          <w:szCs w:val="24"/>
        </w:rPr>
        <w:t>ging population.</w:t>
      </w:r>
      <w:r w:rsidR="00323288" w:rsidRPr="006E3896">
        <w:rPr>
          <w:rFonts w:ascii="Garamond" w:hAnsi="Garamond"/>
          <w:b/>
          <w:bCs/>
          <w:sz w:val="24"/>
          <w:szCs w:val="24"/>
        </w:rPr>
        <w:t xml:space="preserve"> </w:t>
      </w:r>
    </w:p>
    <w:p w14:paraId="454D0461" w14:textId="0EED6B0D" w:rsidR="006F57FC" w:rsidRPr="00C02201" w:rsidRDefault="00A46A7F" w:rsidP="00C02201">
      <w:pPr>
        <w:spacing w:after="0" w:line="240" w:lineRule="auto"/>
        <w:ind w:left="720"/>
        <w:rPr>
          <w:rFonts w:ascii="Garamond" w:hAnsi="Garamond"/>
          <w:sz w:val="24"/>
          <w:szCs w:val="24"/>
        </w:rPr>
      </w:pPr>
      <w:r w:rsidRPr="00C02201">
        <w:rPr>
          <w:rFonts w:ascii="Garamond" w:hAnsi="Garamond"/>
          <w:sz w:val="24"/>
          <w:szCs w:val="24"/>
        </w:rPr>
        <w:t xml:space="preserve">The Applicant asserts an aging population with increasing health needs will contribute to a growing demand for NESC’s services. </w:t>
      </w:r>
      <w:r w:rsidR="0085702B">
        <w:rPr>
          <w:rFonts w:ascii="Garamond" w:hAnsi="Garamond" w:cs="Arial"/>
          <w:bCs/>
          <w:sz w:val="24"/>
          <w:szCs w:val="24"/>
        </w:rPr>
        <w:t>Over 7</w:t>
      </w:r>
      <w:r w:rsidRPr="00C02201">
        <w:rPr>
          <w:rFonts w:ascii="Garamond" w:hAnsi="Garamond" w:cs="Arial"/>
          <w:bCs/>
          <w:sz w:val="24"/>
          <w:szCs w:val="24"/>
        </w:rPr>
        <w:t>5% of the Patient Panel lives in Essex County where the age 65 and older population is expected to increase by 17.2% between 2020 and 2025.</w:t>
      </w:r>
      <w:r>
        <w:rPr>
          <w:rStyle w:val="EndnoteReference"/>
          <w:rFonts w:ascii="Garamond" w:hAnsi="Garamond" w:cs="Arial"/>
          <w:bCs/>
          <w:sz w:val="24"/>
          <w:szCs w:val="24"/>
        </w:rPr>
        <w:endnoteReference w:id="3"/>
      </w:r>
      <w:r w:rsidRPr="00C02201">
        <w:rPr>
          <w:rFonts w:ascii="Garamond" w:hAnsi="Garamond" w:cs="Arial"/>
          <w:bCs/>
          <w:sz w:val="24"/>
          <w:szCs w:val="24"/>
        </w:rPr>
        <w:t xml:space="preserve"> The Applicant not</w:t>
      </w:r>
      <w:r w:rsidR="00C560C2">
        <w:rPr>
          <w:rFonts w:ascii="Garamond" w:hAnsi="Garamond" w:cs="Arial"/>
          <w:bCs/>
          <w:sz w:val="24"/>
          <w:szCs w:val="24"/>
        </w:rPr>
        <w:t>es Medicare patients comprise 39</w:t>
      </w:r>
      <w:r w:rsidRPr="00C02201">
        <w:rPr>
          <w:rFonts w:ascii="Garamond" w:hAnsi="Garamond" w:cs="Arial"/>
          <w:bCs/>
          <w:sz w:val="24"/>
          <w:szCs w:val="24"/>
        </w:rPr>
        <w:t xml:space="preserve">% of NESC’s payer mix. A population </w:t>
      </w:r>
      <w:r w:rsidR="00A92A87" w:rsidRPr="00C02201">
        <w:rPr>
          <w:rFonts w:ascii="Garamond" w:hAnsi="Garamond" w:cs="Arial"/>
          <w:bCs/>
          <w:sz w:val="24"/>
          <w:szCs w:val="24"/>
        </w:rPr>
        <w:t xml:space="preserve">that is growing older </w:t>
      </w:r>
      <w:r w:rsidRPr="00C02201">
        <w:rPr>
          <w:rFonts w:ascii="Garamond" w:hAnsi="Garamond" w:cs="Arial"/>
          <w:bCs/>
          <w:sz w:val="24"/>
          <w:szCs w:val="24"/>
        </w:rPr>
        <w:t>with increased risk for conditions addressed at the Applicant’s facility will increase demand for its outpatient surgical services.</w:t>
      </w:r>
    </w:p>
    <w:p w14:paraId="18F25410" w14:textId="77777777" w:rsidR="005A6060" w:rsidRPr="00A46A7F" w:rsidRDefault="005A6060" w:rsidP="005A6060">
      <w:pPr>
        <w:pStyle w:val="ListParagraph"/>
        <w:spacing w:after="0" w:line="240" w:lineRule="auto"/>
        <w:ind w:left="1080"/>
        <w:rPr>
          <w:rFonts w:ascii="Garamond" w:hAnsi="Garamond"/>
          <w:sz w:val="24"/>
          <w:szCs w:val="24"/>
        </w:rPr>
      </w:pPr>
    </w:p>
    <w:p w14:paraId="7986D27C" w14:textId="591AE272" w:rsidR="001F1694" w:rsidRPr="001F1694" w:rsidRDefault="001F1694" w:rsidP="00A46A7F">
      <w:pPr>
        <w:pStyle w:val="ListParagraph"/>
        <w:numPr>
          <w:ilvl w:val="1"/>
          <w:numId w:val="5"/>
        </w:numPr>
        <w:spacing w:after="0" w:line="240" w:lineRule="auto"/>
        <w:ind w:left="1080"/>
        <w:rPr>
          <w:rFonts w:ascii="Garamond" w:hAnsi="Garamond"/>
          <w:sz w:val="24"/>
          <w:szCs w:val="24"/>
        </w:rPr>
      </w:pPr>
      <w:r w:rsidRPr="00C52B5A">
        <w:rPr>
          <w:rFonts w:ascii="Garamond" w:hAnsi="Garamond" w:cs="Arial"/>
          <w:bCs/>
          <w:sz w:val="24"/>
          <w:szCs w:val="24"/>
        </w:rPr>
        <w:t>The Applicant asserts the above average prevalence of certain age-specific conditions will result in increasing demand for the multi-specialty surgical services offered at NESC.</w:t>
      </w:r>
    </w:p>
    <w:p w14:paraId="465BF9F7" w14:textId="77777777" w:rsidR="001F1694" w:rsidRPr="001F1694" w:rsidRDefault="00A46A7F" w:rsidP="006E55C9">
      <w:pPr>
        <w:pStyle w:val="ListParagraph"/>
        <w:numPr>
          <w:ilvl w:val="2"/>
          <w:numId w:val="5"/>
        </w:numPr>
        <w:spacing w:after="0" w:line="240" w:lineRule="auto"/>
        <w:ind w:left="1447"/>
        <w:rPr>
          <w:rFonts w:ascii="Garamond" w:hAnsi="Garamond"/>
          <w:sz w:val="24"/>
          <w:szCs w:val="24"/>
        </w:rPr>
      </w:pPr>
      <w:r w:rsidRPr="00C52B5A">
        <w:rPr>
          <w:rFonts w:ascii="Garamond" w:hAnsi="Garamond" w:cs="Arial"/>
          <w:bCs/>
          <w:sz w:val="24"/>
          <w:szCs w:val="24"/>
        </w:rPr>
        <w:t xml:space="preserve">The Applicant points to an increase in the prevalence of chronic disease among adults age 65 and older in Essex County from 37% in 2007 to 39% in 2015; and notes </w:t>
      </w:r>
      <w:r>
        <w:rPr>
          <w:rFonts w:ascii="Garamond" w:hAnsi="Garamond" w:cs="Arial"/>
          <w:bCs/>
          <w:sz w:val="24"/>
          <w:szCs w:val="24"/>
        </w:rPr>
        <w:t xml:space="preserve">that </w:t>
      </w:r>
      <w:r w:rsidRPr="00C52B5A">
        <w:rPr>
          <w:rFonts w:ascii="Garamond" w:hAnsi="Garamond" w:cs="Arial"/>
          <w:bCs/>
          <w:sz w:val="24"/>
          <w:szCs w:val="24"/>
        </w:rPr>
        <w:t>the prevalence of chronic disease among this age group in Essex County is higher than peer counties, the state, and the country.</w:t>
      </w:r>
      <w:r>
        <w:rPr>
          <w:rStyle w:val="EndnoteReference"/>
          <w:rFonts w:ascii="Garamond" w:hAnsi="Garamond" w:cs="Arial"/>
          <w:bCs/>
          <w:sz w:val="24"/>
          <w:szCs w:val="24"/>
        </w:rPr>
        <w:endnoteReference w:id="4"/>
      </w:r>
      <w:r w:rsidRPr="00C52B5A">
        <w:rPr>
          <w:rFonts w:ascii="Garamond" w:hAnsi="Garamond" w:cs="Arial"/>
          <w:bCs/>
          <w:sz w:val="24"/>
          <w:szCs w:val="24"/>
        </w:rPr>
        <w:t xml:space="preserve"> </w:t>
      </w:r>
    </w:p>
    <w:p w14:paraId="645E153E" w14:textId="572D3CD2" w:rsidR="00082213" w:rsidRPr="00082213" w:rsidRDefault="001F1694" w:rsidP="006E55C9">
      <w:pPr>
        <w:pStyle w:val="ListParagraph"/>
        <w:numPr>
          <w:ilvl w:val="2"/>
          <w:numId w:val="5"/>
        </w:numPr>
        <w:spacing w:after="0" w:line="240" w:lineRule="auto"/>
        <w:ind w:left="1447"/>
        <w:rPr>
          <w:rFonts w:ascii="Garamond" w:hAnsi="Garamond"/>
          <w:sz w:val="24"/>
          <w:szCs w:val="24"/>
        </w:rPr>
      </w:pPr>
      <w:r>
        <w:rPr>
          <w:rFonts w:ascii="Garamond" w:hAnsi="Garamond" w:cs="Arial"/>
          <w:bCs/>
          <w:sz w:val="24"/>
          <w:szCs w:val="24"/>
        </w:rPr>
        <w:t>T</w:t>
      </w:r>
      <w:r w:rsidR="00A46A7F" w:rsidRPr="00C52B5A">
        <w:rPr>
          <w:rFonts w:ascii="Garamond" w:hAnsi="Garamond" w:cs="Arial"/>
          <w:bCs/>
          <w:sz w:val="24"/>
          <w:szCs w:val="24"/>
        </w:rPr>
        <w:t>he prevalence of obesity in adults in Essex County increased from 19% in 2004 to 25% in 2016.</w:t>
      </w:r>
      <w:r w:rsidR="00A46A7F">
        <w:rPr>
          <w:rStyle w:val="EndnoteReference"/>
          <w:rFonts w:ascii="Garamond" w:hAnsi="Garamond" w:cs="Arial"/>
          <w:bCs/>
          <w:sz w:val="24"/>
          <w:szCs w:val="24"/>
        </w:rPr>
        <w:endnoteReference w:id="5"/>
      </w:r>
      <w:r w:rsidR="00A46A7F" w:rsidRPr="00C52B5A">
        <w:rPr>
          <w:rFonts w:ascii="Garamond" w:hAnsi="Garamond" w:cs="Arial"/>
          <w:bCs/>
          <w:sz w:val="24"/>
          <w:szCs w:val="24"/>
        </w:rPr>
        <w:t xml:space="preserve"> Obesity</w:t>
      </w:r>
      <w:r w:rsidR="009B72ED">
        <w:rPr>
          <w:rFonts w:ascii="Garamond" w:hAnsi="Garamond" w:cs="Arial"/>
          <w:bCs/>
          <w:sz w:val="24"/>
          <w:szCs w:val="24"/>
        </w:rPr>
        <w:t xml:space="preserve"> is correlated with</w:t>
      </w:r>
      <w:r w:rsidR="00A46A7F" w:rsidRPr="00C52B5A">
        <w:rPr>
          <w:rFonts w:ascii="Garamond" w:hAnsi="Garamond" w:cs="Arial"/>
          <w:bCs/>
          <w:sz w:val="24"/>
          <w:szCs w:val="24"/>
        </w:rPr>
        <w:t xml:space="preserve"> a number of health issues, including arthritis and musculoskeletal health issues</w:t>
      </w:r>
      <w:r w:rsidR="009B72ED">
        <w:rPr>
          <w:rFonts w:ascii="Garamond" w:hAnsi="Garamond" w:cs="Arial"/>
          <w:bCs/>
          <w:sz w:val="24"/>
          <w:szCs w:val="24"/>
        </w:rPr>
        <w:t xml:space="preserve"> </w:t>
      </w:r>
      <w:r w:rsidR="00A92A87">
        <w:rPr>
          <w:rFonts w:ascii="Garamond" w:hAnsi="Garamond" w:cs="Arial"/>
          <w:bCs/>
          <w:sz w:val="24"/>
          <w:szCs w:val="24"/>
        </w:rPr>
        <w:t>t</w:t>
      </w:r>
      <w:r w:rsidR="00A46A7F" w:rsidRPr="00C52B5A">
        <w:rPr>
          <w:rFonts w:ascii="Garamond" w:hAnsi="Garamond" w:cs="Arial"/>
          <w:bCs/>
          <w:sz w:val="24"/>
          <w:szCs w:val="24"/>
        </w:rPr>
        <w:t>hat increase the need for surgical services</w:t>
      </w:r>
      <w:r w:rsidR="00A92A87">
        <w:rPr>
          <w:rFonts w:ascii="Garamond" w:hAnsi="Garamond" w:cs="Arial"/>
          <w:bCs/>
          <w:sz w:val="24"/>
          <w:szCs w:val="24"/>
        </w:rPr>
        <w:t>, and is</w:t>
      </w:r>
      <w:r w:rsidR="00A92A87" w:rsidRPr="00C52B5A">
        <w:rPr>
          <w:rFonts w:ascii="Garamond" w:hAnsi="Garamond" w:cs="Arial"/>
          <w:bCs/>
          <w:sz w:val="24"/>
          <w:szCs w:val="24"/>
        </w:rPr>
        <w:t xml:space="preserve"> a common condition among patients with orthopedic conditions</w:t>
      </w:r>
      <w:r w:rsidR="00A46A7F" w:rsidRPr="00C52B5A">
        <w:rPr>
          <w:rFonts w:ascii="Garamond" w:hAnsi="Garamond" w:cs="Arial"/>
          <w:bCs/>
          <w:sz w:val="24"/>
          <w:szCs w:val="24"/>
        </w:rPr>
        <w:t>.</w:t>
      </w:r>
      <w:r w:rsidR="00A46A7F" w:rsidRPr="006F57FC">
        <w:rPr>
          <w:rFonts w:ascii="Garamond" w:hAnsi="Garamond" w:cs="Arial"/>
          <w:bCs/>
          <w:sz w:val="24"/>
          <w:szCs w:val="24"/>
        </w:rPr>
        <w:t xml:space="preserve"> </w:t>
      </w:r>
      <w:r w:rsidR="00A46A7F" w:rsidRPr="00C52B5A">
        <w:rPr>
          <w:rFonts w:ascii="Garamond" w:hAnsi="Garamond" w:cs="Arial"/>
          <w:bCs/>
          <w:sz w:val="24"/>
          <w:szCs w:val="24"/>
        </w:rPr>
        <w:t xml:space="preserve">The Applicant </w:t>
      </w:r>
      <w:r w:rsidR="00082213">
        <w:rPr>
          <w:rFonts w:ascii="Garamond" w:hAnsi="Garamond" w:cs="Arial"/>
          <w:bCs/>
          <w:sz w:val="24"/>
          <w:szCs w:val="24"/>
        </w:rPr>
        <w:t>highlighted</w:t>
      </w:r>
      <w:r w:rsidR="00A46A7F">
        <w:rPr>
          <w:rFonts w:ascii="Garamond" w:hAnsi="Garamond" w:cs="Arial"/>
          <w:bCs/>
          <w:sz w:val="24"/>
          <w:szCs w:val="24"/>
        </w:rPr>
        <w:t xml:space="preserve"> specific conditions and surgical needs more prev</w:t>
      </w:r>
      <w:r w:rsidR="006C21B8">
        <w:rPr>
          <w:rFonts w:ascii="Garamond" w:hAnsi="Garamond" w:cs="Arial"/>
          <w:bCs/>
          <w:sz w:val="24"/>
          <w:szCs w:val="24"/>
        </w:rPr>
        <w:t>a</w:t>
      </w:r>
      <w:r w:rsidR="00A46A7F">
        <w:rPr>
          <w:rFonts w:ascii="Garamond" w:hAnsi="Garamond" w:cs="Arial"/>
          <w:bCs/>
          <w:sz w:val="24"/>
          <w:szCs w:val="24"/>
        </w:rPr>
        <w:t>l</w:t>
      </w:r>
      <w:r w:rsidR="006C21B8">
        <w:rPr>
          <w:rFonts w:ascii="Garamond" w:hAnsi="Garamond" w:cs="Arial"/>
          <w:bCs/>
          <w:sz w:val="24"/>
          <w:szCs w:val="24"/>
        </w:rPr>
        <w:t>e</w:t>
      </w:r>
      <w:r w:rsidR="00A46A7F">
        <w:rPr>
          <w:rFonts w:ascii="Garamond" w:hAnsi="Garamond" w:cs="Arial"/>
          <w:bCs/>
          <w:sz w:val="24"/>
          <w:szCs w:val="24"/>
        </w:rPr>
        <w:t xml:space="preserve">nt among obese patients including </w:t>
      </w:r>
      <w:r w:rsidR="00A46A7F" w:rsidRPr="00C52B5A">
        <w:rPr>
          <w:rFonts w:ascii="Garamond" w:hAnsi="Garamond" w:cs="Arial"/>
          <w:bCs/>
          <w:sz w:val="24"/>
          <w:szCs w:val="24"/>
        </w:rPr>
        <w:t>knee replacement</w:t>
      </w:r>
      <w:r w:rsidR="009B72ED">
        <w:rPr>
          <w:rFonts w:ascii="Garamond" w:hAnsi="Garamond" w:cs="Arial"/>
          <w:bCs/>
          <w:sz w:val="24"/>
          <w:szCs w:val="24"/>
        </w:rPr>
        <w:t>,</w:t>
      </w:r>
      <w:r w:rsidR="00A46A7F">
        <w:rPr>
          <w:rStyle w:val="EndnoteReference"/>
          <w:rFonts w:ascii="Garamond" w:hAnsi="Garamond" w:cs="Arial"/>
          <w:bCs/>
          <w:sz w:val="24"/>
          <w:szCs w:val="24"/>
        </w:rPr>
        <w:endnoteReference w:id="6"/>
      </w:r>
      <w:r w:rsidR="00A46A7F" w:rsidRPr="00C52B5A">
        <w:rPr>
          <w:rFonts w:ascii="Garamond" w:hAnsi="Garamond" w:cs="Arial"/>
          <w:bCs/>
          <w:sz w:val="24"/>
          <w:szCs w:val="24"/>
        </w:rPr>
        <w:t xml:space="preserve"> </w:t>
      </w:r>
      <w:r w:rsidR="00A46A7F">
        <w:rPr>
          <w:rFonts w:ascii="Garamond" w:hAnsi="Garamond" w:cs="Arial"/>
          <w:bCs/>
          <w:sz w:val="24"/>
          <w:szCs w:val="24"/>
        </w:rPr>
        <w:t xml:space="preserve">and a </w:t>
      </w:r>
      <w:r w:rsidR="00A46A7F" w:rsidRPr="00C52B5A">
        <w:rPr>
          <w:rFonts w:ascii="Garamond" w:hAnsi="Garamond" w:cs="Arial"/>
          <w:bCs/>
          <w:sz w:val="24"/>
          <w:szCs w:val="24"/>
        </w:rPr>
        <w:t>higher risk of developing kidney stones.</w:t>
      </w:r>
      <w:r w:rsidR="00A46A7F">
        <w:rPr>
          <w:rStyle w:val="EndnoteReference"/>
          <w:rFonts w:ascii="Garamond" w:hAnsi="Garamond" w:cs="Arial"/>
          <w:bCs/>
          <w:sz w:val="24"/>
          <w:szCs w:val="24"/>
        </w:rPr>
        <w:endnoteReference w:id="7"/>
      </w:r>
      <w:r w:rsidR="00A46A7F" w:rsidRPr="00C52B5A">
        <w:rPr>
          <w:rFonts w:ascii="Garamond" w:hAnsi="Garamond" w:cs="Arial"/>
          <w:bCs/>
          <w:sz w:val="24"/>
          <w:szCs w:val="24"/>
        </w:rPr>
        <w:t xml:space="preserve"> </w:t>
      </w:r>
    </w:p>
    <w:p w14:paraId="2BCB3868" w14:textId="08FE1486" w:rsidR="00C52B5A" w:rsidRPr="005A6060" w:rsidRDefault="009B72ED" w:rsidP="006E55C9">
      <w:pPr>
        <w:pStyle w:val="ListParagraph"/>
        <w:numPr>
          <w:ilvl w:val="2"/>
          <w:numId w:val="5"/>
        </w:numPr>
        <w:spacing w:after="0" w:line="240" w:lineRule="auto"/>
        <w:ind w:left="1447"/>
        <w:rPr>
          <w:rFonts w:ascii="Garamond" w:hAnsi="Garamond"/>
          <w:sz w:val="24"/>
          <w:szCs w:val="24"/>
        </w:rPr>
      </w:pPr>
      <w:r>
        <w:rPr>
          <w:rFonts w:ascii="Garamond" w:hAnsi="Garamond" w:cs="Arial"/>
          <w:bCs/>
          <w:sz w:val="24"/>
          <w:szCs w:val="24"/>
        </w:rPr>
        <w:t>The Applicant c</w:t>
      </w:r>
      <w:r w:rsidR="00A46A7F" w:rsidRPr="00C52B5A">
        <w:rPr>
          <w:rFonts w:ascii="Garamond" w:hAnsi="Garamond" w:cs="Arial"/>
          <w:bCs/>
          <w:sz w:val="24"/>
          <w:szCs w:val="24"/>
        </w:rPr>
        <w:t>ited studies documenting a higher prevalence of arthritis and conditions</w:t>
      </w:r>
      <w:r w:rsidR="00A46A7F" w:rsidRPr="007125EE">
        <w:t xml:space="preserve"> </w:t>
      </w:r>
      <w:r w:rsidR="00A46A7F" w:rsidRPr="00C52B5A">
        <w:rPr>
          <w:rFonts w:ascii="Garamond" w:hAnsi="Garamond" w:cs="Arial"/>
          <w:bCs/>
          <w:sz w:val="24"/>
          <w:szCs w:val="24"/>
        </w:rPr>
        <w:t>like lumbar spinal stenosis (LSS) and sacroiliac joint (SJ) pathologies in the age 65 and older population.</w:t>
      </w:r>
      <w:r w:rsidR="00A46A7F">
        <w:rPr>
          <w:rStyle w:val="EndnoteReference"/>
          <w:rFonts w:ascii="Garamond" w:hAnsi="Garamond" w:cs="Arial"/>
          <w:bCs/>
          <w:sz w:val="24"/>
          <w:szCs w:val="24"/>
        </w:rPr>
        <w:endnoteReference w:id="8"/>
      </w:r>
      <w:r w:rsidR="00A46A7F" w:rsidRPr="00C52B5A">
        <w:rPr>
          <w:rFonts w:ascii="Garamond" w:hAnsi="Garamond" w:cs="Arial"/>
          <w:bCs/>
          <w:sz w:val="24"/>
          <w:szCs w:val="24"/>
        </w:rPr>
        <w:t xml:space="preserve"> Arthritis, the risk of which increases with age, is a leading cause of pain and disability.</w:t>
      </w:r>
      <w:r w:rsidR="00A46A7F" w:rsidRPr="008A2895">
        <w:rPr>
          <w:vertAlign w:val="superscript"/>
        </w:rPr>
        <w:endnoteReference w:id="9"/>
      </w:r>
      <w:r w:rsidR="00A46A7F" w:rsidRPr="00C52B5A">
        <w:rPr>
          <w:rFonts w:ascii="Garamond" w:hAnsi="Garamond" w:cs="Arial"/>
          <w:bCs/>
          <w:sz w:val="24"/>
          <w:szCs w:val="24"/>
          <w:vertAlign w:val="superscript"/>
        </w:rPr>
        <w:t>,</w:t>
      </w:r>
      <w:r w:rsidR="00A46A7F" w:rsidRPr="008A2895">
        <w:rPr>
          <w:vertAlign w:val="superscript"/>
        </w:rPr>
        <w:endnoteReference w:id="10"/>
      </w:r>
    </w:p>
    <w:p w14:paraId="05F74545" w14:textId="77777777" w:rsidR="005A6060" w:rsidRPr="00A46A7F" w:rsidRDefault="005A6060" w:rsidP="005A6060">
      <w:pPr>
        <w:pStyle w:val="ListParagraph"/>
        <w:spacing w:after="0" w:line="240" w:lineRule="auto"/>
        <w:ind w:left="1447"/>
        <w:rPr>
          <w:rFonts w:ascii="Garamond" w:hAnsi="Garamond"/>
          <w:sz w:val="24"/>
          <w:szCs w:val="24"/>
        </w:rPr>
      </w:pPr>
    </w:p>
    <w:p w14:paraId="338419C8" w14:textId="74483C80" w:rsidR="0093324B" w:rsidRPr="00C52B5A" w:rsidRDefault="00F3339A" w:rsidP="00264E5C">
      <w:pPr>
        <w:pStyle w:val="ListParagraph"/>
        <w:numPr>
          <w:ilvl w:val="1"/>
          <w:numId w:val="5"/>
        </w:numPr>
        <w:spacing w:after="0" w:line="240" w:lineRule="auto"/>
        <w:ind w:left="1080"/>
        <w:rPr>
          <w:rFonts w:ascii="Garamond" w:hAnsi="Garamond"/>
          <w:sz w:val="24"/>
          <w:szCs w:val="24"/>
        </w:rPr>
      </w:pPr>
      <w:r w:rsidRPr="00C52B5A">
        <w:rPr>
          <w:rFonts w:ascii="Garamond" w:hAnsi="Garamond" w:cs="Arial"/>
          <w:bCs/>
          <w:sz w:val="24"/>
          <w:szCs w:val="24"/>
        </w:rPr>
        <w:t xml:space="preserve">The Applicant </w:t>
      </w:r>
      <w:r w:rsidR="001F1694">
        <w:rPr>
          <w:rFonts w:ascii="Garamond" w:hAnsi="Garamond" w:cs="Arial"/>
          <w:bCs/>
          <w:sz w:val="24"/>
          <w:szCs w:val="24"/>
        </w:rPr>
        <w:t>refer</w:t>
      </w:r>
      <w:r w:rsidR="009B72ED">
        <w:rPr>
          <w:rFonts w:ascii="Garamond" w:hAnsi="Garamond" w:cs="Arial"/>
          <w:bCs/>
          <w:sz w:val="24"/>
          <w:szCs w:val="24"/>
        </w:rPr>
        <w:t>e</w:t>
      </w:r>
      <w:r w:rsidR="001F1694">
        <w:rPr>
          <w:rFonts w:ascii="Garamond" w:hAnsi="Garamond" w:cs="Arial"/>
          <w:bCs/>
          <w:sz w:val="24"/>
          <w:szCs w:val="24"/>
        </w:rPr>
        <w:t>nced</w:t>
      </w:r>
      <w:r w:rsidR="001F1694" w:rsidRPr="00C52B5A">
        <w:rPr>
          <w:rFonts w:ascii="Garamond" w:hAnsi="Garamond" w:cs="Arial"/>
          <w:bCs/>
          <w:sz w:val="24"/>
          <w:szCs w:val="24"/>
        </w:rPr>
        <w:t xml:space="preserve"> </w:t>
      </w:r>
      <w:r w:rsidR="00790056">
        <w:rPr>
          <w:rFonts w:ascii="Garamond" w:hAnsi="Garamond" w:cs="Arial"/>
          <w:bCs/>
          <w:sz w:val="24"/>
          <w:szCs w:val="24"/>
        </w:rPr>
        <w:t>a study</w:t>
      </w:r>
      <w:r w:rsidR="00790056" w:rsidRPr="00C52B5A">
        <w:rPr>
          <w:rFonts w:ascii="Garamond" w:hAnsi="Garamond" w:cs="Arial"/>
          <w:bCs/>
          <w:sz w:val="24"/>
          <w:szCs w:val="24"/>
        </w:rPr>
        <w:t xml:space="preserve"> </w:t>
      </w:r>
      <w:r w:rsidR="00327EB8" w:rsidRPr="00C52B5A">
        <w:rPr>
          <w:rFonts w:ascii="Garamond" w:hAnsi="Garamond" w:cs="Arial"/>
          <w:bCs/>
          <w:sz w:val="24"/>
          <w:szCs w:val="24"/>
        </w:rPr>
        <w:t>show</w:t>
      </w:r>
      <w:r w:rsidRPr="00C52B5A">
        <w:rPr>
          <w:rFonts w:ascii="Garamond" w:hAnsi="Garamond" w:cs="Arial"/>
          <w:bCs/>
          <w:sz w:val="24"/>
          <w:szCs w:val="24"/>
        </w:rPr>
        <w:t>ing</w:t>
      </w:r>
      <w:r w:rsidR="00327EB8" w:rsidRPr="00C52B5A">
        <w:rPr>
          <w:rFonts w:ascii="Garamond" w:hAnsi="Garamond" w:cs="Arial"/>
          <w:bCs/>
          <w:sz w:val="24"/>
          <w:szCs w:val="24"/>
        </w:rPr>
        <w:t xml:space="preserve"> </w:t>
      </w:r>
      <w:r w:rsidR="0053211E" w:rsidRPr="00C52B5A">
        <w:rPr>
          <w:rFonts w:ascii="Garamond" w:hAnsi="Garamond" w:cs="Arial"/>
          <w:bCs/>
          <w:sz w:val="24"/>
          <w:szCs w:val="24"/>
        </w:rPr>
        <w:t>personal healthcare spending</w:t>
      </w:r>
      <w:r w:rsidR="00746FD2">
        <w:rPr>
          <w:rStyle w:val="FootnoteReference"/>
          <w:rFonts w:ascii="Garamond" w:hAnsi="Garamond" w:cs="Arial"/>
          <w:bCs/>
          <w:sz w:val="24"/>
          <w:szCs w:val="24"/>
        </w:rPr>
        <w:footnoteReference w:id="18"/>
      </w:r>
      <w:r w:rsidR="0053211E" w:rsidRPr="00C52B5A">
        <w:rPr>
          <w:rFonts w:ascii="Garamond" w:hAnsi="Garamond" w:cs="Arial"/>
          <w:bCs/>
          <w:sz w:val="24"/>
          <w:szCs w:val="24"/>
        </w:rPr>
        <w:t xml:space="preserve"> varies by age </w:t>
      </w:r>
      <w:r w:rsidR="0059498A" w:rsidRPr="00C52B5A">
        <w:rPr>
          <w:rFonts w:ascii="Garamond" w:hAnsi="Garamond" w:cs="Arial"/>
          <w:bCs/>
          <w:sz w:val="24"/>
          <w:szCs w:val="24"/>
        </w:rPr>
        <w:t xml:space="preserve">with higher spending </w:t>
      </w:r>
      <w:r w:rsidR="00327EB8" w:rsidRPr="00C52B5A">
        <w:rPr>
          <w:rFonts w:ascii="Garamond" w:hAnsi="Garamond" w:cs="Arial"/>
          <w:bCs/>
          <w:sz w:val="24"/>
          <w:szCs w:val="24"/>
        </w:rPr>
        <w:t xml:space="preserve">occurring </w:t>
      </w:r>
      <w:r w:rsidR="0059498A" w:rsidRPr="00C52B5A">
        <w:rPr>
          <w:rFonts w:ascii="Garamond" w:hAnsi="Garamond" w:cs="Arial"/>
          <w:bCs/>
          <w:sz w:val="24"/>
          <w:szCs w:val="24"/>
        </w:rPr>
        <w:t>in</w:t>
      </w:r>
      <w:r w:rsidR="0053211E" w:rsidRPr="00C52B5A">
        <w:rPr>
          <w:rFonts w:ascii="Garamond" w:hAnsi="Garamond" w:cs="Arial"/>
          <w:bCs/>
          <w:sz w:val="24"/>
          <w:szCs w:val="24"/>
        </w:rPr>
        <w:t xml:space="preserve"> </w:t>
      </w:r>
      <w:r w:rsidR="009B6FD0" w:rsidRPr="00C52B5A">
        <w:rPr>
          <w:rFonts w:ascii="Garamond" w:hAnsi="Garamond" w:cs="Arial"/>
          <w:bCs/>
          <w:sz w:val="24"/>
          <w:szCs w:val="24"/>
        </w:rPr>
        <w:t>th</w:t>
      </w:r>
      <w:r w:rsidR="0053211E" w:rsidRPr="00C52B5A">
        <w:rPr>
          <w:rFonts w:ascii="Garamond" w:hAnsi="Garamond" w:cs="Arial"/>
          <w:bCs/>
          <w:sz w:val="24"/>
          <w:szCs w:val="24"/>
        </w:rPr>
        <w:t>e</w:t>
      </w:r>
      <w:r w:rsidR="009B6FD0" w:rsidRPr="00C52B5A">
        <w:rPr>
          <w:rFonts w:ascii="Garamond" w:hAnsi="Garamond" w:cs="Arial"/>
          <w:bCs/>
          <w:sz w:val="24"/>
          <w:szCs w:val="24"/>
        </w:rPr>
        <w:t xml:space="preserve"> age </w:t>
      </w:r>
      <w:r w:rsidR="0053211E" w:rsidRPr="00C52B5A">
        <w:rPr>
          <w:rFonts w:ascii="Garamond" w:hAnsi="Garamond" w:cs="Arial"/>
          <w:bCs/>
          <w:sz w:val="24"/>
          <w:szCs w:val="24"/>
        </w:rPr>
        <w:t xml:space="preserve">65 and older </w:t>
      </w:r>
      <w:r w:rsidR="009B6FD0" w:rsidRPr="00C52B5A">
        <w:rPr>
          <w:rFonts w:ascii="Garamond" w:hAnsi="Garamond" w:cs="Arial"/>
          <w:bCs/>
          <w:sz w:val="24"/>
          <w:szCs w:val="24"/>
        </w:rPr>
        <w:t>segment</w:t>
      </w:r>
      <w:r w:rsidR="0053211E" w:rsidRPr="00C52B5A">
        <w:rPr>
          <w:rFonts w:ascii="Garamond" w:hAnsi="Garamond" w:cs="Arial"/>
          <w:bCs/>
          <w:sz w:val="24"/>
          <w:szCs w:val="24"/>
        </w:rPr>
        <w:t xml:space="preserve"> of the population</w:t>
      </w:r>
      <w:r w:rsidR="009B6FD0" w:rsidRPr="00C52B5A">
        <w:rPr>
          <w:rFonts w:ascii="Garamond" w:hAnsi="Garamond" w:cs="Arial"/>
          <w:bCs/>
          <w:sz w:val="24"/>
          <w:szCs w:val="24"/>
        </w:rPr>
        <w:t>.</w:t>
      </w:r>
      <w:r w:rsidR="001C1271">
        <w:rPr>
          <w:rStyle w:val="EndnoteReference"/>
          <w:rFonts w:ascii="Garamond" w:hAnsi="Garamond" w:cs="Arial"/>
          <w:bCs/>
          <w:sz w:val="24"/>
          <w:szCs w:val="24"/>
        </w:rPr>
        <w:endnoteReference w:id="11"/>
      </w:r>
      <w:r w:rsidR="00DD60DD" w:rsidRPr="00C52B5A">
        <w:rPr>
          <w:rFonts w:ascii="Garamond" w:hAnsi="Garamond" w:cs="Arial"/>
          <w:bCs/>
          <w:sz w:val="24"/>
          <w:szCs w:val="24"/>
          <w:vertAlign w:val="superscript"/>
        </w:rPr>
        <w:t>,</w:t>
      </w:r>
      <w:r w:rsidR="008257A8">
        <w:rPr>
          <w:rStyle w:val="EndnoteReference"/>
          <w:rFonts w:ascii="Garamond" w:hAnsi="Garamond" w:cs="Arial"/>
          <w:bCs/>
          <w:sz w:val="24"/>
          <w:szCs w:val="24"/>
        </w:rPr>
        <w:endnoteReference w:id="12"/>
      </w:r>
      <w:r w:rsidR="009B6FD0" w:rsidRPr="00C52B5A">
        <w:rPr>
          <w:rFonts w:ascii="Garamond" w:hAnsi="Garamond" w:cs="Arial"/>
          <w:bCs/>
          <w:sz w:val="24"/>
          <w:szCs w:val="24"/>
        </w:rPr>
        <w:t xml:space="preserve"> </w:t>
      </w:r>
      <w:r w:rsidR="00637556" w:rsidRPr="00C52B5A">
        <w:rPr>
          <w:rFonts w:ascii="Garamond" w:hAnsi="Garamond" w:cs="Arial"/>
          <w:bCs/>
          <w:sz w:val="24"/>
          <w:szCs w:val="24"/>
        </w:rPr>
        <w:t xml:space="preserve">The Applicant </w:t>
      </w:r>
      <w:r w:rsidR="007744B6" w:rsidRPr="00C52B5A">
        <w:rPr>
          <w:rFonts w:ascii="Garamond" w:hAnsi="Garamond" w:cs="Arial"/>
          <w:bCs/>
          <w:sz w:val="24"/>
          <w:szCs w:val="24"/>
        </w:rPr>
        <w:t xml:space="preserve">also </w:t>
      </w:r>
      <w:r w:rsidR="00637556" w:rsidRPr="00C52B5A">
        <w:rPr>
          <w:rFonts w:ascii="Garamond" w:hAnsi="Garamond" w:cs="Arial"/>
          <w:bCs/>
          <w:sz w:val="24"/>
          <w:szCs w:val="24"/>
        </w:rPr>
        <w:t>argues the most commonly utilized surgical services by the age 65 and older population (</w:t>
      </w:r>
      <w:r w:rsidR="008B0CA1" w:rsidRPr="00C52B5A">
        <w:rPr>
          <w:rFonts w:ascii="Garamond" w:hAnsi="Garamond" w:cs="Arial"/>
          <w:bCs/>
          <w:sz w:val="24"/>
          <w:szCs w:val="24"/>
        </w:rPr>
        <w:t>urological, orthopedic, and ophthalmologic surgical services</w:t>
      </w:r>
      <w:r w:rsidR="00637556" w:rsidRPr="00C52B5A">
        <w:rPr>
          <w:rFonts w:ascii="Garamond" w:hAnsi="Garamond" w:cs="Arial"/>
          <w:bCs/>
          <w:sz w:val="24"/>
          <w:szCs w:val="24"/>
        </w:rPr>
        <w:t>) are</w:t>
      </w:r>
      <w:r w:rsidR="008B0CA1" w:rsidRPr="00C52B5A">
        <w:rPr>
          <w:rFonts w:ascii="Garamond" w:hAnsi="Garamond" w:cs="Arial"/>
          <w:bCs/>
          <w:sz w:val="24"/>
          <w:szCs w:val="24"/>
        </w:rPr>
        <w:t xml:space="preserve"> the primary surgical services performed at NES</w:t>
      </w:r>
      <w:r w:rsidR="00D239A4" w:rsidRPr="00C52B5A">
        <w:rPr>
          <w:rFonts w:ascii="Garamond" w:hAnsi="Garamond" w:cs="Arial"/>
          <w:bCs/>
          <w:sz w:val="24"/>
          <w:szCs w:val="24"/>
        </w:rPr>
        <w:t>C</w:t>
      </w:r>
      <w:r w:rsidR="00637556" w:rsidRPr="00C52B5A">
        <w:rPr>
          <w:rFonts w:ascii="Garamond" w:hAnsi="Garamond" w:cs="Arial"/>
          <w:bCs/>
          <w:sz w:val="24"/>
          <w:szCs w:val="24"/>
        </w:rPr>
        <w:t>,</w:t>
      </w:r>
      <w:r w:rsidR="00637556" w:rsidRPr="00637556">
        <w:t xml:space="preserve"> </w:t>
      </w:r>
      <w:r w:rsidR="00637556" w:rsidRPr="00C52B5A">
        <w:rPr>
          <w:rFonts w:ascii="Garamond" w:hAnsi="Garamond" w:cs="Arial"/>
          <w:bCs/>
          <w:sz w:val="24"/>
          <w:szCs w:val="24"/>
        </w:rPr>
        <w:t xml:space="preserve">and </w:t>
      </w:r>
      <w:r w:rsidR="00D239A4" w:rsidRPr="00C52B5A">
        <w:rPr>
          <w:rFonts w:ascii="Garamond" w:hAnsi="Garamond" w:cs="Arial"/>
          <w:bCs/>
          <w:sz w:val="24"/>
          <w:szCs w:val="24"/>
        </w:rPr>
        <w:t xml:space="preserve">that </w:t>
      </w:r>
      <w:r w:rsidR="00637556" w:rsidRPr="00C52B5A">
        <w:rPr>
          <w:rFonts w:ascii="Garamond" w:hAnsi="Garamond" w:cs="Arial"/>
          <w:bCs/>
          <w:sz w:val="24"/>
          <w:szCs w:val="24"/>
        </w:rPr>
        <w:t>demand for these services is expected to increase as the age 65 and older populations grows</w:t>
      </w:r>
      <w:r w:rsidR="008B0CA1" w:rsidRPr="00C52B5A">
        <w:rPr>
          <w:rFonts w:ascii="Garamond" w:hAnsi="Garamond" w:cs="Arial"/>
          <w:bCs/>
          <w:sz w:val="24"/>
          <w:szCs w:val="24"/>
        </w:rPr>
        <w:t>.</w:t>
      </w:r>
      <w:r w:rsidR="00FD333B">
        <w:rPr>
          <w:rStyle w:val="EndnoteReference"/>
          <w:rFonts w:ascii="Garamond" w:hAnsi="Garamond" w:cs="Arial"/>
          <w:bCs/>
          <w:sz w:val="24"/>
          <w:szCs w:val="24"/>
        </w:rPr>
        <w:endnoteReference w:id="13"/>
      </w:r>
      <w:r w:rsidR="00AE26AA">
        <w:rPr>
          <w:rFonts w:ascii="Garamond" w:hAnsi="Garamond" w:cs="Arial"/>
          <w:bCs/>
          <w:sz w:val="24"/>
          <w:szCs w:val="24"/>
        </w:rPr>
        <w:t xml:space="preserve"> The Applicant </w:t>
      </w:r>
      <w:r w:rsidR="000F7A7C">
        <w:rPr>
          <w:rFonts w:ascii="Garamond" w:hAnsi="Garamond" w:cs="Arial"/>
          <w:bCs/>
          <w:sz w:val="24"/>
          <w:szCs w:val="24"/>
        </w:rPr>
        <w:t xml:space="preserve">also </w:t>
      </w:r>
      <w:r w:rsidR="00484858">
        <w:rPr>
          <w:rFonts w:ascii="Garamond" w:hAnsi="Garamond" w:cs="Arial"/>
          <w:bCs/>
          <w:sz w:val="24"/>
          <w:szCs w:val="24"/>
        </w:rPr>
        <w:t>projects additional demand for its services because</w:t>
      </w:r>
      <w:r w:rsidR="00AE26AA">
        <w:rPr>
          <w:rFonts w:ascii="Garamond" w:hAnsi="Garamond" w:cs="Arial"/>
          <w:bCs/>
          <w:sz w:val="24"/>
          <w:szCs w:val="24"/>
        </w:rPr>
        <w:t xml:space="preserve"> CMS is set to remove 300 procedures, made up of prim</w:t>
      </w:r>
      <w:r w:rsidR="00B45A2F">
        <w:rPr>
          <w:rFonts w:ascii="Garamond" w:hAnsi="Garamond" w:cs="Arial"/>
          <w:bCs/>
          <w:sz w:val="24"/>
          <w:szCs w:val="24"/>
        </w:rPr>
        <w:t>arily musculoskeletal procedures</w:t>
      </w:r>
      <w:r w:rsidR="00AE26AA">
        <w:rPr>
          <w:rFonts w:ascii="Garamond" w:hAnsi="Garamond" w:cs="Arial"/>
          <w:bCs/>
          <w:sz w:val="24"/>
          <w:szCs w:val="24"/>
        </w:rPr>
        <w:t xml:space="preserve"> that are within the ASC’s surgical specialties, from the </w:t>
      </w:r>
      <w:r w:rsidR="00193460">
        <w:rPr>
          <w:rFonts w:ascii="Garamond" w:hAnsi="Garamond" w:cs="Arial"/>
          <w:bCs/>
          <w:sz w:val="24"/>
          <w:szCs w:val="24"/>
        </w:rPr>
        <w:t>Medicare I</w:t>
      </w:r>
      <w:r w:rsidR="00AE26AA">
        <w:rPr>
          <w:rFonts w:ascii="Garamond" w:hAnsi="Garamond" w:cs="Arial"/>
          <w:bCs/>
          <w:sz w:val="24"/>
          <w:szCs w:val="24"/>
        </w:rPr>
        <w:t>npatient</w:t>
      </w:r>
      <w:r w:rsidR="00193460">
        <w:rPr>
          <w:rFonts w:ascii="Garamond" w:hAnsi="Garamond" w:cs="Arial"/>
          <w:bCs/>
          <w:sz w:val="24"/>
          <w:szCs w:val="24"/>
        </w:rPr>
        <w:t>-O</w:t>
      </w:r>
      <w:r w:rsidR="00AE26AA">
        <w:rPr>
          <w:rFonts w:ascii="Garamond" w:hAnsi="Garamond" w:cs="Arial"/>
          <w:bCs/>
          <w:sz w:val="24"/>
          <w:szCs w:val="24"/>
        </w:rPr>
        <w:t>nly list</w:t>
      </w:r>
      <w:r w:rsidR="00FD2AA3">
        <w:rPr>
          <w:rStyle w:val="FootnoteReference"/>
          <w:rFonts w:ascii="Garamond" w:hAnsi="Garamond" w:cs="Arial"/>
          <w:bCs/>
          <w:sz w:val="24"/>
          <w:szCs w:val="24"/>
        </w:rPr>
        <w:footnoteReference w:id="19"/>
      </w:r>
      <w:r w:rsidR="005B2321">
        <w:rPr>
          <w:rFonts w:ascii="Garamond" w:hAnsi="Garamond" w:cs="Arial"/>
          <w:bCs/>
          <w:sz w:val="24"/>
          <w:szCs w:val="24"/>
        </w:rPr>
        <w:t xml:space="preserve">starting </w:t>
      </w:r>
      <w:r w:rsidR="00AE26AA">
        <w:rPr>
          <w:rFonts w:ascii="Garamond" w:hAnsi="Garamond" w:cs="Arial"/>
          <w:bCs/>
          <w:sz w:val="24"/>
          <w:szCs w:val="24"/>
        </w:rPr>
        <w:t>in 2021</w:t>
      </w:r>
      <w:r w:rsidR="00193460">
        <w:rPr>
          <w:rFonts w:ascii="Garamond" w:hAnsi="Garamond" w:cs="Arial"/>
          <w:bCs/>
          <w:sz w:val="24"/>
          <w:szCs w:val="24"/>
        </w:rPr>
        <w:t xml:space="preserve"> as part of a </w:t>
      </w:r>
      <w:r w:rsidR="00327D8B">
        <w:rPr>
          <w:rFonts w:ascii="Garamond" w:hAnsi="Garamond" w:cs="Arial"/>
          <w:bCs/>
          <w:sz w:val="24"/>
          <w:szCs w:val="24"/>
        </w:rPr>
        <w:t>proposal</w:t>
      </w:r>
      <w:r w:rsidR="00193460">
        <w:rPr>
          <w:rFonts w:ascii="Garamond" w:hAnsi="Garamond" w:cs="Arial"/>
          <w:bCs/>
          <w:sz w:val="24"/>
          <w:szCs w:val="24"/>
        </w:rPr>
        <w:t xml:space="preserve"> to eliminate the Inpatient-Only list by 2024</w:t>
      </w:r>
      <w:r w:rsidR="001F4EF7">
        <w:rPr>
          <w:rFonts w:ascii="Garamond" w:hAnsi="Garamond" w:cs="Arial"/>
          <w:bCs/>
          <w:sz w:val="24"/>
          <w:szCs w:val="24"/>
        </w:rPr>
        <w:t>.</w:t>
      </w:r>
      <w:r w:rsidR="001F4EF7">
        <w:rPr>
          <w:rStyle w:val="EndnoteReference"/>
          <w:rFonts w:ascii="Garamond" w:hAnsi="Garamond" w:cs="Arial"/>
          <w:bCs/>
          <w:sz w:val="24"/>
          <w:szCs w:val="24"/>
        </w:rPr>
        <w:endnoteReference w:id="14"/>
      </w:r>
    </w:p>
    <w:p w14:paraId="42281170" w14:textId="77777777" w:rsidR="00406FC6" w:rsidRPr="00406FC6" w:rsidRDefault="00406FC6" w:rsidP="00406FC6">
      <w:pPr>
        <w:pStyle w:val="ListParagraph"/>
        <w:spacing w:after="0" w:line="240" w:lineRule="auto"/>
        <w:ind w:left="1080"/>
        <w:rPr>
          <w:rFonts w:ascii="Garamond" w:hAnsi="Garamond"/>
          <w:sz w:val="24"/>
          <w:szCs w:val="24"/>
        </w:rPr>
      </w:pPr>
    </w:p>
    <w:p w14:paraId="72AED228" w14:textId="0FCF9181" w:rsidR="00B00A0D" w:rsidRDefault="00FC60FB" w:rsidP="00F2435F">
      <w:pPr>
        <w:spacing w:after="0" w:line="240" w:lineRule="auto"/>
        <w:rPr>
          <w:rFonts w:ascii="Garamond" w:hAnsi="Garamond" w:cs="Arial"/>
          <w:b/>
          <w:i/>
          <w:sz w:val="24"/>
          <w:szCs w:val="24"/>
        </w:rPr>
      </w:pPr>
      <w:r w:rsidRPr="00E83226">
        <w:rPr>
          <w:rFonts w:ascii="Garamond" w:hAnsi="Garamond" w:cs="Arial"/>
          <w:b/>
          <w:i/>
          <w:sz w:val="24"/>
          <w:szCs w:val="24"/>
        </w:rPr>
        <w:t>Analysis</w:t>
      </w:r>
    </w:p>
    <w:p w14:paraId="290DB770" w14:textId="403B1BC5" w:rsidR="00525EE0" w:rsidRDefault="00EA135B" w:rsidP="00F2435F">
      <w:pPr>
        <w:spacing w:after="0" w:line="240" w:lineRule="auto"/>
        <w:rPr>
          <w:rFonts w:ascii="Garamond" w:hAnsi="Garamond" w:cs="Arial"/>
          <w:bCs/>
          <w:iCs/>
          <w:sz w:val="24"/>
          <w:szCs w:val="24"/>
        </w:rPr>
      </w:pPr>
      <w:r>
        <w:rPr>
          <w:rFonts w:ascii="Garamond" w:hAnsi="Garamond" w:cs="Arial"/>
          <w:bCs/>
          <w:iCs/>
          <w:sz w:val="24"/>
          <w:szCs w:val="24"/>
        </w:rPr>
        <w:t xml:space="preserve">The Applicant outlined </w:t>
      </w:r>
      <w:r w:rsidR="00C52B5A">
        <w:rPr>
          <w:rFonts w:ascii="Garamond" w:hAnsi="Garamond" w:cs="Arial"/>
          <w:bCs/>
          <w:iCs/>
          <w:sz w:val="24"/>
          <w:szCs w:val="24"/>
        </w:rPr>
        <w:t xml:space="preserve">a </w:t>
      </w:r>
      <w:r>
        <w:rPr>
          <w:rFonts w:ascii="Garamond" w:hAnsi="Garamond" w:cs="Arial"/>
          <w:bCs/>
          <w:iCs/>
          <w:sz w:val="24"/>
          <w:szCs w:val="24"/>
        </w:rPr>
        <w:t xml:space="preserve">need for </w:t>
      </w:r>
      <w:r w:rsidR="00FA06BE">
        <w:rPr>
          <w:rFonts w:ascii="Garamond" w:hAnsi="Garamond" w:cs="Arial"/>
          <w:bCs/>
          <w:iCs/>
          <w:sz w:val="24"/>
          <w:szCs w:val="24"/>
        </w:rPr>
        <w:t xml:space="preserve">adding </w:t>
      </w:r>
      <w:r>
        <w:rPr>
          <w:rFonts w:ascii="Garamond" w:hAnsi="Garamond" w:cs="Arial"/>
          <w:bCs/>
          <w:iCs/>
          <w:sz w:val="24"/>
          <w:szCs w:val="24"/>
        </w:rPr>
        <w:t xml:space="preserve">operating room capacity at </w:t>
      </w:r>
      <w:r w:rsidR="003007AC">
        <w:rPr>
          <w:rFonts w:ascii="Garamond" w:hAnsi="Garamond" w:cs="Arial"/>
          <w:bCs/>
          <w:iCs/>
          <w:sz w:val="24"/>
          <w:szCs w:val="24"/>
        </w:rPr>
        <w:t>NESC</w:t>
      </w:r>
      <w:r>
        <w:rPr>
          <w:rFonts w:ascii="Garamond" w:hAnsi="Garamond" w:cs="Arial"/>
          <w:bCs/>
          <w:iCs/>
          <w:sz w:val="24"/>
          <w:szCs w:val="24"/>
        </w:rPr>
        <w:t xml:space="preserve"> </w:t>
      </w:r>
      <w:r w:rsidR="002F1182">
        <w:rPr>
          <w:rFonts w:ascii="Garamond" w:hAnsi="Garamond" w:cs="Arial"/>
          <w:bCs/>
          <w:iCs/>
          <w:sz w:val="24"/>
          <w:szCs w:val="24"/>
        </w:rPr>
        <w:t>to address</w:t>
      </w:r>
      <w:r>
        <w:rPr>
          <w:rFonts w:ascii="Garamond" w:hAnsi="Garamond" w:cs="Arial"/>
          <w:bCs/>
          <w:iCs/>
          <w:sz w:val="24"/>
          <w:szCs w:val="24"/>
        </w:rPr>
        <w:t xml:space="preserve"> decreas</w:t>
      </w:r>
      <w:r w:rsidR="002F1182">
        <w:rPr>
          <w:rFonts w:ascii="Garamond" w:hAnsi="Garamond" w:cs="Arial"/>
          <w:bCs/>
          <w:iCs/>
          <w:sz w:val="24"/>
          <w:szCs w:val="24"/>
        </w:rPr>
        <w:t>ing</w:t>
      </w:r>
      <w:r>
        <w:rPr>
          <w:rFonts w:ascii="Garamond" w:hAnsi="Garamond" w:cs="Arial"/>
          <w:bCs/>
          <w:iCs/>
          <w:sz w:val="24"/>
          <w:szCs w:val="24"/>
        </w:rPr>
        <w:t xml:space="preserve"> OR availability</w:t>
      </w:r>
      <w:r w:rsidR="00C52B5A">
        <w:rPr>
          <w:rFonts w:ascii="Garamond" w:hAnsi="Garamond" w:cs="Arial"/>
          <w:bCs/>
          <w:iCs/>
          <w:sz w:val="24"/>
          <w:szCs w:val="24"/>
        </w:rPr>
        <w:t>, a result of several</w:t>
      </w:r>
      <w:r w:rsidR="00C52B5A" w:rsidRPr="00C52B5A">
        <w:rPr>
          <w:rFonts w:ascii="Garamond" w:hAnsi="Garamond" w:cs="Arial"/>
          <w:bCs/>
          <w:iCs/>
          <w:sz w:val="24"/>
          <w:szCs w:val="24"/>
        </w:rPr>
        <w:t xml:space="preserve"> </w:t>
      </w:r>
      <w:r w:rsidR="00C52B5A">
        <w:rPr>
          <w:rFonts w:ascii="Garamond" w:hAnsi="Garamond" w:cs="Arial"/>
          <w:bCs/>
          <w:iCs/>
          <w:sz w:val="24"/>
          <w:szCs w:val="24"/>
        </w:rPr>
        <w:t>elements,</w:t>
      </w:r>
      <w:r>
        <w:rPr>
          <w:rFonts w:ascii="Garamond" w:hAnsi="Garamond" w:cs="Arial"/>
          <w:bCs/>
          <w:iCs/>
          <w:sz w:val="24"/>
          <w:szCs w:val="24"/>
        </w:rPr>
        <w:t xml:space="preserve"> </w:t>
      </w:r>
      <w:r w:rsidR="002F1182">
        <w:rPr>
          <w:rFonts w:ascii="Garamond" w:hAnsi="Garamond" w:cs="Arial"/>
          <w:bCs/>
          <w:iCs/>
          <w:sz w:val="24"/>
          <w:szCs w:val="24"/>
        </w:rPr>
        <w:t xml:space="preserve">and </w:t>
      </w:r>
      <w:r w:rsidR="003007AC">
        <w:rPr>
          <w:rFonts w:ascii="Garamond" w:hAnsi="Garamond" w:cs="Arial"/>
          <w:bCs/>
          <w:iCs/>
          <w:sz w:val="24"/>
          <w:szCs w:val="24"/>
        </w:rPr>
        <w:t xml:space="preserve">the </w:t>
      </w:r>
      <w:r w:rsidR="00FA06BE">
        <w:rPr>
          <w:rFonts w:ascii="Garamond" w:hAnsi="Garamond" w:cs="Arial"/>
          <w:bCs/>
          <w:iCs/>
          <w:sz w:val="24"/>
          <w:szCs w:val="24"/>
        </w:rPr>
        <w:t xml:space="preserve">subsequent decrease </w:t>
      </w:r>
      <w:r w:rsidR="002F1182">
        <w:rPr>
          <w:rFonts w:ascii="Garamond" w:hAnsi="Garamond" w:cs="Arial"/>
          <w:bCs/>
          <w:iCs/>
          <w:sz w:val="24"/>
          <w:szCs w:val="24"/>
        </w:rPr>
        <w:t>in</w:t>
      </w:r>
      <w:r>
        <w:rPr>
          <w:rFonts w:ascii="Garamond" w:hAnsi="Garamond" w:cs="Arial"/>
          <w:bCs/>
          <w:iCs/>
          <w:sz w:val="24"/>
          <w:szCs w:val="24"/>
        </w:rPr>
        <w:t xml:space="preserve"> Patient Panel access to NESC</w:t>
      </w:r>
      <w:r w:rsidR="003007AC">
        <w:rPr>
          <w:rFonts w:ascii="Garamond" w:hAnsi="Garamond" w:cs="Arial"/>
          <w:bCs/>
          <w:iCs/>
          <w:sz w:val="24"/>
          <w:szCs w:val="24"/>
        </w:rPr>
        <w:t>’s</w:t>
      </w:r>
      <w:r>
        <w:rPr>
          <w:rFonts w:ascii="Garamond" w:hAnsi="Garamond" w:cs="Arial"/>
          <w:bCs/>
          <w:iCs/>
          <w:sz w:val="24"/>
          <w:szCs w:val="24"/>
        </w:rPr>
        <w:t xml:space="preserve"> services. The Applicant demonstrated </w:t>
      </w:r>
      <w:r w:rsidR="002F1182">
        <w:rPr>
          <w:rFonts w:ascii="Garamond" w:hAnsi="Garamond" w:cs="Arial"/>
          <w:bCs/>
          <w:iCs/>
          <w:sz w:val="24"/>
          <w:szCs w:val="24"/>
        </w:rPr>
        <w:t>increasing</w:t>
      </w:r>
      <w:r>
        <w:rPr>
          <w:rFonts w:ascii="Garamond" w:hAnsi="Garamond" w:cs="Arial"/>
          <w:bCs/>
          <w:iCs/>
          <w:sz w:val="24"/>
          <w:szCs w:val="24"/>
        </w:rPr>
        <w:t xml:space="preserve"> Patient Panel demand for its services through projected population growth and increas</w:t>
      </w:r>
      <w:r w:rsidR="006F5CCD">
        <w:rPr>
          <w:rFonts w:ascii="Garamond" w:hAnsi="Garamond" w:cs="Arial"/>
          <w:bCs/>
          <w:iCs/>
          <w:sz w:val="24"/>
          <w:szCs w:val="24"/>
        </w:rPr>
        <w:t xml:space="preserve">ing </w:t>
      </w:r>
      <w:r>
        <w:rPr>
          <w:rFonts w:ascii="Garamond" w:hAnsi="Garamond" w:cs="Arial"/>
          <w:bCs/>
          <w:iCs/>
          <w:sz w:val="24"/>
          <w:szCs w:val="24"/>
        </w:rPr>
        <w:t xml:space="preserve">prevalence of </w:t>
      </w:r>
      <w:r w:rsidR="002F1182">
        <w:rPr>
          <w:rFonts w:ascii="Garamond" w:hAnsi="Garamond" w:cs="Arial"/>
          <w:bCs/>
          <w:iCs/>
          <w:sz w:val="24"/>
          <w:szCs w:val="24"/>
        </w:rPr>
        <w:t xml:space="preserve">certain </w:t>
      </w:r>
      <w:r>
        <w:rPr>
          <w:rFonts w:ascii="Garamond" w:hAnsi="Garamond" w:cs="Arial"/>
          <w:bCs/>
          <w:iCs/>
          <w:sz w:val="24"/>
          <w:szCs w:val="24"/>
        </w:rPr>
        <w:t xml:space="preserve">conditions that will require </w:t>
      </w:r>
      <w:r w:rsidR="002F1182">
        <w:rPr>
          <w:rFonts w:ascii="Garamond" w:hAnsi="Garamond" w:cs="Arial"/>
          <w:bCs/>
          <w:iCs/>
          <w:sz w:val="24"/>
          <w:szCs w:val="24"/>
        </w:rPr>
        <w:t xml:space="preserve">the </w:t>
      </w:r>
      <w:r>
        <w:rPr>
          <w:rFonts w:ascii="Garamond" w:hAnsi="Garamond" w:cs="Arial"/>
          <w:bCs/>
          <w:iCs/>
          <w:sz w:val="24"/>
          <w:szCs w:val="24"/>
        </w:rPr>
        <w:t xml:space="preserve">surgical services offered at NESC. </w:t>
      </w:r>
      <w:r w:rsidR="00A22DCB">
        <w:rPr>
          <w:rFonts w:ascii="Garamond" w:hAnsi="Garamond" w:cs="Arial"/>
          <w:bCs/>
          <w:iCs/>
          <w:sz w:val="24"/>
          <w:szCs w:val="24"/>
        </w:rPr>
        <w:t>H</w:t>
      </w:r>
      <w:r w:rsidR="008C667D" w:rsidRPr="008C667D">
        <w:rPr>
          <w:rFonts w:ascii="Garamond" w:hAnsi="Garamond" w:cs="Arial"/>
          <w:bCs/>
          <w:iCs/>
          <w:sz w:val="24"/>
          <w:szCs w:val="24"/>
        </w:rPr>
        <w:t>igh</w:t>
      </w:r>
      <w:r w:rsidR="00AD4493">
        <w:rPr>
          <w:rFonts w:ascii="Garamond" w:hAnsi="Garamond" w:cs="Arial"/>
          <w:bCs/>
          <w:iCs/>
          <w:sz w:val="24"/>
          <w:szCs w:val="24"/>
        </w:rPr>
        <w:t>er</w:t>
      </w:r>
      <w:r w:rsidR="008C667D" w:rsidRPr="008C667D">
        <w:rPr>
          <w:rFonts w:ascii="Garamond" w:hAnsi="Garamond" w:cs="Arial"/>
          <w:bCs/>
          <w:iCs/>
          <w:sz w:val="24"/>
          <w:szCs w:val="24"/>
        </w:rPr>
        <w:t xml:space="preserve"> </w:t>
      </w:r>
      <w:r w:rsidR="00AD4493">
        <w:rPr>
          <w:rFonts w:ascii="Garamond" w:hAnsi="Garamond" w:cs="Arial"/>
          <w:bCs/>
          <w:iCs/>
          <w:sz w:val="24"/>
          <w:szCs w:val="24"/>
        </w:rPr>
        <w:t>rates</w:t>
      </w:r>
      <w:r w:rsidR="008C667D" w:rsidRPr="008C667D">
        <w:rPr>
          <w:rFonts w:ascii="Garamond" w:hAnsi="Garamond" w:cs="Arial"/>
          <w:bCs/>
          <w:iCs/>
          <w:sz w:val="24"/>
          <w:szCs w:val="24"/>
        </w:rPr>
        <w:t xml:space="preserve"> of chronic diseases in general, better </w:t>
      </w:r>
      <w:r w:rsidR="00062316">
        <w:rPr>
          <w:rFonts w:ascii="Garamond" w:hAnsi="Garamond" w:cs="Arial"/>
          <w:bCs/>
          <w:iCs/>
          <w:sz w:val="24"/>
          <w:szCs w:val="24"/>
        </w:rPr>
        <w:t xml:space="preserve">chronic disease </w:t>
      </w:r>
      <w:r w:rsidR="008C667D" w:rsidRPr="008C667D">
        <w:rPr>
          <w:rFonts w:ascii="Garamond" w:hAnsi="Garamond" w:cs="Arial"/>
          <w:bCs/>
          <w:iCs/>
          <w:sz w:val="24"/>
          <w:szCs w:val="24"/>
        </w:rPr>
        <w:t>m</w:t>
      </w:r>
      <w:r w:rsidR="00A22DCB">
        <w:rPr>
          <w:rFonts w:ascii="Garamond" w:hAnsi="Garamond" w:cs="Arial"/>
          <w:bCs/>
          <w:iCs/>
          <w:sz w:val="24"/>
          <w:szCs w:val="24"/>
        </w:rPr>
        <w:t>a</w:t>
      </w:r>
      <w:r w:rsidR="008C667D" w:rsidRPr="008C667D">
        <w:rPr>
          <w:rFonts w:ascii="Garamond" w:hAnsi="Garamond" w:cs="Arial"/>
          <w:bCs/>
          <w:iCs/>
          <w:sz w:val="24"/>
          <w:szCs w:val="24"/>
        </w:rPr>
        <w:t>nagement, and the general aging population combined create a greater need for these services</w:t>
      </w:r>
      <w:r w:rsidR="00094596">
        <w:rPr>
          <w:rFonts w:ascii="Garamond" w:hAnsi="Garamond"/>
          <w:bCs/>
          <w:sz w:val="24"/>
          <w:szCs w:val="24"/>
        </w:rPr>
        <w:t>.</w:t>
      </w:r>
      <w:r w:rsidR="00094596">
        <w:rPr>
          <w:rStyle w:val="EndnoteReference"/>
          <w:rFonts w:ascii="Garamond" w:hAnsi="Garamond"/>
          <w:bCs/>
          <w:sz w:val="24"/>
          <w:szCs w:val="24"/>
        </w:rPr>
        <w:endnoteReference w:id="15"/>
      </w:r>
      <w:r w:rsidR="00094596" w:rsidRPr="009D3D22">
        <w:rPr>
          <w:rFonts w:ascii="Garamond" w:hAnsi="Garamond"/>
          <w:bCs/>
          <w:sz w:val="24"/>
          <w:szCs w:val="24"/>
          <w:vertAlign w:val="superscript"/>
        </w:rPr>
        <w:t>,</w:t>
      </w:r>
      <w:r w:rsidR="00094596">
        <w:rPr>
          <w:rStyle w:val="EndnoteReference"/>
          <w:rFonts w:ascii="Garamond" w:hAnsi="Garamond"/>
          <w:bCs/>
          <w:sz w:val="24"/>
          <w:szCs w:val="24"/>
        </w:rPr>
        <w:endnoteReference w:id="16"/>
      </w:r>
      <w:r w:rsidR="00094596">
        <w:rPr>
          <w:rFonts w:ascii="Garamond" w:hAnsi="Garamond"/>
          <w:bCs/>
          <w:sz w:val="24"/>
          <w:szCs w:val="24"/>
          <w:vertAlign w:val="superscript"/>
        </w:rPr>
        <w:t xml:space="preserve"> </w:t>
      </w:r>
      <w:r>
        <w:rPr>
          <w:rFonts w:ascii="Garamond" w:hAnsi="Garamond" w:cs="Arial"/>
          <w:bCs/>
          <w:iCs/>
          <w:sz w:val="24"/>
          <w:szCs w:val="24"/>
        </w:rPr>
        <w:t>NESC outlined</w:t>
      </w:r>
      <w:r w:rsidR="002F1182">
        <w:rPr>
          <w:rFonts w:ascii="Garamond" w:hAnsi="Garamond" w:cs="Arial"/>
          <w:bCs/>
          <w:iCs/>
          <w:sz w:val="24"/>
          <w:szCs w:val="24"/>
        </w:rPr>
        <w:t xml:space="preserve"> the</w:t>
      </w:r>
      <w:r w:rsidR="00C72443">
        <w:rPr>
          <w:rFonts w:ascii="Garamond" w:hAnsi="Garamond" w:cs="Arial"/>
          <w:bCs/>
          <w:iCs/>
          <w:sz w:val="24"/>
          <w:szCs w:val="24"/>
        </w:rPr>
        <w:t xml:space="preserve"> shift it is experiencing to more complex procedures to underscore the need for </w:t>
      </w:r>
      <w:r>
        <w:rPr>
          <w:rFonts w:ascii="Garamond" w:hAnsi="Garamond" w:cs="Arial"/>
          <w:bCs/>
          <w:iCs/>
          <w:sz w:val="24"/>
          <w:szCs w:val="24"/>
        </w:rPr>
        <w:t xml:space="preserve">increasing OR capacity to accommodate </w:t>
      </w:r>
      <w:r w:rsidR="00094596">
        <w:rPr>
          <w:rFonts w:ascii="Garamond" w:hAnsi="Garamond" w:cs="Arial"/>
          <w:bCs/>
          <w:iCs/>
          <w:sz w:val="24"/>
          <w:szCs w:val="24"/>
        </w:rPr>
        <w:t xml:space="preserve">additional procedures and </w:t>
      </w:r>
      <w:r w:rsidR="00E24F5C">
        <w:rPr>
          <w:rFonts w:ascii="Garamond" w:hAnsi="Garamond" w:cs="Arial"/>
          <w:bCs/>
          <w:iCs/>
          <w:sz w:val="24"/>
          <w:szCs w:val="24"/>
        </w:rPr>
        <w:t>to</w:t>
      </w:r>
      <w:r w:rsidR="002F1182">
        <w:rPr>
          <w:rFonts w:ascii="Garamond" w:hAnsi="Garamond" w:cs="Arial"/>
          <w:bCs/>
          <w:iCs/>
          <w:sz w:val="24"/>
          <w:szCs w:val="24"/>
        </w:rPr>
        <w:t xml:space="preserve"> more adequately address</w:t>
      </w:r>
      <w:r>
        <w:rPr>
          <w:rFonts w:ascii="Garamond" w:hAnsi="Garamond" w:cs="Arial"/>
          <w:bCs/>
          <w:iCs/>
          <w:sz w:val="24"/>
          <w:szCs w:val="24"/>
        </w:rPr>
        <w:t xml:space="preserve"> Patient Panel need for </w:t>
      </w:r>
      <w:r w:rsidR="00363A1C">
        <w:rPr>
          <w:rFonts w:ascii="Garamond" w:hAnsi="Garamond" w:cs="Arial"/>
          <w:bCs/>
          <w:iCs/>
          <w:sz w:val="24"/>
          <w:szCs w:val="24"/>
        </w:rPr>
        <w:t xml:space="preserve">high-quality, timely access to </w:t>
      </w:r>
      <w:r w:rsidR="005B47D1">
        <w:rPr>
          <w:rFonts w:ascii="Garamond" w:hAnsi="Garamond" w:cs="Arial"/>
          <w:bCs/>
          <w:iCs/>
          <w:sz w:val="24"/>
          <w:szCs w:val="24"/>
        </w:rPr>
        <w:t>outpatient</w:t>
      </w:r>
      <w:r>
        <w:rPr>
          <w:rFonts w:ascii="Garamond" w:hAnsi="Garamond" w:cs="Arial"/>
          <w:bCs/>
          <w:iCs/>
          <w:sz w:val="24"/>
          <w:szCs w:val="24"/>
        </w:rPr>
        <w:t xml:space="preserve"> surgical services. </w:t>
      </w:r>
    </w:p>
    <w:p w14:paraId="37C14390" w14:textId="3A9C8766" w:rsidR="00A43951" w:rsidRDefault="00A43951" w:rsidP="00EA38CA">
      <w:pPr>
        <w:pStyle w:val="Heading1"/>
        <w:spacing w:line="240" w:lineRule="auto"/>
        <w:rPr>
          <w:rFonts w:ascii="Garamond" w:hAnsi="Garamond"/>
        </w:rPr>
      </w:pPr>
      <w:bookmarkStart w:id="159" w:name="_Toc29755680"/>
      <w:bookmarkStart w:id="160" w:name="_Toc58960214"/>
      <w:bookmarkStart w:id="161" w:name="_Toc17151180"/>
      <w:bookmarkStart w:id="162" w:name="_Toc17322392"/>
      <w:bookmarkStart w:id="163" w:name="_Toc18922408"/>
      <w:bookmarkStart w:id="164" w:name="_Toc17322387"/>
      <w:bookmarkStart w:id="165" w:name="_Toc18922403"/>
      <w:r w:rsidRPr="000369E7">
        <w:rPr>
          <w:rFonts w:ascii="Garamond" w:hAnsi="Garamond"/>
        </w:rPr>
        <w:lastRenderedPageBreak/>
        <w:t xml:space="preserve">Factor 1: b) </w:t>
      </w:r>
      <w:r w:rsidR="004954E4" w:rsidRPr="000369E7">
        <w:rPr>
          <w:rFonts w:ascii="Garamond" w:hAnsi="Garamond"/>
        </w:rPr>
        <w:t>P</w:t>
      </w:r>
      <w:r w:rsidRPr="000369E7">
        <w:rPr>
          <w:rFonts w:ascii="Garamond" w:hAnsi="Garamond"/>
        </w:rPr>
        <w:t>ublic health value, improved health outcomes and quality of life; assurances of health equity</w:t>
      </w:r>
      <w:bookmarkEnd w:id="159"/>
      <w:bookmarkEnd w:id="160"/>
    </w:p>
    <w:bookmarkEnd w:id="161"/>
    <w:bookmarkEnd w:id="162"/>
    <w:bookmarkEnd w:id="163"/>
    <w:bookmarkEnd w:id="164"/>
    <w:bookmarkEnd w:id="165"/>
    <w:p w14:paraId="72926FD2" w14:textId="3C7C5BB3" w:rsidR="00194F0B" w:rsidRPr="002E17E8" w:rsidRDefault="00C72443" w:rsidP="002E17E8">
      <w:pPr>
        <w:pStyle w:val="ListParagraph"/>
        <w:numPr>
          <w:ilvl w:val="0"/>
          <w:numId w:val="15"/>
        </w:numPr>
        <w:spacing w:after="0" w:line="240" w:lineRule="auto"/>
      </w:pPr>
      <w:r w:rsidRPr="002E17E8">
        <w:rPr>
          <w:rFonts w:ascii="Garamond" w:hAnsi="Garamond" w:cs="Arial"/>
          <w:b/>
          <w:sz w:val="24"/>
          <w:szCs w:val="24"/>
        </w:rPr>
        <w:t>I</w:t>
      </w:r>
      <w:r w:rsidR="00A6137A" w:rsidRPr="002E17E8">
        <w:rPr>
          <w:rFonts w:ascii="Garamond" w:hAnsi="Garamond" w:cs="Arial"/>
          <w:b/>
          <w:sz w:val="24"/>
          <w:szCs w:val="24"/>
        </w:rPr>
        <w:t>mproved outcomes</w:t>
      </w:r>
      <w:r w:rsidR="00FC7AA0" w:rsidRPr="002E17E8">
        <w:rPr>
          <w:rFonts w:ascii="Garamond" w:hAnsi="Garamond" w:cs="Arial"/>
          <w:bCs/>
          <w:sz w:val="24"/>
          <w:szCs w:val="24"/>
        </w:rPr>
        <w:t>-</w:t>
      </w:r>
      <w:r w:rsidR="00194F0B" w:rsidRPr="002E17E8">
        <w:rPr>
          <w:rFonts w:ascii="Garamond" w:hAnsi="Garamond" w:cs="Arial"/>
          <w:bCs/>
          <w:sz w:val="24"/>
          <w:szCs w:val="24"/>
        </w:rPr>
        <w:t xml:space="preserve"> The outpatient surgeries offered at NESC are associated with </w:t>
      </w:r>
      <w:r w:rsidR="00471159" w:rsidRPr="002E17E8">
        <w:rPr>
          <w:rFonts w:ascii="Garamond" w:hAnsi="Garamond" w:cs="Arial"/>
          <w:bCs/>
          <w:iCs/>
          <w:sz w:val="24"/>
          <w:szCs w:val="24"/>
        </w:rPr>
        <w:t>improved outcomes</w:t>
      </w:r>
      <w:r w:rsidR="00194F0B" w:rsidRPr="002E17E8">
        <w:rPr>
          <w:rFonts w:ascii="Garamond" w:hAnsi="Garamond" w:cs="Arial"/>
          <w:bCs/>
          <w:iCs/>
          <w:sz w:val="24"/>
          <w:szCs w:val="24"/>
        </w:rPr>
        <w:t xml:space="preserve">, </w:t>
      </w:r>
      <w:r w:rsidR="00195C98" w:rsidRPr="002E17E8">
        <w:rPr>
          <w:rFonts w:ascii="Garamond" w:hAnsi="Garamond" w:cs="Arial"/>
          <w:bCs/>
          <w:iCs/>
          <w:sz w:val="24"/>
          <w:szCs w:val="24"/>
        </w:rPr>
        <w:t>including reduc</w:t>
      </w:r>
      <w:r w:rsidR="00194F0B" w:rsidRPr="002E17E8">
        <w:rPr>
          <w:rFonts w:ascii="Garamond" w:hAnsi="Garamond" w:cs="Arial"/>
          <w:bCs/>
          <w:iCs/>
          <w:sz w:val="24"/>
          <w:szCs w:val="24"/>
        </w:rPr>
        <w:t>ed</w:t>
      </w:r>
      <w:r w:rsidR="00195C98" w:rsidRPr="002E17E8">
        <w:rPr>
          <w:rFonts w:ascii="Garamond" w:hAnsi="Garamond" w:cs="Arial"/>
          <w:bCs/>
          <w:iCs/>
          <w:sz w:val="24"/>
          <w:szCs w:val="24"/>
        </w:rPr>
        <w:t xml:space="preserve"> pain and improve</w:t>
      </w:r>
      <w:r w:rsidR="00194F0B" w:rsidRPr="002E17E8">
        <w:rPr>
          <w:rFonts w:ascii="Garamond" w:hAnsi="Garamond" w:cs="Arial"/>
          <w:bCs/>
          <w:iCs/>
          <w:sz w:val="24"/>
          <w:szCs w:val="24"/>
        </w:rPr>
        <w:t>d</w:t>
      </w:r>
      <w:r w:rsidR="00195C98" w:rsidRPr="002E17E8">
        <w:rPr>
          <w:rFonts w:ascii="Garamond" w:hAnsi="Garamond" w:cs="Arial"/>
          <w:bCs/>
          <w:iCs/>
          <w:sz w:val="24"/>
          <w:szCs w:val="24"/>
        </w:rPr>
        <w:t xml:space="preserve"> functionality.</w:t>
      </w:r>
      <w:r w:rsidR="00E32F97">
        <w:rPr>
          <w:rStyle w:val="EndnoteReference"/>
          <w:rFonts w:ascii="Garamond" w:hAnsi="Garamond" w:cs="Arial"/>
          <w:bCs/>
          <w:iCs/>
          <w:sz w:val="24"/>
          <w:szCs w:val="24"/>
        </w:rPr>
        <w:endnoteReference w:id="17"/>
      </w:r>
      <w:r w:rsidR="00C677DE" w:rsidRPr="002E17E8">
        <w:rPr>
          <w:rFonts w:ascii="Garamond" w:hAnsi="Garamond" w:cs="Arial"/>
          <w:bCs/>
          <w:iCs/>
          <w:sz w:val="24"/>
          <w:szCs w:val="24"/>
          <w:vertAlign w:val="superscript"/>
        </w:rPr>
        <w:t>,</w:t>
      </w:r>
      <w:r w:rsidR="008F6E67">
        <w:rPr>
          <w:rStyle w:val="EndnoteReference"/>
          <w:rFonts w:ascii="Garamond" w:hAnsi="Garamond" w:cs="Arial"/>
          <w:bCs/>
          <w:iCs/>
          <w:sz w:val="24"/>
          <w:szCs w:val="24"/>
        </w:rPr>
        <w:endnoteReference w:id="18"/>
      </w:r>
      <w:r w:rsidR="00C677DE" w:rsidRPr="002E17E8">
        <w:rPr>
          <w:rFonts w:ascii="Garamond" w:hAnsi="Garamond" w:cs="Arial"/>
          <w:bCs/>
          <w:iCs/>
          <w:sz w:val="24"/>
          <w:szCs w:val="24"/>
          <w:vertAlign w:val="superscript"/>
        </w:rPr>
        <w:t>,</w:t>
      </w:r>
      <w:r w:rsidR="002832A0">
        <w:rPr>
          <w:rStyle w:val="EndnoteReference"/>
          <w:rFonts w:ascii="Garamond" w:hAnsi="Garamond" w:cs="Arial"/>
          <w:bCs/>
          <w:iCs/>
          <w:sz w:val="24"/>
          <w:szCs w:val="24"/>
        </w:rPr>
        <w:endnoteReference w:id="19"/>
      </w:r>
      <w:r w:rsidR="00C677DE" w:rsidRPr="002E17E8">
        <w:rPr>
          <w:rFonts w:ascii="Garamond" w:hAnsi="Garamond" w:cs="Arial"/>
          <w:bCs/>
          <w:iCs/>
          <w:sz w:val="24"/>
          <w:szCs w:val="24"/>
          <w:vertAlign w:val="superscript"/>
        </w:rPr>
        <w:t>,</w:t>
      </w:r>
      <w:r w:rsidR="00C677DE">
        <w:rPr>
          <w:rStyle w:val="FootnoteReference"/>
          <w:rFonts w:ascii="Garamond" w:hAnsi="Garamond" w:cs="Arial"/>
          <w:bCs/>
          <w:iCs/>
          <w:sz w:val="24"/>
          <w:szCs w:val="24"/>
        </w:rPr>
        <w:footnoteReference w:id="20"/>
      </w:r>
      <w:r w:rsidR="00194F0B" w:rsidRPr="002E17E8">
        <w:rPr>
          <w:rFonts w:ascii="Garamond" w:hAnsi="Garamond" w:cs="Arial"/>
          <w:bCs/>
          <w:iCs/>
          <w:sz w:val="24"/>
          <w:szCs w:val="24"/>
        </w:rPr>
        <w:t xml:space="preserve"> The Applicant </w:t>
      </w:r>
      <w:r w:rsidRPr="002E17E8">
        <w:rPr>
          <w:rFonts w:ascii="Garamond" w:hAnsi="Garamond" w:cs="Arial"/>
          <w:bCs/>
          <w:iCs/>
          <w:sz w:val="24"/>
          <w:szCs w:val="24"/>
        </w:rPr>
        <w:t xml:space="preserve">reviewed </w:t>
      </w:r>
      <w:r w:rsidR="00194F0B" w:rsidRPr="002E17E8">
        <w:rPr>
          <w:rFonts w:ascii="Garamond" w:hAnsi="Garamond" w:cs="Arial"/>
          <w:bCs/>
          <w:iCs/>
          <w:sz w:val="24"/>
          <w:szCs w:val="24"/>
        </w:rPr>
        <w:t xml:space="preserve">the benefits of </w:t>
      </w:r>
      <w:r w:rsidR="00CA356F" w:rsidRPr="002E17E8">
        <w:rPr>
          <w:rFonts w:ascii="Garamond" w:hAnsi="Garamond" w:cs="Arial"/>
          <w:bCs/>
          <w:iCs/>
          <w:sz w:val="24"/>
          <w:szCs w:val="24"/>
        </w:rPr>
        <w:t xml:space="preserve">surgeries </w:t>
      </w:r>
      <w:r w:rsidR="003E3C37" w:rsidRPr="002E17E8">
        <w:rPr>
          <w:rFonts w:ascii="Garamond" w:hAnsi="Garamond" w:cs="Arial"/>
          <w:bCs/>
          <w:iCs/>
          <w:sz w:val="24"/>
          <w:szCs w:val="24"/>
        </w:rPr>
        <w:t>moving to</w:t>
      </w:r>
      <w:r w:rsidR="00CA356F" w:rsidRPr="002E17E8">
        <w:rPr>
          <w:rFonts w:ascii="Garamond" w:hAnsi="Garamond" w:cs="Arial"/>
          <w:bCs/>
          <w:iCs/>
          <w:sz w:val="24"/>
          <w:szCs w:val="24"/>
        </w:rPr>
        <w:t xml:space="preserve"> the ASC setting, </w:t>
      </w:r>
      <w:r w:rsidR="006A2DA9" w:rsidRPr="002E17E8">
        <w:rPr>
          <w:rFonts w:ascii="Garamond" w:hAnsi="Garamond" w:cs="Arial"/>
          <w:bCs/>
          <w:iCs/>
          <w:sz w:val="24"/>
          <w:szCs w:val="24"/>
        </w:rPr>
        <w:t>including</w:t>
      </w:r>
      <w:r w:rsidR="00CA356F" w:rsidRPr="002E17E8">
        <w:rPr>
          <w:rFonts w:ascii="Garamond" w:hAnsi="Garamond" w:cs="Arial"/>
          <w:bCs/>
          <w:iCs/>
          <w:sz w:val="24"/>
          <w:szCs w:val="24"/>
        </w:rPr>
        <w:t xml:space="preserve"> </w:t>
      </w:r>
      <w:r w:rsidR="00194F0B" w:rsidRPr="002E17E8">
        <w:rPr>
          <w:rFonts w:ascii="Garamond" w:hAnsi="Garamond" w:cs="Arial"/>
          <w:bCs/>
          <w:iCs/>
          <w:sz w:val="24"/>
          <w:szCs w:val="24"/>
        </w:rPr>
        <w:t>i</w:t>
      </w:r>
      <w:r w:rsidR="004862CF" w:rsidRPr="002E17E8">
        <w:rPr>
          <w:rFonts w:ascii="Garamond" w:hAnsi="Garamond" w:cs="Arial"/>
          <w:bCs/>
          <w:iCs/>
          <w:sz w:val="24"/>
          <w:szCs w:val="24"/>
        </w:rPr>
        <w:t xml:space="preserve">mage guided surgery </w:t>
      </w:r>
      <w:r w:rsidR="007301A6" w:rsidRPr="002E17E8">
        <w:rPr>
          <w:rFonts w:ascii="Garamond" w:hAnsi="Garamond" w:cs="Arial"/>
          <w:bCs/>
          <w:iCs/>
          <w:sz w:val="24"/>
          <w:szCs w:val="24"/>
        </w:rPr>
        <w:t>(IGS)</w:t>
      </w:r>
      <w:r w:rsidR="000F78EA" w:rsidRPr="002E17E8">
        <w:rPr>
          <w:rFonts w:ascii="Garamond" w:hAnsi="Garamond" w:cs="Arial"/>
          <w:bCs/>
          <w:iCs/>
          <w:sz w:val="24"/>
          <w:szCs w:val="24"/>
        </w:rPr>
        <w:t>, which</w:t>
      </w:r>
      <w:r w:rsidR="00195C98" w:rsidRPr="002E17E8">
        <w:rPr>
          <w:rFonts w:ascii="Garamond" w:hAnsi="Garamond" w:cs="Arial"/>
          <w:bCs/>
          <w:iCs/>
          <w:sz w:val="24"/>
          <w:szCs w:val="24"/>
        </w:rPr>
        <w:t xml:space="preserve"> </w:t>
      </w:r>
      <w:r w:rsidR="004862CF" w:rsidRPr="002E17E8">
        <w:rPr>
          <w:rFonts w:ascii="Garamond" w:hAnsi="Garamond" w:cs="Arial"/>
          <w:bCs/>
          <w:iCs/>
          <w:sz w:val="24"/>
          <w:szCs w:val="24"/>
        </w:rPr>
        <w:t xml:space="preserve">offers </w:t>
      </w:r>
      <w:r w:rsidR="00765EAE" w:rsidRPr="002E17E8">
        <w:rPr>
          <w:rFonts w:ascii="Garamond" w:hAnsi="Garamond" w:cs="Arial"/>
          <w:bCs/>
          <w:iCs/>
          <w:sz w:val="24"/>
          <w:szCs w:val="24"/>
        </w:rPr>
        <w:t>3-dimensional</w:t>
      </w:r>
      <w:r w:rsidR="000F7045" w:rsidRPr="002E17E8">
        <w:rPr>
          <w:rFonts w:ascii="Garamond" w:hAnsi="Garamond" w:cs="Arial"/>
          <w:bCs/>
          <w:iCs/>
          <w:sz w:val="24"/>
          <w:szCs w:val="24"/>
        </w:rPr>
        <w:t xml:space="preserve"> imaging and </w:t>
      </w:r>
      <w:r w:rsidR="004772DD" w:rsidRPr="002E17E8">
        <w:rPr>
          <w:rFonts w:ascii="Garamond" w:hAnsi="Garamond" w:cs="Arial"/>
          <w:bCs/>
          <w:iCs/>
          <w:sz w:val="24"/>
          <w:szCs w:val="24"/>
        </w:rPr>
        <w:t xml:space="preserve">better </w:t>
      </w:r>
      <w:r w:rsidR="004862CF" w:rsidRPr="002E17E8">
        <w:rPr>
          <w:rFonts w:ascii="Garamond" w:hAnsi="Garamond" w:cs="Arial"/>
          <w:bCs/>
          <w:iCs/>
          <w:sz w:val="24"/>
          <w:szCs w:val="24"/>
        </w:rPr>
        <w:t>v</w:t>
      </w:r>
      <w:r w:rsidR="000F7045" w:rsidRPr="002E17E8">
        <w:rPr>
          <w:rFonts w:ascii="Garamond" w:hAnsi="Garamond" w:cs="Arial"/>
          <w:bCs/>
          <w:iCs/>
          <w:sz w:val="24"/>
          <w:szCs w:val="24"/>
        </w:rPr>
        <w:t>isibility</w:t>
      </w:r>
      <w:r w:rsidR="004862CF" w:rsidRPr="002E17E8">
        <w:rPr>
          <w:rFonts w:ascii="Garamond" w:hAnsi="Garamond" w:cs="Arial"/>
          <w:bCs/>
          <w:iCs/>
          <w:sz w:val="24"/>
          <w:szCs w:val="24"/>
        </w:rPr>
        <w:t xml:space="preserve"> </w:t>
      </w:r>
      <w:r w:rsidR="000F7045" w:rsidRPr="002E17E8">
        <w:rPr>
          <w:rFonts w:ascii="Garamond" w:hAnsi="Garamond" w:cs="Arial"/>
          <w:bCs/>
          <w:iCs/>
          <w:sz w:val="24"/>
          <w:szCs w:val="24"/>
        </w:rPr>
        <w:t xml:space="preserve">in guiding surgical instruments to </w:t>
      </w:r>
      <w:r w:rsidR="004862CF" w:rsidRPr="002E17E8">
        <w:rPr>
          <w:rFonts w:ascii="Garamond" w:hAnsi="Garamond" w:cs="Arial"/>
          <w:bCs/>
          <w:iCs/>
          <w:sz w:val="24"/>
          <w:szCs w:val="24"/>
        </w:rPr>
        <w:t>improve</w:t>
      </w:r>
      <w:r w:rsidR="00F01645" w:rsidRPr="002E17E8">
        <w:rPr>
          <w:rFonts w:ascii="Garamond" w:hAnsi="Garamond" w:cs="Arial"/>
          <w:bCs/>
          <w:iCs/>
          <w:sz w:val="24"/>
          <w:szCs w:val="24"/>
        </w:rPr>
        <w:t xml:space="preserve"> precision</w:t>
      </w:r>
      <w:r w:rsidR="000F78EA" w:rsidRPr="002E17E8">
        <w:rPr>
          <w:rFonts w:ascii="Garamond" w:hAnsi="Garamond" w:cs="Arial"/>
          <w:bCs/>
          <w:iCs/>
          <w:sz w:val="24"/>
          <w:szCs w:val="24"/>
        </w:rPr>
        <w:t xml:space="preserve">, </w:t>
      </w:r>
      <w:r w:rsidR="000F7045" w:rsidRPr="002E17E8">
        <w:rPr>
          <w:rFonts w:ascii="Garamond" w:hAnsi="Garamond" w:cs="Arial"/>
          <w:bCs/>
          <w:iCs/>
          <w:sz w:val="24"/>
          <w:szCs w:val="24"/>
        </w:rPr>
        <w:t>reduce</w:t>
      </w:r>
      <w:r w:rsidR="00634333" w:rsidRPr="002E17E8">
        <w:rPr>
          <w:rFonts w:ascii="Garamond" w:hAnsi="Garamond" w:cs="Arial"/>
          <w:bCs/>
          <w:iCs/>
          <w:sz w:val="24"/>
          <w:szCs w:val="24"/>
        </w:rPr>
        <w:t xml:space="preserve"> risk of</w:t>
      </w:r>
      <w:r w:rsidR="000F7045" w:rsidRPr="002E17E8">
        <w:rPr>
          <w:rFonts w:ascii="Garamond" w:hAnsi="Garamond" w:cs="Arial"/>
          <w:bCs/>
          <w:iCs/>
          <w:sz w:val="24"/>
          <w:szCs w:val="24"/>
        </w:rPr>
        <w:t xml:space="preserve"> </w:t>
      </w:r>
      <w:r w:rsidR="004862CF" w:rsidRPr="002E17E8">
        <w:rPr>
          <w:rFonts w:ascii="Garamond" w:hAnsi="Garamond" w:cs="Arial"/>
          <w:bCs/>
          <w:iCs/>
          <w:sz w:val="24"/>
          <w:szCs w:val="24"/>
        </w:rPr>
        <w:t xml:space="preserve">complications and </w:t>
      </w:r>
      <w:r w:rsidR="000F78EA" w:rsidRPr="002E17E8">
        <w:rPr>
          <w:rFonts w:ascii="Garamond" w:hAnsi="Garamond" w:cs="Arial"/>
          <w:bCs/>
          <w:iCs/>
          <w:sz w:val="24"/>
          <w:szCs w:val="24"/>
        </w:rPr>
        <w:t xml:space="preserve">reduce </w:t>
      </w:r>
      <w:r w:rsidR="00194F0B" w:rsidRPr="002E17E8">
        <w:rPr>
          <w:rFonts w:ascii="Garamond" w:hAnsi="Garamond" w:cs="Arial"/>
          <w:bCs/>
          <w:iCs/>
          <w:sz w:val="24"/>
          <w:szCs w:val="24"/>
        </w:rPr>
        <w:t>the recovery period</w:t>
      </w:r>
      <w:r w:rsidR="004862CF" w:rsidRPr="002E17E8">
        <w:rPr>
          <w:rFonts w:ascii="Garamond" w:hAnsi="Garamond" w:cs="Arial"/>
          <w:bCs/>
          <w:iCs/>
          <w:sz w:val="24"/>
          <w:szCs w:val="24"/>
        </w:rPr>
        <w:t>.</w:t>
      </w:r>
      <w:r w:rsidR="001020D8">
        <w:rPr>
          <w:rStyle w:val="EndnoteReference"/>
          <w:rFonts w:ascii="Garamond" w:hAnsi="Garamond" w:cs="Arial"/>
          <w:bCs/>
          <w:iCs/>
          <w:sz w:val="24"/>
          <w:szCs w:val="24"/>
        </w:rPr>
        <w:endnoteReference w:id="20"/>
      </w:r>
      <w:r w:rsidR="00362D81" w:rsidRPr="002E17E8">
        <w:rPr>
          <w:rFonts w:ascii="Garamond" w:hAnsi="Garamond" w:cs="Arial"/>
          <w:bCs/>
          <w:iCs/>
          <w:sz w:val="24"/>
          <w:szCs w:val="24"/>
          <w:vertAlign w:val="superscript"/>
        </w:rPr>
        <w:t>,</w:t>
      </w:r>
      <w:r w:rsidR="00362D81">
        <w:rPr>
          <w:rStyle w:val="FootnoteReference"/>
          <w:rFonts w:ascii="Garamond" w:hAnsi="Garamond" w:cs="Arial"/>
          <w:bCs/>
          <w:iCs/>
          <w:sz w:val="24"/>
          <w:szCs w:val="24"/>
        </w:rPr>
        <w:footnoteReference w:id="21"/>
      </w:r>
      <w:r w:rsidR="003203FD" w:rsidRPr="002E17E8">
        <w:rPr>
          <w:rFonts w:ascii="Garamond" w:hAnsi="Garamond" w:cs="Arial"/>
          <w:bCs/>
          <w:iCs/>
          <w:sz w:val="24"/>
          <w:szCs w:val="24"/>
        </w:rPr>
        <w:t xml:space="preserve"> The Applicant </w:t>
      </w:r>
      <w:r w:rsidR="006A2DA9" w:rsidRPr="002E17E8">
        <w:rPr>
          <w:rFonts w:ascii="Garamond" w:hAnsi="Garamond" w:cs="Arial"/>
          <w:bCs/>
          <w:iCs/>
          <w:sz w:val="24"/>
          <w:szCs w:val="24"/>
        </w:rPr>
        <w:t xml:space="preserve">also </w:t>
      </w:r>
      <w:r w:rsidR="003203FD" w:rsidRPr="002E17E8">
        <w:rPr>
          <w:rFonts w:ascii="Garamond" w:hAnsi="Garamond" w:cs="Arial"/>
          <w:bCs/>
          <w:iCs/>
          <w:sz w:val="24"/>
          <w:szCs w:val="24"/>
        </w:rPr>
        <w:t>cited reports showing ASCs offer quality outcomes that are comparable to outcomes for outpatient surgery performed in a hospital setting.</w:t>
      </w:r>
      <w:r w:rsidR="003203FD">
        <w:rPr>
          <w:rStyle w:val="EndnoteReference"/>
          <w:rFonts w:ascii="Garamond" w:hAnsi="Garamond" w:cs="Arial"/>
          <w:bCs/>
          <w:iCs/>
          <w:sz w:val="24"/>
          <w:szCs w:val="24"/>
        </w:rPr>
        <w:endnoteReference w:id="21"/>
      </w:r>
      <w:r w:rsidR="003203FD" w:rsidRPr="002E17E8">
        <w:rPr>
          <w:rFonts w:ascii="Garamond" w:hAnsi="Garamond" w:cs="Arial"/>
          <w:bCs/>
          <w:iCs/>
          <w:sz w:val="24"/>
          <w:szCs w:val="24"/>
          <w:vertAlign w:val="superscript"/>
        </w:rPr>
        <w:t>,</w:t>
      </w:r>
      <w:r w:rsidR="003203FD">
        <w:rPr>
          <w:rStyle w:val="EndnoteReference"/>
          <w:rFonts w:ascii="Garamond" w:hAnsi="Garamond" w:cs="Arial"/>
          <w:bCs/>
          <w:iCs/>
          <w:sz w:val="24"/>
          <w:szCs w:val="24"/>
        </w:rPr>
        <w:endnoteReference w:id="22"/>
      </w:r>
      <w:r w:rsidR="000B6844" w:rsidRPr="002E17E8">
        <w:rPr>
          <w:rFonts w:ascii="Garamond" w:hAnsi="Garamond" w:cs="Arial"/>
          <w:bCs/>
          <w:iCs/>
          <w:sz w:val="24"/>
          <w:szCs w:val="24"/>
          <w:vertAlign w:val="superscript"/>
        </w:rPr>
        <w:t xml:space="preserve"> </w:t>
      </w:r>
      <w:r w:rsidR="000B6844" w:rsidRPr="002E17E8">
        <w:rPr>
          <w:rFonts w:ascii="Garamond" w:hAnsi="Garamond" w:cs="Arial"/>
          <w:bCs/>
          <w:iCs/>
          <w:sz w:val="24"/>
          <w:szCs w:val="24"/>
        </w:rPr>
        <w:t xml:space="preserve">Additionally, the shift from </w:t>
      </w:r>
      <w:r w:rsidR="00F66FB9" w:rsidRPr="002E17E8">
        <w:rPr>
          <w:rFonts w:ascii="Garamond" w:hAnsi="Garamond" w:cs="Arial"/>
          <w:bCs/>
          <w:iCs/>
          <w:sz w:val="24"/>
          <w:szCs w:val="24"/>
        </w:rPr>
        <w:t xml:space="preserve">prescription </w:t>
      </w:r>
      <w:r w:rsidR="000B6844" w:rsidRPr="002E17E8">
        <w:rPr>
          <w:rFonts w:ascii="Garamond" w:hAnsi="Garamond" w:cs="Arial"/>
          <w:bCs/>
          <w:iCs/>
          <w:sz w:val="24"/>
          <w:szCs w:val="24"/>
        </w:rPr>
        <w:t xml:space="preserve">opioid </w:t>
      </w:r>
      <w:r w:rsidR="00F66FB9" w:rsidRPr="002E17E8">
        <w:rPr>
          <w:rFonts w:ascii="Garamond" w:hAnsi="Garamond" w:cs="Arial"/>
          <w:bCs/>
          <w:iCs/>
          <w:sz w:val="24"/>
          <w:szCs w:val="24"/>
        </w:rPr>
        <w:t>medications</w:t>
      </w:r>
      <w:r w:rsidR="00B87AE2" w:rsidRPr="002E17E8">
        <w:rPr>
          <w:rFonts w:ascii="Garamond" w:hAnsi="Garamond" w:cs="Arial"/>
          <w:bCs/>
          <w:iCs/>
          <w:sz w:val="24"/>
          <w:szCs w:val="24"/>
        </w:rPr>
        <w:t xml:space="preserve"> </w:t>
      </w:r>
      <w:r w:rsidR="000B6844" w:rsidRPr="002E17E8">
        <w:rPr>
          <w:rFonts w:ascii="Garamond" w:hAnsi="Garamond" w:cs="Arial"/>
          <w:bCs/>
          <w:iCs/>
          <w:sz w:val="24"/>
          <w:szCs w:val="24"/>
        </w:rPr>
        <w:t>to surgical procedures to manage chronic pai</w:t>
      </w:r>
      <w:r w:rsidR="00FC7AA0" w:rsidRPr="002E17E8">
        <w:rPr>
          <w:rFonts w:ascii="Garamond" w:hAnsi="Garamond" w:cs="Arial"/>
          <w:bCs/>
          <w:iCs/>
          <w:sz w:val="24"/>
          <w:szCs w:val="24"/>
        </w:rPr>
        <w:t>n and</w:t>
      </w:r>
      <w:r w:rsidR="000B6844" w:rsidRPr="002E17E8">
        <w:rPr>
          <w:rFonts w:ascii="Garamond" w:hAnsi="Garamond" w:cs="Arial"/>
          <w:bCs/>
          <w:iCs/>
          <w:sz w:val="24"/>
          <w:szCs w:val="24"/>
        </w:rPr>
        <w:t xml:space="preserve"> </w:t>
      </w:r>
      <w:r w:rsidR="00FC7AA0" w:rsidRPr="002E17E8">
        <w:rPr>
          <w:rFonts w:ascii="Garamond" w:hAnsi="Garamond" w:cs="Arial"/>
          <w:bCs/>
          <w:iCs/>
          <w:sz w:val="24"/>
          <w:szCs w:val="24"/>
        </w:rPr>
        <w:t xml:space="preserve">reduce opioid </w:t>
      </w:r>
      <w:r w:rsidR="00565597" w:rsidRPr="002E17E8">
        <w:rPr>
          <w:rFonts w:ascii="Garamond" w:hAnsi="Garamond" w:cs="Arial"/>
          <w:bCs/>
          <w:iCs/>
          <w:sz w:val="24"/>
          <w:szCs w:val="24"/>
        </w:rPr>
        <w:t>prescribing</w:t>
      </w:r>
      <w:r w:rsidR="00FC7AA0" w:rsidRPr="002E17E8">
        <w:rPr>
          <w:rFonts w:ascii="Garamond" w:hAnsi="Garamond" w:cs="Arial"/>
          <w:bCs/>
          <w:iCs/>
          <w:sz w:val="24"/>
          <w:szCs w:val="24"/>
        </w:rPr>
        <w:t xml:space="preserve"> is an important public health goal</w:t>
      </w:r>
      <w:r w:rsidR="000B6844" w:rsidRPr="002E17E8">
        <w:rPr>
          <w:rFonts w:ascii="Garamond" w:hAnsi="Garamond" w:cs="Arial"/>
          <w:bCs/>
          <w:iCs/>
          <w:sz w:val="24"/>
          <w:szCs w:val="24"/>
        </w:rPr>
        <w:t>.</w:t>
      </w:r>
      <w:r w:rsidR="000B6844" w:rsidRPr="002E17E8">
        <w:rPr>
          <w:rFonts w:ascii="Garamond" w:hAnsi="Garamond" w:cs="Arial"/>
          <w:bCs/>
          <w:iCs/>
          <w:sz w:val="24"/>
          <w:szCs w:val="24"/>
          <w:vertAlign w:val="superscript"/>
        </w:rPr>
        <w:t xml:space="preserve"> </w:t>
      </w:r>
      <w:r w:rsidR="00F87E7F">
        <w:rPr>
          <w:rStyle w:val="EndnoteReference"/>
          <w:rFonts w:ascii="Garamond" w:hAnsi="Garamond" w:cs="Arial"/>
          <w:bCs/>
          <w:iCs/>
          <w:sz w:val="24"/>
          <w:szCs w:val="24"/>
        </w:rPr>
        <w:endnoteReference w:id="23"/>
      </w:r>
    </w:p>
    <w:p w14:paraId="7838B35F" w14:textId="5D6C32AC" w:rsidR="00A742FF" w:rsidRPr="002E17E8" w:rsidRDefault="00A6137A" w:rsidP="002E17E8">
      <w:pPr>
        <w:pStyle w:val="ListParagraph"/>
        <w:numPr>
          <w:ilvl w:val="0"/>
          <w:numId w:val="15"/>
        </w:numPr>
        <w:shd w:val="clear" w:color="auto" w:fill="FFFFFF" w:themeFill="background1"/>
        <w:spacing w:after="0" w:line="240" w:lineRule="auto"/>
        <w:rPr>
          <w:rFonts w:ascii="Garamond" w:hAnsi="Garamond"/>
          <w:b/>
          <w:sz w:val="24"/>
          <w:szCs w:val="24"/>
        </w:rPr>
      </w:pPr>
      <w:r w:rsidRPr="002E17E8">
        <w:rPr>
          <w:rFonts w:ascii="Garamond" w:hAnsi="Garamond"/>
          <w:b/>
          <w:sz w:val="24"/>
          <w:szCs w:val="24"/>
        </w:rPr>
        <w:t>Improved patient experience</w:t>
      </w:r>
      <w:bookmarkStart w:id="166" w:name="_Toc17149377"/>
      <w:bookmarkStart w:id="167" w:name="_Toc17151181"/>
      <w:r w:rsidR="00FC7AA0" w:rsidRPr="002E17E8">
        <w:rPr>
          <w:rFonts w:ascii="Garamond" w:hAnsi="Garamond"/>
          <w:b/>
          <w:sz w:val="24"/>
          <w:szCs w:val="24"/>
        </w:rPr>
        <w:t xml:space="preserve"> - </w:t>
      </w:r>
      <w:r w:rsidR="00206738" w:rsidRPr="002E17E8">
        <w:rPr>
          <w:rFonts w:ascii="Garamond" w:hAnsi="Garamond"/>
          <w:sz w:val="24"/>
          <w:szCs w:val="24"/>
        </w:rPr>
        <w:t xml:space="preserve">Provision of care in the ASC setting is associated with </w:t>
      </w:r>
      <w:r w:rsidR="007F3420" w:rsidRPr="002E17E8">
        <w:rPr>
          <w:rFonts w:ascii="Garamond" w:hAnsi="Garamond"/>
          <w:sz w:val="24"/>
          <w:szCs w:val="24"/>
        </w:rPr>
        <w:t>enhanced convenience and satisfaction for patients</w:t>
      </w:r>
      <w:r w:rsidR="0072314E" w:rsidRPr="002E17E8">
        <w:rPr>
          <w:rFonts w:ascii="Garamond" w:hAnsi="Garamond"/>
          <w:sz w:val="24"/>
          <w:szCs w:val="24"/>
        </w:rPr>
        <w:t xml:space="preserve">. ASCs </w:t>
      </w:r>
      <w:r w:rsidR="004506B5" w:rsidRPr="002E17E8">
        <w:rPr>
          <w:rFonts w:ascii="Garamond" w:hAnsi="Garamond"/>
          <w:sz w:val="24"/>
          <w:szCs w:val="24"/>
        </w:rPr>
        <w:t>offer</w:t>
      </w:r>
      <w:r w:rsidR="0072314E" w:rsidRPr="002E17E8">
        <w:rPr>
          <w:rFonts w:ascii="Garamond" w:hAnsi="Garamond"/>
          <w:sz w:val="24"/>
          <w:szCs w:val="24"/>
        </w:rPr>
        <w:t xml:space="preserve"> c</w:t>
      </w:r>
      <w:r w:rsidR="0066673B" w:rsidRPr="002E17E8">
        <w:rPr>
          <w:rFonts w:ascii="Garamond" w:hAnsi="Garamond"/>
          <w:sz w:val="24"/>
          <w:szCs w:val="24"/>
        </w:rPr>
        <w:t>onvenient locations</w:t>
      </w:r>
      <w:r w:rsidR="00293E9A" w:rsidRPr="002E17E8">
        <w:rPr>
          <w:rFonts w:ascii="Garamond" w:hAnsi="Garamond"/>
          <w:sz w:val="24"/>
          <w:szCs w:val="24"/>
        </w:rPr>
        <w:t xml:space="preserve"> that are</w:t>
      </w:r>
      <w:r w:rsidR="00BD7F51" w:rsidRPr="002E17E8">
        <w:rPr>
          <w:rFonts w:ascii="Garamond" w:hAnsi="Garamond"/>
          <w:sz w:val="24"/>
          <w:szCs w:val="24"/>
        </w:rPr>
        <w:t xml:space="preserve"> easier to navigate than hospital </w:t>
      </w:r>
      <w:r w:rsidR="00FC0477" w:rsidRPr="002E17E8">
        <w:rPr>
          <w:rFonts w:ascii="Garamond" w:hAnsi="Garamond"/>
          <w:sz w:val="24"/>
          <w:szCs w:val="24"/>
        </w:rPr>
        <w:t>structures</w:t>
      </w:r>
      <w:r w:rsidR="00BD7F51" w:rsidRPr="002E17E8">
        <w:rPr>
          <w:rFonts w:ascii="Garamond" w:hAnsi="Garamond"/>
          <w:sz w:val="24"/>
          <w:szCs w:val="24"/>
        </w:rPr>
        <w:t>,</w:t>
      </w:r>
      <w:r w:rsidR="0072314E" w:rsidRPr="002E17E8">
        <w:rPr>
          <w:rFonts w:ascii="Garamond" w:hAnsi="Garamond"/>
          <w:sz w:val="24"/>
          <w:szCs w:val="24"/>
        </w:rPr>
        <w:t xml:space="preserve"> </w:t>
      </w:r>
      <w:r w:rsidR="00B652AA" w:rsidRPr="002E17E8">
        <w:rPr>
          <w:rFonts w:ascii="Garamond" w:hAnsi="Garamond"/>
          <w:sz w:val="24"/>
          <w:szCs w:val="24"/>
        </w:rPr>
        <w:t xml:space="preserve">including </w:t>
      </w:r>
      <w:r w:rsidR="00C72443" w:rsidRPr="002E17E8">
        <w:rPr>
          <w:rFonts w:ascii="Garamond" w:hAnsi="Garamond"/>
          <w:sz w:val="24"/>
          <w:szCs w:val="24"/>
        </w:rPr>
        <w:t xml:space="preserve">simpler </w:t>
      </w:r>
      <w:r w:rsidR="0066673B" w:rsidRPr="002E17E8">
        <w:rPr>
          <w:rFonts w:ascii="Garamond" w:hAnsi="Garamond"/>
          <w:sz w:val="24"/>
          <w:szCs w:val="24"/>
        </w:rPr>
        <w:t>scheduling of procedures, shorter wait times</w:t>
      </w:r>
      <w:r w:rsidR="00BD7F51" w:rsidRPr="002E17E8">
        <w:rPr>
          <w:rFonts w:ascii="Garamond" w:hAnsi="Garamond"/>
          <w:sz w:val="24"/>
          <w:szCs w:val="24"/>
        </w:rPr>
        <w:t xml:space="preserve">, </w:t>
      </w:r>
      <w:r w:rsidR="004506B5" w:rsidRPr="002E17E8">
        <w:rPr>
          <w:rFonts w:ascii="Garamond" w:hAnsi="Garamond"/>
          <w:sz w:val="24"/>
          <w:szCs w:val="24"/>
        </w:rPr>
        <w:t xml:space="preserve">and </w:t>
      </w:r>
      <w:r w:rsidR="00A30C99" w:rsidRPr="002E17E8">
        <w:rPr>
          <w:rFonts w:ascii="Garamond" w:hAnsi="Garamond"/>
          <w:sz w:val="24"/>
          <w:szCs w:val="24"/>
        </w:rPr>
        <w:t xml:space="preserve">improved </w:t>
      </w:r>
      <w:r w:rsidR="00BD7F51" w:rsidRPr="002E17E8">
        <w:rPr>
          <w:rFonts w:ascii="Garamond" w:hAnsi="Garamond"/>
          <w:sz w:val="24"/>
          <w:szCs w:val="24"/>
        </w:rPr>
        <w:t>accessibility to physicians.</w:t>
      </w:r>
      <w:r w:rsidR="001C721C" w:rsidRPr="000D1001">
        <w:rPr>
          <w:rStyle w:val="EndnoteReference"/>
          <w:rFonts w:ascii="Garamond" w:hAnsi="Garamond" w:cs="Arial"/>
          <w:bCs/>
          <w:sz w:val="24"/>
          <w:szCs w:val="24"/>
        </w:rPr>
        <w:endnoteReference w:id="24"/>
      </w:r>
      <w:r w:rsidR="00B72CD8" w:rsidRPr="002E17E8">
        <w:rPr>
          <w:rFonts w:ascii="Garamond" w:hAnsi="Garamond"/>
          <w:sz w:val="24"/>
          <w:szCs w:val="24"/>
          <w:vertAlign w:val="superscript"/>
        </w:rPr>
        <w:t>,</w:t>
      </w:r>
      <w:r w:rsidR="0066673B" w:rsidRPr="000D1001">
        <w:rPr>
          <w:rStyle w:val="EndnoteReference"/>
          <w:rFonts w:ascii="Garamond" w:hAnsi="Garamond" w:cs="Arial"/>
          <w:bCs/>
          <w:sz w:val="24"/>
          <w:szCs w:val="24"/>
        </w:rPr>
        <w:endnoteReference w:id="25"/>
      </w:r>
      <w:r w:rsidR="000B0973" w:rsidRPr="002E17E8">
        <w:rPr>
          <w:rFonts w:ascii="Garamond" w:hAnsi="Garamond"/>
          <w:sz w:val="24"/>
          <w:szCs w:val="24"/>
          <w:vertAlign w:val="superscript"/>
        </w:rPr>
        <w:t>,</w:t>
      </w:r>
      <w:r w:rsidR="000B0973" w:rsidRPr="000D1001">
        <w:rPr>
          <w:rStyle w:val="EndnoteReference"/>
          <w:rFonts w:ascii="Garamond" w:hAnsi="Garamond" w:cs="Arial"/>
          <w:bCs/>
          <w:sz w:val="24"/>
          <w:szCs w:val="24"/>
        </w:rPr>
        <w:endnoteReference w:id="26"/>
      </w:r>
      <w:r w:rsidR="000B56E4" w:rsidRPr="002E17E8">
        <w:rPr>
          <w:rFonts w:ascii="Garamond" w:hAnsi="Garamond"/>
          <w:sz w:val="24"/>
          <w:szCs w:val="24"/>
          <w:vertAlign w:val="superscript"/>
        </w:rPr>
        <w:t xml:space="preserve"> </w:t>
      </w:r>
      <w:r w:rsidR="0072314E" w:rsidRPr="002E17E8">
        <w:rPr>
          <w:rFonts w:ascii="Garamond" w:hAnsi="Garamond"/>
          <w:sz w:val="24"/>
          <w:szCs w:val="24"/>
          <w:vertAlign w:val="superscript"/>
        </w:rPr>
        <w:t xml:space="preserve"> </w:t>
      </w:r>
      <w:r w:rsidR="00A264D9" w:rsidRPr="002E17E8">
        <w:rPr>
          <w:rFonts w:ascii="Garamond" w:hAnsi="Garamond"/>
          <w:sz w:val="24"/>
          <w:szCs w:val="24"/>
        </w:rPr>
        <w:t>Th</w:t>
      </w:r>
      <w:r w:rsidR="00337A36" w:rsidRPr="002E17E8">
        <w:rPr>
          <w:rFonts w:ascii="Garamond" w:hAnsi="Garamond"/>
          <w:sz w:val="24"/>
          <w:szCs w:val="24"/>
        </w:rPr>
        <w:t>ese qualities may be particularly relevant for p</w:t>
      </w:r>
      <w:r w:rsidR="00A264D9" w:rsidRPr="002E17E8">
        <w:rPr>
          <w:rFonts w:ascii="Garamond" w:hAnsi="Garamond"/>
          <w:sz w:val="24"/>
          <w:szCs w:val="24"/>
        </w:rPr>
        <w:t>atients age 65 and over, who find</w:t>
      </w:r>
      <w:r w:rsidR="00C72443" w:rsidRPr="002E17E8">
        <w:rPr>
          <w:rFonts w:ascii="Garamond" w:hAnsi="Garamond"/>
          <w:sz w:val="24"/>
          <w:szCs w:val="24"/>
        </w:rPr>
        <w:t xml:space="preserve"> both access to</w:t>
      </w:r>
      <w:r w:rsidR="00FC7AA0" w:rsidRPr="002E17E8">
        <w:rPr>
          <w:rFonts w:ascii="Garamond" w:hAnsi="Garamond"/>
          <w:sz w:val="24"/>
          <w:szCs w:val="24"/>
        </w:rPr>
        <w:t>,</w:t>
      </w:r>
      <w:r w:rsidR="00C72443" w:rsidRPr="002E17E8">
        <w:rPr>
          <w:rFonts w:ascii="Garamond" w:hAnsi="Garamond"/>
          <w:sz w:val="24"/>
          <w:szCs w:val="24"/>
        </w:rPr>
        <w:t xml:space="preserve"> and the experience of</w:t>
      </w:r>
      <w:r w:rsidR="00A264D9" w:rsidRPr="002E17E8">
        <w:rPr>
          <w:rFonts w:ascii="Garamond" w:hAnsi="Garamond"/>
          <w:sz w:val="24"/>
          <w:szCs w:val="24"/>
        </w:rPr>
        <w:t xml:space="preserve"> the freestanding ASC less complicated </w:t>
      </w:r>
      <w:r w:rsidR="004506B5" w:rsidRPr="002E17E8">
        <w:rPr>
          <w:rFonts w:ascii="Garamond" w:hAnsi="Garamond"/>
          <w:sz w:val="24"/>
          <w:szCs w:val="24"/>
        </w:rPr>
        <w:t>than the hospital setting</w:t>
      </w:r>
      <w:r w:rsidR="000229D3" w:rsidRPr="002E17E8">
        <w:rPr>
          <w:rFonts w:ascii="Garamond" w:hAnsi="Garamond"/>
          <w:sz w:val="24"/>
          <w:szCs w:val="24"/>
        </w:rPr>
        <w:t>.</w:t>
      </w:r>
      <w:r w:rsidR="00B362F1">
        <w:rPr>
          <w:rStyle w:val="EndnoteReference"/>
          <w:rFonts w:ascii="Garamond" w:hAnsi="Garamond"/>
          <w:sz w:val="24"/>
          <w:szCs w:val="24"/>
        </w:rPr>
        <w:endnoteReference w:id="27"/>
      </w:r>
      <w:r w:rsidR="000229D3" w:rsidRPr="002E17E8">
        <w:rPr>
          <w:rFonts w:ascii="Garamond" w:hAnsi="Garamond"/>
          <w:sz w:val="24"/>
          <w:szCs w:val="24"/>
        </w:rPr>
        <w:t xml:space="preserve"> </w:t>
      </w:r>
    </w:p>
    <w:p w14:paraId="29022AC2" w14:textId="1A32E4D4" w:rsidR="008B2AE9" w:rsidRPr="00264E5C" w:rsidRDefault="00060E72" w:rsidP="002E17E8">
      <w:pPr>
        <w:pStyle w:val="ListParagraph"/>
        <w:numPr>
          <w:ilvl w:val="0"/>
          <w:numId w:val="2"/>
        </w:numPr>
        <w:shd w:val="clear" w:color="auto" w:fill="FFFFFF" w:themeFill="background1"/>
        <w:spacing w:after="0" w:line="240" w:lineRule="auto"/>
        <w:rPr>
          <w:rFonts w:ascii="Garamond" w:hAnsi="Garamond" w:cs="Arial"/>
          <w:bCs/>
          <w:iCs/>
          <w:sz w:val="24"/>
          <w:szCs w:val="24"/>
        </w:rPr>
      </w:pPr>
      <w:r w:rsidRPr="003203FD">
        <w:rPr>
          <w:rFonts w:ascii="Garamond" w:hAnsi="Garamond" w:cs="Arial"/>
          <w:b/>
          <w:iCs/>
          <w:sz w:val="24"/>
          <w:szCs w:val="24"/>
        </w:rPr>
        <w:t>Regulatory Oversight</w:t>
      </w:r>
      <w:r w:rsidR="00FC7AA0">
        <w:rPr>
          <w:rFonts w:ascii="Garamond" w:hAnsi="Garamond" w:cs="Arial"/>
          <w:b/>
          <w:iCs/>
          <w:sz w:val="24"/>
          <w:szCs w:val="24"/>
        </w:rPr>
        <w:t xml:space="preserve"> -</w:t>
      </w:r>
      <w:r w:rsidR="00FC7AA0" w:rsidRPr="003203FD">
        <w:rPr>
          <w:rFonts w:ascii="Garamond" w:hAnsi="Garamond" w:cs="Arial"/>
          <w:b/>
          <w:iCs/>
          <w:sz w:val="24"/>
          <w:szCs w:val="24"/>
        </w:rPr>
        <w:t xml:space="preserve"> </w:t>
      </w:r>
      <w:r w:rsidRPr="003203FD">
        <w:rPr>
          <w:rFonts w:ascii="Garamond" w:hAnsi="Garamond" w:cs="Arial"/>
          <w:bCs/>
          <w:sz w:val="24"/>
          <w:szCs w:val="24"/>
        </w:rPr>
        <w:t>The Applicant conducts regular assessments of quality of care through required reporting for certification by CMS and</w:t>
      </w:r>
      <w:r w:rsidR="0030762F" w:rsidRPr="003203FD">
        <w:rPr>
          <w:rFonts w:ascii="Garamond" w:hAnsi="Garamond" w:cs="Arial"/>
          <w:bCs/>
          <w:sz w:val="24"/>
          <w:szCs w:val="24"/>
        </w:rPr>
        <w:t xml:space="preserve"> accreditation by</w:t>
      </w:r>
      <w:r w:rsidRPr="003203FD">
        <w:rPr>
          <w:rFonts w:ascii="Garamond" w:hAnsi="Garamond" w:cs="Arial"/>
          <w:bCs/>
          <w:sz w:val="24"/>
          <w:szCs w:val="24"/>
        </w:rPr>
        <w:t xml:space="preserve"> AAAHC. The Applicant </w:t>
      </w:r>
      <w:r w:rsidRPr="003203FD">
        <w:rPr>
          <w:rFonts w:ascii="Garamond" w:hAnsi="Garamond" w:cs="Arial"/>
          <w:bCs/>
          <w:iCs/>
          <w:sz w:val="24"/>
          <w:szCs w:val="24"/>
        </w:rPr>
        <w:t xml:space="preserve">demonstrates favorable metrics </w:t>
      </w:r>
      <w:r w:rsidR="00B9642E">
        <w:rPr>
          <w:rFonts w:ascii="Garamond" w:hAnsi="Garamond" w:cs="Arial"/>
          <w:bCs/>
          <w:iCs/>
          <w:sz w:val="24"/>
          <w:szCs w:val="24"/>
        </w:rPr>
        <w:t xml:space="preserve">for its </w:t>
      </w:r>
      <w:r w:rsidR="0014549A">
        <w:rPr>
          <w:rFonts w:ascii="Garamond" w:hAnsi="Garamond" w:cs="Arial"/>
          <w:bCs/>
          <w:iCs/>
          <w:sz w:val="24"/>
          <w:szCs w:val="24"/>
        </w:rPr>
        <w:t xml:space="preserve">2017 and 2018 </w:t>
      </w:r>
      <w:r w:rsidR="00B9642E">
        <w:rPr>
          <w:rFonts w:ascii="Garamond" w:hAnsi="Garamond" w:cs="Arial"/>
          <w:bCs/>
          <w:iCs/>
          <w:sz w:val="24"/>
          <w:szCs w:val="24"/>
        </w:rPr>
        <w:t xml:space="preserve">reporting through </w:t>
      </w:r>
      <w:r w:rsidR="00B9642E" w:rsidRPr="00B9642E">
        <w:rPr>
          <w:rFonts w:ascii="Garamond" w:hAnsi="Garamond" w:cs="Arial"/>
          <w:bCs/>
          <w:iCs/>
          <w:sz w:val="24"/>
          <w:szCs w:val="24"/>
        </w:rPr>
        <w:t>Medicare’s Ambulatory Surgical Center Quality Reporting</w:t>
      </w:r>
      <w:r w:rsidR="00694538">
        <w:rPr>
          <w:rFonts w:ascii="Garamond" w:hAnsi="Garamond" w:cs="Arial"/>
          <w:bCs/>
          <w:iCs/>
          <w:sz w:val="24"/>
          <w:szCs w:val="24"/>
        </w:rPr>
        <w:t xml:space="preserve"> </w:t>
      </w:r>
      <w:r w:rsidR="00B9642E" w:rsidRPr="00B9642E">
        <w:rPr>
          <w:rFonts w:ascii="Garamond" w:hAnsi="Garamond" w:cs="Arial"/>
          <w:bCs/>
          <w:iCs/>
          <w:sz w:val="24"/>
          <w:szCs w:val="24"/>
        </w:rPr>
        <w:t>(ASCQR) Program</w:t>
      </w:r>
      <w:r w:rsidRPr="003203FD">
        <w:rPr>
          <w:rFonts w:ascii="Garamond" w:hAnsi="Garamond" w:cs="Arial"/>
          <w:bCs/>
          <w:iCs/>
          <w:sz w:val="24"/>
          <w:szCs w:val="24"/>
        </w:rPr>
        <w:t xml:space="preserve">. </w:t>
      </w:r>
      <w:r w:rsidR="00064B9C" w:rsidRPr="003203FD">
        <w:rPr>
          <w:rFonts w:ascii="Garamond" w:hAnsi="Garamond"/>
          <w:sz w:val="24"/>
          <w:szCs w:val="24"/>
        </w:rPr>
        <w:t>The Applicant submitted patient satisfaction measures collected from patients after discharge fr</w:t>
      </w:r>
      <w:r w:rsidR="00AC16C2">
        <w:rPr>
          <w:rFonts w:ascii="Garamond" w:hAnsi="Garamond"/>
          <w:sz w:val="24"/>
          <w:szCs w:val="24"/>
        </w:rPr>
        <w:t>om the period March 2017 to September</w:t>
      </w:r>
      <w:r w:rsidR="00064B9C" w:rsidRPr="003203FD">
        <w:rPr>
          <w:rFonts w:ascii="Garamond" w:hAnsi="Garamond"/>
          <w:sz w:val="24"/>
          <w:szCs w:val="24"/>
        </w:rPr>
        <w:t xml:space="preserve"> 2019 in accordance with CMS and AAAHC requirements. Survey results indicate high levels of satisfaction with treatment.</w:t>
      </w:r>
      <w:r w:rsidR="00064B9C">
        <w:rPr>
          <w:rStyle w:val="FootnoteReference"/>
          <w:rFonts w:ascii="Garamond" w:hAnsi="Garamond"/>
          <w:sz w:val="24"/>
          <w:szCs w:val="24"/>
        </w:rPr>
        <w:footnoteReference w:id="22"/>
      </w:r>
      <w:r w:rsidR="00064B9C" w:rsidRPr="003203FD">
        <w:rPr>
          <w:rFonts w:ascii="Garamond" w:hAnsi="Garamond"/>
          <w:sz w:val="24"/>
          <w:szCs w:val="24"/>
        </w:rPr>
        <w:t xml:space="preserve"> </w:t>
      </w:r>
    </w:p>
    <w:p w14:paraId="075F84B9" w14:textId="77777777" w:rsidR="00851760" w:rsidRPr="003203FD" w:rsidRDefault="00851760" w:rsidP="00851760">
      <w:pPr>
        <w:pStyle w:val="ListParagraph"/>
        <w:shd w:val="clear" w:color="auto" w:fill="FFFFFF" w:themeFill="background1"/>
        <w:spacing w:after="0" w:line="240" w:lineRule="auto"/>
        <w:ind w:left="360"/>
        <w:rPr>
          <w:rFonts w:ascii="Garamond" w:hAnsi="Garamond" w:cs="Arial"/>
          <w:bCs/>
          <w:iCs/>
          <w:sz w:val="24"/>
          <w:szCs w:val="24"/>
        </w:rPr>
      </w:pPr>
    </w:p>
    <w:p w14:paraId="472D0D71" w14:textId="4C912B58" w:rsidR="00645369" w:rsidRPr="007B1C0B" w:rsidRDefault="00645369" w:rsidP="00EA38CA">
      <w:pPr>
        <w:spacing w:after="0" w:line="240" w:lineRule="auto"/>
        <w:contextualSpacing/>
        <w:rPr>
          <w:rFonts w:ascii="Garamond" w:hAnsi="Garamond"/>
          <w:b/>
          <w:i/>
          <w:sz w:val="24"/>
          <w:szCs w:val="24"/>
        </w:rPr>
      </w:pPr>
      <w:r w:rsidRPr="007B1C0B">
        <w:rPr>
          <w:rFonts w:ascii="Garamond" w:hAnsi="Garamond"/>
          <w:b/>
          <w:i/>
          <w:sz w:val="24"/>
          <w:szCs w:val="24"/>
        </w:rPr>
        <w:t>Analysis</w:t>
      </w:r>
    </w:p>
    <w:p w14:paraId="0F973F5B" w14:textId="1F845A69" w:rsidR="00E12E53" w:rsidRDefault="006E470C" w:rsidP="00E12E53">
      <w:pPr>
        <w:spacing w:after="0" w:line="240" w:lineRule="auto"/>
        <w:rPr>
          <w:rFonts w:ascii="Garamond" w:hAnsi="Garamond" w:cs="Arial"/>
          <w:bCs/>
          <w:iCs/>
          <w:sz w:val="24"/>
          <w:szCs w:val="24"/>
        </w:rPr>
      </w:pPr>
      <w:r>
        <w:rPr>
          <w:rFonts w:ascii="Garamond" w:hAnsi="Garamond" w:cs="Arial"/>
          <w:bCs/>
          <w:iCs/>
          <w:sz w:val="24"/>
          <w:szCs w:val="24"/>
        </w:rPr>
        <w:t>Access to healthcare is associated with improved outcomes and can reduce the need for additional care.</w:t>
      </w:r>
      <w:r>
        <w:rPr>
          <w:rStyle w:val="EndnoteReference"/>
          <w:rFonts w:ascii="Garamond" w:hAnsi="Garamond" w:cs="Arial"/>
          <w:bCs/>
          <w:iCs/>
          <w:sz w:val="24"/>
          <w:szCs w:val="24"/>
        </w:rPr>
        <w:endnoteReference w:id="28"/>
      </w:r>
      <w:r w:rsidRPr="00344039">
        <w:rPr>
          <w:rFonts w:ascii="Garamond" w:hAnsi="Garamond" w:cs="Arial"/>
          <w:bCs/>
          <w:iCs/>
          <w:sz w:val="24"/>
          <w:szCs w:val="24"/>
          <w:vertAlign w:val="superscript"/>
        </w:rPr>
        <w:t>,</w:t>
      </w:r>
      <w:r>
        <w:rPr>
          <w:rStyle w:val="EndnoteReference"/>
          <w:rFonts w:ascii="Garamond" w:hAnsi="Garamond" w:cs="Arial"/>
          <w:bCs/>
          <w:iCs/>
          <w:sz w:val="24"/>
          <w:szCs w:val="24"/>
        </w:rPr>
        <w:endnoteReference w:id="29"/>
      </w:r>
      <w:r>
        <w:rPr>
          <w:rFonts w:ascii="Garamond" w:hAnsi="Garamond" w:cs="Arial"/>
          <w:bCs/>
          <w:iCs/>
          <w:sz w:val="24"/>
          <w:szCs w:val="24"/>
        </w:rPr>
        <w:t xml:space="preserve"> Shorter  </w:t>
      </w:r>
      <w:r w:rsidRPr="00E12E53">
        <w:rPr>
          <w:rFonts w:ascii="Garamond" w:hAnsi="Garamond" w:cs="Arial"/>
          <w:bCs/>
          <w:iCs/>
          <w:sz w:val="24"/>
          <w:szCs w:val="24"/>
        </w:rPr>
        <w:t>wait times</w:t>
      </w:r>
      <w:r>
        <w:rPr>
          <w:rFonts w:ascii="Garamond" w:hAnsi="Garamond" w:cs="Arial"/>
          <w:bCs/>
          <w:iCs/>
          <w:sz w:val="24"/>
          <w:szCs w:val="24"/>
        </w:rPr>
        <w:t xml:space="preserve"> for procedures</w:t>
      </w:r>
      <w:r w:rsidRPr="00E12E53">
        <w:rPr>
          <w:rFonts w:ascii="Garamond" w:hAnsi="Garamond" w:cs="Arial"/>
          <w:bCs/>
          <w:iCs/>
          <w:sz w:val="24"/>
          <w:szCs w:val="24"/>
        </w:rPr>
        <w:t xml:space="preserve"> are correlated with </w:t>
      </w:r>
      <w:r>
        <w:rPr>
          <w:rFonts w:ascii="Garamond" w:hAnsi="Garamond" w:cs="Arial"/>
          <w:bCs/>
          <w:iCs/>
          <w:sz w:val="24"/>
          <w:szCs w:val="24"/>
        </w:rPr>
        <w:t>in</w:t>
      </w:r>
      <w:r w:rsidRPr="00E12E53">
        <w:rPr>
          <w:rFonts w:ascii="Garamond" w:hAnsi="Garamond" w:cs="Arial"/>
          <w:bCs/>
          <w:iCs/>
          <w:sz w:val="24"/>
          <w:szCs w:val="24"/>
        </w:rPr>
        <w:t xml:space="preserve">creased patient satisfaction and </w:t>
      </w:r>
      <w:r>
        <w:rPr>
          <w:rFonts w:ascii="Garamond" w:hAnsi="Garamond" w:cs="Arial"/>
          <w:bCs/>
          <w:iCs/>
          <w:sz w:val="24"/>
          <w:szCs w:val="24"/>
        </w:rPr>
        <w:t>lower</w:t>
      </w:r>
      <w:r w:rsidRPr="00E12E53">
        <w:rPr>
          <w:rFonts w:ascii="Garamond" w:hAnsi="Garamond" w:cs="Arial"/>
          <w:bCs/>
          <w:iCs/>
          <w:sz w:val="24"/>
          <w:szCs w:val="24"/>
        </w:rPr>
        <w:t xml:space="preserve"> rates of complications.</w:t>
      </w:r>
      <w:r>
        <w:rPr>
          <w:rStyle w:val="EndnoteReference"/>
          <w:rFonts w:ascii="Garamond" w:hAnsi="Garamond" w:cs="Arial"/>
          <w:bCs/>
          <w:iCs/>
          <w:sz w:val="24"/>
          <w:szCs w:val="24"/>
        </w:rPr>
        <w:endnoteReference w:id="30"/>
      </w:r>
      <w:r>
        <w:rPr>
          <w:rFonts w:ascii="Garamond" w:hAnsi="Garamond" w:cs="Arial"/>
          <w:bCs/>
          <w:iCs/>
          <w:sz w:val="24"/>
          <w:szCs w:val="24"/>
        </w:rPr>
        <w:t xml:space="preserve"> </w:t>
      </w:r>
      <w:bookmarkStart w:id="168" w:name="_Hlk55729461"/>
      <w:r w:rsidR="00E074C8">
        <w:rPr>
          <w:rFonts w:ascii="Garamond" w:hAnsi="Garamond" w:cs="Arial"/>
          <w:bCs/>
          <w:iCs/>
          <w:sz w:val="24"/>
          <w:szCs w:val="24"/>
        </w:rPr>
        <w:t xml:space="preserve">Additionally, </w:t>
      </w:r>
      <w:r w:rsidR="00E074C8">
        <w:rPr>
          <w:rFonts w:ascii="Garamond" w:hAnsi="Garamond"/>
          <w:bCs/>
          <w:sz w:val="24"/>
          <w:szCs w:val="24"/>
        </w:rPr>
        <w:t>s</w:t>
      </w:r>
      <w:r w:rsidR="00AE382F">
        <w:rPr>
          <w:rFonts w:ascii="Garamond" w:hAnsi="Garamond"/>
          <w:bCs/>
          <w:sz w:val="24"/>
          <w:szCs w:val="24"/>
        </w:rPr>
        <w:t xml:space="preserve">taff </w:t>
      </w:r>
      <w:r w:rsidR="00FC7AA0">
        <w:rPr>
          <w:rFonts w:ascii="Garamond" w:hAnsi="Garamond"/>
          <w:bCs/>
          <w:sz w:val="24"/>
          <w:szCs w:val="24"/>
        </w:rPr>
        <w:t xml:space="preserve">research found that </w:t>
      </w:r>
      <w:r w:rsidR="00AE382F" w:rsidRPr="00C867B4">
        <w:rPr>
          <w:rFonts w:ascii="Garamond" w:hAnsi="Garamond"/>
          <w:bCs/>
          <w:sz w:val="24"/>
          <w:szCs w:val="24"/>
        </w:rPr>
        <w:t>surgeries performed in an ASC outpatient setting can result in fewer and lower infection rates than hospitals.</w:t>
      </w:r>
      <w:r w:rsidR="00AE382F" w:rsidRPr="007B1C0B">
        <w:rPr>
          <w:rStyle w:val="EndnoteReference"/>
          <w:rFonts w:ascii="Garamond" w:hAnsi="Garamond"/>
          <w:bCs/>
          <w:sz w:val="24"/>
          <w:szCs w:val="24"/>
        </w:rPr>
        <w:endnoteReference w:id="31"/>
      </w:r>
      <w:r w:rsidR="00AE382F" w:rsidRPr="007B1C0B">
        <w:rPr>
          <w:rFonts w:ascii="Garamond" w:hAnsi="Garamond"/>
          <w:bCs/>
          <w:sz w:val="24"/>
          <w:szCs w:val="24"/>
          <w:vertAlign w:val="superscript"/>
        </w:rPr>
        <w:t>,</w:t>
      </w:r>
      <w:r w:rsidR="00AE382F" w:rsidRPr="007B1C0B">
        <w:rPr>
          <w:rStyle w:val="EndnoteReference"/>
          <w:rFonts w:ascii="Garamond" w:hAnsi="Garamond"/>
          <w:bCs/>
          <w:sz w:val="24"/>
          <w:szCs w:val="24"/>
        </w:rPr>
        <w:endnoteReference w:id="32"/>
      </w:r>
      <w:r w:rsidR="00AE382F" w:rsidRPr="007B1C0B">
        <w:rPr>
          <w:rFonts w:ascii="Garamond" w:hAnsi="Garamond"/>
          <w:bCs/>
          <w:sz w:val="24"/>
          <w:szCs w:val="24"/>
        </w:rPr>
        <w:t xml:space="preserve"> </w:t>
      </w:r>
      <w:r w:rsidR="00851760" w:rsidRPr="00851760">
        <w:rPr>
          <w:rFonts w:ascii="Garamond" w:hAnsi="Garamond" w:cs="Arial"/>
          <w:bCs/>
          <w:iCs/>
          <w:sz w:val="24"/>
          <w:szCs w:val="24"/>
        </w:rPr>
        <w:t>ASCs are regulated to ensure the delivery of quality care</w:t>
      </w:r>
      <w:r w:rsidR="00851760">
        <w:rPr>
          <w:rFonts w:ascii="Garamond" w:hAnsi="Garamond" w:cs="Arial"/>
          <w:bCs/>
          <w:iCs/>
          <w:sz w:val="24"/>
          <w:szCs w:val="24"/>
        </w:rPr>
        <w:t xml:space="preserve">, and </w:t>
      </w:r>
      <w:r w:rsidR="00A23FCE">
        <w:rPr>
          <w:rFonts w:ascii="Garamond" w:hAnsi="Garamond" w:cs="Arial"/>
          <w:bCs/>
          <w:iCs/>
          <w:sz w:val="24"/>
          <w:szCs w:val="24"/>
        </w:rPr>
        <w:t xml:space="preserve">NESC </w:t>
      </w:r>
      <w:r w:rsidR="00851760">
        <w:rPr>
          <w:rFonts w:ascii="Garamond" w:hAnsi="Garamond" w:cs="Arial"/>
          <w:bCs/>
          <w:iCs/>
          <w:sz w:val="24"/>
          <w:szCs w:val="24"/>
        </w:rPr>
        <w:t>cited</w:t>
      </w:r>
      <w:r w:rsidR="00A23FCE">
        <w:rPr>
          <w:rFonts w:ascii="Garamond" w:hAnsi="Garamond" w:cs="Arial"/>
          <w:bCs/>
          <w:iCs/>
          <w:sz w:val="24"/>
          <w:szCs w:val="24"/>
        </w:rPr>
        <w:t xml:space="preserve"> several reporting processes </w:t>
      </w:r>
      <w:r w:rsidR="00EE2C3E">
        <w:rPr>
          <w:rFonts w:ascii="Garamond" w:hAnsi="Garamond" w:cs="Arial"/>
          <w:bCs/>
          <w:iCs/>
          <w:sz w:val="24"/>
          <w:szCs w:val="24"/>
        </w:rPr>
        <w:t>that assess</w:t>
      </w:r>
      <w:r w:rsidR="00A23FCE">
        <w:rPr>
          <w:rFonts w:ascii="Garamond" w:hAnsi="Garamond" w:cs="Arial"/>
          <w:bCs/>
          <w:iCs/>
          <w:sz w:val="24"/>
          <w:szCs w:val="24"/>
        </w:rPr>
        <w:t xml:space="preserve"> quality of care, patient satisfaction and outcomes.</w:t>
      </w:r>
      <w:r w:rsidR="00952F5C">
        <w:rPr>
          <w:rFonts w:ascii="Garamond" w:hAnsi="Garamond" w:cs="Arial"/>
          <w:bCs/>
          <w:iCs/>
          <w:sz w:val="24"/>
          <w:szCs w:val="24"/>
        </w:rPr>
        <w:t xml:space="preserve"> </w:t>
      </w:r>
    </w:p>
    <w:p w14:paraId="43FEA6DE" w14:textId="77777777" w:rsidR="00910AFD" w:rsidRPr="00E12E53" w:rsidRDefault="00910AFD" w:rsidP="00E12E53">
      <w:pPr>
        <w:spacing w:after="0" w:line="240" w:lineRule="auto"/>
        <w:rPr>
          <w:rFonts w:ascii="Garamond" w:hAnsi="Garamond" w:cs="Arial"/>
          <w:bCs/>
          <w:iCs/>
          <w:sz w:val="24"/>
          <w:szCs w:val="24"/>
        </w:rPr>
      </w:pPr>
    </w:p>
    <w:bookmarkEnd w:id="168"/>
    <w:p w14:paraId="28825DE4" w14:textId="6A543B9A" w:rsidR="008919AB" w:rsidRDefault="008919AB" w:rsidP="00EA38CA">
      <w:pPr>
        <w:spacing w:after="0" w:line="240" w:lineRule="auto"/>
        <w:rPr>
          <w:rFonts w:ascii="Garamond" w:hAnsi="Garamond"/>
          <w:sz w:val="24"/>
          <w:szCs w:val="24"/>
        </w:rPr>
      </w:pPr>
    </w:p>
    <w:p w14:paraId="13AB11A5" w14:textId="3E1D2F89" w:rsidR="00A6137A" w:rsidRDefault="00A6137A" w:rsidP="00EA38CA">
      <w:pPr>
        <w:spacing w:after="0" w:line="240" w:lineRule="auto"/>
        <w:rPr>
          <w:rFonts w:ascii="Garamond" w:hAnsi="Garamond" w:cs="Arial"/>
          <w:b/>
          <w:bCs/>
          <w:sz w:val="24"/>
          <w:szCs w:val="24"/>
        </w:rPr>
      </w:pPr>
      <w:r w:rsidRPr="000D1001">
        <w:rPr>
          <w:rFonts w:ascii="Garamond" w:hAnsi="Garamond" w:cs="Arial"/>
          <w:b/>
          <w:bCs/>
          <w:sz w:val="24"/>
          <w:szCs w:val="24"/>
        </w:rPr>
        <w:t xml:space="preserve">Health Equity and Social Determinants of Health </w:t>
      </w:r>
      <w:r w:rsidRPr="005F4493">
        <w:rPr>
          <w:rFonts w:ascii="Garamond" w:hAnsi="Garamond" w:cs="Arial"/>
          <w:b/>
          <w:bCs/>
          <w:sz w:val="24"/>
          <w:szCs w:val="24"/>
        </w:rPr>
        <w:t xml:space="preserve">(SDOH) </w:t>
      </w:r>
    </w:p>
    <w:p w14:paraId="52101D8C" w14:textId="77777777" w:rsidR="00DF0619" w:rsidRPr="00C867B4" w:rsidRDefault="00DF0619" w:rsidP="00EA38CA">
      <w:pPr>
        <w:pStyle w:val="ListParagraph"/>
        <w:spacing w:after="0" w:line="240" w:lineRule="auto"/>
        <w:rPr>
          <w:rFonts w:ascii="Garamond" w:hAnsi="Garamond"/>
          <w:sz w:val="24"/>
          <w:szCs w:val="24"/>
        </w:rPr>
      </w:pPr>
    </w:p>
    <w:p w14:paraId="7F6A5D2F" w14:textId="77777777" w:rsidR="00035DA3" w:rsidRDefault="001D6D59" w:rsidP="00EA38CA">
      <w:pPr>
        <w:spacing w:after="0" w:line="240" w:lineRule="auto"/>
        <w:contextualSpacing/>
        <w:rPr>
          <w:rFonts w:ascii="Garamond" w:hAnsi="Garamond" w:cs="Arial"/>
          <w:b/>
          <w:bCs/>
          <w:sz w:val="24"/>
          <w:szCs w:val="24"/>
        </w:rPr>
      </w:pPr>
      <w:r w:rsidRPr="00C867B4">
        <w:rPr>
          <w:rFonts w:ascii="Garamond" w:hAnsi="Garamond" w:cs="Arial"/>
          <w:b/>
          <w:bCs/>
          <w:sz w:val="24"/>
          <w:szCs w:val="24"/>
        </w:rPr>
        <w:t xml:space="preserve">Interpretation and Translation Services </w:t>
      </w:r>
    </w:p>
    <w:p w14:paraId="6FD43960" w14:textId="42569332" w:rsidR="00915609" w:rsidRPr="00360C1C" w:rsidRDefault="007046B8" w:rsidP="007046B8">
      <w:pPr>
        <w:spacing w:after="0" w:line="240" w:lineRule="auto"/>
        <w:contextualSpacing/>
        <w:rPr>
          <w:rFonts w:ascii="Garamond" w:hAnsi="Garamond" w:cs="Arial"/>
          <w:sz w:val="24"/>
          <w:szCs w:val="24"/>
        </w:rPr>
      </w:pPr>
      <w:r w:rsidRPr="00360C1C">
        <w:rPr>
          <w:rFonts w:ascii="Garamond" w:hAnsi="Garamond" w:cs="Arial"/>
          <w:sz w:val="24"/>
          <w:szCs w:val="24"/>
        </w:rPr>
        <w:t xml:space="preserve">The Applicant offers an Interpreter Services Program </w:t>
      </w:r>
      <w:r w:rsidR="00116757" w:rsidRPr="00360C1C">
        <w:rPr>
          <w:rFonts w:ascii="Garamond" w:hAnsi="Garamond" w:cs="Arial"/>
          <w:sz w:val="24"/>
          <w:szCs w:val="24"/>
        </w:rPr>
        <w:t xml:space="preserve">that will be accessible to </w:t>
      </w:r>
      <w:r w:rsidRPr="00360C1C">
        <w:rPr>
          <w:rFonts w:ascii="Garamond" w:hAnsi="Garamond" w:cs="Arial"/>
          <w:sz w:val="24"/>
          <w:szCs w:val="24"/>
        </w:rPr>
        <w:t xml:space="preserve">all patients receiving care in the proposed operating room. </w:t>
      </w:r>
      <w:r w:rsidR="00A00E49" w:rsidRPr="00360C1C">
        <w:rPr>
          <w:rFonts w:ascii="Garamond" w:hAnsi="Garamond" w:cs="Arial"/>
          <w:sz w:val="24"/>
          <w:szCs w:val="24"/>
        </w:rPr>
        <w:t>Information on interpret</w:t>
      </w:r>
      <w:r w:rsidR="00591C5B" w:rsidRPr="00360C1C">
        <w:rPr>
          <w:rFonts w:ascii="Garamond" w:hAnsi="Garamond" w:cs="Arial"/>
          <w:sz w:val="24"/>
          <w:szCs w:val="24"/>
        </w:rPr>
        <w:t xml:space="preserve">er </w:t>
      </w:r>
      <w:r w:rsidR="00A00E49" w:rsidRPr="00360C1C">
        <w:rPr>
          <w:rFonts w:ascii="Garamond" w:hAnsi="Garamond" w:cs="Arial"/>
          <w:sz w:val="24"/>
          <w:szCs w:val="24"/>
        </w:rPr>
        <w:t xml:space="preserve">services </w:t>
      </w:r>
      <w:r w:rsidR="0073431A" w:rsidRPr="00360C1C">
        <w:rPr>
          <w:rFonts w:ascii="Garamond" w:hAnsi="Garamond" w:cs="Arial"/>
          <w:sz w:val="24"/>
          <w:szCs w:val="24"/>
        </w:rPr>
        <w:t>is</w:t>
      </w:r>
      <w:r w:rsidR="00A00E49" w:rsidRPr="00360C1C">
        <w:rPr>
          <w:rFonts w:ascii="Garamond" w:hAnsi="Garamond" w:cs="Arial"/>
          <w:sz w:val="24"/>
          <w:szCs w:val="24"/>
        </w:rPr>
        <w:t xml:space="preserve"> provided on the facility’s website</w:t>
      </w:r>
      <w:r w:rsidR="00591C5B" w:rsidRPr="00360C1C">
        <w:rPr>
          <w:rFonts w:ascii="Garamond" w:hAnsi="Garamond" w:cs="Arial"/>
          <w:sz w:val="24"/>
          <w:szCs w:val="24"/>
        </w:rPr>
        <w:t>.</w:t>
      </w:r>
      <w:r w:rsidR="0073431A" w:rsidRPr="00360C1C">
        <w:rPr>
          <w:rFonts w:ascii="Garamond" w:hAnsi="Garamond" w:cs="Arial"/>
          <w:sz w:val="24"/>
          <w:szCs w:val="24"/>
        </w:rPr>
        <w:t xml:space="preserve"> </w:t>
      </w:r>
      <w:r w:rsidR="004168D0" w:rsidRPr="00360C1C">
        <w:rPr>
          <w:rFonts w:ascii="Garamond" w:hAnsi="Garamond" w:cs="Arial"/>
          <w:sz w:val="24"/>
          <w:szCs w:val="24"/>
        </w:rPr>
        <w:t>In addition, t</w:t>
      </w:r>
      <w:r w:rsidR="00A00E49" w:rsidRPr="00360C1C">
        <w:rPr>
          <w:rFonts w:ascii="Garamond" w:hAnsi="Garamond" w:cs="Arial"/>
          <w:sz w:val="24"/>
          <w:szCs w:val="24"/>
        </w:rPr>
        <w:t>he preoperative web</w:t>
      </w:r>
      <w:r w:rsidR="00AC72EA" w:rsidRPr="00360C1C">
        <w:rPr>
          <w:rFonts w:ascii="Garamond" w:hAnsi="Garamond" w:cs="Arial"/>
          <w:sz w:val="24"/>
          <w:szCs w:val="24"/>
        </w:rPr>
        <w:t xml:space="preserve">site </w:t>
      </w:r>
      <w:r w:rsidR="00392787" w:rsidRPr="00360C1C">
        <w:rPr>
          <w:rFonts w:ascii="Garamond" w:hAnsi="Garamond" w:cs="Arial"/>
          <w:sz w:val="24"/>
          <w:szCs w:val="24"/>
        </w:rPr>
        <w:t xml:space="preserve">One Medical Passport provides the option for patients to </w:t>
      </w:r>
      <w:r w:rsidR="00F35546" w:rsidRPr="00360C1C">
        <w:rPr>
          <w:rFonts w:ascii="Garamond" w:hAnsi="Garamond" w:cs="Arial"/>
          <w:sz w:val="24"/>
          <w:szCs w:val="24"/>
        </w:rPr>
        <w:t>register and create an account</w:t>
      </w:r>
      <w:r w:rsidR="00392787" w:rsidRPr="00360C1C">
        <w:rPr>
          <w:rFonts w:ascii="Garamond" w:hAnsi="Garamond" w:cs="Arial"/>
          <w:sz w:val="24"/>
          <w:szCs w:val="24"/>
        </w:rPr>
        <w:t xml:space="preserve"> in their </w:t>
      </w:r>
      <w:r w:rsidR="00AC72EA" w:rsidRPr="00360C1C">
        <w:rPr>
          <w:rFonts w:ascii="Garamond" w:hAnsi="Garamond" w:cs="Arial"/>
          <w:sz w:val="24"/>
          <w:szCs w:val="24"/>
        </w:rPr>
        <w:t xml:space="preserve">primary language and </w:t>
      </w:r>
      <w:r w:rsidR="00392787" w:rsidRPr="00360C1C">
        <w:rPr>
          <w:rFonts w:ascii="Garamond" w:hAnsi="Garamond" w:cs="Arial"/>
          <w:sz w:val="24"/>
          <w:szCs w:val="24"/>
        </w:rPr>
        <w:t xml:space="preserve">asks about </w:t>
      </w:r>
      <w:r w:rsidR="00725B18" w:rsidRPr="00360C1C">
        <w:rPr>
          <w:rFonts w:ascii="Garamond" w:hAnsi="Garamond" w:cs="Arial"/>
          <w:sz w:val="24"/>
          <w:szCs w:val="24"/>
        </w:rPr>
        <w:t xml:space="preserve">a patient’s </w:t>
      </w:r>
      <w:r w:rsidR="00247E44" w:rsidRPr="00360C1C">
        <w:rPr>
          <w:rFonts w:ascii="Garamond" w:hAnsi="Garamond" w:cs="Arial"/>
          <w:sz w:val="24"/>
          <w:szCs w:val="24"/>
        </w:rPr>
        <w:t xml:space="preserve">need for </w:t>
      </w:r>
      <w:r w:rsidR="00591C5B" w:rsidRPr="00360C1C">
        <w:rPr>
          <w:rFonts w:ascii="Garamond" w:hAnsi="Garamond" w:cs="Arial"/>
          <w:sz w:val="24"/>
          <w:szCs w:val="24"/>
        </w:rPr>
        <w:t xml:space="preserve">language </w:t>
      </w:r>
      <w:r w:rsidR="00AC72EA" w:rsidRPr="00360C1C">
        <w:rPr>
          <w:rFonts w:ascii="Garamond" w:hAnsi="Garamond" w:cs="Arial"/>
          <w:sz w:val="24"/>
          <w:szCs w:val="24"/>
        </w:rPr>
        <w:t xml:space="preserve">assistance. </w:t>
      </w:r>
      <w:r w:rsidR="00024AD9" w:rsidRPr="00360C1C">
        <w:rPr>
          <w:rFonts w:ascii="Garamond" w:hAnsi="Garamond" w:cs="Arial"/>
          <w:sz w:val="24"/>
          <w:szCs w:val="24"/>
        </w:rPr>
        <w:t xml:space="preserve">The Applicant states that 100% of interpreter services are provided via video or </w:t>
      </w:r>
      <w:r w:rsidR="00024AD9" w:rsidRPr="00360C1C">
        <w:rPr>
          <w:rFonts w:ascii="Garamond" w:hAnsi="Garamond" w:cs="Arial"/>
          <w:sz w:val="24"/>
          <w:szCs w:val="24"/>
        </w:rPr>
        <w:lastRenderedPageBreak/>
        <w:t xml:space="preserve">telephone and does not anticipate </w:t>
      </w:r>
      <w:r w:rsidR="00F35546" w:rsidRPr="00360C1C">
        <w:rPr>
          <w:rFonts w:ascii="Garamond" w:hAnsi="Garamond" w:cs="Arial"/>
          <w:sz w:val="24"/>
          <w:szCs w:val="24"/>
        </w:rPr>
        <w:t>this</w:t>
      </w:r>
      <w:r w:rsidR="00024AD9" w:rsidRPr="00360C1C">
        <w:rPr>
          <w:rFonts w:ascii="Garamond" w:hAnsi="Garamond" w:cs="Arial"/>
          <w:sz w:val="24"/>
          <w:szCs w:val="24"/>
        </w:rPr>
        <w:t xml:space="preserve"> </w:t>
      </w:r>
      <w:r w:rsidR="00F22691" w:rsidRPr="00360C1C">
        <w:rPr>
          <w:rFonts w:ascii="Garamond" w:hAnsi="Garamond" w:cs="Arial"/>
          <w:sz w:val="24"/>
          <w:szCs w:val="24"/>
        </w:rPr>
        <w:t>changing</w:t>
      </w:r>
      <w:r w:rsidR="00024AD9" w:rsidRPr="00360C1C">
        <w:rPr>
          <w:rFonts w:ascii="Garamond" w:hAnsi="Garamond" w:cs="Arial"/>
          <w:sz w:val="24"/>
          <w:szCs w:val="24"/>
        </w:rPr>
        <w:t xml:space="preserve">. </w:t>
      </w:r>
      <w:r w:rsidR="00F22691" w:rsidRPr="00360C1C">
        <w:rPr>
          <w:rFonts w:ascii="Garamond" w:hAnsi="Garamond" w:cs="Arial"/>
          <w:sz w:val="24"/>
          <w:szCs w:val="24"/>
        </w:rPr>
        <w:t>The Applicant contacts the Massachusetts Commission for the Deaf and Hard of Hearing to access interpreters</w:t>
      </w:r>
      <w:r w:rsidR="009D174D">
        <w:rPr>
          <w:rFonts w:ascii="Garamond" w:hAnsi="Garamond" w:cs="Arial"/>
          <w:sz w:val="24"/>
          <w:szCs w:val="24"/>
        </w:rPr>
        <w:t xml:space="preserve"> for patients who require them</w:t>
      </w:r>
      <w:r w:rsidR="00F22691" w:rsidRPr="00360C1C">
        <w:rPr>
          <w:rFonts w:ascii="Garamond" w:hAnsi="Garamond" w:cs="Arial"/>
          <w:sz w:val="24"/>
          <w:szCs w:val="24"/>
        </w:rPr>
        <w:t xml:space="preserve">. </w:t>
      </w:r>
      <w:r w:rsidR="00FD32F7" w:rsidRPr="00360C1C">
        <w:rPr>
          <w:rFonts w:ascii="Garamond" w:hAnsi="Garamond" w:cs="Arial"/>
          <w:sz w:val="24"/>
          <w:szCs w:val="24"/>
        </w:rPr>
        <w:t>Currently, p</w:t>
      </w:r>
      <w:r w:rsidR="00263433" w:rsidRPr="00360C1C">
        <w:rPr>
          <w:rFonts w:ascii="Garamond" w:hAnsi="Garamond" w:cs="Arial"/>
          <w:sz w:val="24"/>
          <w:szCs w:val="24"/>
        </w:rPr>
        <w:t xml:space="preserve">hone and video interpretive services </w:t>
      </w:r>
      <w:r w:rsidR="009D174D">
        <w:rPr>
          <w:rFonts w:ascii="Garamond" w:hAnsi="Garamond" w:cs="Arial"/>
          <w:sz w:val="24"/>
          <w:szCs w:val="24"/>
        </w:rPr>
        <w:t xml:space="preserve">for spoken language are </w:t>
      </w:r>
      <w:r w:rsidR="001E7DC1" w:rsidRPr="00360C1C">
        <w:rPr>
          <w:rFonts w:ascii="Garamond" w:hAnsi="Garamond" w:cs="Arial"/>
          <w:sz w:val="24"/>
          <w:szCs w:val="24"/>
        </w:rPr>
        <w:t xml:space="preserve">provided </w:t>
      </w:r>
      <w:r w:rsidR="00263433" w:rsidRPr="00360C1C">
        <w:rPr>
          <w:rFonts w:ascii="Garamond" w:hAnsi="Garamond" w:cs="Arial"/>
          <w:sz w:val="24"/>
          <w:szCs w:val="24"/>
        </w:rPr>
        <w:t>by CyraCom are available for pre- and post-operative visits</w:t>
      </w:r>
      <w:r w:rsidR="001E7DC1" w:rsidRPr="00360C1C">
        <w:rPr>
          <w:rFonts w:ascii="Garamond" w:hAnsi="Garamond" w:cs="Arial"/>
          <w:sz w:val="24"/>
          <w:szCs w:val="24"/>
        </w:rPr>
        <w:t>,</w:t>
      </w:r>
      <w:r w:rsidR="00263433" w:rsidRPr="00360C1C">
        <w:rPr>
          <w:rFonts w:ascii="Garamond" w:hAnsi="Garamond" w:cs="Arial"/>
          <w:sz w:val="24"/>
          <w:szCs w:val="24"/>
        </w:rPr>
        <w:t xml:space="preserve"> and phone calls</w:t>
      </w:r>
      <w:r w:rsidR="00F0152E" w:rsidRPr="00360C1C">
        <w:rPr>
          <w:rFonts w:ascii="Garamond" w:hAnsi="Garamond" w:cs="Arial"/>
          <w:sz w:val="24"/>
          <w:szCs w:val="24"/>
        </w:rPr>
        <w:t xml:space="preserve"> with patients</w:t>
      </w:r>
      <w:r w:rsidR="00263433" w:rsidRPr="00360C1C">
        <w:rPr>
          <w:rFonts w:ascii="Garamond" w:hAnsi="Garamond" w:cs="Arial"/>
          <w:sz w:val="24"/>
          <w:szCs w:val="24"/>
        </w:rPr>
        <w:t>.</w:t>
      </w:r>
      <w:r w:rsidR="002660E6" w:rsidRPr="00360C1C">
        <w:rPr>
          <w:rFonts w:ascii="Garamond" w:hAnsi="Garamond" w:cs="Arial"/>
          <w:sz w:val="24"/>
          <w:szCs w:val="24"/>
        </w:rPr>
        <w:t xml:space="preserve"> </w:t>
      </w:r>
      <w:r w:rsidR="00F35546" w:rsidRPr="00360C1C">
        <w:rPr>
          <w:rFonts w:ascii="Garamond" w:hAnsi="Garamond" w:cs="Arial"/>
          <w:sz w:val="24"/>
          <w:szCs w:val="24"/>
        </w:rPr>
        <w:t xml:space="preserve">A remote video device and dual handset phone are stationed in the surgical area for easy access. </w:t>
      </w:r>
      <w:r w:rsidR="00024AD9" w:rsidRPr="00360C1C">
        <w:rPr>
          <w:rFonts w:ascii="Garamond" w:hAnsi="Garamond" w:cs="Arial"/>
          <w:sz w:val="24"/>
          <w:szCs w:val="24"/>
        </w:rPr>
        <w:t xml:space="preserve">The Applicant states that it discontinued </w:t>
      </w:r>
      <w:r w:rsidR="00F35546" w:rsidRPr="00360C1C">
        <w:rPr>
          <w:rFonts w:ascii="Garamond" w:hAnsi="Garamond" w:cs="Arial"/>
          <w:sz w:val="24"/>
          <w:szCs w:val="24"/>
        </w:rPr>
        <w:t>in-person</w:t>
      </w:r>
      <w:r w:rsidR="00024AD9" w:rsidRPr="00360C1C">
        <w:rPr>
          <w:rFonts w:ascii="Garamond" w:hAnsi="Garamond" w:cs="Arial"/>
          <w:sz w:val="24"/>
          <w:szCs w:val="24"/>
        </w:rPr>
        <w:t xml:space="preserve"> interpretation because it was cost prohibitive</w:t>
      </w:r>
      <w:r w:rsidR="001E7DC1" w:rsidRPr="00360C1C">
        <w:rPr>
          <w:rFonts w:ascii="Garamond" w:hAnsi="Garamond" w:cs="Arial"/>
          <w:sz w:val="24"/>
          <w:szCs w:val="24"/>
        </w:rPr>
        <w:t>.</w:t>
      </w:r>
      <w:r w:rsidR="00EC5ABC" w:rsidRPr="00360C1C">
        <w:rPr>
          <w:rFonts w:ascii="Garamond" w:hAnsi="Garamond" w:cs="Arial"/>
          <w:sz w:val="24"/>
          <w:szCs w:val="24"/>
        </w:rPr>
        <w:t xml:space="preserve"> </w:t>
      </w:r>
      <w:r w:rsidR="001E7DC1" w:rsidRPr="00360C1C">
        <w:rPr>
          <w:rFonts w:ascii="Garamond" w:hAnsi="Garamond" w:cs="Arial"/>
          <w:sz w:val="24"/>
          <w:szCs w:val="24"/>
        </w:rPr>
        <w:t>A</w:t>
      </w:r>
      <w:r w:rsidR="00024AD9" w:rsidRPr="00360C1C">
        <w:rPr>
          <w:rFonts w:ascii="Garamond" w:hAnsi="Garamond" w:cs="Arial"/>
          <w:sz w:val="24"/>
          <w:szCs w:val="24"/>
        </w:rPr>
        <w:t xml:space="preserve">fter a review of language access services offered at local hospitals, </w:t>
      </w:r>
      <w:r w:rsidR="00EC5ABC" w:rsidRPr="00360C1C">
        <w:rPr>
          <w:rFonts w:ascii="Garamond" w:hAnsi="Garamond" w:cs="Arial"/>
          <w:sz w:val="24"/>
          <w:szCs w:val="24"/>
        </w:rPr>
        <w:t>it</w:t>
      </w:r>
      <w:r w:rsidR="00024AD9" w:rsidRPr="00360C1C">
        <w:rPr>
          <w:rFonts w:ascii="Garamond" w:hAnsi="Garamond" w:cs="Arial"/>
          <w:sz w:val="24"/>
          <w:szCs w:val="24"/>
        </w:rPr>
        <w:t xml:space="preserve"> </w:t>
      </w:r>
      <w:r w:rsidR="001E7DC1" w:rsidRPr="00360C1C">
        <w:rPr>
          <w:rFonts w:ascii="Garamond" w:hAnsi="Garamond" w:cs="Arial"/>
          <w:sz w:val="24"/>
          <w:szCs w:val="24"/>
        </w:rPr>
        <w:t>engaged</w:t>
      </w:r>
      <w:r w:rsidR="00024AD9" w:rsidRPr="00360C1C">
        <w:rPr>
          <w:rFonts w:ascii="Garamond" w:hAnsi="Garamond" w:cs="Arial"/>
          <w:sz w:val="24"/>
          <w:szCs w:val="24"/>
        </w:rPr>
        <w:t xml:space="preserve"> Cyracom because it is cost-effective and easily available for use with patients. </w:t>
      </w:r>
      <w:r w:rsidR="00F94426" w:rsidRPr="00360C1C">
        <w:rPr>
          <w:rFonts w:ascii="Garamond" w:hAnsi="Garamond" w:cs="Arial"/>
          <w:sz w:val="24"/>
          <w:szCs w:val="24"/>
        </w:rPr>
        <w:t>One percent of patients reported Span</w:t>
      </w:r>
      <w:r w:rsidR="00F94426">
        <w:rPr>
          <w:rFonts w:ascii="Garamond" w:hAnsi="Garamond" w:cs="Arial"/>
          <w:sz w:val="24"/>
          <w:szCs w:val="24"/>
        </w:rPr>
        <w:t xml:space="preserve">ish as a primary language and less than 1% </w:t>
      </w:r>
      <w:r w:rsidR="00F94426" w:rsidRPr="00360C1C">
        <w:rPr>
          <w:rFonts w:ascii="Garamond" w:hAnsi="Garamond" w:cs="Arial"/>
          <w:sz w:val="24"/>
          <w:szCs w:val="24"/>
        </w:rPr>
        <w:t>reported Portuguese as a primary language.</w:t>
      </w:r>
      <w:r w:rsidR="00F94426" w:rsidRPr="00360C1C">
        <w:rPr>
          <w:rStyle w:val="FootnoteReference"/>
          <w:rFonts w:ascii="Garamond" w:hAnsi="Garamond" w:cs="Arial"/>
          <w:sz w:val="24"/>
          <w:szCs w:val="24"/>
        </w:rPr>
        <w:footnoteReference w:id="23"/>
      </w:r>
      <w:r w:rsidR="00F94426" w:rsidRPr="00360C1C">
        <w:rPr>
          <w:rFonts w:ascii="Garamond" w:hAnsi="Garamond" w:cs="Arial"/>
          <w:sz w:val="24"/>
          <w:szCs w:val="24"/>
        </w:rPr>
        <w:t xml:space="preserve"> </w:t>
      </w:r>
      <w:r w:rsidR="00263433" w:rsidRPr="00360C1C">
        <w:rPr>
          <w:rFonts w:ascii="Garamond" w:hAnsi="Garamond" w:cs="Arial"/>
          <w:sz w:val="24"/>
          <w:szCs w:val="24"/>
        </w:rPr>
        <w:t xml:space="preserve">Pre- and post-procedure documents are routinely available in Spanish and can be translated into other languages as needed. </w:t>
      </w:r>
      <w:r w:rsidR="00282579" w:rsidRPr="00360C1C">
        <w:rPr>
          <w:rFonts w:ascii="Garamond" w:hAnsi="Garamond" w:cs="Arial"/>
          <w:sz w:val="24"/>
          <w:szCs w:val="24"/>
        </w:rPr>
        <w:t xml:space="preserve">The Applicant tracks </w:t>
      </w:r>
      <w:r w:rsidR="00B769D1" w:rsidRPr="00360C1C">
        <w:rPr>
          <w:rFonts w:ascii="Garamond" w:hAnsi="Garamond" w:cs="Arial"/>
          <w:sz w:val="24"/>
          <w:szCs w:val="24"/>
        </w:rPr>
        <w:t xml:space="preserve">patient </w:t>
      </w:r>
      <w:r w:rsidR="00282579" w:rsidRPr="00360C1C">
        <w:rPr>
          <w:rFonts w:ascii="Garamond" w:hAnsi="Garamond" w:cs="Arial"/>
          <w:sz w:val="24"/>
          <w:szCs w:val="24"/>
        </w:rPr>
        <w:t xml:space="preserve">utilization of </w:t>
      </w:r>
      <w:r w:rsidR="00B769D1" w:rsidRPr="00360C1C">
        <w:rPr>
          <w:rFonts w:ascii="Garamond" w:hAnsi="Garamond" w:cs="Arial"/>
          <w:sz w:val="24"/>
          <w:szCs w:val="24"/>
        </w:rPr>
        <w:t>interpreter</w:t>
      </w:r>
      <w:r w:rsidR="00282579" w:rsidRPr="00360C1C">
        <w:rPr>
          <w:rFonts w:ascii="Garamond" w:hAnsi="Garamond" w:cs="Arial"/>
          <w:sz w:val="24"/>
          <w:szCs w:val="24"/>
        </w:rPr>
        <w:t xml:space="preserve"> services through Cyracom billing and patient self-reporting on the </w:t>
      </w:r>
      <w:r w:rsidR="00B769D1" w:rsidRPr="00360C1C">
        <w:rPr>
          <w:rFonts w:ascii="Garamond" w:hAnsi="Garamond" w:cs="Arial"/>
          <w:sz w:val="24"/>
          <w:szCs w:val="24"/>
        </w:rPr>
        <w:t xml:space="preserve">One Medical Passport </w:t>
      </w:r>
      <w:r w:rsidR="00282579" w:rsidRPr="00360C1C">
        <w:rPr>
          <w:rFonts w:ascii="Garamond" w:hAnsi="Garamond" w:cs="Arial"/>
          <w:sz w:val="24"/>
          <w:szCs w:val="24"/>
        </w:rPr>
        <w:t>pre-operative questionnaire.</w:t>
      </w:r>
      <w:r w:rsidR="005B03AC" w:rsidRPr="00360C1C">
        <w:rPr>
          <w:rFonts w:ascii="Garamond" w:hAnsi="Garamond" w:cs="Arial"/>
          <w:sz w:val="24"/>
          <w:szCs w:val="24"/>
        </w:rPr>
        <w:t xml:space="preserve"> The Applicant has posted and made available </w:t>
      </w:r>
      <w:r w:rsidR="001E7DC1" w:rsidRPr="00360C1C">
        <w:rPr>
          <w:rFonts w:ascii="Garamond" w:hAnsi="Garamond" w:cs="Arial"/>
          <w:sz w:val="24"/>
          <w:szCs w:val="24"/>
        </w:rPr>
        <w:t xml:space="preserve">posters about </w:t>
      </w:r>
      <w:r w:rsidR="005B03AC" w:rsidRPr="00360C1C">
        <w:rPr>
          <w:rFonts w:ascii="Garamond" w:hAnsi="Garamond" w:cs="Arial"/>
          <w:sz w:val="24"/>
          <w:szCs w:val="24"/>
        </w:rPr>
        <w:t xml:space="preserve">COVID-19 intake and care in the </w:t>
      </w:r>
      <w:r w:rsidR="006945CC" w:rsidRPr="00360C1C">
        <w:rPr>
          <w:rFonts w:ascii="Garamond" w:hAnsi="Garamond" w:cs="Arial"/>
          <w:sz w:val="24"/>
          <w:szCs w:val="24"/>
        </w:rPr>
        <w:t xml:space="preserve">languages </w:t>
      </w:r>
      <w:r w:rsidR="005B03AC" w:rsidRPr="00360C1C">
        <w:rPr>
          <w:rFonts w:ascii="Garamond" w:hAnsi="Garamond" w:cs="Arial"/>
          <w:sz w:val="24"/>
          <w:szCs w:val="24"/>
        </w:rPr>
        <w:t xml:space="preserve">most frequently used </w:t>
      </w:r>
      <w:r w:rsidR="006945CC" w:rsidRPr="00360C1C">
        <w:rPr>
          <w:rFonts w:ascii="Garamond" w:hAnsi="Garamond" w:cs="Arial"/>
          <w:sz w:val="24"/>
          <w:szCs w:val="24"/>
        </w:rPr>
        <w:t>by patients</w:t>
      </w:r>
      <w:r w:rsidR="005B03AC" w:rsidRPr="00360C1C">
        <w:rPr>
          <w:rFonts w:ascii="Garamond" w:hAnsi="Garamond" w:cs="Arial"/>
          <w:sz w:val="24"/>
          <w:szCs w:val="24"/>
        </w:rPr>
        <w:t xml:space="preserve">. </w:t>
      </w:r>
      <w:r w:rsidR="00282579" w:rsidRPr="00360C1C">
        <w:rPr>
          <w:rFonts w:ascii="Garamond" w:hAnsi="Garamond" w:cs="Arial"/>
          <w:sz w:val="24"/>
          <w:szCs w:val="24"/>
        </w:rPr>
        <w:t xml:space="preserve"> </w:t>
      </w:r>
      <w:r w:rsidR="00263433" w:rsidRPr="00360C1C">
        <w:rPr>
          <w:rFonts w:ascii="Garamond" w:hAnsi="Garamond" w:cs="Arial"/>
          <w:sz w:val="24"/>
          <w:szCs w:val="24"/>
        </w:rPr>
        <w:t xml:space="preserve"> </w:t>
      </w:r>
    </w:p>
    <w:p w14:paraId="6F300831" w14:textId="77777777" w:rsidR="00282579" w:rsidRPr="00360C1C" w:rsidRDefault="00282579" w:rsidP="007046B8">
      <w:pPr>
        <w:spacing w:after="0" w:line="240" w:lineRule="auto"/>
        <w:contextualSpacing/>
        <w:rPr>
          <w:rFonts w:ascii="Garamond" w:hAnsi="Garamond" w:cs="Arial"/>
          <w:sz w:val="24"/>
          <w:szCs w:val="24"/>
        </w:rPr>
      </w:pPr>
    </w:p>
    <w:p w14:paraId="7C82F205" w14:textId="2AC502AC" w:rsidR="00EE7309" w:rsidRDefault="00263433" w:rsidP="007046B8">
      <w:pPr>
        <w:spacing w:after="0" w:line="240" w:lineRule="auto"/>
        <w:contextualSpacing/>
        <w:rPr>
          <w:rFonts w:ascii="Garamond" w:hAnsi="Garamond" w:cs="Arial"/>
          <w:sz w:val="24"/>
          <w:szCs w:val="24"/>
        </w:rPr>
      </w:pPr>
      <w:r w:rsidRPr="00360C1C">
        <w:rPr>
          <w:rFonts w:ascii="Garamond" w:hAnsi="Garamond" w:cs="Arial"/>
          <w:sz w:val="24"/>
          <w:szCs w:val="24"/>
        </w:rPr>
        <w:t>In response to staff inquiry about CLAS initiatives, t</w:t>
      </w:r>
      <w:r w:rsidR="00CA5AE9" w:rsidRPr="00360C1C">
        <w:rPr>
          <w:rFonts w:ascii="Garamond" w:hAnsi="Garamond" w:cs="Arial"/>
          <w:sz w:val="24"/>
          <w:szCs w:val="24"/>
        </w:rPr>
        <w:t>he Applicant assert</w:t>
      </w:r>
      <w:r w:rsidRPr="00360C1C">
        <w:rPr>
          <w:rFonts w:ascii="Garamond" w:hAnsi="Garamond" w:cs="Arial"/>
          <w:sz w:val="24"/>
          <w:szCs w:val="24"/>
        </w:rPr>
        <w:t>ed</w:t>
      </w:r>
      <w:r w:rsidR="00CA5AE9" w:rsidRPr="00360C1C">
        <w:rPr>
          <w:rFonts w:ascii="Garamond" w:hAnsi="Garamond" w:cs="Arial"/>
          <w:sz w:val="24"/>
          <w:szCs w:val="24"/>
        </w:rPr>
        <w:t xml:space="preserve"> the facility does not discriminate based on race, education, health literacy, age, sexual orientation, ethnicity, religion, physical or mental disability, language, gender expression, identity, income, or class</w:t>
      </w:r>
      <w:r w:rsidR="00473DDF" w:rsidRPr="00360C1C">
        <w:rPr>
          <w:rFonts w:ascii="Garamond" w:hAnsi="Garamond" w:cs="Arial"/>
          <w:sz w:val="24"/>
          <w:szCs w:val="24"/>
        </w:rPr>
        <w:t>.</w:t>
      </w:r>
      <w:r w:rsidR="00473DDF" w:rsidRPr="00360C1C">
        <w:rPr>
          <w:rStyle w:val="FootnoteReference"/>
          <w:rFonts w:ascii="Garamond" w:hAnsi="Garamond" w:cs="Arial"/>
          <w:sz w:val="24"/>
          <w:szCs w:val="24"/>
        </w:rPr>
        <w:footnoteReference w:id="24"/>
      </w:r>
      <w:r w:rsidR="00CA5AE9" w:rsidRPr="00360C1C">
        <w:rPr>
          <w:rFonts w:ascii="Garamond" w:hAnsi="Garamond" w:cs="Arial"/>
          <w:sz w:val="24"/>
          <w:szCs w:val="24"/>
        </w:rPr>
        <w:t xml:space="preserve"> </w:t>
      </w:r>
      <w:r w:rsidR="00F80CAA" w:rsidRPr="00360C1C">
        <w:rPr>
          <w:rFonts w:ascii="Garamond" w:hAnsi="Garamond" w:cs="Arial"/>
          <w:sz w:val="24"/>
          <w:szCs w:val="24"/>
        </w:rPr>
        <w:t>Annual</w:t>
      </w:r>
      <w:r w:rsidR="00EE7309" w:rsidRPr="00360C1C">
        <w:rPr>
          <w:rFonts w:ascii="Garamond" w:hAnsi="Garamond" w:cs="Arial"/>
          <w:sz w:val="24"/>
          <w:szCs w:val="24"/>
        </w:rPr>
        <w:t xml:space="preserve"> diversity training </w:t>
      </w:r>
      <w:r w:rsidR="00F80CAA" w:rsidRPr="00360C1C">
        <w:rPr>
          <w:rFonts w:ascii="Garamond" w:hAnsi="Garamond" w:cs="Arial"/>
          <w:sz w:val="24"/>
          <w:szCs w:val="24"/>
        </w:rPr>
        <w:t xml:space="preserve">is provided </w:t>
      </w:r>
      <w:r w:rsidR="00EE7309" w:rsidRPr="00360C1C">
        <w:rPr>
          <w:rFonts w:ascii="Garamond" w:hAnsi="Garamond" w:cs="Arial"/>
          <w:sz w:val="24"/>
          <w:szCs w:val="24"/>
        </w:rPr>
        <w:t>for all staff, surgeons, and new hires through HealthStream</w:t>
      </w:r>
      <w:r w:rsidR="009D174D">
        <w:rPr>
          <w:rFonts w:ascii="Garamond" w:hAnsi="Garamond" w:cs="Arial"/>
          <w:sz w:val="24"/>
          <w:szCs w:val="24"/>
        </w:rPr>
        <w:t>.</w:t>
      </w:r>
      <w:r w:rsidR="00F80CAA" w:rsidRPr="00360C1C">
        <w:rPr>
          <w:rFonts w:ascii="Garamond" w:hAnsi="Garamond" w:cs="Arial"/>
          <w:sz w:val="24"/>
          <w:szCs w:val="24"/>
        </w:rPr>
        <w:t xml:space="preserve"> </w:t>
      </w:r>
      <w:r w:rsidR="009D174D">
        <w:rPr>
          <w:rFonts w:ascii="Garamond" w:hAnsi="Garamond" w:cs="Arial"/>
          <w:sz w:val="24"/>
          <w:szCs w:val="24"/>
        </w:rPr>
        <w:t>T</w:t>
      </w:r>
      <w:r w:rsidR="00F80CAA" w:rsidRPr="00360C1C">
        <w:rPr>
          <w:rFonts w:ascii="Garamond" w:hAnsi="Garamond" w:cs="Arial"/>
          <w:sz w:val="24"/>
          <w:szCs w:val="24"/>
        </w:rPr>
        <w:t>r</w:t>
      </w:r>
      <w:r w:rsidR="00EE7309" w:rsidRPr="00360C1C">
        <w:rPr>
          <w:rFonts w:ascii="Garamond" w:hAnsi="Garamond" w:cs="Arial"/>
          <w:sz w:val="24"/>
          <w:szCs w:val="24"/>
        </w:rPr>
        <w:t>aining is reviewed annually and updated to ensure relevance</w:t>
      </w:r>
      <w:r w:rsidRPr="00360C1C">
        <w:rPr>
          <w:rFonts w:ascii="Garamond" w:hAnsi="Garamond" w:cs="Arial"/>
          <w:sz w:val="24"/>
          <w:szCs w:val="24"/>
        </w:rPr>
        <w:t xml:space="preserve">. </w:t>
      </w:r>
      <w:r w:rsidR="009D174D">
        <w:rPr>
          <w:rFonts w:ascii="Garamond" w:hAnsi="Garamond" w:cs="Arial"/>
          <w:sz w:val="24"/>
          <w:szCs w:val="24"/>
        </w:rPr>
        <w:t>Yearly</w:t>
      </w:r>
      <w:r w:rsidR="00195D25" w:rsidRPr="00360C1C">
        <w:rPr>
          <w:rFonts w:ascii="Garamond" w:hAnsi="Garamond" w:cs="Arial"/>
          <w:sz w:val="24"/>
          <w:szCs w:val="24"/>
        </w:rPr>
        <w:t xml:space="preserve"> s</w:t>
      </w:r>
      <w:r w:rsidR="00EE7309" w:rsidRPr="00360C1C">
        <w:rPr>
          <w:rFonts w:ascii="Garamond" w:hAnsi="Garamond" w:cs="Arial"/>
          <w:sz w:val="24"/>
          <w:szCs w:val="24"/>
        </w:rPr>
        <w:t xml:space="preserve">exual harassment training is provided through Paychex and surgeons </w:t>
      </w:r>
      <w:r w:rsidR="00782030" w:rsidRPr="00360C1C">
        <w:rPr>
          <w:rFonts w:ascii="Garamond" w:hAnsi="Garamond" w:cs="Arial"/>
          <w:sz w:val="24"/>
          <w:szCs w:val="24"/>
        </w:rPr>
        <w:t xml:space="preserve">are provided </w:t>
      </w:r>
      <w:r w:rsidR="00637F8A" w:rsidRPr="00360C1C">
        <w:rPr>
          <w:rFonts w:ascii="Garamond" w:hAnsi="Garamond" w:cs="Arial"/>
          <w:sz w:val="24"/>
          <w:szCs w:val="24"/>
        </w:rPr>
        <w:t>with</w:t>
      </w:r>
      <w:r w:rsidR="00EE7309" w:rsidRPr="00360C1C">
        <w:rPr>
          <w:rFonts w:ascii="Garamond" w:hAnsi="Garamond" w:cs="Arial"/>
          <w:sz w:val="24"/>
          <w:szCs w:val="24"/>
        </w:rPr>
        <w:t xml:space="preserve"> written </w:t>
      </w:r>
      <w:r w:rsidR="00637F8A" w:rsidRPr="00360C1C">
        <w:rPr>
          <w:rFonts w:ascii="Garamond" w:hAnsi="Garamond" w:cs="Arial"/>
          <w:sz w:val="24"/>
          <w:szCs w:val="24"/>
        </w:rPr>
        <w:t xml:space="preserve">training </w:t>
      </w:r>
      <w:r w:rsidR="00EE7309" w:rsidRPr="00360C1C">
        <w:rPr>
          <w:rFonts w:ascii="Garamond" w:hAnsi="Garamond" w:cs="Arial"/>
          <w:sz w:val="24"/>
          <w:szCs w:val="24"/>
        </w:rPr>
        <w:t xml:space="preserve">materials. </w:t>
      </w:r>
      <w:r w:rsidRPr="00360C1C">
        <w:rPr>
          <w:rFonts w:ascii="Garamond" w:hAnsi="Garamond" w:cs="Arial"/>
          <w:sz w:val="24"/>
          <w:szCs w:val="24"/>
        </w:rPr>
        <w:t xml:space="preserve">The </w:t>
      </w:r>
      <w:r w:rsidR="00782030" w:rsidRPr="00360C1C">
        <w:rPr>
          <w:rFonts w:ascii="Garamond" w:hAnsi="Garamond" w:cs="Arial"/>
          <w:sz w:val="24"/>
          <w:szCs w:val="24"/>
        </w:rPr>
        <w:t xml:space="preserve">Applicant states the </w:t>
      </w:r>
      <w:r w:rsidRPr="00360C1C">
        <w:rPr>
          <w:rFonts w:ascii="Garamond" w:hAnsi="Garamond" w:cs="Arial"/>
          <w:sz w:val="24"/>
          <w:szCs w:val="24"/>
        </w:rPr>
        <w:t xml:space="preserve">Governing </w:t>
      </w:r>
      <w:r w:rsidR="00782030" w:rsidRPr="00360C1C">
        <w:rPr>
          <w:rFonts w:ascii="Garamond" w:hAnsi="Garamond" w:cs="Arial"/>
          <w:sz w:val="24"/>
          <w:szCs w:val="24"/>
        </w:rPr>
        <w:t>B</w:t>
      </w:r>
      <w:r w:rsidRPr="00360C1C">
        <w:rPr>
          <w:rFonts w:ascii="Garamond" w:hAnsi="Garamond" w:cs="Arial"/>
          <w:sz w:val="24"/>
          <w:szCs w:val="24"/>
        </w:rPr>
        <w:t>oard reviews all training annually</w:t>
      </w:r>
      <w:r w:rsidR="00915609" w:rsidRPr="00360C1C">
        <w:rPr>
          <w:rFonts w:ascii="Garamond" w:hAnsi="Garamond" w:cs="Arial"/>
          <w:sz w:val="24"/>
          <w:szCs w:val="24"/>
        </w:rPr>
        <w:t xml:space="preserve">. The facility is ADA compliant, and accommodations for patients with disabilities </w:t>
      </w:r>
      <w:r w:rsidR="00331F06" w:rsidRPr="00360C1C">
        <w:rPr>
          <w:rFonts w:ascii="Garamond" w:hAnsi="Garamond" w:cs="Arial"/>
          <w:sz w:val="24"/>
          <w:szCs w:val="24"/>
        </w:rPr>
        <w:t xml:space="preserve">are assessed </w:t>
      </w:r>
      <w:r w:rsidR="009F28EB" w:rsidRPr="00360C1C">
        <w:rPr>
          <w:rFonts w:ascii="Garamond" w:hAnsi="Garamond" w:cs="Arial"/>
          <w:sz w:val="24"/>
          <w:szCs w:val="24"/>
        </w:rPr>
        <w:t>during pre-operative phone calls</w:t>
      </w:r>
      <w:r w:rsidR="00331F06" w:rsidRPr="00360C1C">
        <w:rPr>
          <w:rFonts w:ascii="Garamond" w:hAnsi="Garamond" w:cs="Arial"/>
          <w:sz w:val="24"/>
          <w:szCs w:val="24"/>
        </w:rPr>
        <w:t xml:space="preserve">, including </w:t>
      </w:r>
      <w:r w:rsidR="0000112F" w:rsidRPr="00360C1C">
        <w:rPr>
          <w:rFonts w:ascii="Garamond" w:hAnsi="Garamond" w:cs="Arial"/>
          <w:sz w:val="24"/>
          <w:szCs w:val="24"/>
        </w:rPr>
        <w:t xml:space="preserve">need for any </w:t>
      </w:r>
      <w:r w:rsidR="00331F06" w:rsidRPr="00360C1C">
        <w:rPr>
          <w:rFonts w:ascii="Garamond" w:hAnsi="Garamond" w:cs="Arial"/>
          <w:sz w:val="24"/>
          <w:szCs w:val="24"/>
        </w:rPr>
        <w:t xml:space="preserve">assistance </w:t>
      </w:r>
      <w:r w:rsidR="001E7DC1" w:rsidRPr="00360C1C">
        <w:rPr>
          <w:rFonts w:ascii="Garamond" w:hAnsi="Garamond" w:cs="Arial"/>
          <w:sz w:val="24"/>
          <w:szCs w:val="24"/>
        </w:rPr>
        <w:t xml:space="preserve">required for moving throughout the </w:t>
      </w:r>
      <w:r w:rsidR="00BF1DED">
        <w:rPr>
          <w:rFonts w:ascii="Garamond" w:hAnsi="Garamond" w:cs="Arial"/>
          <w:sz w:val="24"/>
          <w:szCs w:val="24"/>
        </w:rPr>
        <w:t>facility</w:t>
      </w:r>
      <w:r w:rsidR="001E7DC1" w:rsidRPr="00360C1C">
        <w:rPr>
          <w:rFonts w:ascii="Garamond" w:hAnsi="Garamond" w:cs="Arial"/>
          <w:sz w:val="24"/>
          <w:szCs w:val="24"/>
        </w:rPr>
        <w:t>,</w:t>
      </w:r>
      <w:r w:rsidR="00BE21D5" w:rsidRPr="00360C1C">
        <w:rPr>
          <w:rFonts w:ascii="Garamond" w:hAnsi="Garamond" w:cs="Arial"/>
          <w:sz w:val="24"/>
          <w:szCs w:val="24"/>
        </w:rPr>
        <w:t xml:space="preserve"> such as </w:t>
      </w:r>
      <w:r w:rsidR="00331F06" w:rsidRPr="00360C1C">
        <w:rPr>
          <w:rFonts w:ascii="Garamond" w:hAnsi="Garamond" w:cs="Arial"/>
          <w:sz w:val="24"/>
          <w:szCs w:val="24"/>
        </w:rPr>
        <w:t xml:space="preserve">use of </w:t>
      </w:r>
      <w:r w:rsidR="0000112F" w:rsidRPr="00360C1C">
        <w:rPr>
          <w:rFonts w:ascii="Garamond" w:hAnsi="Garamond" w:cs="Arial"/>
          <w:sz w:val="24"/>
          <w:szCs w:val="24"/>
        </w:rPr>
        <w:t xml:space="preserve">a </w:t>
      </w:r>
      <w:r w:rsidR="00331F06" w:rsidRPr="00360C1C">
        <w:rPr>
          <w:rFonts w:ascii="Garamond" w:hAnsi="Garamond" w:cs="Arial"/>
          <w:sz w:val="24"/>
          <w:szCs w:val="24"/>
        </w:rPr>
        <w:t xml:space="preserve">walker/wheelchair, and hearing </w:t>
      </w:r>
      <w:r w:rsidR="006F2370" w:rsidRPr="00360C1C">
        <w:rPr>
          <w:rFonts w:ascii="Garamond" w:hAnsi="Garamond" w:cs="Arial"/>
          <w:sz w:val="24"/>
          <w:szCs w:val="24"/>
        </w:rPr>
        <w:t>and/</w:t>
      </w:r>
      <w:r w:rsidR="00331F06" w:rsidRPr="00360C1C">
        <w:rPr>
          <w:rFonts w:ascii="Garamond" w:hAnsi="Garamond" w:cs="Arial"/>
          <w:sz w:val="24"/>
          <w:szCs w:val="24"/>
        </w:rPr>
        <w:t>or visual impairment</w:t>
      </w:r>
      <w:r w:rsidR="00545940" w:rsidRPr="00360C1C">
        <w:rPr>
          <w:rFonts w:ascii="Garamond" w:hAnsi="Garamond" w:cs="Arial"/>
          <w:sz w:val="24"/>
          <w:szCs w:val="24"/>
        </w:rPr>
        <w:t>s</w:t>
      </w:r>
      <w:r w:rsidR="00331F06" w:rsidRPr="00360C1C">
        <w:rPr>
          <w:rFonts w:ascii="Garamond" w:hAnsi="Garamond" w:cs="Arial"/>
          <w:sz w:val="24"/>
          <w:szCs w:val="24"/>
        </w:rPr>
        <w:t>.</w:t>
      </w:r>
      <w:r w:rsidR="00331F06">
        <w:rPr>
          <w:rFonts w:ascii="Garamond" w:hAnsi="Garamond" w:cs="Arial"/>
          <w:sz w:val="24"/>
          <w:szCs w:val="24"/>
        </w:rPr>
        <w:t xml:space="preserve"> </w:t>
      </w:r>
      <w:r w:rsidR="00915609">
        <w:rPr>
          <w:rFonts w:ascii="Garamond" w:hAnsi="Garamond" w:cs="Arial"/>
          <w:sz w:val="24"/>
          <w:szCs w:val="24"/>
        </w:rPr>
        <w:t xml:space="preserve"> </w:t>
      </w:r>
    </w:p>
    <w:p w14:paraId="1AB097AF" w14:textId="03B7D8C3" w:rsidR="001223E1" w:rsidRDefault="001223E1" w:rsidP="007046B8">
      <w:pPr>
        <w:spacing w:after="0" w:line="240" w:lineRule="auto"/>
        <w:contextualSpacing/>
        <w:rPr>
          <w:rFonts w:ascii="Garamond" w:hAnsi="Garamond" w:cs="Arial"/>
          <w:sz w:val="24"/>
          <w:szCs w:val="24"/>
        </w:rPr>
      </w:pPr>
    </w:p>
    <w:p w14:paraId="48A36274" w14:textId="64099562" w:rsidR="00154783" w:rsidRDefault="00E617A5" w:rsidP="00637BDA">
      <w:pPr>
        <w:spacing w:line="240" w:lineRule="auto"/>
        <w:rPr>
          <w:rFonts w:ascii="Garamond" w:hAnsi="Garamond" w:cs="Arial"/>
          <w:b/>
          <w:bCs/>
          <w:sz w:val="24"/>
          <w:szCs w:val="24"/>
        </w:rPr>
      </w:pPr>
      <w:r w:rsidRPr="00E420F3">
        <w:rPr>
          <w:rFonts w:ascii="Garamond" w:hAnsi="Garamond" w:cs="Arial"/>
          <w:b/>
          <w:bCs/>
          <w:sz w:val="24"/>
          <w:szCs w:val="24"/>
        </w:rPr>
        <w:t>Social Determinants of Health</w:t>
      </w:r>
      <w:r w:rsidR="001D6D59" w:rsidRPr="00E420F3">
        <w:rPr>
          <w:rFonts w:ascii="Garamond" w:hAnsi="Garamond" w:cs="Arial"/>
          <w:b/>
          <w:bCs/>
          <w:sz w:val="24"/>
          <w:szCs w:val="24"/>
        </w:rPr>
        <w:t xml:space="preserve"> </w:t>
      </w:r>
      <w:r w:rsidR="008A3EA9" w:rsidRPr="00E420F3">
        <w:rPr>
          <w:rFonts w:ascii="Garamond" w:hAnsi="Garamond" w:cs="Arial"/>
          <w:b/>
          <w:bCs/>
          <w:sz w:val="24"/>
          <w:szCs w:val="24"/>
        </w:rPr>
        <w:t xml:space="preserve">(SDoH) </w:t>
      </w:r>
      <w:r w:rsidR="001D6D59" w:rsidRPr="00E420F3">
        <w:rPr>
          <w:rFonts w:ascii="Garamond" w:hAnsi="Garamond" w:cs="Arial"/>
          <w:b/>
          <w:bCs/>
          <w:sz w:val="24"/>
          <w:szCs w:val="24"/>
        </w:rPr>
        <w:t>Screening</w:t>
      </w:r>
    </w:p>
    <w:p w14:paraId="5EB4AC3D" w14:textId="2DC41132" w:rsidR="00637BDA" w:rsidRPr="00637BDA" w:rsidRDefault="004E5047" w:rsidP="004E5047">
      <w:pPr>
        <w:spacing w:after="0" w:line="240" w:lineRule="auto"/>
        <w:rPr>
          <w:rFonts w:ascii="Garamond" w:hAnsi="Garamond" w:cs="Arial"/>
          <w:sz w:val="24"/>
          <w:szCs w:val="24"/>
        </w:rPr>
      </w:pPr>
      <w:r>
        <w:rPr>
          <w:rFonts w:ascii="Garamond" w:hAnsi="Garamond" w:cs="Arial"/>
          <w:sz w:val="24"/>
          <w:szCs w:val="24"/>
        </w:rPr>
        <w:t xml:space="preserve">The Applicant is a </w:t>
      </w:r>
      <w:r w:rsidR="009C041D">
        <w:rPr>
          <w:rFonts w:ascii="Garamond" w:hAnsi="Garamond" w:cs="Arial"/>
          <w:sz w:val="24"/>
          <w:szCs w:val="24"/>
        </w:rPr>
        <w:t xml:space="preserve">physician-owned, </w:t>
      </w:r>
      <w:r>
        <w:rPr>
          <w:rFonts w:ascii="Garamond" w:hAnsi="Garamond" w:cs="Arial"/>
          <w:sz w:val="24"/>
          <w:szCs w:val="24"/>
        </w:rPr>
        <w:t>free-standing ASC</w:t>
      </w:r>
      <w:r w:rsidR="009C041D">
        <w:rPr>
          <w:rFonts w:ascii="Garamond" w:hAnsi="Garamond" w:cs="Arial"/>
          <w:sz w:val="24"/>
          <w:szCs w:val="24"/>
        </w:rPr>
        <w:t xml:space="preserve"> that is </w:t>
      </w:r>
      <w:r>
        <w:rPr>
          <w:rFonts w:ascii="Garamond" w:hAnsi="Garamond" w:cs="Arial"/>
          <w:sz w:val="24"/>
          <w:szCs w:val="24"/>
        </w:rPr>
        <w:t xml:space="preserve">not affiliated with an </w:t>
      </w:r>
      <w:r w:rsidR="004B7B83">
        <w:rPr>
          <w:rFonts w:ascii="Garamond" w:hAnsi="Garamond" w:cs="Arial"/>
          <w:sz w:val="24"/>
          <w:szCs w:val="24"/>
        </w:rPr>
        <w:t>accountable care organization (</w:t>
      </w:r>
      <w:r>
        <w:rPr>
          <w:rFonts w:ascii="Garamond" w:hAnsi="Garamond" w:cs="Arial"/>
          <w:sz w:val="24"/>
          <w:szCs w:val="24"/>
        </w:rPr>
        <w:t>ACO</w:t>
      </w:r>
      <w:r w:rsidR="004B7B83">
        <w:rPr>
          <w:rFonts w:ascii="Garamond" w:hAnsi="Garamond" w:cs="Arial"/>
          <w:sz w:val="24"/>
          <w:szCs w:val="24"/>
        </w:rPr>
        <w:t>)</w:t>
      </w:r>
      <w:r w:rsidR="00B961ED">
        <w:rPr>
          <w:rFonts w:ascii="Garamond" w:hAnsi="Garamond" w:cs="Arial"/>
          <w:sz w:val="24"/>
          <w:szCs w:val="24"/>
        </w:rPr>
        <w:t xml:space="preserve"> </w:t>
      </w:r>
      <w:r w:rsidR="002C60BB">
        <w:rPr>
          <w:rFonts w:ascii="Garamond" w:hAnsi="Garamond" w:cs="Arial"/>
          <w:sz w:val="24"/>
          <w:szCs w:val="24"/>
        </w:rPr>
        <w:t>or</w:t>
      </w:r>
      <w:r>
        <w:rPr>
          <w:rFonts w:ascii="Garamond" w:hAnsi="Garamond" w:cs="Arial"/>
          <w:sz w:val="24"/>
          <w:szCs w:val="24"/>
        </w:rPr>
        <w:t xml:space="preserve"> aligned with social services </w:t>
      </w:r>
      <w:r w:rsidR="000208FF">
        <w:rPr>
          <w:rFonts w:ascii="Garamond" w:hAnsi="Garamond" w:cs="Arial"/>
          <w:sz w:val="24"/>
          <w:szCs w:val="24"/>
        </w:rPr>
        <w:t>or</w:t>
      </w:r>
      <w:r>
        <w:rPr>
          <w:rFonts w:ascii="Garamond" w:hAnsi="Garamond" w:cs="Arial"/>
          <w:sz w:val="24"/>
          <w:szCs w:val="24"/>
        </w:rPr>
        <w:t xml:space="preserve"> community</w:t>
      </w:r>
      <w:r w:rsidR="009D174D">
        <w:rPr>
          <w:rFonts w:ascii="Garamond" w:hAnsi="Garamond" w:cs="Arial"/>
          <w:sz w:val="24"/>
          <w:szCs w:val="24"/>
        </w:rPr>
        <w:t xml:space="preserve"> </w:t>
      </w:r>
      <w:r>
        <w:rPr>
          <w:rFonts w:ascii="Garamond" w:hAnsi="Garamond" w:cs="Arial"/>
          <w:sz w:val="24"/>
          <w:szCs w:val="24"/>
        </w:rPr>
        <w:t xml:space="preserve">based experts. </w:t>
      </w:r>
      <w:r w:rsidR="006E46DF">
        <w:rPr>
          <w:rFonts w:ascii="Garamond" w:hAnsi="Garamond" w:cs="Arial"/>
          <w:sz w:val="24"/>
          <w:szCs w:val="24"/>
        </w:rPr>
        <w:t xml:space="preserve">A </w:t>
      </w:r>
      <w:r w:rsidR="00FA2EA6">
        <w:rPr>
          <w:rFonts w:ascii="Garamond" w:hAnsi="Garamond" w:cs="Arial"/>
          <w:sz w:val="24"/>
          <w:szCs w:val="24"/>
        </w:rPr>
        <w:t xml:space="preserve">pre-operative questionnaire </w:t>
      </w:r>
      <w:r w:rsidR="006E46DF">
        <w:rPr>
          <w:rFonts w:ascii="Garamond" w:hAnsi="Garamond" w:cs="Arial"/>
          <w:sz w:val="24"/>
          <w:szCs w:val="24"/>
        </w:rPr>
        <w:t xml:space="preserve">provided by </w:t>
      </w:r>
      <w:r w:rsidR="0079615C">
        <w:rPr>
          <w:rFonts w:ascii="Garamond" w:hAnsi="Garamond" w:cs="Arial"/>
          <w:sz w:val="24"/>
          <w:szCs w:val="24"/>
        </w:rPr>
        <w:t>NESC</w:t>
      </w:r>
      <w:r w:rsidR="006E46DF">
        <w:rPr>
          <w:rFonts w:ascii="Garamond" w:hAnsi="Garamond" w:cs="Arial"/>
          <w:sz w:val="24"/>
          <w:szCs w:val="24"/>
        </w:rPr>
        <w:t xml:space="preserve"> and </w:t>
      </w:r>
      <w:r w:rsidR="00FA2EA6">
        <w:rPr>
          <w:rFonts w:ascii="Garamond" w:hAnsi="Garamond" w:cs="Arial"/>
          <w:sz w:val="24"/>
          <w:szCs w:val="24"/>
        </w:rPr>
        <w:t xml:space="preserve">completed by patients contains questions evaluating social service needs. Information identified </w:t>
      </w:r>
      <w:r w:rsidR="009D7DE3">
        <w:rPr>
          <w:rFonts w:ascii="Garamond" w:hAnsi="Garamond" w:cs="Arial"/>
          <w:sz w:val="24"/>
          <w:szCs w:val="24"/>
        </w:rPr>
        <w:t>in the questionnaire include</w:t>
      </w:r>
      <w:r w:rsidR="00CC46D2">
        <w:rPr>
          <w:rFonts w:ascii="Garamond" w:hAnsi="Garamond" w:cs="Arial"/>
          <w:sz w:val="24"/>
          <w:szCs w:val="24"/>
        </w:rPr>
        <w:t>:</w:t>
      </w:r>
      <w:r w:rsidR="009D7DE3">
        <w:rPr>
          <w:rFonts w:ascii="Garamond" w:hAnsi="Garamond" w:cs="Arial"/>
          <w:sz w:val="24"/>
          <w:szCs w:val="24"/>
        </w:rPr>
        <w:t xml:space="preserve"> </w:t>
      </w:r>
      <w:r w:rsidR="001533E4">
        <w:rPr>
          <w:rFonts w:ascii="Garamond" w:hAnsi="Garamond" w:cs="Arial"/>
          <w:sz w:val="24"/>
          <w:szCs w:val="24"/>
        </w:rPr>
        <w:t xml:space="preserve">identifying </w:t>
      </w:r>
      <w:r w:rsidR="009D7DE3">
        <w:rPr>
          <w:rFonts w:ascii="Garamond" w:hAnsi="Garamond" w:cs="Arial"/>
          <w:sz w:val="24"/>
          <w:szCs w:val="24"/>
        </w:rPr>
        <w:t>the</w:t>
      </w:r>
      <w:r w:rsidR="00FA2EA6">
        <w:rPr>
          <w:rFonts w:ascii="Garamond" w:hAnsi="Garamond" w:cs="Arial"/>
          <w:sz w:val="24"/>
          <w:szCs w:val="24"/>
        </w:rPr>
        <w:t xml:space="preserve"> person </w:t>
      </w:r>
      <w:r w:rsidR="001533E4">
        <w:rPr>
          <w:rFonts w:ascii="Garamond" w:hAnsi="Garamond" w:cs="Arial"/>
          <w:sz w:val="24"/>
          <w:szCs w:val="24"/>
        </w:rPr>
        <w:t xml:space="preserve">who will be </w:t>
      </w:r>
      <w:r w:rsidR="00FA2EA6">
        <w:rPr>
          <w:rFonts w:ascii="Garamond" w:hAnsi="Garamond" w:cs="Arial"/>
          <w:sz w:val="24"/>
          <w:szCs w:val="24"/>
        </w:rPr>
        <w:t xml:space="preserve">escorting the patient home after surgery and </w:t>
      </w:r>
      <w:r w:rsidR="005D6A84">
        <w:rPr>
          <w:rFonts w:ascii="Garamond" w:hAnsi="Garamond" w:cs="Arial"/>
          <w:sz w:val="24"/>
          <w:szCs w:val="24"/>
        </w:rPr>
        <w:t xml:space="preserve">remaining </w:t>
      </w:r>
      <w:r w:rsidR="00FA2EA6">
        <w:rPr>
          <w:rFonts w:ascii="Garamond" w:hAnsi="Garamond" w:cs="Arial"/>
          <w:sz w:val="24"/>
          <w:szCs w:val="24"/>
        </w:rPr>
        <w:t>at home</w:t>
      </w:r>
      <w:r w:rsidR="000F1581">
        <w:rPr>
          <w:rFonts w:ascii="Garamond" w:hAnsi="Garamond" w:cs="Arial"/>
          <w:sz w:val="24"/>
          <w:szCs w:val="24"/>
        </w:rPr>
        <w:t xml:space="preserve"> </w:t>
      </w:r>
      <w:r w:rsidR="005D6A84">
        <w:rPr>
          <w:rFonts w:ascii="Garamond" w:hAnsi="Garamond" w:cs="Arial"/>
          <w:sz w:val="24"/>
          <w:szCs w:val="24"/>
        </w:rPr>
        <w:t xml:space="preserve">with the patient </w:t>
      </w:r>
      <w:r w:rsidR="000F1581">
        <w:rPr>
          <w:rFonts w:ascii="Garamond" w:hAnsi="Garamond" w:cs="Arial"/>
          <w:sz w:val="24"/>
          <w:szCs w:val="24"/>
        </w:rPr>
        <w:t>for the first 24 hours</w:t>
      </w:r>
      <w:r w:rsidR="009D174D">
        <w:rPr>
          <w:rFonts w:ascii="Garamond" w:hAnsi="Garamond" w:cs="Arial"/>
          <w:sz w:val="24"/>
          <w:szCs w:val="24"/>
        </w:rPr>
        <w:t>,</w:t>
      </w:r>
      <w:r w:rsidR="00C86B58">
        <w:rPr>
          <w:rFonts w:ascii="Garamond" w:hAnsi="Garamond" w:cs="Arial"/>
          <w:sz w:val="24"/>
          <w:szCs w:val="24"/>
        </w:rPr>
        <w:t xml:space="preserve"> </w:t>
      </w:r>
      <w:r w:rsidR="00083274" w:rsidRPr="00083274">
        <w:rPr>
          <w:rFonts w:ascii="Garamond" w:hAnsi="Garamond" w:cs="Arial"/>
          <w:sz w:val="24"/>
          <w:szCs w:val="24"/>
        </w:rPr>
        <w:t>smoking habits</w:t>
      </w:r>
      <w:r w:rsidR="009D174D">
        <w:rPr>
          <w:rFonts w:ascii="Garamond" w:hAnsi="Garamond" w:cs="Arial"/>
          <w:sz w:val="24"/>
          <w:szCs w:val="24"/>
        </w:rPr>
        <w:t>,</w:t>
      </w:r>
      <w:r w:rsidR="00083274" w:rsidRPr="00083274">
        <w:rPr>
          <w:rFonts w:ascii="Garamond" w:hAnsi="Garamond" w:cs="Arial"/>
          <w:sz w:val="24"/>
          <w:szCs w:val="24"/>
        </w:rPr>
        <w:t xml:space="preserve"> </w:t>
      </w:r>
      <w:r w:rsidR="00083274">
        <w:rPr>
          <w:rFonts w:ascii="Garamond" w:hAnsi="Garamond" w:cs="Arial"/>
          <w:sz w:val="24"/>
          <w:szCs w:val="24"/>
        </w:rPr>
        <w:t>alcohol or drug use</w:t>
      </w:r>
      <w:r w:rsidR="009D174D">
        <w:rPr>
          <w:rFonts w:ascii="Garamond" w:hAnsi="Garamond" w:cs="Arial"/>
          <w:sz w:val="24"/>
          <w:szCs w:val="24"/>
        </w:rPr>
        <w:t>,</w:t>
      </w:r>
      <w:r w:rsidR="00083274" w:rsidRPr="00083274">
        <w:rPr>
          <w:rFonts w:ascii="Garamond" w:hAnsi="Garamond" w:cs="Arial"/>
          <w:sz w:val="24"/>
          <w:szCs w:val="24"/>
        </w:rPr>
        <w:t xml:space="preserve"> </w:t>
      </w:r>
      <w:r w:rsidR="00083274">
        <w:rPr>
          <w:rFonts w:ascii="Garamond" w:hAnsi="Garamond" w:cs="Arial"/>
          <w:sz w:val="24"/>
          <w:szCs w:val="24"/>
        </w:rPr>
        <w:t>level of physical activity</w:t>
      </w:r>
      <w:r w:rsidR="009D174D">
        <w:rPr>
          <w:rFonts w:ascii="Garamond" w:hAnsi="Garamond" w:cs="Arial"/>
          <w:sz w:val="24"/>
          <w:szCs w:val="24"/>
        </w:rPr>
        <w:t>,</w:t>
      </w:r>
      <w:r w:rsidR="004579CB">
        <w:rPr>
          <w:rFonts w:ascii="Garamond" w:hAnsi="Garamond" w:cs="Arial"/>
          <w:sz w:val="24"/>
          <w:szCs w:val="24"/>
        </w:rPr>
        <w:t xml:space="preserve"> </w:t>
      </w:r>
      <w:r w:rsidR="00083274">
        <w:rPr>
          <w:rFonts w:ascii="Garamond" w:hAnsi="Garamond" w:cs="Arial"/>
          <w:sz w:val="24"/>
          <w:szCs w:val="24"/>
        </w:rPr>
        <w:t xml:space="preserve">and </w:t>
      </w:r>
      <w:r w:rsidR="00083274" w:rsidRPr="00083274">
        <w:rPr>
          <w:rFonts w:ascii="Garamond" w:hAnsi="Garamond" w:cs="Arial"/>
          <w:sz w:val="24"/>
          <w:szCs w:val="24"/>
        </w:rPr>
        <w:t>whether the</w:t>
      </w:r>
      <w:r w:rsidR="004579CB">
        <w:rPr>
          <w:rFonts w:ascii="Garamond" w:hAnsi="Garamond" w:cs="Arial"/>
          <w:sz w:val="24"/>
          <w:szCs w:val="24"/>
        </w:rPr>
        <w:t xml:space="preserve"> patient</w:t>
      </w:r>
      <w:r w:rsidR="00083274" w:rsidRPr="00083274">
        <w:rPr>
          <w:rFonts w:ascii="Garamond" w:hAnsi="Garamond" w:cs="Arial"/>
          <w:sz w:val="24"/>
          <w:szCs w:val="24"/>
        </w:rPr>
        <w:t xml:space="preserve"> feel</w:t>
      </w:r>
      <w:r w:rsidR="004579CB">
        <w:rPr>
          <w:rFonts w:ascii="Garamond" w:hAnsi="Garamond" w:cs="Arial"/>
          <w:sz w:val="24"/>
          <w:szCs w:val="24"/>
        </w:rPr>
        <w:t>s</w:t>
      </w:r>
      <w:r w:rsidR="00083274" w:rsidRPr="00083274">
        <w:rPr>
          <w:rFonts w:ascii="Garamond" w:hAnsi="Garamond" w:cs="Arial"/>
          <w:sz w:val="24"/>
          <w:szCs w:val="24"/>
        </w:rPr>
        <w:t xml:space="preserve"> safe at home or suffer</w:t>
      </w:r>
      <w:r w:rsidR="004579CB">
        <w:rPr>
          <w:rFonts w:ascii="Garamond" w:hAnsi="Garamond" w:cs="Arial"/>
          <w:sz w:val="24"/>
          <w:szCs w:val="24"/>
        </w:rPr>
        <w:t>s</w:t>
      </w:r>
      <w:r w:rsidR="00083274" w:rsidRPr="00083274">
        <w:rPr>
          <w:rFonts w:ascii="Garamond" w:hAnsi="Garamond" w:cs="Arial"/>
          <w:sz w:val="24"/>
          <w:szCs w:val="24"/>
        </w:rPr>
        <w:t xml:space="preserve"> abuse. </w:t>
      </w:r>
      <w:r w:rsidR="000208FF">
        <w:rPr>
          <w:rFonts w:ascii="Garamond" w:hAnsi="Garamond" w:cs="Arial"/>
          <w:sz w:val="24"/>
          <w:szCs w:val="24"/>
        </w:rPr>
        <w:t>If</w:t>
      </w:r>
      <w:r w:rsidR="00C86B58">
        <w:rPr>
          <w:rFonts w:ascii="Garamond" w:hAnsi="Garamond" w:cs="Arial"/>
          <w:sz w:val="24"/>
          <w:szCs w:val="24"/>
        </w:rPr>
        <w:t xml:space="preserve"> </w:t>
      </w:r>
      <w:r w:rsidR="008A6EA0">
        <w:rPr>
          <w:rFonts w:ascii="Garamond" w:hAnsi="Garamond" w:cs="Arial"/>
          <w:sz w:val="24"/>
          <w:szCs w:val="24"/>
        </w:rPr>
        <w:t>abuse is indicated</w:t>
      </w:r>
      <w:r w:rsidR="001533E4">
        <w:rPr>
          <w:rFonts w:ascii="Garamond" w:hAnsi="Garamond" w:cs="Arial"/>
          <w:sz w:val="24"/>
          <w:szCs w:val="24"/>
        </w:rPr>
        <w:t xml:space="preserve"> in the patient’s responses</w:t>
      </w:r>
      <w:r w:rsidR="000F1581">
        <w:rPr>
          <w:rFonts w:ascii="Garamond" w:hAnsi="Garamond" w:cs="Arial"/>
          <w:sz w:val="24"/>
          <w:szCs w:val="24"/>
        </w:rPr>
        <w:t xml:space="preserve">, </w:t>
      </w:r>
      <w:r w:rsidR="008A6EA0">
        <w:rPr>
          <w:rFonts w:ascii="Garamond" w:hAnsi="Garamond" w:cs="Arial"/>
          <w:sz w:val="24"/>
          <w:szCs w:val="24"/>
        </w:rPr>
        <w:t xml:space="preserve">the patient is </w:t>
      </w:r>
      <w:r w:rsidR="00B524CC">
        <w:rPr>
          <w:rFonts w:ascii="Garamond" w:hAnsi="Garamond" w:cs="Arial"/>
          <w:sz w:val="24"/>
          <w:szCs w:val="24"/>
        </w:rPr>
        <w:t>directed to</w:t>
      </w:r>
      <w:r w:rsidR="000F1581">
        <w:rPr>
          <w:rFonts w:ascii="Garamond" w:hAnsi="Garamond" w:cs="Arial"/>
          <w:sz w:val="24"/>
          <w:szCs w:val="24"/>
        </w:rPr>
        <w:t xml:space="preserve"> contact </w:t>
      </w:r>
      <w:r w:rsidR="00B524CC">
        <w:rPr>
          <w:rFonts w:ascii="Garamond" w:hAnsi="Garamond" w:cs="Arial"/>
          <w:sz w:val="24"/>
          <w:szCs w:val="24"/>
        </w:rPr>
        <w:t xml:space="preserve">SafeLink, the </w:t>
      </w:r>
      <w:r w:rsidR="00B524CC" w:rsidRPr="00B524CC">
        <w:rPr>
          <w:rFonts w:ascii="Garamond" w:hAnsi="Garamond" w:cs="Arial"/>
          <w:sz w:val="24"/>
          <w:szCs w:val="24"/>
        </w:rPr>
        <w:t>Massachusetts’ statewide 24/7 toll-free domestic violence hotline</w:t>
      </w:r>
      <w:r w:rsidR="000F1581">
        <w:rPr>
          <w:rFonts w:ascii="Garamond" w:hAnsi="Garamond" w:cs="Arial"/>
          <w:sz w:val="24"/>
          <w:szCs w:val="24"/>
        </w:rPr>
        <w:t xml:space="preserve">. </w:t>
      </w:r>
      <w:r w:rsidR="001533E4">
        <w:rPr>
          <w:rFonts w:ascii="Garamond" w:hAnsi="Garamond" w:cs="Arial"/>
          <w:sz w:val="24"/>
          <w:szCs w:val="24"/>
        </w:rPr>
        <w:t>Positive social needs screens are referred to th</w:t>
      </w:r>
      <w:r w:rsidR="00261FAF">
        <w:rPr>
          <w:rFonts w:ascii="Garamond" w:hAnsi="Garamond" w:cs="Arial"/>
          <w:sz w:val="24"/>
          <w:szCs w:val="24"/>
        </w:rPr>
        <w:t>e</w:t>
      </w:r>
      <w:r w:rsidR="00FA2EA6">
        <w:rPr>
          <w:rFonts w:ascii="Garamond" w:hAnsi="Garamond" w:cs="Arial"/>
          <w:sz w:val="24"/>
          <w:szCs w:val="24"/>
        </w:rPr>
        <w:t xml:space="preserve"> </w:t>
      </w:r>
      <w:r w:rsidR="009D7DE3">
        <w:rPr>
          <w:rFonts w:ascii="Garamond" w:hAnsi="Garamond" w:cs="Arial"/>
          <w:sz w:val="24"/>
          <w:szCs w:val="24"/>
        </w:rPr>
        <w:t>primary care physician</w:t>
      </w:r>
      <w:r w:rsidR="00D41DC9">
        <w:rPr>
          <w:rFonts w:ascii="Garamond" w:hAnsi="Garamond" w:cs="Arial"/>
          <w:sz w:val="24"/>
          <w:szCs w:val="24"/>
        </w:rPr>
        <w:t xml:space="preserve"> (PCP)</w:t>
      </w:r>
      <w:r w:rsidR="001533E4">
        <w:rPr>
          <w:rFonts w:ascii="Garamond" w:hAnsi="Garamond" w:cs="Arial"/>
          <w:sz w:val="24"/>
          <w:szCs w:val="24"/>
        </w:rPr>
        <w:t xml:space="preserve"> who then</w:t>
      </w:r>
      <w:r w:rsidR="00FA2EA6">
        <w:rPr>
          <w:rFonts w:ascii="Garamond" w:hAnsi="Garamond" w:cs="Arial"/>
          <w:sz w:val="24"/>
          <w:szCs w:val="24"/>
        </w:rPr>
        <w:t xml:space="preserve"> follow</w:t>
      </w:r>
      <w:r w:rsidR="001533E4">
        <w:rPr>
          <w:rFonts w:ascii="Garamond" w:hAnsi="Garamond" w:cs="Arial"/>
          <w:sz w:val="24"/>
          <w:szCs w:val="24"/>
        </w:rPr>
        <w:t xml:space="preserve">s </w:t>
      </w:r>
      <w:r w:rsidR="00FA2EA6">
        <w:rPr>
          <w:rFonts w:ascii="Garamond" w:hAnsi="Garamond" w:cs="Arial"/>
          <w:sz w:val="24"/>
          <w:szCs w:val="24"/>
        </w:rPr>
        <w:t xml:space="preserve">up </w:t>
      </w:r>
      <w:r w:rsidR="001533E4">
        <w:rPr>
          <w:rFonts w:ascii="Garamond" w:hAnsi="Garamond" w:cs="Arial"/>
          <w:sz w:val="24"/>
          <w:szCs w:val="24"/>
        </w:rPr>
        <w:t xml:space="preserve">with the </w:t>
      </w:r>
      <w:r w:rsidR="00D41DC9">
        <w:rPr>
          <w:rFonts w:ascii="Garamond" w:hAnsi="Garamond" w:cs="Arial"/>
          <w:sz w:val="24"/>
          <w:szCs w:val="24"/>
        </w:rPr>
        <w:t>patient</w:t>
      </w:r>
      <w:r w:rsidR="00FA2EA6">
        <w:rPr>
          <w:rFonts w:ascii="Garamond" w:hAnsi="Garamond" w:cs="Arial"/>
          <w:sz w:val="24"/>
          <w:szCs w:val="24"/>
        </w:rPr>
        <w:t xml:space="preserve">. </w:t>
      </w:r>
    </w:p>
    <w:bookmarkEnd w:id="166"/>
    <w:bookmarkEnd w:id="167"/>
    <w:p w14:paraId="1393EF76" w14:textId="77777777" w:rsidR="008919AB" w:rsidRDefault="008919AB" w:rsidP="00EA38CA">
      <w:pPr>
        <w:spacing w:after="0" w:line="240" w:lineRule="auto"/>
        <w:contextualSpacing/>
        <w:rPr>
          <w:rFonts w:ascii="Garamond" w:hAnsi="Garamond" w:cs="Arial"/>
          <w:b/>
          <w:sz w:val="24"/>
          <w:szCs w:val="24"/>
        </w:rPr>
      </w:pPr>
    </w:p>
    <w:p w14:paraId="49F08A6B" w14:textId="7B4B51F4" w:rsidR="00CA308F" w:rsidRPr="00A73716" w:rsidRDefault="00A6711C" w:rsidP="00EA38CA">
      <w:pPr>
        <w:spacing w:after="0" w:line="240" w:lineRule="auto"/>
        <w:contextualSpacing/>
        <w:rPr>
          <w:rFonts w:ascii="Garamond" w:hAnsi="Garamond" w:cs="Arial"/>
          <w:b/>
          <w:i/>
          <w:sz w:val="24"/>
          <w:szCs w:val="24"/>
        </w:rPr>
      </w:pPr>
      <w:r w:rsidRPr="00A73716">
        <w:rPr>
          <w:rFonts w:ascii="Garamond" w:hAnsi="Garamond" w:cs="Arial"/>
          <w:b/>
          <w:i/>
          <w:sz w:val="24"/>
          <w:szCs w:val="24"/>
        </w:rPr>
        <w:t>Analysis</w:t>
      </w:r>
    </w:p>
    <w:p w14:paraId="2BFB071C" w14:textId="524EE8EE" w:rsidR="006872D6" w:rsidRPr="00C867B4" w:rsidRDefault="001533E4" w:rsidP="00EA38CA">
      <w:pPr>
        <w:spacing w:after="0" w:line="240" w:lineRule="auto"/>
        <w:contextualSpacing/>
        <w:rPr>
          <w:rFonts w:ascii="Garamond" w:hAnsi="Garamond" w:cs="Arial"/>
          <w:bCs/>
          <w:sz w:val="24"/>
          <w:szCs w:val="24"/>
        </w:rPr>
      </w:pPr>
      <w:r>
        <w:rPr>
          <w:rFonts w:ascii="Garamond" w:hAnsi="Garamond" w:cs="Arial"/>
          <w:bCs/>
          <w:sz w:val="24"/>
          <w:szCs w:val="24"/>
        </w:rPr>
        <w:t>T</w:t>
      </w:r>
      <w:r w:rsidR="00041E73" w:rsidRPr="00C00156">
        <w:rPr>
          <w:rFonts w:ascii="Garamond" w:hAnsi="Garamond" w:cs="Arial"/>
          <w:bCs/>
          <w:sz w:val="24"/>
          <w:szCs w:val="24"/>
        </w:rPr>
        <w:t xml:space="preserve">hrough a review </w:t>
      </w:r>
      <w:r w:rsidR="002D3025">
        <w:rPr>
          <w:rFonts w:ascii="Garamond" w:hAnsi="Garamond" w:cs="Arial"/>
          <w:bCs/>
          <w:sz w:val="24"/>
          <w:szCs w:val="24"/>
        </w:rPr>
        <w:t>of the facility’s</w:t>
      </w:r>
      <w:r w:rsidR="00D43708">
        <w:rPr>
          <w:rFonts w:ascii="Garamond" w:hAnsi="Garamond" w:cs="Arial"/>
          <w:bCs/>
          <w:sz w:val="24"/>
          <w:szCs w:val="24"/>
        </w:rPr>
        <w:t xml:space="preserve"> interpret</w:t>
      </w:r>
      <w:r w:rsidR="00BA3393">
        <w:rPr>
          <w:rFonts w:ascii="Garamond" w:hAnsi="Garamond" w:cs="Arial"/>
          <w:bCs/>
          <w:sz w:val="24"/>
          <w:szCs w:val="24"/>
        </w:rPr>
        <w:t xml:space="preserve">er </w:t>
      </w:r>
      <w:r w:rsidR="00D43708">
        <w:rPr>
          <w:rFonts w:ascii="Garamond" w:hAnsi="Garamond" w:cs="Arial"/>
          <w:bCs/>
          <w:sz w:val="24"/>
          <w:szCs w:val="24"/>
        </w:rPr>
        <w:t>services</w:t>
      </w:r>
      <w:r w:rsidR="00041E73" w:rsidRPr="00C00156">
        <w:rPr>
          <w:rFonts w:ascii="Garamond" w:hAnsi="Garamond" w:cs="Arial"/>
          <w:bCs/>
          <w:sz w:val="24"/>
          <w:szCs w:val="24"/>
        </w:rPr>
        <w:t xml:space="preserve">, </w:t>
      </w:r>
      <w:r w:rsidR="00D43708">
        <w:rPr>
          <w:rFonts w:ascii="Garamond" w:hAnsi="Garamond" w:cs="Arial"/>
          <w:bCs/>
          <w:sz w:val="24"/>
          <w:szCs w:val="24"/>
        </w:rPr>
        <w:t xml:space="preserve">training initiatives, </w:t>
      </w:r>
      <w:r w:rsidR="00041E73" w:rsidRPr="00C00156">
        <w:rPr>
          <w:rFonts w:ascii="Garamond" w:hAnsi="Garamond" w:cs="Arial"/>
          <w:bCs/>
          <w:sz w:val="24"/>
          <w:szCs w:val="24"/>
        </w:rPr>
        <w:t xml:space="preserve">and </w:t>
      </w:r>
      <w:r w:rsidR="004B4170">
        <w:rPr>
          <w:rFonts w:ascii="Garamond" w:hAnsi="Garamond" w:cs="Arial"/>
          <w:bCs/>
          <w:sz w:val="24"/>
          <w:szCs w:val="24"/>
        </w:rPr>
        <w:t>social needs</w:t>
      </w:r>
      <w:r w:rsidR="00041E73" w:rsidRPr="00C00156">
        <w:rPr>
          <w:rFonts w:ascii="Garamond" w:hAnsi="Garamond" w:cs="Arial"/>
          <w:bCs/>
          <w:sz w:val="24"/>
          <w:szCs w:val="24"/>
        </w:rPr>
        <w:t xml:space="preserve"> screening,</w:t>
      </w:r>
      <w:r>
        <w:rPr>
          <w:rFonts w:ascii="Garamond" w:hAnsi="Garamond" w:cs="Arial"/>
          <w:bCs/>
          <w:sz w:val="24"/>
          <w:szCs w:val="24"/>
        </w:rPr>
        <w:t xml:space="preserve"> s</w:t>
      </w:r>
      <w:r w:rsidRPr="00C00156">
        <w:rPr>
          <w:rFonts w:ascii="Garamond" w:hAnsi="Garamond" w:cs="Arial"/>
          <w:bCs/>
          <w:sz w:val="24"/>
          <w:szCs w:val="24"/>
        </w:rPr>
        <w:t>taff finds that</w:t>
      </w:r>
      <w:r w:rsidR="00041E73" w:rsidRPr="00C00156">
        <w:rPr>
          <w:rFonts w:ascii="Garamond" w:hAnsi="Garamond" w:cs="Arial"/>
          <w:bCs/>
          <w:sz w:val="24"/>
          <w:szCs w:val="24"/>
        </w:rPr>
        <w:t xml:space="preserve"> t</w:t>
      </w:r>
      <w:r w:rsidR="006872D6" w:rsidRPr="00C867B4">
        <w:rPr>
          <w:rFonts w:ascii="Garamond" w:hAnsi="Garamond" w:cs="Arial"/>
          <w:bCs/>
          <w:sz w:val="24"/>
          <w:szCs w:val="24"/>
        </w:rPr>
        <w:t>he Applicant has sufficiently outlined, at a high level, a case for improved health outcomes and has provided reasonable assurances of health equity</w:t>
      </w:r>
      <w:r w:rsidR="00A47979">
        <w:rPr>
          <w:rFonts w:ascii="Garamond" w:hAnsi="Garamond" w:cs="Arial"/>
          <w:bCs/>
          <w:sz w:val="24"/>
          <w:szCs w:val="24"/>
        </w:rPr>
        <w:t xml:space="preserve"> and access to care</w:t>
      </w:r>
      <w:r w:rsidR="006872D6" w:rsidRPr="00C867B4">
        <w:rPr>
          <w:rFonts w:ascii="Garamond" w:hAnsi="Garamond" w:cs="Arial"/>
          <w:bCs/>
          <w:sz w:val="24"/>
          <w:szCs w:val="24"/>
        </w:rPr>
        <w:t xml:space="preserve">. </w:t>
      </w:r>
    </w:p>
    <w:p w14:paraId="62B15680" w14:textId="5C29FC3F" w:rsidR="00BB7B4F" w:rsidRPr="000369E7" w:rsidRDefault="006B5808" w:rsidP="00EA38CA">
      <w:pPr>
        <w:pStyle w:val="Heading2"/>
        <w:spacing w:line="240" w:lineRule="auto"/>
        <w:rPr>
          <w:rFonts w:ascii="Garamond" w:hAnsi="Garamond"/>
          <w:color w:val="42558C" w:themeColor="accent1" w:themeShade="BF"/>
          <w:sz w:val="28"/>
          <w:szCs w:val="28"/>
        </w:rPr>
      </w:pPr>
      <w:bookmarkStart w:id="169" w:name="_Toc18922409"/>
      <w:bookmarkStart w:id="170" w:name="_Toc29755681"/>
      <w:bookmarkStart w:id="171" w:name="_Toc58960215"/>
      <w:bookmarkStart w:id="172" w:name="_Toc17151150"/>
      <w:bookmarkStart w:id="173" w:name="_Toc17322394"/>
      <w:r w:rsidRPr="000369E7">
        <w:rPr>
          <w:rFonts w:ascii="Garamond" w:hAnsi="Garamond"/>
          <w:color w:val="42558C" w:themeColor="accent1" w:themeShade="BF"/>
          <w:sz w:val="28"/>
          <w:szCs w:val="28"/>
        </w:rPr>
        <w:lastRenderedPageBreak/>
        <w:t>F</w:t>
      </w:r>
      <w:r w:rsidR="00BB7B4F" w:rsidRPr="000369E7">
        <w:rPr>
          <w:rFonts w:ascii="Garamond" w:hAnsi="Garamond"/>
          <w:color w:val="42558C" w:themeColor="accent1" w:themeShade="BF"/>
          <w:sz w:val="28"/>
          <w:szCs w:val="28"/>
        </w:rPr>
        <w:t>actor 1: c) Efficiency, Continuity of Care, Coordination of Care</w:t>
      </w:r>
      <w:bookmarkStart w:id="174" w:name="_Toc17322393"/>
      <w:bookmarkStart w:id="175" w:name="_Toc17748465"/>
      <w:bookmarkEnd w:id="169"/>
      <w:bookmarkEnd w:id="170"/>
      <w:bookmarkEnd w:id="171"/>
    </w:p>
    <w:bookmarkEnd w:id="174"/>
    <w:bookmarkEnd w:id="175"/>
    <w:p w14:paraId="704740C1" w14:textId="4EAD8FEA" w:rsidR="00545EF4" w:rsidRDefault="00A376E7" w:rsidP="00EA38CA">
      <w:pPr>
        <w:spacing w:after="0" w:line="240" w:lineRule="auto"/>
        <w:ind w:right="540"/>
        <w:contextualSpacing/>
        <w:rPr>
          <w:rFonts w:ascii="Garamond" w:hAnsi="Garamond" w:cs="Arial"/>
          <w:bCs/>
          <w:sz w:val="24"/>
          <w:szCs w:val="24"/>
        </w:rPr>
      </w:pPr>
      <w:r>
        <w:rPr>
          <w:rFonts w:ascii="Garamond" w:hAnsi="Garamond" w:cs="Arial"/>
          <w:bCs/>
          <w:sz w:val="24"/>
          <w:szCs w:val="24"/>
        </w:rPr>
        <w:t xml:space="preserve">The Applicant described care coordination </w:t>
      </w:r>
      <w:r w:rsidR="00103A4B">
        <w:rPr>
          <w:rFonts w:ascii="Garamond" w:hAnsi="Garamond" w:cs="Arial"/>
          <w:bCs/>
          <w:sz w:val="24"/>
          <w:szCs w:val="24"/>
        </w:rPr>
        <w:t xml:space="preserve">processes </w:t>
      </w:r>
      <w:r>
        <w:rPr>
          <w:rFonts w:ascii="Garamond" w:hAnsi="Garamond" w:cs="Arial"/>
          <w:bCs/>
          <w:sz w:val="24"/>
          <w:szCs w:val="24"/>
        </w:rPr>
        <w:t xml:space="preserve">between </w:t>
      </w:r>
      <w:r w:rsidR="001533E4">
        <w:rPr>
          <w:rFonts w:ascii="Garamond" w:hAnsi="Garamond" w:cs="Arial"/>
          <w:bCs/>
          <w:sz w:val="24"/>
          <w:szCs w:val="24"/>
        </w:rPr>
        <w:t xml:space="preserve">its </w:t>
      </w:r>
      <w:r>
        <w:rPr>
          <w:rFonts w:ascii="Garamond" w:hAnsi="Garamond" w:cs="Arial"/>
          <w:bCs/>
          <w:sz w:val="24"/>
          <w:szCs w:val="24"/>
        </w:rPr>
        <w:t>patients</w:t>
      </w:r>
      <w:r w:rsidR="00CC46D2">
        <w:rPr>
          <w:rFonts w:ascii="Garamond" w:hAnsi="Garamond" w:cs="Arial"/>
          <w:bCs/>
          <w:sz w:val="24"/>
          <w:szCs w:val="24"/>
        </w:rPr>
        <w:t>, their</w:t>
      </w:r>
      <w:r>
        <w:rPr>
          <w:rFonts w:ascii="Garamond" w:hAnsi="Garamond" w:cs="Arial"/>
          <w:bCs/>
          <w:sz w:val="24"/>
          <w:szCs w:val="24"/>
        </w:rPr>
        <w:t xml:space="preserve"> PCP,</w:t>
      </w:r>
      <w:r w:rsidR="00103A4B">
        <w:rPr>
          <w:rFonts w:ascii="Garamond" w:hAnsi="Garamond" w:cs="Arial"/>
          <w:bCs/>
          <w:sz w:val="24"/>
          <w:szCs w:val="24"/>
        </w:rPr>
        <w:t xml:space="preserve"> </w:t>
      </w:r>
      <w:r w:rsidR="00CC46D2">
        <w:rPr>
          <w:rFonts w:ascii="Garamond" w:hAnsi="Garamond" w:cs="Arial"/>
          <w:bCs/>
          <w:sz w:val="24"/>
          <w:szCs w:val="24"/>
        </w:rPr>
        <w:t xml:space="preserve">the </w:t>
      </w:r>
      <w:r>
        <w:rPr>
          <w:rFonts w:ascii="Garamond" w:hAnsi="Garamond" w:cs="Arial"/>
          <w:bCs/>
          <w:sz w:val="24"/>
          <w:szCs w:val="24"/>
        </w:rPr>
        <w:t xml:space="preserve">surgeon’s office, and NESC both before and after surgery. </w:t>
      </w:r>
      <w:r w:rsidR="002C60BB">
        <w:rPr>
          <w:rFonts w:ascii="Garamond" w:hAnsi="Garamond" w:cs="Arial"/>
          <w:bCs/>
          <w:sz w:val="24"/>
          <w:szCs w:val="24"/>
        </w:rPr>
        <w:t>The Applicant states assistance for patients start</w:t>
      </w:r>
      <w:r w:rsidR="00BF3DEB">
        <w:rPr>
          <w:rFonts w:ascii="Garamond" w:hAnsi="Garamond" w:cs="Arial"/>
          <w:bCs/>
          <w:sz w:val="24"/>
          <w:szCs w:val="24"/>
        </w:rPr>
        <w:t>s</w:t>
      </w:r>
      <w:r w:rsidR="002C60BB">
        <w:rPr>
          <w:rFonts w:ascii="Garamond" w:hAnsi="Garamond" w:cs="Arial"/>
          <w:bCs/>
          <w:sz w:val="24"/>
          <w:szCs w:val="24"/>
        </w:rPr>
        <w:t xml:space="preserve"> when the procedure is booked by a surgeon’s office. </w:t>
      </w:r>
    </w:p>
    <w:p w14:paraId="4A86DAE9" w14:textId="101C4702" w:rsidR="000B4B2B" w:rsidRDefault="001A363A" w:rsidP="00CC0B29">
      <w:pPr>
        <w:pStyle w:val="ListParagraph"/>
        <w:numPr>
          <w:ilvl w:val="0"/>
          <w:numId w:val="3"/>
        </w:numPr>
        <w:spacing w:after="0" w:line="240" w:lineRule="auto"/>
        <w:ind w:right="540"/>
        <w:rPr>
          <w:rFonts w:ascii="Garamond" w:hAnsi="Garamond" w:cs="Arial"/>
          <w:bCs/>
          <w:sz w:val="24"/>
          <w:szCs w:val="24"/>
        </w:rPr>
      </w:pPr>
      <w:r w:rsidRPr="000B4B2B">
        <w:rPr>
          <w:rFonts w:ascii="Garamond" w:hAnsi="Garamond" w:cs="Arial"/>
          <w:bCs/>
          <w:sz w:val="24"/>
          <w:szCs w:val="24"/>
        </w:rPr>
        <w:t xml:space="preserve">Patients complete a standard pre-operative questionnaire </w:t>
      </w:r>
      <w:r w:rsidR="00B923D4" w:rsidRPr="000B4B2B">
        <w:rPr>
          <w:rFonts w:ascii="Garamond" w:hAnsi="Garamond" w:cs="Arial"/>
          <w:bCs/>
          <w:sz w:val="24"/>
          <w:szCs w:val="24"/>
        </w:rPr>
        <w:t xml:space="preserve">that is </w:t>
      </w:r>
      <w:r w:rsidRPr="000B4B2B">
        <w:rPr>
          <w:rFonts w:ascii="Garamond" w:hAnsi="Garamond" w:cs="Arial"/>
          <w:bCs/>
          <w:sz w:val="24"/>
          <w:szCs w:val="24"/>
        </w:rPr>
        <w:t>reviewed by the pre-op</w:t>
      </w:r>
      <w:r w:rsidR="00A376E7">
        <w:rPr>
          <w:rFonts w:ascii="Garamond" w:hAnsi="Garamond" w:cs="Arial"/>
          <w:bCs/>
          <w:sz w:val="24"/>
          <w:szCs w:val="24"/>
        </w:rPr>
        <w:t>erative</w:t>
      </w:r>
      <w:r w:rsidRPr="000B4B2B">
        <w:rPr>
          <w:rFonts w:ascii="Garamond" w:hAnsi="Garamond" w:cs="Arial"/>
          <w:bCs/>
          <w:sz w:val="24"/>
          <w:szCs w:val="24"/>
        </w:rPr>
        <w:t xml:space="preserve"> nurse and anesthes</w:t>
      </w:r>
      <w:r w:rsidR="00CC46D2">
        <w:rPr>
          <w:rFonts w:ascii="Garamond" w:hAnsi="Garamond" w:cs="Arial"/>
          <w:bCs/>
          <w:sz w:val="24"/>
          <w:szCs w:val="24"/>
        </w:rPr>
        <w:t>iologist</w:t>
      </w:r>
      <w:r w:rsidR="00A376E7">
        <w:rPr>
          <w:rFonts w:ascii="Garamond" w:hAnsi="Garamond" w:cs="Arial"/>
          <w:bCs/>
          <w:sz w:val="24"/>
          <w:szCs w:val="24"/>
        </w:rPr>
        <w:t>. F</w:t>
      </w:r>
      <w:r w:rsidRPr="000B4B2B">
        <w:rPr>
          <w:rFonts w:ascii="Garamond" w:hAnsi="Garamond" w:cs="Arial"/>
          <w:bCs/>
          <w:sz w:val="24"/>
          <w:szCs w:val="24"/>
        </w:rPr>
        <w:t xml:space="preserve">ollow up with the </w:t>
      </w:r>
      <w:r w:rsidR="00A376E7">
        <w:rPr>
          <w:rFonts w:ascii="Garamond" w:hAnsi="Garamond" w:cs="Arial"/>
          <w:bCs/>
          <w:sz w:val="24"/>
          <w:szCs w:val="24"/>
        </w:rPr>
        <w:t>PCP</w:t>
      </w:r>
      <w:r w:rsidRPr="000B4B2B">
        <w:rPr>
          <w:rFonts w:ascii="Garamond" w:hAnsi="Garamond" w:cs="Arial"/>
          <w:bCs/>
          <w:sz w:val="24"/>
          <w:szCs w:val="24"/>
        </w:rPr>
        <w:t xml:space="preserve"> </w:t>
      </w:r>
      <w:r w:rsidR="00A013DC">
        <w:rPr>
          <w:rFonts w:ascii="Garamond" w:hAnsi="Garamond" w:cs="Arial"/>
          <w:bCs/>
          <w:sz w:val="24"/>
          <w:szCs w:val="24"/>
        </w:rPr>
        <w:t>or a specialist</w:t>
      </w:r>
      <w:r w:rsidR="00A376E7">
        <w:rPr>
          <w:rFonts w:ascii="Garamond" w:hAnsi="Garamond" w:cs="Arial"/>
          <w:bCs/>
          <w:sz w:val="24"/>
          <w:szCs w:val="24"/>
        </w:rPr>
        <w:t xml:space="preserve"> occurs</w:t>
      </w:r>
      <w:r w:rsidR="00A013DC">
        <w:rPr>
          <w:rFonts w:ascii="Garamond" w:hAnsi="Garamond" w:cs="Arial"/>
          <w:bCs/>
          <w:sz w:val="24"/>
          <w:szCs w:val="24"/>
        </w:rPr>
        <w:t xml:space="preserve"> </w:t>
      </w:r>
      <w:r w:rsidRPr="000B4B2B">
        <w:rPr>
          <w:rFonts w:ascii="Garamond" w:hAnsi="Garamond" w:cs="Arial"/>
          <w:bCs/>
          <w:sz w:val="24"/>
          <w:szCs w:val="24"/>
        </w:rPr>
        <w:t xml:space="preserve">when issues are identified. </w:t>
      </w:r>
    </w:p>
    <w:p w14:paraId="48FDA065" w14:textId="41A3B2A3" w:rsidR="000B4B2B" w:rsidRDefault="001A363A" w:rsidP="00CC0B29">
      <w:pPr>
        <w:pStyle w:val="ListParagraph"/>
        <w:numPr>
          <w:ilvl w:val="0"/>
          <w:numId w:val="3"/>
        </w:numPr>
        <w:spacing w:after="0" w:line="240" w:lineRule="auto"/>
        <w:ind w:right="540"/>
        <w:rPr>
          <w:rFonts w:ascii="Garamond" w:hAnsi="Garamond" w:cs="Arial"/>
          <w:bCs/>
          <w:sz w:val="24"/>
          <w:szCs w:val="24"/>
        </w:rPr>
      </w:pPr>
      <w:r w:rsidRPr="000B4B2B">
        <w:rPr>
          <w:rFonts w:ascii="Garamond" w:hAnsi="Garamond" w:cs="Arial"/>
          <w:bCs/>
          <w:sz w:val="24"/>
          <w:szCs w:val="24"/>
        </w:rPr>
        <w:t>All patients are required to have a pre-op</w:t>
      </w:r>
      <w:r w:rsidR="004A7B12">
        <w:rPr>
          <w:rFonts w:ascii="Garamond" w:hAnsi="Garamond" w:cs="Arial"/>
          <w:bCs/>
          <w:sz w:val="24"/>
          <w:szCs w:val="24"/>
        </w:rPr>
        <w:t>erative</w:t>
      </w:r>
      <w:r w:rsidRPr="000B4B2B">
        <w:rPr>
          <w:rFonts w:ascii="Garamond" w:hAnsi="Garamond" w:cs="Arial"/>
          <w:bCs/>
          <w:sz w:val="24"/>
          <w:szCs w:val="24"/>
        </w:rPr>
        <w:t xml:space="preserve"> history and physical completed no more than 30 days prior to surgery at the surgeon’s office o</w:t>
      </w:r>
      <w:r w:rsidR="00AE4C15" w:rsidRPr="000B4B2B">
        <w:rPr>
          <w:rFonts w:ascii="Garamond" w:hAnsi="Garamond" w:cs="Arial"/>
          <w:bCs/>
          <w:sz w:val="24"/>
          <w:szCs w:val="24"/>
        </w:rPr>
        <w:t>r</w:t>
      </w:r>
      <w:r w:rsidRPr="000B4B2B">
        <w:rPr>
          <w:rFonts w:ascii="Garamond" w:hAnsi="Garamond" w:cs="Arial"/>
          <w:bCs/>
          <w:sz w:val="24"/>
          <w:szCs w:val="24"/>
        </w:rPr>
        <w:t xml:space="preserve"> the PCP’s office</w:t>
      </w:r>
      <w:r w:rsidR="00004A48">
        <w:rPr>
          <w:rFonts w:ascii="Garamond" w:hAnsi="Garamond" w:cs="Arial"/>
          <w:bCs/>
          <w:sz w:val="24"/>
          <w:szCs w:val="24"/>
        </w:rPr>
        <w:t xml:space="preserve"> </w:t>
      </w:r>
      <w:r w:rsidR="00004A48" w:rsidRPr="00004A48">
        <w:rPr>
          <w:rFonts w:ascii="Garamond" w:hAnsi="Garamond" w:cs="Arial"/>
          <w:bCs/>
          <w:sz w:val="24"/>
          <w:szCs w:val="24"/>
        </w:rPr>
        <w:t>and obtain clinical clearance</w:t>
      </w:r>
      <w:r w:rsidR="00FB6E4B">
        <w:rPr>
          <w:rFonts w:ascii="Garamond" w:hAnsi="Garamond" w:cs="Arial"/>
          <w:bCs/>
          <w:sz w:val="24"/>
          <w:szCs w:val="24"/>
        </w:rPr>
        <w:t>.</w:t>
      </w:r>
    </w:p>
    <w:p w14:paraId="205D64F8" w14:textId="290F4C1E" w:rsidR="000B4B2B" w:rsidRDefault="00CC46D2" w:rsidP="00CC0B29">
      <w:pPr>
        <w:pStyle w:val="ListParagraph"/>
        <w:numPr>
          <w:ilvl w:val="0"/>
          <w:numId w:val="3"/>
        </w:numPr>
        <w:spacing w:after="0" w:line="240" w:lineRule="auto"/>
        <w:ind w:right="540"/>
        <w:rPr>
          <w:rFonts w:ascii="Garamond" w:hAnsi="Garamond" w:cs="Arial"/>
          <w:bCs/>
          <w:sz w:val="24"/>
          <w:szCs w:val="24"/>
        </w:rPr>
      </w:pPr>
      <w:r>
        <w:rPr>
          <w:rFonts w:ascii="Garamond" w:hAnsi="Garamond" w:cs="Arial"/>
          <w:bCs/>
          <w:sz w:val="24"/>
          <w:szCs w:val="24"/>
        </w:rPr>
        <w:t>P</w:t>
      </w:r>
      <w:r w:rsidRPr="00A62563">
        <w:rPr>
          <w:rFonts w:ascii="Garamond" w:hAnsi="Garamond" w:cs="Arial"/>
          <w:bCs/>
          <w:sz w:val="24"/>
          <w:szCs w:val="24"/>
        </w:rPr>
        <w:t>rior to anesthesia</w:t>
      </w:r>
      <w:r>
        <w:rPr>
          <w:rFonts w:ascii="Garamond" w:hAnsi="Garamond" w:cs="Arial"/>
          <w:bCs/>
          <w:sz w:val="24"/>
          <w:szCs w:val="24"/>
        </w:rPr>
        <w:t>, a</w:t>
      </w:r>
      <w:r w:rsidR="00B923D4" w:rsidRPr="000B4B2B">
        <w:rPr>
          <w:rFonts w:ascii="Garamond" w:hAnsi="Garamond" w:cs="Arial"/>
          <w:bCs/>
          <w:sz w:val="24"/>
          <w:szCs w:val="24"/>
        </w:rPr>
        <w:t>ll patients are provided with training</w:t>
      </w:r>
      <w:r w:rsidR="00CE25BA">
        <w:rPr>
          <w:rFonts w:ascii="Garamond" w:hAnsi="Garamond" w:cs="Arial"/>
          <w:bCs/>
          <w:sz w:val="24"/>
          <w:szCs w:val="24"/>
        </w:rPr>
        <w:t xml:space="preserve"> </w:t>
      </w:r>
      <w:r w:rsidR="00086AF3">
        <w:rPr>
          <w:rFonts w:ascii="Garamond" w:hAnsi="Garamond" w:cs="Arial"/>
          <w:bCs/>
          <w:sz w:val="24"/>
          <w:szCs w:val="24"/>
        </w:rPr>
        <w:t xml:space="preserve">on </w:t>
      </w:r>
      <w:r w:rsidR="009D174D">
        <w:rPr>
          <w:rFonts w:ascii="Garamond" w:hAnsi="Garamond" w:cs="Arial"/>
          <w:bCs/>
          <w:sz w:val="24"/>
          <w:szCs w:val="24"/>
        </w:rPr>
        <w:t xml:space="preserve">post-surgery </w:t>
      </w:r>
      <w:r w:rsidR="00086AF3">
        <w:rPr>
          <w:rFonts w:ascii="Garamond" w:hAnsi="Garamond" w:cs="Arial"/>
          <w:bCs/>
          <w:sz w:val="24"/>
          <w:szCs w:val="24"/>
        </w:rPr>
        <w:t xml:space="preserve">care </w:t>
      </w:r>
      <w:r w:rsidR="00B923D4" w:rsidRPr="000B4B2B">
        <w:rPr>
          <w:rFonts w:ascii="Garamond" w:hAnsi="Garamond" w:cs="Arial"/>
          <w:bCs/>
          <w:sz w:val="24"/>
          <w:szCs w:val="24"/>
        </w:rPr>
        <w:t>in the pre-operative area</w:t>
      </w:r>
      <w:r w:rsidR="00A91871">
        <w:rPr>
          <w:rFonts w:ascii="Garamond" w:hAnsi="Garamond" w:cs="Arial"/>
          <w:bCs/>
          <w:sz w:val="24"/>
          <w:szCs w:val="24"/>
        </w:rPr>
        <w:t>. P</w:t>
      </w:r>
      <w:r w:rsidR="008B34DD">
        <w:rPr>
          <w:rFonts w:ascii="Garamond" w:hAnsi="Garamond" w:cs="Arial"/>
          <w:bCs/>
          <w:sz w:val="24"/>
          <w:szCs w:val="24"/>
        </w:rPr>
        <w:t xml:space="preserve">atients </w:t>
      </w:r>
      <w:r w:rsidR="00892621">
        <w:rPr>
          <w:rFonts w:ascii="Garamond" w:hAnsi="Garamond" w:cs="Arial"/>
          <w:bCs/>
          <w:sz w:val="24"/>
          <w:szCs w:val="24"/>
        </w:rPr>
        <w:t xml:space="preserve">receive </w:t>
      </w:r>
      <w:r w:rsidR="008E4DEB">
        <w:rPr>
          <w:rFonts w:ascii="Garamond" w:hAnsi="Garamond" w:cs="Arial"/>
          <w:bCs/>
          <w:sz w:val="24"/>
          <w:szCs w:val="24"/>
        </w:rPr>
        <w:t xml:space="preserve">a copy of </w:t>
      </w:r>
      <w:r w:rsidR="00167664">
        <w:rPr>
          <w:rFonts w:ascii="Garamond" w:hAnsi="Garamond" w:cs="Arial"/>
          <w:bCs/>
          <w:sz w:val="24"/>
          <w:szCs w:val="24"/>
        </w:rPr>
        <w:t>written</w:t>
      </w:r>
      <w:r w:rsidR="00892621">
        <w:rPr>
          <w:rFonts w:ascii="Garamond" w:hAnsi="Garamond" w:cs="Arial"/>
          <w:bCs/>
          <w:sz w:val="24"/>
          <w:szCs w:val="24"/>
        </w:rPr>
        <w:t xml:space="preserve"> instructions </w:t>
      </w:r>
      <w:r w:rsidR="00042241">
        <w:rPr>
          <w:rFonts w:ascii="Garamond" w:hAnsi="Garamond" w:cs="Arial"/>
          <w:bCs/>
          <w:sz w:val="24"/>
          <w:szCs w:val="24"/>
        </w:rPr>
        <w:t>at</w:t>
      </w:r>
      <w:r w:rsidR="00892621">
        <w:rPr>
          <w:rFonts w:ascii="Garamond" w:hAnsi="Garamond" w:cs="Arial"/>
          <w:bCs/>
          <w:sz w:val="24"/>
          <w:szCs w:val="24"/>
        </w:rPr>
        <w:t xml:space="preserve"> discharge.</w:t>
      </w:r>
      <w:r w:rsidR="00AD3934">
        <w:rPr>
          <w:rStyle w:val="FootnoteReference"/>
          <w:rFonts w:ascii="Garamond" w:hAnsi="Garamond" w:cs="Arial"/>
          <w:bCs/>
          <w:sz w:val="24"/>
          <w:szCs w:val="24"/>
        </w:rPr>
        <w:footnoteReference w:id="25"/>
      </w:r>
      <w:r w:rsidR="00B923D4" w:rsidRPr="000B4B2B">
        <w:rPr>
          <w:rFonts w:ascii="Garamond" w:hAnsi="Garamond" w:cs="Arial"/>
          <w:bCs/>
          <w:sz w:val="24"/>
          <w:szCs w:val="24"/>
        </w:rPr>
        <w:t xml:space="preserve"> </w:t>
      </w:r>
      <w:r w:rsidR="00892621">
        <w:rPr>
          <w:rFonts w:ascii="Garamond" w:hAnsi="Garamond" w:cs="Arial"/>
          <w:bCs/>
          <w:sz w:val="24"/>
          <w:szCs w:val="24"/>
        </w:rPr>
        <w:t xml:space="preserve">A </w:t>
      </w:r>
      <w:r w:rsidR="001A363A" w:rsidRPr="000B4B2B">
        <w:rPr>
          <w:rFonts w:ascii="Garamond" w:hAnsi="Garamond" w:cs="Arial"/>
          <w:bCs/>
          <w:sz w:val="24"/>
          <w:szCs w:val="24"/>
        </w:rPr>
        <w:t xml:space="preserve">nurse calls each patient </w:t>
      </w:r>
      <w:r w:rsidR="00B923D4" w:rsidRPr="000B4B2B">
        <w:rPr>
          <w:rFonts w:ascii="Garamond" w:hAnsi="Garamond" w:cs="Arial"/>
          <w:bCs/>
          <w:sz w:val="24"/>
          <w:szCs w:val="24"/>
        </w:rPr>
        <w:t>24 hours</w:t>
      </w:r>
      <w:r w:rsidR="001A363A" w:rsidRPr="000B4B2B">
        <w:rPr>
          <w:rFonts w:ascii="Garamond" w:hAnsi="Garamond" w:cs="Arial"/>
          <w:bCs/>
          <w:sz w:val="24"/>
          <w:szCs w:val="24"/>
        </w:rPr>
        <w:t xml:space="preserve"> after surgery to </w:t>
      </w:r>
      <w:r w:rsidR="006C267E">
        <w:rPr>
          <w:rFonts w:ascii="Garamond" w:hAnsi="Garamond" w:cs="Arial"/>
          <w:bCs/>
          <w:sz w:val="24"/>
          <w:szCs w:val="24"/>
        </w:rPr>
        <w:t>review</w:t>
      </w:r>
      <w:r w:rsidR="006C267E" w:rsidRPr="000B4B2B">
        <w:rPr>
          <w:rFonts w:ascii="Garamond" w:hAnsi="Garamond" w:cs="Arial"/>
          <w:bCs/>
          <w:sz w:val="24"/>
          <w:szCs w:val="24"/>
        </w:rPr>
        <w:t xml:space="preserve"> </w:t>
      </w:r>
      <w:r w:rsidR="00B923D4" w:rsidRPr="000B4B2B">
        <w:rPr>
          <w:rFonts w:ascii="Garamond" w:hAnsi="Garamond" w:cs="Arial"/>
          <w:bCs/>
          <w:sz w:val="24"/>
          <w:szCs w:val="24"/>
        </w:rPr>
        <w:t>discharge instructions,</w:t>
      </w:r>
      <w:r w:rsidR="001A363A" w:rsidRPr="000B4B2B">
        <w:rPr>
          <w:rFonts w:ascii="Garamond" w:hAnsi="Garamond" w:cs="Arial"/>
          <w:bCs/>
          <w:sz w:val="24"/>
          <w:szCs w:val="24"/>
        </w:rPr>
        <w:t xml:space="preserve"> </w:t>
      </w:r>
      <w:r w:rsidR="006561CD">
        <w:rPr>
          <w:rFonts w:ascii="Garamond" w:hAnsi="Garamond" w:cs="Arial"/>
          <w:bCs/>
          <w:sz w:val="24"/>
          <w:szCs w:val="24"/>
        </w:rPr>
        <w:t>pain</w:t>
      </w:r>
      <w:r w:rsidR="001A363A" w:rsidRPr="000B4B2B">
        <w:rPr>
          <w:rFonts w:ascii="Garamond" w:hAnsi="Garamond" w:cs="Arial"/>
          <w:bCs/>
          <w:sz w:val="24"/>
          <w:szCs w:val="24"/>
        </w:rPr>
        <w:t xml:space="preserve">, mobility, nausea and vomiting, </w:t>
      </w:r>
      <w:r w:rsidR="00B923D4" w:rsidRPr="000B4B2B">
        <w:rPr>
          <w:rFonts w:ascii="Garamond" w:hAnsi="Garamond" w:cs="Arial"/>
          <w:bCs/>
          <w:sz w:val="24"/>
          <w:szCs w:val="24"/>
        </w:rPr>
        <w:t xml:space="preserve">signs </w:t>
      </w:r>
      <w:r w:rsidR="000B65FF">
        <w:rPr>
          <w:rFonts w:ascii="Garamond" w:hAnsi="Garamond" w:cs="Arial"/>
          <w:bCs/>
          <w:sz w:val="24"/>
          <w:szCs w:val="24"/>
        </w:rPr>
        <w:t>and</w:t>
      </w:r>
      <w:r w:rsidR="000B65FF" w:rsidRPr="000B4B2B">
        <w:rPr>
          <w:rFonts w:ascii="Garamond" w:hAnsi="Garamond" w:cs="Arial"/>
          <w:bCs/>
          <w:sz w:val="24"/>
          <w:szCs w:val="24"/>
        </w:rPr>
        <w:t xml:space="preserve"> </w:t>
      </w:r>
      <w:r w:rsidR="00B923D4" w:rsidRPr="000B4B2B">
        <w:rPr>
          <w:rFonts w:ascii="Garamond" w:hAnsi="Garamond" w:cs="Arial"/>
          <w:bCs/>
          <w:sz w:val="24"/>
          <w:szCs w:val="24"/>
        </w:rPr>
        <w:t>symptoms of</w:t>
      </w:r>
      <w:r w:rsidR="006561CD">
        <w:rPr>
          <w:rFonts w:ascii="Garamond" w:hAnsi="Garamond" w:cs="Arial"/>
          <w:bCs/>
          <w:sz w:val="24"/>
          <w:szCs w:val="24"/>
        </w:rPr>
        <w:t xml:space="preserve"> infection</w:t>
      </w:r>
      <w:r w:rsidR="00B923D4" w:rsidRPr="000B4B2B">
        <w:rPr>
          <w:rFonts w:ascii="Garamond" w:hAnsi="Garamond" w:cs="Arial"/>
          <w:bCs/>
          <w:sz w:val="24"/>
          <w:szCs w:val="24"/>
        </w:rPr>
        <w:t>,</w:t>
      </w:r>
      <w:r w:rsidR="001A363A" w:rsidRPr="000B4B2B">
        <w:rPr>
          <w:rFonts w:ascii="Garamond" w:hAnsi="Garamond" w:cs="Arial"/>
          <w:bCs/>
          <w:sz w:val="24"/>
          <w:szCs w:val="24"/>
        </w:rPr>
        <w:t xml:space="preserve"> and satisfaction with treatment prior to and after surgery. </w:t>
      </w:r>
      <w:r w:rsidR="00CF474F">
        <w:rPr>
          <w:rFonts w:ascii="Garamond" w:hAnsi="Garamond" w:cs="Arial"/>
          <w:bCs/>
          <w:sz w:val="24"/>
          <w:szCs w:val="24"/>
        </w:rPr>
        <w:t xml:space="preserve">The nurse contacts the surgeon’s office by phone to share </w:t>
      </w:r>
      <w:r w:rsidR="000B65FF">
        <w:rPr>
          <w:rFonts w:ascii="Garamond" w:hAnsi="Garamond" w:cs="Arial"/>
          <w:bCs/>
          <w:sz w:val="24"/>
          <w:szCs w:val="24"/>
        </w:rPr>
        <w:t xml:space="preserve">any </w:t>
      </w:r>
      <w:r w:rsidR="00CF474F">
        <w:rPr>
          <w:rFonts w:ascii="Garamond" w:hAnsi="Garamond" w:cs="Arial"/>
          <w:bCs/>
          <w:sz w:val="24"/>
          <w:szCs w:val="24"/>
        </w:rPr>
        <w:t xml:space="preserve">concerns identified during the call and the surgeon shares the information with the </w:t>
      </w:r>
      <w:r w:rsidR="00D53264">
        <w:rPr>
          <w:rFonts w:ascii="Garamond" w:hAnsi="Garamond" w:cs="Arial"/>
          <w:bCs/>
          <w:sz w:val="24"/>
          <w:szCs w:val="24"/>
        </w:rPr>
        <w:t xml:space="preserve">patient’s </w:t>
      </w:r>
      <w:r w:rsidR="00CF474F">
        <w:rPr>
          <w:rFonts w:ascii="Garamond" w:hAnsi="Garamond" w:cs="Arial"/>
          <w:bCs/>
          <w:sz w:val="24"/>
          <w:szCs w:val="24"/>
        </w:rPr>
        <w:t>PCP</w:t>
      </w:r>
      <w:r w:rsidR="001A363A" w:rsidRPr="000B4B2B">
        <w:rPr>
          <w:rFonts w:ascii="Garamond" w:hAnsi="Garamond" w:cs="Arial"/>
          <w:bCs/>
          <w:sz w:val="24"/>
          <w:szCs w:val="24"/>
        </w:rPr>
        <w:t>.</w:t>
      </w:r>
      <w:r w:rsidR="00DF6509" w:rsidRPr="00DF6509">
        <w:t xml:space="preserve"> </w:t>
      </w:r>
      <w:r w:rsidR="00DF6509" w:rsidRPr="00DF6509">
        <w:rPr>
          <w:rFonts w:ascii="Garamond" w:hAnsi="Garamond" w:cs="Arial"/>
          <w:bCs/>
          <w:sz w:val="24"/>
          <w:szCs w:val="24"/>
        </w:rPr>
        <w:t>Results of the follow-up call from a nurse are reviewed by the Quality Improvement Committee.</w:t>
      </w:r>
    </w:p>
    <w:p w14:paraId="0E523265" w14:textId="77777777" w:rsidR="00DF6509" w:rsidRDefault="001A363A" w:rsidP="00CC0B29">
      <w:pPr>
        <w:pStyle w:val="ListParagraph"/>
        <w:numPr>
          <w:ilvl w:val="0"/>
          <w:numId w:val="3"/>
        </w:numPr>
        <w:spacing w:after="0" w:line="240" w:lineRule="auto"/>
        <w:ind w:right="540"/>
        <w:rPr>
          <w:rFonts w:ascii="Garamond" w:hAnsi="Garamond" w:cs="Arial"/>
          <w:bCs/>
          <w:sz w:val="24"/>
          <w:szCs w:val="24"/>
        </w:rPr>
      </w:pPr>
      <w:r w:rsidRPr="000B4B2B">
        <w:rPr>
          <w:rFonts w:ascii="Garamond" w:hAnsi="Garamond" w:cs="Arial"/>
          <w:bCs/>
          <w:sz w:val="24"/>
          <w:szCs w:val="24"/>
        </w:rPr>
        <w:t xml:space="preserve">Copies of operative notes are sent to the surgeon’s office and </w:t>
      </w:r>
      <w:r w:rsidR="00DF6509">
        <w:rPr>
          <w:rFonts w:ascii="Garamond" w:hAnsi="Garamond" w:cs="Arial"/>
          <w:bCs/>
          <w:sz w:val="24"/>
          <w:szCs w:val="24"/>
        </w:rPr>
        <w:t xml:space="preserve">to </w:t>
      </w:r>
      <w:r w:rsidRPr="000B4B2B">
        <w:rPr>
          <w:rFonts w:ascii="Garamond" w:hAnsi="Garamond" w:cs="Arial"/>
          <w:bCs/>
          <w:sz w:val="24"/>
          <w:szCs w:val="24"/>
        </w:rPr>
        <w:t>the PCPs office</w:t>
      </w:r>
      <w:r w:rsidR="00582064">
        <w:rPr>
          <w:rFonts w:ascii="Garamond" w:hAnsi="Garamond" w:cs="Arial"/>
          <w:bCs/>
          <w:sz w:val="24"/>
          <w:szCs w:val="24"/>
        </w:rPr>
        <w:t xml:space="preserve"> either by mail or fax</w:t>
      </w:r>
      <w:r w:rsidRPr="000B4B2B">
        <w:rPr>
          <w:rFonts w:ascii="Garamond" w:hAnsi="Garamond" w:cs="Arial"/>
          <w:bCs/>
          <w:sz w:val="24"/>
          <w:szCs w:val="24"/>
        </w:rPr>
        <w:t xml:space="preserve">. </w:t>
      </w:r>
    </w:p>
    <w:p w14:paraId="1DCDBB07" w14:textId="4AE7D724" w:rsidR="001A363A" w:rsidRPr="000B4B2B" w:rsidRDefault="00AE3653" w:rsidP="00CC0B29">
      <w:pPr>
        <w:pStyle w:val="ListParagraph"/>
        <w:numPr>
          <w:ilvl w:val="0"/>
          <w:numId w:val="3"/>
        </w:numPr>
        <w:spacing w:after="0" w:line="240" w:lineRule="auto"/>
        <w:ind w:right="540"/>
        <w:rPr>
          <w:rFonts w:ascii="Garamond" w:hAnsi="Garamond" w:cs="Arial"/>
          <w:bCs/>
          <w:sz w:val="24"/>
          <w:szCs w:val="24"/>
        </w:rPr>
      </w:pPr>
      <w:r>
        <w:rPr>
          <w:rFonts w:ascii="Garamond" w:hAnsi="Garamond" w:cs="Arial"/>
          <w:bCs/>
          <w:sz w:val="24"/>
          <w:szCs w:val="24"/>
        </w:rPr>
        <w:t>A</w:t>
      </w:r>
      <w:r w:rsidR="000B65FF">
        <w:rPr>
          <w:rFonts w:ascii="Garamond" w:hAnsi="Garamond" w:cs="Arial"/>
          <w:bCs/>
          <w:sz w:val="24"/>
          <w:szCs w:val="24"/>
        </w:rPr>
        <w:t xml:space="preserve"> </w:t>
      </w:r>
      <w:r w:rsidR="000B65FF" w:rsidRPr="000B4B2B">
        <w:rPr>
          <w:rFonts w:ascii="Garamond" w:hAnsi="Garamond" w:cs="Arial"/>
          <w:bCs/>
          <w:sz w:val="24"/>
          <w:szCs w:val="24"/>
        </w:rPr>
        <w:t>billing office</w:t>
      </w:r>
      <w:r w:rsidR="00CA243C" w:rsidRPr="000B4B2B">
        <w:rPr>
          <w:rFonts w:ascii="Garamond" w:hAnsi="Garamond" w:cs="Arial"/>
          <w:bCs/>
          <w:sz w:val="24"/>
          <w:szCs w:val="24"/>
        </w:rPr>
        <w:t xml:space="preserve"> staff member is responsible for checking all patient benefits</w:t>
      </w:r>
      <w:r w:rsidR="000B65FF">
        <w:rPr>
          <w:rFonts w:ascii="Garamond" w:hAnsi="Garamond" w:cs="Arial"/>
          <w:bCs/>
          <w:sz w:val="24"/>
          <w:szCs w:val="24"/>
        </w:rPr>
        <w:t>,</w:t>
      </w:r>
      <w:r w:rsidR="00CA243C" w:rsidRPr="000B4B2B">
        <w:rPr>
          <w:rFonts w:ascii="Garamond" w:hAnsi="Garamond" w:cs="Arial"/>
          <w:bCs/>
          <w:sz w:val="24"/>
          <w:szCs w:val="24"/>
        </w:rPr>
        <w:t xml:space="preserve"> and contacts </w:t>
      </w:r>
      <w:r w:rsidR="0084304E">
        <w:rPr>
          <w:rFonts w:ascii="Garamond" w:hAnsi="Garamond" w:cs="Arial"/>
          <w:bCs/>
          <w:sz w:val="24"/>
          <w:szCs w:val="24"/>
        </w:rPr>
        <w:t>each</w:t>
      </w:r>
      <w:r w:rsidR="00CA243C" w:rsidRPr="000B4B2B">
        <w:rPr>
          <w:rFonts w:ascii="Garamond" w:hAnsi="Garamond" w:cs="Arial"/>
          <w:bCs/>
          <w:sz w:val="24"/>
          <w:szCs w:val="24"/>
        </w:rPr>
        <w:t xml:space="preserve"> patient with information on deductibles, copays, and insurance</w:t>
      </w:r>
      <w:r w:rsidR="000B65FF">
        <w:rPr>
          <w:rFonts w:ascii="Garamond" w:hAnsi="Garamond" w:cs="Arial"/>
          <w:bCs/>
          <w:sz w:val="24"/>
          <w:szCs w:val="24"/>
        </w:rPr>
        <w:t xml:space="preserve"> to prevent</w:t>
      </w:r>
      <w:r w:rsidR="00C70566" w:rsidRPr="000B4B2B">
        <w:rPr>
          <w:rFonts w:ascii="Garamond" w:hAnsi="Garamond" w:cs="Arial"/>
          <w:bCs/>
          <w:sz w:val="24"/>
          <w:szCs w:val="24"/>
        </w:rPr>
        <w:t xml:space="preserve"> patients </w:t>
      </w:r>
      <w:r w:rsidR="000B65FF">
        <w:rPr>
          <w:rFonts w:ascii="Garamond" w:hAnsi="Garamond" w:cs="Arial"/>
          <w:bCs/>
          <w:sz w:val="24"/>
          <w:szCs w:val="24"/>
        </w:rPr>
        <w:t xml:space="preserve">from </w:t>
      </w:r>
      <w:r w:rsidR="00C70566" w:rsidRPr="000B4B2B">
        <w:rPr>
          <w:rFonts w:ascii="Garamond" w:hAnsi="Garamond" w:cs="Arial"/>
          <w:bCs/>
          <w:sz w:val="24"/>
          <w:szCs w:val="24"/>
        </w:rPr>
        <w:t>receiv</w:t>
      </w:r>
      <w:r w:rsidR="000B65FF">
        <w:rPr>
          <w:rFonts w:ascii="Garamond" w:hAnsi="Garamond" w:cs="Arial"/>
          <w:bCs/>
          <w:sz w:val="24"/>
          <w:szCs w:val="24"/>
        </w:rPr>
        <w:t>ing</w:t>
      </w:r>
      <w:r w:rsidR="00C70566" w:rsidRPr="000B4B2B">
        <w:rPr>
          <w:rFonts w:ascii="Garamond" w:hAnsi="Garamond" w:cs="Arial"/>
          <w:bCs/>
          <w:sz w:val="24"/>
          <w:szCs w:val="24"/>
        </w:rPr>
        <w:t xml:space="preserve"> a </w:t>
      </w:r>
      <w:r w:rsidR="00C70566" w:rsidRPr="008A0FF9">
        <w:rPr>
          <w:rFonts w:ascii="Garamond" w:hAnsi="Garamond" w:cs="Arial"/>
          <w:bCs/>
          <w:sz w:val="24"/>
          <w:szCs w:val="24"/>
        </w:rPr>
        <w:t>surprise bill.</w:t>
      </w:r>
      <w:r w:rsidR="00C70566" w:rsidRPr="000B4B2B">
        <w:rPr>
          <w:rFonts w:ascii="Garamond" w:hAnsi="Garamond" w:cs="Arial"/>
          <w:bCs/>
          <w:sz w:val="24"/>
          <w:szCs w:val="24"/>
        </w:rPr>
        <w:t xml:space="preserve"> </w:t>
      </w:r>
      <w:r w:rsidR="00CA243C" w:rsidRPr="000B4B2B">
        <w:rPr>
          <w:rFonts w:ascii="Garamond" w:hAnsi="Garamond" w:cs="Arial"/>
          <w:bCs/>
          <w:sz w:val="24"/>
          <w:szCs w:val="24"/>
        </w:rPr>
        <w:t xml:space="preserve"> </w:t>
      </w:r>
      <w:r w:rsidR="009D174D">
        <w:rPr>
          <w:rFonts w:ascii="Garamond" w:hAnsi="Garamond" w:cs="Arial"/>
          <w:bCs/>
          <w:sz w:val="24"/>
          <w:szCs w:val="24"/>
        </w:rPr>
        <w:t xml:space="preserve"> </w:t>
      </w:r>
    </w:p>
    <w:p w14:paraId="490C15DD" w14:textId="6FAFA782" w:rsidR="000B4B2B" w:rsidRDefault="000B4B2B" w:rsidP="00EA38CA">
      <w:pPr>
        <w:spacing w:after="0" w:line="240" w:lineRule="auto"/>
        <w:ind w:right="540"/>
        <w:contextualSpacing/>
        <w:rPr>
          <w:rFonts w:ascii="Garamond" w:hAnsi="Garamond" w:cs="Arial"/>
          <w:bCs/>
          <w:sz w:val="24"/>
          <w:szCs w:val="24"/>
        </w:rPr>
      </w:pPr>
    </w:p>
    <w:p w14:paraId="40BA1977" w14:textId="3ED0B70C" w:rsidR="000B4B2B" w:rsidRDefault="00AE3653" w:rsidP="00EA38CA">
      <w:pPr>
        <w:spacing w:after="0" w:line="240" w:lineRule="auto"/>
        <w:ind w:right="540"/>
        <w:contextualSpacing/>
        <w:rPr>
          <w:rFonts w:ascii="Garamond" w:hAnsi="Garamond" w:cs="Arial"/>
          <w:bCs/>
          <w:sz w:val="24"/>
          <w:szCs w:val="24"/>
        </w:rPr>
      </w:pPr>
      <w:r>
        <w:rPr>
          <w:rFonts w:ascii="Garamond" w:hAnsi="Garamond" w:cs="Arial"/>
          <w:bCs/>
          <w:sz w:val="24"/>
          <w:szCs w:val="24"/>
        </w:rPr>
        <w:t>NESC</w:t>
      </w:r>
      <w:r w:rsidR="00557327">
        <w:rPr>
          <w:rFonts w:ascii="Garamond" w:hAnsi="Garamond" w:cs="Arial"/>
          <w:bCs/>
          <w:sz w:val="24"/>
          <w:szCs w:val="24"/>
        </w:rPr>
        <w:t xml:space="preserve"> does not have an electronic health record (EHR)</w:t>
      </w:r>
      <w:r w:rsidR="00743227">
        <w:rPr>
          <w:rFonts w:ascii="Garamond" w:hAnsi="Garamond" w:cs="Arial"/>
          <w:bCs/>
          <w:sz w:val="24"/>
          <w:szCs w:val="24"/>
        </w:rPr>
        <w:t xml:space="preserve">; </w:t>
      </w:r>
      <w:r w:rsidR="00557327">
        <w:rPr>
          <w:rFonts w:ascii="Garamond" w:hAnsi="Garamond" w:cs="Arial"/>
          <w:bCs/>
          <w:sz w:val="24"/>
          <w:szCs w:val="24"/>
        </w:rPr>
        <w:t xml:space="preserve">the only interface is access </w:t>
      </w:r>
      <w:r w:rsidR="00743227">
        <w:rPr>
          <w:rFonts w:ascii="Garamond" w:hAnsi="Garamond" w:cs="Arial"/>
          <w:bCs/>
          <w:sz w:val="24"/>
          <w:szCs w:val="24"/>
        </w:rPr>
        <w:t xml:space="preserve">to </w:t>
      </w:r>
      <w:r w:rsidR="006954D9">
        <w:rPr>
          <w:rFonts w:ascii="Garamond" w:hAnsi="Garamond" w:cs="Arial"/>
          <w:bCs/>
          <w:sz w:val="24"/>
          <w:szCs w:val="24"/>
        </w:rPr>
        <w:t xml:space="preserve">Lahey </w:t>
      </w:r>
      <w:r w:rsidR="00557327">
        <w:rPr>
          <w:rFonts w:ascii="Garamond" w:hAnsi="Garamond" w:cs="Arial"/>
          <w:bCs/>
          <w:sz w:val="24"/>
          <w:szCs w:val="24"/>
        </w:rPr>
        <w:t>Epic</w:t>
      </w:r>
      <w:r w:rsidR="006010A9" w:rsidRPr="006010A9">
        <w:rPr>
          <w:rFonts w:ascii="Garamond" w:eastAsia="Times New Roman" w:hAnsi="Garamond" w:cs="Arial"/>
          <w:bCs/>
          <w:sz w:val="24"/>
          <w:szCs w:val="24"/>
          <w:vertAlign w:val="superscript"/>
        </w:rPr>
        <w:footnoteReference w:id="26"/>
      </w:r>
      <w:r w:rsidR="00557327">
        <w:rPr>
          <w:rFonts w:ascii="Garamond" w:hAnsi="Garamond" w:cs="Arial"/>
          <w:bCs/>
          <w:sz w:val="24"/>
          <w:szCs w:val="24"/>
        </w:rPr>
        <w:t xml:space="preserve"> for </w:t>
      </w:r>
      <w:r w:rsidR="002D2D91">
        <w:rPr>
          <w:rFonts w:ascii="Garamond" w:hAnsi="Garamond" w:cs="Arial"/>
          <w:bCs/>
          <w:sz w:val="24"/>
          <w:szCs w:val="24"/>
        </w:rPr>
        <w:t xml:space="preserve">viewing </w:t>
      </w:r>
      <w:r w:rsidR="00557327">
        <w:rPr>
          <w:rFonts w:ascii="Garamond" w:hAnsi="Garamond" w:cs="Arial"/>
          <w:bCs/>
          <w:sz w:val="24"/>
          <w:szCs w:val="24"/>
        </w:rPr>
        <w:t>patient test results</w:t>
      </w:r>
      <w:r w:rsidR="00743227">
        <w:rPr>
          <w:rFonts w:ascii="Garamond" w:hAnsi="Garamond" w:cs="Arial"/>
          <w:bCs/>
          <w:sz w:val="24"/>
          <w:szCs w:val="24"/>
        </w:rPr>
        <w:t xml:space="preserve"> </w:t>
      </w:r>
      <w:r w:rsidR="00557327">
        <w:rPr>
          <w:rFonts w:ascii="Garamond" w:hAnsi="Garamond" w:cs="Arial"/>
          <w:bCs/>
          <w:sz w:val="24"/>
          <w:szCs w:val="24"/>
        </w:rPr>
        <w:t xml:space="preserve">provided by the local hospital. The Applicant </w:t>
      </w:r>
      <w:r>
        <w:rPr>
          <w:rFonts w:ascii="Garamond" w:hAnsi="Garamond" w:cs="Arial"/>
          <w:bCs/>
          <w:sz w:val="24"/>
          <w:szCs w:val="24"/>
        </w:rPr>
        <w:t>notes</w:t>
      </w:r>
      <w:r w:rsidR="009D1432">
        <w:rPr>
          <w:rFonts w:ascii="Garamond" w:hAnsi="Garamond" w:cs="Arial"/>
          <w:bCs/>
          <w:sz w:val="24"/>
          <w:szCs w:val="24"/>
        </w:rPr>
        <w:t xml:space="preserve"> that while</w:t>
      </w:r>
      <w:r w:rsidR="00557327">
        <w:rPr>
          <w:rFonts w:ascii="Garamond" w:hAnsi="Garamond" w:cs="Arial"/>
          <w:bCs/>
          <w:sz w:val="24"/>
          <w:szCs w:val="24"/>
        </w:rPr>
        <w:t xml:space="preserve"> the </w:t>
      </w:r>
      <w:r w:rsidR="00E93384" w:rsidRPr="00E93384">
        <w:rPr>
          <w:rFonts w:ascii="Garamond" w:hAnsi="Garamond" w:cs="Arial"/>
          <w:bCs/>
          <w:sz w:val="24"/>
          <w:szCs w:val="24"/>
        </w:rPr>
        <w:t xml:space="preserve">Health Information Technology for Economic and Clinical Health </w:t>
      </w:r>
      <w:r w:rsidR="00E93384">
        <w:rPr>
          <w:rFonts w:ascii="Garamond" w:hAnsi="Garamond" w:cs="Arial"/>
          <w:bCs/>
          <w:sz w:val="24"/>
          <w:szCs w:val="24"/>
        </w:rPr>
        <w:t>(</w:t>
      </w:r>
      <w:r w:rsidR="00557327">
        <w:rPr>
          <w:rFonts w:ascii="Garamond" w:hAnsi="Garamond" w:cs="Arial"/>
          <w:bCs/>
          <w:sz w:val="24"/>
          <w:szCs w:val="24"/>
        </w:rPr>
        <w:t>HI</w:t>
      </w:r>
      <w:r w:rsidR="00CF4DA3">
        <w:rPr>
          <w:rFonts w:ascii="Garamond" w:hAnsi="Garamond" w:cs="Arial"/>
          <w:bCs/>
          <w:sz w:val="24"/>
          <w:szCs w:val="24"/>
        </w:rPr>
        <w:t>T</w:t>
      </w:r>
      <w:r w:rsidR="00557327">
        <w:rPr>
          <w:rFonts w:ascii="Garamond" w:hAnsi="Garamond" w:cs="Arial"/>
          <w:bCs/>
          <w:sz w:val="24"/>
          <w:szCs w:val="24"/>
        </w:rPr>
        <w:t>ECH</w:t>
      </w:r>
      <w:r w:rsidR="00E93384">
        <w:rPr>
          <w:rFonts w:ascii="Garamond" w:hAnsi="Garamond" w:cs="Arial"/>
          <w:bCs/>
          <w:sz w:val="24"/>
          <w:szCs w:val="24"/>
        </w:rPr>
        <w:t>)</w:t>
      </w:r>
      <w:r w:rsidR="00557327">
        <w:rPr>
          <w:rFonts w:ascii="Garamond" w:hAnsi="Garamond" w:cs="Arial"/>
          <w:bCs/>
          <w:sz w:val="24"/>
          <w:szCs w:val="24"/>
        </w:rPr>
        <w:t xml:space="preserve"> Act</w:t>
      </w:r>
      <w:r>
        <w:rPr>
          <w:rFonts w:ascii="Garamond" w:hAnsi="Garamond" w:cs="Arial"/>
          <w:bCs/>
          <w:sz w:val="24"/>
          <w:szCs w:val="24"/>
        </w:rPr>
        <w:t xml:space="preserve"> p</w:t>
      </w:r>
      <w:r w:rsidR="00557327">
        <w:rPr>
          <w:rFonts w:ascii="Garamond" w:hAnsi="Garamond" w:cs="Arial"/>
          <w:bCs/>
          <w:sz w:val="24"/>
          <w:szCs w:val="24"/>
        </w:rPr>
        <w:t>rovid</w:t>
      </w:r>
      <w:r>
        <w:rPr>
          <w:rFonts w:ascii="Garamond" w:hAnsi="Garamond" w:cs="Arial"/>
          <w:bCs/>
          <w:sz w:val="24"/>
          <w:szCs w:val="24"/>
        </w:rPr>
        <w:t>e</w:t>
      </w:r>
      <w:r w:rsidR="00AD4A27">
        <w:rPr>
          <w:rFonts w:ascii="Garamond" w:hAnsi="Garamond" w:cs="Arial"/>
          <w:bCs/>
          <w:sz w:val="24"/>
          <w:szCs w:val="24"/>
        </w:rPr>
        <w:t>d</w:t>
      </w:r>
      <w:r w:rsidR="00557327">
        <w:rPr>
          <w:rFonts w:ascii="Garamond" w:hAnsi="Garamond" w:cs="Arial"/>
          <w:bCs/>
          <w:sz w:val="24"/>
          <w:szCs w:val="24"/>
        </w:rPr>
        <w:t xml:space="preserve"> </w:t>
      </w:r>
      <w:r w:rsidR="00AD4A27">
        <w:rPr>
          <w:rFonts w:ascii="Garamond" w:hAnsi="Garamond" w:cs="Arial"/>
          <w:bCs/>
          <w:sz w:val="24"/>
          <w:szCs w:val="24"/>
        </w:rPr>
        <w:t xml:space="preserve">financial </w:t>
      </w:r>
      <w:r w:rsidR="00557327">
        <w:rPr>
          <w:rFonts w:ascii="Garamond" w:hAnsi="Garamond" w:cs="Arial"/>
          <w:bCs/>
          <w:sz w:val="24"/>
          <w:szCs w:val="24"/>
        </w:rPr>
        <w:t xml:space="preserve">incentives </w:t>
      </w:r>
      <w:r w:rsidR="00AD4A27">
        <w:rPr>
          <w:rFonts w:ascii="Garamond" w:hAnsi="Garamond" w:cs="Arial"/>
          <w:bCs/>
          <w:sz w:val="24"/>
          <w:szCs w:val="24"/>
        </w:rPr>
        <w:t>to</w:t>
      </w:r>
      <w:r w:rsidR="00557327">
        <w:rPr>
          <w:rFonts w:ascii="Garamond" w:hAnsi="Garamond" w:cs="Arial"/>
          <w:bCs/>
          <w:sz w:val="24"/>
          <w:szCs w:val="24"/>
        </w:rPr>
        <w:t xml:space="preserve"> </w:t>
      </w:r>
      <w:r w:rsidR="008A0FF9">
        <w:rPr>
          <w:rFonts w:ascii="Garamond" w:hAnsi="Garamond" w:cs="Arial"/>
          <w:bCs/>
          <w:sz w:val="24"/>
          <w:szCs w:val="24"/>
        </w:rPr>
        <w:t>physicians and hospitals</w:t>
      </w:r>
      <w:r w:rsidR="00557327">
        <w:rPr>
          <w:rFonts w:ascii="Garamond" w:hAnsi="Garamond" w:cs="Arial"/>
          <w:bCs/>
          <w:sz w:val="24"/>
          <w:szCs w:val="24"/>
        </w:rPr>
        <w:t xml:space="preserve"> </w:t>
      </w:r>
      <w:r w:rsidR="00E93384">
        <w:rPr>
          <w:rFonts w:ascii="Garamond" w:hAnsi="Garamond" w:cs="Arial"/>
          <w:bCs/>
          <w:sz w:val="24"/>
          <w:szCs w:val="24"/>
        </w:rPr>
        <w:t>for adopting</w:t>
      </w:r>
      <w:r w:rsidR="00557327">
        <w:rPr>
          <w:rFonts w:ascii="Garamond" w:hAnsi="Garamond" w:cs="Arial"/>
          <w:bCs/>
          <w:sz w:val="24"/>
          <w:szCs w:val="24"/>
        </w:rPr>
        <w:t xml:space="preserve"> EHR</w:t>
      </w:r>
      <w:r w:rsidR="00E93384">
        <w:rPr>
          <w:rFonts w:ascii="Garamond" w:hAnsi="Garamond" w:cs="Arial"/>
          <w:bCs/>
          <w:sz w:val="24"/>
          <w:szCs w:val="24"/>
        </w:rPr>
        <w:t>s</w:t>
      </w:r>
      <w:r w:rsidR="00557327">
        <w:rPr>
          <w:rFonts w:ascii="Garamond" w:hAnsi="Garamond" w:cs="Arial"/>
          <w:bCs/>
          <w:sz w:val="24"/>
          <w:szCs w:val="24"/>
        </w:rPr>
        <w:t xml:space="preserve">, </w:t>
      </w:r>
      <w:r w:rsidR="009D1432">
        <w:rPr>
          <w:rFonts w:ascii="Garamond" w:hAnsi="Garamond" w:cs="Arial"/>
          <w:bCs/>
          <w:sz w:val="24"/>
          <w:szCs w:val="24"/>
        </w:rPr>
        <w:t>it does</w:t>
      </w:r>
      <w:r w:rsidR="00557327">
        <w:rPr>
          <w:rFonts w:ascii="Garamond" w:hAnsi="Garamond" w:cs="Arial"/>
          <w:bCs/>
          <w:sz w:val="24"/>
          <w:szCs w:val="24"/>
        </w:rPr>
        <w:t xml:space="preserve"> not include ASCs.</w:t>
      </w:r>
      <w:r w:rsidR="00FE7B07">
        <w:rPr>
          <w:rStyle w:val="FootnoteReference"/>
          <w:rFonts w:ascii="Garamond" w:hAnsi="Garamond" w:cs="Arial"/>
          <w:bCs/>
          <w:sz w:val="24"/>
          <w:szCs w:val="24"/>
        </w:rPr>
        <w:footnoteReference w:id="27"/>
      </w:r>
      <w:r w:rsidR="00557327">
        <w:rPr>
          <w:rFonts w:ascii="Garamond" w:hAnsi="Garamond" w:cs="Arial"/>
          <w:bCs/>
          <w:sz w:val="24"/>
          <w:szCs w:val="24"/>
        </w:rPr>
        <w:t xml:space="preserve"> </w:t>
      </w:r>
    </w:p>
    <w:p w14:paraId="23474A7C" w14:textId="77777777" w:rsidR="00557327" w:rsidRDefault="00557327" w:rsidP="00EA38CA">
      <w:pPr>
        <w:spacing w:after="0" w:line="240" w:lineRule="auto"/>
        <w:ind w:right="540"/>
        <w:contextualSpacing/>
        <w:rPr>
          <w:rFonts w:ascii="Garamond" w:hAnsi="Garamond" w:cs="Arial"/>
          <w:bCs/>
          <w:sz w:val="24"/>
          <w:szCs w:val="24"/>
        </w:rPr>
      </w:pPr>
    </w:p>
    <w:p w14:paraId="7AA2A44A" w14:textId="77777777" w:rsidR="00BB7B4F" w:rsidRPr="00C867B4" w:rsidRDefault="00BB7B4F" w:rsidP="00EA38CA">
      <w:pPr>
        <w:spacing w:after="0" w:line="240" w:lineRule="auto"/>
        <w:ind w:right="540"/>
        <w:contextualSpacing/>
        <w:rPr>
          <w:rFonts w:ascii="Garamond" w:eastAsia="Calibri" w:hAnsi="Garamond" w:cs="Calibri"/>
          <w:b/>
          <w:i/>
          <w:sz w:val="24"/>
          <w:szCs w:val="24"/>
        </w:rPr>
      </w:pPr>
      <w:r w:rsidRPr="00C867B4">
        <w:rPr>
          <w:rFonts w:ascii="Garamond" w:eastAsia="Calibri" w:hAnsi="Garamond" w:cs="Calibri"/>
          <w:b/>
          <w:i/>
          <w:sz w:val="24"/>
          <w:szCs w:val="24"/>
        </w:rPr>
        <w:t>Analysis</w:t>
      </w:r>
      <w:r w:rsidR="009F4B50" w:rsidRPr="00C867B4">
        <w:rPr>
          <w:rFonts w:ascii="Garamond" w:eastAsia="Calibri" w:hAnsi="Garamond" w:cs="Calibri"/>
          <w:b/>
          <w:i/>
          <w:sz w:val="24"/>
          <w:szCs w:val="24"/>
        </w:rPr>
        <w:t xml:space="preserve"> </w:t>
      </w:r>
    </w:p>
    <w:p w14:paraId="4C859CEC" w14:textId="7D06C26C" w:rsidR="00982130" w:rsidRPr="00BC1F7D" w:rsidRDefault="007B376A" w:rsidP="00EA38CA">
      <w:pPr>
        <w:autoSpaceDE w:val="0"/>
        <w:autoSpaceDN w:val="0"/>
        <w:adjustRightInd w:val="0"/>
        <w:spacing w:after="0" w:line="240" w:lineRule="auto"/>
        <w:contextualSpacing/>
        <w:rPr>
          <w:rFonts w:ascii="Garamond" w:eastAsia="Calibri" w:hAnsi="Garamond" w:cs="Times New Roman"/>
          <w:bCs/>
          <w:sz w:val="24"/>
          <w:szCs w:val="24"/>
        </w:rPr>
      </w:pPr>
      <w:r>
        <w:rPr>
          <w:rFonts w:ascii="Garamond" w:hAnsi="Garamond" w:cs="Arial"/>
          <w:bCs/>
          <w:sz w:val="24"/>
          <w:szCs w:val="24"/>
        </w:rPr>
        <w:t xml:space="preserve">The Applicant detailed </w:t>
      </w:r>
      <w:r w:rsidR="00B46FED">
        <w:rPr>
          <w:rFonts w:ascii="Garamond" w:hAnsi="Garamond" w:cs="Arial"/>
          <w:bCs/>
          <w:sz w:val="24"/>
          <w:szCs w:val="24"/>
        </w:rPr>
        <w:t>care coordination</w:t>
      </w:r>
      <w:r>
        <w:rPr>
          <w:rFonts w:ascii="Garamond" w:hAnsi="Garamond" w:cs="Arial"/>
          <w:bCs/>
          <w:sz w:val="24"/>
          <w:szCs w:val="24"/>
        </w:rPr>
        <w:t xml:space="preserve"> and information shar</w:t>
      </w:r>
      <w:r w:rsidR="00B46FED">
        <w:rPr>
          <w:rFonts w:ascii="Garamond" w:hAnsi="Garamond" w:cs="Arial"/>
          <w:bCs/>
          <w:sz w:val="24"/>
          <w:szCs w:val="24"/>
        </w:rPr>
        <w:t>ing</w:t>
      </w:r>
      <w:r>
        <w:rPr>
          <w:rFonts w:ascii="Garamond" w:hAnsi="Garamond" w:cs="Arial"/>
          <w:bCs/>
          <w:sz w:val="24"/>
          <w:szCs w:val="24"/>
        </w:rPr>
        <w:t xml:space="preserve"> </w:t>
      </w:r>
      <w:r w:rsidR="00B46FED">
        <w:rPr>
          <w:rFonts w:ascii="Garamond" w:hAnsi="Garamond" w:cs="Arial"/>
          <w:bCs/>
          <w:sz w:val="24"/>
          <w:szCs w:val="24"/>
        </w:rPr>
        <w:t xml:space="preserve">across </w:t>
      </w:r>
      <w:r>
        <w:rPr>
          <w:rFonts w:ascii="Garamond" w:hAnsi="Garamond" w:cs="Arial"/>
          <w:bCs/>
          <w:sz w:val="24"/>
          <w:szCs w:val="24"/>
        </w:rPr>
        <w:t xml:space="preserve">different providers. </w:t>
      </w:r>
      <w:r w:rsidR="009A1AAE" w:rsidRPr="009A1AAE">
        <w:rPr>
          <w:rFonts w:ascii="Garamond" w:eastAsia="Calibri" w:hAnsi="Garamond" w:cstheme="minorHAnsi"/>
          <w:bCs/>
          <w:sz w:val="24"/>
          <w:szCs w:val="24"/>
        </w:rPr>
        <w:t>Integrated processes are of particular importance in the ASC setting for managing patient referral to different points of care</w:t>
      </w:r>
      <w:r w:rsidR="004E79A4">
        <w:rPr>
          <w:rFonts w:ascii="Garamond" w:eastAsia="Calibri" w:hAnsi="Garamond" w:cstheme="minorHAnsi"/>
          <w:bCs/>
          <w:sz w:val="24"/>
          <w:szCs w:val="24"/>
        </w:rPr>
        <w:t>.</w:t>
      </w:r>
      <w:r w:rsidR="00AD15E9">
        <w:rPr>
          <w:rStyle w:val="EndnoteReference"/>
          <w:rFonts w:ascii="Garamond" w:eastAsia="Calibri" w:hAnsi="Garamond" w:cstheme="minorHAnsi"/>
          <w:bCs/>
          <w:sz w:val="24"/>
          <w:szCs w:val="24"/>
        </w:rPr>
        <w:endnoteReference w:id="33"/>
      </w:r>
      <w:r w:rsidR="009A1AAE" w:rsidRPr="009A1AAE">
        <w:rPr>
          <w:rFonts w:ascii="Garamond" w:eastAsia="Calibri" w:hAnsi="Garamond" w:cstheme="minorHAnsi"/>
          <w:bCs/>
          <w:sz w:val="24"/>
          <w:szCs w:val="24"/>
        </w:rPr>
        <w:t xml:space="preserve"> EHR adoption in ASCs has been slow</w:t>
      </w:r>
      <w:r w:rsidR="000959E1">
        <w:rPr>
          <w:rFonts w:ascii="Garamond" w:eastAsia="Calibri" w:hAnsi="Garamond" w:cstheme="minorHAnsi"/>
          <w:bCs/>
          <w:sz w:val="24"/>
          <w:szCs w:val="24"/>
        </w:rPr>
        <w:t xml:space="preserve"> and the high expense of the systems is one reason cited</w:t>
      </w:r>
      <w:r w:rsidR="009A1AAE" w:rsidRPr="009A1AAE">
        <w:rPr>
          <w:rFonts w:ascii="Garamond" w:eastAsia="Calibri" w:hAnsi="Garamond" w:cstheme="minorHAnsi"/>
          <w:bCs/>
          <w:sz w:val="24"/>
          <w:szCs w:val="24"/>
        </w:rPr>
        <w:t>.</w:t>
      </w:r>
      <w:r w:rsidR="000959E1">
        <w:rPr>
          <w:rStyle w:val="EndnoteReference"/>
          <w:rFonts w:ascii="Garamond" w:eastAsia="Calibri" w:hAnsi="Garamond" w:cstheme="minorHAnsi"/>
          <w:bCs/>
          <w:sz w:val="24"/>
          <w:szCs w:val="24"/>
        </w:rPr>
        <w:endnoteReference w:id="34"/>
      </w:r>
      <w:r w:rsidR="00FF1B59">
        <w:rPr>
          <w:rFonts w:eastAsia="Calibri" w:cstheme="minorHAnsi"/>
          <w:bCs/>
          <w:sz w:val="24"/>
          <w:szCs w:val="24"/>
        </w:rPr>
        <w:t xml:space="preserve"> </w:t>
      </w:r>
      <w:r w:rsidR="00FF1B59" w:rsidRPr="00264E5C">
        <w:rPr>
          <w:rFonts w:ascii="Garamond" w:eastAsia="Calibri" w:hAnsi="Garamond" w:cstheme="minorHAnsi"/>
          <w:bCs/>
          <w:sz w:val="24"/>
          <w:szCs w:val="24"/>
        </w:rPr>
        <w:t xml:space="preserve">Staff </w:t>
      </w:r>
      <w:r w:rsidR="00971E8D">
        <w:rPr>
          <w:rFonts w:ascii="Garamond" w:eastAsia="Calibri" w:hAnsi="Garamond" w:cstheme="minorHAnsi"/>
          <w:bCs/>
          <w:sz w:val="24"/>
          <w:szCs w:val="24"/>
        </w:rPr>
        <w:t>finds</w:t>
      </w:r>
      <w:r w:rsidR="00FF1B59">
        <w:rPr>
          <w:rFonts w:ascii="Garamond" w:eastAsia="Calibri" w:hAnsi="Garamond" w:cstheme="minorHAnsi"/>
          <w:bCs/>
          <w:sz w:val="24"/>
          <w:szCs w:val="24"/>
        </w:rPr>
        <w:t xml:space="preserve"> NESC</w:t>
      </w:r>
      <w:r w:rsidR="00AB1BA7">
        <w:rPr>
          <w:rFonts w:ascii="Garamond" w:eastAsia="Calibri" w:hAnsi="Garamond" w:cstheme="minorHAnsi"/>
          <w:bCs/>
          <w:sz w:val="24"/>
          <w:szCs w:val="24"/>
        </w:rPr>
        <w:t xml:space="preserve"> has adequate processes in place to</w:t>
      </w:r>
      <w:r w:rsidR="00FF1B59">
        <w:rPr>
          <w:rFonts w:ascii="Garamond" w:eastAsia="Calibri" w:hAnsi="Garamond" w:cstheme="minorHAnsi"/>
          <w:bCs/>
          <w:sz w:val="24"/>
          <w:szCs w:val="24"/>
        </w:rPr>
        <w:t xml:space="preserve"> </w:t>
      </w:r>
      <w:r w:rsidR="00971E8D">
        <w:rPr>
          <w:rFonts w:ascii="Garamond" w:eastAsia="Calibri" w:hAnsi="Garamond" w:cstheme="minorHAnsi"/>
          <w:bCs/>
          <w:sz w:val="24"/>
          <w:szCs w:val="24"/>
        </w:rPr>
        <w:t>facilitate</w:t>
      </w:r>
      <w:r w:rsidR="00FF1B59">
        <w:rPr>
          <w:rFonts w:ascii="Garamond" w:eastAsia="Calibri" w:hAnsi="Garamond" w:cstheme="minorHAnsi"/>
          <w:bCs/>
          <w:sz w:val="24"/>
          <w:szCs w:val="24"/>
        </w:rPr>
        <w:t xml:space="preserve"> care coordination and communication across providers. </w:t>
      </w:r>
    </w:p>
    <w:p w14:paraId="7842ADC3" w14:textId="77777777" w:rsidR="00405910" w:rsidRDefault="00405910" w:rsidP="00BC1F7D">
      <w:pPr>
        <w:pStyle w:val="Heading1"/>
        <w:spacing w:before="0" w:line="240" w:lineRule="auto"/>
        <w:contextualSpacing/>
        <w:rPr>
          <w:rFonts w:ascii="Garamond" w:hAnsi="Garamond"/>
        </w:rPr>
      </w:pPr>
      <w:bookmarkStart w:id="176" w:name="_Toc18922415"/>
      <w:bookmarkStart w:id="177" w:name="_Toc29755682"/>
      <w:bookmarkEnd w:id="172"/>
      <w:bookmarkEnd w:id="173"/>
    </w:p>
    <w:p w14:paraId="3ACA607D" w14:textId="7DA32EAD" w:rsidR="00E40FAA" w:rsidRPr="005F4493" w:rsidRDefault="00FA45BB" w:rsidP="00BC1F7D">
      <w:pPr>
        <w:pStyle w:val="Heading1"/>
        <w:spacing w:before="0" w:line="240" w:lineRule="auto"/>
        <w:contextualSpacing/>
        <w:rPr>
          <w:rFonts w:ascii="Garamond" w:hAnsi="Garamond"/>
        </w:rPr>
      </w:pPr>
      <w:bookmarkStart w:id="178" w:name="_Toc58960216"/>
      <w:r w:rsidRPr="000D1001">
        <w:rPr>
          <w:rFonts w:ascii="Garamond" w:hAnsi="Garamond"/>
        </w:rPr>
        <w:t>F</w:t>
      </w:r>
      <w:r w:rsidR="00371842" w:rsidRPr="005F4493">
        <w:rPr>
          <w:rFonts w:ascii="Garamond" w:hAnsi="Garamond"/>
        </w:rPr>
        <w:t>actor 1: d) Consultation</w:t>
      </w:r>
      <w:bookmarkEnd w:id="176"/>
      <w:bookmarkEnd w:id="177"/>
      <w:bookmarkEnd w:id="178"/>
    </w:p>
    <w:p w14:paraId="0B9DAA70" w14:textId="77777777" w:rsidR="00BC1F7D" w:rsidRDefault="00C12BBA" w:rsidP="00BC1F7D">
      <w:pPr>
        <w:spacing w:after="0" w:line="240" w:lineRule="auto"/>
        <w:contextualSpacing/>
        <w:rPr>
          <w:rFonts w:ascii="Garamond" w:hAnsi="Garamond" w:cs="Arial"/>
          <w:sz w:val="24"/>
          <w:szCs w:val="24"/>
        </w:rPr>
      </w:pPr>
      <w:r w:rsidRPr="00C00156">
        <w:rPr>
          <w:rFonts w:ascii="Garamond" w:hAnsi="Garamond" w:cs="Arial"/>
          <w:sz w:val="24"/>
          <w:szCs w:val="24"/>
        </w:rPr>
        <w:t xml:space="preserve">The Applicant has provided evidence of consultation, both prior to and after the Filing Date, with all </w:t>
      </w:r>
      <w:r w:rsidR="00C06F05" w:rsidRPr="00C867B4">
        <w:rPr>
          <w:rFonts w:ascii="Garamond" w:hAnsi="Garamond" w:cs="Arial"/>
          <w:sz w:val="24"/>
          <w:szCs w:val="24"/>
        </w:rPr>
        <w:t>government agencies that have</w:t>
      </w:r>
      <w:r w:rsidRPr="00C867B4">
        <w:rPr>
          <w:rFonts w:ascii="Garamond" w:hAnsi="Garamond" w:cs="Arial"/>
          <w:sz w:val="24"/>
          <w:szCs w:val="24"/>
        </w:rPr>
        <w:t xml:space="preserve"> licensure, certification, or ot</w:t>
      </w:r>
      <w:r w:rsidR="00C06F05" w:rsidRPr="00C867B4">
        <w:rPr>
          <w:rFonts w:ascii="Garamond" w:hAnsi="Garamond" w:cs="Arial"/>
          <w:sz w:val="24"/>
          <w:szCs w:val="24"/>
        </w:rPr>
        <w:t xml:space="preserve">her regulatory oversight, which has </w:t>
      </w:r>
    </w:p>
    <w:p w14:paraId="00E47554" w14:textId="3AA04F19" w:rsidR="009D3520" w:rsidRPr="00C867B4" w:rsidRDefault="00C06F05" w:rsidP="00BC1F7D">
      <w:pPr>
        <w:spacing w:after="0" w:line="240" w:lineRule="auto"/>
        <w:contextualSpacing/>
        <w:rPr>
          <w:rFonts w:ascii="Garamond" w:hAnsi="Garamond" w:cs="Arial"/>
          <w:sz w:val="24"/>
          <w:szCs w:val="24"/>
        </w:rPr>
      </w:pPr>
      <w:r w:rsidRPr="00C867B4">
        <w:rPr>
          <w:rFonts w:ascii="Garamond" w:hAnsi="Garamond" w:cs="Arial"/>
          <w:sz w:val="24"/>
          <w:szCs w:val="24"/>
        </w:rPr>
        <w:t>been done and will not be addressed further in this report.</w:t>
      </w:r>
      <w:r w:rsidR="001C5728" w:rsidRPr="00C867B4">
        <w:rPr>
          <w:rFonts w:ascii="Garamond" w:hAnsi="Garamond" w:cs="Arial"/>
          <w:sz w:val="24"/>
          <w:szCs w:val="24"/>
        </w:rPr>
        <w:t xml:space="preserve"> </w:t>
      </w:r>
    </w:p>
    <w:p w14:paraId="330745B4" w14:textId="77777777" w:rsidR="00BC1F7D" w:rsidRDefault="00BC1F7D" w:rsidP="00BC1F7D">
      <w:pPr>
        <w:pStyle w:val="Heading1"/>
        <w:spacing w:before="0" w:line="240" w:lineRule="auto"/>
        <w:contextualSpacing/>
        <w:rPr>
          <w:rStyle w:val="Heading1Char"/>
          <w:rFonts w:ascii="Garamond" w:hAnsi="Garamond"/>
          <w:b/>
          <w:bCs/>
        </w:rPr>
      </w:pPr>
      <w:bookmarkStart w:id="179" w:name="_Toc29755683"/>
      <w:bookmarkStart w:id="180" w:name="_Toc18922416"/>
    </w:p>
    <w:p w14:paraId="5775C9CB" w14:textId="77777777" w:rsidR="00076B1A" w:rsidRPr="000369E7" w:rsidRDefault="00076B1A" w:rsidP="00BC1F7D">
      <w:pPr>
        <w:pStyle w:val="Heading1"/>
        <w:spacing w:before="0" w:line="240" w:lineRule="auto"/>
        <w:contextualSpacing/>
        <w:rPr>
          <w:rFonts w:ascii="Garamond" w:hAnsi="Garamond"/>
        </w:rPr>
      </w:pPr>
      <w:bookmarkStart w:id="181" w:name="_Toc58960217"/>
      <w:r w:rsidRPr="000369E7">
        <w:rPr>
          <w:rStyle w:val="Heading1Char"/>
          <w:rFonts w:ascii="Garamond" w:hAnsi="Garamond"/>
          <w:b/>
          <w:bCs/>
        </w:rPr>
        <w:t>Factor 1: e) Evidence of Sound Community Engagement through the Patient Panel</w:t>
      </w:r>
      <w:bookmarkEnd w:id="179"/>
      <w:bookmarkEnd w:id="181"/>
      <w:r w:rsidRPr="000369E7">
        <w:rPr>
          <w:rFonts w:ascii="Garamond" w:hAnsi="Garamond"/>
        </w:rPr>
        <w:t xml:space="preserve"> </w:t>
      </w:r>
    </w:p>
    <w:p w14:paraId="5CCB4604" w14:textId="7B78A759" w:rsidR="00B633E1" w:rsidRPr="007B1C0B" w:rsidRDefault="00076B1A" w:rsidP="00BC1F7D">
      <w:pPr>
        <w:spacing w:after="0" w:line="240" w:lineRule="auto"/>
        <w:contextualSpacing/>
        <w:rPr>
          <w:rFonts w:ascii="Garamond" w:hAnsi="Garamond"/>
          <w:sz w:val="24"/>
          <w:szCs w:val="24"/>
        </w:rPr>
      </w:pPr>
      <w:r w:rsidRPr="00C867B4">
        <w:rPr>
          <w:rFonts w:ascii="Garamond" w:eastAsia="Calibri" w:hAnsi="Garamond" w:cs="Times New Roman"/>
          <w:sz w:val="24"/>
          <w:szCs w:val="24"/>
        </w:rPr>
        <w:t>The Department’s Guideline</w:t>
      </w:r>
      <w:r w:rsidR="00B633E1" w:rsidRPr="007B1C0B">
        <w:rPr>
          <w:rFonts w:ascii="Garamond" w:eastAsia="Calibri" w:hAnsi="Garamond" w:cs="Times New Roman"/>
          <w:sz w:val="24"/>
          <w:szCs w:val="24"/>
          <w:vertAlign w:val="superscript"/>
        </w:rPr>
        <w:endnoteReference w:id="35"/>
      </w:r>
      <w:r w:rsidR="00B633E1" w:rsidRPr="007B1C0B">
        <w:rPr>
          <w:rFonts w:ascii="Garamond" w:eastAsia="Calibri" w:hAnsi="Garamond" w:cs="Times New Roman"/>
          <w:sz w:val="24"/>
          <w:szCs w:val="24"/>
        </w:rPr>
        <w:t xml:space="preserve"> </w:t>
      </w:r>
      <w:r w:rsidRPr="007B1C0B">
        <w:rPr>
          <w:rFonts w:ascii="Garamond" w:eastAsia="Calibri" w:hAnsi="Garamond" w:cs="Times New Roman"/>
          <w:sz w:val="24"/>
          <w:szCs w:val="24"/>
        </w:rPr>
        <w:t>for community engagement defines “community” as the Patient Panel, and requires that at minimum, the Applicant must “consult” with groups repre</w:t>
      </w:r>
      <w:r w:rsidRPr="000D1001">
        <w:rPr>
          <w:rFonts w:ascii="Garamond" w:eastAsia="Calibri" w:hAnsi="Garamond" w:cs="Times New Roman"/>
          <w:sz w:val="24"/>
          <w:szCs w:val="24"/>
        </w:rPr>
        <w:t>sentative of the Applicant's Patient Panel.</w:t>
      </w:r>
      <w:r w:rsidR="00F2354A" w:rsidRPr="005F4493">
        <w:rPr>
          <w:rFonts w:ascii="Garamond" w:eastAsia="Calibri" w:hAnsi="Garamond" w:cs="Times New Roman"/>
          <w:sz w:val="24"/>
          <w:szCs w:val="24"/>
        </w:rPr>
        <w:t xml:space="preserve"> </w:t>
      </w:r>
      <w:r w:rsidRPr="005F4493">
        <w:rPr>
          <w:rFonts w:ascii="Garamond" w:eastAsia="Calibri" w:hAnsi="Garamond" w:cs="Calibri"/>
          <w:sz w:val="24"/>
          <w:szCs w:val="24"/>
        </w:rPr>
        <w:t xml:space="preserve">Regulations state that </w:t>
      </w:r>
      <w:r w:rsidR="00976959" w:rsidRPr="00C00156">
        <w:rPr>
          <w:rFonts w:ascii="Garamond" w:eastAsia="Calibri" w:hAnsi="Garamond" w:cs="Calibri"/>
          <w:sz w:val="24"/>
          <w:szCs w:val="24"/>
        </w:rPr>
        <w:t xml:space="preserve">efforts in </w:t>
      </w:r>
      <w:r w:rsidRPr="00C00156">
        <w:rPr>
          <w:rFonts w:ascii="Garamond" w:eastAsia="Calibri" w:hAnsi="Garamond" w:cs="Calibri"/>
          <w:sz w:val="24"/>
          <w:szCs w:val="24"/>
        </w:rPr>
        <w:t>such consultation</w:t>
      </w:r>
      <w:r w:rsidR="00976959" w:rsidRPr="00C00156">
        <w:rPr>
          <w:rFonts w:ascii="Garamond" w:eastAsia="Calibri" w:hAnsi="Garamond" w:cs="Calibri"/>
          <w:sz w:val="24"/>
          <w:szCs w:val="24"/>
        </w:rPr>
        <w:t xml:space="preserve"> should </w:t>
      </w:r>
      <w:r w:rsidRPr="00C00156">
        <w:rPr>
          <w:rFonts w:ascii="Garamond" w:eastAsia="Calibri" w:hAnsi="Garamond" w:cs="Calibri"/>
          <w:sz w:val="24"/>
          <w:szCs w:val="24"/>
        </w:rPr>
        <w:t xml:space="preserve">consist of </w:t>
      </w:r>
      <w:r w:rsidR="00976959" w:rsidRPr="00C867B4">
        <w:rPr>
          <w:rFonts w:ascii="Garamond" w:eastAsia="Calibri" w:hAnsi="Garamond" w:cs="Calibri"/>
          <w:sz w:val="24"/>
          <w:szCs w:val="24"/>
        </w:rPr>
        <w:t>engaging</w:t>
      </w:r>
      <w:r w:rsidRPr="00C867B4">
        <w:rPr>
          <w:rFonts w:ascii="Garamond" w:eastAsia="Calibri" w:hAnsi="Garamond" w:cs="Calibri"/>
          <w:sz w:val="24"/>
          <w:szCs w:val="24"/>
        </w:rPr>
        <w:t xml:space="preserve"> </w:t>
      </w:r>
      <w:r w:rsidRPr="00C867B4">
        <w:rPr>
          <w:rFonts w:ascii="Garamond" w:hAnsi="Garamond"/>
          <w:sz w:val="24"/>
          <w:szCs w:val="24"/>
        </w:rPr>
        <w:t>“community coalition</w:t>
      </w:r>
      <w:r w:rsidR="00976959" w:rsidRPr="00C867B4">
        <w:rPr>
          <w:rFonts w:ascii="Garamond" w:hAnsi="Garamond"/>
          <w:sz w:val="24"/>
          <w:szCs w:val="24"/>
        </w:rPr>
        <w:t>s</w:t>
      </w:r>
      <w:r w:rsidRPr="00C867B4">
        <w:rPr>
          <w:rFonts w:ascii="Garamond" w:hAnsi="Garamond"/>
          <w:sz w:val="24"/>
          <w:szCs w:val="24"/>
        </w:rPr>
        <w:t xml:space="preserve"> statistically representative of the </w:t>
      </w:r>
      <w:r w:rsidR="00976959" w:rsidRPr="00C867B4">
        <w:rPr>
          <w:rFonts w:ascii="Garamond" w:hAnsi="Garamond"/>
          <w:sz w:val="24"/>
          <w:szCs w:val="24"/>
        </w:rPr>
        <w:t>P</w:t>
      </w:r>
      <w:r w:rsidRPr="00C867B4">
        <w:rPr>
          <w:rFonts w:ascii="Garamond" w:hAnsi="Garamond"/>
          <w:sz w:val="24"/>
          <w:szCs w:val="24"/>
        </w:rPr>
        <w:t xml:space="preserve">atient </w:t>
      </w:r>
      <w:r w:rsidR="00976959" w:rsidRPr="00C867B4">
        <w:rPr>
          <w:rFonts w:ascii="Garamond" w:hAnsi="Garamond"/>
          <w:sz w:val="24"/>
          <w:szCs w:val="24"/>
        </w:rPr>
        <w:t>P</w:t>
      </w:r>
      <w:r w:rsidRPr="00C867B4">
        <w:rPr>
          <w:rFonts w:ascii="Garamond" w:hAnsi="Garamond"/>
          <w:sz w:val="24"/>
          <w:szCs w:val="24"/>
        </w:rPr>
        <w:t>anel.”</w:t>
      </w:r>
      <w:r w:rsidR="00B633E1" w:rsidRPr="007B1C0B">
        <w:rPr>
          <w:rFonts w:ascii="Garamond" w:hAnsi="Garamond"/>
          <w:sz w:val="24"/>
          <w:szCs w:val="24"/>
          <w:vertAlign w:val="superscript"/>
        </w:rPr>
        <w:endnoteReference w:id="36"/>
      </w:r>
    </w:p>
    <w:p w14:paraId="595F19A5" w14:textId="77777777" w:rsidR="00B41BA7" w:rsidRDefault="00B41BA7" w:rsidP="00BC1F7D">
      <w:pPr>
        <w:spacing w:after="0" w:line="240" w:lineRule="auto"/>
        <w:contextualSpacing/>
        <w:rPr>
          <w:rFonts w:ascii="Garamond" w:eastAsia="Calibri" w:hAnsi="Garamond" w:cs="Calibri"/>
          <w:sz w:val="24"/>
          <w:szCs w:val="24"/>
        </w:rPr>
      </w:pPr>
    </w:p>
    <w:p w14:paraId="4C65301F" w14:textId="52DBAA53" w:rsidR="00B41BA7" w:rsidRDefault="00B41BA7" w:rsidP="00BC1F7D">
      <w:pPr>
        <w:spacing w:after="0" w:line="240" w:lineRule="auto"/>
        <w:contextualSpacing/>
        <w:rPr>
          <w:rFonts w:ascii="Garamond" w:eastAsia="Calibri" w:hAnsi="Garamond" w:cs="Calibri"/>
          <w:sz w:val="24"/>
          <w:szCs w:val="24"/>
        </w:rPr>
      </w:pPr>
      <w:r>
        <w:rPr>
          <w:rFonts w:ascii="Garamond" w:eastAsia="Calibri" w:hAnsi="Garamond" w:cs="Calibri"/>
          <w:sz w:val="24"/>
          <w:szCs w:val="24"/>
        </w:rPr>
        <w:t>The Applicant held two open houses</w:t>
      </w:r>
      <w:r w:rsidR="00F01442">
        <w:rPr>
          <w:rFonts w:ascii="Garamond" w:eastAsia="Calibri" w:hAnsi="Garamond" w:cs="Calibri"/>
          <w:sz w:val="24"/>
          <w:szCs w:val="24"/>
        </w:rPr>
        <w:t xml:space="preserve"> (November 5 </w:t>
      </w:r>
      <w:r w:rsidR="00B8227A">
        <w:rPr>
          <w:rFonts w:ascii="Garamond" w:eastAsia="Calibri" w:hAnsi="Garamond" w:cs="Calibri"/>
          <w:sz w:val="24"/>
          <w:szCs w:val="24"/>
        </w:rPr>
        <w:t xml:space="preserve">and </w:t>
      </w:r>
      <w:r w:rsidR="00F01442">
        <w:rPr>
          <w:rFonts w:ascii="Garamond" w:eastAsia="Calibri" w:hAnsi="Garamond" w:cs="Calibri"/>
          <w:sz w:val="24"/>
          <w:szCs w:val="24"/>
        </w:rPr>
        <w:t>November 11, 2019)</w:t>
      </w:r>
      <w:r w:rsidR="001D019F">
        <w:rPr>
          <w:rFonts w:ascii="Garamond" w:eastAsia="Calibri" w:hAnsi="Garamond" w:cs="Calibri"/>
          <w:sz w:val="24"/>
          <w:szCs w:val="24"/>
        </w:rPr>
        <w:t xml:space="preserve">. </w:t>
      </w:r>
      <w:r w:rsidR="006C267E">
        <w:rPr>
          <w:rFonts w:ascii="Garamond" w:eastAsia="Calibri" w:hAnsi="Garamond" w:cs="Calibri"/>
          <w:sz w:val="24"/>
          <w:szCs w:val="24"/>
        </w:rPr>
        <w:t>A total o</w:t>
      </w:r>
      <w:r w:rsidR="00F04910">
        <w:rPr>
          <w:rFonts w:ascii="Garamond" w:eastAsia="Calibri" w:hAnsi="Garamond" w:cs="Calibri"/>
          <w:sz w:val="24"/>
          <w:szCs w:val="24"/>
        </w:rPr>
        <w:t>f</w:t>
      </w:r>
      <w:r w:rsidR="006C267E">
        <w:rPr>
          <w:rFonts w:ascii="Garamond" w:eastAsia="Calibri" w:hAnsi="Garamond" w:cs="Calibri"/>
          <w:sz w:val="24"/>
          <w:szCs w:val="24"/>
        </w:rPr>
        <w:t xml:space="preserve"> t</w:t>
      </w:r>
      <w:r w:rsidR="00F4283B">
        <w:rPr>
          <w:rFonts w:ascii="Garamond" w:eastAsia="Calibri" w:hAnsi="Garamond" w:cs="Calibri"/>
          <w:sz w:val="24"/>
          <w:szCs w:val="24"/>
        </w:rPr>
        <w:t>wo</w:t>
      </w:r>
      <w:r>
        <w:rPr>
          <w:rFonts w:ascii="Garamond" w:eastAsia="Calibri" w:hAnsi="Garamond" w:cs="Calibri"/>
          <w:sz w:val="24"/>
          <w:szCs w:val="24"/>
        </w:rPr>
        <w:t xml:space="preserve"> people attended</w:t>
      </w:r>
      <w:r w:rsidR="0002603D">
        <w:rPr>
          <w:rFonts w:ascii="Garamond" w:eastAsia="Calibri" w:hAnsi="Garamond" w:cs="Calibri"/>
          <w:sz w:val="24"/>
          <w:szCs w:val="24"/>
        </w:rPr>
        <w:t xml:space="preserve"> the open house on November 5</w:t>
      </w:r>
      <w:r w:rsidR="0002603D" w:rsidRPr="006E55C9">
        <w:rPr>
          <w:rFonts w:ascii="Garamond" w:eastAsia="Calibri" w:hAnsi="Garamond" w:cs="Calibri"/>
          <w:sz w:val="24"/>
          <w:szCs w:val="24"/>
          <w:vertAlign w:val="superscript"/>
        </w:rPr>
        <w:t>th</w:t>
      </w:r>
      <w:r w:rsidR="00B8227A">
        <w:rPr>
          <w:rFonts w:ascii="Garamond" w:eastAsia="Calibri" w:hAnsi="Garamond" w:cs="Calibri"/>
          <w:sz w:val="24"/>
          <w:szCs w:val="24"/>
        </w:rPr>
        <w:t>,</w:t>
      </w:r>
      <w:r w:rsidR="00F4283B">
        <w:rPr>
          <w:rFonts w:ascii="Garamond" w:eastAsia="Calibri" w:hAnsi="Garamond" w:cs="Calibri"/>
          <w:sz w:val="24"/>
          <w:szCs w:val="24"/>
        </w:rPr>
        <w:t xml:space="preserve"> </w:t>
      </w:r>
      <w:r w:rsidR="00623918">
        <w:rPr>
          <w:rFonts w:ascii="Garamond" w:eastAsia="Calibri" w:hAnsi="Garamond" w:cs="Calibri"/>
          <w:sz w:val="24"/>
          <w:szCs w:val="24"/>
        </w:rPr>
        <w:t xml:space="preserve">both of whom were </w:t>
      </w:r>
      <w:r w:rsidR="00F4283B">
        <w:rPr>
          <w:rFonts w:ascii="Garamond" w:eastAsia="Calibri" w:hAnsi="Garamond" w:cs="Calibri"/>
          <w:sz w:val="24"/>
          <w:szCs w:val="24"/>
        </w:rPr>
        <w:t xml:space="preserve">staff members of North Shore </w:t>
      </w:r>
      <w:r w:rsidR="001D019F">
        <w:rPr>
          <w:rFonts w:ascii="Garamond" w:eastAsia="Calibri" w:hAnsi="Garamond" w:cs="Calibri"/>
          <w:sz w:val="24"/>
          <w:szCs w:val="24"/>
        </w:rPr>
        <w:t>Physicians</w:t>
      </w:r>
      <w:r w:rsidR="00F4283B">
        <w:rPr>
          <w:rFonts w:ascii="Garamond" w:eastAsia="Calibri" w:hAnsi="Garamond" w:cs="Calibri"/>
          <w:sz w:val="24"/>
          <w:szCs w:val="24"/>
        </w:rPr>
        <w:t xml:space="preserve"> Group</w:t>
      </w:r>
      <w:r w:rsidR="00623918">
        <w:rPr>
          <w:rFonts w:ascii="Garamond" w:eastAsia="Calibri" w:hAnsi="Garamond" w:cs="Calibri"/>
          <w:sz w:val="24"/>
          <w:szCs w:val="24"/>
        </w:rPr>
        <w:t xml:space="preserve">, </w:t>
      </w:r>
      <w:r w:rsidR="00F4283B">
        <w:rPr>
          <w:rFonts w:ascii="Garamond" w:eastAsia="Calibri" w:hAnsi="Garamond" w:cs="Calibri"/>
          <w:sz w:val="24"/>
          <w:szCs w:val="24"/>
        </w:rPr>
        <w:t>which is located in the same building as NESC.</w:t>
      </w:r>
      <w:r>
        <w:rPr>
          <w:rFonts w:ascii="Garamond" w:eastAsia="Calibri" w:hAnsi="Garamond" w:cs="Calibri"/>
          <w:sz w:val="24"/>
          <w:szCs w:val="24"/>
        </w:rPr>
        <w:t xml:space="preserve"> </w:t>
      </w:r>
      <w:r w:rsidR="0014582E" w:rsidRPr="0014582E">
        <w:rPr>
          <w:rFonts w:ascii="Garamond" w:eastAsia="Calibri" w:hAnsi="Garamond" w:cs="Calibri"/>
          <w:sz w:val="24"/>
          <w:szCs w:val="24"/>
        </w:rPr>
        <w:t xml:space="preserve">Attendees had an opportunity to view the ASC and a copy of the proposed expansion. </w:t>
      </w:r>
      <w:r w:rsidR="00062E9B">
        <w:rPr>
          <w:rFonts w:ascii="Garamond" w:eastAsia="Calibri" w:hAnsi="Garamond" w:cs="Calibri"/>
          <w:sz w:val="24"/>
          <w:szCs w:val="24"/>
        </w:rPr>
        <w:t>The Applicant states o</w:t>
      </w:r>
      <w:r w:rsidR="00463220" w:rsidRPr="00463220">
        <w:rPr>
          <w:rFonts w:ascii="Garamond" w:eastAsia="Calibri" w:hAnsi="Garamond" w:cs="Calibri"/>
          <w:sz w:val="24"/>
          <w:szCs w:val="24"/>
        </w:rPr>
        <w:t xml:space="preserve">pen houses were advertised in </w:t>
      </w:r>
      <w:r w:rsidR="00F4283B">
        <w:rPr>
          <w:rFonts w:ascii="Garamond" w:eastAsia="Calibri" w:hAnsi="Garamond" w:cs="Calibri"/>
          <w:sz w:val="24"/>
          <w:szCs w:val="24"/>
        </w:rPr>
        <w:t xml:space="preserve">Essex County and </w:t>
      </w:r>
      <w:r w:rsidR="00463220" w:rsidRPr="00463220">
        <w:rPr>
          <w:rFonts w:ascii="Garamond" w:eastAsia="Calibri" w:hAnsi="Garamond" w:cs="Calibri"/>
          <w:sz w:val="24"/>
          <w:szCs w:val="24"/>
        </w:rPr>
        <w:t>surrounding area</w:t>
      </w:r>
      <w:r w:rsidR="00F4283B">
        <w:rPr>
          <w:rFonts w:ascii="Garamond" w:eastAsia="Calibri" w:hAnsi="Garamond" w:cs="Calibri"/>
          <w:sz w:val="24"/>
          <w:szCs w:val="24"/>
        </w:rPr>
        <w:t>s</w:t>
      </w:r>
      <w:r w:rsidR="00463220" w:rsidRPr="00463220">
        <w:rPr>
          <w:rFonts w:ascii="Garamond" w:eastAsia="Calibri" w:hAnsi="Garamond" w:cs="Calibri"/>
          <w:sz w:val="24"/>
          <w:szCs w:val="24"/>
        </w:rPr>
        <w:t>, in the surgeon’s offices</w:t>
      </w:r>
      <w:r w:rsidR="00BE1AD7">
        <w:rPr>
          <w:rFonts w:ascii="Garamond" w:eastAsia="Calibri" w:hAnsi="Garamond" w:cs="Calibri"/>
          <w:sz w:val="24"/>
          <w:szCs w:val="24"/>
        </w:rPr>
        <w:t xml:space="preserve"> and on </w:t>
      </w:r>
      <w:r w:rsidR="00463220" w:rsidRPr="00463220">
        <w:rPr>
          <w:rFonts w:ascii="Garamond" w:eastAsia="Calibri" w:hAnsi="Garamond" w:cs="Calibri"/>
          <w:sz w:val="24"/>
          <w:szCs w:val="24"/>
        </w:rPr>
        <w:t xml:space="preserve">bulletin boards in the Cummings Center where the ASC is located, </w:t>
      </w:r>
      <w:r w:rsidR="00BE1AD7">
        <w:rPr>
          <w:rFonts w:ascii="Garamond" w:eastAsia="Calibri" w:hAnsi="Garamond" w:cs="Calibri"/>
          <w:sz w:val="24"/>
          <w:szCs w:val="24"/>
        </w:rPr>
        <w:t xml:space="preserve">and </w:t>
      </w:r>
      <w:r w:rsidR="00463220" w:rsidRPr="00463220">
        <w:rPr>
          <w:rFonts w:ascii="Garamond" w:eastAsia="Calibri" w:hAnsi="Garamond" w:cs="Calibri"/>
          <w:sz w:val="24"/>
          <w:szCs w:val="24"/>
        </w:rPr>
        <w:t xml:space="preserve">on the </w:t>
      </w:r>
      <w:r w:rsidR="00623918">
        <w:rPr>
          <w:rFonts w:ascii="Garamond" w:eastAsia="Calibri" w:hAnsi="Garamond" w:cs="Calibri"/>
          <w:sz w:val="24"/>
          <w:szCs w:val="24"/>
        </w:rPr>
        <w:t>NESC’s</w:t>
      </w:r>
      <w:r w:rsidR="00463220" w:rsidRPr="00463220">
        <w:rPr>
          <w:rFonts w:ascii="Garamond" w:eastAsia="Calibri" w:hAnsi="Garamond" w:cs="Calibri"/>
          <w:sz w:val="24"/>
          <w:szCs w:val="24"/>
        </w:rPr>
        <w:t xml:space="preserve"> Facebook page and website. </w:t>
      </w:r>
      <w:r w:rsidR="008144B4" w:rsidRPr="008144B4">
        <w:rPr>
          <w:rFonts w:ascii="Garamond" w:eastAsia="Calibri" w:hAnsi="Garamond" w:cs="Calibri"/>
          <w:sz w:val="24"/>
          <w:szCs w:val="24"/>
        </w:rPr>
        <w:t xml:space="preserve">The Applicant submitted </w:t>
      </w:r>
      <w:r w:rsidR="005A3171">
        <w:rPr>
          <w:rFonts w:ascii="Garamond" w:eastAsia="Calibri" w:hAnsi="Garamond" w:cs="Calibri"/>
          <w:sz w:val="24"/>
          <w:szCs w:val="24"/>
        </w:rPr>
        <w:t xml:space="preserve">copies of the </w:t>
      </w:r>
      <w:r w:rsidR="008144B4">
        <w:rPr>
          <w:rFonts w:ascii="Garamond" w:eastAsia="Calibri" w:hAnsi="Garamond" w:cs="Calibri"/>
          <w:sz w:val="24"/>
          <w:szCs w:val="24"/>
        </w:rPr>
        <w:t xml:space="preserve">materials used to advertise the </w:t>
      </w:r>
      <w:r w:rsidR="002A3449">
        <w:rPr>
          <w:rFonts w:ascii="Garamond" w:eastAsia="Calibri" w:hAnsi="Garamond" w:cs="Calibri"/>
          <w:sz w:val="24"/>
          <w:szCs w:val="24"/>
        </w:rPr>
        <w:t>open houses</w:t>
      </w:r>
      <w:r w:rsidR="005A3171">
        <w:rPr>
          <w:rFonts w:ascii="Garamond" w:eastAsia="Calibri" w:hAnsi="Garamond" w:cs="Calibri"/>
          <w:sz w:val="24"/>
          <w:szCs w:val="24"/>
        </w:rPr>
        <w:t xml:space="preserve"> </w:t>
      </w:r>
      <w:r w:rsidR="008144B4" w:rsidRPr="008144B4">
        <w:rPr>
          <w:rFonts w:ascii="Garamond" w:eastAsia="Calibri" w:hAnsi="Garamond" w:cs="Calibri"/>
          <w:sz w:val="24"/>
          <w:szCs w:val="24"/>
        </w:rPr>
        <w:t xml:space="preserve">and </w:t>
      </w:r>
      <w:r w:rsidR="00540271">
        <w:rPr>
          <w:rFonts w:ascii="Garamond" w:eastAsia="Calibri" w:hAnsi="Garamond" w:cs="Calibri"/>
          <w:sz w:val="24"/>
          <w:szCs w:val="24"/>
        </w:rPr>
        <w:t xml:space="preserve">copies of </w:t>
      </w:r>
      <w:r w:rsidR="00AB6D2B">
        <w:rPr>
          <w:rFonts w:ascii="Garamond" w:eastAsia="Calibri" w:hAnsi="Garamond" w:cs="Calibri"/>
          <w:sz w:val="24"/>
          <w:szCs w:val="24"/>
        </w:rPr>
        <w:t xml:space="preserve">the materials </w:t>
      </w:r>
      <w:r w:rsidR="00B1623A">
        <w:rPr>
          <w:rFonts w:ascii="Garamond" w:eastAsia="Calibri" w:hAnsi="Garamond" w:cs="Calibri"/>
          <w:sz w:val="24"/>
          <w:szCs w:val="24"/>
        </w:rPr>
        <w:t xml:space="preserve">that were </w:t>
      </w:r>
      <w:r w:rsidR="00AB6D2B">
        <w:rPr>
          <w:rFonts w:ascii="Garamond" w:eastAsia="Calibri" w:hAnsi="Garamond" w:cs="Calibri"/>
          <w:sz w:val="24"/>
          <w:szCs w:val="24"/>
        </w:rPr>
        <w:t>presented</w:t>
      </w:r>
      <w:r w:rsidR="008144B4" w:rsidRPr="008144B4">
        <w:rPr>
          <w:rFonts w:ascii="Garamond" w:eastAsia="Calibri" w:hAnsi="Garamond" w:cs="Calibri"/>
          <w:sz w:val="24"/>
          <w:szCs w:val="24"/>
        </w:rPr>
        <w:t>.</w:t>
      </w:r>
    </w:p>
    <w:bookmarkEnd w:id="180"/>
    <w:p w14:paraId="03668A07" w14:textId="77777777" w:rsidR="00D93B15" w:rsidRDefault="00D93B15" w:rsidP="00EA38CA">
      <w:pPr>
        <w:spacing w:after="0" w:line="240" w:lineRule="auto"/>
        <w:contextualSpacing/>
        <w:rPr>
          <w:rFonts w:ascii="Garamond" w:hAnsi="Garamond" w:cs="Arial"/>
          <w:b/>
          <w:i/>
          <w:sz w:val="24"/>
          <w:szCs w:val="24"/>
        </w:rPr>
      </w:pPr>
    </w:p>
    <w:p w14:paraId="5D8B8327" w14:textId="24AC5C88" w:rsidR="00C06F05" w:rsidRPr="00C867B4" w:rsidRDefault="00C06F05" w:rsidP="00EA38CA">
      <w:pPr>
        <w:spacing w:after="0" w:line="240" w:lineRule="auto"/>
        <w:contextualSpacing/>
        <w:rPr>
          <w:rFonts w:ascii="Garamond" w:hAnsi="Garamond" w:cs="Arial"/>
          <w:b/>
          <w:bCs/>
          <w:i/>
          <w:sz w:val="24"/>
          <w:szCs w:val="24"/>
        </w:rPr>
      </w:pPr>
      <w:r w:rsidRPr="00C867B4">
        <w:rPr>
          <w:rFonts w:ascii="Garamond" w:hAnsi="Garamond" w:cs="Arial"/>
          <w:b/>
          <w:i/>
          <w:sz w:val="24"/>
          <w:szCs w:val="24"/>
        </w:rPr>
        <w:t>Analysis</w:t>
      </w:r>
    </w:p>
    <w:p w14:paraId="4C334A6E" w14:textId="7A643BFF" w:rsidR="00076B1A" w:rsidRPr="00C867B4" w:rsidRDefault="00615B65" w:rsidP="00EA38CA">
      <w:pPr>
        <w:spacing w:after="0" w:line="240" w:lineRule="auto"/>
        <w:ind w:right="540"/>
        <w:contextualSpacing/>
        <w:rPr>
          <w:rFonts w:ascii="Garamond" w:hAnsi="Garamond"/>
          <w:b/>
          <w:bCs/>
          <w:i/>
          <w:sz w:val="24"/>
          <w:szCs w:val="24"/>
        </w:rPr>
      </w:pPr>
      <w:r w:rsidRPr="00C867B4">
        <w:rPr>
          <w:rFonts w:ascii="Garamond" w:eastAsia="Calibri" w:hAnsi="Garamond" w:cs="Times New Roman"/>
          <w:sz w:val="24"/>
          <w:szCs w:val="24"/>
        </w:rPr>
        <w:t>Staff reviewed the information on the Applicant’s community engagement and</w:t>
      </w:r>
      <w:r w:rsidR="00076B1A" w:rsidRPr="00C867B4">
        <w:rPr>
          <w:rFonts w:ascii="Garamond" w:eastAsia="Calibri" w:hAnsi="Garamond" w:cs="Times New Roman"/>
          <w:sz w:val="24"/>
          <w:szCs w:val="24"/>
        </w:rPr>
        <w:t xml:space="preserve"> finds that</w:t>
      </w:r>
      <w:r w:rsidRPr="00C867B4">
        <w:rPr>
          <w:rFonts w:ascii="Garamond" w:eastAsia="Calibri" w:hAnsi="Garamond" w:cs="Times New Roman"/>
          <w:bCs/>
          <w:sz w:val="24"/>
          <w:szCs w:val="24"/>
        </w:rPr>
        <w:t xml:space="preserve"> </w:t>
      </w:r>
      <w:r w:rsidR="00076B1A" w:rsidRPr="00C867B4">
        <w:rPr>
          <w:rFonts w:ascii="Garamond" w:eastAsia="Calibri" w:hAnsi="Garamond" w:cs="Times New Roman"/>
          <w:bCs/>
          <w:sz w:val="24"/>
          <w:szCs w:val="24"/>
        </w:rPr>
        <w:t xml:space="preserve">the Applicant </w:t>
      </w:r>
      <w:r w:rsidR="006A2B75" w:rsidRPr="00C867B4">
        <w:rPr>
          <w:rFonts w:ascii="Garamond" w:eastAsia="Calibri" w:hAnsi="Garamond" w:cs="Times New Roman"/>
          <w:bCs/>
          <w:sz w:val="24"/>
          <w:szCs w:val="24"/>
        </w:rPr>
        <w:t>has</w:t>
      </w:r>
      <w:r w:rsidR="00076B1A" w:rsidRPr="00C867B4">
        <w:rPr>
          <w:rFonts w:ascii="Garamond" w:eastAsia="Calibri" w:hAnsi="Garamond" w:cs="Times New Roman"/>
          <w:bCs/>
          <w:sz w:val="24"/>
          <w:szCs w:val="24"/>
        </w:rPr>
        <w:t xml:space="preserve"> met the minimum required </w:t>
      </w:r>
      <w:r w:rsidR="00274B67" w:rsidRPr="00C867B4">
        <w:rPr>
          <w:rFonts w:ascii="Garamond" w:eastAsia="Calibri" w:hAnsi="Garamond" w:cs="Times New Roman"/>
          <w:bCs/>
          <w:sz w:val="24"/>
          <w:szCs w:val="24"/>
        </w:rPr>
        <w:t>c</w:t>
      </w:r>
      <w:r w:rsidR="00590AE4" w:rsidRPr="00C867B4">
        <w:rPr>
          <w:rFonts w:ascii="Garamond" w:eastAsia="Calibri" w:hAnsi="Garamond" w:cs="Times New Roman"/>
          <w:bCs/>
          <w:sz w:val="24"/>
          <w:szCs w:val="24"/>
        </w:rPr>
        <w:t xml:space="preserve">ommunity </w:t>
      </w:r>
      <w:r w:rsidR="00076B1A" w:rsidRPr="00C867B4">
        <w:rPr>
          <w:rFonts w:ascii="Garamond" w:eastAsia="Calibri" w:hAnsi="Garamond" w:cs="Times New Roman"/>
          <w:bCs/>
          <w:sz w:val="24"/>
          <w:szCs w:val="24"/>
        </w:rPr>
        <w:t xml:space="preserve">engagement standard of </w:t>
      </w:r>
      <w:r w:rsidR="00076B1A" w:rsidRPr="00C867B4">
        <w:rPr>
          <w:rFonts w:ascii="Garamond" w:eastAsia="Calibri" w:hAnsi="Garamond" w:cs="Times New Roman"/>
          <w:bCs/>
          <w:i/>
          <w:sz w:val="24"/>
          <w:szCs w:val="24"/>
        </w:rPr>
        <w:t>Consult</w:t>
      </w:r>
      <w:r w:rsidR="00076B1A" w:rsidRPr="00C867B4">
        <w:rPr>
          <w:rFonts w:ascii="Garamond" w:eastAsia="Calibri" w:hAnsi="Garamond" w:cs="Times New Roman"/>
          <w:bCs/>
          <w:sz w:val="24"/>
          <w:szCs w:val="24"/>
        </w:rPr>
        <w:t xml:space="preserve"> in the plannin</w:t>
      </w:r>
      <w:r w:rsidR="00DB0729" w:rsidRPr="00C867B4">
        <w:rPr>
          <w:rFonts w:ascii="Garamond" w:eastAsia="Calibri" w:hAnsi="Garamond" w:cs="Times New Roman"/>
          <w:bCs/>
          <w:sz w:val="24"/>
          <w:szCs w:val="24"/>
        </w:rPr>
        <w:t xml:space="preserve">g phase of the </w:t>
      </w:r>
      <w:r w:rsidR="00B66506">
        <w:rPr>
          <w:rFonts w:ascii="Garamond" w:eastAsia="Calibri" w:hAnsi="Garamond" w:cs="Times New Roman"/>
          <w:bCs/>
          <w:sz w:val="24"/>
          <w:szCs w:val="24"/>
        </w:rPr>
        <w:t>P</w:t>
      </w:r>
      <w:r w:rsidR="00501213">
        <w:rPr>
          <w:rFonts w:ascii="Garamond" w:eastAsia="Calibri" w:hAnsi="Garamond" w:cs="Times New Roman"/>
          <w:bCs/>
          <w:sz w:val="24"/>
          <w:szCs w:val="24"/>
        </w:rPr>
        <w:t xml:space="preserve">roposed </w:t>
      </w:r>
      <w:r w:rsidR="00B66506">
        <w:rPr>
          <w:rFonts w:ascii="Garamond" w:eastAsia="Calibri" w:hAnsi="Garamond" w:cs="Times New Roman"/>
          <w:bCs/>
          <w:sz w:val="24"/>
          <w:szCs w:val="24"/>
        </w:rPr>
        <w:t>P</w:t>
      </w:r>
      <w:r w:rsidR="00501213">
        <w:rPr>
          <w:rFonts w:ascii="Garamond" w:eastAsia="Calibri" w:hAnsi="Garamond" w:cs="Times New Roman"/>
          <w:bCs/>
          <w:sz w:val="24"/>
          <w:szCs w:val="24"/>
        </w:rPr>
        <w:t>roject</w:t>
      </w:r>
      <w:r w:rsidR="00B47AC4" w:rsidRPr="00C867B4">
        <w:rPr>
          <w:rFonts w:ascii="Garamond" w:eastAsia="Calibri" w:hAnsi="Garamond" w:cs="Times New Roman"/>
          <w:bCs/>
          <w:sz w:val="24"/>
          <w:szCs w:val="24"/>
        </w:rPr>
        <w:t xml:space="preserve">. </w:t>
      </w:r>
    </w:p>
    <w:p w14:paraId="66BB40F0" w14:textId="77777777" w:rsidR="00E40FAA" w:rsidRPr="00C867B4" w:rsidRDefault="00E40FAA" w:rsidP="00EA38CA">
      <w:pPr>
        <w:pStyle w:val="Heading1"/>
        <w:spacing w:line="240" w:lineRule="auto"/>
        <w:rPr>
          <w:rFonts w:ascii="Garamond" w:hAnsi="Garamond"/>
        </w:rPr>
      </w:pPr>
      <w:bookmarkStart w:id="182" w:name="_Toc18922417"/>
      <w:bookmarkStart w:id="183" w:name="_Toc29755684"/>
      <w:bookmarkStart w:id="184" w:name="_Toc58960218"/>
      <w:bookmarkStart w:id="185" w:name="_Toc17322399"/>
      <w:r w:rsidRPr="00C867B4">
        <w:rPr>
          <w:rFonts w:ascii="Garamond" w:hAnsi="Garamond"/>
        </w:rPr>
        <w:t xml:space="preserve">Factor 1: f) Competition on price, </w:t>
      </w:r>
      <w:r w:rsidR="00371842" w:rsidRPr="00C867B4">
        <w:rPr>
          <w:rFonts w:ascii="Garamond" w:hAnsi="Garamond"/>
        </w:rPr>
        <w:t>total medical expenses (TME)</w:t>
      </w:r>
      <w:r w:rsidRPr="00C867B4">
        <w:rPr>
          <w:rFonts w:ascii="Garamond" w:hAnsi="Garamond"/>
        </w:rPr>
        <w:t>, costs and other measures of health care spending</w:t>
      </w:r>
      <w:bookmarkEnd w:id="182"/>
      <w:bookmarkEnd w:id="183"/>
      <w:bookmarkEnd w:id="184"/>
    </w:p>
    <w:p w14:paraId="6DC68655" w14:textId="341BF438" w:rsidR="003C01FF" w:rsidRDefault="00AC5FF7" w:rsidP="00EA38CA">
      <w:pPr>
        <w:spacing w:after="0" w:line="240" w:lineRule="auto"/>
        <w:contextualSpacing/>
        <w:rPr>
          <w:rFonts w:ascii="Garamond" w:hAnsi="Garamond" w:cs="Arial"/>
          <w:sz w:val="24"/>
          <w:szCs w:val="24"/>
        </w:rPr>
      </w:pPr>
      <w:r w:rsidRPr="00C867B4">
        <w:rPr>
          <w:rFonts w:ascii="Garamond" w:hAnsi="Garamond" w:cs="Arial"/>
          <w:sz w:val="24"/>
          <w:szCs w:val="24"/>
        </w:rPr>
        <w:t xml:space="preserve">The Applicant asserts that through the </w:t>
      </w:r>
      <w:r w:rsidR="00ED36B6">
        <w:rPr>
          <w:rFonts w:ascii="Garamond" w:hAnsi="Garamond" w:cs="Arial"/>
          <w:sz w:val="24"/>
          <w:szCs w:val="24"/>
        </w:rPr>
        <w:t xml:space="preserve">Proposed </w:t>
      </w:r>
      <w:r w:rsidRPr="00C867B4">
        <w:rPr>
          <w:rFonts w:ascii="Garamond" w:hAnsi="Garamond" w:cs="Arial"/>
          <w:sz w:val="24"/>
          <w:szCs w:val="24"/>
        </w:rPr>
        <w:t xml:space="preserve">Project, it will continue to compete based on price, TME, costs and other measures of health care spending through </w:t>
      </w:r>
      <w:r w:rsidR="00557B40" w:rsidRPr="00C867B4">
        <w:rPr>
          <w:rFonts w:ascii="Garamond" w:hAnsi="Garamond" w:cs="Arial"/>
          <w:sz w:val="24"/>
          <w:szCs w:val="24"/>
        </w:rPr>
        <w:t>providing a lower-cost alternative for patients</w:t>
      </w:r>
      <w:r w:rsidR="00E15B3F">
        <w:rPr>
          <w:rFonts w:ascii="Garamond" w:hAnsi="Garamond" w:cs="Arial"/>
          <w:sz w:val="24"/>
          <w:szCs w:val="24"/>
        </w:rPr>
        <w:t>’</w:t>
      </w:r>
      <w:r w:rsidR="00557B40" w:rsidRPr="00C867B4">
        <w:rPr>
          <w:rFonts w:ascii="Garamond" w:hAnsi="Garamond" w:cs="Arial"/>
          <w:sz w:val="24"/>
          <w:szCs w:val="24"/>
        </w:rPr>
        <w:t xml:space="preserve"> outpatient surger</w:t>
      </w:r>
      <w:r w:rsidR="00E15B3F">
        <w:rPr>
          <w:rFonts w:ascii="Garamond" w:hAnsi="Garamond" w:cs="Arial"/>
          <w:sz w:val="24"/>
          <w:szCs w:val="24"/>
        </w:rPr>
        <w:t>y needs</w:t>
      </w:r>
      <w:r w:rsidR="00D57D22" w:rsidRPr="00C867B4">
        <w:rPr>
          <w:rFonts w:ascii="Garamond" w:hAnsi="Garamond" w:cs="Arial"/>
          <w:sz w:val="24"/>
          <w:szCs w:val="24"/>
        </w:rPr>
        <w:t xml:space="preserve">. </w:t>
      </w:r>
    </w:p>
    <w:p w14:paraId="73D26B2A" w14:textId="77777777" w:rsidR="00012736" w:rsidRDefault="00012736" w:rsidP="00012736">
      <w:pPr>
        <w:spacing w:after="0" w:line="240" w:lineRule="auto"/>
        <w:rPr>
          <w:rFonts w:ascii="Garamond" w:hAnsi="Garamond" w:cs="Arial"/>
          <w:sz w:val="24"/>
          <w:szCs w:val="24"/>
        </w:rPr>
      </w:pPr>
    </w:p>
    <w:p w14:paraId="7FC7480B" w14:textId="31F6D141" w:rsidR="003E4A6B" w:rsidRDefault="00B0702C" w:rsidP="00945031">
      <w:pPr>
        <w:spacing w:after="0" w:line="240" w:lineRule="auto"/>
        <w:rPr>
          <w:rFonts w:ascii="Garamond" w:eastAsia="Calibri" w:hAnsi="Garamond" w:cs="Arial"/>
          <w:sz w:val="24"/>
          <w:szCs w:val="24"/>
        </w:rPr>
      </w:pPr>
      <w:r>
        <w:rPr>
          <w:rFonts w:ascii="Garamond" w:hAnsi="Garamond" w:cs="Arial"/>
          <w:sz w:val="24"/>
          <w:szCs w:val="24"/>
        </w:rPr>
        <w:t>The Applicant assert</w:t>
      </w:r>
      <w:r w:rsidR="00950AD9">
        <w:rPr>
          <w:rFonts w:ascii="Garamond" w:hAnsi="Garamond" w:cs="Arial"/>
          <w:sz w:val="24"/>
          <w:szCs w:val="24"/>
        </w:rPr>
        <w:t>s</w:t>
      </w:r>
      <w:r>
        <w:rPr>
          <w:rFonts w:ascii="Garamond" w:hAnsi="Garamond" w:cs="Arial"/>
          <w:sz w:val="24"/>
          <w:szCs w:val="24"/>
        </w:rPr>
        <w:t xml:space="preserve"> i</w:t>
      </w:r>
      <w:r w:rsidR="00557B40" w:rsidRPr="00012736">
        <w:rPr>
          <w:rFonts w:ascii="Garamond" w:hAnsi="Garamond" w:cs="Arial"/>
          <w:sz w:val="24"/>
          <w:szCs w:val="24"/>
        </w:rPr>
        <w:t>mproving</w:t>
      </w:r>
      <w:r w:rsidR="00D57D22" w:rsidRPr="00012736">
        <w:rPr>
          <w:rFonts w:ascii="Garamond" w:hAnsi="Garamond" w:cs="Arial"/>
          <w:sz w:val="24"/>
          <w:szCs w:val="24"/>
        </w:rPr>
        <w:t xml:space="preserve"> access to outpatient surgery in </w:t>
      </w:r>
      <w:r w:rsidR="00B26E96" w:rsidRPr="00012736">
        <w:rPr>
          <w:rFonts w:ascii="Garamond" w:hAnsi="Garamond" w:cs="Arial"/>
          <w:sz w:val="24"/>
          <w:szCs w:val="24"/>
        </w:rPr>
        <w:t xml:space="preserve">the ASC setting, where </w:t>
      </w:r>
      <w:r w:rsidR="00557B40" w:rsidRPr="00012736">
        <w:rPr>
          <w:rFonts w:ascii="Garamond" w:hAnsi="Garamond" w:cs="Arial"/>
          <w:sz w:val="24"/>
          <w:szCs w:val="24"/>
        </w:rPr>
        <w:t xml:space="preserve">the surgeries </w:t>
      </w:r>
      <w:r w:rsidR="00F40A53">
        <w:rPr>
          <w:rFonts w:ascii="Garamond" w:hAnsi="Garamond" w:cs="Arial"/>
          <w:sz w:val="24"/>
          <w:szCs w:val="24"/>
        </w:rPr>
        <w:t xml:space="preserve">are </w:t>
      </w:r>
      <w:r w:rsidR="00557B40" w:rsidRPr="00012736">
        <w:rPr>
          <w:rFonts w:ascii="Garamond" w:hAnsi="Garamond" w:cs="Arial"/>
          <w:sz w:val="24"/>
          <w:szCs w:val="24"/>
        </w:rPr>
        <w:t xml:space="preserve">performed </w:t>
      </w:r>
      <w:r w:rsidR="00F40A53">
        <w:rPr>
          <w:rFonts w:ascii="Garamond" w:hAnsi="Garamond" w:cs="Arial"/>
          <w:sz w:val="24"/>
          <w:szCs w:val="24"/>
        </w:rPr>
        <w:t>with greater</w:t>
      </w:r>
      <w:r w:rsidR="00D57D22" w:rsidRPr="00012736">
        <w:rPr>
          <w:rFonts w:ascii="Garamond" w:hAnsi="Garamond" w:cs="Arial"/>
          <w:sz w:val="24"/>
          <w:szCs w:val="24"/>
        </w:rPr>
        <w:t xml:space="preserve"> eff</w:t>
      </w:r>
      <w:r w:rsidR="00557B40" w:rsidRPr="00012736">
        <w:rPr>
          <w:rFonts w:ascii="Garamond" w:hAnsi="Garamond" w:cs="Arial"/>
          <w:sz w:val="24"/>
          <w:szCs w:val="24"/>
        </w:rPr>
        <w:t>icien</w:t>
      </w:r>
      <w:r w:rsidR="00F40A53">
        <w:rPr>
          <w:rFonts w:ascii="Garamond" w:hAnsi="Garamond" w:cs="Arial"/>
          <w:sz w:val="24"/>
          <w:szCs w:val="24"/>
        </w:rPr>
        <w:t>cy</w:t>
      </w:r>
      <w:r w:rsidR="00976463">
        <w:rPr>
          <w:rFonts w:ascii="Garamond" w:hAnsi="Garamond" w:cs="Arial"/>
          <w:sz w:val="24"/>
          <w:szCs w:val="24"/>
        </w:rPr>
        <w:t xml:space="preserve"> </w:t>
      </w:r>
      <w:r w:rsidR="00557B40" w:rsidRPr="00012736">
        <w:rPr>
          <w:rFonts w:ascii="Garamond" w:hAnsi="Garamond" w:cs="Arial"/>
          <w:sz w:val="24"/>
          <w:szCs w:val="24"/>
        </w:rPr>
        <w:t>and less expense</w:t>
      </w:r>
      <w:r>
        <w:rPr>
          <w:rFonts w:ascii="Garamond" w:hAnsi="Garamond" w:cs="Arial"/>
          <w:sz w:val="24"/>
          <w:szCs w:val="24"/>
        </w:rPr>
        <w:t xml:space="preserve"> than</w:t>
      </w:r>
      <w:r w:rsidR="00F40A53">
        <w:rPr>
          <w:rFonts w:ascii="Garamond" w:hAnsi="Garamond" w:cs="Arial"/>
          <w:sz w:val="24"/>
          <w:szCs w:val="24"/>
        </w:rPr>
        <w:t xml:space="preserve"> those done in</w:t>
      </w:r>
      <w:r>
        <w:rPr>
          <w:rFonts w:ascii="Garamond" w:hAnsi="Garamond" w:cs="Arial"/>
          <w:sz w:val="24"/>
          <w:szCs w:val="24"/>
        </w:rPr>
        <w:t xml:space="preserve"> HOPD</w:t>
      </w:r>
      <w:r w:rsidR="00976463">
        <w:rPr>
          <w:rFonts w:ascii="Garamond" w:hAnsi="Garamond" w:cs="Arial"/>
          <w:sz w:val="24"/>
          <w:szCs w:val="24"/>
        </w:rPr>
        <w:t xml:space="preserve">s </w:t>
      </w:r>
      <w:r>
        <w:rPr>
          <w:rFonts w:ascii="Garamond" w:hAnsi="Garamond" w:cs="Arial"/>
          <w:sz w:val="24"/>
          <w:szCs w:val="24"/>
        </w:rPr>
        <w:t>is unlikely to</w:t>
      </w:r>
      <w:r w:rsidR="00AC5FF7" w:rsidRPr="00012736">
        <w:rPr>
          <w:rFonts w:ascii="Garamond" w:hAnsi="Garamond" w:cs="Arial"/>
          <w:sz w:val="24"/>
          <w:szCs w:val="24"/>
        </w:rPr>
        <w:t xml:space="preserve"> impac</w:t>
      </w:r>
      <w:r w:rsidR="00557B40" w:rsidRPr="00012736">
        <w:rPr>
          <w:rFonts w:ascii="Garamond" w:hAnsi="Garamond" w:cs="Arial"/>
          <w:sz w:val="24"/>
          <w:szCs w:val="24"/>
        </w:rPr>
        <w:t>t TME or the cost of services.</w:t>
      </w:r>
      <w:r w:rsidR="00505BF6" w:rsidRPr="00012736">
        <w:rPr>
          <w:rFonts w:ascii="Garamond" w:hAnsi="Garamond" w:cs="Arial"/>
          <w:sz w:val="24"/>
          <w:szCs w:val="24"/>
        </w:rPr>
        <w:t xml:space="preserve"> </w:t>
      </w:r>
      <w:r>
        <w:rPr>
          <w:rFonts w:ascii="Garamond" w:hAnsi="Garamond" w:cs="Arial"/>
          <w:sz w:val="24"/>
          <w:szCs w:val="24"/>
        </w:rPr>
        <w:t xml:space="preserve">ASCs are a lower cost </w:t>
      </w:r>
      <w:r w:rsidR="00E15B3F">
        <w:rPr>
          <w:rFonts w:ascii="Garamond" w:hAnsi="Garamond" w:cs="Arial"/>
          <w:sz w:val="24"/>
          <w:szCs w:val="24"/>
        </w:rPr>
        <w:t>option for these procedures f</w:t>
      </w:r>
      <w:r w:rsidR="00162BB4" w:rsidRPr="00012736">
        <w:rPr>
          <w:rFonts w:ascii="Garamond" w:hAnsi="Garamond" w:cs="Arial"/>
          <w:sz w:val="24"/>
          <w:szCs w:val="24"/>
        </w:rPr>
        <w:t>o</w:t>
      </w:r>
      <w:r w:rsidR="00E15B3F">
        <w:rPr>
          <w:rFonts w:ascii="Garamond" w:hAnsi="Garamond" w:cs="Arial"/>
          <w:sz w:val="24"/>
          <w:szCs w:val="24"/>
        </w:rPr>
        <w:t>r</w:t>
      </w:r>
      <w:r w:rsidR="00162BB4" w:rsidRPr="00012736">
        <w:rPr>
          <w:rFonts w:ascii="Garamond" w:hAnsi="Garamond" w:cs="Arial"/>
          <w:sz w:val="24"/>
          <w:szCs w:val="24"/>
        </w:rPr>
        <w:t xml:space="preserve"> </w:t>
      </w:r>
      <w:r w:rsidR="00F40A53">
        <w:rPr>
          <w:rFonts w:ascii="Garamond" w:hAnsi="Garamond" w:cs="Arial"/>
          <w:sz w:val="24"/>
          <w:szCs w:val="24"/>
        </w:rPr>
        <w:t xml:space="preserve">both </w:t>
      </w:r>
      <w:r w:rsidR="00162BB4" w:rsidRPr="00012736">
        <w:rPr>
          <w:rFonts w:ascii="Garamond" w:hAnsi="Garamond" w:cs="Arial"/>
          <w:sz w:val="24"/>
          <w:szCs w:val="24"/>
        </w:rPr>
        <w:t xml:space="preserve">payers and patients </w:t>
      </w:r>
      <w:r w:rsidR="00E15B3F">
        <w:rPr>
          <w:rFonts w:ascii="Garamond" w:hAnsi="Garamond" w:cs="Arial"/>
          <w:sz w:val="24"/>
          <w:szCs w:val="24"/>
        </w:rPr>
        <w:t>as</w:t>
      </w:r>
      <w:r w:rsidR="00B57AC5">
        <w:rPr>
          <w:rFonts w:ascii="Garamond" w:hAnsi="Garamond" w:cs="Arial"/>
          <w:sz w:val="24"/>
          <w:szCs w:val="24"/>
        </w:rPr>
        <w:t xml:space="preserve"> </w:t>
      </w:r>
      <w:r w:rsidR="00162BB4" w:rsidRPr="00012736">
        <w:rPr>
          <w:rFonts w:ascii="Garamond" w:hAnsi="Garamond" w:cs="Arial"/>
          <w:sz w:val="24"/>
          <w:szCs w:val="24"/>
        </w:rPr>
        <w:t xml:space="preserve">compared to HOPDs. </w:t>
      </w:r>
      <w:r w:rsidR="007D1E35">
        <w:rPr>
          <w:rFonts w:ascii="Garamond" w:hAnsi="Garamond" w:cs="Arial"/>
          <w:sz w:val="24"/>
          <w:szCs w:val="24"/>
        </w:rPr>
        <w:t>The</w:t>
      </w:r>
      <w:r w:rsidR="007C5F82" w:rsidRPr="00012736">
        <w:rPr>
          <w:rFonts w:ascii="Garamond" w:hAnsi="Garamond" w:cs="Arial"/>
          <w:sz w:val="24"/>
          <w:szCs w:val="24"/>
        </w:rPr>
        <w:t xml:space="preserve"> benefits of </w:t>
      </w:r>
      <w:r>
        <w:rPr>
          <w:rFonts w:ascii="Garamond" w:hAnsi="Garamond" w:cs="Arial"/>
          <w:sz w:val="24"/>
          <w:szCs w:val="24"/>
        </w:rPr>
        <w:t xml:space="preserve">expanding capacity to have these </w:t>
      </w:r>
      <w:r w:rsidR="007C5F82" w:rsidRPr="00012736">
        <w:rPr>
          <w:rFonts w:ascii="Garamond" w:hAnsi="Garamond" w:cs="Arial"/>
          <w:sz w:val="24"/>
          <w:szCs w:val="24"/>
        </w:rPr>
        <w:t xml:space="preserve">surgeries </w:t>
      </w:r>
      <w:r>
        <w:rPr>
          <w:rFonts w:ascii="Garamond" w:hAnsi="Garamond" w:cs="Arial"/>
          <w:sz w:val="24"/>
          <w:szCs w:val="24"/>
        </w:rPr>
        <w:t xml:space="preserve">take place at </w:t>
      </w:r>
      <w:r w:rsidR="00A7723C">
        <w:rPr>
          <w:rFonts w:ascii="Garamond" w:hAnsi="Garamond" w:cs="Arial"/>
          <w:sz w:val="24"/>
          <w:szCs w:val="24"/>
        </w:rPr>
        <w:t>NESC</w:t>
      </w:r>
      <w:r>
        <w:rPr>
          <w:rFonts w:ascii="Garamond" w:hAnsi="Garamond" w:cs="Arial"/>
          <w:sz w:val="24"/>
          <w:szCs w:val="24"/>
        </w:rPr>
        <w:t xml:space="preserve"> instead of</w:t>
      </w:r>
      <w:r w:rsidR="007C5F82" w:rsidRPr="00012736">
        <w:rPr>
          <w:rFonts w:ascii="Garamond" w:hAnsi="Garamond" w:cs="Arial"/>
          <w:sz w:val="24"/>
          <w:szCs w:val="24"/>
        </w:rPr>
        <w:t xml:space="preserve"> </w:t>
      </w:r>
      <w:r>
        <w:rPr>
          <w:rFonts w:ascii="Garamond" w:hAnsi="Garamond" w:cs="Arial"/>
          <w:sz w:val="24"/>
          <w:szCs w:val="24"/>
        </w:rPr>
        <w:t>a</w:t>
      </w:r>
      <w:r w:rsidR="007C5F82" w:rsidRPr="00012736">
        <w:rPr>
          <w:rFonts w:ascii="Garamond" w:hAnsi="Garamond" w:cs="Arial"/>
          <w:sz w:val="24"/>
          <w:szCs w:val="24"/>
        </w:rPr>
        <w:t xml:space="preserve"> HOPD </w:t>
      </w:r>
      <w:r w:rsidR="00AC5FF7" w:rsidRPr="00012736">
        <w:rPr>
          <w:rFonts w:ascii="Garamond" w:eastAsia="Calibri" w:hAnsi="Garamond" w:cs="Arial"/>
          <w:sz w:val="24"/>
          <w:szCs w:val="24"/>
        </w:rPr>
        <w:t xml:space="preserve">can </w:t>
      </w:r>
      <w:r w:rsidR="00F40A53" w:rsidRPr="00012736">
        <w:rPr>
          <w:rFonts w:ascii="Garamond" w:eastAsia="Calibri" w:hAnsi="Garamond" w:cs="Arial"/>
          <w:sz w:val="24"/>
          <w:szCs w:val="24"/>
        </w:rPr>
        <w:t xml:space="preserve">lead to a reduction in TME </w:t>
      </w:r>
      <w:r w:rsidR="00F40A53">
        <w:rPr>
          <w:rFonts w:ascii="Garamond" w:eastAsia="Calibri" w:hAnsi="Garamond" w:cs="Arial"/>
          <w:sz w:val="24"/>
          <w:szCs w:val="24"/>
        </w:rPr>
        <w:t xml:space="preserve">as a </w:t>
      </w:r>
      <w:r w:rsidR="00AC5FF7" w:rsidRPr="00012736">
        <w:rPr>
          <w:rFonts w:ascii="Garamond" w:eastAsia="Calibri" w:hAnsi="Garamond" w:cs="Arial"/>
          <w:sz w:val="24"/>
          <w:szCs w:val="24"/>
        </w:rPr>
        <w:t xml:space="preserve">result </w:t>
      </w:r>
      <w:r w:rsidR="00F40A53">
        <w:rPr>
          <w:rFonts w:ascii="Garamond" w:eastAsia="Calibri" w:hAnsi="Garamond" w:cs="Arial"/>
          <w:sz w:val="24"/>
          <w:szCs w:val="24"/>
        </w:rPr>
        <w:t>of</w:t>
      </w:r>
      <w:r w:rsidR="00F40A53" w:rsidRPr="00012736">
        <w:rPr>
          <w:rFonts w:ascii="Garamond" w:eastAsia="Calibri" w:hAnsi="Garamond" w:cs="Arial"/>
          <w:sz w:val="24"/>
          <w:szCs w:val="24"/>
        </w:rPr>
        <w:t xml:space="preserve"> </w:t>
      </w:r>
      <w:r w:rsidR="00AC5FF7" w:rsidRPr="00012736">
        <w:rPr>
          <w:rFonts w:ascii="Garamond" w:eastAsia="Calibri" w:hAnsi="Garamond" w:cs="Arial"/>
          <w:sz w:val="24"/>
          <w:szCs w:val="24"/>
        </w:rPr>
        <w:t>lower provider and payer costs and lower out of pocket expenses for patients</w:t>
      </w:r>
      <w:r w:rsidR="00F40A53">
        <w:rPr>
          <w:rFonts w:ascii="Garamond" w:eastAsia="Calibri" w:hAnsi="Garamond" w:cs="Arial"/>
          <w:sz w:val="24"/>
          <w:szCs w:val="24"/>
        </w:rPr>
        <w:t>.</w:t>
      </w:r>
      <w:r w:rsidR="00AC5FF7" w:rsidRPr="00012736">
        <w:rPr>
          <w:rFonts w:ascii="Garamond" w:eastAsia="Calibri" w:hAnsi="Garamond" w:cs="Arial"/>
          <w:sz w:val="24"/>
          <w:szCs w:val="24"/>
        </w:rPr>
        <w:t xml:space="preserve"> </w:t>
      </w:r>
      <w:r w:rsidR="007D1E35">
        <w:rPr>
          <w:rFonts w:ascii="Garamond" w:eastAsia="Calibri" w:hAnsi="Garamond" w:cs="Arial"/>
          <w:sz w:val="24"/>
          <w:szCs w:val="24"/>
        </w:rPr>
        <w:t>Reports</w:t>
      </w:r>
      <w:r w:rsidR="00FF4AC0" w:rsidRPr="00012736">
        <w:rPr>
          <w:rFonts w:ascii="Garamond" w:eastAsia="Calibri" w:hAnsi="Garamond" w:cs="Arial"/>
          <w:sz w:val="24"/>
          <w:szCs w:val="24"/>
        </w:rPr>
        <w:t xml:space="preserve"> show </w:t>
      </w:r>
      <w:r w:rsidR="00A87788" w:rsidRPr="00012736">
        <w:rPr>
          <w:rFonts w:ascii="Garamond" w:eastAsia="Calibri" w:hAnsi="Garamond" w:cs="Arial"/>
          <w:sz w:val="24"/>
          <w:szCs w:val="24"/>
        </w:rPr>
        <w:t xml:space="preserve">Medicare procedures performed in the ASC setting </w:t>
      </w:r>
      <w:r w:rsidR="005F6B6F">
        <w:rPr>
          <w:rFonts w:ascii="Garamond" w:eastAsia="Calibri" w:hAnsi="Garamond" w:cs="Arial"/>
          <w:sz w:val="24"/>
          <w:szCs w:val="24"/>
        </w:rPr>
        <w:t>can be</w:t>
      </w:r>
      <w:r w:rsidR="00246DC8" w:rsidRPr="00012736">
        <w:rPr>
          <w:rFonts w:ascii="Garamond" w:eastAsia="Calibri" w:hAnsi="Garamond" w:cs="Arial"/>
          <w:sz w:val="24"/>
          <w:szCs w:val="24"/>
        </w:rPr>
        <w:t xml:space="preserve"> less</w:t>
      </w:r>
      <w:r w:rsidR="00F35B24" w:rsidRPr="00012736">
        <w:rPr>
          <w:rFonts w:ascii="Garamond" w:eastAsia="Calibri" w:hAnsi="Garamond" w:cs="Arial"/>
          <w:sz w:val="24"/>
          <w:szCs w:val="24"/>
        </w:rPr>
        <w:t xml:space="preserve"> expensive than </w:t>
      </w:r>
      <w:r w:rsidR="00E15B3F">
        <w:rPr>
          <w:rFonts w:ascii="Garamond" w:eastAsia="Calibri" w:hAnsi="Garamond" w:cs="Arial"/>
          <w:sz w:val="24"/>
          <w:szCs w:val="24"/>
        </w:rPr>
        <w:t>those</w:t>
      </w:r>
      <w:r w:rsidR="00F35B24" w:rsidRPr="00012736">
        <w:rPr>
          <w:rFonts w:ascii="Garamond" w:eastAsia="Calibri" w:hAnsi="Garamond" w:cs="Arial"/>
          <w:sz w:val="24"/>
          <w:szCs w:val="24"/>
        </w:rPr>
        <w:t xml:space="preserve"> performed in the hospital</w:t>
      </w:r>
      <w:r w:rsidR="00331B3F" w:rsidRPr="004C412C">
        <w:rPr>
          <w:rFonts w:ascii="Garamond" w:eastAsia="Calibri" w:hAnsi="Garamond" w:cs="Arial"/>
          <w:sz w:val="24"/>
          <w:szCs w:val="24"/>
        </w:rPr>
        <w:t>.</w:t>
      </w:r>
      <w:r w:rsidR="00F3030E" w:rsidRPr="004C412C">
        <w:rPr>
          <w:rStyle w:val="EndnoteReference"/>
          <w:rFonts w:ascii="Garamond" w:eastAsia="Calibri" w:hAnsi="Garamond" w:cs="Arial"/>
          <w:sz w:val="24"/>
          <w:szCs w:val="24"/>
        </w:rPr>
        <w:endnoteReference w:id="37"/>
      </w:r>
      <w:r w:rsidR="004C257E" w:rsidRPr="004C412C">
        <w:rPr>
          <w:rFonts w:ascii="Garamond" w:eastAsia="Calibri" w:hAnsi="Garamond" w:cs="Arial"/>
          <w:sz w:val="24"/>
          <w:szCs w:val="24"/>
          <w:vertAlign w:val="superscript"/>
        </w:rPr>
        <w:t>,</w:t>
      </w:r>
      <w:r w:rsidR="00331B3F" w:rsidRPr="004C412C">
        <w:rPr>
          <w:rStyle w:val="EndnoteReference"/>
          <w:rFonts w:ascii="Garamond" w:eastAsia="Calibri" w:hAnsi="Garamond" w:cs="Arial"/>
          <w:sz w:val="24"/>
          <w:szCs w:val="24"/>
        </w:rPr>
        <w:endnoteReference w:id="38"/>
      </w:r>
      <w:r w:rsidR="004C257E" w:rsidRPr="004C412C">
        <w:rPr>
          <w:rFonts w:ascii="Garamond" w:eastAsia="Calibri" w:hAnsi="Garamond" w:cs="Arial"/>
          <w:sz w:val="24"/>
          <w:szCs w:val="24"/>
          <w:vertAlign w:val="superscript"/>
        </w:rPr>
        <w:t>,</w:t>
      </w:r>
      <w:r w:rsidR="004C257E" w:rsidRPr="004C412C">
        <w:rPr>
          <w:rStyle w:val="EndnoteReference"/>
          <w:rFonts w:ascii="Garamond" w:eastAsia="Calibri" w:hAnsi="Garamond" w:cs="Arial"/>
          <w:sz w:val="24"/>
          <w:szCs w:val="24"/>
        </w:rPr>
        <w:endnoteReference w:id="39"/>
      </w:r>
      <w:r w:rsidR="00A87788" w:rsidRPr="004C412C">
        <w:rPr>
          <w:rFonts w:ascii="Garamond" w:eastAsia="Calibri" w:hAnsi="Garamond" w:cs="Arial"/>
          <w:sz w:val="24"/>
          <w:szCs w:val="24"/>
          <w:vertAlign w:val="superscript"/>
        </w:rPr>
        <w:t xml:space="preserve"> </w:t>
      </w:r>
      <w:r w:rsidR="003E4A6B" w:rsidRPr="004C412C">
        <w:rPr>
          <w:rFonts w:ascii="Garamond" w:eastAsia="Calibri" w:hAnsi="Garamond" w:cs="Arial"/>
          <w:sz w:val="24"/>
          <w:szCs w:val="24"/>
          <w:vertAlign w:val="superscript"/>
        </w:rPr>
        <w:t xml:space="preserve"> </w:t>
      </w:r>
      <w:r w:rsidR="00543796" w:rsidRPr="004C412C">
        <w:rPr>
          <w:rFonts w:ascii="Garamond" w:eastAsia="Calibri" w:hAnsi="Garamond" w:cs="Arial"/>
          <w:sz w:val="24"/>
          <w:szCs w:val="24"/>
        </w:rPr>
        <w:t>The Centers for Medicare and Medicaid Services (CMS) launched the</w:t>
      </w:r>
      <w:r w:rsidR="00543796" w:rsidRPr="004C412C">
        <w:t xml:space="preserve"> </w:t>
      </w:r>
      <w:r w:rsidR="00543796" w:rsidRPr="004C412C">
        <w:rPr>
          <w:rFonts w:ascii="Garamond" w:eastAsia="Calibri" w:hAnsi="Garamond" w:cs="Arial"/>
          <w:sz w:val="24"/>
          <w:szCs w:val="24"/>
        </w:rPr>
        <w:t>Procedure Price Lookup</w:t>
      </w:r>
      <w:r w:rsidR="008E2320" w:rsidRPr="004C412C">
        <w:rPr>
          <w:rFonts w:ascii="Garamond" w:eastAsia="Calibri" w:hAnsi="Garamond" w:cs="Arial"/>
          <w:sz w:val="24"/>
          <w:szCs w:val="24"/>
        </w:rPr>
        <w:t xml:space="preserve"> (PPL)</w:t>
      </w:r>
      <w:r w:rsidR="00543796" w:rsidRPr="004C412C">
        <w:rPr>
          <w:rFonts w:ascii="Garamond" w:eastAsia="Calibri" w:hAnsi="Garamond" w:cs="Arial"/>
          <w:sz w:val="24"/>
          <w:szCs w:val="24"/>
        </w:rPr>
        <w:t xml:space="preserve"> tool in 2018 </w:t>
      </w:r>
      <w:r w:rsidR="00C56E81" w:rsidRPr="004C412C">
        <w:rPr>
          <w:rFonts w:ascii="Garamond" w:eastAsia="Calibri" w:hAnsi="Garamond" w:cs="Arial"/>
          <w:sz w:val="24"/>
          <w:szCs w:val="24"/>
        </w:rPr>
        <w:t xml:space="preserve">on Medicare.gov </w:t>
      </w:r>
      <w:r w:rsidR="00543796" w:rsidRPr="004C412C">
        <w:rPr>
          <w:rFonts w:ascii="Garamond" w:eastAsia="Calibri" w:hAnsi="Garamond" w:cs="Arial"/>
          <w:sz w:val="24"/>
          <w:szCs w:val="24"/>
        </w:rPr>
        <w:t xml:space="preserve">allowing patients to look up </w:t>
      </w:r>
      <w:r w:rsidR="00CB121C" w:rsidRPr="004C412C">
        <w:rPr>
          <w:rFonts w:ascii="Garamond" w:eastAsia="Calibri" w:hAnsi="Garamond" w:cs="Arial"/>
          <w:sz w:val="24"/>
          <w:szCs w:val="24"/>
        </w:rPr>
        <w:t xml:space="preserve">and compare </w:t>
      </w:r>
      <w:r w:rsidR="00E170EE" w:rsidRPr="004C412C">
        <w:rPr>
          <w:rFonts w:ascii="Garamond" w:eastAsia="Calibri" w:hAnsi="Garamond" w:cs="Arial"/>
          <w:sz w:val="24"/>
          <w:szCs w:val="24"/>
        </w:rPr>
        <w:t>estimated</w:t>
      </w:r>
      <w:r w:rsidR="00543796" w:rsidRPr="004C412C">
        <w:rPr>
          <w:rFonts w:ascii="Garamond" w:eastAsia="Calibri" w:hAnsi="Garamond" w:cs="Arial"/>
          <w:sz w:val="24"/>
          <w:szCs w:val="24"/>
        </w:rPr>
        <w:t xml:space="preserve"> cost differences between ASCs and HOPDs</w:t>
      </w:r>
      <w:r w:rsidR="005F7FB4" w:rsidRPr="004C412C">
        <w:rPr>
          <w:rFonts w:ascii="Garamond" w:eastAsia="Calibri" w:hAnsi="Garamond" w:cs="Arial"/>
          <w:sz w:val="24"/>
          <w:szCs w:val="24"/>
        </w:rPr>
        <w:t xml:space="preserve"> for certain outpatient procedures</w:t>
      </w:r>
      <w:r w:rsidR="00543796" w:rsidRPr="004C412C">
        <w:rPr>
          <w:rFonts w:ascii="Garamond" w:eastAsia="Calibri" w:hAnsi="Garamond" w:cs="Arial"/>
          <w:sz w:val="24"/>
          <w:szCs w:val="24"/>
        </w:rPr>
        <w:t>.</w:t>
      </w:r>
      <w:r w:rsidR="001F5DA0" w:rsidRPr="004C412C">
        <w:rPr>
          <w:rStyle w:val="FootnoteReference"/>
          <w:rFonts w:ascii="Garamond" w:hAnsi="Garamond"/>
          <w:sz w:val="24"/>
          <w:szCs w:val="24"/>
        </w:rPr>
        <w:footnoteReference w:id="28"/>
      </w:r>
      <w:r w:rsidR="00543796" w:rsidRPr="004C412C">
        <w:rPr>
          <w:rFonts w:ascii="Garamond" w:eastAsia="Calibri" w:hAnsi="Garamond" w:cs="Arial"/>
          <w:sz w:val="24"/>
          <w:szCs w:val="24"/>
        </w:rPr>
        <w:t xml:space="preserve"> </w:t>
      </w:r>
      <w:r w:rsidR="00945031" w:rsidRPr="004C412C">
        <w:rPr>
          <w:rFonts w:ascii="Garamond" w:eastAsia="Calibri" w:hAnsi="Garamond" w:cs="Arial"/>
          <w:sz w:val="24"/>
          <w:szCs w:val="24"/>
        </w:rPr>
        <w:t>The Applicant asserts the tool shows difference</w:t>
      </w:r>
      <w:r w:rsidR="00A70043" w:rsidRPr="004C412C">
        <w:rPr>
          <w:rFonts w:ascii="Garamond" w:eastAsia="Calibri" w:hAnsi="Garamond" w:cs="Arial"/>
          <w:sz w:val="24"/>
          <w:szCs w:val="24"/>
        </w:rPr>
        <w:t>s</w:t>
      </w:r>
      <w:r w:rsidR="00945031" w:rsidRPr="004C412C">
        <w:rPr>
          <w:rFonts w:ascii="Garamond" w:eastAsia="Calibri" w:hAnsi="Garamond" w:cs="Arial"/>
          <w:sz w:val="24"/>
          <w:szCs w:val="24"/>
        </w:rPr>
        <w:t xml:space="preserve"> in </w:t>
      </w:r>
      <w:r w:rsidR="003706DC" w:rsidRPr="004C412C">
        <w:rPr>
          <w:rFonts w:ascii="Garamond" w:eastAsia="Calibri" w:hAnsi="Garamond" w:cs="Arial"/>
          <w:sz w:val="24"/>
          <w:szCs w:val="24"/>
        </w:rPr>
        <w:t xml:space="preserve">Medicare </w:t>
      </w:r>
      <w:r w:rsidR="006278F6" w:rsidRPr="004C412C">
        <w:rPr>
          <w:rFonts w:ascii="Garamond" w:eastAsia="Calibri" w:hAnsi="Garamond" w:cs="Arial"/>
          <w:sz w:val="24"/>
          <w:szCs w:val="24"/>
        </w:rPr>
        <w:t>costs</w:t>
      </w:r>
      <w:r w:rsidR="003706DC" w:rsidRPr="004C412C">
        <w:rPr>
          <w:rFonts w:ascii="Garamond" w:eastAsia="Calibri" w:hAnsi="Garamond" w:cs="Arial"/>
          <w:sz w:val="24"/>
          <w:szCs w:val="24"/>
        </w:rPr>
        <w:t xml:space="preserve"> </w:t>
      </w:r>
      <w:r w:rsidR="00945031" w:rsidRPr="004C412C">
        <w:rPr>
          <w:rFonts w:ascii="Garamond" w:eastAsia="Calibri" w:hAnsi="Garamond" w:cs="Arial"/>
          <w:sz w:val="24"/>
          <w:szCs w:val="24"/>
        </w:rPr>
        <w:t>and copay</w:t>
      </w:r>
      <w:r w:rsidR="003706DC" w:rsidRPr="004C412C">
        <w:rPr>
          <w:rFonts w:ascii="Garamond" w:eastAsia="Calibri" w:hAnsi="Garamond" w:cs="Arial"/>
          <w:sz w:val="24"/>
          <w:szCs w:val="24"/>
        </w:rPr>
        <w:t>ments</w:t>
      </w:r>
      <w:r w:rsidR="00945031" w:rsidRPr="004C412C">
        <w:rPr>
          <w:rFonts w:ascii="Garamond" w:eastAsia="Calibri" w:hAnsi="Garamond" w:cs="Arial"/>
          <w:sz w:val="24"/>
          <w:szCs w:val="24"/>
        </w:rPr>
        <w:t xml:space="preserve"> </w:t>
      </w:r>
      <w:r w:rsidR="00F47F10" w:rsidRPr="004C412C">
        <w:rPr>
          <w:rFonts w:ascii="Garamond" w:eastAsia="Calibri" w:hAnsi="Garamond" w:cs="Arial"/>
          <w:sz w:val="24"/>
          <w:szCs w:val="24"/>
        </w:rPr>
        <w:t>in</w:t>
      </w:r>
      <w:r w:rsidR="00945031" w:rsidRPr="004C412C">
        <w:rPr>
          <w:rFonts w:ascii="Garamond" w:eastAsia="Calibri" w:hAnsi="Garamond" w:cs="Arial"/>
          <w:sz w:val="24"/>
          <w:szCs w:val="24"/>
        </w:rPr>
        <w:t xml:space="preserve"> ASCs and HOPDs. </w:t>
      </w:r>
      <w:r w:rsidR="00F47F10" w:rsidRPr="004C412C">
        <w:rPr>
          <w:rFonts w:ascii="Garamond" w:eastAsia="Calibri" w:hAnsi="Garamond" w:cs="Arial"/>
          <w:sz w:val="24"/>
          <w:szCs w:val="24"/>
        </w:rPr>
        <w:t>The</w:t>
      </w:r>
      <w:r w:rsidR="007167C3" w:rsidRPr="004C412C">
        <w:rPr>
          <w:rFonts w:ascii="Garamond" w:eastAsia="Calibri" w:hAnsi="Garamond" w:cs="Arial"/>
          <w:sz w:val="24"/>
          <w:szCs w:val="24"/>
        </w:rPr>
        <w:t xml:space="preserve"> Applicant provided </w:t>
      </w:r>
      <w:r w:rsidR="00945031" w:rsidRPr="004C412C">
        <w:rPr>
          <w:rFonts w:ascii="Garamond" w:eastAsia="Calibri" w:hAnsi="Garamond" w:cs="Arial"/>
          <w:sz w:val="24"/>
          <w:szCs w:val="24"/>
        </w:rPr>
        <w:t xml:space="preserve">Medicare </w:t>
      </w:r>
      <w:r w:rsidR="002E52EE" w:rsidRPr="004C412C">
        <w:rPr>
          <w:rFonts w:ascii="Garamond" w:eastAsia="Calibri" w:hAnsi="Garamond" w:cs="Arial"/>
          <w:sz w:val="24"/>
          <w:szCs w:val="24"/>
        </w:rPr>
        <w:t>payment</w:t>
      </w:r>
      <w:r w:rsidR="005B3806" w:rsidRPr="004C412C">
        <w:rPr>
          <w:rFonts w:ascii="Garamond" w:eastAsia="Calibri" w:hAnsi="Garamond" w:cs="Arial"/>
          <w:sz w:val="24"/>
          <w:szCs w:val="24"/>
        </w:rPr>
        <w:t xml:space="preserve">s </w:t>
      </w:r>
      <w:r w:rsidR="006278F6" w:rsidRPr="004C412C">
        <w:rPr>
          <w:rFonts w:ascii="Garamond" w:eastAsia="Calibri" w:hAnsi="Garamond" w:cs="Arial"/>
          <w:sz w:val="24"/>
          <w:szCs w:val="24"/>
        </w:rPr>
        <w:t xml:space="preserve">information </w:t>
      </w:r>
      <w:r w:rsidR="00F350FE" w:rsidRPr="004C412C">
        <w:rPr>
          <w:rFonts w:ascii="Garamond" w:eastAsia="Calibri" w:hAnsi="Garamond" w:cs="Arial"/>
          <w:sz w:val="24"/>
          <w:szCs w:val="24"/>
        </w:rPr>
        <w:t>for a sample of procedures</w:t>
      </w:r>
      <w:r w:rsidR="00945031" w:rsidRPr="004C412C">
        <w:rPr>
          <w:rFonts w:ascii="Garamond" w:eastAsia="Calibri" w:hAnsi="Garamond" w:cs="Arial"/>
          <w:sz w:val="24"/>
          <w:szCs w:val="24"/>
        </w:rPr>
        <w:t xml:space="preserve"> </w:t>
      </w:r>
      <w:r w:rsidR="00561FBE" w:rsidRPr="004C412C">
        <w:rPr>
          <w:rFonts w:ascii="Garamond" w:eastAsia="Calibri" w:hAnsi="Garamond" w:cs="Arial"/>
          <w:sz w:val="24"/>
          <w:szCs w:val="24"/>
        </w:rPr>
        <w:t xml:space="preserve">that are offered at the ASC </w:t>
      </w:r>
      <w:r w:rsidR="007167C3" w:rsidRPr="004C412C">
        <w:rPr>
          <w:rFonts w:ascii="Garamond" w:eastAsia="Calibri" w:hAnsi="Garamond" w:cs="Arial"/>
          <w:sz w:val="24"/>
          <w:szCs w:val="24"/>
        </w:rPr>
        <w:t xml:space="preserve">to demonstrate the </w:t>
      </w:r>
      <w:r w:rsidR="003E4A6B" w:rsidRPr="004C412C">
        <w:rPr>
          <w:rFonts w:ascii="Garamond" w:eastAsia="Calibri" w:hAnsi="Garamond" w:cs="Arial"/>
          <w:sz w:val="24"/>
          <w:szCs w:val="24"/>
        </w:rPr>
        <w:t>cost</w:t>
      </w:r>
      <w:r w:rsidR="00736B05" w:rsidRPr="004C412C">
        <w:rPr>
          <w:rFonts w:ascii="Garamond" w:eastAsia="Calibri" w:hAnsi="Garamond" w:cs="Arial"/>
          <w:sz w:val="24"/>
          <w:szCs w:val="24"/>
        </w:rPr>
        <w:t xml:space="preserve"> differential between ASCs and </w:t>
      </w:r>
      <w:r w:rsidR="00B0387A" w:rsidRPr="004C412C">
        <w:rPr>
          <w:rFonts w:ascii="Garamond" w:eastAsia="Calibri" w:hAnsi="Garamond" w:cs="Arial"/>
          <w:sz w:val="24"/>
          <w:szCs w:val="24"/>
        </w:rPr>
        <w:t>HOPDs</w:t>
      </w:r>
      <w:r w:rsidR="00B67967" w:rsidRPr="004C412C">
        <w:rPr>
          <w:rFonts w:ascii="Garamond" w:eastAsia="Calibri" w:hAnsi="Garamond" w:cs="Arial"/>
          <w:sz w:val="24"/>
          <w:szCs w:val="24"/>
        </w:rPr>
        <w:t>.</w:t>
      </w:r>
      <w:r w:rsidR="00945031" w:rsidRPr="004C412C">
        <w:rPr>
          <w:rFonts w:ascii="Garamond" w:eastAsia="Calibri" w:hAnsi="Garamond" w:cs="Arial"/>
          <w:sz w:val="24"/>
          <w:szCs w:val="24"/>
        </w:rPr>
        <w:t xml:space="preserve"> </w:t>
      </w:r>
      <w:r w:rsidR="00945031" w:rsidRPr="004C412C">
        <w:rPr>
          <w:rFonts w:ascii="Garamond" w:hAnsi="Garamond" w:cs="Arial"/>
          <w:sz w:val="24"/>
          <w:szCs w:val="24"/>
        </w:rPr>
        <w:t xml:space="preserve">In response to staff inquiry about estimated cost differences for complex procedures, the Applicant provided </w:t>
      </w:r>
      <w:r w:rsidR="006278F6" w:rsidRPr="004C412C">
        <w:rPr>
          <w:rFonts w:ascii="Garamond" w:hAnsi="Garamond" w:cs="Arial"/>
          <w:sz w:val="24"/>
          <w:szCs w:val="24"/>
        </w:rPr>
        <w:t xml:space="preserve">additional </w:t>
      </w:r>
      <w:r w:rsidR="00945031" w:rsidRPr="004C412C">
        <w:rPr>
          <w:rFonts w:ascii="Garamond" w:hAnsi="Garamond" w:cs="Arial"/>
          <w:sz w:val="24"/>
          <w:szCs w:val="24"/>
        </w:rPr>
        <w:t>Medicare payment</w:t>
      </w:r>
      <w:r w:rsidR="006278F6" w:rsidRPr="004C412C">
        <w:rPr>
          <w:rFonts w:ascii="Garamond" w:hAnsi="Garamond" w:cs="Arial"/>
          <w:sz w:val="24"/>
          <w:szCs w:val="24"/>
        </w:rPr>
        <w:t xml:space="preserve"> information</w:t>
      </w:r>
      <w:r w:rsidR="00945031" w:rsidRPr="004C412C">
        <w:rPr>
          <w:rFonts w:ascii="Garamond" w:hAnsi="Garamond" w:cs="Arial"/>
          <w:sz w:val="24"/>
          <w:szCs w:val="24"/>
        </w:rPr>
        <w:t xml:space="preserve"> for a sample of complex pain and otolaryngology procedures that are offered at the ASC. </w:t>
      </w:r>
      <w:r w:rsidR="00785AC7" w:rsidRPr="004C412C">
        <w:rPr>
          <w:rFonts w:ascii="Garamond" w:eastAsia="Calibri" w:hAnsi="Garamond" w:cs="Arial"/>
          <w:sz w:val="24"/>
          <w:szCs w:val="24"/>
        </w:rPr>
        <w:t>A selection of t</w:t>
      </w:r>
      <w:r w:rsidR="00561FBE" w:rsidRPr="004C412C">
        <w:rPr>
          <w:rFonts w:ascii="Garamond" w:eastAsia="Calibri" w:hAnsi="Garamond" w:cs="Arial"/>
          <w:sz w:val="24"/>
          <w:szCs w:val="24"/>
        </w:rPr>
        <w:t xml:space="preserve">he </w:t>
      </w:r>
      <w:r w:rsidR="00CD3552" w:rsidRPr="004C412C">
        <w:rPr>
          <w:rFonts w:ascii="Garamond" w:eastAsia="Calibri" w:hAnsi="Garamond" w:cs="Arial"/>
          <w:sz w:val="24"/>
          <w:szCs w:val="24"/>
        </w:rPr>
        <w:t xml:space="preserve">procedures </w:t>
      </w:r>
      <w:r w:rsidR="004C412C" w:rsidRPr="004C412C">
        <w:rPr>
          <w:rFonts w:ascii="Garamond" w:eastAsia="Calibri" w:hAnsi="Garamond" w:cs="Arial"/>
          <w:sz w:val="24"/>
          <w:szCs w:val="24"/>
        </w:rPr>
        <w:t>is</w:t>
      </w:r>
      <w:r w:rsidR="00561FBE" w:rsidRPr="004C412C">
        <w:rPr>
          <w:rFonts w:ascii="Garamond" w:eastAsia="Calibri" w:hAnsi="Garamond" w:cs="Arial"/>
          <w:sz w:val="24"/>
          <w:szCs w:val="24"/>
        </w:rPr>
        <w:t xml:space="preserve"> listed in Table </w:t>
      </w:r>
      <w:r w:rsidR="002A0C97" w:rsidRPr="004C412C">
        <w:rPr>
          <w:rFonts w:ascii="Garamond" w:eastAsia="Calibri" w:hAnsi="Garamond" w:cs="Arial"/>
          <w:sz w:val="24"/>
          <w:szCs w:val="24"/>
        </w:rPr>
        <w:t>2</w:t>
      </w:r>
      <w:r w:rsidR="00561FBE" w:rsidRPr="004C412C">
        <w:rPr>
          <w:rFonts w:ascii="Garamond" w:eastAsia="Calibri" w:hAnsi="Garamond" w:cs="Arial"/>
          <w:sz w:val="24"/>
          <w:szCs w:val="24"/>
        </w:rPr>
        <w:t>.</w:t>
      </w:r>
      <w:r w:rsidR="00EC7FB2">
        <w:rPr>
          <w:rFonts w:ascii="Garamond" w:eastAsia="Calibri" w:hAnsi="Garamond" w:cs="Arial"/>
          <w:sz w:val="24"/>
          <w:szCs w:val="24"/>
        </w:rPr>
        <w:t xml:space="preserve"> </w:t>
      </w:r>
    </w:p>
    <w:p w14:paraId="5B09F071" w14:textId="77777777" w:rsidR="00656120" w:rsidRPr="009835A4" w:rsidRDefault="00656120" w:rsidP="00945031">
      <w:pPr>
        <w:spacing w:after="0" w:line="240" w:lineRule="auto"/>
        <w:rPr>
          <w:rFonts w:ascii="Garamond" w:hAnsi="Garamond" w:cs="Arial"/>
          <w:bCs/>
          <w:sz w:val="24"/>
          <w:szCs w:val="24"/>
        </w:rPr>
      </w:pPr>
    </w:p>
    <w:p w14:paraId="5231B213" w14:textId="654A589F" w:rsidR="008B3E39" w:rsidRDefault="008B3E39" w:rsidP="00B97128">
      <w:pPr>
        <w:spacing w:after="0" w:line="240" w:lineRule="auto"/>
        <w:rPr>
          <w:rFonts w:ascii="Garamond" w:hAnsi="Garamond"/>
        </w:rPr>
      </w:pPr>
    </w:p>
    <w:p w14:paraId="3AAF2665" w14:textId="5EB6DA41" w:rsidR="00537156" w:rsidRDefault="00537156" w:rsidP="00537156">
      <w:pPr>
        <w:spacing w:after="0" w:line="240" w:lineRule="auto"/>
        <w:rPr>
          <w:rFonts w:ascii="Garamond" w:hAnsi="Garamond" w:cs="Arial"/>
          <w:b/>
          <w:bCs/>
          <w:color w:val="42558C" w:themeColor="accent1" w:themeShade="BF"/>
          <w:sz w:val="24"/>
          <w:szCs w:val="24"/>
        </w:rPr>
      </w:pPr>
      <w:r w:rsidRPr="001D4D9F">
        <w:rPr>
          <w:rFonts w:ascii="Garamond" w:hAnsi="Garamond" w:cs="Arial"/>
          <w:b/>
          <w:bCs/>
          <w:color w:val="42558C" w:themeColor="accent1" w:themeShade="BF"/>
          <w:sz w:val="24"/>
          <w:szCs w:val="24"/>
        </w:rPr>
        <w:t xml:space="preserve">Table </w:t>
      </w:r>
      <w:r w:rsidR="00E215EB">
        <w:rPr>
          <w:rFonts w:ascii="Garamond" w:hAnsi="Garamond" w:cs="Arial"/>
          <w:b/>
          <w:bCs/>
          <w:color w:val="42558C" w:themeColor="accent1" w:themeShade="BF"/>
          <w:sz w:val="24"/>
          <w:szCs w:val="24"/>
        </w:rPr>
        <w:t>2</w:t>
      </w:r>
      <w:r w:rsidRPr="001D4D9F">
        <w:rPr>
          <w:rFonts w:ascii="Garamond" w:hAnsi="Garamond" w:cs="Arial"/>
          <w:b/>
          <w:bCs/>
          <w:color w:val="42558C" w:themeColor="accent1" w:themeShade="BF"/>
          <w:sz w:val="24"/>
          <w:szCs w:val="24"/>
        </w:rPr>
        <w:t xml:space="preserve">: </w:t>
      </w:r>
      <w:r w:rsidRPr="008E2320">
        <w:rPr>
          <w:rFonts w:ascii="Garamond" w:hAnsi="Garamond" w:cs="Arial"/>
          <w:b/>
          <w:bCs/>
          <w:color w:val="42558C" w:themeColor="accent1" w:themeShade="BF"/>
          <w:sz w:val="24"/>
          <w:szCs w:val="24"/>
        </w:rPr>
        <w:t xml:space="preserve">Medicare </w:t>
      </w:r>
      <w:r w:rsidR="00823F6C">
        <w:rPr>
          <w:rFonts w:ascii="Garamond" w:hAnsi="Garamond" w:cs="Arial"/>
          <w:b/>
          <w:bCs/>
          <w:color w:val="42558C" w:themeColor="accent1" w:themeShade="BF"/>
          <w:sz w:val="24"/>
          <w:szCs w:val="24"/>
        </w:rPr>
        <w:t>local</w:t>
      </w:r>
      <w:r w:rsidRPr="008E2320">
        <w:rPr>
          <w:rFonts w:ascii="Garamond" w:hAnsi="Garamond" w:cs="Arial"/>
          <w:b/>
          <w:bCs/>
          <w:color w:val="42558C" w:themeColor="accent1" w:themeShade="BF"/>
          <w:sz w:val="24"/>
          <w:szCs w:val="24"/>
        </w:rPr>
        <w:t xml:space="preserve"> </w:t>
      </w:r>
      <w:r w:rsidR="00550F7A">
        <w:rPr>
          <w:rFonts w:ascii="Garamond" w:hAnsi="Garamond" w:cs="Arial"/>
          <w:b/>
          <w:bCs/>
          <w:color w:val="42558C" w:themeColor="accent1" w:themeShade="BF"/>
          <w:sz w:val="24"/>
          <w:szCs w:val="24"/>
        </w:rPr>
        <w:t>p</w:t>
      </w:r>
      <w:r w:rsidR="004415AF">
        <w:rPr>
          <w:rFonts w:ascii="Garamond" w:hAnsi="Garamond" w:cs="Arial"/>
          <w:b/>
          <w:bCs/>
          <w:color w:val="42558C" w:themeColor="accent1" w:themeShade="BF"/>
          <w:sz w:val="24"/>
          <w:szCs w:val="24"/>
        </w:rPr>
        <w:t>ayments</w:t>
      </w:r>
      <w:r w:rsidR="00550F7A">
        <w:rPr>
          <w:rFonts w:ascii="Garamond" w:hAnsi="Garamond" w:cs="Arial"/>
          <w:b/>
          <w:bCs/>
          <w:color w:val="42558C" w:themeColor="accent1" w:themeShade="BF"/>
          <w:sz w:val="24"/>
          <w:szCs w:val="24"/>
        </w:rPr>
        <w:t xml:space="preserve"> </w:t>
      </w:r>
      <w:r>
        <w:rPr>
          <w:rFonts w:ascii="Garamond" w:hAnsi="Garamond" w:cs="Arial"/>
          <w:b/>
          <w:bCs/>
          <w:color w:val="42558C" w:themeColor="accent1" w:themeShade="BF"/>
          <w:sz w:val="24"/>
          <w:szCs w:val="24"/>
        </w:rPr>
        <w:t xml:space="preserve">for a </w:t>
      </w:r>
      <w:r w:rsidRPr="008E2320">
        <w:rPr>
          <w:rFonts w:ascii="Garamond" w:hAnsi="Garamond" w:cs="Arial"/>
          <w:b/>
          <w:bCs/>
          <w:color w:val="42558C" w:themeColor="accent1" w:themeShade="BF"/>
          <w:sz w:val="24"/>
          <w:szCs w:val="24"/>
        </w:rPr>
        <w:t>sample of</w:t>
      </w:r>
      <w:r>
        <w:rPr>
          <w:rFonts w:ascii="Garamond" w:hAnsi="Garamond" w:cs="Arial"/>
          <w:b/>
          <w:bCs/>
          <w:color w:val="42558C" w:themeColor="accent1" w:themeShade="BF"/>
          <w:sz w:val="24"/>
          <w:szCs w:val="24"/>
        </w:rPr>
        <w:t xml:space="preserve"> </w:t>
      </w:r>
      <w:r w:rsidRPr="008E2320">
        <w:rPr>
          <w:rFonts w:ascii="Garamond" w:hAnsi="Garamond" w:cs="Arial"/>
          <w:b/>
          <w:bCs/>
          <w:color w:val="42558C" w:themeColor="accent1" w:themeShade="BF"/>
          <w:sz w:val="24"/>
          <w:szCs w:val="24"/>
        </w:rPr>
        <w:t>procedures</w:t>
      </w:r>
      <w:r w:rsidR="00823F6C">
        <w:rPr>
          <w:rFonts w:ascii="Garamond" w:hAnsi="Garamond" w:cs="Arial"/>
          <w:b/>
          <w:bCs/>
          <w:color w:val="42558C" w:themeColor="accent1" w:themeShade="BF"/>
          <w:sz w:val="24"/>
          <w:szCs w:val="24"/>
        </w:rPr>
        <w:t xml:space="preserve"> (2020)</w:t>
      </w:r>
      <w:r w:rsidRPr="00823F6C">
        <w:rPr>
          <w:rStyle w:val="FootnoteReference"/>
          <w:rFonts w:ascii="Garamond" w:hAnsi="Garamond" w:cs="Arial"/>
          <w:b/>
          <w:bCs/>
          <w:color w:val="234170" w:themeColor="text2" w:themeShade="BF"/>
          <w:sz w:val="24"/>
          <w:szCs w:val="24"/>
        </w:rPr>
        <w:footnoteReference w:id="29"/>
      </w:r>
    </w:p>
    <w:p w14:paraId="27DFDDD6" w14:textId="524E15A3" w:rsidR="00325183" w:rsidRDefault="00325183" w:rsidP="00537156">
      <w:pPr>
        <w:spacing w:after="0" w:line="240" w:lineRule="auto"/>
        <w:rPr>
          <w:rFonts w:ascii="Garamond" w:hAnsi="Garamond" w:cs="Arial"/>
          <w:b/>
          <w:bCs/>
          <w:color w:val="42558C" w:themeColor="accent1" w:themeShade="BF"/>
          <w:sz w:val="24"/>
          <w:szCs w:val="24"/>
        </w:rPr>
      </w:pPr>
    </w:p>
    <w:tbl>
      <w:tblPr>
        <w:tblStyle w:val="TableGrid"/>
        <w:tblW w:w="0" w:type="auto"/>
        <w:tblLook w:val="04A0" w:firstRow="1" w:lastRow="0" w:firstColumn="1" w:lastColumn="0" w:noHBand="0" w:noVBand="1"/>
      </w:tblPr>
      <w:tblGrid>
        <w:gridCol w:w="3906"/>
        <w:gridCol w:w="879"/>
        <w:gridCol w:w="1133"/>
        <w:gridCol w:w="776"/>
        <w:gridCol w:w="879"/>
        <w:gridCol w:w="1133"/>
        <w:gridCol w:w="870"/>
      </w:tblGrid>
      <w:tr w:rsidR="00325183" w:rsidRPr="00212259" w14:paraId="451B9BD3" w14:textId="77777777" w:rsidTr="000346AA">
        <w:tc>
          <w:tcPr>
            <w:tcW w:w="0" w:type="auto"/>
          </w:tcPr>
          <w:p w14:paraId="548E5989" w14:textId="77777777" w:rsidR="00325183" w:rsidRPr="00212259" w:rsidRDefault="00325183" w:rsidP="000346AA">
            <w:pPr>
              <w:contextualSpacing/>
              <w:rPr>
                <w:rFonts w:ascii="Garamond" w:hAnsi="Garamond" w:cstheme="minorHAnsi"/>
              </w:rPr>
            </w:pPr>
          </w:p>
        </w:tc>
        <w:tc>
          <w:tcPr>
            <w:tcW w:w="0" w:type="auto"/>
            <w:gridSpan w:val="3"/>
            <w:shd w:val="clear" w:color="auto" w:fill="DFE3F0" w:themeFill="accent1" w:themeFillTint="33"/>
          </w:tcPr>
          <w:p w14:paraId="740DBA81" w14:textId="77777777" w:rsidR="00325183" w:rsidRPr="00212259" w:rsidRDefault="00325183" w:rsidP="000346AA">
            <w:pPr>
              <w:contextualSpacing/>
              <w:jc w:val="center"/>
              <w:rPr>
                <w:rFonts w:ascii="Garamond" w:hAnsi="Garamond" w:cstheme="minorHAnsi"/>
                <w:b/>
                <w:bCs/>
              </w:rPr>
            </w:pPr>
            <w:r w:rsidRPr="00212259">
              <w:rPr>
                <w:rFonts w:ascii="Garamond" w:hAnsi="Garamond" w:cstheme="minorHAnsi"/>
                <w:b/>
                <w:bCs/>
              </w:rPr>
              <w:t>ASC (Average)</w:t>
            </w:r>
          </w:p>
        </w:tc>
        <w:tc>
          <w:tcPr>
            <w:tcW w:w="0" w:type="auto"/>
            <w:gridSpan w:val="3"/>
            <w:shd w:val="clear" w:color="auto" w:fill="DFE3F0" w:themeFill="accent1" w:themeFillTint="33"/>
          </w:tcPr>
          <w:p w14:paraId="4DB8C99E" w14:textId="77777777" w:rsidR="00325183" w:rsidRPr="00212259" w:rsidRDefault="00325183" w:rsidP="000346AA">
            <w:pPr>
              <w:contextualSpacing/>
              <w:jc w:val="center"/>
              <w:rPr>
                <w:rFonts w:ascii="Garamond" w:hAnsi="Garamond" w:cstheme="minorHAnsi"/>
                <w:b/>
                <w:bCs/>
              </w:rPr>
            </w:pPr>
            <w:r w:rsidRPr="00212259">
              <w:rPr>
                <w:rFonts w:ascii="Garamond" w:hAnsi="Garamond" w:cstheme="minorHAnsi"/>
                <w:b/>
                <w:bCs/>
              </w:rPr>
              <w:t>HOPD (Average)</w:t>
            </w:r>
          </w:p>
        </w:tc>
      </w:tr>
      <w:tr w:rsidR="00325183" w:rsidRPr="00212259" w14:paraId="126124BD" w14:textId="77777777" w:rsidTr="000346AA">
        <w:tc>
          <w:tcPr>
            <w:tcW w:w="0" w:type="auto"/>
            <w:shd w:val="clear" w:color="auto" w:fill="FFFFFF" w:themeFill="background1"/>
          </w:tcPr>
          <w:p w14:paraId="4F35B6EE" w14:textId="77777777" w:rsidR="00325183" w:rsidRPr="00212259" w:rsidRDefault="00325183" w:rsidP="000346AA">
            <w:pPr>
              <w:contextualSpacing/>
              <w:rPr>
                <w:rFonts w:ascii="Garamond" w:hAnsi="Garamond" w:cstheme="minorHAnsi"/>
                <w:b/>
                <w:bCs/>
              </w:rPr>
            </w:pPr>
          </w:p>
        </w:tc>
        <w:tc>
          <w:tcPr>
            <w:tcW w:w="0" w:type="auto"/>
            <w:shd w:val="clear" w:color="auto" w:fill="FFFFFF" w:themeFill="background1"/>
          </w:tcPr>
          <w:p w14:paraId="5AB7BB06" w14:textId="77777777" w:rsidR="00325183" w:rsidRPr="00212259" w:rsidRDefault="00325183" w:rsidP="000346AA">
            <w:pPr>
              <w:contextualSpacing/>
              <w:rPr>
                <w:rFonts w:ascii="Garamond" w:hAnsi="Garamond" w:cstheme="minorHAnsi"/>
              </w:rPr>
            </w:pPr>
            <w:r w:rsidRPr="00212259">
              <w:rPr>
                <w:rFonts w:ascii="Garamond" w:hAnsi="Garamond" w:cstheme="minorHAnsi"/>
              </w:rPr>
              <w:t>Total</w:t>
            </w:r>
          </w:p>
        </w:tc>
        <w:tc>
          <w:tcPr>
            <w:tcW w:w="0" w:type="auto"/>
            <w:shd w:val="clear" w:color="auto" w:fill="FFFFFF" w:themeFill="background1"/>
          </w:tcPr>
          <w:p w14:paraId="558ECAF7" w14:textId="77777777" w:rsidR="00325183" w:rsidRPr="00212259" w:rsidRDefault="00325183" w:rsidP="000346AA">
            <w:pPr>
              <w:contextualSpacing/>
              <w:rPr>
                <w:rFonts w:ascii="Garamond" w:hAnsi="Garamond" w:cstheme="minorHAnsi"/>
              </w:rPr>
            </w:pPr>
            <w:r w:rsidRPr="00212259">
              <w:rPr>
                <w:rFonts w:ascii="Garamond" w:hAnsi="Garamond" w:cstheme="minorHAnsi"/>
              </w:rPr>
              <w:t>Medicare Payment</w:t>
            </w:r>
          </w:p>
        </w:tc>
        <w:tc>
          <w:tcPr>
            <w:tcW w:w="0" w:type="auto"/>
            <w:shd w:val="clear" w:color="auto" w:fill="FFFFFF" w:themeFill="background1"/>
          </w:tcPr>
          <w:p w14:paraId="620D543F" w14:textId="77777777" w:rsidR="00325183" w:rsidRPr="00212259" w:rsidRDefault="00325183" w:rsidP="000346AA">
            <w:pPr>
              <w:contextualSpacing/>
              <w:rPr>
                <w:rFonts w:ascii="Garamond" w:hAnsi="Garamond" w:cstheme="minorHAnsi"/>
              </w:rPr>
            </w:pPr>
            <w:r w:rsidRPr="00212259">
              <w:rPr>
                <w:rFonts w:ascii="Garamond" w:hAnsi="Garamond" w:cstheme="minorHAnsi"/>
              </w:rPr>
              <w:t>Copay</w:t>
            </w:r>
          </w:p>
        </w:tc>
        <w:tc>
          <w:tcPr>
            <w:tcW w:w="0" w:type="auto"/>
            <w:shd w:val="clear" w:color="auto" w:fill="FFFFFF" w:themeFill="background1"/>
          </w:tcPr>
          <w:p w14:paraId="3465F205" w14:textId="77777777" w:rsidR="00325183" w:rsidRPr="00212259" w:rsidRDefault="00325183" w:rsidP="000346AA">
            <w:pPr>
              <w:contextualSpacing/>
              <w:rPr>
                <w:rFonts w:ascii="Garamond" w:hAnsi="Garamond" w:cstheme="minorHAnsi"/>
              </w:rPr>
            </w:pPr>
            <w:r w:rsidRPr="00212259">
              <w:rPr>
                <w:rFonts w:ascii="Garamond" w:hAnsi="Garamond" w:cstheme="minorHAnsi"/>
              </w:rPr>
              <w:t>Total</w:t>
            </w:r>
          </w:p>
        </w:tc>
        <w:tc>
          <w:tcPr>
            <w:tcW w:w="0" w:type="auto"/>
            <w:shd w:val="clear" w:color="auto" w:fill="FFFFFF" w:themeFill="background1"/>
          </w:tcPr>
          <w:p w14:paraId="46026A54" w14:textId="77777777" w:rsidR="00325183" w:rsidRPr="00212259" w:rsidRDefault="00325183" w:rsidP="000346AA">
            <w:pPr>
              <w:contextualSpacing/>
              <w:rPr>
                <w:rFonts w:ascii="Garamond" w:hAnsi="Garamond" w:cstheme="minorHAnsi"/>
              </w:rPr>
            </w:pPr>
            <w:r w:rsidRPr="00212259">
              <w:rPr>
                <w:rFonts w:ascii="Garamond" w:hAnsi="Garamond" w:cstheme="minorHAnsi"/>
              </w:rPr>
              <w:t>Medicare Payment</w:t>
            </w:r>
          </w:p>
        </w:tc>
        <w:tc>
          <w:tcPr>
            <w:tcW w:w="0" w:type="auto"/>
            <w:shd w:val="clear" w:color="auto" w:fill="FFFFFF" w:themeFill="background1"/>
          </w:tcPr>
          <w:p w14:paraId="65B6016A" w14:textId="77777777" w:rsidR="00325183" w:rsidRPr="00212259" w:rsidRDefault="00325183" w:rsidP="000346AA">
            <w:pPr>
              <w:contextualSpacing/>
              <w:rPr>
                <w:rFonts w:ascii="Garamond" w:hAnsi="Garamond" w:cstheme="minorHAnsi"/>
              </w:rPr>
            </w:pPr>
            <w:r w:rsidRPr="00212259">
              <w:rPr>
                <w:rFonts w:ascii="Garamond" w:hAnsi="Garamond" w:cstheme="minorHAnsi"/>
              </w:rPr>
              <w:t>Copay</w:t>
            </w:r>
          </w:p>
        </w:tc>
      </w:tr>
      <w:tr w:rsidR="00325183" w:rsidRPr="00212259" w14:paraId="78984C52" w14:textId="77777777" w:rsidTr="000346AA">
        <w:tc>
          <w:tcPr>
            <w:tcW w:w="0" w:type="auto"/>
            <w:shd w:val="clear" w:color="auto" w:fill="DFE3F0" w:themeFill="accent1" w:themeFillTint="33"/>
          </w:tcPr>
          <w:p w14:paraId="33CB2959" w14:textId="655D7136" w:rsidR="00325183" w:rsidRPr="00212259" w:rsidRDefault="00325183" w:rsidP="000346AA">
            <w:pPr>
              <w:contextualSpacing/>
              <w:rPr>
                <w:rFonts w:ascii="Garamond" w:hAnsi="Garamond" w:cstheme="minorHAnsi"/>
                <w:b/>
                <w:bCs/>
              </w:rPr>
            </w:pPr>
            <w:r w:rsidRPr="00212259">
              <w:rPr>
                <w:rFonts w:ascii="Garamond" w:hAnsi="Garamond" w:cstheme="minorHAnsi"/>
                <w:b/>
                <w:bCs/>
              </w:rPr>
              <w:t>Orthopedic</w:t>
            </w:r>
            <w:r w:rsidR="00C3550C">
              <w:rPr>
                <w:rFonts w:ascii="Garamond" w:hAnsi="Garamond" w:cstheme="minorHAnsi"/>
                <w:b/>
                <w:bCs/>
              </w:rPr>
              <w:t>s</w:t>
            </w:r>
          </w:p>
        </w:tc>
        <w:tc>
          <w:tcPr>
            <w:tcW w:w="0" w:type="auto"/>
            <w:shd w:val="clear" w:color="auto" w:fill="DFE3F0" w:themeFill="accent1" w:themeFillTint="33"/>
          </w:tcPr>
          <w:p w14:paraId="13FE0823" w14:textId="77777777" w:rsidR="00325183" w:rsidRPr="00212259" w:rsidRDefault="00325183" w:rsidP="000346AA">
            <w:pPr>
              <w:contextualSpacing/>
              <w:rPr>
                <w:rFonts w:ascii="Garamond" w:hAnsi="Garamond" w:cstheme="minorHAnsi"/>
              </w:rPr>
            </w:pPr>
          </w:p>
        </w:tc>
        <w:tc>
          <w:tcPr>
            <w:tcW w:w="0" w:type="auto"/>
            <w:shd w:val="clear" w:color="auto" w:fill="DFE3F0" w:themeFill="accent1" w:themeFillTint="33"/>
          </w:tcPr>
          <w:p w14:paraId="138AE129" w14:textId="77777777" w:rsidR="00325183" w:rsidRPr="00212259" w:rsidRDefault="00325183" w:rsidP="000346AA">
            <w:pPr>
              <w:contextualSpacing/>
              <w:rPr>
                <w:rFonts w:ascii="Garamond" w:hAnsi="Garamond" w:cstheme="minorHAnsi"/>
              </w:rPr>
            </w:pPr>
          </w:p>
        </w:tc>
        <w:tc>
          <w:tcPr>
            <w:tcW w:w="0" w:type="auto"/>
            <w:shd w:val="clear" w:color="auto" w:fill="DFE3F0" w:themeFill="accent1" w:themeFillTint="33"/>
          </w:tcPr>
          <w:p w14:paraId="51ECAF72" w14:textId="77777777" w:rsidR="00325183" w:rsidRPr="00212259" w:rsidRDefault="00325183" w:rsidP="000346AA">
            <w:pPr>
              <w:contextualSpacing/>
              <w:rPr>
                <w:rFonts w:ascii="Garamond" w:hAnsi="Garamond" w:cstheme="minorHAnsi"/>
              </w:rPr>
            </w:pPr>
          </w:p>
        </w:tc>
        <w:tc>
          <w:tcPr>
            <w:tcW w:w="0" w:type="auto"/>
            <w:shd w:val="clear" w:color="auto" w:fill="DFE3F0" w:themeFill="accent1" w:themeFillTint="33"/>
          </w:tcPr>
          <w:p w14:paraId="0013822F" w14:textId="77777777" w:rsidR="00325183" w:rsidRPr="00212259" w:rsidRDefault="00325183" w:rsidP="000346AA">
            <w:pPr>
              <w:contextualSpacing/>
              <w:rPr>
                <w:rFonts w:ascii="Garamond" w:hAnsi="Garamond" w:cstheme="minorHAnsi"/>
              </w:rPr>
            </w:pPr>
          </w:p>
        </w:tc>
        <w:tc>
          <w:tcPr>
            <w:tcW w:w="0" w:type="auto"/>
            <w:shd w:val="clear" w:color="auto" w:fill="DFE3F0" w:themeFill="accent1" w:themeFillTint="33"/>
          </w:tcPr>
          <w:p w14:paraId="0775E96B" w14:textId="77777777" w:rsidR="00325183" w:rsidRPr="00212259" w:rsidRDefault="00325183" w:rsidP="000346AA">
            <w:pPr>
              <w:contextualSpacing/>
              <w:rPr>
                <w:rFonts w:ascii="Garamond" w:hAnsi="Garamond" w:cstheme="minorHAnsi"/>
              </w:rPr>
            </w:pPr>
          </w:p>
        </w:tc>
        <w:tc>
          <w:tcPr>
            <w:tcW w:w="0" w:type="auto"/>
            <w:shd w:val="clear" w:color="auto" w:fill="DFE3F0" w:themeFill="accent1" w:themeFillTint="33"/>
          </w:tcPr>
          <w:p w14:paraId="51886505" w14:textId="77777777" w:rsidR="00325183" w:rsidRPr="00212259" w:rsidRDefault="00325183" w:rsidP="000346AA">
            <w:pPr>
              <w:contextualSpacing/>
              <w:rPr>
                <w:rFonts w:ascii="Garamond" w:hAnsi="Garamond" w:cstheme="minorHAnsi"/>
              </w:rPr>
            </w:pPr>
          </w:p>
        </w:tc>
      </w:tr>
      <w:tr w:rsidR="00325183" w:rsidRPr="00212259" w14:paraId="779B4601" w14:textId="77777777" w:rsidTr="000346AA">
        <w:tc>
          <w:tcPr>
            <w:tcW w:w="0" w:type="auto"/>
          </w:tcPr>
          <w:p w14:paraId="05B4D5D0" w14:textId="77777777" w:rsidR="00325183" w:rsidRPr="00212259" w:rsidRDefault="00325183" w:rsidP="000346AA">
            <w:pPr>
              <w:contextualSpacing/>
              <w:rPr>
                <w:rFonts w:ascii="Garamond" w:hAnsi="Garamond" w:cstheme="minorHAnsi"/>
              </w:rPr>
            </w:pPr>
            <w:r w:rsidRPr="00212259">
              <w:rPr>
                <w:rFonts w:ascii="Garamond" w:hAnsi="Garamond" w:cstheme="minorHAnsi"/>
              </w:rPr>
              <w:t>Repair of shoulder rotator  cuff using endoscope</w:t>
            </w:r>
          </w:p>
        </w:tc>
        <w:tc>
          <w:tcPr>
            <w:tcW w:w="0" w:type="auto"/>
          </w:tcPr>
          <w:p w14:paraId="057B2EF5" w14:textId="77777777" w:rsidR="00325183" w:rsidRPr="00212259" w:rsidRDefault="00325183" w:rsidP="000346AA">
            <w:pPr>
              <w:contextualSpacing/>
              <w:jc w:val="center"/>
              <w:rPr>
                <w:rFonts w:ascii="Garamond" w:hAnsi="Garamond" w:cstheme="minorHAnsi"/>
              </w:rPr>
            </w:pPr>
            <w:r w:rsidRPr="00212259">
              <w:rPr>
                <w:rFonts w:ascii="Garamond" w:hAnsi="Garamond"/>
              </w:rPr>
              <w:t>$2,947</w:t>
            </w:r>
          </w:p>
        </w:tc>
        <w:tc>
          <w:tcPr>
            <w:tcW w:w="0" w:type="auto"/>
          </w:tcPr>
          <w:p w14:paraId="61C52ECA" w14:textId="77777777" w:rsidR="00325183" w:rsidRPr="00212259" w:rsidRDefault="00325183" w:rsidP="000346AA">
            <w:pPr>
              <w:contextualSpacing/>
              <w:jc w:val="center"/>
              <w:rPr>
                <w:rFonts w:ascii="Garamond" w:hAnsi="Garamond" w:cstheme="minorHAnsi"/>
              </w:rPr>
            </w:pPr>
            <w:r w:rsidRPr="00212259">
              <w:rPr>
                <w:rFonts w:ascii="Garamond" w:hAnsi="Garamond"/>
              </w:rPr>
              <w:t>$2,358</w:t>
            </w:r>
          </w:p>
        </w:tc>
        <w:tc>
          <w:tcPr>
            <w:tcW w:w="0" w:type="auto"/>
          </w:tcPr>
          <w:p w14:paraId="64A0E7A7" w14:textId="77777777" w:rsidR="00325183" w:rsidRPr="00212259" w:rsidRDefault="00325183" w:rsidP="000346AA">
            <w:pPr>
              <w:contextualSpacing/>
              <w:jc w:val="center"/>
              <w:rPr>
                <w:rFonts w:ascii="Garamond" w:hAnsi="Garamond" w:cstheme="minorHAnsi"/>
              </w:rPr>
            </w:pPr>
            <w:r w:rsidRPr="00212259">
              <w:rPr>
                <w:rFonts w:ascii="Garamond" w:hAnsi="Garamond"/>
              </w:rPr>
              <w:t>$589</w:t>
            </w:r>
          </w:p>
        </w:tc>
        <w:tc>
          <w:tcPr>
            <w:tcW w:w="0" w:type="auto"/>
          </w:tcPr>
          <w:p w14:paraId="0BE3DD91" w14:textId="77777777" w:rsidR="00325183" w:rsidRPr="00212259" w:rsidRDefault="00325183" w:rsidP="000346AA">
            <w:pPr>
              <w:contextualSpacing/>
              <w:jc w:val="center"/>
              <w:rPr>
                <w:rFonts w:ascii="Garamond" w:hAnsi="Garamond" w:cstheme="minorHAnsi"/>
              </w:rPr>
            </w:pPr>
            <w:r w:rsidRPr="00212259">
              <w:rPr>
                <w:rFonts w:ascii="Garamond" w:hAnsi="Garamond"/>
              </w:rPr>
              <w:t>$6,816</w:t>
            </w:r>
          </w:p>
        </w:tc>
        <w:tc>
          <w:tcPr>
            <w:tcW w:w="0" w:type="auto"/>
          </w:tcPr>
          <w:p w14:paraId="3FB7CCBB" w14:textId="77777777" w:rsidR="00325183" w:rsidRPr="00212259" w:rsidRDefault="00325183" w:rsidP="000346AA">
            <w:pPr>
              <w:contextualSpacing/>
              <w:jc w:val="center"/>
              <w:rPr>
                <w:rFonts w:ascii="Garamond" w:hAnsi="Garamond" w:cstheme="minorHAnsi"/>
              </w:rPr>
            </w:pPr>
            <w:r w:rsidRPr="00212259">
              <w:rPr>
                <w:rFonts w:ascii="Garamond" w:hAnsi="Garamond"/>
              </w:rPr>
              <w:t>$5,453</w:t>
            </w:r>
          </w:p>
        </w:tc>
        <w:tc>
          <w:tcPr>
            <w:tcW w:w="0" w:type="auto"/>
          </w:tcPr>
          <w:p w14:paraId="0935FF99" w14:textId="4F5B85EB" w:rsidR="00325183" w:rsidRPr="00212259" w:rsidRDefault="00C3550C" w:rsidP="000346AA">
            <w:pPr>
              <w:contextualSpacing/>
              <w:jc w:val="center"/>
              <w:rPr>
                <w:rFonts w:ascii="Garamond" w:hAnsi="Garamond" w:cstheme="minorHAnsi"/>
              </w:rPr>
            </w:pPr>
            <w:r>
              <w:rPr>
                <w:rFonts w:ascii="Garamond" w:hAnsi="Garamond"/>
              </w:rPr>
              <w:t>$1,363</w:t>
            </w:r>
          </w:p>
        </w:tc>
      </w:tr>
      <w:tr w:rsidR="00325183" w:rsidRPr="00212259" w14:paraId="1BC3909B" w14:textId="77777777" w:rsidTr="000346AA">
        <w:tc>
          <w:tcPr>
            <w:tcW w:w="0" w:type="auto"/>
          </w:tcPr>
          <w:p w14:paraId="1AD981C3" w14:textId="77777777" w:rsidR="00325183" w:rsidRPr="00212259" w:rsidRDefault="00325183" w:rsidP="000346AA">
            <w:pPr>
              <w:contextualSpacing/>
              <w:rPr>
                <w:rFonts w:ascii="Garamond" w:hAnsi="Garamond" w:cstheme="minorHAnsi"/>
              </w:rPr>
            </w:pPr>
            <w:r w:rsidRPr="00212259">
              <w:rPr>
                <w:rFonts w:ascii="Garamond" w:hAnsi="Garamond" w:cstheme="minorHAnsi"/>
              </w:rPr>
              <w:t>Arthroscopy, knee, surgical (medial or lateral)</w:t>
            </w:r>
          </w:p>
        </w:tc>
        <w:tc>
          <w:tcPr>
            <w:tcW w:w="0" w:type="auto"/>
          </w:tcPr>
          <w:p w14:paraId="2553D0CF" w14:textId="77777777" w:rsidR="00325183" w:rsidRPr="00212259" w:rsidRDefault="00325183" w:rsidP="000346AA">
            <w:pPr>
              <w:contextualSpacing/>
              <w:jc w:val="center"/>
              <w:rPr>
                <w:rFonts w:ascii="Garamond" w:hAnsi="Garamond" w:cstheme="minorHAnsi"/>
              </w:rPr>
            </w:pPr>
            <w:r w:rsidRPr="00212259">
              <w:rPr>
                <w:rFonts w:ascii="Garamond" w:hAnsi="Garamond"/>
              </w:rPr>
              <w:t>$1,352</w:t>
            </w:r>
          </w:p>
        </w:tc>
        <w:tc>
          <w:tcPr>
            <w:tcW w:w="0" w:type="auto"/>
          </w:tcPr>
          <w:p w14:paraId="1B7E6D2B" w14:textId="77777777" w:rsidR="00325183" w:rsidRPr="00212259" w:rsidRDefault="00325183" w:rsidP="000346AA">
            <w:pPr>
              <w:contextualSpacing/>
              <w:jc w:val="center"/>
              <w:rPr>
                <w:rFonts w:ascii="Garamond" w:hAnsi="Garamond" w:cstheme="minorHAnsi"/>
              </w:rPr>
            </w:pPr>
            <w:r w:rsidRPr="00212259">
              <w:rPr>
                <w:rFonts w:ascii="Garamond" w:hAnsi="Garamond"/>
              </w:rPr>
              <w:t>$1,082</w:t>
            </w:r>
          </w:p>
        </w:tc>
        <w:tc>
          <w:tcPr>
            <w:tcW w:w="0" w:type="auto"/>
          </w:tcPr>
          <w:p w14:paraId="5C2EC789" w14:textId="77777777" w:rsidR="00325183" w:rsidRPr="00212259" w:rsidRDefault="00325183" w:rsidP="000346AA">
            <w:pPr>
              <w:contextualSpacing/>
              <w:jc w:val="center"/>
              <w:rPr>
                <w:rFonts w:ascii="Garamond" w:hAnsi="Garamond" w:cstheme="minorHAnsi"/>
              </w:rPr>
            </w:pPr>
            <w:r w:rsidRPr="00212259">
              <w:rPr>
                <w:rFonts w:ascii="Garamond" w:hAnsi="Garamond"/>
              </w:rPr>
              <w:t>$270</w:t>
            </w:r>
          </w:p>
        </w:tc>
        <w:tc>
          <w:tcPr>
            <w:tcW w:w="0" w:type="auto"/>
          </w:tcPr>
          <w:p w14:paraId="09A9C676" w14:textId="77777777" w:rsidR="00325183" w:rsidRPr="00212259" w:rsidRDefault="00325183" w:rsidP="000346AA">
            <w:pPr>
              <w:contextualSpacing/>
              <w:jc w:val="center"/>
              <w:rPr>
                <w:rFonts w:ascii="Garamond" w:hAnsi="Garamond" w:cstheme="minorHAnsi"/>
              </w:rPr>
            </w:pPr>
            <w:r w:rsidRPr="00212259">
              <w:rPr>
                <w:rFonts w:ascii="Garamond" w:hAnsi="Garamond"/>
              </w:rPr>
              <w:t>$3,119</w:t>
            </w:r>
          </w:p>
        </w:tc>
        <w:tc>
          <w:tcPr>
            <w:tcW w:w="0" w:type="auto"/>
          </w:tcPr>
          <w:p w14:paraId="512F61BA" w14:textId="77777777" w:rsidR="00325183" w:rsidRPr="00212259" w:rsidRDefault="00325183" w:rsidP="000346AA">
            <w:pPr>
              <w:contextualSpacing/>
              <w:jc w:val="center"/>
              <w:rPr>
                <w:rFonts w:ascii="Garamond" w:hAnsi="Garamond" w:cstheme="minorHAnsi"/>
              </w:rPr>
            </w:pPr>
            <w:r w:rsidRPr="00212259">
              <w:rPr>
                <w:rFonts w:ascii="Garamond" w:hAnsi="Garamond"/>
              </w:rPr>
              <w:t>$2,495</w:t>
            </w:r>
          </w:p>
        </w:tc>
        <w:tc>
          <w:tcPr>
            <w:tcW w:w="0" w:type="auto"/>
          </w:tcPr>
          <w:p w14:paraId="21C4F3A4" w14:textId="77777777" w:rsidR="00325183" w:rsidRPr="00212259" w:rsidRDefault="00325183" w:rsidP="000346AA">
            <w:pPr>
              <w:contextualSpacing/>
              <w:jc w:val="center"/>
              <w:rPr>
                <w:rFonts w:ascii="Garamond" w:hAnsi="Garamond" w:cstheme="minorHAnsi"/>
              </w:rPr>
            </w:pPr>
            <w:r w:rsidRPr="00212259">
              <w:rPr>
                <w:rFonts w:ascii="Garamond" w:hAnsi="Garamond"/>
              </w:rPr>
              <w:t>$624</w:t>
            </w:r>
          </w:p>
        </w:tc>
      </w:tr>
      <w:tr w:rsidR="00325183" w:rsidRPr="00212259" w14:paraId="3517705B" w14:textId="77777777" w:rsidTr="000346AA">
        <w:tc>
          <w:tcPr>
            <w:tcW w:w="0" w:type="auto"/>
          </w:tcPr>
          <w:p w14:paraId="388F3C5D" w14:textId="77777777" w:rsidR="00325183" w:rsidRPr="00212259" w:rsidRDefault="00325183" w:rsidP="000346AA">
            <w:pPr>
              <w:contextualSpacing/>
              <w:rPr>
                <w:rFonts w:ascii="Garamond" w:hAnsi="Garamond" w:cstheme="minorHAnsi"/>
              </w:rPr>
            </w:pPr>
            <w:r w:rsidRPr="00212259">
              <w:rPr>
                <w:rFonts w:ascii="Garamond" w:hAnsi="Garamond" w:cstheme="minorHAnsi"/>
              </w:rPr>
              <w:t>Suture of quadriceps or hamstring muscle rupture; primary</w:t>
            </w:r>
          </w:p>
        </w:tc>
        <w:tc>
          <w:tcPr>
            <w:tcW w:w="0" w:type="auto"/>
          </w:tcPr>
          <w:p w14:paraId="6A0B7C25" w14:textId="77777777" w:rsidR="00325183" w:rsidRPr="00212259" w:rsidRDefault="00325183" w:rsidP="000346AA">
            <w:pPr>
              <w:contextualSpacing/>
              <w:jc w:val="center"/>
              <w:rPr>
                <w:rFonts w:ascii="Garamond" w:hAnsi="Garamond" w:cstheme="minorHAnsi"/>
              </w:rPr>
            </w:pPr>
            <w:r w:rsidRPr="00212259">
              <w:rPr>
                <w:rFonts w:ascii="Garamond" w:hAnsi="Garamond"/>
              </w:rPr>
              <w:t>$2,947</w:t>
            </w:r>
          </w:p>
        </w:tc>
        <w:tc>
          <w:tcPr>
            <w:tcW w:w="0" w:type="auto"/>
          </w:tcPr>
          <w:p w14:paraId="55A698C4" w14:textId="77777777" w:rsidR="00325183" w:rsidRPr="00212259" w:rsidRDefault="00325183" w:rsidP="000346AA">
            <w:pPr>
              <w:contextualSpacing/>
              <w:jc w:val="center"/>
              <w:rPr>
                <w:rFonts w:ascii="Garamond" w:hAnsi="Garamond" w:cstheme="minorHAnsi"/>
              </w:rPr>
            </w:pPr>
            <w:r w:rsidRPr="00212259">
              <w:rPr>
                <w:rFonts w:ascii="Garamond" w:hAnsi="Garamond"/>
              </w:rPr>
              <w:t>$2,358</w:t>
            </w:r>
          </w:p>
        </w:tc>
        <w:tc>
          <w:tcPr>
            <w:tcW w:w="0" w:type="auto"/>
          </w:tcPr>
          <w:p w14:paraId="733F84AC" w14:textId="77777777" w:rsidR="00325183" w:rsidRPr="00212259" w:rsidRDefault="00325183" w:rsidP="000346AA">
            <w:pPr>
              <w:contextualSpacing/>
              <w:jc w:val="center"/>
              <w:rPr>
                <w:rFonts w:ascii="Garamond" w:hAnsi="Garamond" w:cstheme="minorHAnsi"/>
              </w:rPr>
            </w:pPr>
            <w:r w:rsidRPr="00212259">
              <w:rPr>
                <w:rFonts w:ascii="Garamond" w:hAnsi="Garamond"/>
              </w:rPr>
              <w:t>$589</w:t>
            </w:r>
          </w:p>
        </w:tc>
        <w:tc>
          <w:tcPr>
            <w:tcW w:w="0" w:type="auto"/>
          </w:tcPr>
          <w:p w14:paraId="66D1A2C8" w14:textId="77777777" w:rsidR="00325183" w:rsidRPr="00212259" w:rsidRDefault="00325183" w:rsidP="000346AA">
            <w:pPr>
              <w:contextualSpacing/>
              <w:jc w:val="center"/>
              <w:rPr>
                <w:rFonts w:ascii="Garamond" w:hAnsi="Garamond" w:cstheme="minorHAnsi"/>
              </w:rPr>
            </w:pPr>
            <w:r w:rsidRPr="00212259">
              <w:rPr>
                <w:rFonts w:ascii="Garamond" w:hAnsi="Garamond"/>
              </w:rPr>
              <w:t>$6,816</w:t>
            </w:r>
          </w:p>
        </w:tc>
        <w:tc>
          <w:tcPr>
            <w:tcW w:w="0" w:type="auto"/>
          </w:tcPr>
          <w:p w14:paraId="135ECCDE" w14:textId="77777777" w:rsidR="00325183" w:rsidRPr="00212259" w:rsidRDefault="00325183" w:rsidP="000346AA">
            <w:pPr>
              <w:contextualSpacing/>
              <w:jc w:val="center"/>
              <w:rPr>
                <w:rFonts w:ascii="Garamond" w:hAnsi="Garamond" w:cstheme="minorHAnsi"/>
              </w:rPr>
            </w:pPr>
            <w:r w:rsidRPr="00212259">
              <w:rPr>
                <w:rFonts w:ascii="Garamond" w:hAnsi="Garamond"/>
              </w:rPr>
              <w:t>$5,453</w:t>
            </w:r>
          </w:p>
        </w:tc>
        <w:tc>
          <w:tcPr>
            <w:tcW w:w="0" w:type="auto"/>
          </w:tcPr>
          <w:p w14:paraId="36E61DF1" w14:textId="77777777" w:rsidR="00325183" w:rsidRPr="00212259" w:rsidRDefault="00325183" w:rsidP="000346AA">
            <w:pPr>
              <w:contextualSpacing/>
              <w:jc w:val="center"/>
              <w:rPr>
                <w:rFonts w:ascii="Garamond" w:hAnsi="Garamond" w:cstheme="minorHAnsi"/>
              </w:rPr>
            </w:pPr>
            <w:r w:rsidRPr="00212259">
              <w:rPr>
                <w:rFonts w:ascii="Garamond" w:hAnsi="Garamond"/>
              </w:rPr>
              <w:t>$1,363</w:t>
            </w:r>
          </w:p>
        </w:tc>
      </w:tr>
      <w:tr w:rsidR="00325183" w:rsidRPr="00212259" w14:paraId="198895BC" w14:textId="77777777" w:rsidTr="000346AA">
        <w:tc>
          <w:tcPr>
            <w:tcW w:w="0" w:type="auto"/>
          </w:tcPr>
          <w:p w14:paraId="5F3E29AD" w14:textId="77777777" w:rsidR="00325183" w:rsidRPr="00212259" w:rsidRDefault="00325183" w:rsidP="000346AA">
            <w:pPr>
              <w:contextualSpacing/>
              <w:rPr>
                <w:rFonts w:ascii="Garamond" w:hAnsi="Garamond" w:cstheme="minorHAnsi"/>
              </w:rPr>
            </w:pPr>
            <w:r w:rsidRPr="00212259">
              <w:rPr>
                <w:rFonts w:ascii="Garamond" w:hAnsi="Garamond" w:cstheme="minorHAnsi"/>
              </w:rPr>
              <w:t>Removal of deep bone implant</w:t>
            </w:r>
          </w:p>
        </w:tc>
        <w:tc>
          <w:tcPr>
            <w:tcW w:w="0" w:type="auto"/>
          </w:tcPr>
          <w:p w14:paraId="6ED1AAC9" w14:textId="77777777" w:rsidR="00325183" w:rsidRPr="00212259" w:rsidRDefault="00325183" w:rsidP="000346AA">
            <w:pPr>
              <w:contextualSpacing/>
              <w:jc w:val="center"/>
              <w:rPr>
                <w:rFonts w:ascii="Garamond" w:hAnsi="Garamond" w:cstheme="minorHAnsi"/>
              </w:rPr>
            </w:pPr>
            <w:r w:rsidRPr="00212259">
              <w:rPr>
                <w:rFonts w:ascii="Garamond" w:hAnsi="Garamond"/>
              </w:rPr>
              <w:t>$1,045</w:t>
            </w:r>
          </w:p>
        </w:tc>
        <w:tc>
          <w:tcPr>
            <w:tcW w:w="0" w:type="auto"/>
          </w:tcPr>
          <w:p w14:paraId="7C91D228" w14:textId="77777777" w:rsidR="00325183" w:rsidRPr="00212259" w:rsidRDefault="00325183" w:rsidP="000346AA">
            <w:pPr>
              <w:contextualSpacing/>
              <w:jc w:val="center"/>
              <w:rPr>
                <w:rFonts w:ascii="Garamond" w:hAnsi="Garamond" w:cstheme="minorHAnsi"/>
              </w:rPr>
            </w:pPr>
            <w:r w:rsidRPr="00212259">
              <w:rPr>
                <w:rFonts w:ascii="Garamond" w:hAnsi="Garamond"/>
              </w:rPr>
              <w:t>$836</w:t>
            </w:r>
          </w:p>
        </w:tc>
        <w:tc>
          <w:tcPr>
            <w:tcW w:w="0" w:type="auto"/>
          </w:tcPr>
          <w:p w14:paraId="01385387" w14:textId="77777777" w:rsidR="00325183" w:rsidRPr="00212259" w:rsidRDefault="00325183" w:rsidP="000346AA">
            <w:pPr>
              <w:contextualSpacing/>
              <w:jc w:val="center"/>
              <w:rPr>
                <w:rFonts w:ascii="Garamond" w:hAnsi="Garamond" w:cstheme="minorHAnsi"/>
              </w:rPr>
            </w:pPr>
            <w:r w:rsidRPr="00212259">
              <w:rPr>
                <w:rFonts w:ascii="Garamond" w:hAnsi="Garamond"/>
              </w:rPr>
              <w:t>$209</w:t>
            </w:r>
          </w:p>
        </w:tc>
        <w:tc>
          <w:tcPr>
            <w:tcW w:w="0" w:type="auto"/>
          </w:tcPr>
          <w:p w14:paraId="68E9136B" w14:textId="77777777" w:rsidR="00325183" w:rsidRPr="00212259" w:rsidRDefault="00325183" w:rsidP="000346AA">
            <w:pPr>
              <w:contextualSpacing/>
              <w:jc w:val="center"/>
              <w:rPr>
                <w:rFonts w:ascii="Garamond" w:hAnsi="Garamond" w:cstheme="minorHAnsi"/>
              </w:rPr>
            </w:pPr>
            <w:r w:rsidRPr="00212259">
              <w:rPr>
                <w:rFonts w:ascii="Garamond" w:hAnsi="Garamond"/>
              </w:rPr>
              <w:t>$2,642</w:t>
            </w:r>
          </w:p>
        </w:tc>
        <w:tc>
          <w:tcPr>
            <w:tcW w:w="0" w:type="auto"/>
          </w:tcPr>
          <w:p w14:paraId="509AE49C" w14:textId="77777777" w:rsidR="00325183" w:rsidRPr="00212259" w:rsidRDefault="00325183" w:rsidP="000346AA">
            <w:pPr>
              <w:contextualSpacing/>
              <w:jc w:val="center"/>
              <w:rPr>
                <w:rFonts w:ascii="Garamond" w:hAnsi="Garamond" w:cstheme="minorHAnsi"/>
              </w:rPr>
            </w:pPr>
            <w:r w:rsidRPr="00212259">
              <w:rPr>
                <w:rFonts w:ascii="Garamond" w:hAnsi="Garamond"/>
              </w:rPr>
              <w:t>$2,114</w:t>
            </w:r>
          </w:p>
        </w:tc>
        <w:tc>
          <w:tcPr>
            <w:tcW w:w="0" w:type="auto"/>
          </w:tcPr>
          <w:p w14:paraId="614119D3" w14:textId="77777777" w:rsidR="00325183" w:rsidRPr="00212259" w:rsidRDefault="00325183" w:rsidP="000346AA">
            <w:pPr>
              <w:contextualSpacing/>
              <w:jc w:val="center"/>
              <w:rPr>
                <w:rFonts w:ascii="Garamond" w:hAnsi="Garamond" w:cstheme="minorHAnsi"/>
              </w:rPr>
            </w:pPr>
            <w:r w:rsidRPr="00212259">
              <w:rPr>
                <w:rFonts w:ascii="Garamond" w:hAnsi="Garamond"/>
              </w:rPr>
              <w:t>$528</w:t>
            </w:r>
          </w:p>
        </w:tc>
      </w:tr>
      <w:tr w:rsidR="00325183" w:rsidRPr="00212259" w14:paraId="240C5AD2" w14:textId="77777777" w:rsidTr="000346AA">
        <w:tc>
          <w:tcPr>
            <w:tcW w:w="0" w:type="auto"/>
            <w:shd w:val="clear" w:color="auto" w:fill="DFE3F0" w:themeFill="accent1" w:themeFillTint="33"/>
          </w:tcPr>
          <w:p w14:paraId="27E51E39" w14:textId="77777777" w:rsidR="00325183" w:rsidRPr="00212259" w:rsidRDefault="00325183" w:rsidP="000346AA">
            <w:pPr>
              <w:contextualSpacing/>
              <w:rPr>
                <w:rFonts w:ascii="Garamond" w:hAnsi="Garamond" w:cstheme="minorHAnsi"/>
                <w:b/>
                <w:bCs/>
              </w:rPr>
            </w:pPr>
            <w:r w:rsidRPr="00212259">
              <w:rPr>
                <w:rFonts w:ascii="Garamond" w:hAnsi="Garamond" w:cstheme="minorHAnsi"/>
                <w:b/>
                <w:bCs/>
              </w:rPr>
              <w:t>Podiatry</w:t>
            </w:r>
          </w:p>
        </w:tc>
        <w:tc>
          <w:tcPr>
            <w:tcW w:w="0" w:type="auto"/>
            <w:shd w:val="clear" w:color="auto" w:fill="DFE3F0" w:themeFill="accent1" w:themeFillTint="33"/>
          </w:tcPr>
          <w:p w14:paraId="1BC52AC7"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7606E55D"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019A0F29"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0E443A71"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6A82AA69"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31D06DAD" w14:textId="77777777" w:rsidR="00325183" w:rsidRPr="00212259" w:rsidRDefault="00325183" w:rsidP="000346AA">
            <w:pPr>
              <w:contextualSpacing/>
              <w:jc w:val="center"/>
              <w:rPr>
                <w:rFonts w:ascii="Garamond" w:hAnsi="Garamond" w:cstheme="minorHAnsi"/>
              </w:rPr>
            </w:pPr>
          </w:p>
        </w:tc>
      </w:tr>
      <w:tr w:rsidR="00325183" w:rsidRPr="00212259" w14:paraId="75C1B9BB" w14:textId="77777777" w:rsidTr="000346AA">
        <w:tc>
          <w:tcPr>
            <w:tcW w:w="0" w:type="auto"/>
            <w:shd w:val="clear" w:color="auto" w:fill="auto"/>
          </w:tcPr>
          <w:p w14:paraId="0904DD05" w14:textId="77777777" w:rsidR="00325183" w:rsidRPr="00212259" w:rsidRDefault="00325183" w:rsidP="000346AA">
            <w:pPr>
              <w:contextualSpacing/>
              <w:rPr>
                <w:rFonts w:ascii="Garamond" w:hAnsi="Garamond" w:cstheme="minorHAnsi"/>
                <w:b/>
                <w:bCs/>
              </w:rPr>
            </w:pPr>
            <w:r w:rsidRPr="00212259">
              <w:rPr>
                <w:rFonts w:ascii="Garamond" w:hAnsi="Garamond"/>
              </w:rPr>
              <w:t xml:space="preserve">Correction, hallux valgus (bunionectomy), with sesamoidectomy, when performed; with distal metatarsal osteotomy, any method </w:t>
            </w:r>
          </w:p>
        </w:tc>
        <w:tc>
          <w:tcPr>
            <w:tcW w:w="0" w:type="auto"/>
            <w:shd w:val="clear" w:color="auto" w:fill="auto"/>
          </w:tcPr>
          <w:p w14:paraId="1A9FBB2C" w14:textId="77777777" w:rsidR="00325183" w:rsidRPr="00212259" w:rsidRDefault="00325183" w:rsidP="000346AA">
            <w:pPr>
              <w:contextualSpacing/>
              <w:jc w:val="center"/>
              <w:rPr>
                <w:rFonts w:ascii="Garamond" w:hAnsi="Garamond" w:cstheme="minorHAnsi"/>
              </w:rPr>
            </w:pPr>
            <w:r w:rsidRPr="00212259">
              <w:rPr>
                <w:rFonts w:ascii="Garamond" w:hAnsi="Garamond"/>
              </w:rPr>
              <w:t>$4,521</w:t>
            </w:r>
          </w:p>
        </w:tc>
        <w:tc>
          <w:tcPr>
            <w:tcW w:w="0" w:type="auto"/>
            <w:shd w:val="clear" w:color="auto" w:fill="auto"/>
          </w:tcPr>
          <w:p w14:paraId="7CDC3CDB" w14:textId="77777777" w:rsidR="00325183" w:rsidRPr="00212259" w:rsidRDefault="00325183" w:rsidP="000346AA">
            <w:pPr>
              <w:contextualSpacing/>
              <w:jc w:val="center"/>
              <w:rPr>
                <w:rFonts w:ascii="Garamond" w:hAnsi="Garamond" w:cstheme="minorHAnsi"/>
              </w:rPr>
            </w:pPr>
            <w:r w:rsidRPr="00212259">
              <w:rPr>
                <w:rFonts w:ascii="Garamond" w:hAnsi="Garamond"/>
              </w:rPr>
              <w:t>$3,617</w:t>
            </w:r>
          </w:p>
        </w:tc>
        <w:tc>
          <w:tcPr>
            <w:tcW w:w="0" w:type="auto"/>
            <w:shd w:val="clear" w:color="auto" w:fill="auto"/>
          </w:tcPr>
          <w:p w14:paraId="28178E67" w14:textId="77777777" w:rsidR="00325183" w:rsidRPr="00212259" w:rsidRDefault="00325183" w:rsidP="000346AA">
            <w:pPr>
              <w:contextualSpacing/>
              <w:jc w:val="center"/>
              <w:rPr>
                <w:rFonts w:ascii="Garamond" w:hAnsi="Garamond" w:cstheme="minorHAnsi"/>
              </w:rPr>
            </w:pPr>
            <w:r w:rsidRPr="00212259">
              <w:rPr>
                <w:rFonts w:ascii="Garamond" w:hAnsi="Garamond"/>
              </w:rPr>
              <w:t>$904</w:t>
            </w:r>
          </w:p>
        </w:tc>
        <w:tc>
          <w:tcPr>
            <w:tcW w:w="0" w:type="auto"/>
            <w:shd w:val="clear" w:color="auto" w:fill="auto"/>
          </w:tcPr>
          <w:p w14:paraId="2ABECE2D" w14:textId="77777777" w:rsidR="00325183" w:rsidRPr="00212259" w:rsidRDefault="00325183" w:rsidP="000346AA">
            <w:pPr>
              <w:contextualSpacing/>
              <w:jc w:val="center"/>
              <w:rPr>
                <w:rFonts w:ascii="Garamond" w:hAnsi="Garamond" w:cstheme="minorHAnsi"/>
              </w:rPr>
            </w:pPr>
            <w:r w:rsidRPr="00212259">
              <w:rPr>
                <w:rFonts w:ascii="Garamond" w:hAnsi="Garamond"/>
              </w:rPr>
              <w:t>$6,816</w:t>
            </w:r>
          </w:p>
        </w:tc>
        <w:tc>
          <w:tcPr>
            <w:tcW w:w="0" w:type="auto"/>
            <w:shd w:val="clear" w:color="auto" w:fill="auto"/>
          </w:tcPr>
          <w:p w14:paraId="74F85622" w14:textId="77777777" w:rsidR="00325183" w:rsidRPr="00212259" w:rsidRDefault="00325183" w:rsidP="000346AA">
            <w:pPr>
              <w:contextualSpacing/>
              <w:jc w:val="center"/>
              <w:rPr>
                <w:rFonts w:ascii="Garamond" w:hAnsi="Garamond" w:cstheme="minorHAnsi"/>
              </w:rPr>
            </w:pPr>
            <w:r w:rsidRPr="00212259">
              <w:rPr>
                <w:rFonts w:ascii="Garamond" w:hAnsi="Garamond"/>
              </w:rPr>
              <w:t>$5,453</w:t>
            </w:r>
          </w:p>
        </w:tc>
        <w:tc>
          <w:tcPr>
            <w:tcW w:w="0" w:type="auto"/>
            <w:shd w:val="clear" w:color="auto" w:fill="auto"/>
          </w:tcPr>
          <w:p w14:paraId="760D429F" w14:textId="77777777" w:rsidR="00325183" w:rsidRPr="00212259" w:rsidRDefault="00325183" w:rsidP="000346AA">
            <w:pPr>
              <w:contextualSpacing/>
              <w:jc w:val="center"/>
              <w:rPr>
                <w:rFonts w:ascii="Garamond" w:hAnsi="Garamond" w:cstheme="minorHAnsi"/>
              </w:rPr>
            </w:pPr>
            <w:r w:rsidRPr="00212259">
              <w:rPr>
                <w:rFonts w:ascii="Garamond" w:hAnsi="Garamond"/>
              </w:rPr>
              <w:t>$1,363</w:t>
            </w:r>
          </w:p>
        </w:tc>
      </w:tr>
      <w:tr w:rsidR="00325183" w:rsidRPr="00212259" w14:paraId="1ABEC46E" w14:textId="77777777" w:rsidTr="000346AA">
        <w:tc>
          <w:tcPr>
            <w:tcW w:w="0" w:type="auto"/>
            <w:shd w:val="clear" w:color="auto" w:fill="DFE3F0" w:themeFill="accent1" w:themeFillTint="33"/>
          </w:tcPr>
          <w:p w14:paraId="23FF3166" w14:textId="77777777" w:rsidR="00325183" w:rsidRPr="00212259" w:rsidRDefault="00325183" w:rsidP="000346AA">
            <w:pPr>
              <w:contextualSpacing/>
              <w:rPr>
                <w:rFonts w:ascii="Garamond" w:hAnsi="Garamond" w:cstheme="minorHAnsi"/>
                <w:b/>
                <w:bCs/>
              </w:rPr>
            </w:pPr>
            <w:r w:rsidRPr="00212259">
              <w:rPr>
                <w:rFonts w:ascii="Garamond" w:hAnsi="Garamond" w:cstheme="minorHAnsi"/>
                <w:b/>
                <w:bCs/>
              </w:rPr>
              <w:t>Otolaryngology</w:t>
            </w:r>
          </w:p>
        </w:tc>
        <w:tc>
          <w:tcPr>
            <w:tcW w:w="0" w:type="auto"/>
            <w:shd w:val="clear" w:color="auto" w:fill="DFE3F0" w:themeFill="accent1" w:themeFillTint="33"/>
          </w:tcPr>
          <w:p w14:paraId="1016D047"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5640EC70"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13BB6AD1"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17FD9D82"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779045F0" w14:textId="77777777" w:rsidR="00325183" w:rsidRPr="00212259" w:rsidRDefault="00325183" w:rsidP="000346AA">
            <w:pPr>
              <w:contextualSpacing/>
              <w:jc w:val="center"/>
              <w:rPr>
                <w:rFonts w:ascii="Garamond" w:hAnsi="Garamond" w:cstheme="minorHAnsi"/>
              </w:rPr>
            </w:pPr>
          </w:p>
        </w:tc>
        <w:tc>
          <w:tcPr>
            <w:tcW w:w="0" w:type="auto"/>
            <w:shd w:val="clear" w:color="auto" w:fill="DFE3F0" w:themeFill="accent1" w:themeFillTint="33"/>
          </w:tcPr>
          <w:p w14:paraId="74D7ED7D" w14:textId="77777777" w:rsidR="00325183" w:rsidRPr="00212259" w:rsidRDefault="00325183" w:rsidP="000346AA">
            <w:pPr>
              <w:contextualSpacing/>
              <w:jc w:val="center"/>
              <w:rPr>
                <w:rFonts w:ascii="Garamond" w:hAnsi="Garamond" w:cstheme="minorHAnsi"/>
              </w:rPr>
            </w:pPr>
          </w:p>
        </w:tc>
      </w:tr>
      <w:tr w:rsidR="00325183" w:rsidRPr="00212259" w14:paraId="6DB5BBC1" w14:textId="77777777" w:rsidTr="000346AA">
        <w:tc>
          <w:tcPr>
            <w:tcW w:w="0" w:type="auto"/>
            <w:shd w:val="clear" w:color="auto" w:fill="FFFFFF" w:themeFill="background1"/>
          </w:tcPr>
          <w:p w14:paraId="238278B8" w14:textId="77777777" w:rsidR="00325183" w:rsidRPr="00212259" w:rsidRDefault="00325183" w:rsidP="000346AA">
            <w:pPr>
              <w:contextualSpacing/>
              <w:rPr>
                <w:rFonts w:ascii="Garamond" w:hAnsi="Garamond" w:cstheme="minorHAnsi"/>
              </w:rPr>
            </w:pPr>
            <w:r w:rsidRPr="00212259">
              <w:rPr>
                <w:rFonts w:ascii="Garamond" w:hAnsi="Garamond" w:cstheme="minorHAnsi"/>
              </w:rPr>
              <w:t>Nasal sinus endoscopy frontal tissue removal</w:t>
            </w:r>
          </w:p>
        </w:tc>
        <w:tc>
          <w:tcPr>
            <w:tcW w:w="0" w:type="auto"/>
            <w:shd w:val="clear" w:color="auto" w:fill="FFFFFF" w:themeFill="background1"/>
          </w:tcPr>
          <w:p w14:paraId="5F5DECA1" w14:textId="77777777" w:rsidR="00325183" w:rsidRPr="00212259" w:rsidRDefault="00325183" w:rsidP="000346AA">
            <w:pPr>
              <w:contextualSpacing/>
              <w:jc w:val="center"/>
              <w:rPr>
                <w:rFonts w:ascii="Garamond" w:hAnsi="Garamond" w:cstheme="minorHAnsi"/>
              </w:rPr>
            </w:pPr>
            <w:r w:rsidRPr="00212259">
              <w:rPr>
                <w:rFonts w:ascii="Garamond" w:hAnsi="Garamond"/>
              </w:rPr>
              <w:t>$1,993</w:t>
            </w:r>
          </w:p>
        </w:tc>
        <w:tc>
          <w:tcPr>
            <w:tcW w:w="0" w:type="auto"/>
            <w:shd w:val="clear" w:color="auto" w:fill="FFFFFF" w:themeFill="background1"/>
          </w:tcPr>
          <w:p w14:paraId="314BC8C3" w14:textId="77777777" w:rsidR="00325183" w:rsidRPr="00212259" w:rsidRDefault="00325183" w:rsidP="000346AA">
            <w:pPr>
              <w:contextualSpacing/>
              <w:jc w:val="center"/>
              <w:rPr>
                <w:rFonts w:ascii="Garamond" w:hAnsi="Garamond" w:cstheme="minorHAnsi"/>
              </w:rPr>
            </w:pPr>
            <w:r w:rsidRPr="00212259">
              <w:rPr>
                <w:rFonts w:ascii="Garamond" w:hAnsi="Garamond"/>
              </w:rPr>
              <w:t>$1,594</w:t>
            </w:r>
          </w:p>
        </w:tc>
        <w:tc>
          <w:tcPr>
            <w:tcW w:w="0" w:type="auto"/>
            <w:shd w:val="clear" w:color="auto" w:fill="FFFFFF" w:themeFill="background1"/>
          </w:tcPr>
          <w:p w14:paraId="4361A660" w14:textId="77777777" w:rsidR="00325183" w:rsidRPr="00212259" w:rsidRDefault="00325183" w:rsidP="000346AA">
            <w:pPr>
              <w:contextualSpacing/>
              <w:jc w:val="center"/>
              <w:rPr>
                <w:rFonts w:ascii="Garamond" w:hAnsi="Garamond" w:cstheme="minorHAnsi"/>
              </w:rPr>
            </w:pPr>
            <w:r w:rsidRPr="00212259">
              <w:rPr>
                <w:rFonts w:ascii="Garamond" w:hAnsi="Garamond"/>
              </w:rPr>
              <w:t>$399</w:t>
            </w:r>
          </w:p>
        </w:tc>
        <w:tc>
          <w:tcPr>
            <w:tcW w:w="0" w:type="auto"/>
            <w:shd w:val="clear" w:color="auto" w:fill="FFFFFF" w:themeFill="background1"/>
          </w:tcPr>
          <w:p w14:paraId="143879EF" w14:textId="77777777" w:rsidR="00325183" w:rsidRPr="00212259" w:rsidRDefault="00325183" w:rsidP="000346AA">
            <w:pPr>
              <w:contextualSpacing/>
              <w:jc w:val="center"/>
              <w:rPr>
                <w:rFonts w:ascii="Garamond" w:hAnsi="Garamond" w:cstheme="minorHAnsi"/>
              </w:rPr>
            </w:pPr>
            <w:r w:rsidRPr="00212259">
              <w:rPr>
                <w:rFonts w:ascii="Garamond" w:hAnsi="Garamond"/>
              </w:rPr>
              <w:t>$6,199</w:t>
            </w:r>
          </w:p>
        </w:tc>
        <w:tc>
          <w:tcPr>
            <w:tcW w:w="0" w:type="auto"/>
            <w:shd w:val="clear" w:color="auto" w:fill="FFFFFF" w:themeFill="background1"/>
          </w:tcPr>
          <w:p w14:paraId="55AA7D1F" w14:textId="77777777" w:rsidR="00325183" w:rsidRPr="00212259" w:rsidRDefault="00325183" w:rsidP="000346AA">
            <w:pPr>
              <w:contextualSpacing/>
              <w:jc w:val="center"/>
              <w:rPr>
                <w:rFonts w:ascii="Garamond" w:hAnsi="Garamond" w:cstheme="minorHAnsi"/>
              </w:rPr>
            </w:pPr>
            <w:r w:rsidRPr="00212259">
              <w:rPr>
                <w:rFonts w:ascii="Garamond" w:hAnsi="Garamond"/>
              </w:rPr>
              <w:t>$4,959</w:t>
            </w:r>
          </w:p>
        </w:tc>
        <w:tc>
          <w:tcPr>
            <w:tcW w:w="0" w:type="auto"/>
            <w:shd w:val="clear" w:color="auto" w:fill="FFFFFF" w:themeFill="background1"/>
          </w:tcPr>
          <w:p w14:paraId="088EEA0D" w14:textId="77777777" w:rsidR="00325183" w:rsidRPr="00212259" w:rsidRDefault="00325183" w:rsidP="000346AA">
            <w:pPr>
              <w:contextualSpacing/>
              <w:jc w:val="center"/>
              <w:rPr>
                <w:rFonts w:ascii="Garamond" w:hAnsi="Garamond" w:cstheme="minorHAnsi"/>
              </w:rPr>
            </w:pPr>
            <w:r w:rsidRPr="00212259">
              <w:rPr>
                <w:rFonts w:ascii="Garamond" w:hAnsi="Garamond"/>
              </w:rPr>
              <w:t>$1,240</w:t>
            </w:r>
          </w:p>
        </w:tc>
      </w:tr>
      <w:tr w:rsidR="00325183" w:rsidRPr="00212259" w14:paraId="6CBCCFD0" w14:textId="77777777" w:rsidTr="000346AA">
        <w:tc>
          <w:tcPr>
            <w:tcW w:w="0" w:type="auto"/>
            <w:shd w:val="clear" w:color="auto" w:fill="FFFFFF" w:themeFill="background1"/>
          </w:tcPr>
          <w:p w14:paraId="6FF0BC71" w14:textId="77777777" w:rsidR="00325183" w:rsidRPr="00212259" w:rsidRDefault="00325183" w:rsidP="000346AA">
            <w:pPr>
              <w:contextualSpacing/>
              <w:rPr>
                <w:rFonts w:ascii="Garamond" w:hAnsi="Garamond" w:cstheme="minorHAnsi"/>
              </w:rPr>
            </w:pPr>
            <w:r w:rsidRPr="00212259">
              <w:rPr>
                <w:rFonts w:ascii="Garamond" w:hAnsi="Garamond"/>
              </w:rPr>
              <w:t>Repair of nasal septum (Septoplasty)</w:t>
            </w:r>
          </w:p>
        </w:tc>
        <w:tc>
          <w:tcPr>
            <w:tcW w:w="0" w:type="auto"/>
            <w:shd w:val="clear" w:color="auto" w:fill="FFFFFF" w:themeFill="background1"/>
          </w:tcPr>
          <w:p w14:paraId="017A3975" w14:textId="77777777" w:rsidR="00325183" w:rsidRPr="00212259" w:rsidRDefault="00325183" w:rsidP="000346AA">
            <w:pPr>
              <w:contextualSpacing/>
              <w:jc w:val="center"/>
              <w:rPr>
                <w:rFonts w:ascii="Garamond" w:hAnsi="Garamond"/>
              </w:rPr>
            </w:pPr>
            <w:r w:rsidRPr="00212259">
              <w:rPr>
                <w:rFonts w:ascii="Garamond" w:hAnsi="Garamond"/>
              </w:rPr>
              <w:t>$1,109</w:t>
            </w:r>
          </w:p>
        </w:tc>
        <w:tc>
          <w:tcPr>
            <w:tcW w:w="0" w:type="auto"/>
            <w:shd w:val="clear" w:color="auto" w:fill="FFFFFF" w:themeFill="background1"/>
          </w:tcPr>
          <w:p w14:paraId="48FB0177" w14:textId="77777777" w:rsidR="00325183" w:rsidRPr="00212259" w:rsidRDefault="00325183" w:rsidP="000346AA">
            <w:pPr>
              <w:contextualSpacing/>
              <w:jc w:val="center"/>
              <w:rPr>
                <w:rFonts w:ascii="Garamond" w:hAnsi="Garamond"/>
              </w:rPr>
            </w:pPr>
            <w:r w:rsidRPr="00212259">
              <w:rPr>
                <w:rFonts w:ascii="Garamond" w:hAnsi="Garamond"/>
              </w:rPr>
              <w:t>$887</w:t>
            </w:r>
          </w:p>
        </w:tc>
        <w:tc>
          <w:tcPr>
            <w:tcW w:w="0" w:type="auto"/>
            <w:shd w:val="clear" w:color="auto" w:fill="FFFFFF" w:themeFill="background1"/>
          </w:tcPr>
          <w:p w14:paraId="60740267" w14:textId="77777777" w:rsidR="00325183" w:rsidRPr="00212259" w:rsidRDefault="00325183" w:rsidP="000346AA">
            <w:pPr>
              <w:contextualSpacing/>
              <w:jc w:val="center"/>
              <w:rPr>
                <w:rFonts w:ascii="Garamond" w:hAnsi="Garamond"/>
              </w:rPr>
            </w:pPr>
            <w:r w:rsidRPr="00212259">
              <w:rPr>
                <w:rFonts w:ascii="Garamond" w:hAnsi="Garamond"/>
              </w:rPr>
              <w:t>$222</w:t>
            </w:r>
          </w:p>
        </w:tc>
        <w:tc>
          <w:tcPr>
            <w:tcW w:w="0" w:type="auto"/>
            <w:shd w:val="clear" w:color="auto" w:fill="FFFFFF" w:themeFill="background1"/>
          </w:tcPr>
          <w:p w14:paraId="5D8D1C5B" w14:textId="77777777" w:rsidR="00325183" w:rsidRPr="00212259" w:rsidRDefault="00325183" w:rsidP="000346AA">
            <w:pPr>
              <w:contextualSpacing/>
              <w:jc w:val="center"/>
              <w:rPr>
                <w:rFonts w:ascii="Garamond" w:hAnsi="Garamond"/>
              </w:rPr>
            </w:pPr>
            <w:r w:rsidRPr="00212259">
              <w:rPr>
                <w:rFonts w:ascii="Garamond" w:hAnsi="Garamond"/>
              </w:rPr>
              <w:t>$2,985</w:t>
            </w:r>
          </w:p>
        </w:tc>
        <w:tc>
          <w:tcPr>
            <w:tcW w:w="0" w:type="auto"/>
            <w:shd w:val="clear" w:color="auto" w:fill="FFFFFF" w:themeFill="background1"/>
          </w:tcPr>
          <w:p w14:paraId="0985C154" w14:textId="77777777" w:rsidR="00325183" w:rsidRPr="00212259" w:rsidRDefault="00325183" w:rsidP="000346AA">
            <w:pPr>
              <w:contextualSpacing/>
              <w:jc w:val="center"/>
              <w:rPr>
                <w:rFonts w:ascii="Garamond" w:hAnsi="Garamond"/>
              </w:rPr>
            </w:pPr>
            <w:r w:rsidRPr="00212259">
              <w:rPr>
                <w:rFonts w:ascii="Garamond" w:hAnsi="Garamond"/>
              </w:rPr>
              <w:t>$2,388</w:t>
            </w:r>
          </w:p>
        </w:tc>
        <w:tc>
          <w:tcPr>
            <w:tcW w:w="0" w:type="auto"/>
            <w:shd w:val="clear" w:color="auto" w:fill="FFFFFF" w:themeFill="background1"/>
          </w:tcPr>
          <w:p w14:paraId="6B566710" w14:textId="77777777" w:rsidR="00325183" w:rsidRPr="00212259" w:rsidRDefault="00325183" w:rsidP="000346AA">
            <w:pPr>
              <w:contextualSpacing/>
              <w:jc w:val="center"/>
              <w:rPr>
                <w:rFonts w:ascii="Garamond" w:hAnsi="Garamond"/>
              </w:rPr>
            </w:pPr>
            <w:r w:rsidRPr="00212259">
              <w:rPr>
                <w:rFonts w:ascii="Garamond" w:hAnsi="Garamond"/>
              </w:rPr>
              <w:t>$597</w:t>
            </w:r>
          </w:p>
        </w:tc>
      </w:tr>
      <w:tr w:rsidR="00325183" w:rsidRPr="00212259" w14:paraId="07DFA842" w14:textId="77777777" w:rsidTr="000346AA">
        <w:tc>
          <w:tcPr>
            <w:tcW w:w="0" w:type="auto"/>
            <w:shd w:val="clear" w:color="auto" w:fill="DFE3F0" w:themeFill="accent1" w:themeFillTint="33"/>
          </w:tcPr>
          <w:p w14:paraId="227D5A45" w14:textId="77777777" w:rsidR="00325183" w:rsidRPr="00212259" w:rsidRDefault="00325183" w:rsidP="000346AA">
            <w:pPr>
              <w:contextualSpacing/>
              <w:rPr>
                <w:rFonts w:ascii="Garamond" w:hAnsi="Garamond" w:cstheme="minorHAnsi"/>
                <w:b/>
                <w:bCs/>
              </w:rPr>
            </w:pPr>
            <w:r w:rsidRPr="00212259">
              <w:rPr>
                <w:rFonts w:ascii="Garamond" w:hAnsi="Garamond" w:cstheme="minorHAnsi"/>
                <w:b/>
                <w:bCs/>
              </w:rPr>
              <w:t>Urology</w:t>
            </w:r>
          </w:p>
        </w:tc>
        <w:tc>
          <w:tcPr>
            <w:tcW w:w="0" w:type="auto"/>
            <w:shd w:val="clear" w:color="auto" w:fill="DFE3F0" w:themeFill="accent1" w:themeFillTint="33"/>
          </w:tcPr>
          <w:p w14:paraId="3DFCDEB6" w14:textId="77777777" w:rsidR="00325183" w:rsidRPr="00212259" w:rsidRDefault="00325183" w:rsidP="000346AA">
            <w:pPr>
              <w:contextualSpacing/>
              <w:jc w:val="center"/>
              <w:rPr>
                <w:rFonts w:ascii="Garamond" w:hAnsi="Garamond" w:cstheme="minorHAnsi"/>
                <w:b/>
                <w:bCs/>
              </w:rPr>
            </w:pPr>
          </w:p>
        </w:tc>
        <w:tc>
          <w:tcPr>
            <w:tcW w:w="0" w:type="auto"/>
            <w:shd w:val="clear" w:color="auto" w:fill="DFE3F0" w:themeFill="accent1" w:themeFillTint="33"/>
          </w:tcPr>
          <w:p w14:paraId="28F8B732" w14:textId="77777777" w:rsidR="00325183" w:rsidRPr="00212259" w:rsidRDefault="00325183" w:rsidP="000346AA">
            <w:pPr>
              <w:contextualSpacing/>
              <w:jc w:val="center"/>
              <w:rPr>
                <w:rFonts w:ascii="Garamond" w:hAnsi="Garamond" w:cstheme="minorHAnsi"/>
                <w:b/>
                <w:bCs/>
              </w:rPr>
            </w:pPr>
          </w:p>
        </w:tc>
        <w:tc>
          <w:tcPr>
            <w:tcW w:w="0" w:type="auto"/>
            <w:shd w:val="clear" w:color="auto" w:fill="DFE3F0" w:themeFill="accent1" w:themeFillTint="33"/>
          </w:tcPr>
          <w:p w14:paraId="6898D327" w14:textId="77777777" w:rsidR="00325183" w:rsidRPr="00212259" w:rsidRDefault="00325183" w:rsidP="000346AA">
            <w:pPr>
              <w:contextualSpacing/>
              <w:jc w:val="center"/>
              <w:rPr>
                <w:rFonts w:ascii="Garamond" w:hAnsi="Garamond" w:cstheme="minorHAnsi"/>
                <w:b/>
                <w:bCs/>
              </w:rPr>
            </w:pPr>
          </w:p>
        </w:tc>
        <w:tc>
          <w:tcPr>
            <w:tcW w:w="0" w:type="auto"/>
            <w:shd w:val="clear" w:color="auto" w:fill="DFE3F0" w:themeFill="accent1" w:themeFillTint="33"/>
          </w:tcPr>
          <w:p w14:paraId="49E95EC7" w14:textId="77777777" w:rsidR="00325183" w:rsidRPr="00212259" w:rsidRDefault="00325183" w:rsidP="000346AA">
            <w:pPr>
              <w:contextualSpacing/>
              <w:jc w:val="center"/>
              <w:rPr>
                <w:rFonts w:ascii="Garamond" w:hAnsi="Garamond" w:cstheme="minorHAnsi"/>
                <w:b/>
                <w:bCs/>
              </w:rPr>
            </w:pPr>
          </w:p>
        </w:tc>
        <w:tc>
          <w:tcPr>
            <w:tcW w:w="0" w:type="auto"/>
            <w:shd w:val="clear" w:color="auto" w:fill="DFE3F0" w:themeFill="accent1" w:themeFillTint="33"/>
          </w:tcPr>
          <w:p w14:paraId="18E5C971" w14:textId="77777777" w:rsidR="00325183" w:rsidRPr="00212259" w:rsidRDefault="00325183" w:rsidP="000346AA">
            <w:pPr>
              <w:contextualSpacing/>
              <w:jc w:val="center"/>
              <w:rPr>
                <w:rFonts w:ascii="Garamond" w:hAnsi="Garamond" w:cstheme="minorHAnsi"/>
                <w:b/>
                <w:bCs/>
              </w:rPr>
            </w:pPr>
          </w:p>
        </w:tc>
        <w:tc>
          <w:tcPr>
            <w:tcW w:w="0" w:type="auto"/>
            <w:shd w:val="clear" w:color="auto" w:fill="DFE3F0" w:themeFill="accent1" w:themeFillTint="33"/>
          </w:tcPr>
          <w:p w14:paraId="426DC306" w14:textId="77777777" w:rsidR="00325183" w:rsidRPr="00212259" w:rsidRDefault="00325183" w:rsidP="000346AA">
            <w:pPr>
              <w:contextualSpacing/>
              <w:jc w:val="center"/>
              <w:rPr>
                <w:rFonts w:ascii="Garamond" w:hAnsi="Garamond" w:cstheme="minorHAnsi"/>
                <w:b/>
                <w:bCs/>
              </w:rPr>
            </w:pPr>
          </w:p>
        </w:tc>
      </w:tr>
      <w:tr w:rsidR="00325183" w:rsidRPr="00212259" w14:paraId="158A1ACF" w14:textId="77777777" w:rsidTr="000346AA">
        <w:tc>
          <w:tcPr>
            <w:tcW w:w="0" w:type="auto"/>
            <w:shd w:val="clear" w:color="auto" w:fill="FFFFFF" w:themeFill="background1"/>
          </w:tcPr>
          <w:p w14:paraId="2A468EBF" w14:textId="77777777" w:rsidR="00325183" w:rsidRPr="00212259" w:rsidRDefault="00325183" w:rsidP="000346AA">
            <w:pPr>
              <w:contextualSpacing/>
              <w:rPr>
                <w:rFonts w:ascii="Garamond" w:hAnsi="Garamond" w:cstheme="minorHAnsi"/>
              </w:rPr>
            </w:pPr>
            <w:r w:rsidRPr="00212259">
              <w:rPr>
                <w:rFonts w:ascii="Garamond" w:hAnsi="Garamond" w:cstheme="minorHAnsi"/>
              </w:rPr>
              <w:t>Fragmenting of kidney stone (ESWL)</w:t>
            </w:r>
          </w:p>
        </w:tc>
        <w:tc>
          <w:tcPr>
            <w:tcW w:w="0" w:type="auto"/>
            <w:shd w:val="clear" w:color="auto" w:fill="FFFFFF" w:themeFill="background1"/>
          </w:tcPr>
          <w:p w14:paraId="6FDEF3A6" w14:textId="77777777" w:rsidR="00325183" w:rsidRPr="00212259" w:rsidRDefault="00325183" w:rsidP="000346AA">
            <w:pPr>
              <w:contextualSpacing/>
              <w:jc w:val="center"/>
              <w:rPr>
                <w:rFonts w:ascii="Garamond" w:hAnsi="Garamond" w:cstheme="minorHAnsi"/>
              </w:rPr>
            </w:pPr>
            <w:r w:rsidRPr="00212259">
              <w:rPr>
                <w:rFonts w:ascii="Garamond" w:hAnsi="Garamond"/>
              </w:rPr>
              <w:t>$1,045</w:t>
            </w:r>
          </w:p>
        </w:tc>
        <w:tc>
          <w:tcPr>
            <w:tcW w:w="0" w:type="auto"/>
            <w:shd w:val="clear" w:color="auto" w:fill="FFFFFF" w:themeFill="background1"/>
          </w:tcPr>
          <w:p w14:paraId="57362555" w14:textId="77777777" w:rsidR="00325183" w:rsidRPr="00212259" w:rsidRDefault="00325183" w:rsidP="000346AA">
            <w:pPr>
              <w:contextualSpacing/>
              <w:jc w:val="center"/>
              <w:rPr>
                <w:rFonts w:ascii="Garamond" w:hAnsi="Garamond" w:cstheme="minorHAnsi"/>
              </w:rPr>
            </w:pPr>
            <w:r w:rsidRPr="00212259">
              <w:rPr>
                <w:rFonts w:ascii="Garamond" w:hAnsi="Garamond"/>
              </w:rPr>
              <w:t>$1,158</w:t>
            </w:r>
          </w:p>
        </w:tc>
        <w:tc>
          <w:tcPr>
            <w:tcW w:w="0" w:type="auto"/>
            <w:shd w:val="clear" w:color="auto" w:fill="FFFFFF" w:themeFill="background1"/>
          </w:tcPr>
          <w:p w14:paraId="53431BCC" w14:textId="77777777" w:rsidR="00325183" w:rsidRPr="00212259" w:rsidRDefault="00325183" w:rsidP="000346AA">
            <w:pPr>
              <w:contextualSpacing/>
              <w:jc w:val="center"/>
              <w:rPr>
                <w:rFonts w:ascii="Garamond" w:hAnsi="Garamond" w:cstheme="minorHAnsi"/>
              </w:rPr>
            </w:pPr>
            <w:r w:rsidRPr="00212259">
              <w:rPr>
                <w:rFonts w:ascii="Garamond" w:hAnsi="Garamond"/>
              </w:rPr>
              <w:t>$289</w:t>
            </w:r>
          </w:p>
        </w:tc>
        <w:tc>
          <w:tcPr>
            <w:tcW w:w="0" w:type="auto"/>
            <w:shd w:val="clear" w:color="auto" w:fill="FFFFFF" w:themeFill="background1"/>
          </w:tcPr>
          <w:p w14:paraId="508E4CDB" w14:textId="77777777" w:rsidR="00325183" w:rsidRPr="00212259" w:rsidRDefault="00325183" w:rsidP="000346AA">
            <w:pPr>
              <w:contextualSpacing/>
              <w:jc w:val="center"/>
              <w:rPr>
                <w:rFonts w:ascii="Garamond" w:hAnsi="Garamond" w:cstheme="minorHAnsi"/>
              </w:rPr>
            </w:pPr>
            <w:r w:rsidRPr="00212259">
              <w:rPr>
                <w:rFonts w:ascii="Garamond" w:hAnsi="Garamond"/>
              </w:rPr>
              <w:t>$3,439</w:t>
            </w:r>
          </w:p>
        </w:tc>
        <w:tc>
          <w:tcPr>
            <w:tcW w:w="0" w:type="auto"/>
            <w:shd w:val="clear" w:color="auto" w:fill="FFFFFF" w:themeFill="background1"/>
          </w:tcPr>
          <w:p w14:paraId="7E274F09" w14:textId="77777777" w:rsidR="00325183" w:rsidRPr="00212259" w:rsidRDefault="00325183" w:rsidP="000346AA">
            <w:pPr>
              <w:contextualSpacing/>
              <w:jc w:val="center"/>
              <w:rPr>
                <w:rFonts w:ascii="Garamond" w:hAnsi="Garamond" w:cstheme="minorHAnsi"/>
              </w:rPr>
            </w:pPr>
            <w:r w:rsidRPr="00212259">
              <w:rPr>
                <w:rFonts w:ascii="Garamond" w:hAnsi="Garamond"/>
              </w:rPr>
              <w:t>$2,751</w:t>
            </w:r>
          </w:p>
        </w:tc>
        <w:tc>
          <w:tcPr>
            <w:tcW w:w="0" w:type="auto"/>
            <w:shd w:val="clear" w:color="auto" w:fill="FFFFFF" w:themeFill="background1"/>
          </w:tcPr>
          <w:p w14:paraId="45101889" w14:textId="77777777" w:rsidR="00325183" w:rsidRPr="00212259" w:rsidRDefault="00325183" w:rsidP="000346AA">
            <w:pPr>
              <w:contextualSpacing/>
              <w:jc w:val="center"/>
              <w:rPr>
                <w:rFonts w:ascii="Garamond" w:hAnsi="Garamond" w:cstheme="minorHAnsi"/>
              </w:rPr>
            </w:pPr>
            <w:r w:rsidRPr="00212259">
              <w:rPr>
                <w:rFonts w:ascii="Garamond" w:hAnsi="Garamond"/>
              </w:rPr>
              <w:t>$688</w:t>
            </w:r>
          </w:p>
        </w:tc>
      </w:tr>
      <w:tr w:rsidR="00325183" w:rsidRPr="00212259" w14:paraId="18F11F35" w14:textId="77777777" w:rsidTr="000346AA">
        <w:tc>
          <w:tcPr>
            <w:tcW w:w="0" w:type="auto"/>
            <w:shd w:val="clear" w:color="auto" w:fill="FFFFFF" w:themeFill="background1"/>
          </w:tcPr>
          <w:p w14:paraId="6E334546" w14:textId="77777777" w:rsidR="00325183" w:rsidRPr="00212259" w:rsidRDefault="00325183" w:rsidP="000346AA">
            <w:pPr>
              <w:contextualSpacing/>
              <w:rPr>
                <w:rFonts w:ascii="Garamond" w:hAnsi="Garamond" w:cstheme="minorHAnsi"/>
              </w:rPr>
            </w:pPr>
            <w:r w:rsidRPr="00212259">
              <w:rPr>
                <w:rFonts w:ascii="Garamond" w:hAnsi="Garamond" w:cstheme="minorHAnsi"/>
              </w:rPr>
              <w:t>Cystoscopy with biopsy</w:t>
            </w:r>
          </w:p>
        </w:tc>
        <w:tc>
          <w:tcPr>
            <w:tcW w:w="0" w:type="auto"/>
            <w:shd w:val="clear" w:color="auto" w:fill="FFFFFF" w:themeFill="background1"/>
          </w:tcPr>
          <w:p w14:paraId="3FF5729C" w14:textId="77777777" w:rsidR="00325183" w:rsidRPr="00212259" w:rsidRDefault="00325183" w:rsidP="000346AA">
            <w:pPr>
              <w:contextualSpacing/>
              <w:jc w:val="center"/>
              <w:rPr>
                <w:rFonts w:ascii="Garamond" w:hAnsi="Garamond" w:cstheme="minorHAnsi"/>
              </w:rPr>
            </w:pPr>
            <w:r w:rsidRPr="00212259">
              <w:rPr>
                <w:rFonts w:ascii="Garamond" w:hAnsi="Garamond"/>
              </w:rPr>
              <w:t>$830</w:t>
            </w:r>
          </w:p>
        </w:tc>
        <w:tc>
          <w:tcPr>
            <w:tcW w:w="0" w:type="auto"/>
            <w:shd w:val="clear" w:color="auto" w:fill="FFFFFF" w:themeFill="background1"/>
          </w:tcPr>
          <w:p w14:paraId="463A9EF7" w14:textId="77777777" w:rsidR="00325183" w:rsidRPr="00212259" w:rsidRDefault="00325183" w:rsidP="000346AA">
            <w:pPr>
              <w:contextualSpacing/>
              <w:jc w:val="center"/>
              <w:rPr>
                <w:rFonts w:ascii="Garamond" w:hAnsi="Garamond" w:cstheme="minorHAnsi"/>
              </w:rPr>
            </w:pPr>
            <w:r w:rsidRPr="00212259">
              <w:rPr>
                <w:rFonts w:ascii="Garamond" w:hAnsi="Garamond"/>
              </w:rPr>
              <w:t>$664</w:t>
            </w:r>
          </w:p>
        </w:tc>
        <w:tc>
          <w:tcPr>
            <w:tcW w:w="0" w:type="auto"/>
            <w:shd w:val="clear" w:color="auto" w:fill="FFFFFF" w:themeFill="background1"/>
          </w:tcPr>
          <w:p w14:paraId="51F150D5" w14:textId="77777777" w:rsidR="00325183" w:rsidRPr="00212259" w:rsidRDefault="00325183" w:rsidP="000346AA">
            <w:pPr>
              <w:contextualSpacing/>
              <w:jc w:val="center"/>
              <w:rPr>
                <w:rFonts w:ascii="Garamond" w:hAnsi="Garamond" w:cstheme="minorHAnsi"/>
              </w:rPr>
            </w:pPr>
            <w:r w:rsidRPr="00212259">
              <w:rPr>
                <w:rFonts w:ascii="Garamond" w:hAnsi="Garamond"/>
              </w:rPr>
              <w:t>$166</w:t>
            </w:r>
          </w:p>
        </w:tc>
        <w:tc>
          <w:tcPr>
            <w:tcW w:w="0" w:type="auto"/>
            <w:shd w:val="clear" w:color="auto" w:fill="FFFFFF" w:themeFill="background1"/>
          </w:tcPr>
          <w:p w14:paraId="31B6D2D2" w14:textId="77777777" w:rsidR="00325183" w:rsidRPr="00212259" w:rsidRDefault="00325183" w:rsidP="000346AA">
            <w:pPr>
              <w:contextualSpacing/>
              <w:jc w:val="center"/>
              <w:rPr>
                <w:rFonts w:ascii="Garamond" w:hAnsi="Garamond" w:cstheme="minorHAnsi"/>
              </w:rPr>
            </w:pPr>
            <w:r w:rsidRPr="00212259">
              <w:rPr>
                <w:rFonts w:ascii="Garamond" w:hAnsi="Garamond"/>
              </w:rPr>
              <w:t>$2,018</w:t>
            </w:r>
          </w:p>
        </w:tc>
        <w:tc>
          <w:tcPr>
            <w:tcW w:w="0" w:type="auto"/>
            <w:shd w:val="clear" w:color="auto" w:fill="FFFFFF" w:themeFill="background1"/>
          </w:tcPr>
          <w:p w14:paraId="4DC29B27" w14:textId="77777777" w:rsidR="00325183" w:rsidRPr="00212259" w:rsidRDefault="00325183" w:rsidP="000346AA">
            <w:pPr>
              <w:contextualSpacing/>
              <w:jc w:val="center"/>
              <w:rPr>
                <w:rFonts w:ascii="Garamond" w:hAnsi="Garamond" w:cstheme="minorHAnsi"/>
              </w:rPr>
            </w:pPr>
            <w:r w:rsidRPr="00212259">
              <w:rPr>
                <w:rFonts w:ascii="Garamond" w:hAnsi="Garamond"/>
              </w:rPr>
              <w:t>$1,614</w:t>
            </w:r>
          </w:p>
        </w:tc>
        <w:tc>
          <w:tcPr>
            <w:tcW w:w="0" w:type="auto"/>
            <w:shd w:val="clear" w:color="auto" w:fill="FFFFFF" w:themeFill="background1"/>
          </w:tcPr>
          <w:p w14:paraId="3DC71158" w14:textId="77777777" w:rsidR="00325183" w:rsidRPr="00212259" w:rsidRDefault="00325183" w:rsidP="000346AA">
            <w:pPr>
              <w:contextualSpacing/>
              <w:jc w:val="center"/>
              <w:rPr>
                <w:rFonts w:ascii="Garamond" w:hAnsi="Garamond" w:cstheme="minorHAnsi"/>
              </w:rPr>
            </w:pPr>
            <w:r w:rsidRPr="00212259">
              <w:rPr>
                <w:rFonts w:ascii="Garamond" w:hAnsi="Garamond"/>
              </w:rPr>
              <w:t>$404</w:t>
            </w:r>
          </w:p>
        </w:tc>
      </w:tr>
      <w:tr w:rsidR="00325183" w:rsidRPr="00212259" w14:paraId="5971A81A" w14:textId="77777777" w:rsidTr="000346AA">
        <w:tc>
          <w:tcPr>
            <w:tcW w:w="0" w:type="auto"/>
            <w:tcBorders>
              <w:top w:val="single" w:sz="4" w:space="0" w:color="auto"/>
              <w:left w:val="single" w:sz="4" w:space="0" w:color="auto"/>
              <w:bottom w:val="single" w:sz="4" w:space="0" w:color="auto"/>
              <w:right w:val="single" w:sz="4" w:space="0" w:color="auto"/>
            </w:tcBorders>
            <w:shd w:val="clear" w:color="auto" w:fill="DFE3F0" w:themeFill="accent1" w:themeFillTint="33"/>
            <w:hideMark/>
          </w:tcPr>
          <w:p w14:paraId="7546FD9B" w14:textId="77777777" w:rsidR="00325183" w:rsidRPr="00212259" w:rsidRDefault="00325183" w:rsidP="000346AA">
            <w:pPr>
              <w:contextualSpacing/>
              <w:rPr>
                <w:rFonts w:ascii="Garamond" w:hAnsi="Garamond" w:cstheme="minorHAnsi"/>
                <w:b/>
                <w:bCs/>
              </w:rPr>
            </w:pPr>
            <w:r w:rsidRPr="00212259">
              <w:rPr>
                <w:rFonts w:ascii="Garamond" w:hAnsi="Garamond" w:cstheme="minorHAnsi"/>
                <w:b/>
                <w:bCs/>
              </w:rPr>
              <w:t>Pain Management</w:t>
            </w:r>
          </w:p>
        </w:tc>
        <w:tc>
          <w:tcPr>
            <w:tcW w:w="0" w:type="auto"/>
            <w:tcBorders>
              <w:top w:val="single" w:sz="4" w:space="0" w:color="auto"/>
              <w:left w:val="single" w:sz="4" w:space="0" w:color="auto"/>
              <w:bottom w:val="single" w:sz="4" w:space="0" w:color="auto"/>
              <w:right w:val="single" w:sz="4" w:space="0" w:color="auto"/>
            </w:tcBorders>
            <w:shd w:val="clear" w:color="auto" w:fill="DFE3F0" w:themeFill="accent1" w:themeFillTint="33"/>
          </w:tcPr>
          <w:p w14:paraId="3F7C1CD8" w14:textId="77777777" w:rsidR="00325183" w:rsidRPr="00212259" w:rsidRDefault="00325183" w:rsidP="000346AA">
            <w:pPr>
              <w:contextualSpacing/>
              <w:jc w:val="center"/>
              <w:rPr>
                <w:rFonts w:ascii="Garamond" w:hAnsi="Garamond" w:cstheme="minorHAnsi"/>
                <w:b/>
                <w:bCs/>
              </w:rPr>
            </w:pPr>
          </w:p>
        </w:tc>
        <w:tc>
          <w:tcPr>
            <w:tcW w:w="0" w:type="auto"/>
            <w:tcBorders>
              <w:top w:val="single" w:sz="4" w:space="0" w:color="auto"/>
              <w:left w:val="single" w:sz="4" w:space="0" w:color="auto"/>
              <w:bottom w:val="single" w:sz="4" w:space="0" w:color="auto"/>
              <w:right w:val="single" w:sz="4" w:space="0" w:color="auto"/>
            </w:tcBorders>
            <w:shd w:val="clear" w:color="auto" w:fill="DFE3F0" w:themeFill="accent1" w:themeFillTint="33"/>
          </w:tcPr>
          <w:p w14:paraId="176B55ED" w14:textId="77777777" w:rsidR="00325183" w:rsidRPr="00212259" w:rsidRDefault="00325183" w:rsidP="000346AA">
            <w:pPr>
              <w:contextualSpacing/>
              <w:jc w:val="center"/>
              <w:rPr>
                <w:rFonts w:ascii="Garamond" w:hAnsi="Garamond" w:cstheme="minorHAnsi"/>
                <w:b/>
                <w:bCs/>
              </w:rPr>
            </w:pPr>
          </w:p>
        </w:tc>
        <w:tc>
          <w:tcPr>
            <w:tcW w:w="0" w:type="auto"/>
            <w:tcBorders>
              <w:top w:val="single" w:sz="4" w:space="0" w:color="auto"/>
              <w:left w:val="single" w:sz="4" w:space="0" w:color="auto"/>
              <w:bottom w:val="single" w:sz="4" w:space="0" w:color="auto"/>
              <w:right w:val="single" w:sz="4" w:space="0" w:color="auto"/>
            </w:tcBorders>
            <w:shd w:val="clear" w:color="auto" w:fill="DFE3F0" w:themeFill="accent1" w:themeFillTint="33"/>
          </w:tcPr>
          <w:p w14:paraId="0BCC1535" w14:textId="77777777" w:rsidR="00325183" w:rsidRPr="00212259" w:rsidRDefault="00325183" w:rsidP="000346AA">
            <w:pPr>
              <w:contextualSpacing/>
              <w:jc w:val="center"/>
              <w:rPr>
                <w:rFonts w:ascii="Garamond" w:hAnsi="Garamond" w:cstheme="minorHAnsi"/>
                <w:b/>
                <w:bCs/>
              </w:rPr>
            </w:pPr>
          </w:p>
        </w:tc>
        <w:tc>
          <w:tcPr>
            <w:tcW w:w="0" w:type="auto"/>
            <w:tcBorders>
              <w:top w:val="single" w:sz="4" w:space="0" w:color="auto"/>
              <w:left w:val="single" w:sz="4" w:space="0" w:color="auto"/>
              <w:bottom w:val="single" w:sz="4" w:space="0" w:color="auto"/>
              <w:right w:val="single" w:sz="4" w:space="0" w:color="auto"/>
            </w:tcBorders>
            <w:shd w:val="clear" w:color="auto" w:fill="DFE3F0" w:themeFill="accent1" w:themeFillTint="33"/>
          </w:tcPr>
          <w:p w14:paraId="2F5636E5" w14:textId="77777777" w:rsidR="00325183" w:rsidRPr="00212259" w:rsidRDefault="00325183" w:rsidP="000346AA">
            <w:pPr>
              <w:contextualSpacing/>
              <w:jc w:val="center"/>
              <w:rPr>
                <w:rFonts w:ascii="Garamond" w:hAnsi="Garamond" w:cstheme="minorHAnsi"/>
                <w:b/>
                <w:bCs/>
              </w:rPr>
            </w:pPr>
          </w:p>
        </w:tc>
        <w:tc>
          <w:tcPr>
            <w:tcW w:w="0" w:type="auto"/>
            <w:tcBorders>
              <w:top w:val="single" w:sz="4" w:space="0" w:color="auto"/>
              <w:left w:val="single" w:sz="4" w:space="0" w:color="auto"/>
              <w:bottom w:val="single" w:sz="4" w:space="0" w:color="auto"/>
              <w:right w:val="single" w:sz="4" w:space="0" w:color="auto"/>
            </w:tcBorders>
            <w:shd w:val="clear" w:color="auto" w:fill="DFE3F0" w:themeFill="accent1" w:themeFillTint="33"/>
          </w:tcPr>
          <w:p w14:paraId="1984C237" w14:textId="77777777" w:rsidR="00325183" w:rsidRPr="00212259" w:rsidRDefault="00325183" w:rsidP="000346AA">
            <w:pPr>
              <w:contextualSpacing/>
              <w:jc w:val="center"/>
              <w:rPr>
                <w:rFonts w:ascii="Garamond" w:hAnsi="Garamond" w:cstheme="minorHAnsi"/>
                <w:b/>
                <w:bCs/>
              </w:rPr>
            </w:pPr>
          </w:p>
        </w:tc>
        <w:tc>
          <w:tcPr>
            <w:tcW w:w="0" w:type="auto"/>
            <w:tcBorders>
              <w:top w:val="single" w:sz="4" w:space="0" w:color="auto"/>
              <w:left w:val="single" w:sz="4" w:space="0" w:color="auto"/>
              <w:bottom w:val="single" w:sz="4" w:space="0" w:color="auto"/>
              <w:right w:val="single" w:sz="4" w:space="0" w:color="auto"/>
            </w:tcBorders>
            <w:shd w:val="clear" w:color="auto" w:fill="DFE3F0" w:themeFill="accent1" w:themeFillTint="33"/>
          </w:tcPr>
          <w:p w14:paraId="151B755A" w14:textId="77777777" w:rsidR="00325183" w:rsidRPr="00212259" w:rsidRDefault="00325183" w:rsidP="000346AA">
            <w:pPr>
              <w:contextualSpacing/>
              <w:jc w:val="center"/>
              <w:rPr>
                <w:rFonts w:ascii="Garamond" w:hAnsi="Garamond" w:cstheme="minorHAnsi"/>
                <w:b/>
                <w:bCs/>
              </w:rPr>
            </w:pPr>
          </w:p>
        </w:tc>
      </w:tr>
      <w:tr w:rsidR="00325183" w:rsidRPr="00212259" w14:paraId="0E58DB22" w14:textId="77777777" w:rsidTr="000346AA">
        <w:tc>
          <w:tcPr>
            <w:tcW w:w="0" w:type="auto"/>
            <w:tcBorders>
              <w:top w:val="single" w:sz="4" w:space="0" w:color="auto"/>
              <w:left w:val="single" w:sz="4" w:space="0" w:color="auto"/>
              <w:bottom w:val="single" w:sz="4" w:space="0" w:color="auto"/>
              <w:right w:val="single" w:sz="4" w:space="0" w:color="auto"/>
            </w:tcBorders>
            <w:hideMark/>
          </w:tcPr>
          <w:p w14:paraId="784AE64D" w14:textId="77777777" w:rsidR="00325183" w:rsidRPr="00212259" w:rsidRDefault="00325183" w:rsidP="000346AA">
            <w:pPr>
              <w:contextualSpacing/>
              <w:rPr>
                <w:rFonts w:ascii="Garamond" w:hAnsi="Garamond" w:cstheme="minorHAnsi"/>
              </w:rPr>
            </w:pPr>
            <w:r w:rsidRPr="00212259">
              <w:rPr>
                <w:rFonts w:ascii="Garamond" w:hAnsi="Garamond"/>
              </w:rPr>
              <w:t>Percutaneous Laminectomy for decompression of neural elements (MILD)</w:t>
            </w:r>
          </w:p>
        </w:tc>
        <w:tc>
          <w:tcPr>
            <w:tcW w:w="0" w:type="auto"/>
            <w:tcBorders>
              <w:top w:val="single" w:sz="4" w:space="0" w:color="auto"/>
              <w:left w:val="single" w:sz="4" w:space="0" w:color="auto"/>
              <w:bottom w:val="single" w:sz="4" w:space="0" w:color="auto"/>
              <w:right w:val="single" w:sz="4" w:space="0" w:color="auto"/>
            </w:tcBorders>
          </w:tcPr>
          <w:p w14:paraId="6C7217A6" w14:textId="77777777" w:rsidR="00325183" w:rsidRPr="00212259" w:rsidRDefault="00325183" w:rsidP="000346AA">
            <w:pPr>
              <w:contextualSpacing/>
              <w:jc w:val="center"/>
              <w:rPr>
                <w:rFonts w:ascii="Garamond" w:hAnsi="Garamond" w:cstheme="minorHAnsi"/>
              </w:rPr>
            </w:pPr>
            <w:r w:rsidRPr="00212259">
              <w:rPr>
                <w:rFonts w:ascii="Garamond" w:hAnsi="Garamond"/>
              </w:rPr>
              <w:t>$2,947</w:t>
            </w:r>
          </w:p>
        </w:tc>
        <w:tc>
          <w:tcPr>
            <w:tcW w:w="0" w:type="auto"/>
            <w:tcBorders>
              <w:top w:val="single" w:sz="4" w:space="0" w:color="auto"/>
              <w:left w:val="single" w:sz="4" w:space="0" w:color="auto"/>
              <w:bottom w:val="single" w:sz="4" w:space="0" w:color="auto"/>
              <w:right w:val="single" w:sz="4" w:space="0" w:color="auto"/>
            </w:tcBorders>
          </w:tcPr>
          <w:p w14:paraId="700228EC" w14:textId="77777777" w:rsidR="00325183" w:rsidRPr="00212259" w:rsidRDefault="00325183" w:rsidP="000346AA">
            <w:pPr>
              <w:contextualSpacing/>
              <w:jc w:val="center"/>
              <w:rPr>
                <w:rFonts w:ascii="Garamond" w:hAnsi="Garamond" w:cstheme="minorHAnsi"/>
              </w:rPr>
            </w:pPr>
            <w:r w:rsidRPr="00212259">
              <w:rPr>
                <w:rFonts w:ascii="Garamond" w:hAnsi="Garamond"/>
              </w:rPr>
              <w:t>$2,358</w:t>
            </w:r>
          </w:p>
        </w:tc>
        <w:tc>
          <w:tcPr>
            <w:tcW w:w="0" w:type="auto"/>
            <w:tcBorders>
              <w:top w:val="single" w:sz="4" w:space="0" w:color="auto"/>
              <w:left w:val="single" w:sz="4" w:space="0" w:color="auto"/>
              <w:bottom w:val="single" w:sz="4" w:space="0" w:color="auto"/>
              <w:right w:val="single" w:sz="4" w:space="0" w:color="auto"/>
            </w:tcBorders>
          </w:tcPr>
          <w:p w14:paraId="1DE8DC0C" w14:textId="77777777" w:rsidR="00325183" w:rsidRPr="00212259" w:rsidRDefault="00325183" w:rsidP="000346AA">
            <w:pPr>
              <w:contextualSpacing/>
              <w:jc w:val="center"/>
              <w:rPr>
                <w:rFonts w:ascii="Garamond" w:hAnsi="Garamond" w:cstheme="minorHAnsi"/>
              </w:rPr>
            </w:pPr>
            <w:r w:rsidRPr="00212259">
              <w:rPr>
                <w:rFonts w:ascii="Garamond" w:hAnsi="Garamond"/>
              </w:rPr>
              <w:t>$589</w:t>
            </w:r>
          </w:p>
        </w:tc>
        <w:tc>
          <w:tcPr>
            <w:tcW w:w="0" w:type="auto"/>
            <w:tcBorders>
              <w:top w:val="single" w:sz="4" w:space="0" w:color="auto"/>
              <w:left w:val="single" w:sz="4" w:space="0" w:color="auto"/>
              <w:bottom w:val="single" w:sz="4" w:space="0" w:color="auto"/>
              <w:right w:val="single" w:sz="4" w:space="0" w:color="auto"/>
            </w:tcBorders>
          </w:tcPr>
          <w:p w14:paraId="094E8B02" w14:textId="77777777" w:rsidR="00325183" w:rsidRPr="00212259" w:rsidRDefault="00325183" w:rsidP="000346AA">
            <w:pPr>
              <w:contextualSpacing/>
              <w:jc w:val="center"/>
              <w:rPr>
                <w:rFonts w:ascii="Garamond" w:hAnsi="Garamond" w:cstheme="minorHAnsi"/>
              </w:rPr>
            </w:pPr>
            <w:r w:rsidRPr="00212259">
              <w:rPr>
                <w:rFonts w:ascii="Garamond" w:hAnsi="Garamond"/>
              </w:rPr>
              <w:t>$6,816</w:t>
            </w:r>
          </w:p>
        </w:tc>
        <w:tc>
          <w:tcPr>
            <w:tcW w:w="0" w:type="auto"/>
            <w:tcBorders>
              <w:top w:val="single" w:sz="4" w:space="0" w:color="auto"/>
              <w:left w:val="single" w:sz="4" w:space="0" w:color="auto"/>
              <w:bottom w:val="single" w:sz="4" w:space="0" w:color="auto"/>
              <w:right w:val="single" w:sz="4" w:space="0" w:color="auto"/>
            </w:tcBorders>
          </w:tcPr>
          <w:p w14:paraId="25378C9E" w14:textId="77777777" w:rsidR="00325183" w:rsidRPr="00212259" w:rsidRDefault="00325183" w:rsidP="000346AA">
            <w:pPr>
              <w:contextualSpacing/>
              <w:jc w:val="center"/>
              <w:rPr>
                <w:rFonts w:ascii="Garamond" w:hAnsi="Garamond" w:cstheme="minorHAnsi"/>
              </w:rPr>
            </w:pPr>
            <w:r w:rsidRPr="00212259">
              <w:rPr>
                <w:rFonts w:ascii="Garamond" w:hAnsi="Garamond"/>
              </w:rPr>
              <w:t>$5,453</w:t>
            </w:r>
          </w:p>
        </w:tc>
        <w:tc>
          <w:tcPr>
            <w:tcW w:w="0" w:type="auto"/>
            <w:tcBorders>
              <w:top w:val="single" w:sz="4" w:space="0" w:color="auto"/>
              <w:left w:val="single" w:sz="4" w:space="0" w:color="auto"/>
              <w:bottom w:val="single" w:sz="4" w:space="0" w:color="auto"/>
              <w:right w:val="single" w:sz="4" w:space="0" w:color="auto"/>
            </w:tcBorders>
          </w:tcPr>
          <w:p w14:paraId="5F1A4869" w14:textId="77777777" w:rsidR="00325183" w:rsidRPr="00212259" w:rsidRDefault="00325183" w:rsidP="000346AA">
            <w:pPr>
              <w:contextualSpacing/>
              <w:jc w:val="center"/>
              <w:rPr>
                <w:rFonts w:ascii="Garamond" w:hAnsi="Garamond" w:cstheme="minorHAnsi"/>
              </w:rPr>
            </w:pPr>
            <w:r w:rsidRPr="00212259">
              <w:rPr>
                <w:rFonts w:ascii="Garamond" w:hAnsi="Garamond"/>
              </w:rPr>
              <w:t>$1,363</w:t>
            </w:r>
          </w:p>
        </w:tc>
      </w:tr>
      <w:tr w:rsidR="00325183" w:rsidRPr="00212259" w14:paraId="395E0946" w14:textId="77777777" w:rsidTr="000346AA">
        <w:tc>
          <w:tcPr>
            <w:tcW w:w="0" w:type="auto"/>
            <w:tcBorders>
              <w:top w:val="single" w:sz="4" w:space="0" w:color="auto"/>
              <w:left w:val="single" w:sz="4" w:space="0" w:color="auto"/>
              <w:bottom w:val="single" w:sz="4" w:space="0" w:color="auto"/>
              <w:right w:val="single" w:sz="4" w:space="0" w:color="auto"/>
            </w:tcBorders>
            <w:hideMark/>
          </w:tcPr>
          <w:p w14:paraId="01DB6BEA" w14:textId="77777777" w:rsidR="00325183" w:rsidRPr="00212259" w:rsidRDefault="00325183" w:rsidP="000346AA">
            <w:pPr>
              <w:contextualSpacing/>
              <w:rPr>
                <w:rFonts w:ascii="Garamond" w:hAnsi="Garamond"/>
              </w:rPr>
            </w:pPr>
            <w:r w:rsidRPr="00212259">
              <w:rPr>
                <w:rFonts w:ascii="Garamond" w:hAnsi="Garamond"/>
              </w:rPr>
              <w:t xml:space="preserve">Percutaneous fusion stabilization of sacroiliac joint </w:t>
            </w:r>
          </w:p>
        </w:tc>
        <w:tc>
          <w:tcPr>
            <w:tcW w:w="0" w:type="auto"/>
            <w:tcBorders>
              <w:top w:val="single" w:sz="4" w:space="0" w:color="auto"/>
              <w:left w:val="single" w:sz="4" w:space="0" w:color="auto"/>
              <w:bottom w:val="single" w:sz="4" w:space="0" w:color="auto"/>
              <w:right w:val="single" w:sz="4" w:space="0" w:color="auto"/>
            </w:tcBorders>
          </w:tcPr>
          <w:p w14:paraId="59C7AB33" w14:textId="77777777" w:rsidR="00325183" w:rsidRPr="00212259" w:rsidRDefault="00325183" w:rsidP="000346AA">
            <w:pPr>
              <w:contextualSpacing/>
              <w:jc w:val="center"/>
              <w:rPr>
                <w:rFonts w:ascii="Garamond" w:hAnsi="Garamond" w:cstheme="minorHAnsi"/>
              </w:rPr>
            </w:pPr>
            <w:r w:rsidRPr="00212259">
              <w:rPr>
                <w:rFonts w:ascii="Garamond" w:hAnsi="Garamond"/>
              </w:rPr>
              <w:t>$13,648</w:t>
            </w:r>
          </w:p>
        </w:tc>
        <w:tc>
          <w:tcPr>
            <w:tcW w:w="0" w:type="auto"/>
            <w:tcBorders>
              <w:top w:val="single" w:sz="4" w:space="0" w:color="auto"/>
              <w:left w:val="single" w:sz="4" w:space="0" w:color="auto"/>
              <w:bottom w:val="single" w:sz="4" w:space="0" w:color="auto"/>
              <w:right w:val="single" w:sz="4" w:space="0" w:color="auto"/>
            </w:tcBorders>
          </w:tcPr>
          <w:p w14:paraId="5BFFB066" w14:textId="77777777" w:rsidR="00325183" w:rsidRPr="00212259" w:rsidRDefault="00325183" w:rsidP="000346AA">
            <w:pPr>
              <w:contextualSpacing/>
              <w:jc w:val="center"/>
              <w:rPr>
                <w:rFonts w:ascii="Garamond" w:hAnsi="Garamond" w:cstheme="minorHAnsi"/>
              </w:rPr>
            </w:pPr>
            <w:r w:rsidRPr="00212259">
              <w:rPr>
                <w:rFonts w:ascii="Garamond" w:hAnsi="Garamond"/>
              </w:rPr>
              <w:t>$10,918</w:t>
            </w:r>
          </w:p>
        </w:tc>
        <w:tc>
          <w:tcPr>
            <w:tcW w:w="0" w:type="auto"/>
            <w:tcBorders>
              <w:top w:val="single" w:sz="4" w:space="0" w:color="auto"/>
              <w:left w:val="single" w:sz="4" w:space="0" w:color="auto"/>
              <w:bottom w:val="single" w:sz="4" w:space="0" w:color="auto"/>
              <w:right w:val="single" w:sz="4" w:space="0" w:color="auto"/>
            </w:tcBorders>
          </w:tcPr>
          <w:p w14:paraId="7B1F26F9" w14:textId="77777777" w:rsidR="00325183" w:rsidRPr="00212259" w:rsidRDefault="00325183" w:rsidP="000346AA">
            <w:pPr>
              <w:contextualSpacing/>
              <w:jc w:val="center"/>
              <w:rPr>
                <w:rFonts w:ascii="Garamond" w:hAnsi="Garamond" w:cstheme="minorHAnsi"/>
              </w:rPr>
            </w:pPr>
            <w:r w:rsidRPr="00212259">
              <w:rPr>
                <w:rFonts w:ascii="Garamond" w:hAnsi="Garamond"/>
              </w:rPr>
              <w:t>$2,730</w:t>
            </w:r>
          </w:p>
        </w:tc>
        <w:tc>
          <w:tcPr>
            <w:tcW w:w="0" w:type="auto"/>
            <w:tcBorders>
              <w:top w:val="single" w:sz="4" w:space="0" w:color="auto"/>
              <w:left w:val="single" w:sz="4" w:space="0" w:color="auto"/>
              <w:bottom w:val="single" w:sz="4" w:space="0" w:color="auto"/>
              <w:right w:val="single" w:sz="4" w:space="0" w:color="auto"/>
            </w:tcBorders>
          </w:tcPr>
          <w:p w14:paraId="75270A33" w14:textId="77777777" w:rsidR="00325183" w:rsidRPr="00212259" w:rsidRDefault="00325183" w:rsidP="000346AA">
            <w:pPr>
              <w:contextualSpacing/>
              <w:jc w:val="center"/>
              <w:rPr>
                <w:rFonts w:ascii="Garamond" w:hAnsi="Garamond" w:cstheme="minorHAnsi"/>
                <w:b/>
                <w:bCs/>
              </w:rPr>
            </w:pPr>
            <w:r w:rsidRPr="00212259">
              <w:rPr>
                <w:rFonts w:ascii="Garamond" w:hAnsi="Garamond"/>
              </w:rPr>
              <w:t>$18,169</w:t>
            </w:r>
          </w:p>
        </w:tc>
        <w:tc>
          <w:tcPr>
            <w:tcW w:w="0" w:type="auto"/>
            <w:tcBorders>
              <w:top w:val="single" w:sz="4" w:space="0" w:color="auto"/>
              <w:left w:val="single" w:sz="4" w:space="0" w:color="auto"/>
              <w:bottom w:val="single" w:sz="4" w:space="0" w:color="auto"/>
              <w:right w:val="single" w:sz="4" w:space="0" w:color="auto"/>
            </w:tcBorders>
          </w:tcPr>
          <w:p w14:paraId="75BF4E85" w14:textId="77777777" w:rsidR="00325183" w:rsidRPr="00212259" w:rsidRDefault="00325183" w:rsidP="000346AA">
            <w:pPr>
              <w:contextualSpacing/>
              <w:jc w:val="center"/>
              <w:rPr>
                <w:rFonts w:ascii="Garamond" w:hAnsi="Garamond" w:cstheme="minorHAnsi"/>
              </w:rPr>
            </w:pPr>
            <w:r w:rsidRPr="00212259">
              <w:rPr>
                <w:rFonts w:ascii="Garamond" w:hAnsi="Garamond"/>
              </w:rPr>
              <w:t>$16,483</w:t>
            </w:r>
          </w:p>
        </w:tc>
        <w:tc>
          <w:tcPr>
            <w:tcW w:w="0" w:type="auto"/>
            <w:tcBorders>
              <w:top w:val="single" w:sz="4" w:space="0" w:color="auto"/>
              <w:left w:val="single" w:sz="4" w:space="0" w:color="auto"/>
              <w:bottom w:val="single" w:sz="4" w:space="0" w:color="auto"/>
              <w:right w:val="single" w:sz="4" w:space="0" w:color="auto"/>
            </w:tcBorders>
          </w:tcPr>
          <w:p w14:paraId="4734383B" w14:textId="77777777" w:rsidR="00325183" w:rsidRPr="00212259" w:rsidRDefault="00325183" w:rsidP="000346AA">
            <w:pPr>
              <w:contextualSpacing/>
              <w:jc w:val="center"/>
              <w:rPr>
                <w:rFonts w:ascii="Garamond" w:hAnsi="Garamond" w:cstheme="minorHAnsi"/>
              </w:rPr>
            </w:pPr>
            <w:r w:rsidRPr="00212259">
              <w:rPr>
                <w:rFonts w:ascii="Garamond" w:hAnsi="Garamond"/>
              </w:rPr>
              <w:t>$1,686*</w:t>
            </w:r>
          </w:p>
        </w:tc>
      </w:tr>
      <w:tr w:rsidR="00325183" w:rsidRPr="00212259" w14:paraId="0D57A973" w14:textId="77777777" w:rsidTr="000346AA">
        <w:tc>
          <w:tcPr>
            <w:tcW w:w="0" w:type="auto"/>
            <w:tcBorders>
              <w:top w:val="single" w:sz="4" w:space="0" w:color="auto"/>
              <w:left w:val="single" w:sz="4" w:space="0" w:color="auto"/>
              <w:bottom w:val="single" w:sz="4" w:space="0" w:color="auto"/>
              <w:right w:val="single" w:sz="4" w:space="0" w:color="auto"/>
            </w:tcBorders>
            <w:hideMark/>
          </w:tcPr>
          <w:p w14:paraId="67969419" w14:textId="77777777" w:rsidR="00325183" w:rsidRPr="00212259" w:rsidRDefault="00325183" w:rsidP="000346AA">
            <w:pPr>
              <w:contextualSpacing/>
              <w:rPr>
                <w:rFonts w:ascii="Garamond" w:hAnsi="Garamond" w:cstheme="minorHAnsi"/>
              </w:rPr>
            </w:pPr>
            <w:r w:rsidRPr="00212259">
              <w:rPr>
                <w:rFonts w:ascii="Garamond" w:hAnsi="Garamond"/>
              </w:rPr>
              <w:t>Insertion of Interlaminar/interspinous process stabilization device (Vertiflex)</w:t>
            </w:r>
          </w:p>
        </w:tc>
        <w:tc>
          <w:tcPr>
            <w:tcW w:w="0" w:type="auto"/>
            <w:tcBorders>
              <w:top w:val="single" w:sz="4" w:space="0" w:color="auto"/>
              <w:left w:val="single" w:sz="4" w:space="0" w:color="auto"/>
              <w:bottom w:val="single" w:sz="4" w:space="0" w:color="auto"/>
              <w:right w:val="single" w:sz="4" w:space="0" w:color="auto"/>
            </w:tcBorders>
          </w:tcPr>
          <w:p w14:paraId="16BC82D6" w14:textId="77777777" w:rsidR="00325183" w:rsidRPr="00212259" w:rsidRDefault="00325183" w:rsidP="000346AA">
            <w:pPr>
              <w:contextualSpacing/>
              <w:jc w:val="center"/>
              <w:rPr>
                <w:rFonts w:ascii="Garamond" w:hAnsi="Garamond" w:cstheme="minorHAnsi"/>
              </w:rPr>
            </w:pPr>
            <w:r w:rsidRPr="00212259">
              <w:rPr>
                <w:rFonts w:ascii="Garamond" w:hAnsi="Garamond"/>
              </w:rPr>
              <w:t>$10,380</w:t>
            </w:r>
          </w:p>
        </w:tc>
        <w:tc>
          <w:tcPr>
            <w:tcW w:w="0" w:type="auto"/>
            <w:tcBorders>
              <w:top w:val="single" w:sz="4" w:space="0" w:color="auto"/>
              <w:left w:val="single" w:sz="4" w:space="0" w:color="auto"/>
              <w:bottom w:val="single" w:sz="4" w:space="0" w:color="auto"/>
              <w:right w:val="single" w:sz="4" w:space="0" w:color="auto"/>
            </w:tcBorders>
          </w:tcPr>
          <w:p w14:paraId="58F419F7" w14:textId="77777777" w:rsidR="00325183" w:rsidRPr="00212259" w:rsidRDefault="00325183" w:rsidP="000346AA">
            <w:pPr>
              <w:contextualSpacing/>
              <w:jc w:val="center"/>
              <w:rPr>
                <w:rFonts w:ascii="Garamond" w:hAnsi="Garamond" w:cstheme="minorHAnsi"/>
              </w:rPr>
            </w:pPr>
            <w:r w:rsidRPr="00212259">
              <w:rPr>
                <w:rFonts w:ascii="Garamond" w:hAnsi="Garamond"/>
              </w:rPr>
              <w:t>$8,304</w:t>
            </w:r>
          </w:p>
        </w:tc>
        <w:tc>
          <w:tcPr>
            <w:tcW w:w="0" w:type="auto"/>
            <w:tcBorders>
              <w:top w:val="single" w:sz="4" w:space="0" w:color="auto"/>
              <w:left w:val="single" w:sz="4" w:space="0" w:color="auto"/>
              <w:bottom w:val="single" w:sz="4" w:space="0" w:color="auto"/>
              <w:right w:val="single" w:sz="4" w:space="0" w:color="auto"/>
            </w:tcBorders>
          </w:tcPr>
          <w:p w14:paraId="27950AD9" w14:textId="77777777" w:rsidR="00325183" w:rsidRPr="00212259" w:rsidRDefault="00325183" w:rsidP="000346AA">
            <w:pPr>
              <w:contextualSpacing/>
              <w:jc w:val="center"/>
              <w:rPr>
                <w:rFonts w:ascii="Garamond" w:hAnsi="Garamond" w:cstheme="minorHAnsi"/>
              </w:rPr>
            </w:pPr>
            <w:r w:rsidRPr="00212259">
              <w:rPr>
                <w:rFonts w:ascii="Garamond" w:hAnsi="Garamond"/>
              </w:rPr>
              <w:t>$2,076</w:t>
            </w:r>
          </w:p>
        </w:tc>
        <w:tc>
          <w:tcPr>
            <w:tcW w:w="0" w:type="auto"/>
            <w:tcBorders>
              <w:top w:val="single" w:sz="4" w:space="0" w:color="auto"/>
              <w:left w:val="single" w:sz="4" w:space="0" w:color="auto"/>
              <w:bottom w:val="single" w:sz="4" w:space="0" w:color="auto"/>
              <w:right w:val="single" w:sz="4" w:space="0" w:color="auto"/>
            </w:tcBorders>
          </w:tcPr>
          <w:p w14:paraId="1BCDF2D0" w14:textId="77777777" w:rsidR="00325183" w:rsidRPr="00212259" w:rsidRDefault="00325183" w:rsidP="000346AA">
            <w:pPr>
              <w:contextualSpacing/>
              <w:jc w:val="center"/>
              <w:rPr>
                <w:rFonts w:ascii="Garamond" w:hAnsi="Garamond" w:cstheme="minorHAnsi"/>
              </w:rPr>
            </w:pPr>
            <w:r w:rsidRPr="00212259">
              <w:rPr>
                <w:rFonts w:ascii="Garamond" w:hAnsi="Garamond"/>
              </w:rPr>
              <w:t>$13,560</w:t>
            </w:r>
          </w:p>
        </w:tc>
        <w:tc>
          <w:tcPr>
            <w:tcW w:w="0" w:type="auto"/>
            <w:tcBorders>
              <w:top w:val="single" w:sz="4" w:space="0" w:color="auto"/>
              <w:left w:val="single" w:sz="4" w:space="0" w:color="auto"/>
              <w:bottom w:val="single" w:sz="4" w:space="0" w:color="auto"/>
              <w:right w:val="single" w:sz="4" w:space="0" w:color="auto"/>
            </w:tcBorders>
          </w:tcPr>
          <w:p w14:paraId="46E8D015" w14:textId="77777777" w:rsidR="00325183" w:rsidRPr="00212259" w:rsidRDefault="00325183" w:rsidP="000346AA">
            <w:pPr>
              <w:contextualSpacing/>
              <w:jc w:val="center"/>
              <w:rPr>
                <w:rFonts w:ascii="Garamond" w:hAnsi="Garamond" w:cstheme="minorHAnsi"/>
              </w:rPr>
            </w:pPr>
            <w:r w:rsidRPr="00212259">
              <w:rPr>
                <w:rFonts w:ascii="Garamond" w:hAnsi="Garamond"/>
              </w:rPr>
              <w:t>$11,874</w:t>
            </w:r>
          </w:p>
        </w:tc>
        <w:tc>
          <w:tcPr>
            <w:tcW w:w="0" w:type="auto"/>
            <w:tcBorders>
              <w:top w:val="single" w:sz="4" w:space="0" w:color="auto"/>
              <w:left w:val="single" w:sz="4" w:space="0" w:color="auto"/>
              <w:bottom w:val="single" w:sz="4" w:space="0" w:color="auto"/>
              <w:right w:val="single" w:sz="4" w:space="0" w:color="auto"/>
            </w:tcBorders>
          </w:tcPr>
          <w:p w14:paraId="6C838A25" w14:textId="77777777" w:rsidR="00325183" w:rsidRPr="00212259" w:rsidRDefault="00325183" w:rsidP="000346AA">
            <w:pPr>
              <w:contextualSpacing/>
              <w:jc w:val="center"/>
              <w:rPr>
                <w:rFonts w:ascii="Garamond" w:hAnsi="Garamond" w:cstheme="minorHAnsi"/>
              </w:rPr>
            </w:pPr>
            <w:r w:rsidRPr="00212259">
              <w:rPr>
                <w:rFonts w:ascii="Garamond" w:hAnsi="Garamond"/>
              </w:rPr>
              <w:t>$1,686*</w:t>
            </w:r>
          </w:p>
        </w:tc>
      </w:tr>
    </w:tbl>
    <w:p w14:paraId="72ACAF40" w14:textId="7F3FC1A6" w:rsidR="0021275E" w:rsidRPr="005451AD" w:rsidRDefault="00735BC4" w:rsidP="00F30BC3">
      <w:pPr>
        <w:pStyle w:val="Heading4"/>
        <w:shd w:val="clear" w:color="auto" w:fill="FFFFFF"/>
        <w:spacing w:before="0" w:line="240" w:lineRule="auto"/>
        <w:textAlignment w:val="baseline"/>
        <w:rPr>
          <w:rFonts w:ascii="Calibri" w:hAnsi="Calibri" w:cs="Calibri"/>
          <w:i w:val="0"/>
          <w:iCs w:val="0"/>
          <w:color w:val="auto"/>
          <w:sz w:val="18"/>
          <w:szCs w:val="18"/>
        </w:rPr>
      </w:pPr>
      <w:r>
        <w:rPr>
          <w:rFonts w:ascii="Calibri" w:hAnsi="Calibri" w:cs="Calibri"/>
          <w:i w:val="0"/>
          <w:iCs w:val="0"/>
          <w:color w:val="auto"/>
          <w:sz w:val="18"/>
          <w:szCs w:val="18"/>
        </w:rPr>
        <w:t>*</w:t>
      </w:r>
      <w:bookmarkStart w:id="186" w:name="_Hlk59200774"/>
      <w:r w:rsidR="0021275E" w:rsidRPr="005451AD">
        <w:rPr>
          <w:rFonts w:ascii="Calibri" w:hAnsi="Calibri" w:cs="Calibri"/>
          <w:i w:val="0"/>
          <w:iCs w:val="0"/>
          <w:color w:val="auto"/>
          <w:sz w:val="18"/>
          <w:szCs w:val="18"/>
        </w:rPr>
        <w:t xml:space="preserve">Reflect a higher patient responsibility if performed in an ASC vs HOPD due to </w:t>
      </w:r>
      <w:r w:rsidR="005451AD" w:rsidRPr="005451AD">
        <w:rPr>
          <w:rFonts w:ascii="Calibri" w:hAnsi="Calibri" w:cs="Calibri"/>
          <w:i w:val="0"/>
          <w:iCs w:val="0"/>
          <w:color w:val="auto"/>
          <w:sz w:val="18"/>
          <w:szCs w:val="18"/>
        </w:rPr>
        <w:t>Ambulatory Patient Care Classifications (</w:t>
      </w:r>
      <w:r w:rsidR="0021275E" w:rsidRPr="005451AD">
        <w:rPr>
          <w:rFonts w:ascii="Calibri" w:hAnsi="Calibri" w:cs="Calibri"/>
          <w:i w:val="0"/>
          <w:iCs w:val="0"/>
          <w:color w:val="auto"/>
          <w:sz w:val="18"/>
          <w:szCs w:val="18"/>
        </w:rPr>
        <w:t>APC</w:t>
      </w:r>
      <w:r w:rsidR="005451AD" w:rsidRPr="005451AD">
        <w:rPr>
          <w:rFonts w:ascii="Calibri" w:hAnsi="Calibri" w:cs="Calibri"/>
          <w:i w:val="0"/>
          <w:iCs w:val="0"/>
          <w:color w:val="auto"/>
          <w:sz w:val="18"/>
          <w:szCs w:val="18"/>
        </w:rPr>
        <w:t>)</w:t>
      </w:r>
      <w:r w:rsidR="0021275E" w:rsidRPr="005451AD">
        <w:rPr>
          <w:rFonts w:ascii="Calibri" w:hAnsi="Calibri" w:cs="Calibri"/>
          <w:i w:val="0"/>
          <w:iCs w:val="0"/>
          <w:color w:val="auto"/>
          <w:sz w:val="18"/>
          <w:szCs w:val="18"/>
        </w:rPr>
        <w:t xml:space="preserve"> pricing.</w:t>
      </w:r>
      <w:r w:rsidR="00396901" w:rsidRPr="00396901">
        <w:t xml:space="preserve"> </w:t>
      </w:r>
      <w:bookmarkEnd w:id="186"/>
      <w:r w:rsidR="00187CCE" w:rsidRPr="00187CCE">
        <w:rPr>
          <w:rFonts w:ascii="Calibri" w:hAnsi="Calibri" w:cs="Calibri"/>
          <w:i w:val="0"/>
          <w:iCs w:val="0"/>
          <w:color w:val="auto"/>
          <w:sz w:val="18"/>
          <w:szCs w:val="18"/>
        </w:rPr>
        <w:t>APCs incentivize hospitals to provide outpatient services economically, efficiently and profitably. The HOPD is paid at a higher rate than an ASC which allows for the lower patient responsibility.</w:t>
      </w:r>
    </w:p>
    <w:p w14:paraId="078285FD" w14:textId="31751318" w:rsidR="006C4A39" w:rsidRDefault="006C4A39" w:rsidP="00DF3634">
      <w:pPr>
        <w:spacing w:after="0" w:line="240" w:lineRule="auto"/>
        <w:rPr>
          <w:rFonts w:ascii="Garamond" w:hAnsi="Garamond" w:cs="Arial"/>
        </w:rPr>
      </w:pPr>
    </w:p>
    <w:p w14:paraId="736A4E64" w14:textId="77777777" w:rsidR="00A051BE" w:rsidRDefault="00A051BE" w:rsidP="00DF3634">
      <w:pPr>
        <w:spacing w:after="0" w:line="240" w:lineRule="auto"/>
        <w:rPr>
          <w:rFonts w:ascii="Garamond" w:hAnsi="Garamond" w:cs="Arial"/>
        </w:rPr>
      </w:pPr>
    </w:p>
    <w:p w14:paraId="13C529E1" w14:textId="0F94591F" w:rsidR="005D23AE" w:rsidRDefault="0079543E" w:rsidP="003F3B73">
      <w:pPr>
        <w:spacing w:after="0" w:line="240" w:lineRule="auto"/>
        <w:rPr>
          <w:rFonts w:ascii="Garamond" w:hAnsi="Garamond" w:cs="Arial"/>
          <w:sz w:val="24"/>
          <w:szCs w:val="24"/>
        </w:rPr>
      </w:pPr>
      <w:r>
        <w:rPr>
          <w:rFonts w:ascii="Garamond" w:hAnsi="Garamond" w:cs="Arial"/>
          <w:sz w:val="24"/>
          <w:szCs w:val="24"/>
        </w:rPr>
        <w:t>Health Capital Consultants (HCC)</w:t>
      </w:r>
      <w:r w:rsidR="00D15062">
        <w:rPr>
          <w:rFonts w:ascii="Garamond" w:hAnsi="Garamond" w:cs="Arial"/>
          <w:sz w:val="24"/>
          <w:szCs w:val="24"/>
        </w:rPr>
        <w:t xml:space="preserve"> conducted an analysis of potential NESC competitors in its service</w:t>
      </w:r>
      <w:r w:rsidR="001F528D">
        <w:rPr>
          <w:rFonts w:ascii="Garamond" w:hAnsi="Garamond" w:cs="Arial"/>
          <w:sz w:val="24"/>
          <w:szCs w:val="24"/>
        </w:rPr>
        <w:t xml:space="preserve"> area</w:t>
      </w:r>
      <w:r w:rsidR="006E0F58">
        <w:rPr>
          <w:rFonts w:ascii="Garamond" w:hAnsi="Garamond" w:cs="Arial"/>
          <w:sz w:val="24"/>
          <w:szCs w:val="24"/>
        </w:rPr>
        <w:t xml:space="preserve"> </w:t>
      </w:r>
      <w:r>
        <w:rPr>
          <w:rFonts w:ascii="Garamond" w:hAnsi="Garamond" w:cs="Arial"/>
          <w:sz w:val="24"/>
          <w:szCs w:val="24"/>
        </w:rPr>
        <w:t xml:space="preserve">in support </w:t>
      </w:r>
      <w:r w:rsidR="006E0F58">
        <w:rPr>
          <w:rFonts w:ascii="Garamond" w:hAnsi="Garamond" w:cs="Arial"/>
          <w:sz w:val="24"/>
          <w:szCs w:val="24"/>
        </w:rPr>
        <w:t xml:space="preserve">of the </w:t>
      </w:r>
      <w:r>
        <w:rPr>
          <w:rFonts w:ascii="Garamond" w:hAnsi="Garamond" w:cs="Arial"/>
          <w:sz w:val="24"/>
          <w:szCs w:val="24"/>
        </w:rPr>
        <w:t xml:space="preserve">Applicant’s </w:t>
      </w:r>
      <w:r w:rsidR="006E0F58">
        <w:rPr>
          <w:rFonts w:ascii="Garamond" w:hAnsi="Garamond" w:cs="Arial"/>
          <w:sz w:val="24"/>
          <w:szCs w:val="24"/>
        </w:rPr>
        <w:t>Factor 4 analysis</w:t>
      </w:r>
      <w:r w:rsidR="00D15062">
        <w:rPr>
          <w:rFonts w:ascii="Garamond" w:hAnsi="Garamond" w:cs="Arial"/>
          <w:sz w:val="24"/>
          <w:szCs w:val="24"/>
        </w:rPr>
        <w:t xml:space="preserve"> and determined that there are no </w:t>
      </w:r>
      <w:r w:rsidR="001F528D">
        <w:rPr>
          <w:rFonts w:ascii="Garamond" w:hAnsi="Garamond" w:cs="Arial"/>
          <w:sz w:val="24"/>
          <w:szCs w:val="24"/>
        </w:rPr>
        <w:t xml:space="preserve">comparable </w:t>
      </w:r>
      <w:r w:rsidR="00D15062">
        <w:rPr>
          <w:rFonts w:ascii="Garamond" w:hAnsi="Garamond" w:cs="Arial"/>
          <w:sz w:val="24"/>
          <w:szCs w:val="24"/>
        </w:rPr>
        <w:t>multispecialty</w:t>
      </w:r>
      <w:r w:rsidR="001E37BA">
        <w:rPr>
          <w:rFonts w:ascii="Garamond" w:hAnsi="Garamond" w:cs="Arial"/>
          <w:sz w:val="24"/>
          <w:szCs w:val="24"/>
        </w:rPr>
        <w:t>,</w:t>
      </w:r>
      <w:r w:rsidR="00D15062">
        <w:rPr>
          <w:rFonts w:ascii="Garamond" w:hAnsi="Garamond" w:cs="Arial"/>
          <w:sz w:val="24"/>
          <w:szCs w:val="24"/>
        </w:rPr>
        <w:t xml:space="preserve"> free</w:t>
      </w:r>
      <w:r w:rsidR="001F528D">
        <w:rPr>
          <w:rFonts w:ascii="Garamond" w:hAnsi="Garamond" w:cs="Arial"/>
          <w:sz w:val="24"/>
          <w:szCs w:val="24"/>
        </w:rPr>
        <w:t>-</w:t>
      </w:r>
      <w:r w:rsidR="00D15062">
        <w:rPr>
          <w:rFonts w:ascii="Garamond" w:hAnsi="Garamond" w:cs="Arial"/>
          <w:sz w:val="24"/>
          <w:szCs w:val="24"/>
        </w:rPr>
        <w:t xml:space="preserve">standing </w:t>
      </w:r>
      <w:r w:rsidR="001F528D">
        <w:rPr>
          <w:rFonts w:ascii="Garamond" w:hAnsi="Garamond" w:cs="Arial"/>
          <w:sz w:val="24"/>
          <w:szCs w:val="24"/>
        </w:rPr>
        <w:t>ASCs to provide the lower c</w:t>
      </w:r>
      <w:r w:rsidR="00D15062">
        <w:rPr>
          <w:rFonts w:ascii="Garamond" w:hAnsi="Garamond" w:cs="Arial"/>
          <w:sz w:val="24"/>
          <w:szCs w:val="24"/>
        </w:rPr>
        <w:t>ost cases</w:t>
      </w:r>
      <w:r w:rsidR="00D951DE">
        <w:rPr>
          <w:rFonts w:ascii="Garamond" w:hAnsi="Garamond" w:cs="Arial"/>
          <w:sz w:val="24"/>
          <w:szCs w:val="24"/>
        </w:rPr>
        <w:t xml:space="preserve"> offered at NESC</w:t>
      </w:r>
      <w:r w:rsidR="00D15062">
        <w:rPr>
          <w:rFonts w:ascii="Garamond" w:hAnsi="Garamond" w:cs="Arial"/>
          <w:sz w:val="24"/>
          <w:szCs w:val="24"/>
        </w:rPr>
        <w:t>.</w:t>
      </w:r>
      <w:r w:rsidR="00626765">
        <w:rPr>
          <w:rStyle w:val="FootnoteReference"/>
          <w:rFonts w:ascii="Garamond" w:hAnsi="Garamond" w:cs="Arial"/>
          <w:sz w:val="24"/>
          <w:szCs w:val="24"/>
        </w:rPr>
        <w:footnoteReference w:id="30"/>
      </w:r>
      <w:r w:rsidR="00D15062">
        <w:rPr>
          <w:rFonts w:ascii="Garamond" w:hAnsi="Garamond" w:cs="Arial"/>
          <w:sz w:val="24"/>
          <w:szCs w:val="24"/>
        </w:rPr>
        <w:t xml:space="preserve"> </w:t>
      </w:r>
    </w:p>
    <w:p w14:paraId="0BC65592" w14:textId="77777777" w:rsidR="005D23AE" w:rsidRDefault="005D23AE" w:rsidP="003F3B73">
      <w:pPr>
        <w:spacing w:after="0" w:line="240" w:lineRule="auto"/>
        <w:rPr>
          <w:rFonts w:ascii="Garamond" w:hAnsi="Garamond" w:cs="Arial"/>
          <w:sz w:val="24"/>
          <w:szCs w:val="24"/>
        </w:rPr>
      </w:pPr>
    </w:p>
    <w:p w14:paraId="72638C52" w14:textId="16855EF3" w:rsidR="00CD7DFE" w:rsidRDefault="003C01FF" w:rsidP="003F3B73">
      <w:pPr>
        <w:spacing w:after="0" w:line="240" w:lineRule="auto"/>
        <w:rPr>
          <w:rFonts w:ascii="Garamond" w:hAnsi="Garamond" w:cs="Arial"/>
          <w:sz w:val="24"/>
          <w:szCs w:val="24"/>
        </w:rPr>
      </w:pPr>
      <w:r w:rsidRPr="003F3B73">
        <w:rPr>
          <w:rFonts w:ascii="Garamond" w:hAnsi="Garamond" w:cs="Arial"/>
          <w:sz w:val="24"/>
          <w:szCs w:val="24"/>
        </w:rPr>
        <w:t>The Applicant will be u</w:t>
      </w:r>
      <w:r w:rsidR="00CD7DFE" w:rsidRPr="003F3B73">
        <w:rPr>
          <w:rFonts w:ascii="Garamond" w:hAnsi="Garamond" w:cs="Arial"/>
          <w:sz w:val="24"/>
          <w:szCs w:val="24"/>
        </w:rPr>
        <w:t xml:space="preserve">tilizing </w:t>
      </w:r>
      <w:r w:rsidR="00FB254F" w:rsidRPr="003F3B73">
        <w:rPr>
          <w:rFonts w:ascii="Garamond" w:hAnsi="Garamond" w:cs="Arial"/>
          <w:sz w:val="24"/>
          <w:szCs w:val="24"/>
        </w:rPr>
        <w:t>available</w:t>
      </w:r>
      <w:r w:rsidR="00F67094" w:rsidRPr="003F3B73">
        <w:rPr>
          <w:rFonts w:ascii="Garamond" w:hAnsi="Garamond" w:cs="Arial"/>
          <w:sz w:val="24"/>
          <w:szCs w:val="24"/>
        </w:rPr>
        <w:t xml:space="preserve"> shell</w:t>
      </w:r>
      <w:r w:rsidR="00FB254F" w:rsidRPr="003F3B73">
        <w:rPr>
          <w:rFonts w:ascii="Garamond" w:hAnsi="Garamond" w:cs="Arial"/>
          <w:sz w:val="24"/>
          <w:szCs w:val="24"/>
        </w:rPr>
        <w:t xml:space="preserve"> </w:t>
      </w:r>
      <w:r w:rsidR="00CD7DFE" w:rsidRPr="003F3B73">
        <w:rPr>
          <w:rFonts w:ascii="Garamond" w:hAnsi="Garamond" w:cs="Arial"/>
          <w:sz w:val="24"/>
          <w:szCs w:val="24"/>
        </w:rPr>
        <w:t>space within</w:t>
      </w:r>
      <w:r w:rsidR="00FB254F" w:rsidRPr="003F3B73">
        <w:rPr>
          <w:rFonts w:ascii="Garamond" w:hAnsi="Garamond" w:cs="Arial"/>
          <w:sz w:val="24"/>
          <w:szCs w:val="24"/>
        </w:rPr>
        <w:t xml:space="preserve"> the</w:t>
      </w:r>
      <w:r w:rsidR="00CD7DFE" w:rsidRPr="003F3B73">
        <w:rPr>
          <w:rFonts w:ascii="Garamond" w:hAnsi="Garamond" w:cs="Arial"/>
          <w:sz w:val="24"/>
          <w:szCs w:val="24"/>
        </w:rPr>
        <w:t xml:space="preserve"> existing footprint</w:t>
      </w:r>
      <w:r w:rsidR="00FB254F" w:rsidRPr="003F3B73">
        <w:rPr>
          <w:rFonts w:ascii="Garamond" w:hAnsi="Garamond" w:cs="Arial"/>
          <w:sz w:val="24"/>
          <w:szCs w:val="24"/>
        </w:rPr>
        <w:t xml:space="preserve"> of the building</w:t>
      </w:r>
      <w:r w:rsidR="00EA22C7">
        <w:rPr>
          <w:rFonts w:ascii="Garamond" w:hAnsi="Garamond" w:cs="Arial"/>
          <w:sz w:val="24"/>
          <w:szCs w:val="24"/>
        </w:rPr>
        <w:t>. R</w:t>
      </w:r>
      <w:r w:rsidRPr="003F3B73">
        <w:rPr>
          <w:rFonts w:ascii="Garamond" w:hAnsi="Garamond" w:cs="Arial"/>
          <w:sz w:val="24"/>
          <w:szCs w:val="24"/>
        </w:rPr>
        <w:t>ec</w:t>
      </w:r>
      <w:r w:rsidR="00CD7DFE" w:rsidRPr="003F3B73">
        <w:rPr>
          <w:rFonts w:ascii="Garamond" w:hAnsi="Garamond" w:cs="Arial"/>
          <w:sz w:val="24"/>
          <w:szCs w:val="24"/>
        </w:rPr>
        <w:t xml:space="preserve">onfiguration of existing space </w:t>
      </w:r>
      <w:r w:rsidR="00EA22C7">
        <w:rPr>
          <w:rFonts w:ascii="Garamond" w:hAnsi="Garamond" w:cs="Arial"/>
          <w:sz w:val="24"/>
          <w:szCs w:val="24"/>
        </w:rPr>
        <w:t xml:space="preserve">will </w:t>
      </w:r>
      <w:r w:rsidRPr="003F3B73">
        <w:rPr>
          <w:rFonts w:ascii="Garamond" w:hAnsi="Garamond" w:cs="Arial"/>
          <w:sz w:val="24"/>
          <w:szCs w:val="24"/>
        </w:rPr>
        <w:t>result in lower construction costs</w:t>
      </w:r>
      <w:r w:rsidR="00B3407F" w:rsidRPr="003F3B73">
        <w:rPr>
          <w:rFonts w:ascii="Garamond" w:hAnsi="Garamond" w:cs="Arial"/>
          <w:sz w:val="24"/>
          <w:szCs w:val="24"/>
        </w:rPr>
        <w:t xml:space="preserve"> (compared to construction of an addition)</w:t>
      </w:r>
      <w:r w:rsidR="00FB254F" w:rsidRPr="003F3B73">
        <w:rPr>
          <w:rFonts w:ascii="Garamond" w:hAnsi="Garamond" w:cs="Arial"/>
          <w:sz w:val="24"/>
          <w:szCs w:val="24"/>
        </w:rPr>
        <w:t xml:space="preserve">. </w:t>
      </w:r>
      <w:r w:rsidR="00693698" w:rsidRPr="003F3B73">
        <w:rPr>
          <w:rFonts w:ascii="Garamond" w:hAnsi="Garamond" w:cs="Arial"/>
          <w:sz w:val="24"/>
          <w:szCs w:val="24"/>
        </w:rPr>
        <w:t xml:space="preserve">Buildout of the space will have little to no effect on the daily operations of the </w:t>
      </w:r>
      <w:r w:rsidR="00693698" w:rsidRPr="003F3B73">
        <w:rPr>
          <w:rFonts w:ascii="Garamond" w:hAnsi="Garamond" w:cs="Arial"/>
          <w:sz w:val="24"/>
          <w:szCs w:val="24"/>
        </w:rPr>
        <w:lastRenderedPageBreak/>
        <w:t xml:space="preserve">facility. </w:t>
      </w:r>
      <w:r w:rsidR="004C412C">
        <w:rPr>
          <w:rFonts w:ascii="Garamond" w:hAnsi="Garamond" w:cs="Arial"/>
          <w:sz w:val="24"/>
          <w:szCs w:val="24"/>
        </w:rPr>
        <w:t>Finally, t</w:t>
      </w:r>
      <w:r w:rsidR="008D2708">
        <w:rPr>
          <w:rFonts w:ascii="Garamond" w:hAnsi="Garamond" w:cs="Arial"/>
          <w:sz w:val="24"/>
          <w:szCs w:val="24"/>
        </w:rPr>
        <w:t>he Applicant has changed its purchasing organization which has resulted in a 24.9% supply cost savings in 2018.</w:t>
      </w:r>
      <w:r w:rsidR="00D76A57">
        <w:rPr>
          <w:rStyle w:val="FootnoteReference"/>
          <w:rFonts w:ascii="Garamond" w:hAnsi="Garamond" w:cs="Arial"/>
          <w:sz w:val="24"/>
          <w:szCs w:val="24"/>
        </w:rPr>
        <w:footnoteReference w:id="31"/>
      </w:r>
      <w:r w:rsidR="008D2708">
        <w:rPr>
          <w:rFonts w:ascii="Garamond" w:hAnsi="Garamond" w:cs="Arial"/>
          <w:sz w:val="24"/>
          <w:szCs w:val="24"/>
        </w:rPr>
        <w:t xml:space="preserve"> </w:t>
      </w:r>
    </w:p>
    <w:p w14:paraId="2F694B30" w14:textId="0D80A401" w:rsidR="003D7EBF" w:rsidRDefault="003D7EBF" w:rsidP="003F3B73">
      <w:pPr>
        <w:spacing w:after="0" w:line="240" w:lineRule="auto"/>
        <w:rPr>
          <w:rFonts w:ascii="Garamond" w:hAnsi="Garamond" w:cs="Arial"/>
          <w:sz w:val="24"/>
          <w:szCs w:val="24"/>
        </w:rPr>
      </w:pPr>
    </w:p>
    <w:bookmarkEnd w:id="185"/>
    <w:p w14:paraId="70BB0C5F" w14:textId="77777777" w:rsidR="00E40FAA" w:rsidRPr="005F4493" w:rsidRDefault="00E40FAA" w:rsidP="00EA38CA">
      <w:pPr>
        <w:spacing w:after="0" w:line="240" w:lineRule="auto"/>
        <w:contextualSpacing/>
        <w:rPr>
          <w:rFonts w:ascii="Garamond" w:hAnsi="Garamond" w:cs="Arial"/>
          <w:b/>
          <w:i/>
          <w:sz w:val="24"/>
          <w:szCs w:val="24"/>
        </w:rPr>
      </w:pPr>
      <w:r w:rsidRPr="005F4493">
        <w:rPr>
          <w:rFonts w:ascii="Garamond" w:hAnsi="Garamond" w:cs="Arial"/>
          <w:b/>
          <w:i/>
          <w:sz w:val="24"/>
          <w:szCs w:val="24"/>
        </w:rPr>
        <w:t>Analysis</w:t>
      </w:r>
    </w:p>
    <w:p w14:paraId="02EF45E5" w14:textId="4B200CC7" w:rsidR="009E78AF" w:rsidRDefault="00CB7CF4" w:rsidP="009E78AF">
      <w:pPr>
        <w:spacing w:after="0" w:line="240" w:lineRule="auto"/>
        <w:contextualSpacing/>
        <w:rPr>
          <w:rFonts w:ascii="Garamond" w:hAnsi="Garamond"/>
          <w:bCs/>
          <w:sz w:val="24"/>
          <w:szCs w:val="24"/>
        </w:rPr>
      </w:pPr>
      <w:r w:rsidRPr="00C00156">
        <w:rPr>
          <w:rFonts w:ascii="Garamond" w:hAnsi="Garamond" w:cs="Arial"/>
          <w:bCs/>
          <w:sz w:val="24"/>
          <w:szCs w:val="24"/>
        </w:rPr>
        <w:t xml:space="preserve">It has been well-established that </w:t>
      </w:r>
      <w:r w:rsidR="004C412C">
        <w:rPr>
          <w:rFonts w:ascii="Garamond" w:hAnsi="Garamond" w:cs="Arial"/>
          <w:bCs/>
          <w:sz w:val="24"/>
          <w:szCs w:val="24"/>
        </w:rPr>
        <w:t xml:space="preserve">generally, </w:t>
      </w:r>
      <w:r w:rsidRPr="00C00156">
        <w:rPr>
          <w:rFonts w:ascii="Garamond" w:hAnsi="Garamond" w:cs="Arial"/>
          <w:bCs/>
          <w:sz w:val="24"/>
          <w:szCs w:val="24"/>
        </w:rPr>
        <w:t>outpatient surgeries performed in the ASC setting can be a lower-cost alternative to the same surgeries performed in the HOPD</w:t>
      </w:r>
      <w:r w:rsidR="00FA6BB2" w:rsidRPr="00C867B4">
        <w:rPr>
          <w:rFonts w:ascii="Garamond" w:hAnsi="Garamond" w:cs="Arial"/>
          <w:bCs/>
          <w:sz w:val="24"/>
          <w:szCs w:val="24"/>
        </w:rPr>
        <w:t xml:space="preserve"> and s</w:t>
      </w:r>
      <w:r w:rsidRPr="00C867B4">
        <w:rPr>
          <w:rFonts w:ascii="Garamond" w:hAnsi="Garamond" w:cs="Arial"/>
          <w:bCs/>
          <w:sz w:val="24"/>
          <w:szCs w:val="24"/>
        </w:rPr>
        <w:t>everal studies detailed the cost savings associated with performing surgeries in the ASC setting.</w:t>
      </w:r>
      <w:r w:rsidR="00FA6BB2" w:rsidRPr="007B1C0B">
        <w:rPr>
          <w:rStyle w:val="EndnoteReference"/>
          <w:rFonts w:ascii="Garamond" w:hAnsi="Garamond"/>
          <w:sz w:val="24"/>
          <w:szCs w:val="24"/>
        </w:rPr>
        <w:endnoteReference w:id="40"/>
      </w:r>
      <w:r w:rsidR="00FA6BB2" w:rsidRPr="007B1C0B">
        <w:rPr>
          <w:rStyle w:val="EndnoteReference"/>
          <w:rFonts w:ascii="Garamond" w:hAnsi="Garamond"/>
          <w:sz w:val="24"/>
          <w:szCs w:val="24"/>
        </w:rPr>
        <w:t>,</w:t>
      </w:r>
      <w:r w:rsidR="00FA6BB2" w:rsidRPr="007B1C0B">
        <w:rPr>
          <w:rStyle w:val="EndnoteReference"/>
          <w:rFonts w:ascii="Garamond" w:hAnsi="Garamond" w:cs="Arial"/>
          <w:sz w:val="24"/>
          <w:szCs w:val="24"/>
        </w:rPr>
        <w:endnoteReference w:id="41"/>
      </w:r>
      <w:r w:rsidR="00FA6BB2" w:rsidRPr="007B1C0B">
        <w:rPr>
          <w:rStyle w:val="EndnoteReference"/>
          <w:rFonts w:ascii="Garamond" w:hAnsi="Garamond"/>
          <w:sz w:val="24"/>
          <w:szCs w:val="24"/>
        </w:rPr>
        <w:t>,</w:t>
      </w:r>
      <w:r w:rsidR="00FA6BB2" w:rsidRPr="007B1C0B">
        <w:rPr>
          <w:rStyle w:val="EndnoteReference"/>
          <w:rFonts w:ascii="Garamond" w:hAnsi="Garamond"/>
          <w:sz w:val="24"/>
          <w:szCs w:val="24"/>
        </w:rPr>
        <w:endnoteReference w:id="42"/>
      </w:r>
      <w:r w:rsidRPr="007B1C0B">
        <w:rPr>
          <w:rFonts w:ascii="Garamond" w:hAnsi="Garamond" w:cs="Arial"/>
          <w:bCs/>
          <w:sz w:val="24"/>
          <w:szCs w:val="24"/>
        </w:rPr>
        <w:t xml:space="preserve"> </w:t>
      </w:r>
      <w:r w:rsidR="00B933BA" w:rsidRPr="00F64665">
        <w:rPr>
          <w:rFonts w:ascii="Garamond" w:hAnsi="Garamond" w:cstheme="minorHAnsi"/>
          <w:sz w:val="24"/>
          <w:szCs w:val="24"/>
        </w:rPr>
        <w:t>ASCs focus on performing a narrow set of medical specialties and surgical procedures and providing care for patients with lower-acuity and less risk of complications.</w:t>
      </w:r>
      <w:r w:rsidR="009E78AF">
        <w:rPr>
          <w:rStyle w:val="EndnoteReference"/>
          <w:rFonts w:ascii="Garamond" w:hAnsi="Garamond"/>
          <w:bCs/>
          <w:sz w:val="24"/>
          <w:szCs w:val="24"/>
        </w:rPr>
        <w:endnoteReference w:id="43"/>
      </w:r>
      <w:r w:rsidR="009E78AF" w:rsidRPr="00626C15">
        <w:rPr>
          <w:rFonts w:ascii="Garamond" w:hAnsi="Garamond"/>
          <w:bCs/>
          <w:sz w:val="24"/>
          <w:szCs w:val="24"/>
          <w:vertAlign w:val="superscript"/>
        </w:rPr>
        <w:t>,</w:t>
      </w:r>
      <w:r w:rsidR="009E78AF">
        <w:rPr>
          <w:rStyle w:val="EndnoteReference"/>
          <w:rFonts w:ascii="Garamond" w:hAnsi="Garamond"/>
          <w:bCs/>
          <w:sz w:val="24"/>
          <w:szCs w:val="24"/>
        </w:rPr>
        <w:endnoteReference w:id="44"/>
      </w:r>
      <w:r w:rsidR="009E78AF">
        <w:rPr>
          <w:rFonts w:ascii="Garamond" w:hAnsi="Garamond"/>
          <w:bCs/>
          <w:sz w:val="24"/>
          <w:szCs w:val="24"/>
          <w:vertAlign w:val="superscript"/>
        </w:rPr>
        <w:t xml:space="preserve"> </w:t>
      </w:r>
      <w:r w:rsidR="00CC1D04">
        <w:rPr>
          <w:rFonts w:ascii="Garamond" w:hAnsi="Garamond"/>
          <w:bCs/>
          <w:sz w:val="24"/>
          <w:szCs w:val="24"/>
          <w:vertAlign w:val="superscript"/>
        </w:rPr>
        <w:t xml:space="preserve"> </w:t>
      </w:r>
      <w:r w:rsidR="00841BD4" w:rsidRPr="004C412C">
        <w:rPr>
          <w:rFonts w:ascii="Garamond" w:hAnsi="Garamond"/>
          <w:bCs/>
          <w:sz w:val="24"/>
          <w:szCs w:val="24"/>
        </w:rPr>
        <w:t xml:space="preserve">Staff compared </w:t>
      </w:r>
      <w:r w:rsidR="00622194" w:rsidRPr="004C412C">
        <w:rPr>
          <w:rFonts w:ascii="Garamond" w:hAnsi="Garamond"/>
          <w:bCs/>
          <w:sz w:val="24"/>
          <w:szCs w:val="24"/>
        </w:rPr>
        <w:t xml:space="preserve">total </w:t>
      </w:r>
      <w:r w:rsidR="001B7617" w:rsidRPr="004C412C">
        <w:rPr>
          <w:rFonts w:ascii="Garamond" w:hAnsi="Garamond"/>
          <w:bCs/>
          <w:sz w:val="24"/>
          <w:szCs w:val="24"/>
        </w:rPr>
        <w:t>costs</w:t>
      </w:r>
      <w:r w:rsidR="00FC7E88" w:rsidRPr="004C412C">
        <w:rPr>
          <w:rFonts w:ascii="Garamond" w:hAnsi="Garamond"/>
          <w:bCs/>
          <w:sz w:val="24"/>
          <w:szCs w:val="24"/>
        </w:rPr>
        <w:t xml:space="preserve"> and copayments </w:t>
      </w:r>
      <w:r w:rsidR="00841BD4" w:rsidRPr="004C412C">
        <w:rPr>
          <w:rFonts w:ascii="Garamond" w:hAnsi="Garamond"/>
          <w:bCs/>
          <w:sz w:val="24"/>
          <w:szCs w:val="24"/>
        </w:rPr>
        <w:t xml:space="preserve">of select procedures offered </w:t>
      </w:r>
      <w:r w:rsidR="00FC7E88" w:rsidRPr="004C412C">
        <w:rPr>
          <w:rFonts w:ascii="Garamond" w:hAnsi="Garamond"/>
          <w:bCs/>
          <w:sz w:val="24"/>
          <w:szCs w:val="24"/>
        </w:rPr>
        <w:t xml:space="preserve">at </w:t>
      </w:r>
      <w:r w:rsidR="00841BD4" w:rsidRPr="004C412C">
        <w:rPr>
          <w:rFonts w:ascii="Garamond" w:hAnsi="Garamond"/>
          <w:bCs/>
          <w:sz w:val="24"/>
          <w:szCs w:val="24"/>
        </w:rPr>
        <w:t xml:space="preserve">NESC using the </w:t>
      </w:r>
      <w:r w:rsidR="00B825AC" w:rsidRPr="004C412C">
        <w:rPr>
          <w:rFonts w:ascii="Garamond" w:hAnsi="Garamond"/>
          <w:bCs/>
          <w:sz w:val="24"/>
          <w:szCs w:val="24"/>
        </w:rPr>
        <w:t>Price Procedure lookup</w:t>
      </w:r>
      <w:r w:rsidR="00841BD4" w:rsidRPr="004C412C">
        <w:rPr>
          <w:rFonts w:ascii="Garamond" w:hAnsi="Garamond"/>
          <w:bCs/>
          <w:sz w:val="24"/>
          <w:szCs w:val="24"/>
        </w:rPr>
        <w:t xml:space="preserve"> tool and found that </w:t>
      </w:r>
      <w:r w:rsidR="009C20CA" w:rsidRPr="004C412C">
        <w:rPr>
          <w:rFonts w:ascii="Garamond" w:hAnsi="Garamond"/>
          <w:bCs/>
          <w:sz w:val="24"/>
          <w:szCs w:val="24"/>
        </w:rPr>
        <w:t xml:space="preserve">ASCs can be </w:t>
      </w:r>
      <w:r w:rsidR="00622194" w:rsidRPr="004C412C">
        <w:rPr>
          <w:rFonts w:ascii="Garamond" w:hAnsi="Garamond"/>
          <w:bCs/>
          <w:sz w:val="24"/>
          <w:szCs w:val="24"/>
        </w:rPr>
        <w:t xml:space="preserve">a </w:t>
      </w:r>
      <w:r w:rsidR="009C20CA" w:rsidRPr="004C412C">
        <w:rPr>
          <w:rFonts w:ascii="Garamond" w:hAnsi="Garamond"/>
          <w:bCs/>
          <w:sz w:val="24"/>
          <w:szCs w:val="24"/>
        </w:rPr>
        <w:t xml:space="preserve">cost-effective </w:t>
      </w:r>
      <w:r w:rsidR="00622194" w:rsidRPr="004C412C">
        <w:rPr>
          <w:rFonts w:ascii="Garamond" w:hAnsi="Garamond"/>
          <w:bCs/>
          <w:sz w:val="24"/>
          <w:szCs w:val="24"/>
        </w:rPr>
        <w:t xml:space="preserve">alternative </w:t>
      </w:r>
      <w:r w:rsidR="009C20CA" w:rsidRPr="004C412C">
        <w:rPr>
          <w:rFonts w:ascii="Garamond" w:hAnsi="Garamond"/>
          <w:bCs/>
          <w:sz w:val="24"/>
          <w:szCs w:val="24"/>
        </w:rPr>
        <w:t>for certain procedures</w:t>
      </w:r>
      <w:r w:rsidR="00841BD4" w:rsidRPr="004C412C">
        <w:rPr>
          <w:rFonts w:ascii="Garamond" w:hAnsi="Garamond"/>
          <w:bCs/>
          <w:sz w:val="24"/>
          <w:szCs w:val="24"/>
        </w:rPr>
        <w:t xml:space="preserve">. </w:t>
      </w:r>
      <w:r w:rsidR="001B7617" w:rsidRPr="004C412C">
        <w:rPr>
          <w:rFonts w:ascii="Garamond" w:hAnsi="Garamond"/>
          <w:bCs/>
          <w:sz w:val="24"/>
          <w:szCs w:val="24"/>
        </w:rPr>
        <w:t>It has been reported</w:t>
      </w:r>
      <w:r w:rsidR="007D398D" w:rsidRPr="004C412C">
        <w:rPr>
          <w:rFonts w:ascii="Garamond" w:hAnsi="Garamond"/>
          <w:bCs/>
          <w:sz w:val="24"/>
          <w:szCs w:val="24"/>
        </w:rPr>
        <w:t xml:space="preserve"> that </w:t>
      </w:r>
      <w:r w:rsidR="00FC7E88" w:rsidRPr="004C412C">
        <w:rPr>
          <w:rFonts w:ascii="Garamond" w:hAnsi="Garamond"/>
          <w:bCs/>
          <w:sz w:val="24"/>
          <w:szCs w:val="24"/>
        </w:rPr>
        <w:t xml:space="preserve">data from the </w:t>
      </w:r>
      <w:r w:rsidR="007D398D" w:rsidRPr="004C412C">
        <w:rPr>
          <w:rFonts w:ascii="Garamond" w:hAnsi="Garamond"/>
          <w:bCs/>
          <w:sz w:val="24"/>
          <w:szCs w:val="24"/>
        </w:rPr>
        <w:t xml:space="preserve">Price Procedure </w:t>
      </w:r>
      <w:r w:rsidR="00FC7E88" w:rsidRPr="004C412C">
        <w:rPr>
          <w:rFonts w:ascii="Garamond" w:hAnsi="Garamond"/>
          <w:bCs/>
          <w:sz w:val="24"/>
          <w:szCs w:val="24"/>
        </w:rPr>
        <w:t>tool are</w:t>
      </w:r>
      <w:r w:rsidR="007D398D" w:rsidRPr="004C412C">
        <w:rPr>
          <w:rFonts w:ascii="Garamond" w:hAnsi="Garamond"/>
          <w:bCs/>
          <w:sz w:val="24"/>
          <w:szCs w:val="24"/>
        </w:rPr>
        <w:t xml:space="preserve"> limited</w:t>
      </w:r>
      <w:r w:rsidR="001B7617" w:rsidRPr="004C412C">
        <w:rPr>
          <w:rFonts w:ascii="Garamond" w:hAnsi="Garamond"/>
          <w:bCs/>
          <w:sz w:val="24"/>
          <w:szCs w:val="24"/>
        </w:rPr>
        <w:t xml:space="preserve"> because</w:t>
      </w:r>
      <w:r w:rsidR="00B825AC" w:rsidRPr="004C412C">
        <w:rPr>
          <w:rFonts w:ascii="Garamond" w:hAnsi="Garamond"/>
          <w:bCs/>
          <w:sz w:val="24"/>
          <w:szCs w:val="24"/>
        </w:rPr>
        <w:t xml:space="preserve"> the </w:t>
      </w:r>
      <w:r w:rsidR="0060669B" w:rsidRPr="004C412C">
        <w:rPr>
          <w:rFonts w:ascii="Garamond" w:hAnsi="Garamond"/>
          <w:bCs/>
          <w:sz w:val="24"/>
          <w:szCs w:val="24"/>
        </w:rPr>
        <w:t>prices are based on national averages</w:t>
      </w:r>
      <w:r w:rsidR="001B7617" w:rsidRPr="004C412C">
        <w:rPr>
          <w:rFonts w:ascii="Garamond" w:hAnsi="Garamond"/>
          <w:bCs/>
          <w:sz w:val="24"/>
          <w:szCs w:val="24"/>
        </w:rPr>
        <w:t xml:space="preserve"> and</w:t>
      </w:r>
      <w:r w:rsidR="00B825AC" w:rsidRPr="004C412C">
        <w:rPr>
          <w:rFonts w:ascii="Garamond" w:hAnsi="Garamond"/>
          <w:bCs/>
          <w:sz w:val="24"/>
          <w:szCs w:val="24"/>
        </w:rPr>
        <w:t xml:space="preserve"> </w:t>
      </w:r>
      <w:r w:rsidR="005D1BC7" w:rsidRPr="004C412C">
        <w:rPr>
          <w:rFonts w:ascii="Garamond" w:hAnsi="Garamond"/>
          <w:bCs/>
          <w:sz w:val="24"/>
          <w:szCs w:val="24"/>
        </w:rPr>
        <w:t xml:space="preserve">copayment estimates </w:t>
      </w:r>
      <w:r w:rsidR="00EF74C5" w:rsidRPr="004C412C">
        <w:rPr>
          <w:rFonts w:ascii="Garamond" w:hAnsi="Garamond"/>
          <w:bCs/>
          <w:sz w:val="24"/>
          <w:szCs w:val="24"/>
        </w:rPr>
        <w:t>are only for patients with Original</w:t>
      </w:r>
      <w:r w:rsidR="00656120">
        <w:rPr>
          <w:rFonts w:ascii="Garamond" w:hAnsi="Garamond"/>
          <w:bCs/>
          <w:sz w:val="24"/>
          <w:szCs w:val="24"/>
        </w:rPr>
        <w:t xml:space="preserve"> </w:t>
      </w:r>
      <w:r w:rsidR="00EF74C5" w:rsidRPr="004C412C">
        <w:rPr>
          <w:rFonts w:ascii="Garamond" w:hAnsi="Garamond"/>
          <w:bCs/>
          <w:sz w:val="24"/>
          <w:szCs w:val="24"/>
        </w:rPr>
        <w:t>Medicare and no supplemental policy</w:t>
      </w:r>
      <w:r w:rsidR="00975A3C" w:rsidRPr="004C412C">
        <w:rPr>
          <w:rFonts w:ascii="Garamond" w:hAnsi="Garamond"/>
          <w:bCs/>
          <w:sz w:val="24"/>
          <w:szCs w:val="24"/>
        </w:rPr>
        <w:t>.</w:t>
      </w:r>
      <w:r w:rsidR="005D1BC7" w:rsidRPr="004C412C">
        <w:rPr>
          <w:rFonts w:ascii="Garamond" w:hAnsi="Garamond"/>
          <w:bCs/>
          <w:sz w:val="24"/>
          <w:szCs w:val="24"/>
        </w:rPr>
        <w:t xml:space="preserve"> </w:t>
      </w:r>
      <w:r w:rsidR="00975A3C" w:rsidRPr="004C412C">
        <w:rPr>
          <w:rFonts w:ascii="Garamond" w:hAnsi="Garamond"/>
          <w:bCs/>
          <w:sz w:val="24"/>
          <w:szCs w:val="24"/>
        </w:rPr>
        <w:t>In addition,</w:t>
      </w:r>
      <w:r w:rsidR="00B825AC" w:rsidRPr="004C412C">
        <w:rPr>
          <w:rFonts w:ascii="Garamond" w:hAnsi="Garamond"/>
          <w:bCs/>
          <w:sz w:val="24"/>
          <w:szCs w:val="24"/>
        </w:rPr>
        <w:t xml:space="preserve"> Medicare costs </w:t>
      </w:r>
      <w:r w:rsidR="00FC7E88" w:rsidRPr="004C412C">
        <w:rPr>
          <w:rFonts w:ascii="Garamond" w:hAnsi="Garamond"/>
          <w:bCs/>
          <w:sz w:val="24"/>
          <w:szCs w:val="24"/>
        </w:rPr>
        <w:t>and copay</w:t>
      </w:r>
      <w:r w:rsidR="00EA2017" w:rsidRPr="004C412C">
        <w:rPr>
          <w:rFonts w:ascii="Garamond" w:hAnsi="Garamond"/>
          <w:bCs/>
          <w:sz w:val="24"/>
          <w:szCs w:val="24"/>
        </w:rPr>
        <w:t>ments</w:t>
      </w:r>
      <w:r w:rsidR="00FC7E88" w:rsidRPr="004C412C">
        <w:rPr>
          <w:rFonts w:ascii="Garamond" w:hAnsi="Garamond"/>
          <w:bCs/>
          <w:sz w:val="24"/>
          <w:szCs w:val="24"/>
        </w:rPr>
        <w:t xml:space="preserve"> </w:t>
      </w:r>
      <w:r w:rsidR="00B825AC" w:rsidRPr="004C412C">
        <w:rPr>
          <w:rFonts w:ascii="Garamond" w:hAnsi="Garamond"/>
          <w:bCs/>
          <w:sz w:val="24"/>
          <w:szCs w:val="24"/>
        </w:rPr>
        <w:t>are not always aligned</w:t>
      </w:r>
      <w:r w:rsidR="001B7617" w:rsidRPr="004C412C">
        <w:rPr>
          <w:rFonts w:ascii="Garamond" w:hAnsi="Garamond"/>
          <w:bCs/>
          <w:sz w:val="24"/>
          <w:szCs w:val="24"/>
        </w:rPr>
        <w:t>;</w:t>
      </w:r>
      <w:r w:rsidR="00B825AC" w:rsidRPr="004C412C">
        <w:rPr>
          <w:rFonts w:ascii="Garamond" w:hAnsi="Garamond"/>
          <w:bCs/>
          <w:sz w:val="24"/>
          <w:szCs w:val="24"/>
        </w:rPr>
        <w:t xml:space="preserve"> a patient copay </w:t>
      </w:r>
      <w:r w:rsidR="00FC7E88" w:rsidRPr="004C412C">
        <w:rPr>
          <w:rFonts w:ascii="Garamond" w:hAnsi="Garamond"/>
          <w:bCs/>
          <w:sz w:val="24"/>
          <w:szCs w:val="24"/>
        </w:rPr>
        <w:t xml:space="preserve">may </w:t>
      </w:r>
      <w:r w:rsidR="00B825AC" w:rsidRPr="004C412C">
        <w:rPr>
          <w:rFonts w:ascii="Garamond" w:hAnsi="Garamond"/>
          <w:bCs/>
          <w:sz w:val="24"/>
          <w:szCs w:val="24"/>
        </w:rPr>
        <w:t>be less expensive</w:t>
      </w:r>
      <w:r w:rsidR="0070318B" w:rsidRPr="004C412C">
        <w:rPr>
          <w:rFonts w:ascii="Garamond" w:hAnsi="Garamond"/>
          <w:bCs/>
          <w:sz w:val="24"/>
          <w:szCs w:val="24"/>
        </w:rPr>
        <w:t xml:space="preserve"> at an </w:t>
      </w:r>
      <w:r w:rsidR="00E40E83" w:rsidRPr="004C412C">
        <w:rPr>
          <w:rFonts w:ascii="Garamond" w:hAnsi="Garamond"/>
          <w:bCs/>
          <w:sz w:val="24"/>
          <w:szCs w:val="24"/>
        </w:rPr>
        <w:t>HOPD,</w:t>
      </w:r>
      <w:r w:rsidR="00B825AC" w:rsidRPr="004C412C">
        <w:rPr>
          <w:rFonts w:ascii="Garamond" w:hAnsi="Garamond"/>
          <w:bCs/>
          <w:sz w:val="24"/>
          <w:szCs w:val="24"/>
        </w:rPr>
        <w:t xml:space="preserve"> but the total cost </w:t>
      </w:r>
      <w:r w:rsidR="0070318B" w:rsidRPr="004C412C">
        <w:rPr>
          <w:rFonts w:ascii="Garamond" w:hAnsi="Garamond"/>
          <w:bCs/>
          <w:sz w:val="24"/>
          <w:szCs w:val="24"/>
        </w:rPr>
        <w:t>of the procedure may be more</w:t>
      </w:r>
      <w:r w:rsidR="00622194" w:rsidRPr="004C412C">
        <w:rPr>
          <w:rFonts w:ascii="Garamond" w:hAnsi="Garamond"/>
          <w:bCs/>
          <w:sz w:val="24"/>
          <w:szCs w:val="24"/>
        </w:rPr>
        <w:t xml:space="preserve"> </w:t>
      </w:r>
      <w:r w:rsidR="00E40E83" w:rsidRPr="004C412C">
        <w:rPr>
          <w:rFonts w:ascii="Garamond" w:hAnsi="Garamond"/>
          <w:bCs/>
          <w:sz w:val="24"/>
          <w:szCs w:val="24"/>
        </w:rPr>
        <w:t xml:space="preserve">expensive than </w:t>
      </w:r>
      <w:r w:rsidR="00622194" w:rsidRPr="004C412C">
        <w:rPr>
          <w:rFonts w:ascii="Garamond" w:hAnsi="Garamond"/>
          <w:bCs/>
          <w:sz w:val="24"/>
          <w:szCs w:val="24"/>
        </w:rPr>
        <w:t>an ASC</w:t>
      </w:r>
      <w:r w:rsidR="00B825AC" w:rsidRPr="004C412C">
        <w:rPr>
          <w:rFonts w:ascii="Garamond" w:hAnsi="Garamond"/>
          <w:bCs/>
          <w:sz w:val="24"/>
          <w:szCs w:val="24"/>
        </w:rPr>
        <w:t>.</w:t>
      </w:r>
      <w:r w:rsidR="0070318B" w:rsidRPr="004C412C">
        <w:rPr>
          <w:rStyle w:val="EndnoteReference"/>
          <w:rFonts w:ascii="Garamond" w:hAnsi="Garamond"/>
          <w:bCs/>
          <w:sz w:val="24"/>
          <w:szCs w:val="24"/>
        </w:rPr>
        <w:endnoteReference w:id="45"/>
      </w:r>
    </w:p>
    <w:p w14:paraId="52D69E1C" w14:textId="49A60124" w:rsidR="002F5868" w:rsidRDefault="002F5868" w:rsidP="00EA38CA">
      <w:pPr>
        <w:spacing w:after="0" w:line="240" w:lineRule="auto"/>
        <w:contextualSpacing/>
        <w:rPr>
          <w:rFonts w:ascii="Garamond" w:hAnsi="Garamond" w:cs="Arial"/>
          <w:sz w:val="24"/>
          <w:szCs w:val="24"/>
        </w:rPr>
      </w:pPr>
    </w:p>
    <w:p w14:paraId="0086A6D3" w14:textId="77777777" w:rsidR="00D93B15" w:rsidRPr="00EA38CA" w:rsidRDefault="00D93B15" w:rsidP="00EA38CA">
      <w:pPr>
        <w:spacing w:after="0" w:line="240" w:lineRule="auto"/>
        <w:contextualSpacing/>
        <w:rPr>
          <w:rFonts w:ascii="Garamond" w:hAnsi="Garamond" w:cs="Arial"/>
          <w:sz w:val="24"/>
          <w:szCs w:val="24"/>
        </w:rPr>
      </w:pPr>
    </w:p>
    <w:p w14:paraId="566B378E" w14:textId="4557F7EC" w:rsidR="003253C6" w:rsidRPr="00B137E3" w:rsidRDefault="003253C6" w:rsidP="00EA38CA">
      <w:pPr>
        <w:pStyle w:val="Heading2"/>
        <w:spacing w:before="0" w:line="240" w:lineRule="auto"/>
        <w:contextualSpacing/>
        <w:rPr>
          <w:rFonts w:ascii="Garamond" w:hAnsi="Garamond"/>
          <w:color w:val="42558C" w:themeColor="accent1" w:themeShade="BF"/>
          <w:sz w:val="28"/>
          <w:szCs w:val="28"/>
        </w:rPr>
      </w:pPr>
      <w:bookmarkStart w:id="187" w:name="_Toc29755685"/>
      <w:bookmarkStart w:id="188" w:name="_Toc58960219"/>
      <w:r w:rsidRPr="00B137E3">
        <w:rPr>
          <w:rFonts w:ascii="Garamond" w:hAnsi="Garamond"/>
          <w:color w:val="42558C" w:themeColor="accent1" w:themeShade="BF"/>
          <w:sz w:val="28"/>
          <w:szCs w:val="28"/>
        </w:rPr>
        <w:t>F</w:t>
      </w:r>
      <w:r w:rsidR="00966020">
        <w:rPr>
          <w:rFonts w:ascii="Garamond" w:hAnsi="Garamond"/>
          <w:color w:val="42558C" w:themeColor="accent1" w:themeShade="BF"/>
          <w:sz w:val="28"/>
          <w:szCs w:val="28"/>
        </w:rPr>
        <w:t>actor</w:t>
      </w:r>
      <w:r w:rsidRPr="00B137E3">
        <w:rPr>
          <w:rFonts w:ascii="Garamond" w:hAnsi="Garamond"/>
          <w:color w:val="42558C" w:themeColor="accent1" w:themeShade="BF"/>
          <w:sz w:val="28"/>
          <w:szCs w:val="28"/>
        </w:rPr>
        <w:t xml:space="preserve"> 1</w:t>
      </w:r>
      <w:bookmarkEnd w:id="187"/>
      <w:r w:rsidRPr="00B137E3">
        <w:rPr>
          <w:rFonts w:ascii="Garamond" w:hAnsi="Garamond"/>
          <w:color w:val="42558C" w:themeColor="accent1" w:themeShade="BF"/>
          <w:sz w:val="28"/>
          <w:szCs w:val="28"/>
        </w:rPr>
        <w:t xml:space="preserve"> </w:t>
      </w:r>
      <w:r w:rsidR="00126DEE" w:rsidRPr="00B137E3">
        <w:rPr>
          <w:rFonts w:ascii="Garamond" w:hAnsi="Garamond"/>
          <w:color w:val="42558C" w:themeColor="accent1" w:themeShade="BF"/>
          <w:sz w:val="28"/>
          <w:szCs w:val="28"/>
        </w:rPr>
        <w:t>Summary</w:t>
      </w:r>
      <w:bookmarkEnd w:id="188"/>
      <w:r w:rsidR="00126DEE" w:rsidRPr="00B137E3">
        <w:rPr>
          <w:rFonts w:ascii="Garamond" w:hAnsi="Garamond"/>
          <w:color w:val="42558C" w:themeColor="accent1" w:themeShade="BF"/>
          <w:sz w:val="28"/>
          <w:szCs w:val="28"/>
        </w:rPr>
        <w:t xml:space="preserve"> </w:t>
      </w:r>
    </w:p>
    <w:p w14:paraId="10C2DD0B" w14:textId="3D18C3B0" w:rsidR="00FC31DB" w:rsidRPr="007B2B6A" w:rsidRDefault="008111D5" w:rsidP="00D77092">
      <w:pPr>
        <w:spacing w:after="0" w:line="240" w:lineRule="auto"/>
        <w:contextualSpacing/>
        <w:rPr>
          <w:rFonts w:ascii="Garamond" w:hAnsi="Garamond"/>
          <w:sz w:val="24"/>
          <w:szCs w:val="24"/>
        </w:rPr>
      </w:pPr>
      <w:r w:rsidRPr="00EA38CA">
        <w:rPr>
          <w:rFonts w:ascii="Garamond" w:hAnsi="Garamond" w:cs="Arial"/>
          <w:sz w:val="24"/>
          <w:szCs w:val="24"/>
        </w:rPr>
        <w:t xml:space="preserve">As a result </w:t>
      </w:r>
      <w:r w:rsidRPr="00BC1F7D">
        <w:rPr>
          <w:rFonts w:ascii="Garamond" w:hAnsi="Garamond" w:cs="Arial"/>
          <w:sz w:val="24"/>
          <w:szCs w:val="24"/>
        </w:rPr>
        <w:t xml:space="preserve">of information provided by the Applicant and additional analysis, staff finds that the Applicant has demonstrated that the </w:t>
      </w:r>
      <w:r w:rsidR="00A31EBE">
        <w:rPr>
          <w:rFonts w:ascii="Garamond" w:hAnsi="Garamond" w:cs="Arial"/>
          <w:sz w:val="24"/>
          <w:szCs w:val="24"/>
        </w:rPr>
        <w:t>proposed ambulatory surgery project</w:t>
      </w:r>
      <w:r w:rsidRPr="00BC1F7D">
        <w:rPr>
          <w:rFonts w:ascii="Garamond" w:hAnsi="Garamond" w:cs="Arial"/>
          <w:sz w:val="24"/>
          <w:szCs w:val="24"/>
        </w:rPr>
        <w:t xml:space="preserve"> has met Factors 1(a</w:t>
      </w:r>
      <w:r w:rsidR="009A52EA" w:rsidRPr="00BC1F7D">
        <w:rPr>
          <w:rFonts w:ascii="Garamond" w:hAnsi="Garamond" w:cs="Arial"/>
          <w:sz w:val="24"/>
          <w:szCs w:val="24"/>
        </w:rPr>
        <w:t>-</w:t>
      </w:r>
      <w:r w:rsidRPr="00BC1F7D">
        <w:rPr>
          <w:rFonts w:ascii="Garamond" w:hAnsi="Garamond" w:cs="Arial"/>
          <w:sz w:val="24"/>
          <w:szCs w:val="24"/>
        </w:rPr>
        <w:t>f).</w:t>
      </w:r>
      <w:r w:rsidR="00F2354A" w:rsidRPr="00BC1F7D">
        <w:rPr>
          <w:rFonts w:ascii="Garamond" w:hAnsi="Garamond" w:cs="Arial"/>
          <w:sz w:val="24"/>
          <w:szCs w:val="24"/>
        </w:rPr>
        <w:t xml:space="preserve"> </w:t>
      </w:r>
      <w:r w:rsidR="00BC1F7D" w:rsidRPr="00BC1F7D">
        <w:rPr>
          <w:rFonts w:ascii="Garamond" w:hAnsi="Garamond" w:cs="Arial"/>
          <w:sz w:val="24"/>
          <w:szCs w:val="24"/>
        </w:rPr>
        <w:t xml:space="preserve"> </w:t>
      </w:r>
    </w:p>
    <w:p w14:paraId="730CD3C3" w14:textId="7E8B69E3" w:rsidR="0012392C" w:rsidRPr="00796FF2" w:rsidRDefault="0012392C" w:rsidP="00EA38CA">
      <w:pPr>
        <w:pStyle w:val="Heading1"/>
        <w:spacing w:line="240" w:lineRule="auto"/>
        <w:rPr>
          <w:rFonts w:ascii="Garamond" w:hAnsi="Garamond"/>
        </w:rPr>
      </w:pPr>
      <w:bookmarkStart w:id="189" w:name="_Toc58960220"/>
      <w:bookmarkStart w:id="190" w:name="_Toc29755686"/>
      <w:r w:rsidRPr="00796FF2">
        <w:rPr>
          <w:rFonts w:ascii="Garamond" w:hAnsi="Garamond"/>
        </w:rPr>
        <w:t>Factor 2: Cost containment, Improved Public Health Outcomes and Delivery System Transformation</w:t>
      </w:r>
      <w:bookmarkEnd w:id="189"/>
      <w:r w:rsidRPr="00796FF2">
        <w:rPr>
          <w:rFonts w:ascii="Garamond" w:hAnsi="Garamond"/>
        </w:rPr>
        <w:t xml:space="preserve"> </w:t>
      </w:r>
      <w:bookmarkEnd w:id="190"/>
    </w:p>
    <w:p w14:paraId="4E24CFB5" w14:textId="77777777" w:rsidR="0034423D" w:rsidRPr="00BC1F7D" w:rsidRDefault="0034423D" w:rsidP="00EA38CA">
      <w:pPr>
        <w:spacing w:after="0" w:line="240" w:lineRule="auto"/>
        <w:contextualSpacing/>
        <w:rPr>
          <w:rFonts w:ascii="Garamond" w:hAnsi="Garamond"/>
          <w:b/>
          <w:bCs/>
          <w:sz w:val="24"/>
          <w:szCs w:val="24"/>
        </w:rPr>
      </w:pPr>
    </w:p>
    <w:p w14:paraId="754133EF" w14:textId="553A69BA" w:rsidR="0034423D" w:rsidRDefault="0034423D" w:rsidP="00EA38CA">
      <w:pPr>
        <w:spacing w:after="0" w:line="240" w:lineRule="auto"/>
        <w:contextualSpacing/>
        <w:rPr>
          <w:rFonts w:ascii="Garamond" w:hAnsi="Garamond"/>
          <w:b/>
          <w:bCs/>
          <w:sz w:val="24"/>
          <w:szCs w:val="24"/>
        </w:rPr>
      </w:pPr>
      <w:r w:rsidRPr="00BC1F7D">
        <w:rPr>
          <w:rFonts w:ascii="Garamond" w:hAnsi="Garamond"/>
          <w:b/>
          <w:bCs/>
          <w:sz w:val="24"/>
          <w:szCs w:val="24"/>
        </w:rPr>
        <w:t xml:space="preserve">Cost Containment </w:t>
      </w:r>
    </w:p>
    <w:p w14:paraId="303E48ED" w14:textId="07AAD0C4" w:rsidR="00333960" w:rsidRDefault="00261B4D" w:rsidP="00333960">
      <w:pPr>
        <w:spacing w:after="0" w:line="240" w:lineRule="auto"/>
        <w:contextualSpacing/>
        <w:rPr>
          <w:rFonts w:ascii="Garamond" w:hAnsi="Garamond"/>
          <w:sz w:val="24"/>
          <w:szCs w:val="24"/>
        </w:rPr>
      </w:pPr>
      <w:bookmarkStart w:id="191" w:name="_Toc17731330"/>
      <w:bookmarkStart w:id="192" w:name="_Toc17748250"/>
      <w:bookmarkStart w:id="193" w:name="_Toc17748477"/>
      <w:bookmarkStart w:id="194" w:name="_Toc17748721"/>
      <w:bookmarkStart w:id="195" w:name="_Toc18420200"/>
      <w:bookmarkStart w:id="196" w:name="_Toc18922421"/>
      <w:r w:rsidRPr="004C412C">
        <w:rPr>
          <w:rFonts w:ascii="Garamond" w:hAnsi="Garamond"/>
          <w:bCs/>
          <w:sz w:val="24"/>
          <w:szCs w:val="24"/>
        </w:rPr>
        <w:t>The Applicant reiterated the cost savings achieved in ASCs outlined above through provi</w:t>
      </w:r>
      <w:r w:rsidR="005C6CCC" w:rsidRPr="004C412C">
        <w:rPr>
          <w:rFonts w:ascii="Garamond" w:hAnsi="Garamond"/>
          <w:bCs/>
          <w:sz w:val="24"/>
          <w:szCs w:val="24"/>
        </w:rPr>
        <w:t>sion of</w:t>
      </w:r>
      <w:r w:rsidRPr="004C412C">
        <w:rPr>
          <w:rFonts w:ascii="Garamond" w:hAnsi="Garamond"/>
          <w:bCs/>
          <w:sz w:val="24"/>
          <w:szCs w:val="24"/>
        </w:rPr>
        <w:t xml:space="preserve"> </w:t>
      </w:r>
      <w:r w:rsidR="00E7313C" w:rsidRPr="004C412C">
        <w:rPr>
          <w:rFonts w:ascii="Garamond" w:hAnsi="Garamond"/>
          <w:bCs/>
          <w:sz w:val="24"/>
          <w:szCs w:val="24"/>
        </w:rPr>
        <w:t xml:space="preserve">Medicare </w:t>
      </w:r>
      <w:r w:rsidR="0099058F" w:rsidRPr="004C412C">
        <w:rPr>
          <w:rFonts w:ascii="Garamond" w:hAnsi="Garamond"/>
          <w:bCs/>
          <w:sz w:val="24"/>
          <w:szCs w:val="24"/>
        </w:rPr>
        <w:t xml:space="preserve">local </w:t>
      </w:r>
      <w:r w:rsidR="00B55190" w:rsidRPr="004C412C">
        <w:rPr>
          <w:rFonts w:ascii="Garamond" w:hAnsi="Garamond"/>
          <w:bCs/>
          <w:sz w:val="24"/>
          <w:szCs w:val="24"/>
        </w:rPr>
        <w:t>payment</w:t>
      </w:r>
      <w:r w:rsidR="00375DB3" w:rsidRPr="004C412C">
        <w:rPr>
          <w:rFonts w:ascii="Garamond" w:hAnsi="Garamond"/>
          <w:bCs/>
          <w:sz w:val="24"/>
          <w:szCs w:val="24"/>
        </w:rPr>
        <w:t>s and copays</w:t>
      </w:r>
      <w:r w:rsidRPr="004C412C">
        <w:rPr>
          <w:rFonts w:ascii="Garamond" w:hAnsi="Garamond"/>
          <w:bCs/>
          <w:sz w:val="24"/>
          <w:szCs w:val="24"/>
        </w:rPr>
        <w:t xml:space="preserve"> for </w:t>
      </w:r>
      <w:r w:rsidR="00BC0675" w:rsidRPr="004C412C">
        <w:rPr>
          <w:rFonts w:ascii="Garamond" w:hAnsi="Garamond"/>
          <w:bCs/>
          <w:sz w:val="24"/>
          <w:szCs w:val="24"/>
        </w:rPr>
        <w:t xml:space="preserve">additional </w:t>
      </w:r>
      <w:r w:rsidRPr="004C412C">
        <w:rPr>
          <w:rFonts w:ascii="Garamond" w:hAnsi="Garamond"/>
          <w:bCs/>
          <w:sz w:val="24"/>
          <w:szCs w:val="24"/>
        </w:rPr>
        <w:t>outpatient procedures.</w:t>
      </w:r>
      <w:r w:rsidR="003A30B5" w:rsidRPr="004C412C">
        <w:rPr>
          <w:rFonts w:ascii="Garamond" w:hAnsi="Garamond"/>
          <w:sz w:val="24"/>
          <w:szCs w:val="24"/>
        </w:rPr>
        <w:t xml:space="preserve"> </w:t>
      </w:r>
      <w:r w:rsidR="00ED1B1B" w:rsidRPr="004C412C">
        <w:rPr>
          <w:rFonts w:ascii="Garamond" w:hAnsi="Garamond"/>
          <w:sz w:val="24"/>
          <w:szCs w:val="24"/>
        </w:rPr>
        <w:t>The</w:t>
      </w:r>
      <w:r w:rsidR="00ED1B1B">
        <w:rPr>
          <w:rFonts w:ascii="Garamond" w:hAnsi="Garamond"/>
          <w:sz w:val="24"/>
          <w:szCs w:val="24"/>
        </w:rPr>
        <w:t xml:space="preserve"> Applicant notes </w:t>
      </w:r>
      <w:r w:rsidR="00EA22C7">
        <w:rPr>
          <w:rFonts w:ascii="Garamond" w:hAnsi="Garamond"/>
          <w:sz w:val="24"/>
          <w:szCs w:val="24"/>
        </w:rPr>
        <w:t xml:space="preserve">that </w:t>
      </w:r>
      <w:r w:rsidR="003A30B5" w:rsidRPr="00A00B54">
        <w:rPr>
          <w:rFonts w:ascii="Garamond" w:hAnsi="Garamond"/>
          <w:sz w:val="24"/>
          <w:szCs w:val="24"/>
        </w:rPr>
        <w:t>Medicare</w:t>
      </w:r>
      <w:r w:rsidR="00861E41">
        <w:rPr>
          <w:rFonts w:ascii="Garamond" w:hAnsi="Garamond"/>
          <w:sz w:val="24"/>
          <w:szCs w:val="24"/>
        </w:rPr>
        <w:t xml:space="preserve">, some </w:t>
      </w:r>
      <w:r w:rsidR="003A30B5" w:rsidRPr="00A00B54">
        <w:rPr>
          <w:rFonts w:ascii="Garamond" w:hAnsi="Garamond"/>
          <w:sz w:val="24"/>
          <w:szCs w:val="24"/>
        </w:rPr>
        <w:t>commercial insurers</w:t>
      </w:r>
      <w:r w:rsidR="00861E41">
        <w:rPr>
          <w:rFonts w:ascii="Garamond" w:hAnsi="Garamond"/>
          <w:sz w:val="24"/>
          <w:szCs w:val="24"/>
        </w:rPr>
        <w:t xml:space="preserve">, and </w:t>
      </w:r>
      <w:r w:rsidR="00861E41" w:rsidRPr="007746D3">
        <w:rPr>
          <w:rFonts w:ascii="Garamond" w:hAnsi="Garamond"/>
          <w:sz w:val="24"/>
          <w:szCs w:val="24"/>
        </w:rPr>
        <w:t>employers</w:t>
      </w:r>
      <w:r w:rsidR="00566982">
        <w:rPr>
          <w:rFonts w:ascii="Garamond" w:hAnsi="Garamond"/>
          <w:sz w:val="24"/>
          <w:szCs w:val="24"/>
        </w:rPr>
        <w:t xml:space="preserve"> </w:t>
      </w:r>
      <w:r w:rsidR="003A30B5" w:rsidRPr="00A00B54">
        <w:rPr>
          <w:rFonts w:ascii="Garamond" w:hAnsi="Garamond"/>
          <w:sz w:val="24"/>
          <w:szCs w:val="24"/>
        </w:rPr>
        <w:t>are increasing coverage for services at ambulatory surgery centers to encourage patients to seek care in the most cost-effective</w:t>
      </w:r>
      <w:r w:rsidR="00861E41">
        <w:rPr>
          <w:rFonts w:ascii="Garamond" w:hAnsi="Garamond"/>
          <w:sz w:val="24"/>
          <w:szCs w:val="24"/>
        </w:rPr>
        <w:t>,</w:t>
      </w:r>
      <w:r w:rsidR="003A30B5" w:rsidRPr="00A00B54">
        <w:rPr>
          <w:rFonts w:ascii="Garamond" w:hAnsi="Garamond"/>
          <w:sz w:val="24"/>
          <w:szCs w:val="24"/>
        </w:rPr>
        <w:t xml:space="preserve"> appropriate setting</w:t>
      </w:r>
      <w:r w:rsidR="003A30B5">
        <w:rPr>
          <w:rFonts w:ascii="Garamond" w:hAnsi="Garamond"/>
          <w:sz w:val="24"/>
          <w:szCs w:val="24"/>
        </w:rPr>
        <w:t>.</w:t>
      </w:r>
      <w:r w:rsidR="003A30B5">
        <w:rPr>
          <w:rStyle w:val="EndnoteReference"/>
          <w:rFonts w:ascii="Garamond" w:hAnsi="Garamond"/>
          <w:sz w:val="24"/>
          <w:szCs w:val="24"/>
        </w:rPr>
        <w:endnoteReference w:id="46"/>
      </w:r>
      <w:r w:rsidR="00361064" w:rsidRPr="00361064">
        <w:rPr>
          <w:vertAlign w:val="superscript"/>
        </w:rPr>
        <w:t>,</w:t>
      </w:r>
      <w:r w:rsidR="00361064">
        <w:rPr>
          <w:rStyle w:val="EndnoteReference"/>
        </w:rPr>
        <w:endnoteReference w:id="47"/>
      </w:r>
      <w:r w:rsidR="00100705">
        <w:rPr>
          <w:vertAlign w:val="superscript"/>
        </w:rPr>
        <w:t xml:space="preserve"> </w:t>
      </w:r>
      <w:r w:rsidR="00AB053C">
        <w:rPr>
          <w:rFonts w:ascii="Garamond" w:hAnsi="Garamond"/>
          <w:sz w:val="24"/>
          <w:szCs w:val="24"/>
        </w:rPr>
        <w:t>The Applicant states that the a</w:t>
      </w:r>
      <w:r w:rsidR="00333960" w:rsidRPr="00360C1C">
        <w:rPr>
          <w:rFonts w:ascii="Garamond" w:hAnsi="Garamond"/>
          <w:sz w:val="24"/>
          <w:szCs w:val="24"/>
        </w:rPr>
        <w:t xml:space="preserve">dministrator has provided written testimony to the Massachusetts Health Policy Commission (HPC) </w:t>
      </w:r>
      <w:r w:rsidR="008A7149">
        <w:rPr>
          <w:rFonts w:ascii="Garamond" w:hAnsi="Garamond"/>
          <w:sz w:val="24"/>
          <w:szCs w:val="24"/>
        </w:rPr>
        <w:t xml:space="preserve">in 2016 </w:t>
      </w:r>
      <w:r w:rsidR="00333960" w:rsidRPr="00360C1C">
        <w:rPr>
          <w:rFonts w:ascii="Garamond" w:hAnsi="Garamond"/>
          <w:sz w:val="24"/>
          <w:szCs w:val="24"/>
        </w:rPr>
        <w:t xml:space="preserve">regarding healthcare cost trends, and how surgery centers are a cost-effective way of assisting the state in meeting </w:t>
      </w:r>
      <w:r w:rsidR="003C3D30" w:rsidRPr="00360C1C">
        <w:rPr>
          <w:rFonts w:ascii="Garamond" w:hAnsi="Garamond"/>
          <w:sz w:val="24"/>
          <w:szCs w:val="24"/>
        </w:rPr>
        <w:t>the health care cost growth</w:t>
      </w:r>
      <w:r w:rsidR="00333960" w:rsidRPr="00360C1C">
        <w:rPr>
          <w:rFonts w:ascii="Garamond" w:hAnsi="Garamond"/>
          <w:sz w:val="24"/>
          <w:szCs w:val="24"/>
        </w:rPr>
        <w:t xml:space="preserve"> benchmark.</w:t>
      </w:r>
    </w:p>
    <w:p w14:paraId="694746F8" w14:textId="77777777" w:rsidR="000F29FD" w:rsidRDefault="000F29FD" w:rsidP="00261B4D">
      <w:pPr>
        <w:spacing w:after="0" w:line="240" w:lineRule="auto"/>
        <w:contextualSpacing/>
        <w:rPr>
          <w:rFonts w:ascii="Garamond" w:hAnsi="Garamond"/>
          <w:bCs/>
          <w:sz w:val="24"/>
          <w:szCs w:val="24"/>
        </w:rPr>
      </w:pPr>
    </w:p>
    <w:p w14:paraId="2FC88E71" w14:textId="77777777" w:rsidR="00A55424" w:rsidRPr="00C867B4" w:rsidRDefault="00A55424" w:rsidP="00EA38CA">
      <w:pPr>
        <w:spacing w:after="0" w:line="240" w:lineRule="auto"/>
        <w:contextualSpacing/>
        <w:rPr>
          <w:rFonts w:ascii="Garamond" w:hAnsi="Garamond"/>
          <w:b/>
          <w:i/>
          <w:iCs/>
          <w:sz w:val="24"/>
          <w:szCs w:val="24"/>
        </w:rPr>
      </w:pPr>
      <w:r w:rsidRPr="00C867B4">
        <w:rPr>
          <w:rFonts w:ascii="Garamond" w:hAnsi="Garamond"/>
          <w:b/>
          <w:i/>
          <w:iCs/>
          <w:sz w:val="24"/>
          <w:szCs w:val="24"/>
        </w:rPr>
        <w:t>Analysis: Cost Containment</w:t>
      </w:r>
    </w:p>
    <w:p w14:paraId="3C0D511B" w14:textId="0741A747" w:rsidR="000F1892" w:rsidRPr="007B1C0B" w:rsidRDefault="006A0F38" w:rsidP="00EA38CA">
      <w:pPr>
        <w:spacing w:after="0" w:line="240" w:lineRule="auto"/>
        <w:contextualSpacing/>
        <w:rPr>
          <w:rFonts w:ascii="Garamond" w:hAnsi="Garamond" w:cs="Arial"/>
          <w:bCs/>
          <w:sz w:val="24"/>
          <w:szCs w:val="24"/>
        </w:rPr>
      </w:pPr>
      <w:r w:rsidRPr="00C867B4">
        <w:rPr>
          <w:rFonts w:ascii="Garamond" w:hAnsi="Garamond" w:cs="Arial"/>
          <w:bCs/>
          <w:sz w:val="24"/>
          <w:szCs w:val="24"/>
        </w:rPr>
        <w:t xml:space="preserve">A review of the literature shows that </w:t>
      </w:r>
      <w:r w:rsidR="001A7B7D">
        <w:rPr>
          <w:rFonts w:ascii="Garamond" w:hAnsi="Garamond" w:cs="Arial"/>
          <w:bCs/>
          <w:sz w:val="24"/>
          <w:szCs w:val="24"/>
        </w:rPr>
        <w:t xml:space="preserve">the </w:t>
      </w:r>
      <w:r w:rsidR="003F2E38">
        <w:rPr>
          <w:rFonts w:ascii="Garamond" w:hAnsi="Garamond" w:cs="Arial"/>
          <w:bCs/>
          <w:sz w:val="24"/>
          <w:szCs w:val="24"/>
        </w:rPr>
        <w:t xml:space="preserve">rate of </w:t>
      </w:r>
      <w:r w:rsidRPr="00C867B4">
        <w:rPr>
          <w:rFonts w:ascii="Garamond" w:hAnsi="Garamond" w:cs="Arial"/>
          <w:bCs/>
          <w:sz w:val="24"/>
          <w:szCs w:val="24"/>
        </w:rPr>
        <w:t>outpatient surgery is increasing in the ASC setting</w:t>
      </w:r>
      <w:r w:rsidR="00A36067" w:rsidRPr="00C867B4">
        <w:rPr>
          <w:rFonts w:ascii="Garamond" w:hAnsi="Garamond" w:cs="Arial"/>
          <w:bCs/>
          <w:sz w:val="24"/>
          <w:szCs w:val="24"/>
        </w:rPr>
        <w:t xml:space="preserve">. </w:t>
      </w:r>
      <w:r w:rsidR="00716042" w:rsidRPr="007B1C0B">
        <w:rPr>
          <w:rFonts w:ascii="Garamond" w:hAnsi="Garamond" w:cs="Arial"/>
          <w:bCs/>
          <w:sz w:val="24"/>
          <w:szCs w:val="24"/>
        </w:rPr>
        <w:t>S</w:t>
      </w:r>
      <w:r w:rsidR="00866486" w:rsidRPr="000D1001">
        <w:rPr>
          <w:rFonts w:ascii="Garamond" w:hAnsi="Garamond" w:cs="Arial"/>
          <w:bCs/>
          <w:sz w:val="24"/>
          <w:szCs w:val="24"/>
        </w:rPr>
        <w:t>tudies show that payme</w:t>
      </w:r>
      <w:r w:rsidR="00866486" w:rsidRPr="005F4493">
        <w:rPr>
          <w:rFonts w:ascii="Garamond" w:hAnsi="Garamond" w:cs="Arial"/>
          <w:bCs/>
          <w:sz w:val="24"/>
          <w:szCs w:val="24"/>
        </w:rPr>
        <w:t xml:space="preserve">nt differentials between ASCs and HOPDs are driving </w:t>
      </w:r>
      <w:r w:rsidR="00126902" w:rsidRPr="005F4493">
        <w:rPr>
          <w:rFonts w:ascii="Garamond" w:hAnsi="Garamond" w:cs="Arial"/>
          <w:bCs/>
          <w:sz w:val="24"/>
          <w:szCs w:val="24"/>
        </w:rPr>
        <w:t>care to take place in the lower-</w:t>
      </w:r>
      <w:r w:rsidR="00866486" w:rsidRPr="00C00156">
        <w:rPr>
          <w:rFonts w:ascii="Garamond" w:hAnsi="Garamond" w:cs="Arial"/>
          <w:bCs/>
          <w:sz w:val="24"/>
          <w:szCs w:val="24"/>
        </w:rPr>
        <w:t>cost ASC setting</w:t>
      </w:r>
      <w:r w:rsidR="00823E1D" w:rsidRPr="00C00156">
        <w:rPr>
          <w:rFonts w:ascii="Garamond" w:hAnsi="Garamond" w:cs="Arial"/>
          <w:bCs/>
          <w:sz w:val="24"/>
          <w:szCs w:val="24"/>
        </w:rPr>
        <w:t>,</w:t>
      </w:r>
      <w:r w:rsidR="00EE7A02" w:rsidRPr="007B1C0B">
        <w:rPr>
          <w:rFonts w:ascii="Garamond" w:hAnsi="Garamond" w:cs="Arial"/>
          <w:bCs/>
          <w:sz w:val="24"/>
          <w:szCs w:val="24"/>
        </w:rPr>
        <w:t xml:space="preserve"> </w:t>
      </w:r>
      <w:r w:rsidR="00741369">
        <w:rPr>
          <w:rFonts w:ascii="Garamond" w:hAnsi="Garamond" w:cs="Arial"/>
          <w:bCs/>
          <w:sz w:val="24"/>
          <w:szCs w:val="24"/>
        </w:rPr>
        <w:t>where</w:t>
      </w:r>
      <w:r w:rsidR="00767A2D" w:rsidRPr="000D1001">
        <w:rPr>
          <w:rFonts w:ascii="Garamond" w:hAnsi="Garamond" w:cs="Arial"/>
          <w:bCs/>
          <w:sz w:val="24"/>
          <w:szCs w:val="24"/>
        </w:rPr>
        <w:t xml:space="preserve"> care </w:t>
      </w:r>
      <w:r w:rsidR="00741369">
        <w:rPr>
          <w:rFonts w:ascii="Garamond" w:hAnsi="Garamond" w:cs="Arial"/>
          <w:bCs/>
          <w:sz w:val="24"/>
          <w:szCs w:val="24"/>
        </w:rPr>
        <w:t xml:space="preserve">may be </w:t>
      </w:r>
      <w:r w:rsidR="00767A2D" w:rsidRPr="000D1001">
        <w:rPr>
          <w:rFonts w:ascii="Garamond" w:hAnsi="Garamond" w:cs="Arial"/>
          <w:bCs/>
          <w:sz w:val="24"/>
          <w:szCs w:val="24"/>
        </w:rPr>
        <w:t>more cost efficient.</w:t>
      </w:r>
      <w:r w:rsidR="00ED5DAF" w:rsidRPr="00ED5DAF">
        <w:rPr>
          <w:rStyle w:val="EndnoteReference"/>
          <w:rFonts w:ascii="Garamond" w:hAnsi="Garamond" w:cs="Arial"/>
          <w:bCs/>
          <w:sz w:val="24"/>
          <w:szCs w:val="24"/>
        </w:rPr>
        <w:t xml:space="preserve"> </w:t>
      </w:r>
      <w:r w:rsidR="00ED5DAF" w:rsidRPr="007B1C0B">
        <w:rPr>
          <w:rStyle w:val="EndnoteReference"/>
          <w:rFonts w:ascii="Garamond" w:hAnsi="Garamond" w:cs="Arial"/>
          <w:bCs/>
          <w:sz w:val="24"/>
          <w:szCs w:val="24"/>
        </w:rPr>
        <w:endnoteReference w:id="48"/>
      </w:r>
      <w:r w:rsidR="00ED5DAF">
        <w:rPr>
          <w:rFonts w:ascii="Garamond" w:hAnsi="Garamond" w:cs="Arial"/>
          <w:bCs/>
          <w:sz w:val="24"/>
          <w:szCs w:val="24"/>
        </w:rPr>
        <w:t xml:space="preserve"> </w:t>
      </w:r>
      <w:r w:rsidR="00741369">
        <w:rPr>
          <w:rFonts w:ascii="Garamond" w:hAnsi="Garamond" w:cs="Arial"/>
          <w:bCs/>
          <w:sz w:val="24"/>
          <w:szCs w:val="24"/>
        </w:rPr>
        <w:t>A</w:t>
      </w:r>
      <w:r w:rsidR="00741369" w:rsidRPr="00C00156">
        <w:rPr>
          <w:rFonts w:ascii="Garamond" w:hAnsi="Garamond" w:cs="Arial"/>
          <w:bCs/>
          <w:sz w:val="24"/>
          <w:szCs w:val="24"/>
        </w:rPr>
        <w:t xml:space="preserve">nother reason cited for the utilization of the ASC setting for </w:t>
      </w:r>
      <w:r w:rsidR="00741369" w:rsidRPr="00C867B4">
        <w:rPr>
          <w:rFonts w:ascii="Garamond" w:hAnsi="Garamond" w:cs="Arial"/>
          <w:bCs/>
          <w:sz w:val="24"/>
          <w:szCs w:val="24"/>
        </w:rPr>
        <w:t>certain surgical procedures/patients</w:t>
      </w:r>
      <w:r w:rsidR="00741369" w:rsidRPr="007B1C0B">
        <w:rPr>
          <w:rStyle w:val="EndnoteReference"/>
          <w:rFonts w:ascii="Garamond" w:hAnsi="Garamond" w:cs="Arial"/>
          <w:bCs/>
          <w:sz w:val="24"/>
          <w:szCs w:val="24"/>
        </w:rPr>
        <w:endnoteReference w:id="49"/>
      </w:r>
      <w:r w:rsidR="00741369" w:rsidRPr="007B1C0B">
        <w:rPr>
          <w:rFonts w:ascii="Garamond" w:hAnsi="Garamond" w:cs="Arial"/>
          <w:bCs/>
          <w:sz w:val="24"/>
          <w:szCs w:val="24"/>
          <w:vertAlign w:val="superscript"/>
        </w:rPr>
        <w:t>,</w:t>
      </w:r>
      <w:r w:rsidR="00741369" w:rsidRPr="007B1C0B">
        <w:rPr>
          <w:rStyle w:val="EndnoteReference"/>
          <w:rFonts w:ascii="Garamond" w:hAnsi="Garamond" w:cs="Arial"/>
          <w:bCs/>
          <w:sz w:val="24"/>
          <w:szCs w:val="24"/>
        </w:rPr>
        <w:endnoteReference w:id="50"/>
      </w:r>
      <w:r w:rsidR="00741369">
        <w:rPr>
          <w:rFonts w:ascii="Garamond" w:hAnsi="Garamond" w:cs="Arial"/>
          <w:bCs/>
          <w:sz w:val="24"/>
          <w:szCs w:val="24"/>
          <w:vertAlign w:val="superscript"/>
        </w:rPr>
        <w:t xml:space="preserve"> </w:t>
      </w:r>
      <w:r w:rsidR="00741369">
        <w:rPr>
          <w:rFonts w:ascii="Garamond" w:hAnsi="Garamond" w:cs="Arial"/>
          <w:bCs/>
          <w:sz w:val="24"/>
          <w:szCs w:val="24"/>
        </w:rPr>
        <w:t>is v</w:t>
      </w:r>
      <w:r w:rsidR="00866486" w:rsidRPr="000D1001">
        <w:rPr>
          <w:rFonts w:ascii="Garamond" w:hAnsi="Garamond" w:cs="Arial"/>
          <w:bCs/>
          <w:sz w:val="24"/>
          <w:szCs w:val="24"/>
        </w:rPr>
        <w:t>alue-based healthcare</w:t>
      </w:r>
      <w:r w:rsidR="00C405F2" w:rsidRPr="005F4493">
        <w:rPr>
          <w:rFonts w:ascii="Garamond" w:hAnsi="Garamond" w:cs="Arial"/>
          <w:bCs/>
          <w:sz w:val="24"/>
          <w:szCs w:val="24"/>
        </w:rPr>
        <w:t>,</w:t>
      </w:r>
      <w:r w:rsidR="00B1567F" w:rsidRPr="005F4493">
        <w:rPr>
          <w:rFonts w:ascii="Garamond" w:hAnsi="Garamond" w:cs="Arial"/>
          <w:bCs/>
          <w:sz w:val="24"/>
          <w:szCs w:val="24"/>
        </w:rPr>
        <w:t xml:space="preserve"> </w:t>
      </w:r>
      <w:r w:rsidR="00741369">
        <w:rPr>
          <w:rFonts w:ascii="Garamond" w:hAnsi="Garamond" w:cs="Arial"/>
          <w:bCs/>
          <w:sz w:val="24"/>
          <w:szCs w:val="24"/>
        </w:rPr>
        <w:t xml:space="preserve">in which </w:t>
      </w:r>
      <w:r w:rsidR="00B1567F" w:rsidRPr="005F4493">
        <w:rPr>
          <w:rFonts w:ascii="Garamond" w:hAnsi="Garamond" w:cs="Arial"/>
          <w:bCs/>
          <w:sz w:val="24"/>
          <w:szCs w:val="24"/>
        </w:rPr>
        <w:t>provider compensa</w:t>
      </w:r>
      <w:r w:rsidR="00741369">
        <w:rPr>
          <w:rFonts w:ascii="Garamond" w:hAnsi="Garamond" w:cs="Arial"/>
          <w:bCs/>
          <w:sz w:val="24"/>
          <w:szCs w:val="24"/>
        </w:rPr>
        <w:t>tion is</w:t>
      </w:r>
      <w:r w:rsidR="00B1567F" w:rsidRPr="005F4493">
        <w:rPr>
          <w:rFonts w:ascii="Garamond" w:hAnsi="Garamond" w:cs="Arial"/>
          <w:bCs/>
          <w:sz w:val="24"/>
          <w:szCs w:val="24"/>
        </w:rPr>
        <w:t xml:space="preserve"> based on health outcomes</w:t>
      </w:r>
      <w:r w:rsidR="00741369">
        <w:rPr>
          <w:rFonts w:ascii="Garamond" w:hAnsi="Garamond" w:cs="Arial"/>
          <w:bCs/>
          <w:sz w:val="24"/>
          <w:szCs w:val="24"/>
        </w:rPr>
        <w:t>,</w:t>
      </w:r>
      <w:r w:rsidR="00B1567F" w:rsidRPr="005F4493">
        <w:rPr>
          <w:rFonts w:ascii="Garamond" w:hAnsi="Garamond" w:cs="Arial"/>
          <w:bCs/>
          <w:sz w:val="24"/>
          <w:szCs w:val="24"/>
        </w:rPr>
        <w:t xml:space="preserve"> </w:t>
      </w:r>
      <w:r w:rsidR="00B1567F" w:rsidRPr="00C00156">
        <w:rPr>
          <w:rFonts w:ascii="Garamond" w:hAnsi="Garamond" w:cs="Arial"/>
          <w:bCs/>
          <w:sz w:val="24"/>
          <w:szCs w:val="24"/>
        </w:rPr>
        <w:t xml:space="preserve">and health outcomes are measured against the cost of </w:t>
      </w:r>
      <w:r w:rsidR="008D4E25">
        <w:rPr>
          <w:rFonts w:ascii="Garamond" w:hAnsi="Garamond" w:cs="Arial"/>
          <w:bCs/>
          <w:sz w:val="24"/>
          <w:szCs w:val="24"/>
        </w:rPr>
        <w:t xml:space="preserve">the </w:t>
      </w:r>
      <w:r w:rsidR="00B1567F" w:rsidRPr="00C00156">
        <w:rPr>
          <w:rFonts w:ascii="Garamond" w:hAnsi="Garamond" w:cs="Arial"/>
          <w:bCs/>
          <w:sz w:val="24"/>
          <w:szCs w:val="24"/>
        </w:rPr>
        <w:t xml:space="preserve">delivery </w:t>
      </w:r>
      <w:r w:rsidR="008D4E25">
        <w:rPr>
          <w:rFonts w:ascii="Garamond" w:hAnsi="Garamond" w:cs="Arial"/>
          <w:bCs/>
          <w:sz w:val="24"/>
          <w:szCs w:val="24"/>
        </w:rPr>
        <w:t xml:space="preserve">of </w:t>
      </w:r>
      <w:r w:rsidR="00B1567F" w:rsidRPr="00C00156">
        <w:rPr>
          <w:rFonts w:ascii="Garamond" w:hAnsi="Garamond" w:cs="Arial"/>
          <w:bCs/>
          <w:sz w:val="24"/>
          <w:szCs w:val="24"/>
        </w:rPr>
        <w:t>care</w:t>
      </w:r>
      <w:r w:rsidR="00741369">
        <w:rPr>
          <w:rFonts w:ascii="Garamond" w:hAnsi="Garamond" w:cs="Arial"/>
          <w:bCs/>
          <w:sz w:val="24"/>
          <w:szCs w:val="24"/>
        </w:rPr>
        <w:t>.</w:t>
      </w:r>
      <w:r w:rsidR="00AA3E37" w:rsidRPr="00C00156">
        <w:rPr>
          <w:rFonts w:ascii="Garamond" w:hAnsi="Garamond" w:cs="Arial"/>
          <w:bCs/>
          <w:sz w:val="24"/>
          <w:szCs w:val="24"/>
        </w:rPr>
        <w:t xml:space="preserve"> </w:t>
      </w:r>
    </w:p>
    <w:p w14:paraId="65ED3A4B" w14:textId="77777777" w:rsidR="000F1892" w:rsidRPr="000D1001" w:rsidRDefault="000F1892" w:rsidP="00EA38CA">
      <w:pPr>
        <w:spacing w:after="0" w:line="240" w:lineRule="auto"/>
        <w:contextualSpacing/>
        <w:rPr>
          <w:rFonts w:ascii="Garamond" w:hAnsi="Garamond" w:cs="Arial"/>
          <w:bCs/>
          <w:sz w:val="24"/>
          <w:szCs w:val="24"/>
        </w:rPr>
      </w:pPr>
    </w:p>
    <w:p w14:paraId="58E24602" w14:textId="2E83981D" w:rsidR="00D61571" w:rsidRPr="007B1C0B" w:rsidRDefault="00D61571" w:rsidP="00EA38CA">
      <w:pPr>
        <w:spacing w:after="0" w:line="240" w:lineRule="auto"/>
        <w:contextualSpacing/>
        <w:rPr>
          <w:rFonts w:ascii="Garamond" w:hAnsi="Garamond" w:cs="Arial"/>
          <w:bCs/>
          <w:sz w:val="24"/>
          <w:szCs w:val="24"/>
        </w:rPr>
      </w:pPr>
      <w:r w:rsidRPr="000D1001">
        <w:rPr>
          <w:rFonts w:ascii="Garamond" w:hAnsi="Garamond"/>
          <w:sz w:val="24"/>
          <w:szCs w:val="24"/>
        </w:rPr>
        <w:t>Cost containment on a statewide level is impacted through pricing, which is a function of what providers charge</w:t>
      </w:r>
      <w:r w:rsidRPr="005F4493">
        <w:rPr>
          <w:rFonts w:ascii="Garamond" w:hAnsi="Garamond"/>
          <w:sz w:val="24"/>
          <w:szCs w:val="24"/>
        </w:rPr>
        <w:t xml:space="preserve"> payers and what payers agree to pay. While p</w:t>
      </w:r>
      <w:r w:rsidRPr="00C00156">
        <w:rPr>
          <w:rFonts w:ascii="Garamond" w:hAnsi="Garamond"/>
          <w:sz w:val="24"/>
          <w:szCs w:val="24"/>
        </w:rPr>
        <w:t xml:space="preserve">ayment contracts between individual providers and commercial payers are confidential, </w:t>
      </w:r>
      <w:r w:rsidR="00741369">
        <w:rPr>
          <w:rFonts w:ascii="Garamond" w:hAnsi="Garamond"/>
          <w:sz w:val="24"/>
          <w:szCs w:val="24"/>
        </w:rPr>
        <w:t>contracts</w:t>
      </w:r>
      <w:r w:rsidR="00741369" w:rsidRPr="00C00156">
        <w:rPr>
          <w:rFonts w:ascii="Garamond" w:hAnsi="Garamond"/>
          <w:sz w:val="24"/>
          <w:szCs w:val="24"/>
        </w:rPr>
        <w:t xml:space="preserve"> </w:t>
      </w:r>
      <w:r w:rsidRPr="00C00156">
        <w:rPr>
          <w:rFonts w:ascii="Garamond" w:hAnsi="Garamond"/>
          <w:sz w:val="24"/>
          <w:szCs w:val="24"/>
        </w:rPr>
        <w:t xml:space="preserve">among providers and Medicare and Medicaid are </w:t>
      </w:r>
      <w:r w:rsidR="00741369">
        <w:rPr>
          <w:rFonts w:ascii="Garamond" w:hAnsi="Garamond"/>
          <w:sz w:val="24"/>
          <w:szCs w:val="24"/>
        </w:rPr>
        <w:t>more</w:t>
      </w:r>
      <w:r w:rsidR="00741369" w:rsidRPr="00C00156">
        <w:rPr>
          <w:rFonts w:ascii="Garamond" w:hAnsi="Garamond"/>
          <w:sz w:val="24"/>
          <w:szCs w:val="24"/>
        </w:rPr>
        <w:t xml:space="preserve"> </w:t>
      </w:r>
      <w:r w:rsidRPr="00C00156">
        <w:rPr>
          <w:rFonts w:ascii="Garamond" w:hAnsi="Garamond"/>
          <w:sz w:val="24"/>
          <w:szCs w:val="24"/>
        </w:rPr>
        <w:t>trans</w:t>
      </w:r>
      <w:r w:rsidRPr="00C867B4">
        <w:rPr>
          <w:rFonts w:ascii="Garamond" w:hAnsi="Garamond"/>
          <w:sz w:val="24"/>
          <w:szCs w:val="24"/>
        </w:rPr>
        <w:t xml:space="preserve">parent. </w:t>
      </w:r>
      <w:r w:rsidR="00F536B8" w:rsidRPr="00C867B4">
        <w:rPr>
          <w:rFonts w:ascii="Garamond" w:hAnsi="Garamond" w:cs="Arial"/>
          <w:bCs/>
          <w:sz w:val="24"/>
          <w:szCs w:val="24"/>
        </w:rPr>
        <w:t>Since</w:t>
      </w:r>
      <w:r w:rsidR="001616DC" w:rsidRPr="00C867B4">
        <w:rPr>
          <w:rFonts w:ascii="Garamond" w:hAnsi="Garamond" w:cs="Arial"/>
          <w:bCs/>
          <w:sz w:val="24"/>
          <w:szCs w:val="24"/>
        </w:rPr>
        <w:t xml:space="preserve"> surgeries performed in the ASC setting </w:t>
      </w:r>
      <w:r w:rsidR="009E6695" w:rsidRPr="00C867B4">
        <w:rPr>
          <w:rFonts w:ascii="Garamond" w:hAnsi="Garamond" w:cs="Arial"/>
          <w:bCs/>
          <w:sz w:val="24"/>
          <w:szCs w:val="24"/>
        </w:rPr>
        <w:t>have been shown</w:t>
      </w:r>
      <w:r w:rsidR="001616DC" w:rsidRPr="00C867B4">
        <w:rPr>
          <w:rFonts w:ascii="Garamond" w:hAnsi="Garamond" w:cs="Arial"/>
          <w:bCs/>
          <w:sz w:val="24"/>
          <w:szCs w:val="24"/>
        </w:rPr>
        <w:t xml:space="preserve"> to be </w:t>
      </w:r>
      <w:r w:rsidR="001616DC" w:rsidRPr="00C867B4">
        <w:rPr>
          <w:rFonts w:ascii="Garamond" w:hAnsi="Garamond" w:cs="Arial"/>
          <w:bCs/>
          <w:sz w:val="24"/>
          <w:szCs w:val="24"/>
        </w:rPr>
        <w:lastRenderedPageBreak/>
        <w:t xml:space="preserve">efficient, cost-effective, and are of equal or higher quality than when they </w:t>
      </w:r>
      <w:r w:rsidR="00AD563C" w:rsidRPr="00C867B4">
        <w:rPr>
          <w:rFonts w:ascii="Garamond" w:hAnsi="Garamond" w:cs="Arial"/>
          <w:bCs/>
          <w:sz w:val="24"/>
          <w:szCs w:val="24"/>
        </w:rPr>
        <w:t>are performed in the HOPD, s</w:t>
      </w:r>
      <w:r w:rsidR="001616DC" w:rsidRPr="00C867B4">
        <w:rPr>
          <w:rFonts w:ascii="Garamond" w:hAnsi="Garamond" w:cs="Arial"/>
          <w:bCs/>
          <w:sz w:val="24"/>
          <w:szCs w:val="24"/>
        </w:rPr>
        <w:t>taff finds that exp</w:t>
      </w:r>
      <w:r w:rsidR="0054531D" w:rsidRPr="00C867B4">
        <w:rPr>
          <w:rFonts w:ascii="Garamond" w:hAnsi="Garamond" w:cs="Arial"/>
          <w:bCs/>
          <w:sz w:val="24"/>
          <w:szCs w:val="24"/>
        </w:rPr>
        <w:t>anding access to outpatient surgery</w:t>
      </w:r>
      <w:r w:rsidR="001616DC" w:rsidRPr="00C867B4">
        <w:rPr>
          <w:rFonts w:ascii="Garamond" w:hAnsi="Garamond" w:cs="Arial"/>
          <w:bCs/>
          <w:sz w:val="24"/>
          <w:szCs w:val="24"/>
        </w:rPr>
        <w:t xml:space="preserve"> in the ASC setting </w:t>
      </w:r>
      <w:r w:rsidR="00E572DC" w:rsidRPr="00C867B4">
        <w:rPr>
          <w:rFonts w:ascii="Garamond" w:hAnsi="Garamond" w:cs="Arial"/>
          <w:bCs/>
          <w:sz w:val="24"/>
          <w:szCs w:val="24"/>
        </w:rPr>
        <w:t>has the potential to contribute to</w:t>
      </w:r>
      <w:r w:rsidR="001616DC" w:rsidRPr="00C867B4">
        <w:rPr>
          <w:rFonts w:ascii="Garamond" w:hAnsi="Garamond" w:cs="Arial"/>
          <w:bCs/>
          <w:sz w:val="24"/>
          <w:szCs w:val="24"/>
        </w:rPr>
        <w:t xml:space="preserve"> the Commonwealth</w:t>
      </w:r>
      <w:r w:rsidR="000F3FCB" w:rsidRPr="00C867B4">
        <w:rPr>
          <w:rFonts w:ascii="Garamond" w:hAnsi="Garamond" w:cs="Arial"/>
          <w:bCs/>
          <w:sz w:val="24"/>
          <w:szCs w:val="24"/>
        </w:rPr>
        <w:t>’s</w:t>
      </w:r>
      <w:r w:rsidR="001616DC" w:rsidRPr="00C867B4">
        <w:rPr>
          <w:rFonts w:ascii="Garamond" w:hAnsi="Garamond" w:cs="Arial"/>
          <w:bCs/>
          <w:sz w:val="24"/>
          <w:szCs w:val="24"/>
        </w:rPr>
        <w:t xml:space="preserve"> cost containment</w:t>
      </w:r>
      <w:r w:rsidR="00B176EE" w:rsidRPr="00C867B4">
        <w:rPr>
          <w:rFonts w:ascii="Garamond" w:hAnsi="Garamond" w:cs="Arial"/>
          <w:bCs/>
          <w:sz w:val="24"/>
          <w:szCs w:val="24"/>
        </w:rPr>
        <w:t xml:space="preserve"> goals</w:t>
      </w:r>
      <w:r w:rsidR="001616DC" w:rsidRPr="007B1C0B">
        <w:rPr>
          <w:rFonts w:ascii="Garamond" w:hAnsi="Garamond" w:cs="Arial"/>
          <w:bCs/>
          <w:sz w:val="24"/>
          <w:szCs w:val="24"/>
        </w:rPr>
        <w:t xml:space="preserve">. </w:t>
      </w:r>
    </w:p>
    <w:p w14:paraId="3134C593" w14:textId="77777777" w:rsidR="006534B4" w:rsidRDefault="006534B4" w:rsidP="00CF5D5C">
      <w:pPr>
        <w:spacing w:after="0" w:line="240" w:lineRule="auto"/>
        <w:contextualSpacing/>
        <w:rPr>
          <w:rFonts w:ascii="Garamond" w:hAnsi="Garamond"/>
          <w:bCs/>
          <w:sz w:val="24"/>
          <w:szCs w:val="24"/>
        </w:rPr>
      </w:pPr>
    </w:p>
    <w:p w14:paraId="02956143" w14:textId="5287C07E" w:rsidR="0012392C" w:rsidRPr="00C867B4" w:rsidRDefault="000D644C" w:rsidP="00EA38CA">
      <w:pPr>
        <w:spacing w:after="0" w:line="240" w:lineRule="auto"/>
        <w:contextualSpacing/>
        <w:rPr>
          <w:rFonts w:ascii="Garamond" w:hAnsi="Garamond"/>
          <w:b/>
          <w:bCs/>
          <w:sz w:val="24"/>
          <w:szCs w:val="24"/>
        </w:rPr>
      </w:pPr>
      <w:r w:rsidRPr="00C867B4">
        <w:rPr>
          <w:rFonts w:ascii="Garamond" w:hAnsi="Garamond"/>
          <w:b/>
          <w:bCs/>
          <w:sz w:val="24"/>
          <w:szCs w:val="24"/>
        </w:rPr>
        <w:t>I</w:t>
      </w:r>
      <w:r w:rsidR="0012392C" w:rsidRPr="00C867B4">
        <w:rPr>
          <w:rFonts w:ascii="Garamond" w:hAnsi="Garamond"/>
          <w:b/>
          <w:bCs/>
          <w:sz w:val="24"/>
          <w:szCs w:val="24"/>
        </w:rPr>
        <w:t>mproved Public Health Outcomes</w:t>
      </w:r>
      <w:bookmarkEnd w:id="191"/>
      <w:bookmarkEnd w:id="192"/>
      <w:bookmarkEnd w:id="193"/>
      <w:bookmarkEnd w:id="194"/>
      <w:bookmarkEnd w:id="195"/>
      <w:bookmarkEnd w:id="196"/>
    </w:p>
    <w:p w14:paraId="37C0F9D8" w14:textId="5834632A" w:rsidR="0060401D" w:rsidRDefault="00FE5804" w:rsidP="00882F8A">
      <w:pPr>
        <w:spacing w:after="0" w:line="240" w:lineRule="auto"/>
        <w:contextualSpacing/>
        <w:rPr>
          <w:rFonts w:ascii="Garamond" w:hAnsi="Garamond"/>
          <w:bCs/>
          <w:sz w:val="24"/>
          <w:szCs w:val="24"/>
        </w:rPr>
      </w:pPr>
      <w:bookmarkStart w:id="197" w:name="_Toc17731331"/>
      <w:bookmarkStart w:id="198" w:name="_Toc17748251"/>
      <w:bookmarkStart w:id="199" w:name="_Toc17748479"/>
      <w:bookmarkStart w:id="200" w:name="_Toc17748723"/>
      <w:bookmarkStart w:id="201" w:name="_Toc18420202"/>
      <w:bookmarkStart w:id="202" w:name="_Toc18922423"/>
      <w:r w:rsidRPr="00C867B4">
        <w:rPr>
          <w:rFonts w:ascii="Garamond" w:hAnsi="Garamond"/>
          <w:sz w:val="24"/>
          <w:szCs w:val="24"/>
        </w:rPr>
        <w:t xml:space="preserve">The Applicant has </w:t>
      </w:r>
      <w:r w:rsidR="00741369">
        <w:rPr>
          <w:rFonts w:ascii="Garamond" w:hAnsi="Garamond"/>
          <w:sz w:val="24"/>
          <w:szCs w:val="24"/>
        </w:rPr>
        <w:t>addres</w:t>
      </w:r>
      <w:r w:rsidR="00741369" w:rsidRPr="00C867B4">
        <w:rPr>
          <w:rFonts w:ascii="Garamond" w:hAnsi="Garamond"/>
          <w:sz w:val="24"/>
          <w:szCs w:val="24"/>
        </w:rPr>
        <w:t xml:space="preserve">sed </w:t>
      </w:r>
      <w:r w:rsidR="004C5DF6">
        <w:rPr>
          <w:rFonts w:ascii="Garamond" w:hAnsi="Garamond"/>
          <w:bCs/>
          <w:sz w:val="24"/>
          <w:szCs w:val="24"/>
        </w:rPr>
        <w:t>how</w:t>
      </w:r>
      <w:r w:rsidR="004C5DF6" w:rsidRPr="00C867B4">
        <w:rPr>
          <w:rFonts w:ascii="Garamond" w:hAnsi="Garamond"/>
          <w:bCs/>
          <w:sz w:val="24"/>
          <w:szCs w:val="24"/>
        </w:rPr>
        <w:t xml:space="preserve"> surgeries performed in the ASC setting can be more efficient, convenient, and cost-effective without compromising quality of care.</w:t>
      </w:r>
      <w:r w:rsidR="00F82232" w:rsidRPr="00F82232">
        <w:t xml:space="preserve"> </w:t>
      </w:r>
      <w:r w:rsidR="00F82232" w:rsidRPr="00F82232">
        <w:rPr>
          <w:rFonts w:ascii="Garamond" w:hAnsi="Garamond"/>
          <w:bCs/>
          <w:sz w:val="24"/>
          <w:szCs w:val="24"/>
        </w:rPr>
        <w:t xml:space="preserve">In addition, </w:t>
      </w:r>
      <w:r w:rsidR="00F82232">
        <w:rPr>
          <w:rFonts w:ascii="Garamond" w:hAnsi="Garamond"/>
          <w:bCs/>
          <w:sz w:val="24"/>
          <w:szCs w:val="24"/>
        </w:rPr>
        <w:t xml:space="preserve">the Applicant discussed how </w:t>
      </w:r>
      <w:r w:rsidR="00F82232" w:rsidRPr="00F82232">
        <w:rPr>
          <w:rFonts w:ascii="Garamond" w:hAnsi="Garamond"/>
          <w:bCs/>
          <w:sz w:val="24"/>
          <w:szCs w:val="24"/>
        </w:rPr>
        <w:t>surgeries performed at NESC are demonstrated to improve outcomes</w:t>
      </w:r>
      <w:r w:rsidR="00F82232">
        <w:rPr>
          <w:rFonts w:ascii="Garamond" w:hAnsi="Garamond"/>
          <w:bCs/>
          <w:sz w:val="24"/>
          <w:szCs w:val="24"/>
        </w:rPr>
        <w:t>, including increasing function</w:t>
      </w:r>
      <w:r w:rsidR="00722125">
        <w:rPr>
          <w:rFonts w:ascii="Garamond" w:hAnsi="Garamond"/>
          <w:bCs/>
          <w:sz w:val="24"/>
          <w:szCs w:val="24"/>
        </w:rPr>
        <w:t xml:space="preserve">ing </w:t>
      </w:r>
      <w:r w:rsidR="00F82232">
        <w:rPr>
          <w:rFonts w:ascii="Garamond" w:hAnsi="Garamond"/>
          <w:bCs/>
          <w:sz w:val="24"/>
          <w:szCs w:val="24"/>
        </w:rPr>
        <w:t xml:space="preserve">and reducing pain. </w:t>
      </w:r>
      <w:r w:rsidR="00F82232" w:rsidRPr="00F82232">
        <w:rPr>
          <w:rFonts w:ascii="Garamond" w:hAnsi="Garamond"/>
          <w:bCs/>
          <w:sz w:val="24"/>
          <w:szCs w:val="24"/>
        </w:rPr>
        <w:t xml:space="preserve">  </w:t>
      </w:r>
    </w:p>
    <w:p w14:paraId="6CCD1F17" w14:textId="77777777" w:rsidR="0069746A" w:rsidRDefault="0069746A" w:rsidP="00882F8A">
      <w:pPr>
        <w:spacing w:after="0" w:line="240" w:lineRule="auto"/>
        <w:contextualSpacing/>
        <w:rPr>
          <w:rFonts w:ascii="Garamond" w:hAnsi="Garamond"/>
          <w:bCs/>
          <w:sz w:val="24"/>
          <w:szCs w:val="24"/>
        </w:rPr>
      </w:pPr>
    </w:p>
    <w:p w14:paraId="32E17E66" w14:textId="37C88FFC" w:rsidR="00F259CF" w:rsidRPr="00C00156" w:rsidRDefault="00F259CF" w:rsidP="00882F8A">
      <w:pPr>
        <w:spacing w:line="240" w:lineRule="auto"/>
        <w:contextualSpacing/>
        <w:rPr>
          <w:rFonts w:ascii="Garamond" w:hAnsi="Garamond"/>
          <w:b/>
          <w:bCs/>
          <w:sz w:val="24"/>
          <w:szCs w:val="24"/>
        </w:rPr>
      </w:pPr>
      <w:r w:rsidRPr="00C00156">
        <w:rPr>
          <w:rFonts w:ascii="Garamond" w:hAnsi="Garamond"/>
          <w:b/>
          <w:i/>
          <w:iCs/>
          <w:sz w:val="24"/>
          <w:szCs w:val="24"/>
        </w:rPr>
        <w:t>A</w:t>
      </w:r>
      <w:r w:rsidRPr="00502CB0">
        <w:rPr>
          <w:rFonts w:ascii="Garamond" w:hAnsi="Garamond"/>
          <w:b/>
          <w:i/>
          <w:iCs/>
          <w:sz w:val="24"/>
          <w:szCs w:val="24"/>
        </w:rPr>
        <w:t xml:space="preserve">nalysis: </w:t>
      </w:r>
      <w:r w:rsidRPr="000A431B">
        <w:rPr>
          <w:rFonts w:ascii="Garamond" w:hAnsi="Garamond"/>
          <w:b/>
          <w:bCs/>
          <w:i/>
          <w:sz w:val="24"/>
          <w:szCs w:val="24"/>
        </w:rPr>
        <w:t>Public Health Outcomes</w:t>
      </w:r>
      <w:r w:rsidRPr="00C00156">
        <w:rPr>
          <w:rFonts w:ascii="Garamond" w:hAnsi="Garamond"/>
          <w:b/>
          <w:bCs/>
          <w:sz w:val="24"/>
          <w:szCs w:val="24"/>
        </w:rPr>
        <w:t xml:space="preserve"> </w:t>
      </w:r>
    </w:p>
    <w:p w14:paraId="0FBACF59" w14:textId="226983F5" w:rsidR="0060401D" w:rsidRPr="007B1C0B" w:rsidRDefault="008E7197" w:rsidP="00882F8A">
      <w:pPr>
        <w:spacing w:after="0" w:line="240" w:lineRule="auto"/>
        <w:contextualSpacing/>
        <w:rPr>
          <w:rFonts w:ascii="Garamond" w:hAnsi="Garamond"/>
          <w:bCs/>
          <w:sz w:val="24"/>
          <w:szCs w:val="24"/>
        </w:rPr>
      </w:pPr>
      <w:r>
        <w:rPr>
          <w:rFonts w:ascii="Garamond" w:hAnsi="Garamond" w:cs="Arial"/>
          <w:bCs/>
          <w:iCs/>
          <w:sz w:val="24"/>
          <w:szCs w:val="24"/>
        </w:rPr>
        <w:t>S</w:t>
      </w:r>
      <w:r w:rsidR="00AE382F" w:rsidRPr="00952F5C">
        <w:rPr>
          <w:rFonts w:ascii="Garamond" w:hAnsi="Garamond" w:cs="Arial"/>
          <w:bCs/>
          <w:iCs/>
          <w:sz w:val="24"/>
          <w:szCs w:val="24"/>
        </w:rPr>
        <w:t>urgical procedures performed in ASCs are associated with reduced mortality, morbidity, and hospital admission rates as compared to outpatient surgery performed in the hospital setting, and patients also experience shorter surgery and recovery times; these benefits appear to extend to vulnerable (highest-risk Medicare) patients.</w:t>
      </w:r>
      <w:r w:rsidR="00AE382F">
        <w:rPr>
          <w:rStyle w:val="EndnoteReference"/>
          <w:rFonts w:ascii="Garamond" w:hAnsi="Garamond" w:cs="Arial"/>
          <w:bCs/>
          <w:iCs/>
          <w:sz w:val="24"/>
          <w:szCs w:val="24"/>
        </w:rPr>
        <w:endnoteReference w:id="51"/>
      </w:r>
      <w:r w:rsidR="00AE382F" w:rsidRPr="00626C15">
        <w:rPr>
          <w:rFonts w:ascii="Garamond" w:hAnsi="Garamond" w:cs="Arial"/>
          <w:bCs/>
          <w:iCs/>
          <w:sz w:val="24"/>
          <w:szCs w:val="24"/>
          <w:vertAlign w:val="superscript"/>
        </w:rPr>
        <w:t>,</w:t>
      </w:r>
      <w:r w:rsidR="00AE382F" w:rsidRPr="00626C15">
        <w:rPr>
          <w:rStyle w:val="EndnoteReference"/>
          <w:rFonts w:ascii="Garamond" w:hAnsi="Garamond" w:cs="Arial"/>
          <w:bCs/>
          <w:iCs/>
          <w:sz w:val="24"/>
          <w:szCs w:val="24"/>
        </w:rPr>
        <w:endnoteReference w:id="52"/>
      </w:r>
      <w:r w:rsidR="00C3395B">
        <w:rPr>
          <w:rFonts w:ascii="Garamond" w:hAnsi="Garamond" w:cs="Arial"/>
          <w:bCs/>
          <w:iCs/>
          <w:sz w:val="24"/>
          <w:szCs w:val="24"/>
          <w:vertAlign w:val="superscript"/>
        </w:rPr>
        <w:t>,</w:t>
      </w:r>
      <w:r w:rsidR="00217B91">
        <w:rPr>
          <w:rStyle w:val="EndnoteReference"/>
          <w:rFonts w:ascii="Garamond" w:hAnsi="Garamond" w:cs="Arial"/>
          <w:bCs/>
          <w:iCs/>
          <w:sz w:val="24"/>
          <w:szCs w:val="24"/>
        </w:rPr>
        <w:endnoteReference w:id="53"/>
      </w:r>
      <w:r w:rsidR="0029049B">
        <w:rPr>
          <w:rFonts w:ascii="Garamond" w:hAnsi="Garamond" w:cs="Arial"/>
          <w:bCs/>
          <w:iCs/>
          <w:sz w:val="24"/>
          <w:szCs w:val="24"/>
          <w:vertAlign w:val="superscript"/>
        </w:rPr>
        <w:t xml:space="preserve"> </w:t>
      </w:r>
      <w:r w:rsidR="007F6D95" w:rsidRPr="007F6D95">
        <w:rPr>
          <w:rFonts w:ascii="Garamond" w:hAnsi="Garamond"/>
          <w:bCs/>
          <w:sz w:val="24"/>
          <w:szCs w:val="24"/>
        </w:rPr>
        <w:t xml:space="preserve">Improving access to NESC’s services has the potential to improve outcomes </w:t>
      </w:r>
      <w:r w:rsidR="007F6D95">
        <w:rPr>
          <w:rFonts w:ascii="Garamond" w:hAnsi="Garamond"/>
          <w:bCs/>
          <w:sz w:val="24"/>
          <w:szCs w:val="24"/>
        </w:rPr>
        <w:t xml:space="preserve">and quality of life </w:t>
      </w:r>
      <w:r w:rsidR="007F6D95" w:rsidRPr="007F6D95">
        <w:rPr>
          <w:rFonts w:ascii="Garamond" w:hAnsi="Garamond"/>
          <w:bCs/>
          <w:sz w:val="24"/>
          <w:szCs w:val="24"/>
        </w:rPr>
        <w:t xml:space="preserve">for the Patient Panel. </w:t>
      </w:r>
    </w:p>
    <w:p w14:paraId="734CA2A3" w14:textId="2FEF0649" w:rsidR="00F64BEF" w:rsidRDefault="00F64BEF" w:rsidP="00EA38CA">
      <w:pPr>
        <w:spacing w:after="0" w:line="240" w:lineRule="auto"/>
        <w:contextualSpacing/>
        <w:rPr>
          <w:rFonts w:ascii="Garamond" w:hAnsi="Garamond"/>
          <w:b/>
          <w:bCs/>
          <w:sz w:val="24"/>
          <w:szCs w:val="24"/>
        </w:rPr>
      </w:pPr>
    </w:p>
    <w:p w14:paraId="6DB804AD" w14:textId="0FBDCACD" w:rsidR="004E5047" w:rsidRDefault="0012392C" w:rsidP="007B68B1">
      <w:pPr>
        <w:spacing w:after="0" w:line="240" w:lineRule="auto"/>
        <w:contextualSpacing/>
        <w:rPr>
          <w:rFonts w:ascii="Garamond" w:hAnsi="Garamond" w:cs="Arial"/>
          <w:sz w:val="24"/>
          <w:szCs w:val="24"/>
        </w:rPr>
      </w:pPr>
      <w:r w:rsidRPr="00C867B4">
        <w:rPr>
          <w:rFonts w:ascii="Garamond" w:hAnsi="Garamond"/>
          <w:b/>
          <w:bCs/>
          <w:sz w:val="24"/>
          <w:szCs w:val="24"/>
        </w:rPr>
        <w:t>Delivery System Transformation</w:t>
      </w:r>
      <w:bookmarkEnd w:id="197"/>
      <w:bookmarkEnd w:id="198"/>
      <w:bookmarkEnd w:id="199"/>
      <w:bookmarkEnd w:id="200"/>
      <w:bookmarkEnd w:id="201"/>
      <w:bookmarkEnd w:id="202"/>
      <w:r w:rsidRPr="00C867B4">
        <w:rPr>
          <w:rFonts w:ascii="Garamond" w:hAnsi="Garamond"/>
          <w:b/>
          <w:bCs/>
          <w:sz w:val="24"/>
          <w:szCs w:val="24"/>
        </w:rPr>
        <w:t xml:space="preserve"> </w:t>
      </w:r>
    </w:p>
    <w:p w14:paraId="313A1891" w14:textId="7ED7625C" w:rsidR="007B68B1" w:rsidRPr="000B2464" w:rsidRDefault="00CA2654" w:rsidP="00CA2654">
      <w:pPr>
        <w:spacing w:after="0" w:line="240" w:lineRule="auto"/>
        <w:rPr>
          <w:rFonts w:ascii="Garamond" w:hAnsi="Garamond"/>
          <w:sz w:val="24"/>
          <w:szCs w:val="24"/>
        </w:rPr>
      </w:pPr>
      <w:r w:rsidRPr="00CA2654">
        <w:rPr>
          <w:rFonts w:ascii="Garamond" w:hAnsi="Garamond" w:cs="Arial"/>
          <w:sz w:val="24"/>
          <w:szCs w:val="24"/>
        </w:rPr>
        <w:t xml:space="preserve">The Applicant mentioned </w:t>
      </w:r>
      <w:r w:rsidR="00881A0A">
        <w:rPr>
          <w:rFonts w:ascii="Garamond" w:hAnsi="Garamond" w:cs="Arial"/>
          <w:sz w:val="24"/>
          <w:szCs w:val="24"/>
        </w:rPr>
        <w:t xml:space="preserve">its </w:t>
      </w:r>
      <w:r w:rsidRPr="00CA2654">
        <w:rPr>
          <w:rFonts w:ascii="Garamond" w:hAnsi="Garamond" w:cs="Arial"/>
          <w:sz w:val="24"/>
          <w:szCs w:val="24"/>
        </w:rPr>
        <w:t>value-based contracts</w:t>
      </w:r>
      <w:r>
        <w:rPr>
          <w:rStyle w:val="FootnoteReference"/>
          <w:rFonts w:ascii="Garamond" w:hAnsi="Garamond" w:cs="Arial"/>
          <w:sz w:val="24"/>
          <w:szCs w:val="24"/>
        </w:rPr>
        <w:footnoteReference w:id="32"/>
      </w:r>
      <w:r w:rsidRPr="00CA2654">
        <w:rPr>
          <w:rFonts w:ascii="Garamond" w:hAnsi="Garamond" w:cs="Arial"/>
          <w:sz w:val="24"/>
          <w:szCs w:val="24"/>
        </w:rPr>
        <w:t xml:space="preserve"> and participation in numerous MassHealth products as evidence of its efforts to improve access to high quality</w:t>
      </w:r>
      <w:r w:rsidR="00881A0A">
        <w:rPr>
          <w:rFonts w:ascii="Garamond" w:hAnsi="Garamond" w:cs="Arial"/>
          <w:sz w:val="24"/>
          <w:szCs w:val="24"/>
        </w:rPr>
        <w:t>,</w:t>
      </w:r>
      <w:r w:rsidRPr="00CA2654">
        <w:rPr>
          <w:rFonts w:ascii="Garamond" w:hAnsi="Garamond" w:cs="Arial"/>
          <w:sz w:val="24"/>
          <w:szCs w:val="24"/>
        </w:rPr>
        <w:t xml:space="preserve"> low cost care. </w:t>
      </w:r>
      <w:r w:rsidR="001A5C30" w:rsidRPr="001A5C30">
        <w:rPr>
          <w:rFonts w:ascii="Garamond" w:hAnsi="Garamond" w:cs="Arial"/>
          <w:sz w:val="24"/>
          <w:szCs w:val="24"/>
        </w:rPr>
        <w:t>In response to staff inquiry</w:t>
      </w:r>
      <w:r w:rsidR="00B52D98">
        <w:rPr>
          <w:rFonts w:ascii="Garamond" w:hAnsi="Garamond" w:cs="Arial"/>
          <w:sz w:val="24"/>
          <w:szCs w:val="24"/>
        </w:rPr>
        <w:t xml:space="preserve"> about MassHealth participation</w:t>
      </w:r>
      <w:r w:rsidR="001A5C30">
        <w:rPr>
          <w:rFonts w:ascii="Garamond" w:hAnsi="Garamond" w:cs="Arial"/>
          <w:sz w:val="24"/>
          <w:szCs w:val="24"/>
        </w:rPr>
        <w:t xml:space="preserve">, the Applicant stated </w:t>
      </w:r>
      <w:r w:rsidR="001A5C30" w:rsidRPr="001A5C30">
        <w:rPr>
          <w:rFonts w:ascii="Garamond" w:hAnsi="Garamond" w:cs="Arial"/>
          <w:sz w:val="24"/>
          <w:szCs w:val="24"/>
        </w:rPr>
        <w:t xml:space="preserve">NESC contracts with all </w:t>
      </w:r>
      <w:r w:rsidR="001A5C30" w:rsidRPr="00056CFB">
        <w:rPr>
          <w:rFonts w:ascii="Garamond" w:hAnsi="Garamond" w:cs="Arial"/>
          <w:sz w:val="24"/>
          <w:szCs w:val="24"/>
        </w:rPr>
        <w:t xml:space="preserve">MassHealth products, and </w:t>
      </w:r>
      <w:r w:rsidR="00881A0A" w:rsidRPr="00056CFB">
        <w:rPr>
          <w:rFonts w:ascii="Garamond" w:hAnsi="Garamond" w:cs="Arial"/>
          <w:sz w:val="24"/>
          <w:szCs w:val="24"/>
        </w:rPr>
        <w:t xml:space="preserve">that </w:t>
      </w:r>
      <w:r w:rsidR="007B68B1" w:rsidRPr="00056CFB">
        <w:rPr>
          <w:rFonts w:ascii="Garamond" w:hAnsi="Garamond" w:cs="Arial"/>
          <w:bCs/>
          <w:sz w:val="24"/>
          <w:szCs w:val="24"/>
        </w:rPr>
        <w:t xml:space="preserve">90% </w:t>
      </w:r>
      <w:r w:rsidR="001A5C30" w:rsidRPr="00056CFB">
        <w:rPr>
          <w:rFonts w:ascii="Garamond" w:hAnsi="Garamond" w:cs="Arial"/>
          <w:bCs/>
          <w:sz w:val="24"/>
          <w:szCs w:val="24"/>
        </w:rPr>
        <w:t xml:space="preserve">of the 24 surgeons performing procedures at the surgery center </w:t>
      </w:r>
      <w:r w:rsidR="007B68B1" w:rsidRPr="00056CFB">
        <w:rPr>
          <w:rFonts w:ascii="Garamond" w:hAnsi="Garamond" w:cs="Arial"/>
          <w:bCs/>
          <w:sz w:val="24"/>
          <w:szCs w:val="24"/>
        </w:rPr>
        <w:t>are participating Mass</w:t>
      </w:r>
      <w:r w:rsidR="00FB7EA5" w:rsidRPr="00056CFB">
        <w:rPr>
          <w:rFonts w:ascii="Garamond" w:hAnsi="Garamond" w:cs="Arial"/>
          <w:bCs/>
          <w:sz w:val="24"/>
          <w:szCs w:val="24"/>
        </w:rPr>
        <w:t>H</w:t>
      </w:r>
      <w:r w:rsidR="007B68B1" w:rsidRPr="00056CFB">
        <w:rPr>
          <w:rFonts w:ascii="Garamond" w:hAnsi="Garamond" w:cs="Arial"/>
          <w:bCs/>
          <w:sz w:val="24"/>
          <w:szCs w:val="24"/>
        </w:rPr>
        <w:t>ealth Providers, but not to all products.</w:t>
      </w:r>
      <w:r w:rsidR="001E37BA" w:rsidRPr="00056CFB">
        <w:rPr>
          <w:rFonts w:ascii="Garamond" w:hAnsi="Garamond"/>
          <w:sz w:val="24"/>
          <w:szCs w:val="24"/>
        </w:rPr>
        <w:t xml:space="preserve"> The Applicant explained </w:t>
      </w:r>
      <w:r w:rsidR="002E25A5">
        <w:rPr>
          <w:rFonts w:ascii="Garamond" w:hAnsi="Garamond"/>
          <w:sz w:val="24"/>
          <w:szCs w:val="24"/>
        </w:rPr>
        <w:t xml:space="preserve">that </w:t>
      </w:r>
      <w:r w:rsidR="001E37BA" w:rsidRPr="00056CFB">
        <w:rPr>
          <w:rFonts w:ascii="Garamond" w:hAnsi="Garamond"/>
          <w:sz w:val="24"/>
          <w:szCs w:val="24"/>
        </w:rPr>
        <w:t>participation in all MassHealth products is not possible for the facility or the surgeons</w:t>
      </w:r>
      <w:r w:rsidR="002E25A5">
        <w:rPr>
          <w:rFonts w:ascii="Garamond" w:hAnsi="Garamond"/>
          <w:sz w:val="24"/>
          <w:szCs w:val="24"/>
        </w:rPr>
        <w:t xml:space="preserve"> because </w:t>
      </w:r>
      <w:r w:rsidR="00587CDC" w:rsidRPr="00056CFB">
        <w:rPr>
          <w:rFonts w:ascii="Garamond" w:hAnsi="Garamond"/>
          <w:sz w:val="24"/>
          <w:szCs w:val="24"/>
        </w:rPr>
        <w:t>s</w:t>
      </w:r>
      <w:r w:rsidR="001E37BA" w:rsidRPr="00056CFB">
        <w:rPr>
          <w:rFonts w:ascii="Garamond" w:hAnsi="Garamond"/>
          <w:sz w:val="24"/>
          <w:szCs w:val="24"/>
        </w:rPr>
        <w:t xml:space="preserve">ome plans are </w:t>
      </w:r>
      <w:r w:rsidR="008E3CB1" w:rsidRPr="00056CFB">
        <w:rPr>
          <w:rFonts w:ascii="Garamond" w:hAnsi="Garamond"/>
          <w:sz w:val="24"/>
          <w:szCs w:val="24"/>
        </w:rPr>
        <w:t xml:space="preserve">only </w:t>
      </w:r>
      <w:r w:rsidR="001E37BA" w:rsidRPr="00056CFB">
        <w:rPr>
          <w:rFonts w:ascii="Garamond" w:hAnsi="Garamond"/>
          <w:sz w:val="24"/>
          <w:szCs w:val="24"/>
        </w:rPr>
        <w:t>for services</w:t>
      </w:r>
      <w:r w:rsidR="00655D14">
        <w:rPr>
          <w:rFonts w:ascii="Garamond" w:hAnsi="Garamond"/>
          <w:sz w:val="24"/>
          <w:szCs w:val="24"/>
        </w:rPr>
        <w:t xml:space="preserve"> that are not </w:t>
      </w:r>
      <w:r w:rsidR="002B40C3">
        <w:rPr>
          <w:rFonts w:ascii="Garamond" w:hAnsi="Garamond"/>
          <w:sz w:val="24"/>
          <w:szCs w:val="24"/>
        </w:rPr>
        <w:t>covered</w:t>
      </w:r>
      <w:r w:rsidR="00655D14">
        <w:rPr>
          <w:rFonts w:ascii="Garamond" w:hAnsi="Garamond"/>
          <w:sz w:val="24"/>
          <w:szCs w:val="24"/>
        </w:rPr>
        <w:t xml:space="preserve"> </w:t>
      </w:r>
      <w:r w:rsidR="002B40C3">
        <w:rPr>
          <w:rFonts w:ascii="Garamond" w:hAnsi="Garamond"/>
          <w:sz w:val="24"/>
          <w:szCs w:val="24"/>
        </w:rPr>
        <w:t xml:space="preserve">in an </w:t>
      </w:r>
      <w:r w:rsidR="00655D14">
        <w:rPr>
          <w:rFonts w:ascii="Garamond" w:hAnsi="Garamond"/>
          <w:sz w:val="24"/>
          <w:szCs w:val="24"/>
        </w:rPr>
        <w:t>ASC</w:t>
      </w:r>
      <w:r w:rsidR="001E37BA" w:rsidRPr="00056CFB">
        <w:rPr>
          <w:rFonts w:ascii="Garamond" w:hAnsi="Garamond"/>
          <w:sz w:val="24"/>
          <w:szCs w:val="24"/>
        </w:rPr>
        <w:t>.</w:t>
      </w:r>
      <w:r w:rsidR="00A82427">
        <w:rPr>
          <w:rStyle w:val="FootnoteReference"/>
          <w:rFonts w:ascii="Garamond" w:hAnsi="Garamond"/>
          <w:sz w:val="24"/>
          <w:szCs w:val="24"/>
        </w:rPr>
        <w:footnoteReference w:id="33"/>
      </w:r>
      <w:r w:rsidR="000B2464" w:rsidRPr="00056CFB">
        <w:rPr>
          <w:rFonts w:ascii="Garamond" w:hAnsi="Garamond"/>
          <w:sz w:val="24"/>
          <w:szCs w:val="24"/>
        </w:rPr>
        <w:t xml:space="preserve"> The Applicant</w:t>
      </w:r>
      <w:r w:rsidR="00C6399F" w:rsidRPr="00056CFB">
        <w:rPr>
          <w:rFonts w:ascii="Garamond" w:hAnsi="Garamond"/>
          <w:sz w:val="24"/>
          <w:szCs w:val="24"/>
        </w:rPr>
        <w:t>, along with other members of the Massachusetts Association of Ambulatory Surgery Centers (MAASC),</w:t>
      </w:r>
      <w:r w:rsidR="000B2464" w:rsidRPr="00056CFB">
        <w:rPr>
          <w:rFonts w:ascii="Garamond" w:hAnsi="Garamond"/>
          <w:sz w:val="24"/>
          <w:szCs w:val="24"/>
        </w:rPr>
        <w:t xml:space="preserve"> provided case information to MassHealth </w:t>
      </w:r>
      <w:r w:rsidR="00655D14">
        <w:rPr>
          <w:rFonts w:ascii="Garamond" w:hAnsi="Garamond"/>
          <w:sz w:val="24"/>
          <w:szCs w:val="24"/>
        </w:rPr>
        <w:t>which</w:t>
      </w:r>
      <w:r w:rsidR="000B2464" w:rsidRPr="00056CFB">
        <w:rPr>
          <w:rFonts w:ascii="Garamond" w:hAnsi="Garamond"/>
          <w:sz w:val="24"/>
          <w:szCs w:val="24"/>
        </w:rPr>
        <w:t xml:space="preserve"> </w:t>
      </w:r>
      <w:r w:rsidR="00351731">
        <w:rPr>
          <w:rFonts w:ascii="Garamond" w:hAnsi="Garamond"/>
          <w:sz w:val="24"/>
          <w:szCs w:val="24"/>
        </w:rPr>
        <w:t>supported</w:t>
      </w:r>
      <w:r w:rsidR="00056CFB">
        <w:rPr>
          <w:rFonts w:ascii="Garamond" w:hAnsi="Garamond"/>
          <w:sz w:val="24"/>
          <w:szCs w:val="24"/>
        </w:rPr>
        <w:t xml:space="preserve"> </w:t>
      </w:r>
      <w:r w:rsidR="00C6399F" w:rsidRPr="00056CFB">
        <w:rPr>
          <w:rFonts w:ascii="Garamond" w:hAnsi="Garamond"/>
          <w:sz w:val="24"/>
          <w:szCs w:val="24"/>
        </w:rPr>
        <w:t xml:space="preserve">an </w:t>
      </w:r>
      <w:r w:rsidR="000B2464" w:rsidRPr="00056CFB">
        <w:rPr>
          <w:rFonts w:ascii="Garamond" w:hAnsi="Garamond"/>
          <w:sz w:val="24"/>
          <w:szCs w:val="24"/>
        </w:rPr>
        <w:t>increase in the rate of payment ASC’s received</w:t>
      </w:r>
      <w:r w:rsidR="00C6399F" w:rsidRPr="00056CFB">
        <w:rPr>
          <w:rFonts w:ascii="Garamond" w:hAnsi="Garamond"/>
          <w:sz w:val="24"/>
          <w:szCs w:val="24"/>
        </w:rPr>
        <w:t xml:space="preserve"> in 2018</w:t>
      </w:r>
      <w:r w:rsidR="00655D14">
        <w:rPr>
          <w:rFonts w:ascii="Garamond" w:hAnsi="Garamond"/>
          <w:sz w:val="24"/>
          <w:szCs w:val="24"/>
        </w:rPr>
        <w:t xml:space="preserve">. </w:t>
      </w:r>
      <w:r w:rsidR="00AB49DF" w:rsidRPr="00056CFB">
        <w:rPr>
          <w:rFonts w:ascii="Garamond" w:hAnsi="Garamond"/>
          <w:sz w:val="24"/>
          <w:szCs w:val="24"/>
        </w:rPr>
        <w:t>The Applicant asserts that p</w:t>
      </w:r>
      <w:r w:rsidR="000B2464" w:rsidRPr="00056CFB">
        <w:rPr>
          <w:rFonts w:ascii="Garamond" w:hAnsi="Garamond"/>
          <w:sz w:val="24"/>
          <w:szCs w:val="24"/>
        </w:rPr>
        <w:t>rior to the rate increase, t</w:t>
      </w:r>
      <w:r w:rsidR="00655D14">
        <w:rPr>
          <w:rFonts w:ascii="Garamond" w:hAnsi="Garamond"/>
          <w:sz w:val="24"/>
          <w:szCs w:val="24"/>
        </w:rPr>
        <w:t xml:space="preserve">he Applicant referred most complex and non-complex </w:t>
      </w:r>
      <w:r w:rsidR="00111014">
        <w:rPr>
          <w:rFonts w:ascii="Garamond" w:hAnsi="Garamond"/>
          <w:sz w:val="24"/>
          <w:szCs w:val="24"/>
        </w:rPr>
        <w:t xml:space="preserve">procedures </w:t>
      </w:r>
      <w:r w:rsidR="00655D14">
        <w:rPr>
          <w:rFonts w:ascii="Garamond" w:hAnsi="Garamond"/>
          <w:sz w:val="24"/>
          <w:szCs w:val="24"/>
        </w:rPr>
        <w:t xml:space="preserve">to HOPDs where it was more cost efficient to perform them. The change in payment structure allowed the ASC to </w:t>
      </w:r>
      <w:r w:rsidR="002E25A5" w:rsidRPr="002E25A5">
        <w:rPr>
          <w:rFonts w:ascii="Garamond" w:hAnsi="Garamond"/>
          <w:sz w:val="24"/>
          <w:szCs w:val="24"/>
        </w:rPr>
        <w:t xml:space="preserve">accommodate more </w:t>
      </w:r>
      <w:r w:rsidR="00111014">
        <w:rPr>
          <w:rFonts w:ascii="Garamond" w:hAnsi="Garamond"/>
          <w:sz w:val="24"/>
          <w:szCs w:val="24"/>
        </w:rPr>
        <w:t>complex and non-complex</w:t>
      </w:r>
      <w:r w:rsidR="002E25A5" w:rsidRPr="002E25A5">
        <w:rPr>
          <w:rFonts w:ascii="Garamond" w:hAnsi="Garamond"/>
          <w:sz w:val="24"/>
          <w:szCs w:val="24"/>
        </w:rPr>
        <w:t xml:space="preserve"> procedures </w:t>
      </w:r>
      <w:r w:rsidR="002E25A5">
        <w:rPr>
          <w:rFonts w:ascii="Garamond" w:hAnsi="Garamond"/>
          <w:sz w:val="24"/>
          <w:szCs w:val="24"/>
        </w:rPr>
        <w:t xml:space="preserve">and </w:t>
      </w:r>
      <w:r w:rsidR="00351731">
        <w:rPr>
          <w:rFonts w:ascii="Garamond" w:hAnsi="Garamond"/>
          <w:sz w:val="24"/>
          <w:szCs w:val="24"/>
        </w:rPr>
        <w:t>keep</w:t>
      </w:r>
      <w:r w:rsidR="00655D14">
        <w:rPr>
          <w:rFonts w:ascii="Garamond" w:hAnsi="Garamond"/>
          <w:sz w:val="24"/>
          <w:szCs w:val="24"/>
        </w:rPr>
        <w:t xml:space="preserve"> more patients at its facility.</w:t>
      </w:r>
      <w:r w:rsidR="00D45F49">
        <w:rPr>
          <w:rStyle w:val="FootnoteReference"/>
          <w:rFonts w:ascii="Garamond" w:hAnsi="Garamond"/>
          <w:sz w:val="24"/>
          <w:szCs w:val="24"/>
        </w:rPr>
        <w:footnoteReference w:id="34"/>
      </w:r>
      <w:bookmarkStart w:id="203" w:name="_GoBack"/>
      <w:bookmarkEnd w:id="203"/>
    </w:p>
    <w:p w14:paraId="5E6276B1" w14:textId="23168F64" w:rsidR="006E0583" w:rsidRDefault="006E0583" w:rsidP="00EA38CA">
      <w:pPr>
        <w:spacing w:after="0" w:line="240" w:lineRule="auto"/>
        <w:contextualSpacing/>
        <w:rPr>
          <w:rFonts w:ascii="Garamond" w:hAnsi="Garamond"/>
          <w:sz w:val="24"/>
          <w:szCs w:val="24"/>
        </w:rPr>
      </w:pPr>
    </w:p>
    <w:p w14:paraId="42B3D41F" w14:textId="77777777" w:rsidR="00E8532F" w:rsidRPr="00C00156" w:rsidRDefault="00E8532F" w:rsidP="00EA38CA">
      <w:pPr>
        <w:spacing w:after="0" w:line="240" w:lineRule="auto"/>
        <w:contextualSpacing/>
        <w:rPr>
          <w:rFonts w:ascii="Garamond" w:hAnsi="Garamond"/>
          <w:b/>
          <w:bCs/>
          <w:sz w:val="24"/>
          <w:szCs w:val="24"/>
        </w:rPr>
      </w:pPr>
      <w:r w:rsidRPr="005F4493">
        <w:rPr>
          <w:rFonts w:ascii="Garamond" w:hAnsi="Garamond"/>
          <w:b/>
          <w:i/>
          <w:iCs/>
          <w:sz w:val="24"/>
          <w:szCs w:val="24"/>
        </w:rPr>
        <w:t xml:space="preserve">Analysis: </w:t>
      </w:r>
      <w:r w:rsidRPr="000A431B">
        <w:rPr>
          <w:rFonts w:ascii="Garamond" w:hAnsi="Garamond"/>
          <w:b/>
          <w:bCs/>
          <w:i/>
          <w:sz w:val="24"/>
          <w:szCs w:val="24"/>
        </w:rPr>
        <w:t>Delivery System Transformation</w:t>
      </w:r>
    </w:p>
    <w:p w14:paraId="0E560BC0" w14:textId="64AB8722" w:rsidR="00DE7C79" w:rsidRPr="00E420F3" w:rsidRDefault="00D004BA" w:rsidP="00EA38CA">
      <w:pPr>
        <w:spacing w:after="0" w:line="240" w:lineRule="auto"/>
        <w:contextualSpacing/>
        <w:rPr>
          <w:rFonts w:ascii="Garamond" w:hAnsi="Garamond"/>
          <w:iCs/>
          <w:sz w:val="24"/>
          <w:szCs w:val="24"/>
        </w:rPr>
      </w:pPr>
      <w:r w:rsidRPr="006D5858">
        <w:rPr>
          <w:rFonts w:ascii="Garamond" w:hAnsi="Garamond"/>
          <w:iCs/>
          <w:sz w:val="24"/>
          <w:szCs w:val="24"/>
        </w:rPr>
        <w:t xml:space="preserve">Central to the goal of Delivery System Transformation is the integration of social services and community-based expertise. </w:t>
      </w:r>
      <w:r w:rsidR="00775EA2" w:rsidRPr="006D5858">
        <w:rPr>
          <w:rFonts w:ascii="Garamond" w:hAnsi="Garamond"/>
          <w:iCs/>
          <w:sz w:val="24"/>
          <w:szCs w:val="24"/>
        </w:rPr>
        <w:t>The</w:t>
      </w:r>
      <w:r w:rsidRPr="006D5858">
        <w:rPr>
          <w:rFonts w:ascii="Garamond" w:hAnsi="Garamond"/>
          <w:iCs/>
          <w:sz w:val="24"/>
          <w:szCs w:val="24"/>
        </w:rPr>
        <w:t xml:space="preserve"> Applicant described</w:t>
      </w:r>
      <w:r w:rsidR="00930CE0" w:rsidRPr="006D5858">
        <w:rPr>
          <w:rFonts w:ascii="Garamond" w:hAnsi="Garamond"/>
          <w:iCs/>
          <w:sz w:val="24"/>
          <w:szCs w:val="24"/>
        </w:rPr>
        <w:t xml:space="preserve"> </w:t>
      </w:r>
      <w:r w:rsidR="009A6D55" w:rsidRPr="006D5858">
        <w:rPr>
          <w:rFonts w:ascii="Garamond" w:hAnsi="Garamond"/>
          <w:iCs/>
          <w:sz w:val="24"/>
          <w:szCs w:val="24"/>
        </w:rPr>
        <w:t xml:space="preserve">its </w:t>
      </w:r>
      <w:r w:rsidR="00650E05">
        <w:rPr>
          <w:rFonts w:ascii="Garamond" w:hAnsi="Garamond"/>
          <w:iCs/>
          <w:sz w:val="24"/>
          <w:szCs w:val="24"/>
        </w:rPr>
        <w:t>social needs</w:t>
      </w:r>
      <w:r w:rsidR="009A6D55" w:rsidRPr="006D5858">
        <w:rPr>
          <w:rFonts w:ascii="Garamond" w:hAnsi="Garamond"/>
          <w:iCs/>
          <w:sz w:val="24"/>
          <w:szCs w:val="24"/>
        </w:rPr>
        <w:t xml:space="preserve"> screening processes including </w:t>
      </w:r>
      <w:r w:rsidRPr="006D5858">
        <w:rPr>
          <w:rFonts w:ascii="Garamond" w:hAnsi="Garamond"/>
          <w:iCs/>
          <w:sz w:val="24"/>
          <w:szCs w:val="24"/>
        </w:rPr>
        <w:t>how</w:t>
      </w:r>
      <w:r w:rsidR="00A34FAA" w:rsidRPr="006D5858">
        <w:rPr>
          <w:rFonts w:ascii="Garamond" w:hAnsi="Garamond"/>
          <w:iCs/>
          <w:sz w:val="24"/>
          <w:szCs w:val="24"/>
        </w:rPr>
        <w:t xml:space="preserve"> </w:t>
      </w:r>
      <w:r w:rsidR="00F112A9" w:rsidRPr="006D5858">
        <w:rPr>
          <w:rFonts w:ascii="Garamond" w:hAnsi="Garamond"/>
          <w:iCs/>
          <w:sz w:val="24"/>
          <w:szCs w:val="24"/>
        </w:rPr>
        <w:t xml:space="preserve">surgery patients are assessed and how referrals are made to </w:t>
      </w:r>
      <w:r w:rsidR="00AD217E">
        <w:rPr>
          <w:rFonts w:ascii="Garamond" w:hAnsi="Garamond"/>
          <w:iCs/>
          <w:sz w:val="24"/>
          <w:szCs w:val="24"/>
        </w:rPr>
        <w:t>the PC</w:t>
      </w:r>
      <w:r w:rsidR="00583224">
        <w:rPr>
          <w:rFonts w:ascii="Garamond" w:hAnsi="Garamond"/>
          <w:iCs/>
          <w:sz w:val="24"/>
          <w:szCs w:val="24"/>
        </w:rPr>
        <w:t>P</w:t>
      </w:r>
      <w:r w:rsidR="00AD217E">
        <w:rPr>
          <w:rFonts w:ascii="Garamond" w:hAnsi="Garamond"/>
          <w:iCs/>
          <w:sz w:val="24"/>
          <w:szCs w:val="24"/>
        </w:rPr>
        <w:t xml:space="preserve"> and </w:t>
      </w:r>
      <w:r w:rsidR="00F112A9" w:rsidRPr="006D5858">
        <w:rPr>
          <w:rFonts w:ascii="Garamond" w:hAnsi="Garamond"/>
          <w:iCs/>
          <w:sz w:val="24"/>
          <w:szCs w:val="24"/>
        </w:rPr>
        <w:t>outside organizations</w:t>
      </w:r>
      <w:r w:rsidRPr="006D5858">
        <w:rPr>
          <w:rFonts w:ascii="Garamond" w:hAnsi="Garamond"/>
          <w:iCs/>
          <w:sz w:val="24"/>
          <w:szCs w:val="24"/>
        </w:rPr>
        <w:t xml:space="preserve">. </w:t>
      </w:r>
    </w:p>
    <w:p w14:paraId="592D704E" w14:textId="2FB943D6" w:rsidR="007274E2" w:rsidRPr="00E420F3" w:rsidRDefault="00930CE0" w:rsidP="00EA38CA">
      <w:pPr>
        <w:pStyle w:val="Heading1"/>
        <w:spacing w:line="240" w:lineRule="auto"/>
        <w:rPr>
          <w:rFonts w:ascii="Garamond" w:hAnsi="Garamond"/>
          <w:sz w:val="24"/>
          <w:szCs w:val="24"/>
        </w:rPr>
      </w:pPr>
      <w:bookmarkStart w:id="204" w:name="_Toc58960221"/>
      <w:bookmarkStart w:id="205" w:name="_Toc28797409"/>
      <w:bookmarkStart w:id="206" w:name="_Toc29755687"/>
      <w:bookmarkStart w:id="207" w:name="_Toc17748725"/>
      <w:bookmarkStart w:id="208" w:name="_Toc17748726"/>
      <w:r w:rsidRPr="00E420F3">
        <w:rPr>
          <w:rFonts w:ascii="Garamond" w:hAnsi="Garamond"/>
        </w:rPr>
        <w:t>Factor</w:t>
      </w:r>
      <w:r w:rsidR="00F90C88">
        <w:rPr>
          <w:rFonts w:ascii="Garamond" w:hAnsi="Garamond"/>
        </w:rPr>
        <w:t xml:space="preserve"> </w:t>
      </w:r>
      <w:r w:rsidR="008D67DA" w:rsidRPr="00E420F3">
        <w:rPr>
          <w:rFonts w:ascii="Garamond" w:hAnsi="Garamond"/>
        </w:rPr>
        <w:t>2</w:t>
      </w:r>
      <w:r w:rsidRPr="00E420F3">
        <w:rPr>
          <w:rFonts w:ascii="Garamond" w:hAnsi="Garamond"/>
        </w:rPr>
        <w:t xml:space="preserve"> Summary</w:t>
      </w:r>
      <w:bookmarkEnd w:id="204"/>
      <w:r w:rsidR="008D67DA" w:rsidRPr="00E420F3">
        <w:rPr>
          <w:rFonts w:ascii="Garamond" w:hAnsi="Garamond"/>
        </w:rPr>
        <w:t xml:space="preserve"> </w:t>
      </w:r>
      <w:bookmarkEnd w:id="205"/>
      <w:bookmarkEnd w:id="206"/>
    </w:p>
    <w:p w14:paraId="4000AABF" w14:textId="1AD8DA37" w:rsidR="00076AC1" w:rsidRPr="00E420F3" w:rsidRDefault="007274E2" w:rsidP="00EA38CA">
      <w:pPr>
        <w:spacing w:after="0" w:line="240" w:lineRule="auto"/>
        <w:contextualSpacing/>
        <w:rPr>
          <w:rFonts w:ascii="Garamond" w:hAnsi="Garamond" w:cs="Arial"/>
          <w:sz w:val="24"/>
          <w:szCs w:val="24"/>
        </w:rPr>
      </w:pPr>
      <w:r w:rsidRPr="00E420F3">
        <w:rPr>
          <w:rFonts w:ascii="Garamond" w:hAnsi="Garamond" w:cs="Arial"/>
          <w:sz w:val="24"/>
          <w:szCs w:val="24"/>
        </w:rPr>
        <w:t>As a result of information provided</w:t>
      </w:r>
      <w:r w:rsidR="008B7B7B">
        <w:rPr>
          <w:rFonts w:ascii="Garamond" w:hAnsi="Garamond" w:cs="Arial"/>
          <w:sz w:val="24"/>
          <w:szCs w:val="24"/>
        </w:rPr>
        <w:t>, s</w:t>
      </w:r>
      <w:r w:rsidR="004F16BE" w:rsidRPr="00E420F3">
        <w:rPr>
          <w:rFonts w:ascii="Garamond" w:hAnsi="Garamond" w:cs="Arial"/>
          <w:sz w:val="24"/>
          <w:szCs w:val="24"/>
        </w:rPr>
        <w:t xml:space="preserve">taff finds </w:t>
      </w:r>
      <w:r w:rsidR="00071F27" w:rsidRPr="00E420F3">
        <w:rPr>
          <w:rFonts w:ascii="Garamond" w:hAnsi="Garamond" w:cs="Arial"/>
          <w:sz w:val="24"/>
          <w:szCs w:val="24"/>
        </w:rPr>
        <w:t>that</w:t>
      </w:r>
      <w:r w:rsidR="004F16BE" w:rsidRPr="00E420F3">
        <w:rPr>
          <w:rFonts w:ascii="Garamond" w:hAnsi="Garamond" w:cs="Arial"/>
          <w:sz w:val="24"/>
          <w:szCs w:val="24"/>
        </w:rPr>
        <w:t xml:space="preserve"> the Applicant has </w:t>
      </w:r>
      <w:r w:rsidR="00071F27" w:rsidRPr="00E420F3">
        <w:rPr>
          <w:rFonts w:ascii="Garamond" w:hAnsi="Garamond" w:cs="Arial"/>
          <w:sz w:val="24"/>
          <w:szCs w:val="24"/>
        </w:rPr>
        <w:t>sufficiently</w:t>
      </w:r>
      <w:r w:rsidR="004F16BE" w:rsidRPr="00E420F3">
        <w:rPr>
          <w:rFonts w:ascii="Garamond" w:hAnsi="Garamond" w:cs="Arial"/>
          <w:sz w:val="24"/>
          <w:szCs w:val="24"/>
        </w:rPr>
        <w:t xml:space="preserve"> met the </w:t>
      </w:r>
      <w:r w:rsidR="00071F27" w:rsidRPr="00E420F3">
        <w:rPr>
          <w:rFonts w:ascii="Garamond" w:hAnsi="Garamond" w:cs="Arial"/>
          <w:sz w:val="24"/>
          <w:szCs w:val="24"/>
        </w:rPr>
        <w:t>requirements</w:t>
      </w:r>
      <w:r w:rsidR="004F16BE" w:rsidRPr="00E420F3">
        <w:rPr>
          <w:rFonts w:ascii="Garamond" w:hAnsi="Garamond" w:cs="Arial"/>
          <w:sz w:val="24"/>
          <w:szCs w:val="24"/>
        </w:rPr>
        <w:t xml:space="preserve"> of Factor 2</w:t>
      </w:r>
      <w:r w:rsidRPr="00E420F3">
        <w:rPr>
          <w:rFonts w:ascii="Garamond" w:hAnsi="Garamond" w:cs="Arial"/>
          <w:sz w:val="24"/>
          <w:szCs w:val="24"/>
        </w:rPr>
        <w:t>.</w:t>
      </w:r>
      <w:r w:rsidR="00337A36" w:rsidRPr="00E420F3">
        <w:rPr>
          <w:rFonts w:ascii="Garamond" w:hAnsi="Garamond" w:cs="Arial"/>
          <w:sz w:val="24"/>
          <w:szCs w:val="24"/>
        </w:rPr>
        <w:t xml:space="preserve"> </w:t>
      </w:r>
    </w:p>
    <w:p w14:paraId="47F6C33F" w14:textId="1EABCDBE" w:rsidR="00076AC1" w:rsidRPr="00E420F3" w:rsidRDefault="00076AC1" w:rsidP="00EA38CA">
      <w:pPr>
        <w:spacing w:line="240" w:lineRule="auto"/>
        <w:rPr>
          <w:rFonts w:ascii="Garamond" w:hAnsi="Garamond" w:cstheme="majorHAnsi"/>
          <w:sz w:val="20"/>
          <w:szCs w:val="20"/>
        </w:rPr>
      </w:pPr>
    </w:p>
    <w:p w14:paraId="3A7743C2" w14:textId="77777777" w:rsidR="0012392C" w:rsidRPr="00C867B4" w:rsidRDefault="00DE19DE" w:rsidP="00EA38CA">
      <w:pPr>
        <w:pStyle w:val="Heading1"/>
        <w:spacing w:before="0" w:line="240" w:lineRule="auto"/>
        <w:contextualSpacing/>
        <w:rPr>
          <w:rFonts w:ascii="Garamond" w:hAnsi="Garamond"/>
        </w:rPr>
      </w:pPr>
      <w:bookmarkStart w:id="209" w:name="_Toc29755688"/>
      <w:bookmarkStart w:id="210" w:name="_Toc58960222"/>
      <w:r w:rsidRPr="00E420F3">
        <w:rPr>
          <w:rFonts w:ascii="Garamond" w:hAnsi="Garamond"/>
        </w:rPr>
        <w:lastRenderedPageBreak/>
        <w:t>Fa</w:t>
      </w:r>
      <w:r w:rsidR="0012392C" w:rsidRPr="00E420F3">
        <w:rPr>
          <w:rFonts w:ascii="Garamond" w:hAnsi="Garamond"/>
        </w:rPr>
        <w:t>ctor 3: Relevant Lice</w:t>
      </w:r>
      <w:r w:rsidR="0012392C" w:rsidRPr="00C00156">
        <w:rPr>
          <w:rFonts w:ascii="Garamond" w:hAnsi="Garamond"/>
        </w:rPr>
        <w:t>nsure/Oversight Compliance</w:t>
      </w:r>
      <w:bookmarkEnd w:id="207"/>
      <w:bookmarkEnd w:id="209"/>
      <w:bookmarkEnd w:id="210"/>
    </w:p>
    <w:p w14:paraId="0C6F3DA0" w14:textId="0CCDD2D0" w:rsidR="0012392C" w:rsidRPr="00C867B4" w:rsidRDefault="0012392C" w:rsidP="00EA38CA">
      <w:pPr>
        <w:spacing w:after="0" w:line="240" w:lineRule="auto"/>
        <w:contextualSpacing/>
        <w:rPr>
          <w:rFonts w:ascii="Garamond" w:hAnsi="Garamond"/>
          <w:sz w:val="24"/>
          <w:szCs w:val="24"/>
        </w:rPr>
      </w:pPr>
      <w:r w:rsidRPr="00C867B4">
        <w:rPr>
          <w:rFonts w:ascii="Garamond" w:hAnsi="Garamond"/>
          <w:sz w:val="24"/>
          <w:szCs w:val="24"/>
        </w:rPr>
        <w:t>The Applicant has provided evidence of compliance and good standing with federal, state, and local laws and regulations and will not be addressed further in this report.</w:t>
      </w:r>
      <w:r w:rsidR="008002DF" w:rsidRPr="00C867B4">
        <w:rPr>
          <w:rFonts w:ascii="Garamond" w:hAnsi="Garamond"/>
        </w:rPr>
        <w:t xml:space="preserve"> </w:t>
      </w:r>
      <w:r w:rsidR="008002DF" w:rsidRPr="00C867B4">
        <w:rPr>
          <w:rFonts w:ascii="Garamond" w:hAnsi="Garamond"/>
          <w:sz w:val="24"/>
          <w:szCs w:val="24"/>
        </w:rPr>
        <w:t>As a result of informat</w:t>
      </w:r>
      <w:r w:rsidR="00035089" w:rsidRPr="00C867B4">
        <w:rPr>
          <w:rFonts w:ascii="Garamond" w:hAnsi="Garamond"/>
          <w:sz w:val="24"/>
          <w:szCs w:val="24"/>
        </w:rPr>
        <w:t>ion provided by the Applicant, s</w:t>
      </w:r>
      <w:r w:rsidR="008002DF" w:rsidRPr="00C867B4">
        <w:rPr>
          <w:rFonts w:ascii="Garamond" w:hAnsi="Garamond"/>
          <w:sz w:val="24"/>
          <w:szCs w:val="24"/>
        </w:rPr>
        <w:t>taff finds the Applicant has reasonably met the standards of Factor 3.</w:t>
      </w:r>
    </w:p>
    <w:p w14:paraId="229BD5EE" w14:textId="77777777" w:rsidR="00653A41" w:rsidRPr="00C867B4" w:rsidRDefault="00653A41" w:rsidP="00EA38CA">
      <w:pPr>
        <w:pStyle w:val="Heading1"/>
        <w:spacing w:before="0" w:line="240" w:lineRule="auto"/>
        <w:contextualSpacing/>
        <w:rPr>
          <w:rFonts w:ascii="Garamond" w:hAnsi="Garamond"/>
        </w:rPr>
      </w:pPr>
    </w:p>
    <w:p w14:paraId="4F6AC4C8" w14:textId="5E8B2E24" w:rsidR="0012392C" w:rsidRPr="00C867B4" w:rsidRDefault="0012392C" w:rsidP="00EA38CA">
      <w:pPr>
        <w:pStyle w:val="Heading1"/>
        <w:spacing w:before="0" w:line="240" w:lineRule="auto"/>
        <w:contextualSpacing/>
        <w:rPr>
          <w:rFonts w:ascii="Garamond" w:hAnsi="Garamond"/>
        </w:rPr>
      </w:pPr>
      <w:bookmarkStart w:id="211" w:name="_Toc29755689"/>
      <w:bookmarkStart w:id="212" w:name="_Toc58960223"/>
      <w:r w:rsidRPr="00C867B4">
        <w:rPr>
          <w:rFonts w:ascii="Garamond" w:hAnsi="Garamond"/>
        </w:rPr>
        <w:t>Factor 4:</w:t>
      </w:r>
      <w:r w:rsidR="00F2354A" w:rsidRPr="00C867B4">
        <w:rPr>
          <w:rFonts w:ascii="Garamond" w:hAnsi="Garamond"/>
        </w:rPr>
        <w:t xml:space="preserve"> </w:t>
      </w:r>
      <w:r w:rsidRPr="00C867B4">
        <w:rPr>
          <w:rFonts w:ascii="Garamond" w:hAnsi="Garamond"/>
        </w:rPr>
        <w:t>Demonstration of Sufficient Funds as Supported by an Independent CPA Analysis</w:t>
      </w:r>
      <w:bookmarkEnd w:id="208"/>
      <w:bookmarkEnd w:id="211"/>
      <w:bookmarkEnd w:id="212"/>
    </w:p>
    <w:p w14:paraId="40D9D3F3" w14:textId="59535A14" w:rsidR="00866B7B" w:rsidRDefault="00810069" w:rsidP="00EA38CA">
      <w:pPr>
        <w:spacing w:after="0" w:line="240" w:lineRule="auto"/>
        <w:contextualSpacing/>
        <w:rPr>
          <w:rFonts w:ascii="Garamond" w:hAnsi="Garamond"/>
          <w:sz w:val="24"/>
          <w:szCs w:val="24"/>
        </w:rPr>
      </w:pPr>
      <w:r w:rsidRPr="00810069">
        <w:rPr>
          <w:rFonts w:ascii="Garamond" w:hAnsi="Garamond"/>
          <w:sz w:val="24"/>
          <w:szCs w:val="24"/>
        </w:rPr>
        <w:t xml:space="preserve">Under factor 4, the Applicant must demonstrate that it has sufficient funds available for capital and operating costs necessary to support the </w:t>
      </w:r>
      <w:r w:rsidR="00B66506">
        <w:rPr>
          <w:rFonts w:ascii="Garamond" w:hAnsi="Garamond"/>
          <w:sz w:val="24"/>
          <w:szCs w:val="24"/>
        </w:rPr>
        <w:t>P</w:t>
      </w:r>
      <w:r w:rsidRPr="00810069">
        <w:rPr>
          <w:rFonts w:ascii="Garamond" w:hAnsi="Garamond"/>
          <w:sz w:val="24"/>
          <w:szCs w:val="24"/>
        </w:rPr>
        <w:t xml:space="preserve">roposed </w:t>
      </w:r>
      <w:r w:rsidR="00B66506">
        <w:rPr>
          <w:rFonts w:ascii="Garamond" w:hAnsi="Garamond"/>
          <w:sz w:val="24"/>
          <w:szCs w:val="24"/>
        </w:rPr>
        <w:t>P</w:t>
      </w:r>
      <w:r w:rsidRPr="00810069">
        <w:rPr>
          <w:rFonts w:ascii="Garamond" w:hAnsi="Garamond"/>
          <w:sz w:val="24"/>
          <w:szCs w:val="24"/>
        </w:rPr>
        <w:t xml:space="preserve">roject without negative effects or consequences to the existing </w:t>
      </w:r>
      <w:r w:rsidR="00047F79">
        <w:rPr>
          <w:rFonts w:ascii="Garamond" w:hAnsi="Garamond"/>
          <w:sz w:val="24"/>
          <w:szCs w:val="24"/>
        </w:rPr>
        <w:t>P</w:t>
      </w:r>
      <w:r w:rsidRPr="00810069">
        <w:rPr>
          <w:rFonts w:ascii="Garamond" w:hAnsi="Garamond"/>
          <w:sz w:val="24"/>
          <w:szCs w:val="24"/>
        </w:rPr>
        <w:t xml:space="preserve">atient </w:t>
      </w:r>
      <w:r w:rsidR="00047F79">
        <w:rPr>
          <w:rFonts w:ascii="Garamond" w:hAnsi="Garamond"/>
          <w:sz w:val="24"/>
          <w:szCs w:val="24"/>
        </w:rPr>
        <w:t>P</w:t>
      </w:r>
      <w:r w:rsidRPr="00810069">
        <w:rPr>
          <w:rFonts w:ascii="Garamond" w:hAnsi="Garamond"/>
          <w:sz w:val="24"/>
          <w:szCs w:val="24"/>
        </w:rPr>
        <w:t xml:space="preserve">anel. Documentation sufficient to make such finding must be supported by an analysis conducted by an independent CPA. The Applicant submitted a report performed by </w:t>
      </w:r>
      <w:r w:rsidR="006D1D3D">
        <w:rPr>
          <w:rFonts w:ascii="Garamond" w:hAnsi="Garamond"/>
          <w:sz w:val="24"/>
          <w:szCs w:val="24"/>
        </w:rPr>
        <w:t>Cohen &amp; Co</w:t>
      </w:r>
      <w:r w:rsidR="00C031BB">
        <w:rPr>
          <w:rFonts w:ascii="Garamond" w:hAnsi="Garamond"/>
          <w:sz w:val="24"/>
          <w:szCs w:val="24"/>
        </w:rPr>
        <w:t>mpany</w:t>
      </w:r>
      <w:r w:rsidRPr="00810069">
        <w:rPr>
          <w:rFonts w:ascii="Garamond" w:hAnsi="Garamond"/>
          <w:sz w:val="24"/>
          <w:szCs w:val="24"/>
        </w:rPr>
        <w:t xml:space="preserve"> (CPA Report).</w:t>
      </w:r>
    </w:p>
    <w:p w14:paraId="152E58FC" w14:textId="2E187372" w:rsidR="00810069" w:rsidRDefault="00810069" w:rsidP="00EA38CA">
      <w:pPr>
        <w:spacing w:after="0" w:line="240" w:lineRule="auto"/>
        <w:contextualSpacing/>
        <w:rPr>
          <w:rFonts w:ascii="Garamond" w:hAnsi="Garamond"/>
          <w:sz w:val="24"/>
          <w:szCs w:val="24"/>
        </w:rPr>
      </w:pPr>
    </w:p>
    <w:p w14:paraId="17F836BF" w14:textId="719ACE2F" w:rsidR="00147EEF" w:rsidRDefault="00FD4221" w:rsidP="00EA38CA">
      <w:pPr>
        <w:spacing w:after="0" w:line="240" w:lineRule="auto"/>
        <w:contextualSpacing/>
        <w:rPr>
          <w:rFonts w:ascii="Garamond" w:hAnsi="Garamond"/>
          <w:sz w:val="24"/>
          <w:szCs w:val="24"/>
        </w:rPr>
      </w:pPr>
      <w:r w:rsidRPr="00FD4221">
        <w:rPr>
          <w:rFonts w:ascii="Garamond" w:hAnsi="Garamond"/>
          <w:sz w:val="24"/>
          <w:szCs w:val="24"/>
        </w:rPr>
        <w:t xml:space="preserve">In order to assess the reasonableness of assumptions used, and the feasibility of the projections for the </w:t>
      </w:r>
      <w:r w:rsidR="00B66506">
        <w:rPr>
          <w:rFonts w:ascii="Garamond" w:hAnsi="Garamond"/>
          <w:sz w:val="24"/>
          <w:szCs w:val="24"/>
        </w:rPr>
        <w:t>P</w:t>
      </w:r>
      <w:r w:rsidRPr="00FD4221">
        <w:rPr>
          <w:rFonts w:ascii="Garamond" w:hAnsi="Garamond"/>
          <w:sz w:val="24"/>
          <w:szCs w:val="24"/>
        </w:rPr>
        <w:t xml:space="preserve">roposed </w:t>
      </w:r>
      <w:r w:rsidR="00B66506">
        <w:rPr>
          <w:rFonts w:ascii="Garamond" w:hAnsi="Garamond"/>
          <w:sz w:val="24"/>
          <w:szCs w:val="24"/>
        </w:rPr>
        <w:t>P</w:t>
      </w:r>
      <w:r w:rsidRPr="00FD4221">
        <w:rPr>
          <w:rFonts w:ascii="Garamond" w:hAnsi="Garamond"/>
          <w:sz w:val="24"/>
          <w:szCs w:val="24"/>
        </w:rPr>
        <w:t xml:space="preserve">roject, the CPA Report reflects a review and analysis of </w:t>
      </w:r>
      <w:r w:rsidR="006D1D3D">
        <w:rPr>
          <w:rFonts w:ascii="Garamond" w:hAnsi="Garamond"/>
          <w:sz w:val="24"/>
          <w:szCs w:val="24"/>
        </w:rPr>
        <w:t xml:space="preserve">the </w:t>
      </w:r>
      <w:r w:rsidR="005E1DF9">
        <w:rPr>
          <w:rFonts w:ascii="Garamond" w:hAnsi="Garamond"/>
          <w:sz w:val="24"/>
          <w:szCs w:val="24"/>
        </w:rPr>
        <w:t>“Financial Feasibility Report” prepared by Health Capital Consultants, dated February 11, 2020 (HCC Report)</w:t>
      </w:r>
      <w:r w:rsidR="00235B73">
        <w:rPr>
          <w:rFonts w:ascii="Garamond" w:hAnsi="Garamond"/>
          <w:sz w:val="24"/>
          <w:szCs w:val="24"/>
        </w:rPr>
        <w:t xml:space="preserve">, including </w:t>
      </w:r>
      <w:r w:rsidR="00235B73" w:rsidRPr="00235B73">
        <w:rPr>
          <w:rFonts w:ascii="Garamond" w:hAnsi="Garamond"/>
          <w:sz w:val="24"/>
          <w:szCs w:val="24"/>
        </w:rPr>
        <w:t>five-year financial projections (2020-2024)</w:t>
      </w:r>
      <w:r w:rsidR="00235B73">
        <w:rPr>
          <w:rFonts w:ascii="Garamond" w:hAnsi="Garamond"/>
          <w:sz w:val="24"/>
          <w:szCs w:val="24"/>
        </w:rPr>
        <w:t>.</w:t>
      </w:r>
      <w:r w:rsidR="006F1B17">
        <w:rPr>
          <w:rFonts w:ascii="Garamond" w:hAnsi="Garamond"/>
          <w:sz w:val="24"/>
          <w:szCs w:val="24"/>
        </w:rPr>
        <w:t xml:space="preserve"> The HCC Report</w:t>
      </w:r>
      <w:r w:rsidR="005E1DF9">
        <w:rPr>
          <w:rFonts w:ascii="Garamond" w:hAnsi="Garamond"/>
          <w:sz w:val="24"/>
          <w:szCs w:val="24"/>
        </w:rPr>
        <w:t xml:space="preserve"> </w:t>
      </w:r>
      <w:r w:rsidR="006F1B17">
        <w:rPr>
          <w:rFonts w:ascii="Garamond" w:hAnsi="Garamond"/>
          <w:sz w:val="24"/>
          <w:szCs w:val="24"/>
        </w:rPr>
        <w:t>relied upon</w:t>
      </w:r>
      <w:r w:rsidR="00FD2578">
        <w:rPr>
          <w:rFonts w:ascii="Garamond" w:hAnsi="Garamond"/>
          <w:sz w:val="24"/>
          <w:szCs w:val="24"/>
        </w:rPr>
        <w:t xml:space="preserve"> historical and projected performance of NESC,</w:t>
      </w:r>
      <w:r w:rsidR="006F1B17">
        <w:rPr>
          <w:rFonts w:ascii="Garamond" w:hAnsi="Garamond"/>
          <w:sz w:val="24"/>
          <w:szCs w:val="24"/>
        </w:rPr>
        <w:t xml:space="preserve"> industry data and </w:t>
      </w:r>
      <w:r w:rsidR="00ED7418">
        <w:rPr>
          <w:rFonts w:ascii="Garamond" w:hAnsi="Garamond"/>
          <w:sz w:val="24"/>
          <w:szCs w:val="24"/>
        </w:rPr>
        <w:t>trends,</w:t>
      </w:r>
      <w:r w:rsidR="00FD2578">
        <w:rPr>
          <w:rFonts w:ascii="Garamond" w:hAnsi="Garamond"/>
          <w:sz w:val="24"/>
          <w:szCs w:val="24"/>
        </w:rPr>
        <w:t xml:space="preserve"> </w:t>
      </w:r>
      <w:r w:rsidR="006F1B17">
        <w:rPr>
          <w:rFonts w:ascii="Garamond" w:hAnsi="Garamond"/>
          <w:sz w:val="24"/>
          <w:szCs w:val="24"/>
        </w:rPr>
        <w:t xml:space="preserve">financial data and </w:t>
      </w:r>
      <w:r w:rsidR="00FD2578">
        <w:rPr>
          <w:rFonts w:ascii="Garamond" w:hAnsi="Garamond"/>
          <w:sz w:val="24"/>
          <w:szCs w:val="24"/>
        </w:rPr>
        <w:t>NESC Management interviews</w:t>
      </w:r>
      <w:r w:rsidR="006F1B17">
        <w:rPr>
          <w:rFonts w:ascii="Garamond" w:hAnsi="Garamond"/>
          <w:sz w:val="24"/>
          <w:szCs w:val="24"/>
        </w:rPr>
        <w:t xml:space="preserve">. </w:t>
      </w:r>
    </w:p>
    <w:p w14:paraId="7C1C1801" w14:textId="77777777" w:rsidR="00414145" w:rsidRDefault="00414145" w:rsidP="00EA38CA">
      <w:pPr>
        <w:spacing w:after="0" w:line="240" w:lineRule="auto"/>
        <w:contextualSpacing/>
        <w:rPr>
          <w:rFonts w:ascii="Garamond" w:hAnsi="Garamond"/>
          <w:sz w:val="24"/>
          <w:szCs w:val="24"/>
        </w:rPr>
      </w:pPr>
    </w:p>
    <w:p w14:paraId="5BF2F56B" w14:textId="08D7CAFA" w:rsidR="00FE48C6" w:rsidRDefault="00ED7418" w:rsidP="00EA38CA">
      <w:pPr>
        <w:spacing w:after="0" w:line="240" w:lineRule="auto"/>
        <w:contextualSpacing/>
        <w:rPr>
          <w:rFonts w:ascii="Garamond" w:hAnsi="Garamond"/>
          <w:sz w:val="24"/>
          <w:szCs w:val="24"/>
        </w:rPr>
      </w:pPr>
      <w:r>
        <w:rPr>
          <w:rFonts w:ascii="Garamond" w:hAnsi="Garamond"/>
          <w:sz w:val="24"/>
          <w:szCs w:val="24"/>
        </w:rPr>
        <w:t xml:space="preserve">The CPA reports that </w:t>
      </w:r>
      <w:r w:rsidR="00C3423F">
        <w:rPr>
          <w:rFonts w:ascii="Garamond" w:hAnsi="Garamond"/>
          <w:sz w:val="24"/>
          <w:szCs w:val="24"/>
        </w:rPr>
        <w:t xml:space="preserve">key </w:t>
      </w:r>
      <w:r w:rsidR="00AB7AC7">
        <w:rPr>
          <w:rFonts w:ascii="Garamond" w:hAnsi="Garamond"/>
          <w:sz w:val="24"/>
          <w:szCs w:val="24"/>
        </w:rPr>
        <w:t xml:space="preserve">revenue variable </w:t>
      </w:r>
      <w:r w:rsidR="00C3423F">
        <w:rPr>
          <w:rFonts w:ascii="Garamond" w:hAnsi="Garamond"/>
          <w:sz w:val="24"/>
          <w:szCs w:val="24"/>
        </w:rPr>
        <w:t xml:space="preserve">considerations were </w:t>
      </w:r>
      <w:r w:rsidR="00F722B1">
        <w:rPr>
          <w:rFonts w:ascii="Garamond" w:hAnsi="Garamond"/>
          <w:sz w:val="24"/>
          <w:szCs w:val="24"/>
        </w:rPr>
        <w:t>changes in utilization demand</w:t>
      </w:r>
      <w:r w:rsidR="00FE3B93">
        <w:rPr>
          <w:rFonts w:ascii="Garamond" w:hAnsi="Garamond"/>
          <w:sz w:val="24"/>
          <w:szCs w:val="24"/>
        </w:rPr>
        <w:t xml:space="preserve"> and </w:t>
      </w:r>
      <w:r w:rsidR="00636C82">
        <w:rPr>
          <w:rFonts w:ascii="Garamond" w:hAnsi="Garamond"/>
          <w:sz w:val="24"/>
          <w:szCs w:val="24"/>
        </w:rPr>
        <w:t xml:space="preserve">market share, and </w:t>
      </w:r>
      <w:r w:rsidR="00FE3B93">
        <w:rPr>
          <w:rFonts w:ascii="Garamond" w:hAnsi="Garamond"/>
          <w:sz w:val="24"/>
          <w:szCs w:val="24"/>
        </w:rPr>
        <w:t>changes in reimbursement yield</w:t>
      </w:r>
      <w:r w:rsidR="00AB7AC7">
        <w:rPr>
          <w:rFonts w:ascii="Garamond" w:hAnsi="Garamond"/>
          <w:sz w:val="24"/>
          <w:szCs w:val="24"/>
        </w:rPr>
        <w:t>.</w:t>
      </w:r>
      <w:r w:rsidR="00FE3B93">
        <w:rPr>
          <w:rFonts w:ascii="Garamond" w:hAnsi="Garamond"/>
          <w:sz w:val="24"/>
          <w:szCs w:val="24"/>
        </w:rPr>
        <w:t xml:space="preserve"> HCC</w:t>
      </w:r>
      <w:r w:rsidR="00804F15">
        <w:rPr>
          <w:rFonts w:ascii="Garamond" w:hAnsi="Garamond"/>
          <w:sz w:val="24"/>
          <w:szCs w:val="24"/>
        </w:rPr>
        <w:t xml:space="preserve"> t</w:t>
      </w:r>
      <w:r w:rsidR="00FE3B93">
        <w:rPr>
          <w:rFonts w:ascii="Garamond" w:hAnsi="Garamond"/>
          <w:sz w:val="24"/>
          <w:szCs w:val="24"/>
        </w:rPr>
        <w:t>ook</w:t>
      </w:r>
      <w:r w:rsidR="00804F15">
        <w:rPr>
          <w:rFonts w:ascii="Garamond" w:hAnsi="Garamond"/>
          <w:sz w:val="24"/>
          <w:szCs w:val="24"/>
        </w:rPr>
        <w:t xml:space="preserve"> a conservative approach to estimating </w:t>
      </w:r>
      <w:r w:rsidR="00FE3B93">
        <w:rPr>
          <w:rFonts w:ascii="Garamond" w:hAnsi="Garamond"/>
          <w:sz w:val="24"/>
          <w:szCs w:val="24"/>
        </w:rPr>
        <w:t>changes in utilization</w:t>
      </w:r>
      <w:r w:rsidR="00804F15">
        <w:rPr>
          <w:rFonts w:ascii="Garamond" w:hAnsi="Garamond"/>
          <w:sz w:val="24"/>
          <w:szCs w:val="24"/>
        </w:rPr>
        <w:t xml:space="preserve"> </w:t>
      </w:r>
      <w:r w:rsidR="00FE3B93">
        <w:rPr>
          <w:rFonts w:ascii="Garamond" w:hAnsi="Garamond"/>
          <w:sz w:val="24"/>
          <w:szCs w:val="24"/>
        </w:rPr>
        <w:t>considering only projected population growth of the market service area and NESC</w:t>
      </w:r>
      <w:r w:rsidR="00734EE3">
        <w:rPr>
          <w:rFonts w:ascii="Garamond" w:hAnsi="Garamond"/>
          <w:sz w:val="24"/>
          <w:szCs w:val="24"/>
        </w:rPr>
        <w:t>’</w:t>
      </w:r>
      <w:r w:rsidR="00FE3B93">
        <w:rPr>
          <w:rFonts w:ascii="Garamond" w:hAnsi="Garamond"/>
          <w:sz w:val="24"/>
          <w:szCs w:val="24"/>
        </w:rPr>
        <w:t>s historical patient age demographics. Changes</w:t>
      </w:r>
      <w:r w:rsidR="00F722B1">
        <w:rPr>
          <w:rFonts w:ascii="Garamond" w:hAnsi="Garamond"/>
          <w:sz w:val="24"/>
          <w:szCs w:val="24"/>
        </w:rPr>
        <w:t xml:space="preserve"> in reimbursement yield</w:t>
      </w:r>
      <w:r w:rsidR="0073770F">
        <w:rPr>
          <w:rFonts w:ascii="Garamond" w:hAnsi="Garamond"/>
          <w:sz w:val="24"/>
          <w:szCs w:val="24"/>
        </w:rPr>
        <w:t xml:space="preserve"> were estimated based on historical per patient revenues</w:t>
      </w:r>
      <w:r w:rsidR="006B292F">
        <w:rPr>
          <w:rFonts w:ascii="Garamond" w:hAnsi="Garamond"/>
          <w:sz w:val="24"/>
          <w:szCs w:val="24"/>
        </w:rPr>
        <w:t xml:space="preserve">. </w:t>
      </w:r>
      <w:r w:rsidR="00CB295D">
        <w:rPr>
          <w:rFonts w:ascii="Garamond" w:hAnsi="Garamond"/>
          <w:sz w:val="24"/>
          <w:szCs w:val="24"/>
        </w:rPr>
        <w:t>C</w:t>
      </w:r>
      <w:r w:rsidR="00C3423F">
        <w:rPr>
          <w:rFonts w:ascii="Garamond" w:hAnsi="Garamond"/>
          <w:sz w:val="24"/>
          <w:szCs w:val="24"/>
        </w:rPr>
        <w:t>hange</w:t>
      </w:r>
      <w:r w:rsidR="00FE3B93">
        <w:rPr>
          <w:rFonts w:ascii="Garamond" w:hAnsi="Garamond"/>
          <w:sz w:val="24"/>
          <w:szCs w:val="24"/>
        </w:rPr>
        <w:t>s</w:t>
      </w:r>
      <w:r w:rsidR="00C3423F">
        <w:rPr>
          <w:rFonts w:ascii="Garamond" w:hAnsi="Garamond"/>
          <w:sz w:val="24"/>
          <w:szCs w:val="24"/>
        </w:rPr>
        <w:t xml:space="preserve"> in reimbursement from Year 1 to Year 5 </w:t>
      </w:r>
      <w:r w:rsidR="00FE3B93">
        <w:rPr>
          <w:rFonts w:ascii="Garamond" w:hAnsi="Garamond"/>
          <w:sz w:val="24"/>
          <w:szCs w:val="24"/>
        </w:rPr>
        <w:t xml:space="preserve">were </w:t>
      </w:r>
      <w:r w:rsidR="00C3423F">
        <w:rPr>
          <w:rFonts w:ascii="Garamond" w:hAnsi="Garamond"/>
          <w:sz w:val="24"/>
          <w:szCs w:val="24"/>
        </w:rPr>
        <w:t>based on proposed Medicare reimbursement fees and projected long-term growth rate of NESC.</w:t>
      </w:r>
      <w:r w:rsidR="007C6D0F">
        <w:rPr>
          <w:rFonts w:ascii="Garamond" w:hAnsi="Garamond"/>
          <w:sz w:val="24"/>
          <w:szCs w:val="24"/>
        </w:rPr>
        <w:t xml:space="preserve"> </w:t>
      </w:r>
      <w:r w:rsidR="00BF6884">
        <w:rPr>
          <w:rFonts w:ascii="Garamond" w:hAnsi="Garamond"/>
          <w:sz w:val="24"/>
          <w:szCs w:val="24"/>
        </w:rPr>
        <w:t>The CPA reports that operating expenses were calculated using historical costs per procedure plus an inflationary factor.</w:t>
      </w:r>
      <w:r w:rsidR="00AB7AC7">
        <w:rPr>
          <w:rStyle w:val="FootnoteReference"/>
          <w:rFonts w:ascii="Garamond" w:hAnsi="Garamond"/>
          <w:sz w:val="24"/>
          <w:szCs w:val="24"/>
        </w:rPr>
        <w:footnoteReference w:id="35"/>
      </w:r>
      <w:r w:rsidR="00BF6884">
        <w:rPr>
          <w:rFonts w:ascii="Garamond" w:hAnsi="Garamond"/>
          <w:sz w:val="24"/>
          <w:szCs w:val="24"/>
        </w:rPr>
        <w:t xml:space="preserve"> </w:t>
      </w:r>
      <w:r w:rsidR="00FE48C6">
        <w:rPr>
          <w:rFonts w:ascii="Garamond" w:hAnsi="Garamond"/>
          <w:sz w:val="24"/>
          <w:szCs w:val="24"/>
        </w:rPr>
        <w:t xml:space="preserve">The CPA reviewed </w:t>
      </w:r>
      <w:r w:rsidR="009E664F">
        <w:rPr>
          <w:rFonts w:ascii="Garamond" w:hAnsi="Garamond"/>
          <w:sz w:val="24"/>
          <w:szCs w:val="24"/>
        </w:rPr>
        <w:t xml:space="preserve">capital expenditure and </w:t>
      </w:r>
      <w:r w:rsidR="00FE48C6">
        <w:rPr>
          <w:rFonts w:ascii="Garamond" w:hAnsi="Garamond"/>
          <w:sz w:val="24"/>
          <w:szCs w:val="24"/>
        </w:rPr>
        <w:t>cash flows</w:t>
      </w:r>
      <w:r w:rsidR="00237E3B">
        <w:rPr>
          <w:rFonts w:ascii="Garamond" w:hAnsi="Garamond"/>
          <w:sz w:val="24"/>
          <w:szCs w:val="24"/>
        </w:rPr>
        <w:t>. T</w:t>
      </w:r>
      <w:r w:rsidR="00FE48C6">
        <w:rPr>
          <w:rFonts w:ascii="Garamond" w:hAnsi="Garamond"/>
          <w:sz w:val="24"/>
          <w:szCs w:val="24"/>
        </w:rPr>
        <w:t xml:space="preserve">he </w:t>
      </w:r>
      <w:r w:rsidR="00237E3B">
        <w:rPr>
          <w:rFonts w:ascii="Garamond" w:hAnsi="Garamond"/>
          <w:sz w:val="24"/>
          <w:szCs w:val="24"/>
        </w:rPr>
        <w:t>P</w:t>
      </w:r>
      <w:r w:rsidR="00FE48C6">
        <w:rPr>
          <w:rFonts w:ascii="Garamond" w:hAnsi="Garamond"/>
          <w:sz w:val="24"/>
          <w:szCs w:val="24"/>
        </w:rPr>
        <w:t>rojections reflect positive cash flows in years 2 through 5</w:t>
      </w:r>
      <w:r w:rsidR="00237E3B">
        <w:rPr>
          <w:rFonts w:ascii="Garamond" w:hAnsi="Garamond"/>
          <w:sz w:val="24"/>
          <w:szCs w:val="24"/>
        </w:rPr>
        <w:t xml:space="preserve"> and </w:t>
      </w:r>
      <w:r w:rsidR="009E664F">
        <w:rPr>
          <w:rFonts w:ascii="Garamond" w:hAnsi="Garamond"/>
          <w:sz w:val="24"/>
          <w:szCs w:val="24"/>
        </w:rPr>
        <w:t xml:space="preserve">adequate levels of capital expenditure necessary for maintenance associated with the expansion. </w:t>
      </w:r>
    </w:p>
    <w:p w14:paraId="40CF18DA" w14:textId="45D2003B" w:rsidR="009E664F" w:rsidRDefault="009E664F" w:rsidP="00EA38CA">
      <w:pPr>
        <w:spacing w:after="0" w:line="240" w:lineRule="auto"/>
        <w:contextualSpacing/>
        <w:rPr>
          <w:rFonts w:ascii="Garamond" w:hAnsi="Garamond"/>
          <w:sz w:val="24"/>
          <w:szCs w:val="24"/>
        </w:rPr>
      </w:pPr>
    </w:p>
    <w:p w14:paraId="7B11A338" w14:textId="51DAB325" w:rsidR="00810069" w:rsidRDefault="009E664F" w:rsidP="00EA38CA">
      <w:pPr>
        <w:spacing w:after="0" w:line="240" w:lineRule="auto"/>
        <w:contextualSpacing/>
        <w:rPr>
          <w:rFonts w:ascii="Garamond" w:hAnsi="Garamond"/>
          <w:sz w:val="24"/>
          <w:szCs w:val="24"/>
        </w:rPr>
      </w:pPr>
      <w:r>
        <w:rPr>
          <w:rFonts w:ascii="Garamond" w:hAnsi="Garamond"/>
          <w:sz w:val="24"/>
          <w:szCs w:val="24"/>
        </w:rPr>
        <w:t xml:space="preserve">The Projections exhibit a cumulative net operating surplus of approximately 19.2% of cumulative projected revenue for the project for the years 2020 through 2024, and the CPA determined that the operating surplus is reasonable and based upon feasible financial assumptions. </w:t>
      </w:r>
      <w:r w:rsidR="00FD4221" w:rsidRPr="00FD4221">
        <w:rPr>
          <w:rFonts w:ascii="Garamond" w:hAnsi="Garamond"/>
          <w:sz w:val="24"/>
          <w:szCs w:val="24"/>
        </w:rPr>
        <w:t xml:space="preserve">As a result of the foregoing, the CPA determined that “the projections are reasonable and feasible, and not likely to have a negative impact on the </w:t>
      </w:r>
      <w:r w:rsidR="003121D1">
        <w:rPr>
          <w:rFonts w:ascii="Garamond" w:hAnsi="Garamond"/>
          <w:sz w:val="24"/>
          <w:szCs w:val="24"/>
        </w:rPr>
        <w:t>P</w:t>
      </w:r>
      <w:r w:rsidR="00FD4221" w:rsidRPr="00FD4221">
        <w:rPr>
          <w:rFonts w:ascii="Garamond" w:hAnsi="Garamond"/>
          <w:sz w:val="24"/>
          <w:szCs w:val="24"/>
        </w:rPr>
        <w:t xml:space="preserve">atient </w:t>
      </w:r>
      <w:r w:rsidR="003121D1">
        <w:rPr>
          <w:rFonts w:ascii="Garamond" w:hAnsi="Garamond"/>
          <w:sz w:val="24"/>
          <w:szCs w:val="24"/>
        </w:rPr>
        <w:t>P</w:t>
      </w:r>
      <w:r w:rsidR="00FD4221" w:rsidRPr="00FD4221">
        <w:rPr>
          <w:rFonts w:ascii="Garamond" w:hAnsi="Garamond"/>
          <w:sz w:val="24"/>
          <w:szCs w:val="24"/>
        </w:rPr>
        <w:t>anel or result in a liquidation of assets.”</w:t>
      </w:r>
    </w:p>
    <w:p w14:paraId="7524BBC7" w14:textId="1B9F4789" w:rsidR="00871D66" w:rsidRPr="00B14EEF" w:rsidRDefault="00871D66" w:rsidP="00B14EEF">
      <w:pPr>
        <w:spacing w:after="0" w:line="240" w:lineRule="auto"/>
        <w:rPr>
          <w:rFonts w:ascii="Garamond" w:hAnsi="Garamond"/>
          <w:b/>
          <w:bCs/>
          <w:i/>
          <w:iCs/>
          <w:sz w:val="24"/>
          <w:szCs w:val="24"/>
        </w:rPr>
      </w:pPr>
    </w:p>
    <w:p w14:paraId="0C632F4C" w14:textId="5CB2AABC" w:rsidR="00871D66" w:rsidRDefault="00871D66" w:rsidP="00B14EEF">
      <w:pPr>
        <w:spacing w:after="0" w:line="240" w:lineRule="auto"/>
        <w:rPr>
          <w:rFonts w:ascii="Garamond" w:hAnsi="Garamond"/>
          <w:sz w:val="24"/>
          <w:szCs w:val="24"/>
        </w:rPr>
      </w:pPr>
      <w:r w:rsidRPr="00B14EEF">
        <w:rPr>
          <w:rFonts w:ascii="Garamond" w:hAnsi="Garamond"/>
          <w:sz w:val="24"/>
          <w:szCs w:val="24"/>
        </w:rPr>
        <w:t>As a result of information provided by the Applicant, staff finds the Applicant has reasonably met the standards of Factor 4.</w:t>
      </w:r>
    </w:p>
    <w:p w14:paraId="2B8CAD73" w14:textId="77777777" w:rsidR="00B14EEF" w:rsidRPr="00B14EEF" w:rsidRDefault="00B14EEF" w:rsidP="00B14EEF">
      <w:pPr>
        <w:spacing w:after="0" w:line="240" w:lineRule="auto"/>
        <w:rPr>
          <w:rFonts w:ascii="Garamond" w:hAnsi="Garamond"/>
          <w:sz w:val="24"/>
          <w:szCs w:val="24"/>
        </w:rPr>
      </w:pPr>
    </w:p>
    <w:p w14:paraId="3477769D" w14:textId="30749EF8" w:rsidR="00664E2C" w:rsidRDefault="0012392C" w:rsidP="00810069">
      <w:pPr>
        <w:pStyle w:val="Heading1"/>
        <w:spacing w:before="0" w:line="240" w:lineRule="auto"/>
        <w:ind w:left="-360" w:firstLine="360"/>
        <w:contextualSpacing/>
        <w:rPr>
          <w:rFonts w:ascii="Garamond" w:hAnsi="Garamond"/>
        </w:rPr>
      </w:pPr>
      <w:bookmarkStart w:id="213" w:name="_Toc30593461"/>
      <w:bookmarkStart w:id="214" w:name="_Toc58960224"/>
      <w:bookmarkStart w:id="215" w:name="_Toc29755691"/>
      <w:bookmarkStart w:id="216" w:name="_Toc29755729"/>
      <w:r w:rsidRPr="00C867B4">
        <w:rPr>
          <w:rFonts w:ascii="Garamond" w:hAnsi="Garamond"/>
        </w:rPr>
        <w:t>Factor 5: Assessment of the Proposed Project’s Relative Merit</w:t>
      </w:r>
      <w:bookmarkStart w:id="217" w:name="_Toc17151192"/>
      <w:bookmarkStart w:id="218" w:name="_Toc17322410"/>
      <w:bookmarkEnd w:id="213"/>
      <w:bookmarkEnd w:id="214"/>
      <w:r w:rsidR="002C45B4" w:rsidRPr="00C867B4">
        <w:rPr>
          <w:rFonts w:ascii="Garamond" w:hAnsi="Garamond"/>
        </w:rPr>
        <w:t xml:space="preserve"> </w:t>
      </w:r>
    </w:p>
    <w:p w14:paraId="7E729DE5" w14:textId="797F1DCB" w:rsidR="00100B42" w:rsidRPr="00100B42" w:rsidRDefault="009B0723" w:rsidP="00C80E64">
      <w:pPr>
        <w:spacing w:line="240" w:lineRule="auto"/>
        <w:rPr>
          <w:rFonts w:ascii="Garamond" w:hAnsi="Garamond"/>
          <w:sz w:val="24"/>
          <w:szCs w:val="24"/>
        </w:rPr>
      </w:pPr>
      <w:r>
        <w:rPr>
          <w:rFonts w:ascii="Garamond" w:hAnsi="Garamond"/>
          <w:sz w:val="24"/>
          <w:szCs w:val="24"/>
        </w:rPr>
        <w:t xml:space="preserve">The Applicant </w:t>
      </w:r>
      <w:r w:rsidR="00F507F5">
        <w:rPr>
          <w:rFonts w:ascii="Garamond" w:hAnsi="Garamond"/>
          <w:sz w:val="24"/>
          <w:szCs w:val="24"/>
        </w:rPr>
        <w:t xml:space="preserve">compares the </w:t>
      </w:r>
      <w:r w:rsidR="00B66506">
        <w:rPr>
          <w:rFonts w:ascii="Garamond" w:hAnsi="Garamond"/>
          <w:sz w:val="24"/>
          <w:szCs w:val="24"/>
        </w:rPr>
        <w:t>P</w:t>
      </w:r>
      <w:r w:rsidR="00F507F5">
        <w:rPr>
          <w:rFonts w:ascii="Garamond" w:hAnsi="Garamond"/>
          <w:sz w:val="24"/>
          <w:szCs w:val="24"/>
        </w:rPr>
        <w:t>roposed</w:t>
      </w:r>
      <w:r w:rsidR="006F3569">
        <w:rPr>
          <w:rFonts w:ascii="Garamond" w:hAnsi="Garamond"/>
          <w:sz w:val="24"/>
          <w:szCs w:val="24"/>
        </w:rPr>
        <w:t xml:space="preserve"> </w:t>
      </w:r>
      <w:r w:rsidR="00B66506">
        <w:rPr>
          <w:rFonts w:ascii="Garamond" w:hAnsi="Garamond"/>
          <w:sz w:val="24"/>
          <w:szCs w:val="24"/>
        </w:rPr>
        <w:t>P</w:t>
      </w:r>
      <w:r w:rsidR="00F507F5">
        <w:rPr>
          <w:rFonts w:ascii="Garamond" w:hAnsi="Garamond"/>
          <w:sz w:val="24"/>
          <w:szCs w:val="24"/>
        </w:rPr>
        <w:t xml:space="preserve">roject to the alternative of </w:t>
      </w:r>
      <w:r w:rsidR="000764E9" w:rsidRPr="00100B42">
        <w:rPr>
          <w:rFonts w:ascii="Garamond" w:hAnsi="Garamond"/>
          <w:sz w:val="24"/>
          <w:szCs w:val="24"/>
        </w:rPr>
        <w:t xml:space="preserve">continuing operations within the existing configuration of </w:t>
      </w:r>
      <w:r w:rsidR="00323247">
        <w:rPr>
          <w:rFonts w:ascii="Garamond" w:hAnsi="Garamond"/>
          <w:sz w:val="24"/>
          <w:szCs w:val="24"/>
        </w:rPr>
        <w:t>the facility</w:t>
      </w:r>
      <w:r w:rsidR="000764E9" w:rsidRPr="00100B42">
        <w:rPr>
          <w:rFonts w:ascii="Garamond" w:hAnsi="Garamond"/>
          <w:sz w:val="24"/>
          <w:szCs w:val="24"/>
        </w:rPr>
        <w:t xml:space="preserve">. </w:t>
      </w:r>
      <w:r w:rsidR="00F507F5">
        <w:rPr>
          <w:rFonts w:ascii="Garamond" w:hAnsi="Garamond"/>
          <w:sz w:val="24"/>
          <w:szCs w:val="24"/>
        </w:rPr>
        <w:t>Th</w:t>
      </w:r>
      <w:r w:rsidR="002E6A24">
        <w:rPr>
          <w:rFonts w:ascii="Garamond" w:hAnsi="Garamond"/>
          <w:sz w:val="24"/>
          <w:szCs w:val="24"/>
        </w:rPr>
        <w:t xml:space="preserve">e Applicant dismissed this alternative because the </w:t>
      </w:r>
      <w:r w:rsidR="002E6A24" w:rsidRPr="002E6A24">
        <w:rPr>
          <w:rFonts w:ascii="Garamond" w:hAnsi="Garamond"/>
          <w:sz w:val="24"/>
          <w:szCs w:val="24"/>
        </w:rPr>
        <w:t>clinical and operational inefficiencies resulting from a lack of an additional OR</w:t>
      </w:r>
      <w:r w:rsidR="006F3569">
        <w:rPr>
          <w:rFonts w:ascii="Garamond" w:hAnsi="Garamond"/>
          <w:sz w:val="24"/>
          <w:szCs w:val="24"/>
        </w:rPr>
        <w:t xml:space="preserve"> capacity</w:t>
      </w:r>
      <w:r w:rsidR="002E6A24" w:rsidRPr="002E6A24">
        <w:rPr>
          <w:rFonts w:ascii="Garamond" w:hAnsi="Garamond"/>
          <w:sz w:val="24"/>
          <w:szCs w:val="24"/>
        </w:rPr>
        <w:t xml:space="preserve"> would persist</w:t>
      </w:r>
      <w:r w:rsidR="00F507F5">
        <w:rPr>
          <w:rFonts w:ascii="Garamond" w:hAnsi="Garamond"/>
          <w:sz w:val="24"/>
          <w:szCs w:val="24"/>
        </w:rPr>
        <w:t xml:space="preserve"> </w:t>
      </w:r>
      <w:r w:rsidR="002E6A24">
        <w:rPr>
          <w:rFonts w:ascii="Garamond" w:hAnsi="Garamond"/>
          <w:sz w:val="24"/>
          <w:szCs w:val="24"/>
        </w:rPr>
        <w:t>and could</w:t>
      </w:r>
      <w:r w:rsidR="00F507F5">
        <w:rPr>
          <w:rFonts w:ascii="Garamond" w:hAnsi="Garamond"/>
          <w:sz w:val="24"/>
          <w:szCs w:val="24"/>
        </w:rPr>
        <w:t xml:space="preserve"> r</w:t>
      </w:r>
      <w:r w:rsidR="000764E9" w:rsidRPr="00100B42">
        <w:rPr>
          <w:rFonts w:ascii="Garamond" w:hAnsi="Garamond"/>
          <w:sz w:val="24"/>
          <w:szCs w:val="24"/>
        </w:rPr>
        <w:t>esult in cases being turned away to a higher cost HOPD</w:t>
      </w:r>
      <w:r w:rsidR="00F507F5">
        <w:rPr>
          <w:rFonts w:ascii="Garamond" w:hAnsi="Garamond"/>
          <w:sz w:val="24"/>
          <w:szCs w:val="24"/>
        </w:rPr>
        <w:t xml:space="preserve"> </w:t>
      </w:r>
      <w:r w:rsidR="002E6A24">
        <w:rPr>
          <w:rFonts w:ascii="Garamond" w:hAnsi="Garamond"/>
          <w:sz w:val="24"/>
          <w:szCs w:val="24"/>
        </w:rPr>
        <w:t xml:space="preserve">where </w:t>
      </w:r>
      <w:r w:rsidR="000764E9" w:rsidRPr="00100B42">
        <w:rPr>
          <w:rFonts w:ascii="Garamond" w:hAnsi="Garamond"/>
          <w:sz w:val="24"/>
          <w:szCs w:val="24"/>
        </w:rPr>
        <w:t xml:space="preserve">costs to </w:t>
      </w:r>
      <w:r w:rsidR="00965E98">
        <w:rPr>
          <w:rFonts w:ascii="Garamond" w:hAnsi="Garamond"/>
          <w:sz w:val="24"/>
          <w:szCs w:val="24"/>
        </w:rPr>
        <w:t xml:space="preserve">the </w:t>
      </w:r>
      <w:r w:rsidR="000764E9" w:rsidRPr="00100B42">
        <w:rPr>
          <w:rFonts w:ascii="Garamond" w:hAnsi="Garamond"/>
          <w:sz w:val="24"/>
          <w:szCs w:val="24"/>
        </w:rPr>
        <w:t xml:space="preserve">patient, </w:t>
      </w:r>
      <w:r w:rsidR="00522ECB" w:rsidRPr="00100B42">
        <w:rPr>
          <w:rFonts w:ascii="Garamond" w:hAnsi="Garamond"/>
          <w:sz w:val="24"/>
          <w:szCs w:val="24"/>
        </w:rPr>
        <w:t>M</w:t>
      </w:r>
      <w:r w:rsidR="000764E9" w:rsidRPr="00100B42">
        <w:rPr>
          <w:rFonts w:ascii="Garamond" w:hAnsi="Garamond"/>
          <w:sz w:val="24"/>
          <w:szCs w:val="24"/>
        </w:rPr>
        <w:t>edicare and other insurers</w:t>
      </w:r>
      <w:r w:rsidR="002E6A24">
        <w:rPr>
          <w:rFonts w:ascii="Garamond" w:hAnsi="Garamond"/>
          <w:sz w:val="24"/>
          <w:szCs w:val="24"/>
        </w:rPr>
        <w:t xml:space="preserve"> can increase. </w:t>
      </w:r>
    </w:p>
    <w:p w14:paraId="0FCD2640" w14:textId="36A9EAFB" w:rsidR="000502E2" w:rsidRDefault="00664E2C" w:rsidP="00C80E64">
      <w:pPr>
        <w:spacing w:line="240" w:lineRule="auto"/>
        <w:rPr>
          <w:rFonts w:ascii="Garamond" w:hAnsi="Garamond"/>
          <w:b/>
          <w:bCs/>
          <w:sz w:val="24"/>
          <w:szCs w:val="24"/>
        </w:rPr>
      </w:pPr>
      <w:r w:rsidRPr="007A57C4">
        <w:rPr>
          <w:rFonts w:ascii="Garamond" w:hAnsi="Garamond"/>
          <w:b/>
          <w:bCs/>
          <w:sz w:val="24"/>
          <w:szCs w:val="24"/>
        </w:rPr>
        <w:lastRenderedPageBreak/>
        <w:t>Staff agrees that</w:t>
      </w:r>
      <w:r w:rsidR="002F08FD">
        <w:rPr>
          <w:rFonts w:ascii="Garamond" w:hAnsi="Garamond"/>
          <w:b/>
          <w:bCs/>
          <w:sz w:val="24"/>
          <w:szCs w:val="24"/>
        </w:rPr>
        <w:t xml:space="preserve"> </w:t>
      </w:r>
      <w:r w:rsidR="002F08FD" w:rsidRPr="002F08FD">
        <w:rPr>
          <w:rFonts w:ascii="Garamond" w:hAnsi="Garamond"/>
          <w:sz w:val="24"/>
          <w:szCs w:val="24"/>
        </w:rPr>
        <w:t xml:space="preserve">the above </w:t>
      </w:r>
      <w:r w:rsidR="00323247">
        <w:rPr>
          <w:rFonts w:ascii="Garamond" w:hAnsi="Garamond"/>
          <w:sz w:val="24"/>
          <w:szCs w:val="24"/>
        </w:rPr>
        <w:t xml:space="preserve">alternative </w:t>
      </w:r>
      <w:r w:rsidR="000523D7">
        <w:rPr>
          <w:rFonts w:ascii="Garamond" w:hAnsi="Garamond"/>
          <w:sz w:val="24"/>
          <w:szCs w:val="24"/>
        </w:rPr>
        <w:t xml:space="preserve">of maintaining the status quo </w:t>
      </w:r>
      <w:r w:rsidR="002F08FD" w:rsidRPr="002F08FD">
        <w:rPr>
          <w:rFonts w:ascii="Garamond" w:hAnsi="Garamond"/>
          <w:sz w:val="24"/>
          <w:szCs w:val="24"/>
        </w:rPr>
        <w:t>will not adequately address Patient Panel need for high-quality</w:t>
      </w:r>
      <w:r w:rsidR="000523D7">
        <w:rPr>
          <w:rFonts w:ascii="Garamond" w:hAnsi="Garamond"/>
          <w:sz w:val="24"/>
          <w:szCs w:val="24"/>
        </w:rPr>
        <w:t xml:space="preserve"> and convenient </w:t>
      </w:r>
      <w:r w:rsidR="006F3569">
        <w:rPr>
          <w:rFonts w:ascii="Garamond" w:hAnsi="Garamond"/>
          <w:sz w:val="24"/>
          <w:szCs w:val="24"/>
        </w:rPr>
        <w:t xml:space="preserve">access to outpatient </w:t>
      </w:r>
      <w:r w:rsidR="000523D7">
        <w:rPr>
          <w:rFonts w:ascii="Garamond" w:hAnsi="Garamond"/>
          <w:sz w:val="24"/>
          <w:szCs w:val="24"/>
        </w:rPr>
        <w:t>surgical services</w:t>
      </w:r>
      <w:r w:rsidR="002F08FD" w:rsidRPr="002F08FD">
        <w:rPr>
          <w:rFonts w:ascii="Garamond" w:hAnsi="Garamond"/>
          <w:sz w:val="24"/>
          <w:szCs w:val="24"/>
        </w:rPr>
        <w:t>. As a</w:t>
      </w:r>
      <w:r w:rsidR="002F08FD">
        <w:rPr>
          <w:rFonts w:ascii="Garamond" w:hAnsi="Garamond"/>
          <w:b/>
          <w:bCs/>
          <w:sz w:val="24"/>
          <w:szCs w:val="24"/>
        </w:rPr>
        <w:t xml:space="preserve"> </w:t>
      </w:r>
      <w:r w:rsidR="002F08FD" w:rsidRPr="002F08FD">
        <w:rPr>
          <w:rFonts w:ascii="Garamond" w:hAnsi="Garamond"/>
          <w:sz w:val="24"/>
          <w:szCs w:val="24"/>
        </w:rPr>
        <w:t>result of</w:t>
      </w:r>
      <w:r w:rsidR="006F3569">
        <w:rPr>
          <w:rFonts w:ascii="Garamond" w:hAnsi="Garamond"/>
          <w:sz w:val="24"/>
          <w:szCs w:val="24"/>
        </w:rPr>
        <w:t xml:space="preserve"> </w:t>
      </w:r>
      <w:r w:rsidR="002F08FD" w:rsidRPr="002F08FD">
        <w:rPr>
          <w:rFonts w:ascii="Garamond" w:hAnsi="Garamond"/>
          <w:sz w:val="24"/>
          <w:szCs w:val="24"/>
        </w:rPr>
        <w:t>information provided by the Applicant and additional analysis, staff finds the Applicant has</w:t>
      </w:r>
      <w:r w:rsidR="002F08FD">
        <w:rPr>
          <w:rFonts w:ascii="Garamond" w:hAnsi="Garamond"/>
          <w:b/>
          <w:bCs/>
          <w:sz w:val="24"/>
          <w:szCs w:val="24"/>
        </w:rPr>
        <w:t xml:space="preserve"> </w:t>
      </w:r>
      <w:r w:rsidR="002F08FD" w:rsidRPr="002F08FD">
        <w:rPr>
          <w:rFonts w:ascii="Garamond" w:hAnsi="Garamond"/>
          <w:sz w:val="24"/>
          <w:szCs w:val="24"/>
        </w:rPr>
        <w:t>reasonably met the standards of Factor 5.</w:t>
      </w:r>
    </w:p>
    <w:p w14:paraId="024F6312" w14:textId="77777777" w:rsidR="00B22361" w:rsidRDefault="00B22361" w:rsidP="00810069">
      <w:pPr>
        <w:pStyle w:val="Heading1"/>
        <w:spacing w:before="0" w:line="240" w:lineRule="auto"/>
        <w:ind w:left="-360" w:firstLine="360"/>
        <w:contextualSpacing/>
        <w:rPr>
          <w:rFonts w:ascii="Garamond" w:eastAsia="Times New Roman" w:hAnsi="Garamond"/>
        </w:rPr>
      </w:pPr>
      <w:bookmarkStart w:id="219" w:name="_Toc30593462"/>
    </w:p>
    <w:p w14:paraId="068B047B" w14:textId="669BCE8A" w:rsidR="00191B8C" w:rsidRPr="00C867B4" w:rsidRDefault="00323247" w:rsidP="00810069">
      <w:pPr>
        <w:pStyle w:val="Heading1"/>
        <w:spacing w:before="0" w:line="240" w:lineRule="auto"/>
        <w:ind w:left="-360" w:firstLine="360"/>
        <w:contextualSpacing/>
        <w:rPr>
          <w:rFonts w:ascii="Garamond" w:hAnsi="Garamond"/>
        </w:rPr>
      </w:pPr>
      <w:bookmarkStart w:id="220" w:name="_Toc58960225"/>
      <w:r>
        <w:rPr>
          <w:rFonts w:ascii="Garamond" w:eastAsia="Times New Roman" w:hAnsi="Garamond"/>
        </w:rPr>
        <w:t>F</w:t>
      </w:r>
      <w:r w:rsidR="00191B8C" w:rsidRPr="00C867B4">
        <w:rPr>
          <w:rFonts w:ascii="Garamond" w:eastAsia="Times New Roman" w:hAnsi="Garamond"/>
        </w:rPr>
        <w:t>actor 6: Fulfillment of DPH Community-based Health Initiatives Guideline</w:t>
      </w:r>
      <w:bookmarkEnd w:id="215"/>
      <w:bookmarkEnd w:id="216"/>
      <w:bookmarkEnd w:id="219"/>
      <w:bookmarkEnd w:id="220"/>
      <w:r w:rsidR="00191B8C" w:rsidRPr="00C867B4">
        <w:rPr>
          <w:rFonts w:ascii="Garamond" w:eastAsia="Times New Roman" w:hAnsi="Garamond"/>
        </w:rPr>
        <w:t xml:space="preserve"> </w:t>
      </w:r>
    </w:p>
    <w:p w14:paraId="6B07E943" w14:textId="77777777" w:rsidR="002F24F8" w:rsidRDefault="002F24F8" w:rsidP="002F24F8">
      <w:pPr>
        <w:shd w:val="clear" w:color="auto" w:fill="FFFFFF"/>
        <w:spacing w:after="0" w:line="240" w:lineRule="auto"/>
        <w:rPr>
          <w:rFonts w:ascii="Garamond" w:eastAsia="Times New Roman" w:hAnsi="Garamond" w:cs="Calibri"/>
          <w:color w:val="000000"/>
          <w:sz w:val="24"/>
          <w:szCs w:val="24"/>
        </w:rPr>
      </w:pPr>
      <w:bookmarkStart w:id="221" w:name="_Toc29755693"/>
      <w:bookmarkEnd w:id="217"/>
      <w:bookmarkEnd w:id="218"/>
    </w:p>
    <w:p w14:paraId="1337D953" w14:textId="5A388D04" w:rsidR="002F24F8" w:rsidRPr="002F24F8" w:rsidRDefault="002F24F8" w:rsidP="002F24F8">
      <w:pPr>
        <w:shd w:val="clear" w:color="auto" w:fill="FFFFFF"/>
        <w:spacing w:after="0" w:line="240" w:lineRule="auto"/>
        <w:rPr>
          <w:rFonts w:ascii="Garamond" w:eastAsia="Times New Roman" w:hAnsi="Garamond" w:cs="Calibri"/>
          <w:color w:val="000000"/>
          <w:sz w:val="24"/>
          <w:szCs w:val="24"/>
        </w:rPr>
      </w:pPr>
      <w:r w:rsidRPr="002F24F8">
        <w:rPr>
          <w:rFonts w:ascii="Garamond" w:eastAsia="Times New Roman" w:hAnsi="Garamond" w:cs="Calibri"/>
          <w:color w:val="000000"/>
          <w:sz w:val="24"/>
          <w:szCs w:val="24"/>
        </w:rPr>
        <w:t xml:space="preserve">It is the intent of the relevant Guidelines which implement </w:t>
      </w:r>
      <w:r>
        <w:rPr>
          <w:rFonts w:ascii="Garamond" w:eastAsia="Times New Roman" w:hAnsi="Garamond" w:cs="Calibri"/>
          <w:color w:val="000000"/>
          <w:sz w:val="24"/>
          <w:szCs w:val="24"/>
        </w:rPr>
        <w:t>F</w:t>
      </w:r>
      <w:r w:rsidRPr="002F24F8">
        <w:rPr>
          <w:rFonts w:ascii="Garamond" w:eastAsia="Times New Roman" w:hAnsi="Garamond" w:cs="Calibri"/>
          <w:color w:val="000000"/>
          <w:sz w:val="24"/>
          <w:szCs w:val="24"/>
        </w:rPr>
        <w:t xml:space="preserve">actor 6 to build on, and make use of, the CHNA/CHIPs supported as part of the AGO’s Community Benefits Guidelines and/or federal IRS requirements for community benefits reporting routine community health planning activities required by IRS. It is not the intent of the Regulation or these Guidelines for any entity applying for a DoN to embark upon a separate, stand-alone Community Health Needs Assessment. Because the Applicant is not required to and otherwise does not conduct regular CHNAs/ CHIPs to fulfill standards set by the IRS or the AGO’s Community Benefits program the CHI contribution shall be made to the CHI Statewide Initiative. In compliance with Factor 6 of the </w:t>
      </w:r>
      <w:r w:rsidR="00402A54">
        <w:rPr>
          <w:rFonts w:ascii="Garamond" w:eastAsia="Times New Roman" w:hAnsi="Garamond" w:cs="Calibri"/>
          <w:color w:val="000000"/>
          <w:sz w:val="24"/>
          <w:szCs w:val="24"/>
        </w:rPr>
        <w:t>r</w:t>
      </w:r>
      <w:r w:rsidRPr="002F24F8">
        <w:rPr>
          <w:rFonts w:ascii="Garamond" w:eastAsia="Times New Roman" w:hAnsi="Garamond" w:cs="Calibri"/>
          <w:color w:val="000000"/>
          <w:sz w:val="24"/>
          <w:szCs w:val="24"/>
        </w:rPr>
        <w:t xml:space="preserve">egulations, as a </w:t>
      </w:r>
      <w:r w:rsidR="00402A54">
        <w:rPr>
          <w:rFonts w:ascii="Garamond" w:eastAsia="Times New Roman" w:hAnsi="Garamond" w:cs="Calibri"/>
          <w:color w:val="000000"/>
          <w:sz w:val="24"/>
          <w:szCs w:val="24"/>
        </w:rPr>
        <w:t>c</w:t>
      </w:r>
      <w:r w:rsidRPr="002F24F8">
        <w:rPr>
          <w:rFonts w:ascii="Garamond" w:eastAsia="Times New Roman" w:hAnsi="Garamond" w:cs="Calibri"/>
          <w:color w:val="000000"/>
          <w:sz w:val="24"/>
          <w:szCs w:val="24"/>
        </w:rPr>
        <w:t xml:space="preserve">ondition of approval, the Applicant will make payment in the amount of $79,382.30 (5% of the </w:t>
      </w:r>
      <w:r w:rsidR="00575D6F">
        <w:rPr>
          <w:rFonts w:ascii="Garamond" w:eastAsia="Times New Roman" w:hAnsi="Garamond" w:cs="Calibri"/>
          <w:color w:val="000000"/>
          <w:sz w:val="24"/>
          <w:szCs w:val="24"/>
        </w:rPr>
        <w:t>T</w:t>
      </w:r>
      <w:r w:rsidRPr="002F24F8">
        <w:rPr>
          <w:rFonts w:ascii="Garamond" w:eastAsia="Times New Roman" w:hAnsi="Garamond" w:cs="Calibri"/>
          <w:color w:val="000000"/>
          <w:sz w:val="24"/>
          <w:szCs w:val="24"/>
        </w:rPr>
        <w:t xml:space="preserve">otal </w:t>
      </w:r>
      <w:r w:rsidR="00402A54">
        <w:rPr>
          <w:rFonts w:ascii="Garamond" w:eastAsia="Times New Roman" w:hAnsi="Garamond" w:cs="Calibri"/>
          <w:color w:val="000000"/>
          <w:sz w:val="24"/>
          <w:szCs w:val="24"/>
        </w:rPr>
        <w:t>Value</w:t>
      </w:r>
      <w:r w:rsidRPr="002F24F8">
        <w:rPr>
          <w:rFonts w:ascii="Garamond" w:eastAsia="Times New Roman" w:hAnsi="Garamond" w:cs="Calibri"/>
          <w:color w:val="000000"/>
          <w:sz w:val="24"/>
          <w:szCs w:val="24"/>
        </w:rPr>
        <w:t xml:space="preserve"> of the Proposed Project) to the DoN fund for Community Health Initiative Statewide Initiative pursuant to 105 CMR 100.210(6).</w:t>
      </w:r>
    </w:p>
    <w:p w14:paraId="4F2A1853" w14:textId="6B8D7D0E" w:rsidR="008E2CAB" w:rsidRPr="000369E7" w:rsidRDefault="00E25270" w:rsidP="008E2CAB">
      <w:pPr>
        <w:pStyle w:val="Heading1"/>
        <w:spacing w:line="240" w:lineRule="auto"/>
        <w:rPr>
          <w:rFonts w:ascii="Garamond" w:hAnsi="Garamond"/>
        </w:rPr>
      </w:pPr>
      <w:bookmarkStart w:id="222" w:name="_Toc46169309"/>
      <w:bookmarkStart w:id="223" w:name="_Toc58960226"/>
      <w:r w:rsidRPr="000369E7">
        <w:rPr>
          <w:rFonts w:ascii="Garamond" w:hAnsi="Garamond"/>
        </w:rPr>
        <w:t>F</w:t>
      </w:r>
      <w:r w:rsidR="008E2CAB" w:rsidRPr="000369E7">
        <w:rPr>
          <w:rFonts w:ascii="Garamond" w:hAnsi="Garamond"/>
        </w:rPr>
        <w:t>indings and Recommendations</w:t>
      </w:r>
      <w:bookmarkEnd w:id="222"/>
      <w:bookmarkEnd w:id="223"/>
    </w:p>
    <w:p w14:paraId="7FBCA88F" w14:textId="152C8289" w:rsidR="005D09E5" w:rsidRPr="005D09E5" w:rsidRDefault="005D09E5" w:rsidP="005D09E5">
      <w:pPr>
        <w:spacing w:line="240" w:lineRule="auto"/>
        <w:rPr>
          <w:rFonts w:ascii="Garamond" w:hAnsi="Garamond"/>
          <w:sz w:val="24"/>
          <w:szCs w:val="24"/>
        </w:rPr>
      </w:pPr>
      <w:bookmarkStart w:id="224" w:name="_Toc23157993"/>
      <w:bookmarkStart w:id="225" w:name="_Toc23323259"/>
      <w:bookmarkStart w:id="226" w:name="_Toc23324264"/>
      <w:bookmarkStart w:id="227" w:name="_Toc23424546"/>
      <w:bookmarkEnd w:id="221"/>
      <w:r w:rsidRPr="005D09E5">
        <w:rPr>
          <w:rFonts w:ascii="Garamond" w:hAnsi="Garamond"/>
          <w:sz w:val="24"/>
          <w:szCs w:val="24"/>
        </w:rPr>
        <w:t xml:space="preserve">Based upon a review of the materials submitted, Staff finds that, with the addition of the recommended </w:t>
      </w:r>
      <w:r w:rsidR="009F39D8">
        <w:rPr>
          <w:rFonts w:ascii="Garamond" w:hAnsi="Garamond"/>
          <w:sz w:val="24"/>
          <w:szCs w:val="24"/>
        </w:rPr>
        <w:t>C</w:t>
      </w:r>
      <w:r w:rsidRPr="005D09E5">
        <w:rPr>
          <w:rFonts w:ascii="Garamond" w:hAnsi="Garamond"/>
          <w:sz w:val="24"/>
          <w:szCs w:val="24"/>
        </w:rPr>
        <w:t>ondition detailed below, the Applicant has met each DoN Factor for the Proposed Project, and recommends that the Department approve this Determination of Need, subject to all applicable Standard and Other Conditions.</w:t>
      </w:r>
    </w:p>
    <w:p w14:paraId="098DC9B9" w14:textId="128C6A27" w:rsidR="002F24F8" w:rsidRPr="002F24F8" w:rsidRDefault="002F24F8" w:rsidP="002F24F8">
      <w:pPr>
        <w:pStyle w:val="Heading1"/>
        <w:rPr>
          <w:rFonts w:ascii="Garamond" w:hAnsi="Garamond"/>
        </w:rPr>
      </w:pPr>
      <w:bookmarkStart w:id="228" w:name="_Toc58960227"/>
      <w:r w:rsidRPr="002F24F8">
        <w:rPr>
          <w:rFonts w:ascii="Garamond" w:hAnsi="Garamond"/>
        </w:rPr>
        <w:t>Other Conditions</w:t>
      </w:r>
      <w:bookmarkEnd w:id="228"/>
    </w:p>
    <w:p w14:paraId="3F9340AE" w14:textId="12203D28" w:rsidR="002F24F8" w:rsidRPr="005D09E5" w:rsidRDefault="002F24F8" w:rsidP="005D09E5">
      <w:pPr>
        <w:pStyle w:val="ListParagraph"/>
        <w:numPr>
          <w:ilvl w:val="0"/>
          <w:numId w:val="16"/>
        </w:numPr>
        <w:shd w:val="clear" w:color="auto" w:fill="FFFFFF"/>
        <w:spacing w:after="0" w:line="240" w:lineRule="auto"/>
        <w:ind w:left="648"/>
        <w:rPr>
          <w:rFonts w:ascii="Garamond" w:eastAsia="Times New Roman" w:hAnsi="Garamond" w:cs="Calibri"/>
          <w:color w:val="000000"/>
          <w:sz w:val="24"/>
          <w:szCs w:val="24"/>
        </w:rPr>
      </w:pPr>
      <w:r w:rsidRPr="005D09E5">
        <w:rPr>
          <w:rFonts w:ascii="Garamond" w:eastAsia="Times New Roman" w:hAnsi="Garamond" w:cs="Calibri"/>
          <w:color w:val="000000"/>
          <w:sz w:val="24"/>
          <w:szCs w:val="24"/>
        </w:rPr>
        <w:t>Of the total required CHI contribution of $79,382.30</w:t>
      </w:r>
    </w:p>
    <w:p w14:paraId="0CB45DDA" w14:textId="77777777" w:rsidR="005D09E5" w:rsidRDefault="002F24F8" w:rsidP="005D09E5">
      <w:pPr>
        <w:pStyle w:val="ListParagraph"/>
        <w:numPr>
          <w:ilvl w:val="1"/>
          <w:numId w:val="4"/>
        </w:numPr>
        <w:shd w:val="clear" w:color="auto" w:fill="FFFFFF"/>
        <w:spacing w:after="0" w:line="240" w:lineRule="auto"/>
        <w:ind w:left="1080"/>
        <w:rPr>
          <w:rFonts w:ascii="Garamond" w:eastAsia="Times New Roman" w:hAnsi="Garamond" w:cs="Calibri"/>
          <w:color w:val="000000"/>
          <w:sz w:val="24"/>
          <w:szCs w:val="24"/>
        </w:rPr>
      </w:pPr>
      <w:r w:rsidRPr="005D09E5">
        <w:rPr>
          <w:rFonts w:ascii="Garamond" w:eastAsia="Times New Roman" w:hAnsi="Garamond" w:cs="Calibri"/>
          <w:color w:val="000000"/>
          <w:sz w:val="24"/>
          <w:szCs w:val="24"/>
        </w:rPr>
        <w:t>$79,382.30 will be directed to the CHI Statewide Initiative paid in two equal installments to Health Resources in Action (HRiA) (the fiscal agent for the CHI Statewide Initiative)</w:t>
      </w:r>
    </w:p>
    <w:p w14:paraId="62209E8E" w14:textId="77777777" w:rsidR="005D09E5" w:rsidRDefault="002F24F8" w:rsidP="005D09E5">
      <w:pPr>
        <w:pStyle w:val="ListParagraph"/>
        <w:numPr>
          <w:ilvl w:val="2"/>
          <w:numId w:val="4"/>
        </w:numPr>
        <w:shd w:val="clear" w:color="auto" w:fill="FFFFFF"/>
        <w:spacing w:after="0" w:line="240" w:lineRule="auto"/>
        <w:ind w:left="1620"/>
        <w:rPr>
          <w:rFonts w:ascii="Garamond" w:eastAsia="Times New Roman" w:hAnsi="Garamond" w:cs="Calibri"/>
          <w:color w:val="000000"/>
          <w:sz w:val="24"/>
          <w:szCs w:val="24"/>
        </w:rPr>
      </w:pPr>
      <w:r w:rsidRPr="005D09E5">
        <w:rPr>
          <w:rFonts w:ascii="Garamond" w:eastAsia="Times New Roman" w:hAnsi="Garamond" w:cs="Calibri"/>
          <w:color w:val="000000"/>
          <w:sz w:val="24"/>
          <w:szCs w:val="24"/>
        </w:rPr>
        <w:t>The Holder must submit $39,691.15 to HRiA within 30 days from the date of the Notice of Approval.</w:t>
      </w:r>
    </w:p>
    <w:p w14:paraId="43762DB2" w14:textId="77777777" w:rsidR="005D09E5" w:rsidRDefault="002F24F8" w:rsidP="005D09E5">
      <w:pPr>
        <w:pStyle w:val="ListParagraph"/>
        <w:numPr>
          <w:ilvl w:val="2"/>
          <w:numId w:val="4"/>
        </w:numPr>
        <w:shd w:val="clear" w:color="auto" w:fill="FFFFFF"/>
        <w:spacing w:after="0" w:line="240" w:lineRule="auto"/>
        <w:ind w:left="1620"/>
        <w:rPr>
          <w:rFonts w:ascii="Garamond" w:eastAsia="Times New Roman" w:hAnsi="Garamond" w:cs="Calibri"/>
          <w:color w:val="000000"/>
          <w:sz w:val="24"/>
          <w:szCs w:val="24"/>
        </w:rPr>
      </w:pPr>
      <w:r w:rsidRPr="005D09E5">
        <w:rPr>
          <w:rFonts w:ascii="Garamond" w:eastAsia="Times New Roman" w:hAnsi="Garamond" w:cs="Calibri"/>
          <w:color w:val="000000"/>
          <w:sz w:val="24"/>
          <w:szCs w:val="24"/>
        </w:rPr>
        <w:t>The Holder must submit $39,691.15 to HRiA within 30 days of the first anniversary date of the Notice of Approval.</w:t>
      </w:r>
    </w:p>
    <w:p w14:paraId="563AF311" w14:textId="5F4DB719" w:rsidR="002F24F8" w:rsidRPr="005D09E5" w:rsidRDefault="002F24F8" w:rsidP="005D09E5">
      <w:pPr>
        <w:pStyle w:val="ListParagraph"/>
        <w:numPr>
          <w:ilvl w:val="2"/>
          <w:numId w:val="4"/>
        </w:numPr>
        <w:shd w:val="clear" w:color="auto" w:fill="FFFFFF"/>
        <w:spacing w:after="0" w:line="240" w:lineRule="auto"/>
        <w:ind w:left="1620"/>
        <w:rPr>
          <w:rFonts w:ascii="Garamond" w:eastAsia="Times New Roman" w:hAnsi="Garamond" w:cs="Calibri"/>
          <w:color w:val="000000"/>
          <w:sz w:val="24"/>
          <w:szCs w:val="24"/>
        </w:rPr>
      </w:pPr>
      <w:r w:rsidRPr="005D09E5">
        <w:rPr>
          <w:rFonts w:ascii="Garamond" w:eastAsia="Times New Roman" w:hAnsi="Garamond" w:cs="Calibri"/>
          <w:color w:val="000000"/>
          <w:sz w:val="24"/>
          <w:szCs w:val="24"/>
        </w:rPr>
        <w:t>The Holder must promptly notify DPH (CHI contact staff) when the payment(s) has been made.</w:t>
      </w:r>
    </w:p>
    <w:bookmarkEnd w:id="224"/>
    <w:bookmarkEnd w:id="225"/>
    <w:bookmarkEnd w:id="226"/>
    <w:bookmarkEnd w:id="227"/>
    <w:p w14:paraId="6B27C27A" w14:textId="5A4930B0" w:rsidR="00825499" w:rsidRDefault="00825499" w:rsidP="00EA38CA">
      <w:pPr>
        <w:spacing w:line="240" w:lineRule="auto"/>
        <w:rPr>
          <w:rFonts w:ascii="Garamond" w:hAnsi="Garamond" w:cs="Calibri"/>
          <w:b/>
          <w:sz w:val="24"/>
          <w:szCs w:val="24"/>
        </w:rPr>
      </w:pPr>
    </w:p>
    <w:p w14:paraId="2FD63FED" w14:textId="77777777" w:rsidR="001A6B67" w:rsidRDefault="001A6B67" w:rsidP="00EA38CA">
      <w:pPr>
        <w:spacing w:line="240" w:lineRule="auto"/>
        <w:rPr>
          <w:rFonts w:ascii="Garamond" w:hAnsi="Garamond" w:cs="Calibri"/>
          <w:b/>
          <w:sz w:val="24"/>
          <w:szCs w:val="24"/>
        </w:rPr>
      </w:pPr>
    </w:p>
    <w:p w14:paraId="63514B21" w14:textId="77777777" w:rsidR="001A6B67" w:rsidRDefault="001A6B67" w:rsidP="00EA38CA">
      <w:pPr>
        <w:spacing w:line="240" w:lineRule="auto"/>
        <w:rPr>
          <w:rFonts w:ascii="Garamond" w:hAnsi="Garamond" w:cs="Calibri"/>
          <w:b/>
          <w:sz w:val="24"/>
          <w:szCs w:val="24"/>
        </w:rPr>
      </w:pPr>
    </w:p>
    <w:p w14:paraId="4B5C5A93" w14:textId="77777777" w:rsidR="00C55717" w:rsidRDefault="00C55717" w:rsidP="00EA38CA">
      <w:pPr>
        <w:spacing w:line="240" w:lineRule="auto"/>
        <w:rPr>
          <w:rFonts w:ascii="Garamond" w:hAnsi="Garamond" w:cs="Calibri"/>
          <w:b/>
          <w:sz w:val="24"/>
          <w:szCs w:val="24"/>
        </w:rPr>
      </w:pPr>
    </w:p>
    <w:p w14:paraId="310B8BD3" w14:textId="77777777" w:rsidR="00C55717" w:rsidRDefault="00C55717" w:rsidP="00EA38CA">
      <w:pPr>
        <w:spacing w:line="240" w:lineRule="auto"/>
        <w:rPr>
          <w:rFonts w:ascii="Garamond" w:hAnsi="Garamond" w:cs="Calibri"/>
          <w:b/>
          <w:sz w:val="24"/>
          <w:szCs w:val="24"/>
        </w:rPr>
      </w:pPr>
    </w:p>
    <w:p w14:paraId="22FFF000" w14:textId="77777777" w:rsidR="00C55717" w:rsidRDefault="00C55717" w:rsidP="00EA38CA">
      <w:pPr>
        <w:spacing w:line="240" w:lineRule="auto"/>
        <w:rPr>
          <w:rFonts w:ascii="Garamond" w:hAnsi="Garamond" w:cs="Calibri"/>
          <w:b/>
          <w:sz w:val="24"/>
          <w:szCs w:val="24"/>
        </w:rPr>
      </w:pPr>
    </w:p>
    <w:p w14:paraId="4FA6FB61" w14:textId="77777777" w:rsidR="00C55717" w:rsidRDefault="00C55717" w:rsidP="00EA38CA">
      <w:pPr>
        <w:spacing w:line="240" w:lineRule="auto"/>
        <w:rPr>
          <w:rFonts w:ascii="Garamond" w:hAnsi="Garamond" w:cs="Calibri"/>
          <w:b/>
          <w:sz w:val="24"/>
          <w:szCs w:val="24"/>
        </w:rPr>
      </w:pPr>
    </w:p>
    <w:p w14:paraId="6A2FF12B" w14:textId="5D033AF0" w:rsidR="003253C6" w:rsidRPr="00264E5C" w:rsidRDefault="001C3E2E" w:rsidP="00EA38CA">
      <w:pPr>
        <w:spacing w:line="240" w:lineRule="auto"/>
        <w:rPr>
          <w:rFonts w:ascii="Garamond" w:hAnsi="Garamond" w:cs="Calibri"/>
          <w:b/>
          <w:sz w:val="24"/>
          <w:szCs w:val="24"/>
        </w:rPr>
      </w:pPr>
      <w:r w:rsidRPr="00264E5C">
        <w:rPr>
          <w:rFonts w:ascii="Garamond" w:hAnsi="Garamond" w:cs="Calibri"/>
          <w:b/>
          <w:sz w:val="24"/>
          <w:szCs w:val="24"/>
        </w:rPr>
        <w:lastRenderedPageBreak/>
        <w:t>REFERENCES</w:t>
      </w:r>
    </w:p>
    <w:sectPr w:rsidR="003253C6" w:rsidRPr="00264E5C" w:rsidSect="00224A39">
      <w:headerReference w:type="even" r:id="rId11"/>
      <w:headerReference w:type="default" r:id="rId12"/>
      <w:footerReference w:type="default" r:id="rId13"/>
      <w:headerReference w:type="first" r:id="rId14"/>
      <w:endnotePr>
        <w:numFmt w:val="lowerLetter"/>
      </w:endnotePr>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03524" w14:textId="77777777" w:rsidR="00B9062A" w:rsidRDefault="00B9062A" w:rsidP="008C0709">
      <w:pPr>
        <w:spacing w:after="0" w:line="240" w:lineRule="auto"/>
      </w:pPr>
      <w:r>
        <w:separator/>
      </w:r>
    </w:p>
  </w:endnote>
  <w:endnote w:type="continuationSeparator" w:id="0">
    <w:p w14:paraId="073E1C3E" w14:textId="77777777" w:rsidR="00B9062A" w:rsidRDefault="00B9062A" w:rsidP="008C0709">
      <w:pPr>
        <w:spacing w:after="0" w:line="240" w:lineRule="auto"/>
      </w:pPr>
      <w:r>
        <w:continuationSeparator/>
      </w:r>
    </w:p>
  </w:endnote>
  <w:endnote w:id="1">
    <w:p w14:paraId="7373E990" w14:textId="05EB7BCA" w:rsidR="00B9062A" w:rsidRPr="00D24B70" w:rsidRDefault="00B9062A">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Manchikanti L, Singh V, Benyamin RM, Kaye AD, Pampati V, Hirsch JA. Reframing Medicare Physician Payment Policy for 2019: A Look at Proposed Policy. Pain Physician. 2018 Sep;21(5):415-432. PMID: 30282387. Available: </w:t>
      </w:r>
      <w:hyperlink r:id="rId1" w:history="1">
        <w:r w:rsidRPr="00D24B70">
          <w:rPr>
            <w:rStyle w:val="Hyperlink"/>
            <w:rFonts w:ascii="Garamond" w:hAnsi="Garamond"/>
          </w:rPr>
          <w:t>https://www.painphysicianjournal.com/current/pdf?article=NTQwMQ%3D%3D&amp;journal=113</w:t>
        </w:r>
      </w:hyperlink>
      <w:r w:rsidRPr="00D24B70">
        <w:rPr>
          <w:rFonts w:ascii="Garamond" w:hAnsi="Garamond"/>
        </w:rPr>
        <w:t xml:space="preserve">  </w:t>
      </w:r>
    </w:p>
  </w:endnote>
  <w:endnote w:id="2">
    <w:p w14:paraId="41B56143" w14:textId="6A7C331E" w:rsidR="00325183" w:rsidRPr="00D24B70" w:rsidRDefault="00325183" w:rsidP="00325183">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Impact Advisors. Surgical Block Utilization. Available: </w:t>
      </w:r>
      <w:hyperlink r:id="rId2" w:anchor=":~:text=Set%20an%20initial%20conservative%20goal,yet%20have%20block%20time%20assigned" w:history="1">
        <w:r w:rsidRPr="00D24B70">
          <w:rPr>
            <w:rStyle w:val="Hyperlink"/>
            <w:rFonts w:ascii="Garamond" w:hAnsi="Garamond" w:cs="Calibri"/>
          </w:rPr>
          <w:t>https://www.impact-advisors.com/implementation/surgical-block-utilization/#:~:text=Set%20an%20initial%20conservative%20goal,yet%20have%20block%20time%20assigned</w:t>
        </w:r>
      </w:hyperlink>
      <w:r w:rsidRPr="00D24B70">
        <w:rPr>
          <w:rFonts w:ascii="Garamond" w:hAnsi="Garamond" w:cs="Calibri"/>
        </w:rPr>
        <w:t xml:space="preserve"> </w:t>
      </w:r>
    </w:p>
  </w:endnote>
  <w:endnote w:id="3">
    <w:p w14:paraId="4CDD22F2" w14:textId="77777777" w:rsidR="00B9062A" w:rsidRPr="00D24B70" w:rsidRDefault="00B9062A" w:rsidP="00A46A7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Spotlight, Environics Analytics, 2020. “Pop-Facts Demographics, By Age, Race and Sex: Essex County, MA.”  </w:t>
      </w:r>
    </w:p>
  </w:endnote>
  <w:endnote w:id="4">
    <w:p w14:paraId="2CE16B5B" w14:textId="77777777" w:rsidR="00B9062A" w:rsidRPr="00D24B70" w:rsidRDefault="00B9062A" w:rsidP="00A46A7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Spotlight, Environics Analytics, 2020. “Pop-Facts Demographics, By Age, Race and Sex: Essex County, MA.”  </w:t>
      </w:r>
    </w:p>
  </w:endnote>
  <w:endnote w:id="5">
    <w:p w14:paraId="5EE05959" w14:textId="77777777" w:rsidR="00B9062A" w:rsidRPr="00D24B70" w:rsidRDefault="00B9062A" w:rsidP="00A46A7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Spotlight, Environics Analytics, 2020. “Pop-Facts Demographics, By Age, Race and Sex: Essex County, MA</w:t>
      </w:r>
    </w:p>
  </w:endnote>
  <w:endnote w:id="6">
    <w:p w14:paraId="5FD09C9F" w14:textId="77777777" w:rsidR="00B9062A" w:rsidRPr="00D24B70" w:rsidRDefault="00B9062A" w:rsidP="00A46A7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American Society of Orthopaedic Surgeons. The Impact of Obesity on Bone and Joint Health. Available: </w:t>
      </w:r>
      <w:hyperlink r:id="rId3" w:history="1">
        <w:r w:rsidRPr="00D24B70">
          <w:rPr>
            <w:rStyle w:val="Hyperlink"/>
            <w:rFonts w:ascii="Garamond" w:hAnsi="Garamond" w:cs="Calibri"/>
          </w:rPr>
          <w:t>https://www.aaos.org/contentassets/1cd7f41417ec4dd4b5c4c48532183b96/1184-the-impact-of-obesity-on-bone-and-joint-health1.pdf</w:t>
        </w:r>
      </w:hyperlink>
      <w:r w:rsidRPr="00D24B70">
        <w:rPr>
          <w:rFonts w:ascii="Garamond" w:hAnsi="Garamond" w:cs="Calibri"/>
        </w:rPr>
        <w:t xml:space="preserve"> </w:t>
      </w:r>
    </w:p>
  </w:endnote>
  <w:endnote w:id="7">
    <w:p w14:paraId="6115722D" w14:textId="195B609A" w:rsidR="00B9062A" w:rsidRPr="00D24B70" w:rsidRDefault="00B9062A" w:rsidP="00A46A7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Singh NP, Boyd CJ, Poore W, Wood K, Assimos DG. Obesity and Kidney Stone Procedures. Rev Urol. 2020;22(1):24-29. Available: </w:t>
      </w:r>
      <w:hyperlink r:id="rId4" w:history="1">
        <w:r w:rsidRPr="00D24B70">
          <w:rPr>
            <w:rStyle w:val="Hyperlink"/>
            <w:rFonts w:ascii="Garamond" w:hAnsi="Garamond" w:cs="Calibri"/>
          </w:rPr>
          <w:t>https://www.ncbi.nlm.nih.gov/pmc/articles/PMC7265183/pdf/RiU022001_0024.pdf</w:t>
        </w:r>
      </w:hyperlink>
      <w:r w:rsidRPr="00D24B70">
        <w:rPr>
          <w:rFonts w:ascii="Garamond" w:hAnsi="Garamond" w:cs="Calibri"/>
        </w:rPr>
        <w:t xml:space="preserve"> </w:t>
      </w:r>
    </w:p>
  </w:endnote>
  <w:endnote w:id="8">
    <w:p w14:paraId="78DC44EC" w14:textId="77777777" w:rsidR="00B9062A" w:rsidRPr="00D24B70" w:rsidRDefault="00B9062A" w:rsidP="00A46A7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Hootman JM, Helmick CG, Barbour KE, Theis KA, Boring MA. Updated Projected Prevalence of Self-Reported Doctor-Diagnosed Arthritis and Arthritis-Attributable Activity Limitation Among US Adults, 2015-2040. Arthritis Rheumatol. 2016;68(7):1582-1587. doi:10.1002/art.39692. Available: </w:t>
      </w:r>
      <w:hyperlink r:id="rId5" w:history="1">
        <w:r w:rsidRPr="00D24B70">
          <w:rPr>
            <w:rStyle w:val="Hyperlink"/>
            <w:rFonts w:ascii="Garamond" w:hAnsi="Garamond" w:cs="Calibri"/>
          </w:rPr>
          <w:t>https://www.ncbi.nlm.nih.gov/pmc/articles/PMC6059375/pdf/nihms981764.pdf</w:t>
        </w:r>
      </w:hyperlink>
      <w:r w:rsidRPr="00D24B70">
        <w:rPr>
          <w:rFonts w:ascii="Garamond" w:hAnsi="Garamond" w:cs="Calibri"/>
        </w:rPr>
        <w:t xml:space="preserve"> </w:t>
      </w:r>
    </w:p>
  </w:endnote>
  <w:endnote w:id="9">
    <w:p w14:paraId="354D0E1E" w14:textId="77777777" w:rsidR="00B9062A" w:rsidRPr="00D24B70" w:rsidRDefault="00B9062A" w:rsidP="00A46A7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Centers for Disease Control and Prevention. Arthritis-Related Statistics. Available: </w:t>
      </w:r>
      <w:hyperlink r:id="rId6" w:history="1">
        <w:r w:rsidRPr="00D24B70">
          <w:rPr>
            <w:rStyle w:val="Hyperlink"/>
            <w:rFonts w:ascii="Garamond" w:hAnsi="Garamond" w:cs="Calibri"/>
          </w:rPr>
          <w:t>https://www.cdc.gov/arthritis/data_statistics/arthritis-related-stats.htm</w:t>
        </w:r>
      </w:hyperlink>
      <w:r w:rsidRPr="00D24B70">
        <w:rPr>
          <w:rFonts w:ascii="Garamond" w:hAnsi="Garamond" w:cs="Calibri"/>
        </w:rPr>
        <w:t xml:space="preserve"> </w:t>
      </w:r>
    </w:p>
  </w:endnote>
  <w:endnote w:id="10">
    <w:p w14:paraId="68235C74" w14:textId="77777777" w:rsidR="00B9062A" w:rsidRPr="00D24B70" w:rsidRDefault="00B9062A" w:rsidP="00A46A7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Neogi T. The epidemiology and impact of pain in osteoarthritis. Osteoarthritis Cartilage. 2013;21(9):1145-1153. doi:10.1016/j.joca.2013.03.018. Available: </w:t>
      </w:r>
      <w:hyperlink r:id="rId7" w:history="1">
        <w:r w:rsidRPr="00D24B70">
          <w:rPr>
            <w:rStyle w:val="Hyperlink"/>
            <w:rFonts w:ascii="Garamond" w:hAnsi="Garamond" w:cs="Calibri"/>
          </w:rPr>
          <w:t>https://www.ncbi.nlm.nih.gov/pmc/articles/PMC3753584/pdf/nihms479319.pdf</w:t>
        </w:r>
      </w:hyperlink>
      <w:r w:rsidRPr="00D24B70">
        <w:rPr>
          <w:rFonts w:ascii="Garamond" w:hAnsi="Garamond" w:cs="Calibri"/>
        </w:rPr>
        <w:t xml:space="preserve"> </w:t>
      </w:r>
    </w:p>
  </w:endnote>
  <w:endnote w:id="11">
    <w:p w14:paraId="7BCA49A5" w14:textId="766893CC"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Lassman D, Hartman M, Washington B, Andrews K, Catlin A. US health spending trends by age and gender: selected years 2002-10. Health Aff (Millwood). 2014 May;33(5):815-22. doi: 10.1377/hlthaff.2013.1224. PMID: 24799579. Available: </w:t>
      </w:r>
      <w:hyperlink r:id="rId8" w:history="1">
        <w:r w:rsidRPr="00D24B70">
          <w:rPr>
            <w:rStyle w:val="Hyperlink"/>
            <w:rFonts w:ascii="Garamond" w:hAnsi="Garamond" w:cs="Calibri"/>
          </w:rPr>
          <w:t>https://www.healthaffairs.org/doi/full/10.1377/hlthaff.2013.1224#</w:t>
        </w:r>
      </w:hyperlink>
      <w:r w:rsidRPr="00D24B70">
        <w:rPr>
          <w:rFonts w:ascii="Garamond" w:hAnsi="Garamond" w:cs="Calibri"/>
        </w:rPr>
        <w:t xml:space="preserve"> </w:t>
      </w:r>
    </w:p>
  </w:endnote>
  <w:endnote w:id="12">
    <w:p w14:paraId="4C6ED94D" w14:textId="784089FF"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National Health Expenditure (NHE) Fact Sheet. Available: </w:t>
      </w:r>
      <w:hyperlink r:id="rId9" w:history="1">
        <w:r w:rsidRPr="00D24B70">
          <w:rPr>
            <w:rStyle w:val="Hyperlink"/>
            <w:rFonts w:ascii="Garamond" w:hAnsi="Garamond" w:cs="Calibri"/>
          </w:rPr>
          <w:t>https://www.cms.gov/Research-Statistics-Data-and-Systems/Statistics-Trends-and-Reports/NationalHealthExpendData/NHE-Fact-Sheet</w:t>
        </w:r>
      </w:hyperlink>
      <w:r w:rsidRPr="00D24B70">
        <w:rPr>
          <w:rFonts w:ascii="Garamond" w:hAnsi="Garamond" w:cs="Calibri"/>
        </w:rPr>
        <w:t xml:space="preserve"> </w:t>
      </w:r>
    </w:p>
  </w:endnote>
  <w:endnote w:id="13">
    <w:p w14:paraId="2AC56252" w14:textId="22631512"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Deiner S, Westlake B, Dutton RP. Patterns of surgical care and complications in elderly adults. J Am Geriatr Soc. 2014;62(5):829-835. doi:10.1111/jgs.12794. Available: </w:t>
      </w:r>
      <w:hyperlink r:id="rId10" w:history="1">
        <w:r w:rsidRPr="00D24B70">
          <w:rPr>
            <w:rStyle w:val="Hyperlink"/>
            <w:rFonts w:ascii="Garamond" w:hAnsi="Garamond" w:cs="Calibri"/>
          </w:rPr>
          <w:t>https://www.ncbi.nlm.nih.gov/pmc/articles/PMC4024102/pdf/nihms568357.pdf</w:t>
        </w:r>
      </w:hyperlink>
      <w:r w:rsidRPr="00D24B70">
        <w:rPr>
          <w:rFonts w:ascii="Garamond" w:hAnsi="Garamond" w:cs="Calibri"/>
        </w:rPr>
        <w:t xml:space="preserve"> </w:t>
      </w:r>
    </w:p>
  </w:endnote>
  <w:endnote w:id="14">
    <w:p w14:paraId="1C1452C8" w14:textId="54B42C11" w:rsidR="00B9062A" w:rsidRPr="00D24B70" w:rsidRDefault="00B9062A">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CMS.gov. CY 2021 Medicare Hospital Outpatient Prospective Payment System and Ambulatory Surgical Center Payment System Final Rule (CMS-1736-FC). Available: </w:t>
      </w:r>
      <w:hyperlink r:id="rId11" w:history="1">
        <w:r w:rsidRPr="00D24B70">
          <w:rPr>
            <w:rStyle w:val="Hyperlink"/>
            <w:rFonts w:ascii="Garamond" w:hAnsi="Garamond"/>
          </w:rPr>
          <w:t>https://www.cms.gov/newsroom/fact-sheets/cy-2021-medicare-hospital-outpatient-prospective-payment-system-and-ambulatory-surgical-center-0</w:t>
        </w:r>
      </w:hyperlink>
      <w:r w:rsidRPr="00D24B70">
        <w:rPr>
          <w:rFonts w:ascii="Garamond" w:hAnsi="Garamond"/>
        </w:rPr>
        <w:t xml:space="preserve"> </w:t>
      </w:r>
    </w:p>
  </w:endnote>
  <w:endnote w:id="15">
    <w:p w14:paraId="57983420" w14:textId="331F64A1" w:rsidR="00B9062A" w:rsidRPr="00D24B70" w:rsidRDefault="00B9062A" w:rsidP="00094596">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HealthyPeople.gov. Older Adults. Available: </w:t>
      </w:r>
      <w:hyperlink r:id="rId12" w:history="1">
        <w:r w:rsidRPr="00D24B70">
          <w:rPr>
            <w:rStyle w:val="Hyperlink"/>
            <w:rFonts w:ascii="Garamond" w:hAnsi="Garamond"/>
          </w:rPr>
          <w:t>https://www.healthypeople.gov/2020/topics-objectives/topic/older-adults</w:t>
        </w:r>
      </w:hyperlink>
      <w:r w:rsidRPr="00D24B70">
        <w:rPr>
          <w:rFonts w:ascii="Garamond" w:hAnsi="Garamond"/>
        </w:rPr>
        <w:t xml:space="preserve"> </w:t>
      </w:r>
    </w:p>
  </w:endnote>
  <w:endnote w:id="16">
    <w:p w14:paraId="05148785" w14:textId="0E194FF9" w:rsidR="00B9062A" w:rsidRPr="00D24B70" w:rsidRDefault="00B9062A" w:rsidP="00094596">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w:t>
      </w:r>
      <w:r w:rsidR="0001772E" w:rsidRPr="00D24B70">
        <w:rPr>
          <w:rFonts w:ascii="Garamond" w:hAnsi="Garamond"/>
        </w:rPr>
        <w:t>Raghupathi W, Raghupathi V. An Empirical Study of Chronic Diseases in the United States: A Visual Analytics Approach. Int J Environ Res Public Health. 2018;15(3):431. Published 2018 Mar 1. doi:10.3390/ijerph15030431</w:t>
      </w:r>
    </w:p>
  </w:endnote>
  <w:endnote w:id="17">
    <w:p w14:paraId="523A6EF5" w14:textId="64E3C59F"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Benyamin RM, Staats PS, MiDAS Encore I. MILD® Is an Effective Treatment for Lumbar Spinal Stenosis with Neurogenic Claudication: MiDAS ENCORE Randomized Controlled Trial. Pain Physician. 2016 May;19(4):229-42. PMID: 27228511. </w:t>
      </w:r>
      <w:hyperlink r:id="rId13" w:history="1">
        <w:r w:rsidRPr="00D24B70">
          <w:rPr>
            <w:rStyle w:val="Hyperlink"/>
            <w:rFonts w:ascii="Garamond" w:hAnsi="Garamond" w:cs="Calibri"/>
          </w:rPr>
          <w:t>https://www.painphysicianjournal.com/current/pdf?article=MjcwNQ%3D%3D&amp;journal=96</w:t>
        </w:r>
      </w:hyperlink>
      <w:r w:rsidRPr="00D24B70">
        <w:rPr>
          <w:rFonts w:ascii="Garamond" w:hAnsi="Garamond" w:cs="Calibri"/>
        </w:rPr>
        <w:t xml:space="preserve"> </w:t>
      </w:r>
    </w:p>
  </w:endnote>
  <w:endnote w:id="18">
    <w:p w14:paraId="26217D6B" w14:textId="35AEBC1D"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Clinician’s Manual. St.Jude Medical. Proclaim™ Implantable Pulse Generator. Available:  </w:t>
      </w:r>
      <w:hyperlink r:id="rId14" w:history="1">
        <w:r w:rsidRPr="00D24B70">
          <w:rPr>
            <w:rStyle w:val="Hyperlink"/>
            <w:rFonts w:ascii="Garamond" w:hAnsi="Garamond" w:cs="Calibri"/>
          </w:rPr>
          <w:t>file:///C:/Users/lc352/Downloads/d6c73669-7872-4ab4-bdc9-0694d708c136.pdf</w:t>
        </w:r>
      </w:hyperlink>
      <w:r w:rsidRPr="00D24B70">
        <w:rPr>
          <w:rFonts w:ascii="Garamond" w:hAnsi="Garamond" w:cs="Calibri"/>
        </w:rPr>
        <w:t xml:space="preserve"> </w:t>
      </w:r>
    </w:p>
  </w:endnote>
  <w:endnote w:id="19">
    <w:p w14:paraId="4B7618D8" w14:textId="04836A2C"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Kirketeig T, Schultheis C, Zuidema X, Hunter CW, Deer T. Burst Spinal Cord Stimulation: A Clinical Review. Pain Med. 2019;20(Suppl 1):S31-S40. doi:10.1093/pm/pnz003. Available: </w:t>
      </w:r>
      <w:hyperlink r:id="rId15" w:history="1">
        <w:r w:rsidRPr="00D24B70">
          <w:rPr>
            <w:rStyle w:val="Hyperlink"/>
            <w:rFonts w:ascii="Garamond" w:hAnsi="Garamond" w:cs="Calibri"/>
          </w:rPr>
          <w:t>https://www.ncbi.nlm.nih.gov/pmc/articles/PMC6544556/pdf/pnz003.pdf</w:t>
        </w:r>
      </w:hyperlink>
      <w:r w:rsidRPr="00D24B70">
        <w:rPr>
          <w:rFonts w:ascii="Garamond" w:hAnsi="Garamond" w:cs="Calibri"/>
        </w:rPr>
        <w:t xml:space="preserve"> </w:t>
      </w:r>
    </w:p>
  </w:endnote>
  <w:endnote w:id="20">
    <w:p w14:paraId="5B2D044C" w14:textId="4B467002"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American Academy of Otolaryngology – Head and Neck Surgery. Position Statement: Intra-Operative Use of Computer Aided Surgery. Available: </w:t>
      </w:r>
      <w:hyperlink r:id="rId16" w:history="1">
        <w:r w:rsidRPr="00D24B70">
          <w:rPr>
            <w:rStyle w:val="Hyperlink"/>
            <w:rFonts w:ascii="Garamond" w:hAnsi="Garamond" w:cs="Calibri"/>
          </w:rPr>
          <w:t>https://www.entnet.org/content/intra-operative-use-computer-aided-surgery</w:t>
        </w:r>
      </w:hyperlink>
      <w:r w:rsidRPr="00D24B70">
        <w:rPr>
          <w:rFonts w:ascii="Garamond" w:hAnsi="Garamond" w:cs="Calibri"/>
        </w:rPr>
        <w:t xml:space="preserve"> </w:t>
      </w:r>
    </w:p>
  </w:endnote>
  <w:endnote w:id="21">
    <w:p w14:paraId="78BB2DAB" w14:textId="106EC3E9" w:rsidR="00B9062A" w:rsidRPr="00D24B70" w:rsidRDefault="00B9062A" w:rsidP="003203FD">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Advancing Surgical Care. ASC Quality Reporting. Available: </w:t>
      </w:r>
      <w:hyperlink r:id="rId17" w:history="1">
        <w:r w:rsidRPr="00D24B70">
          <w:rPr>
            <w:rStyle w:val="Hyperlink"/>
            <w:rFonts w:ascii="Garamond" w:hAnsi="Garamond" w:cs="Calibri"/>
          </w:rPr>
          <w:t>https://www.advancingsurgicalcare.com/safetyquality/ascqualityreporting</w:t>
        </w:r>
      </w:hyperlink>
      <w:r w:rsidRPr="00D24B70">
        <w:rPr>
          <w:rFonts w:ascii="Garamond" w:hAnsi="Garamond" w:cs="Calibri"/>
        </w:rPr>
        <w:t xml:space="preserve"> </w:t>
      </w:r>
    </w:p>
  </w:endnote>
  <w:endnote w:id="22">
    <w:p w14:paraId="3FD3FBA6" w14:textId="77777777" w:rsidR="00B9062A" w:rsidRPr="00D24B70" w:rsidRDefault="00B9062A" w:rsidP="003203FD">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Hollenbeck BK, Dunn RL, Suskind AM, Strope SA, Zhang Y, Hollingsworth JM. Ambulatory Surgery Centers and Their Intended Effects on Outpatient Surgery. Health Serv Res. 2015;50(5):1491-1507. doi:10.1111/1475-6773.12278. Available: </w:t>
      </w:r>
      <w:hyperlink r:id="rId18" w:history="1">
        <w:r w:rsidRPr="00D24B70">
          <w:rPr>
            <w:rStyle w:val="Hyperlink"/>
            <w:rFonts w:ascii="Garamond" w:hAnsi="Garamond" w:cs="Calibri"/>
          </w:rPr>
          <w:t>https://www.ncbi.nlm.nih.gov/pmc/articles/PMC4600358/</w:t>
        </w:r>
      </w:hyperlink>
      <w:r w:rsidRPr="00D24B70">
        <w:rPr>
          <w:rFonts w:ascii="Garamond" w:hAnsi="Garamond" w:cs="Calibri"/>
        </w:rPr>
        <w:t xml:space="preserve"> </w:t>
      </w:r>
    </w:p>
  </w:endnote>
  <w:endnote w:id="23">
    <w:p w14:paraId="3C1627ED" w14:textId="7CE1A0D7" w:rsidR="00B9062A" w:rsidRPr="00D24B70" w:rsidRDefault="00B9062A" w:rsidP="00F87E7F">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Pain Management Best Practices Inter-agency Task Force Report. Draft Final Report. May 6, 2019. Available: </w:t>
      </w:r>
      <w:hyperlink r:id="rId19" w:history="1">
        <w:r w:rsidRPr="00D24B70">
          <w:rPr>
            <w:rStyle w:val="Hyperlink"/>
            <w:rFonts w:ascii="Garamond" w:hAnsi="Garamond"/>
          </w:rPr>
          <w:t>https://www.hhs.gov/sites/default/files/pain-mgmt-best-practices-draft-final-report-05062019.pdf</w:t>
        </w:r>
      </w:hyperlink>
      <w:r w:rsidRPr="00D24B70">
        <w:rPr>
          <w:rFonts w:ascii="Garamond" w:hAnsi="Garamond"/>
        </w:rPr>
        <w:t xml:space="preserve"> </w:t>
      </w:r>
    </w:p>
  </w:endnote>
  <w:endnote w:id="24">
    <w:p w14:paraId="1DD2B9DC" w14:textId="6195B1D6" w:rsidR="00B9062A" w:rsidRPr="00D24B70" w:rsidRDefault="00B9062A" w:rsidP="00AA1B38">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Munnich EL, Parente ST. Procedures take less time at ambulatory surgery centers, keeping costs down and ability to meet demand up. Health Aff (Millwood). 2014 May;33(5):764-9. doi: 10.1377/hlthaff.2013.1281. PubMed PMID: 24799572. Available: </w:t>
      </w:r>
      <w:hyperlink r:id="rId20" w:history="1">
        <w:r w:rsidRPr="00D24B70">
          <w:rPr>
            <w:rStyle w:val="Hyperlink"/>
            <w:rFonts w:ascii="Garamond" w:hAnsi="Garamond" w:cs="Calibri"/>
          </w:rPr>
          <w:t>https://www.healthaffairs.org/doi/pdf/10.1377/hlthaff.2013.1281</w:t>
        </w:r>
      </w:hyperlink>
      <w:r w:rsidRPr="00D24B70">
        <w:rPr>
          <w:rFonts w:ascii="Garamond" w:hAnsi="Garamond" w:cs="Calibri"/>
        </w:rPr>
        <w:t xml:space="preserve"> </w:t>
      </w:r>
    </w:p>
  </w:endnote>
  <w:endnote w:id="25">
    <w:p w14:paraId="3830DE86" w14:textId="52443A61"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American Society of Orthopaedic Surgeons. Position Statement. Ambulatory Surgical Centers.                                                                       Available: </w:t>
      </w:r>
      <w:hyperlink r:id="rId21" w:history="1">
        <w:r w:rsidRPr="00D24B70">
          <w:rPr>
            <w:rStyle w:val="Hyperlink"/>
            <w:rFonts w:ascii="Garamond" w:hAnsi="Garamond" w:cs="Calibri"/>
          </w:rPr>
          <w:t>https://www.aaos.org/uploadedFiles/1161 Ambulatory Surgical Centers.pdf</w:t>
        </w:r>
      </w:hyperlink>
      <w:r w:rsidRPr="00D24B70">
        <w:rPr>
          <w:rFonts w:ascii="Garamond" w:hAnsi="Garamond" w:cs="Calibri"/>
        </w:rPr>
        <w:t xml:space="preserve"> </w:t>
      </w:r>
    </w:p>
  </w:endnote>
  <w:endnote w:id="26">
    <w:p w14:paraId="080F7887" w14:textId="1E806F76"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Ambulatory Surgery Center Association. Ambulatory Surgery Centers.                                                                                                Available: </w:t>
      </w:r>
      <w:hyperlink r:id="rId22" w:history="1">
        <w:r w:rsidRPr="00D24B70">
          <w:rPr>
            <w:rStyle w:val="Hyperlink"/>
            <w:rFonts w:ascii="Garamond" w:hAnsi="Garamond" w:cs="Calibri"/>
          </w:rPr>
          <w:t>https://higherlogicdownload.s3.amazonaws.com/ASCACONNECT/fd1693e2-e4a8-43d3-816d-17ecfc7d55c1/UploadedImages/About%20Us/ASCs%20-%20A%20Positive%20Trend%20in%20Health%20Care.pdf</w:t>
        </w:r>
      </w:hyperlink>
      <w:r w:rsidRPr="00D24B70">
        <w:rPr>
          <w:rFonts w:ascii="Garamond" w:hAnsi="Garamond" w:cs="Calibri"/>
        </w:rPr>
        <w:t xml:space="preserve"> </w:t>
      </w:r>
    </w:p>
  </w:endnote>
  <w:endnote w:id="27">
    <w:p w14:paraId="06DFE9FB" w14:textId="37B71108" w:rsidR="00B9062A" w:rsidRPr="00D24B70" w:rsidRDefault="00B9062A">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Report to the Congress: Medicare Payment Policy | March 2020. Chapter 5: Ambulatory Surgical Center Services. Available: </w:t>
      </w:r>
      <w:hyperlink r:id="rId23" w:history="1">
        <w:r w:rsidRPr="00D24B70">
          <w:rPr>
            <w:rStyle w:val="Hyperlink"/>
            <w:rFonts w:ascii="Garamond" w:hAnsi="Garamond"/>
          </w:rPr>
          <w:t>http://www.medpac.gov/docs/default-source/reports/mar20_medpac_ch5_sec.pdf?sfvrsn=0</w:t>
        </w:r>
      </w:hyperlink>
      <w:r w:rsidRPr="00D24B70">
        <w:rPr>
          <w:rFonts w:ascii="Garamond" w:hAnsi="Garamond"/>
        </w:rPr>
        <w:t xml:space="preserve"> </w:t>
      </w:r>
    </w:p>
  </w:endnote>
  <w:endnote w:id="28">
    <w:p w14:paraId="338D3D92" w14:textId="77777777" w:rsidR="006E470C" w:rsidRPr="00D24B70" w:rsidRDefault="006E470C">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w:t>
      </w:r>
      <w:r w:rsidRPr="00D24B70">
        <w:rPr>
          <w:rFonts w:ascii="Garamond" w:hAnsi="Garamond" w:cs="Calibri"/>
        </w:rPr>
        <w:t xml:space="preserve">Healthy People. Access to Health Services. Available: </w:t>
      </w:r>
      <w:hyperlink r:id="rId24" w:history="1">
        <w:r w:rsidRPr="00D24B70">
          <w:rPr>
            <w:rStyle w:val="Hyperlink"/>
            <w:rFonts w:ascii="Garamond" w:hAnsi="Garamond" w:cs="Calibri"/>
          </w:rPr>
          <w:t>https://www.healthypeople.gov/2020/topics-objectives/topic/Access-to-Health-Services</w:t>
        </w:r>
      </w:hyperlink>
    </w:p>
  </w:endnote>
  <w:endnote w:id="29">
    <w:p w14:paraId="4C7FD232" w14:textId="77777777" w:rsidR="006E470C" w:rsidRPr="00D24B70" w:rsidRDefault="006E470C">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Robert Wood Johnson Foundation. County Health Rankings and Roadmaps. Access to Care. Available: </w:t>
      </w:r>
      <w:hyperlink r:id="rId25" w:history="1">
        <w:r w:rsidRPr="00D24B70">
          <w:rPr>
            <w:rStyle w:val="Hyperlink"/>
            <w:rFonts w:ascii="Garamond" w:hAnsi="Garamond"/>
          </w:rPr>
          <w:t>https://www.countyhealthrankings.org/explore-health-rankings/measures-data-sources/county-health-rankings-model/health-factors/clinical-care/access-to-care</w:t>
        </w:r>
      </w:hyperlink>
      <w:r w:rsidRPr="00D24B70">
        <w:rPr>
          <w:rFonts w:ascii="Garamond" w:hAnsi="Garamond"/>
        </w:rPr>
        <w:t xml:space="preserve">  </w:t>
      </w:r>
    </w:p>
  </w:endnote>
  <w:endnote w:id="30">
    <w:p w14:paraId="5EAF9EEE" w14:textId="77777777" w:rsidR="006E470C" w:rsidRPr="00D24B70" w:rsidRDefault="006E470C" w:rsidP="00964B9E">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Healthy People. Access to Health Services. Available: </w:t>
      </w:r>
      <w:hyperlink r:id="rId26" w:history="1">
        <w:r w:rsidRPr="00D24B70">
          <w:rPr>
            <w:rStyle w:val="Hyperlink"/>
            <w:rFonts w:ascii="Garamond" w:hAnsi="Garamond" w:cs="Calibri"/>
          </w:rPr>
          <w:t>https://www.healthypeople.gov/2020/topics-objectives/topic/Access-to-Health-Services</w:t>
        </w:r>
      </w:hyperlink>
      <w:r w:rsidRPr="00D24B70">
        <w:rPr>
          <w:rFonts w:ascii="Garamond" w:hAnsi="Garamond" w:cs="Calibri"/>
        </w:rPr>
        <w:t xml:space="preserve"> </w:t>
      </w:r>
    </w:p>
  </w:endnote>
  <w:endnote w:id="31">
    <w:p w14:paraId="1CA4C328" w14:textId="77777777" w:rsidR="00B9062A" w:rsidRPr="00D24B70" w:rsidRDefault="00B9062A" w:rsidP="00AE382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Samii A, Shining a Light on the Value of Value-Based Care: ASCs are positioned to lead the way, Becker’s ASC Review. Available: </w:t>
      </w:r>
      <w:hyperlink r:id="rId27" w:history="1">
        <w:r w:rsidRPr="00D24B70">
          <w:rPr>
            <w:rStyle w:val="Hyperlink"/>
            <w:rFonts w:ascii="Garamond" w:hAnsi="Garamond" w:cs="Calibri"/>
          </w:rPr>
          <w:t>https://www.beckersasc.com/asc-coding-billing-and-collections/shining-a-light-on-the-value-of-value-based-care-ascs-are-positioned-to-lead-the-way.html</w:t>
        </w:r>
      </w:hyperlink>
      <w:r w:rsidRPr="00D24B70">
        <w:rPr>
          <w:rFonts w:ascii="Garamond" w:hAnsi="Garamond" w:cs="Calibri"/>
        </w:rPr>
        <w:t xml:space="preserve"> </w:t>
      </w:r>
    </w:p>
  </w:endnote>
  <w:endnote w:id="32">
    <w:p w14:paraId="77DF930B" w14:textId="77777777" w:rsidR="00B9062A" w:rsidRPr="00D24B70" w:rsidRDefault="00B9062A" w:rsidP="00AE382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Harjot Uppal. Economic Advantages of Performing Orthopaedic Surgical Procedures in Ambulatory Surgical Centres Over Hospital Out-Patient Settings. Available: </w:t>
      </w:r>
      <w:hyperlink r:id="rId28" w:history="1">
        <w:r w:rsidRPr="00D24B70">
          <w:rPr>
            <w:rStyle w:val="Hyperlink"/>
            <w:rFonts w:ascii="Garamond" w:hAnsi="Garamond" w:cs="Calibri"/>
          </w:rPr>
          <w:t>https://www.iaas-med.com/files/Journal/Volume25/AMB_SURG_25_1-UPPAL.pdf</w:t>
        </w:r>
      </w:hyperlink>
      <w:r w:rsidRPr="00D24B70">
        <w:rPr>
          <w:rFonts w:ascii="Garamond" w:hAnsi="Garamond" w:cs="Calibri"/>
        </w:rPr>
        <w:t xml:space="preserve"> </w:t>
      </w:r>
    </w:p>
  </w:endnote>
  <w:endnote w:id="33">
    <w:p w14:paraId="32CB53D4" w14:textId="4407B34E"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Abrams M. Coming to Terms With Care Migration. AJMC. Available: </w:t>
      </w:r>
      <w:hyperlink r:id="rId29" w:history="1">
        <w:r w:rsidRPr="00D24B70">
          <w:rPr>
            <w:rStyle w:val="Hyperlink"/>
            <w:rFonts w:ascii="Garamond" w:hAnsi="Garamond" w:cs="Calibri"/>
          </w:rPr>
          <w:t>https://www.ajmc.com/contributor/michael-abrams/2019/05/coming-to-terms-with-care-migration</w:t>
        </w:r>
      </w:hyperlink>
      <w:r w:rsidRPr="00D24B70">
        <w:rPr>
          <w:rFonts w:ascii="Garamond" w:hAnsi="Garamond" w:cs="Calibri"/>
        </w:rPr>
        <w:t xml:space="preserve"> Published May 30, 2019.</w:t>
      </w:r>
    </w:p>
  </w:endnote>
  <w:endnote w:id="34">
    <w:p w14:paraId="2CAA5BB1" w14:textId="3BC8098E"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3 reasons ASCs adopt EHR software. Available: </w:t>
      </w:r>
      <w:hyperlink r:id="rId30" w:history="1">
        <w:r w:rsidRPr="00D24B70">
          <w:rPr>
            <w:rStyle w:val="Hyperlink"/>
            <w:rFonts w:ascii="Garamond" w:hAnsi="Garamond" w:cs="Calibri"/>
          </w:rPr>
          <w:t>https://www.beckersasc.com/supply-chain/3-reasons-ascs-adopt-ehr-software.html</w:t>
        </w:r>
      </w:hyperlink>
      <w:r w:rsidRPr="00D24B70">
        <w:rPr>
          <w:rFonts w:ascii="Garamond" w:hAnsi="Garamond" w:cs="Calibri"/>
        </w:rPr>
        <w:t xml:space="preserve"> </w:t>
      </w:r>
    </w:p>
  </w:endnote>
  <w:endnote w:id="35">
    <w:p w14:paraId="33B7DC95" w14:textId="0C7D141E" w:rsidR="00B9062A" w:rsidRPr="00D24B70" w:rsidRDefault="00B9062A" w:rsidP="000D1001">
      <w:pPr>
        <w:pStyle w:val="EndnoteText"/>
        <w:contextualSpacing/>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Community Engagement Standards for Community Health Planning Guideline. Available: </w:t>
      </w:r>
      <w:hyperlink r:id="rId31" w:history="1">
        <w:r w:rsidRPr="00D24B70">
          <w:rPr>
            <w:rStyle w:val="Hyperlink"/>
            <w:rFonts w:ascii="Garamond" w:hAnsi="Garamond" w:cs="Calibri"/>
          </w:rPr>
          <w:t>https://www.mass.gov/doc/community-engagement-guidelines-for-community-health-planning-pdf/download</w:t>
        </w:r>
      </w:hyperlink>
      <w:r w:rsidRPr="00D24B70">
        <w:rPr>
          <w:rFonts w:ascii="Garamond" w:hAnsi="Garamond" w:cs="Calibri"/>
        </w:rPr>
        <w:t xml:space="preserve"> </w:t>
      </w:r>
    </w:p>
  </w:endnote>
  <w:endnote w:id="36">
    <w:p w14:paraId="2F9610AE" w14:textId="35798AC1" w:rsidR="00B9062A" w:rsidRPr="00D24B70" w:rsidRDefault="00B9062A" w:rsidP="009E3954">
      <w:pPr>
        <w:pStyle w:val="EndnoteText"/>
        <w:contextualSpacing/>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DoN Regulation 100.210 (A)(1)(e). Available: </w:t>
      </w:r>
      <w:hyperlink r:id="rId32" w:history="1">
        <w:r w:rsidRPr="00D24B70">
          <w:rPr>
            <w:rStyle w:val="Hyperlink"/>
            <w:rFonts w:ascii="Garamond" w:hAnsi="Garamond" w:cs="Calibri"/>
          </w:rPr>
          <w:t>https://www.mass.gov/files/documents/2018/12/31/jud-lib-105cmr100.pdf</w:t>
        </w:r>
      </w:hyperlink>
    </w:p>
  </w:endnote>
  <w:endnote w:id="37">
    <w:p w14:paraId="1EEC3EED" w14:textId="7D58B69B"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Advancing Surgical Care. The ASC Cost Differential. Available: </w:t>
      </w:r>
      <w:hyperlink r:id="rId33" w:history="1">
        <w:r w:rsidRPr="00D24B70">
          <w:rPr>
            <w:rStyle w:val="Hyperlink"/>
            <w:rFonts w:ascii="Garamond" w:hAnsi="Garamond" w:cs="Calibri"/>
          </w:rPr>
          <w:t>https://www.ascassociation.org/advancingsurgicalcare/reducinghealthcarecosts/paymentdisparitiesbetweenascsandhopds</w:t>
        </w:r>
      </w:hyperlink>
      <w:r w:rsidRPr="00D24B70">
        <w:rPr>
          <w:rFonts w:ascii="Garamond" w:hAnsi="Garamond" w:cs="Calibri"/>
        </w:rPr>
        <w:t xml:space="preserve"> </w:t>
      </w:r>
    </w:p>
  </w:endnote>
  <w:endnote w:id="38">
    <w:p w14:paraId="4127B3AA" w14:textId="1D2F406D" w:rsidR="00B9062A" w:rsidRPr="00D24B70" w:rsidRDefault="00B9062A" w:rsidP="00331B3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Ambulatory Surgery Center Association. Commercial Insurance Cost Savings in Ambulatory</w:t>
      </w:r>
    </w:p>
    <w:p w14:paraId="76B8AE5E" w14:textId="160AFCD3" w:rsidR="00B9062A" w:rsidRPr="00D24B70" w:rsidRDefault="00B9062A" w:rsidP="00331B3F">
      <w:pPr>
        <w:pStyle w:val="EndnoteText"/>
        <w:rPr>
          <w:rFonts w:ascii="Garamond" w:hAnsi="Garamond" w:cs="Calibri"/>
        </w:rPr>
      </w:pPr>
      <w:r w:rsidRPr="00D24B70">
        <w:rPr>
          <w:rFonts w:ascii="Garamond" w:hAnsi="Garamond" w:cs="Calibri"/>
        </w:rPr>
        <w:t xml:space="preserve">Surgery Centers Available: </w:t>
      </w:r>
      <w:hyperlink r:id="rId34" w:history="1">
        <w:r w:rsidRPr="00D24B70">
          <w:rPr>
            <w:rStyle w:val="Hyperlink"/>
            <w:rFonts w:ascii="Garamond" w:hAnsi="Garamond" w:cs="Calibri"/>
          </w:rPr>
          <w:t>https://www.ascassociation.org/HigherLogic/System/DownloadDocumentFile.ashx?DocumentFileKey=829b1dd6-0b5d-9686-e57c-3e2ed4ab42ca&amp;forceDialog=0</w:t>
        </w:r>
      </w:hyperlink>
      <w:r w:rsidRPr="00D24B70">
        <w:rPr>
          <w:rFonts w:ascii="Garamond" w:hAnsi="Garamond" w:cs="Calibri"/>
        </w:rPr>
        <w:t xml:space="preserve"> </w:t>
      </w:r>
    </w:p>
  </w:endnote>
  <w:endnote w:id="39">
    <w:p w14:paraId="386E980A" w14:textId="73B1872F" w:rsidR="00B9062A" w:rsidRPr="00D24B70" w:rsidRDefault="00B9062A">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Advancing Surgical Care. ASCs: A Positive Trend in Health Care. </w:t>
      </w:r>
      <w:r w:rsidR="004962D9">
        <w:rPr>
          <w:rFonts w:ascii="Garamond" w:hAnsi="Garamond" w:cs="Calibri"/>
        </w:rPr>
        <w:t>Available:</w:t>
      </w:r>
      <w:r w:rsidRPr="00D24B70">
        <w:rPr>
          <w:rFonts w:ascii="Garamond" w:hAnsi="Garamond" w:cs="Calibri"/>
        </w:rPr>
        <w:t xml:space="preserve">                                                                      </w:t>
      </w:r>
      <w:r w:rsidR="004962D9">
        <w:rPr>
          <w:rFonts w:ascii="Garamond" w:hAnsi="Garamond" w:cs="Calibri"/>
        </w:rPr>
        <w:t xml:space="preserve">                              </w:t>
      </w:r>
      <w:hyperlink r:id="rId35" w:history="1">
        <w:r w:rsidRPr="00D24B70">
          <w:rPr>
            <w:rStyle w:val="Hyperlink"/>
            <w:rFonts w:ascii="Garamond" w:hAnsi="Garamond" w:cs="Calibri"/>
          </w:rPr>
          <w:t>https://www.ascassociation.org/advancingsurgicalcare/aboutascs/industryoverview/apositivetrendinhealthcare</w:t>
        </w:r>
      </w:hyperlink>
      <w:r w:rsidRPr="00D24B70">
        <w:rPr>
          <w:rFonts w:ascii="Garamond" w:hAnsi="Garamond" w:cs="Calibri"/>
        </w:rPr>
        <w:t xml:space="preserve"> </w:t>
      </w:r>
    </w:p>
  </w:endnote>
  <w:endnote w:id="40">
    <w:p w14:paraId="47C61173" w14:textId="2655933B" w:rsidR="00B9062A" w:rsidRPr="00D24B70" w:rsidRDefault="00B9062A" w:rsidP="00FA6BB2">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Dyrda L, CMS posts payments for ASCs vs. HOPDs — Medicare pays ASCs $359 less for colonoscopy, $1,092 less for knee arthroscopy, Beckers ASC Review. Available: </w:t>
      </w:r>
      <w:hyperlink r:id="rId36" w:history="1">
        <w:r w:rsidRPr="00D24B70">
          <w:rPr>
            <w:rStyle w:val="Hyperlink"/>
            <w:rFonts w:ascii="Garamond" w:hAnsi="Garamond" w:cs="Calibri"/>
          </w:rPr>
          <w:t>https://www.beckersasc.com/asc-coding-billing-and-collections/cms-posts-payments-for-ascs-vs-hopds-medicare-pays-ascs-359-less-for-colonoscopy-1-092-less-for-knee-arthroscopy.html</w:t>
        </w:r>
      </w:hyperlink>
      <w:r w:rsidRPr="00D24B70">
        <w:rPr>
          <w:rFonts w:ascii="Garamond" w:hAnsi="Garamond" w:cs="Calibri"/>
        </w:rPr>
        <w:t xml:space="preserve"> </w:t>
      </w:r>
    </w:p>
  </w:endnote>
  <w:endnote w:id="41">
    <w:p w14:paraId="14984A90" w14:textId="1589A381" w:rsidR="00B9062A" w:rsidRPr="00D24B70" w:rsidRDefault="00B9062A" w:rsidP="00FA6BB2">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Ambulatory Surgery Center Association. Medicare Cost Savings Tied to Ambulatory Surgery Centers (Rep.). (2013, September 10). Available: https://www.ascassociation.org/HigherLogic/System/DownloadDocumentFile.ashx?DocumentFileKey=7b33b916-</w:t>
      </w:r>
    </w:p>
    <w:p w14:paraId="31712B5D" w14:textId="286DDEC3" w:rsidR="00B9062A" w:rsidRPr="00D24B70" w:rsidRDefault="00B9062A" w:rsidP="00FA6BB2">
      <w:pPr>
        <w:pStyle w:val="EndnoteText"/>
        <w:rPr>
          <w:rFonts w:ascii="Garamond" w:hAnsi="Garamond" w:cs="Calibri"/>
        </w:rPr>
      </w:pPr>
      <w:r w:rsidRPr="00D24B70">
        <w:rPr>
          <w:rFonts w:ascii="Garamond" w:hAnsi="Garamond" w:cs="Calibri"/>
        </w:rPr>
        <w:t>f3f1-42e5-a646-35cc2f38fe4d&amp;forceDialog=0</w:t>
      </w:r>
      <w:r w:rsidR="001F273E">
        <w:rPr>
          <w:rFonts w:ascii="Garamond" w:hAnsi="Garamond" w:cs="Calibri"/>
        </w:rPr>
        <w:t xml:space="preserve"> </w:t>
      </w:r>
      <w:r w:rsidRPr="00D24B70">
        <w:rPr>
          <w:rFonts w:ascii="Garamond" w:hAnsi="Garamond" w:cs="Calibri"/>
        </w:rPr>
        <w:t xml:space="preserve">     </w:t>
      </w:r>
    </w:p>
  </w:endnote>
  <w:endnote w:id="42">
    <w:p w14:paraId="5F052E2E" w14:textId="14AC25AA" w:rsidR="00B9062A" w:rsidRPr="00D24B70" w:rsidRDefault="00B9062A" w:rsidP="00FA6BB2">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Advancing Surgical Care. Study: Commercial Insurance Cost Savings in Ambulatory Surgery Centers.                                </w:t>
      </w:r>
      <w:r w:rsidR="001F273E">
        <w:rPr>
          <w:rFonts w:ascii="Garamond" w:hAnsi="Garamond" w:cs="Calibri"/>
        </w:rPr>
        <w:t xml:space="preserve">                     Available:</w:t>
      </w:r>
      <w:hyperlink r:id="rId37" w:history="1">
        <w:r w:rsidRPr="00D24B70">
          <w:rPr>
            <w:rStyle w:val="Hyperlink"/>
            <w:rFonts w:ascii="Garamond" w:hAnsi="Garamond" w:cs="Calibri"/>
          </w:rPr>
          <w:t>https://www.ascassociation.org/advancingsurgicalcare/reducinghealthcarecosts/costsavings/healthcarebluebookstudy</w:t>
        </w:r>
      </w:hyperlink>
      <w:r w:rsidRPr="00D24B70">
        <w:rPr>
          <w:rFonts w:ascii="Garamond" w:hAnsi="Garamond" w:cs="Calibri"/>
        </w:rPr>
        <w:t xml:space="preserve">  </w:t>
      </w:r>
    </w:p>
  </w:endnote>
  <w:endnote w:id="43">
    <w:p w14:paraId="663F002C" w14:textId="5ADDFF29" w:rsidR="00B9062A" w:rsidRPr="00D24B70" w:rsidRDefault="00B9062A" w:rsidP="00716D9E">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KNG Health Consulting, LLC. Comparison of Medicare Fee-for-Service Beneficiaries Treated in Ambulatory Surgical Centers and H</w:t>
      </w:r>
      <w:r w:rsidR="001F273E">
        <w:rPr>
          <w:rFonts w:ascii="Garamond" w:hAnsi="Garamond"/>
        </w:rPr>
        <w:t xml:space="preserve">ospital Outpatient Departments. </w:t>
      </w:r>
      <w:r w:rsidRPr="00D24B70">
        <w:rPr>
          <w:rFonts w:ascii="Garamond" w:hAnsi="Garamond"/>
        </w:rPr>
        <w:t xml:space="preserve">Available: </w:t>
      </w:r>
      <w:hyperlink r:id="rId38" w:history="1">
        <w:r w:rsidRPr="00D24B70">
          <w:rPr>
            <w:rStyle w:val="Hyperlink"/>
            <w:rFonts w:ascii="Garamond" w:hAnsi="Garamond"/>
          </w:rPr>
          <w:t>https://www.aha.org/system/files/media/file/2019/04/kng-health-aha-analysis-of-hopd-vs-asc-report.pdf</w:t>
        </w:r>
      </w:hyperlink>
      <w:r w:rsidRPr="00D24B70">
        <w:rPr>
          <w:rFonts w:ascii="Garamond" w:hAnsi="Garamond"/>
        </w:rPr>
        <w:t xml:space="preserve"> </w:t>
      </w:r>
    </w:p>
  </w:endnote>
  <w:endnote w:id="44">
    <w:p w14:paraId="19F67666" w14:textId="6B1C4F0E" w:rsidR="00B9062A" w:rsidRPr="00D24B70" w:rsidRDefault="00B9062A" w:rsidP="009E78AF">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Report to the Congress: Medicare Payment Policy | March 2019. Chapter 5: Ambulatory Surgical Center Services. Available: </w:t>
      </w:r>
      <w:hyperlink r:id="rId39" w:history="1">
        <w:r w:rsidRPr="00D24B70">
          <w:rPr>
            <w:rStyle w:val="Hyperlink"/>
            <w:rFonts w:ascii="Garamond" w:hAnsi="Garamond"/>
          </w:rPr>
          <w:t>http://www.medpac.gov/docs/default-source/reports/mar19_medpac_ch5_sec.pdf?sfvrsn=0</w:t>
        </w:r>
      </w:hyperlink>
      <w:r w:rsidRPr="00D24B70">
        <w:rPr>
          <w:rFonts w:ascii="Garamond" w:hAnsi="Garamond"/>
        </w:rPr>
        <w:t xml:space="preserve"> </w:t>
      </w:r>
    </w:p>
  </w:endnote>
  <w:endnote w:id="45">
    <w:p w14:paraId="19712305" w14:textId="14F35A31" w:rsidR="00B9062A" w:rsidRPr="00D24B70" w:rsidRDefault="00B9062A" w:rsidP="0070318B">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Yaraghi, Niam. Procedure Price Lookup: A step toward transparency in the health care system. Brookings.</w:t>
      </w:r>
    </w:p>
    <w:p w14:paraId="3214C7EE" w14:textId="3C62FF4B" w:rsidR="00B9062A" w:rsidRPr="00D24B70" w:rsidRDefault="00B9062A" w:rsidP="0070318B">
      <w:pPr>
        <w:pStyle w:val="EndnoteText"/>
        <w:rPr>
          <w:rFonts w:ascii="Garamond" w:hAnsi="Garamond"/>
        </w:rPr>
      </w:pPr>
      <w:r w:rsidRPr="00D24B70">
        <w:rPr>
          <w:rFonts w:ascii="Garamond" w:hAnsi="Garamond"/>
        </w:rPr>
        <w:t xml:space="preserve">Wednesday, January 30, 2019. Available: </w:t>
      </w:r>
      <w:hyperlink r:id="rId40" w:history="1">
        <w:r w:rsidRPr="00D24B70">
          <w:rPr>
            <w:rStyle w:val="Hyperlink"/>
            <w:rFonts w:ascii="Garamond" w:hAnsi="Garamond"/>
          </w:rPr>
          <w:t>https://www.brookings.edu/blog/techtank/2019/01/30/procedure-price-lookup-a-step-toward-transparency-in-the-health-care-system/</w:t>
        </w:r>
      </w:hyperlink>
      <w:r w:rsidRPr="00D24B70">
        <w:rPr>
          <w:rFonts w:ascii="Garamond" w:hAnsi="Garamond"/>
        </w:rPr>
        <w:t xml:space="preserve"> </w:t>
      </w:r>
    </w:p>
  </w:endnote>
  <w:endnote w:id="46">
    <w:p w14:paraId="1254EC88" w14:textId="3A853A02" w:rsidR="00B9062A" w:rsidRPr="00D24B70" w:rsidRDefault="00B9062A" w:rsidP="003A30B5">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Ambulatory Surgery Center Association. ASCs: A Positive T</w:t>
      </w:r>
      <w:r w:rsidR="00703843">
        <w:rPr>
          <w:rFonts w:ascii="Garamond" w:hAnsi="Garamond" w:cs="Calibri"/>
        </w:rPr>
        <w:t xml:space="preserve">rend in Health Care. Available: </w:t>
      </w:r>
      <w:hyperlink r:id="rId41" w:history="1">
        <w:r w:rsidRPr="00D24B70">
          <w:rPr>
            <w:rStyle w:val="Hyperlink"/>
            <w:rFonts w:ascii="Garamond" w:hAnsi="Garamond" w:cs="Calibri"/>
          </w:rPr>
          <w:t>https://www.ascassociation.org/advancingsurgicalcare/aboutascs/industryoverview/apositivetrendinhealthcare</w:t>
        </w:r>
      </w:hyperlink>
      <w:r w:rsidRPr="00D24B70">
        <w:rPr>
          <w:rFonts w:ascii="Garamond" w:hAnsi="Garamond" w:cs="Calibri"/>
        </w:rPr>
        <w:t xml:space="preserve"> </w:t>
      </w:r>
      <w:r w:rsidRPr="00D24B70" w:rsidDel="00E24DBC">
        <w:rPr>
          <w:rFonts w:ascii="Garamond" w:hAnsi="Garamond" w:cs="Calibri"/>
        </w:rPr>
        <w:t xml:space="preserve"> </w:t>
      </w:r>
      <w:r w:rsidRPr="00D24B70">
        <w:rPr>
          <w:rFonts w:ascii="Garamond" w:hAnsi="Garamond" w:cs="Calibri"/>
        </w:rPr>
        <w:t xml:space="preserve"> </w:t>
      </w:r>
    </w:p>
  </w:endnote>
  <w:endnote w:id="47">
    <w:p w14:paraId="3C62DFB2" w14:textId="73112755" w:rsidR="00361064" w:rsidRPr="00D24B70" w:rsidRDefault="00361064">
      <w:pPr>
        <w:pStyle w:val="EndnoteText"/>
        <w:rPr>
          <w:rFonts w:ascii="Garamond" w:eastAsia="Times New Roman" w:hAnsi="Garamond" w:cs="Times New Roman"/>
        </w:rPr>
      </w:pPr>
      <w:r w:rsidRPr="00D24B70">
        <w:rPr>
          <w:rStyle w:val="EndnoteReference"/>
          <w:rFonts w:ascii="Garamond" w:hAnsi="Garamond"/>
        </w:rPr>
        <w:endnoteRef/>
      </w:r>
      <w:r w:rsidRPr="00D24B70">
        <w:rPr>
          <w:rFonts w:ascii="Garamond" w:hAnsi="Garamond"/>
        </w:rPr>
        <w:t xml:space="preserve"> </w:t>
      </w:r>
      <w:r w:rsidRPr="00D24B70">
        <w:rPr>
          <w:rFonts w:ascii="Garamond" w:eastAsia="Times New Roman" w:hAnsi="Garamond" w:cs="Times New Roman"/>
        </w:rPr>
        <w:t>Robinson JC, Brown T, Whaley C. Reference-based benefit design changes consumers' choices and employers' payments for ambulatory surgery. Health Aff (Millwood). 2015 Mar;34(3):415-22. doi: 10.1377/hlthaff.2014.1198. PMID: 25732491.</w:t>
      </w:r>
    </w:p>
  </w:endnote>
  <w:endnote w:id="48">
    <w:p w14:paraId="0411235D" w14:textId="77777777" w:rsidR="00B9062A" w:rsidRPr="00D24B70" w:rsidRDefault="00B9062A" w:rsidP="00ED5DAF">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HOPDs vs. ASCs: understanding payment differences. Available: </w:t>
      </w:r>
      <w:hyperlink r:id="rId42" w:history="1">
        <w:r w:rsidRPr="00D24B70">
          <w:rPr>
            <w:rStyle w:val="Hyperlink"/>
            <w:rFonts w:ascii="Garamond" w:hAnsi="Garamond" w:cs="Calibri"/>
          </w:rPr>
          <w:t>https://www.pyapc.com/wp-content/uploads/2019/04/0419_HFM_McMillan.pdf</w:t>
        </w:r>
      </w:hyperlink>
      <w:r w:rsidRPr="00D24B70">
        <w:rPr>
          <w:rFonts w:ascii="Garamond" w:hAnsi="Garamond" w:cs="Calibri"/>
        </w:rPr>
        <w:t xml:space="preserve"> </w:t>
      </w:r>
    </w:p>
  </w:endnote>
  <w:endnote w:id="49">
    <w:p w14:paraId="0ACA81FE" w14:textId="77777777" w:rsidR="00B9062A" w:rsidRPr="00D24B70" w:rsidRDefault="00B9062A" w:rsidP="00741369">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Samii N, Shining a Light on the Value of Value-Based Care: ASCs are positioned to lead the way. Beckers ASC Review. Available: </w:t>
      </w:r>
      <w:hyperlink r:id="rId43" w:history="1">
        <w:r w:rsidRPr="00D24B70">
          <w:rPr>
            <w:rStyle w:val="Hyperlink"/>
            <w:rFonts w:ascii="Garamond" w:hAnsi="Garamond" w:cs="Calibri"/>
          </w:rPr>
          <w:t>https://www.beckersasc.com/asc-coding-billing-and-collections/shining-a-light-on-the-value-of-value-based-care-ascs-are-positioned-to-lead-the-way.html</w:t>
        </w:r>
      </w:hyperlink>
      <w:r w:rsidRPr="00D24B70">
        <w:rPr>
          <w:rFonts w:ascii="Garamond" w:hAnsi="Garamond" w:cs="Calibri"/>
        </w:rPr>
        <w:t xml:space="preserve"> </w:t>
      </w:r>
    </w:p>
  </w:endnote>
  <w:endnote w:id="50">
    <w:p w14:paraId="15E9A77F" w14:textId="77DE0ABE" w:rsidR="00B9062A" w:rsidRPr="00D24B70" w:rsidRDefault="00B9062A" w:rsidP="00741369">
      <w:pPr>
        <w:pStyle w:val="EndnoteText"/>
        <w:rPr>
          <w:rFonts w:ascii="Garamond" w:hAnsi="Garamond" w:cs="Calibri"/>
        </w:rPr>
      </w:pPr>
      <w:r w:rsidRPr="00D24B70">
        <w:rPr>
          <w:rStyle w:val="EndnoteReference"/>
          <w:rFonts w:ascii="Garamond" w:hAnsi="Garamond" w:cs="Calibri"/>
        </w:rPr>
        <w:endnoteRef/>
      </w:r>
      <w:r w:rsidRPr="00D24B70">
        <w:rPr>
          <w:rFonts w:ascii="Garamond" w:hAnsi="Garamond" w:cs="Calibri"/>
        </w:rPr>
        <w:t xml:space="preserve"> HOPDs vs. ASCs: und</w:t>
      </w:r>
      <w:r w:rsidR="00703843">
        <w:rPr>
          <w:rFonts w:ascii="Garamond" w:hAnsi="Garamond" w:cs="Calibri"/>
        </w:rPr>
        <w:t xml:space="preserve">erstanding payment differences. </w:t>
      </w:r>
      <w:r w:rsidRPr="00D24B70">
        <w:rPr>
          <w:rFonts w:ascii="Garamond" w:hAnsi="Garamond" w:cs="Calibri"/>
        </w:rPr>
        <w:t xml:space="preserve">Available: </w:t>
      </w:r>
      <w:hyperlink r:id="rId44" w:history="1">
        <w:r w:rsidRPr="00D24B70">
          <w:rPr>
            <w:rStyle w:val="Hyperlink"/>
            <w:rFonts w:ascii="Garamond" w:hAnsi="Garamond" w:cs="Calibri"/>
          </w:rPr>
          <w:t>https://www.pyapc.com/wp-content/uploads/2019/04/0419_HFM_McMillan.pdf</w:t>
        </w:r>
      </w:hyperlink>
      <w:r w:rsidRPr="00D24B70">
        <w:rPr>
          <w:rFonts w:ascii="Garamond" w:hAnsi="Garamond" w:cs="Calibri"/>
        </w:rPr>
        <w:t xml:space="preserve"> </w:t>
      </w:r>
    </w:p>
  </w:endnote>
  <w:endnote w:id="51">
    <w:p w14:paraId="43D29CBD" w14:textId="0D6A8692" w:rsidR="00B9062A" w:rsidRPr="00D24B70" w:rsidRDefault="00B9062A" w:rsidP="00AE382F">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w:t>
      </w:r>
      <w:r w:rsidR="00217B91" w:rsidRPr="00217B91">
        <w:rPr>
          <w:rFonts w:ascii="Garamond" w:hAnsi="Garamond"/>
        </w:rPr>
        <w:t xml:space="preserve">Munnich EL, Parente ST. Returns to specialization: Evidence from the outpatient surgery market. </w:t>
      </w:r>
      <w:r w:rsidR="00217B91" w:rsidRPr="00217B91">
        <w:rPr>
          <w:rFonts w:ascii="Garamond" w:hAnsi="Garamond"/>
          <w:i/>
          <w:iCs/>
        </w:rPr>
        <w:t>J Health Econ</w:t>
      </w:r>
      <w:r w:rsidR="00217B91" w:rsidRPr="00217B91">
        <w:rPr>
          <w:rFonts w:ascii="Garamond" w:hAnsi="Garamond"/>
        </w:rPr>
        <w:t>. 2018;57:147-167. doi:10.1016/j.jhealeco.2017.11.004</w:t>
      </w:r>
    </w:p>
  </w:endnote>
  <w:endnote w:id="52">
    <w:p w14:paraId="01D3E70A" w14:textId="5BFF1A2D" w:rsidR="00B9062A" w:rsidRPr="00D24B70" w:rsidRDefault="00B9062A" w:rsidP="00AE382F">
      <w:pPr>
        <w:pStyle w:val="EndnoteText"/>
        <w:rPr>
          <w:rFonts w:ascii="Garamond" w:hAnsi="Garamond"/>
        </w:rPr>
      </w:pPr>
      <w:r w:rsidRPr="00D24B70">
        <w:rPr>
          <w:rStyle w:val="EndnoteReference"/>
          <w:rFonts w:ascii="Garamond" w:hAnsi="Garamond"/>
        </w:rPr>
        <w:endnoteRef/>
      </w:r>
      <w:r w:rsidRPr="00D24B70">
        <w:rPr>
          <w:rFonts w:ascii="Garamond" w:hAnsi="Garamond"/>
        </w:rPr>
        <w:t xml:space="preserve"> </w:t>
      </w:r>
      <w:r w:rsidR="00217B91" w:rsidRPr="00217B91">
        <w:rPr>
          <w:rFonts w:ascii="Garamond" w:hAnsi="Garamond"/>
        </w:rPr>
        <w:t xml:space="preserve">Hollenbeck BK, Dunn RL, Suskind AM, Strope SA, Zhang Y, Hollingsworth JM. Ambulatory surgery centers and their intended effects on outpatient surgery. </w:t>
      </w:r>
      <w:r w:rsidR="00217B91" w:rsidRPr="00217B91">
        <w:rPr>
          <w:rFonts w:ascii="Garamond" w:hAnsi="Garamond"/>
          <w:i/>
          <w:iCs/>
        </w:rPr>
        <w:t>Health Serv Res</w:t>
      </w:r>
      <w:r w:rsidR="00217B91" w:rsidRPr="00217B91">
        <w:rPr>
          <w:rFonts w:ascii="Garamond" w:hAnsi="Garamond"/>
        </w:rPr>
        <w:t>. 2015;50(5):1491-1507. doi:10.1111/1475-6773.12278</w:t>
      </w:r>
    </w:p>
  </w:endnote>
  <w:endnote w:id="53">
    <w:p w14:paraId="569DBE22" w14:textId="122A6117" w:rsidR="00217B91" w:rsidRPr="00217B91" w:rsidRDefault="00217B91">
      <w:pPr>
        <w:pStyle w:val="EndnoteText"/>
        <w:rPr>
          <w:rFonts w:ascii="Garamond" w:hAnsi="Garamond"/>
        </w:rPr>
      </w:pPr>
      <w:r w:rsidRPr="00217B91">
        <w:rPr>
          <w:rStyle w:val="EndnoteReference"/>
          <w:rFonts w:ascii="Garamond" w:hAnsi="Garamond"/>
        </w:rPr>
        <w:endnoteRef/>
      </w:r>
      <w:r w:rsidRPr="00217B91">
        <w:rPr>
          <w:rFonts w:ascii="Garamond" w:hAnsi="Garamond"/>
        </w:rPr>
        <w:t xml:space="preserve"> Muunich EL, Parente ST. Procedures take less time at ambulatory surgery centers, keeping costs down and ability to meet demand up. </w:t>
      </w:r>
      <w:r w:rsidRPr="00217B91">
        <w:rPr>
          <w:rFonts w:ascii="Garamond" w:hAnsi="Garamond"/>
          <w:i/>
          <w:iCs/>
        </w:rPr>
        <w:t>Health Aff</w:t>
      </w:r>
      <w:r w:rsidRPr="00217B91">
        <w:rPr>
          <w:rFonts w:ascii="Garamond" w:hAnsi="Garamond"/>
        </w:rPr>
        <w:t>. 2014;33(5):764-769.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527"/>
      <w:docPartObj>
        <w:docPartGallery w:val="Page Numbers (Bottom of Page)"/>
        <w:docPartUnique/>
      </w:docPartObj>
    </w:sdtPr>
    <w:sdtEndPr>
      <w:rPr>
        <w:noProof/>
      </w:rPr>
    </w:sdtEndPr>
    <w:sdtContent>
      <w:p w14:paraId="5840DB8E" w14:textId="1A09AB81" w:rsidR="00B9062A" w:rsidRDefault="00B9062A">
        <w:pPr>
          <w:pStyle w:val="Footer"/>
          <w:jc w:val="center"/>
        </w:pPr>
        <w:r>
          <w:fldChar w:fldCharType="begin"/>
        </w:r>
        <w:r>
          <w:instrText xml:space="preserve"> PAGE   \* MERGEFORMAT </w:instrText>
        </w:r>
        <w:r>
          <w:fldChar w:fldCharType="separate"/>
        </w:r>
        <w:r w:rsidR="000A431B">
          <w:rPr>
            <w:noProof/>
          </w:rPr>
          <w:t>3</w:t>
        </w:r>
        <w:r>
          <w:rPr>
            <w:noProof/>
          </w:rPr>
          <w:fldChar w:fldCharType="end"/>
        </w:r>
      </w:p>
    </w:sdtContent>
  </w:sdt>
  <w:p w14:paraId="528E5BC7" w14:textId="77777777" w:rsidR="00B9062A" w:rsidRDefault="00B90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867123"/>
      <w:docPartObj>
        <w:docPartGallery w:val="Page Numbers (Bottom of Page)"/>
        <w:docPartUnique/>
      </w:docPartObj>
    </w:sdtPr>
    <w:sdtEndPr>
      <w:rPr>
        <w:noProof/>
      </w:rPr>
    </w:sdtEndPr>
    <w:sdtContent>
      <w:p w14:paraId="7101FF5C" w14:textId="6247EAC5" w:rsidR="00B9062A" w:rsidRDefault="00B9062A">
        <w:pPr>
          <w:pStyle w:val="Footer"/>
          <w:jc w:val="center"/>
        </w:pPr>
        <w:r>
          <w:fldChar w:fldCharType="begin"/>
        </w:r>
        <w:r>
          <w:instrText xml:space="preserve"> PAGE   \* MERGEFORMAT </w:instrText>
        </w:r>
        <w:r>
          <w:fldChar w:fldCharType="separate"/>
        </w:r>
        <w:r w:rsidR="000A431B">
          <w:rPr>
            <w:noProof/>
          </w:rPr>
          <w:t>1</w:t>
        </w:r>
        <w:r>
          <w:rPr>
            <w:noProof/>
          </w:rPr>
          <w:fldChar w:fldCharType="end"/>
        </w:r>
      </w:p>
    </w:sdtContent>
  </w:sdt>
  <w:p w14:paraId="15E0CD9D" w14:textId="77777777" w:rsidR="00B9062A" w:rsidRDefault="00B906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18266"/>
      <w:docPartObj>
        <w:docPartGallery w:val="Page Numbers (Bottom of Page)"/>
        <w:docPartUnique/>
      </w:docPartObj>
    </w:sdtPr>
    <w:sdtEndPr>
      <w:rPr>
        <w:rFonts w:ascii="Garamond" w:hAnsi="Garamond"/>
        <w:noProof/>
        <w:sz w:val="24"/>
        <w:szCs w:val="24"/>
      </w:rPr>
    </w:sdtEndPr>
    <w:sdtContent>
      <w:p w14:paraId="291BDEC9" w14:textId="43E5E14B" w:rsidR="00B9062A" w:rsidRPr="00FF59B1" w:rsidRDefault="00B9062A">
        <w:pPr>
          <w:pStyle w:val="Footer"/>
          <w:jc w:val="center"/>
          <w:rPr>
            <w:rFonts w:ascii="Garamond" w:hAnsi="Garamond"/>
            <w:sz w:val="24"/>
            <w:szCs w:val="24"/>
          </w:rPr>
        </w:pPr>
        <w:r w:rsidRPr="00FF59B1">
          <w:rPr>
            <w:rFonts w:ascii="Garamond" w:hAnsi="Garamond"/>
            <w:sz w:val="24"/>
            <w:szCs w:val="24"/>
          </w:rPr>
          <w:fldChar w:fldCharType="begin"/>
        </w:r>
        <w:r w:rsidRPr="00FF59B1">
          <w:rPr>
            <w:rFonts w:ascii="Garamond" w:hAnsi="Garamond"/>
            <w:sz w:val="24"/>
            <w:szCs w:val="24"/>
          </w:rPr>
          <w:instrText xml:space="preserve"> PAGE   \* MERGEFORMAT </w:instrText>
        </w:r>
        <w:r w:rsidRPr="00FF59B1">
          <w:rPr>
            <w:rFonts w:ascii="Garamond" w:hAnsi="Garamond"/>
            <w:sz w:val="24"/>
            <w:szCs w:val="24"/>
          </w:rPr>
          <w:fldChar w:fldCharType="separate"/>
        </w:r>
        <w:r w:rsidR="000A431B">
          <w:rPr>
            <w:rFonts w:ascii="Garamond" w:hAnsi="Garamond"/>
            <w:noProof/>
            <w:sz w:val="24"/>
            <w:szCs w:val="24"/>
          </w:rPr>
          <w:t>18</w:t>
        </w:r>
        <w:r w:rsidRPr="00FF59B1">
          <w:rPr>
            <w:rFonts w:ascii="Garamond" w:hAnsi="Garamond"/>
            <w:noProof/>
            <w:sz w:val="24"/>
            <w:szCs w:val="24"/>
          </w:rPr>
          <w:fldChar w:fldCharType="end"/>
        </w:r>
      </w:p>
    </w:sdtContent>
  </w:sdt>
  <w:p w14:paraId="2D3E7FB1" w14:textId="77777777" w:rsidR="00B9062A" w:rsidRDefault="00B90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EFBC7" w14:textId="77777777" w:rsidR="00B9062A" w:rsidRDefault="00B9062A" w:rsidP="008C0709">
      <w:pPr>
        <w:spacing w:after="0" w:line="240" w:lineRule="auto"/>
      </w:pPr>
      <w:r>
        <w:separator/>
      </w:r>
    </w:p>
  </w:footnote>
  <w:footnote w:type="continuationSeparator" w:id="0">
    <w:p w14:paraId="00108978" w14:textId="77777777" w:rsidR="00B9062A" w:rsidRDefault="00B9062A" w:rsidP="008C0709">
      <w:pPr>
        <w:spacing w:after="0" w:line="240" w:lineRule="auto"/>
      </w:pPr>
      <w:r>
        <w:continuationSeparator/>
      </w:r>
    </w:p>
  </w:footnote>
  <w:footnote w:id="1">
    <w:p w14:paraId="3AFEC245" w14:textId="77777777" w:rsidR="00B9062A" w:rsidRPr="00744093" w:rsidRDefault="00B9062A" w:rsidP="005443BA">
      <w:pPr>
        <w:pStyle w:val="FootnoteText"/>
        <w:rPr>
          <w:rFonts w:ascii="Calibri" w:hAnsi="Calibri" w:cs="Calibri"/>
          <w:sz w:val="18"/>
          <w:szCs w:val="18"/>
        </w:rPr>
      </w:pPr>
      <w:r w:rsidRPr="00744093">
        <w:rPr>
          <w:rStyle w:val="FootnoteReference"/>
          <w:rFonts w:ascii="Calibri" w:hAnsi="Calibri" w:cs="Calibri"/>
          <w:sz w:val="18"/>
          <w:szCs w:val="18"/>
        </w:rPr>
        <w:footnoteRef/>
      </w:r>
      <w:r w:rsidRPr="00744093">
        <w:rPr>
          <w:rFonts w:ascii="Calibri" w:hAnsi="Calibri" w:cs="Calibri"/>
          <w:sz w:val="18"/>
          <w:szCs w:val="18"/>
        </w:rPr>
        <w:t xml:space="preserve"> 3: Sufficient evidence of compliance and good standing with federal, state, and local laws and regulations</w:t>
      </w:r>
    </w:p>
    <w:p w14:paraId="05DA6781" w14:textId="20B8A435" w:rsidR="00B9062A" w:rsidRPr="003F6C57" w:rsidRDefault="00B9062A" w:rsidP="005443BA">
      <w:pPr>
        <w:pStyle w:val="FootnoteText"/>
        <w:rPr>
          <w:rFonts w:cstheme="minorHAnsi"/>
          <w:sz w:val="16"/>
          <w:szCs w:val="16"/>
        </w:rPr>
      </w:pPr>
      <w:r w:rsidRPr="00744093">
        <w:rPr>
          <w:rFonts w:ascii="Calibri" w:hAnsi="Calibri" w:cs="Calibri"/>
          <w:sz w:val="18"/>
          <w:szCs w:val="18"/>
        </w:rPr>
        <w:t>4: Sufficient documentation of the availability of sufficient funds for capital and ongoing operating costs necessary to support the Project without negative impacts or consequences to the Applicant's existing Patient Panel 5: The … Project, on balance, is superior to alternative and substitute methods for meeting … Patient Panel needs.</w:t>
      </w:r>
    </w:p>
  </w:footnote>
  <w:footnote w:id="2">
    <w:p w14:paraId="7B73D94E" w14:textId="471170B9" w:rsidR="00B9062A" w:rsidRPr="00C30665" w:rsidRDefault="00B9062A" w:rsidP="00C30665">
      <w:pPr>
        <w:pStyle w:val="FootnoteText"/>
        <w:rPr>
          <w:sz w:val="18"/>
          <w:szCs w:val="18"/>
        </w:rPr>
      </w:pPr>
      <w:r w:rsidRPr="00C30665">
        <w:rPr>
          <w:rStyle w:val="FootnoteReference"/>
          <w:sz w:val="18"/>
          <w:szCs w:val="18"/>
        </w:rPr>
        <w:footnoteRef/>
      </w:r>
      <w:r w:rsidRPr="00C30665">
        <w:rPr>
          <w:sz w:val="18"/>
          <w:szCs w:val="18"/>
        </w:rPr>
        <w:t xml:space="preserve"> An Expansion, Conversion, Transfer of Ownership, transfer of Site, or change of designated Location for a Freestanding Ambulatory Surgery Center that received an Original License as a Clinic on or before January 1, 2017.</w:t>
      </w:r>
    </w:p>
  </w:footnote>
  <w:footnote w:id="3">
    <w:p w14:paraId="751726E2" w14:textId="77777777" w:rsidR="00B9062A" w:rsidRPr="00264E5C" w:rsidRDefault="00B9062A" w:rsidP="009E3954">
      <w:pPr>
        <w:pStyle w:val="FootnoteText"/>
        <w:contextualSpacing/>
        <w:rPr>
          <w:rFonts w:ascii="Calibri" w:hAnsi="Calibri" w:cs="Calibri"/>
          <w:sz w:val="18"/>
          <w:szCs w:val="18"/>
        </w:rPr>
      </w:pPr>
      <w:r w:rsidRPr="00C30665">
        <w:rPr>
          <w:rStyle w:val="FootnoteReference"/>
          <w:rFonts w:ascii="Calibri" w:hAnsi="Calibri" w:cs="Calibri"/>
          <w:sz w:val="18"/>
          <w:szCs w:val="18"/>
        </w:rPr>
        <w:footnoteRef/>
      </w:r>
      <w:r w:rsidRPr="00C30665">
        <w:rPr>
          <w:rFonts w:ascii="Calibri" w:hAnsi="Calibri" w:cs="Calibri"/>
          <w:sz w:val="18"/>
          <w:szCs w:val="18"/>
        </w:rPr>
        <w:t xml:space="preserve"> As defined in 105 CMR 100.100, Patient Panel is the total of the individual patients regardless of payer, including those</w:t>
      </w:r>
      <w:r w:rsidRPr="00264E5C">
        <w:rPr>
          <w:rFonts w:ascii="Calibri" w:hAnsi="Calibri" w:cs="Calibri"/>
          <w:sz w:val="18"/>
          <w:szCs w:val="18"/>
        </w:rPr>
        <w:t xml:space="preserve"> patients seen within an emergency department(s) if applicable, seen over the course of the most recent complete 36-month period by the Applicant or Holder.</w:t>
      </w:r>
    </w:p>
  </w:footnote>
  <w:footnote w:id="4">
    <w:p w14:paraId="2DB6FFDC" w14:textId="7DDAF890" w:rsidR="00B9062A" w:rsidRPr="00264E5C" w:rsidRDefault="00B9062A">
      <w:pPr>
        <w:pStyle w:val="FootnoteText"/>
        <w:rPr>
          <w:sz w:val="18"/>
          <w:szCs w:val="18"/>
        </w:rPr>
      </w:pPr>
      <w:r w:rsidRPr="00264E5C">
        <w:rPr>
          <w:rStyle w:val="FootnoteReference"/>
          <w:sz w:val="18"/>
          <w:szCs w:val="18"/>
        </w:rPr>
        <w:footnoteRef/>
      </w:r>
      <w:r w:rsidRPr="00264E5C">
        <w:rPr>
          <w:sz w:val="18"/>
          <w:szCs w:val="18"/>
        </w:rPr>
        <w:t xml:space="preserve"> Patient Panel by Specialty</w:t>
      </w:r>
      <w:r>
        <w:rPr>
          <w:sz w:val="18"/>
          <w:szCs w:val="18"/>
        </w:rPr>
        <w:t xml:space="preserve"> (2019)</w:t>
      </w:r>
      <w:r w:rsidRPr="00264E5C">
        <w:rPr>
          <w:sz w:val="18"/>
          <w:szCs w:val="18"/>
        </w:rPr>
        <w:t>: Otolaryngology (29%), Urology (20%), Ophthalmology (20%), Pain Management (12%), Orthopedics (13%), Podiatry (3%), Plastics (2%), General (1%).</w:t>
      </w:r>
    </w:p>
  </w:footnote>
  <w:footnote w:id="5">
    <w:p w14:paraId="4CFE30D8" w14:textId="04AE3BDF" w:rsidR="00B9062A" w:rsidRPr="00AF69FB" w:rsidRDefault="00B9062A" w:rsidP="00A15D9F">
      <w:pPr>
        <w:pStyle w:val="FootnoteText"/>
        <w:rPr>
          <w:sz w:val="18"/>
          <w:szCs w:val="18"/>
        </w:rPr>
      </w:pPr>
      <w:r w:rsidRPr="00AF69FB">
        <w:rPr>
          <w:rStyle w:val="FootnoteReference"/>
          <w:sz w:val="18"/>
          <w:szCs w:val="18"/>
        </w:rPr>
        <w:footnoteRef/>
      </w:r>
      <w:r w:rsidRPr="00AF69FB">
        <w:rPr>
          <w:sz w:val="18"/>
          <w:szCs w:val="18"/>
        </w:rPr>
        <w:t xml:space="preserve"> US Census Bureau QuickFacts Essex County, Massachusetts: White alone (85.1%), Black of African-American alone (7.1%), American Indian and Alaska Native alone (0.9%), Asian alone (3.9%), Native Hawaiian and Other Pacific Islander alone (0.2%),  Two or more races (2.8%), Hispanic or Latino (22.2%), White alone</w:t>
      </w:r>
      <w:r>
        <w:rPr>
          <w:sz w:val="18"/>
          <w:szCs w:val="18"/>
        </w:rPr>
        <w:t>,</w:t>
      </w:r>
      <w:r w:rsidRPr="00AF69FB">
        <w:rPr>
          <w:sz w:val="18"/>
          <w:szCs w:val="18"/>
        </w:rPr>
        <w:t xml:space="preserve"> not Hispanic or Latino (</w:t>
      </w:r>
      <w:r>
        <w:rPr>
          <w:sz w:val="18"/>
          <w:szCs w:val="18"/>
        </w:rPr>
        <w:t>6</w:t>
      </w:r>
      <w:r w:rsidRPr="00AF69FB">
        <w:rPr>
          <w:sz w:val="18"/>
          <w:szCs w:val="18"/>
        </w:rPr>
        <w:t xml:space="preserve">9.0%). </w:t>
      </w:r>
    </w:p>
  </w:footnote>
  <w:footnote w:id="6">
    <w:p w14:paraId="1DC76907" w14:textId="337FA286" w:rsidR="00B9062A" w:rsidRPr="00264E5C" w:rsidRDefault="00B9062A" w:rsidP="00816893">
      <w:pPr>
        <w:pStyle w:val="FootnoteText"/>
        <w:contextualSpacing/>
        <w:rPr>
          <w:rFonts w:ascii="Calibri" w:hAnsi="Calibri" w:cs="Calibri"/>
          <w:sz w:val="18"/>
          <w:szCs w:val="18"/>
        </w:rPr>
      </w:pPr>
      <w:r w:rsidRPr="00264E5C">
        <w:rPr>
          <w:rStyle w:val="FootnoteReference"/>
          <w:rFonts w:ascii="Calibri" w:hAnsi="Calibri" w:cs="Calibri"/>
          <w:sz w:val="18"/>
          <w:szCs w:val="18"/>
        </w:rPr>
        <w:footnoteRef/>
      </w:r>
      <w:r w:rsidRPr="00264E5C">
        <w:rPr>
          <w:rFonts w:ascii="Calibri" w:hAnsi="Calibri" w:cs="Calibri"/>
          <w:sz w:val="18"/>
          <w:szCs w:val="18"/>
        </w:rPr>
        <w:t xml:space="preserve"> Based on self-reporting, and reflects 75% of patients served in 2019. </w:t>
      </w:r>
    </w:p>
  </w:footnote>
  <w:footnote w:id="7">
    <w:p w14:paraId="3A2DA3D4" w14:textId="77777777" w:rsidR="00411E59" w:rsidRPr="00264E5C" w:rsidRDefault="00411E59" w:rsidP="00411E59">
      <w:pPr>
        <w:pStyle w:val="FootnoteText"/>
        <w:rPr>
          <w:sz w:val="18"/>
          <w:szCs w:val="18"/>
        </w:rPr>
      </w:pPr>
      <w:r w:rsidRPr="00264E5C">
        <w:rPr>
          <w:rStyle w:val="FootnoteReference"/>
          <w:sz w:val="18"/>
          <w:szCs w:val="18"/>
        </w:rPr>
        <w:footnoteRef/>
      </w:r>
      <w:r w:rsidRPr="00264E5C">
        <w:rPr>
          <w:sz w:val="18"/>
          <w:szCs w:val="18"/>
        </w:rPr>
        <w:t xml:space="preserve"> </w:t>
      </w:r>
      <w:r>
        <w:rPr>
          <w:sz w:val="18"/>
          <w:szCs w:val="18"/>
        </w:rPr>
        <w:t xml:space="preserve">All cities/towns are in Essex County except Wilmington, MA which is in Middlesex County. </w:t>
      </w:r>
    </w:p>
  </w:footnote>
  <w:footnote w:id="8">
    <w:p w14:paraId="6F60B6FB" w14:textId="26C8C005" w:rsidR="00B9062A" w:rsidRPr="00264E5C" w:rsidRDefault="00B9062A">
      <w:pPr>
        <w:pStyle w:val="FootnoteText"/>
        <w:rPr>
          <w:rFonts w:ascii="Calibri" w:hAnsi="Calibri" w:cs="Calibri"/>
          <w:sz w:val="18"/>
          <w:szCs w:val="18"/>
        </w:rPr>
      </w:pPr>
      <w:r w:rsidRPr="00264E5C">
        <w:rPr>
          <w:rStyle w:val="FootnoteReference"/>
          <w:rFonts w:ascii="Calibri" w:hAnsi="Calibri" w:cs="Calibri"/>
          <w:sz w:val="18"/>
          <w:szCs w:val="18"/>
        </w:rPr>
        <w:footnoteRef/>
      </w:r>
      <w:r w:rsidRPr="00264E5C">
        <w:rPr>
          <w:rFonts w:ascii="Calibri" w:hAnsi="Calibri" w:cs="Calibri"/>
          <w:sz w:val="18"/>
          <w:szCs w:val="18"/>
        </w:rPr>
        <w:t xml:space="preserve"> </w:t>
      </w:r>
      <w:r>
        <w:rPr>
          <w:rFonts w:ascii="Calibri" w:hAnsi="Calibri" w:cs="Calibri"/>
          <w:sz w:val="18"/>
          <w:szCs w:val="18"/>
        </w:rPr>
        <w:t>In general, many</w:t>
      </w:r>
      <w:r w:rsidRPr="00264E5C">
        <w:rPr>
          <w:rFonts w:ascii="Calibri" w:hAnsi="Calibri" w:cs="Calibri"/>
          <w:sz w:val="18"/>
          <w:szCs w:val="18"/>
        </w:rPr>
        <w:t xml:space="preserve"> patients require multiple visits.</w:t>
      </w:r>
    </w:p>
  </w:footnote>
  <w:footnote w:id="9">
    <w:p w14:paraId="5FFC3BC6" w14:textId="6D66B726" w:rsidR="00B9062A" w:rsidRPr="00264E5C" w:rsidRDefault="00B9062A" w:rsidP="00DE2945">
      <w:pPr>
        <w:pStyle w:val="FootnoteText"/>
        <w:rPr>
          <w:sz w:val="18"/>
          <w:szCs w:val="18"/>
        </w:rPr>
      </w:pPr>
      <w:r w:rsidRPr="00264E5C">
        <w:rPr>
          <w:rStyle w:val="FootnoteReference"/>
          <w:sz w:val="18"/>
          <w:szCs w:val="18"/>
        </w:rPr>
        <w:footnoteRef/>
      </w:r>
      <w:r w:rsidRPr="00264E5C">
        <w:rPr>
          <w:sz w:val="18"/>
          <w:szCs w:val="18"/>
        </w:rPr>
        <w:t xml:space="preserve"> Collection of data for complex pain procedures began </w:t>
      </w:r>
      <w:r w:rsidR="004778A9" w:rsidRPr="00264E5C">
        <w:rPr>
          <w:sz w:val="18"/>
          <w:szCs w:val="18"/>
        </w:rPr>
        <w:t xml:space="preserve">in </w:t>
      </w:r>
      <w:r w:rsidR="004778A9">
        <w:rPr>
          <w:sz w:val="18"/>
          <w:szCs w:val="18"/>
        </w:rPr>
        <w:t xml:space="preserve">2016 </w:t>
      </w:r>
      <w:r w:rsidR="004778A9" w:rsidRPr="00264E5C">
        <w:rPr>
          <w:sz w:val="18"/>
          <w:szCs w:val="18"/>
        </w:rPr>
        <w:t>after</w:t>
      </w:r>
      <w:r w:rsidRPr="00264E5C">
        <w:rPr>
          <w:sz w:val="18"/>
          <w:szCs w:val="18"/>
        </w:rPr>
        <w:t xml:space="preserve"> CMS changed payment </w:t>
      </w:r>
      <w:r w:rsidR="004778A9">
        <w:rPr>
          <w:sz w:val="18"/>
          <w:szCs w:val="18"/>
        </w:rPr>
        <w:t xml:space="preserve">rationale </w:t>
      </w:r>
      <w:r w:rsidR="004778A9" w:rsidRPr="00264E5C">
        <w:rPr>
          <w:sz w:val="18"/>
          <w:szCs w:val="18"/>
        </w:rPr>
        <w:t>for</w:t>
      </w:r>
      <w:r w:rsidRPr="00264E5C">
        <w:rPr>
          <w:sz w:val="18"/>
          <w:szCs w:val="18"/>
        </w:rPr>
        <w:t xml:space="preserve"> interventional pain management</w:t>
      </w:r>
      <w:r w:rsidR="001B1201">
        <w:rPr>
          <w:sz w:val="18"/>
          <w:szCs w:val="18"/>
        </w:rPr>
        <w:t>.</w:t>
      </w:r>
    </w:p>
  </w:footnote>
  <w:footnote w:id="10">
    <w:p w14:paraId="6652DC07" w14:textId="77777777" w:rsidR="00B9062A" w:rsidRPr="00744093" w:rsidRDefault="00B9062A" w:rsidP="00AE433F">
      <w:pPr>
        <w:pStyle w:val="FootnoteText"/>
        <w:rPr>
          <w:rFonts w:ascii="Calibri" w:hAnsi="Calibri" w:cs="Calibri"/>
          <w:sz w:val="16"/>
          <w:szCs w:val="16"/>
        </w:rPr>
      </w:pPr>
      <w:r w:rsidRPr="00264E5C">
        <w:rPr>
          <w:rStyle w:val="FootnoteReference"/>
          <w:rFonts w:ascii="Calibri" w:hAnsi="Calibri" w:cs="Calibri"/>
          <w:sz w:val="18"/>
          <w:szCs w:val="18"/>
        </w:rPr>
        <w:footnoteRef/>
      </w:r>
      <w:r w:rsidRPr="00264E5C">
        <w:rPr>
          <w:rFonts w:ascii="Calibri" w:hAnsi="Calibri" w:cs="Calibri"/>
          <w:sz w:val="18"/>
          <w:szCs w:val="18"/>
        </w:rPr>
        <w:t xml:space="preserve"> Minimally invasive procedure designed to relieve back pain associated with lumbar spinal stenosis (LSS) by restoring the normal space between the vertebrae.</w:t>
      </w:r>
    </w:p>
  </w:footnote>
  <w:footnote w:id="11">
    <w:p w14:paraId="13CFD7EE" w14:textId="77777777" w:rsidR="00B9062A" w:rsidRPr="00264E5C" w:rsidRDefault="00B9062A" w:rsidP="00AE433F">
      <w:pPr>
        <w:pStyle w:val="FootnoteText"/>
        <w:rPr>
          <w:rFonts w:ascii="Calibri" w:hAnsi="Calibri" w:cs="Calibri"/>
          <w:sz w:val="18"/>
          <w:szCs w:val="18"/>
        </w:rPr>
      </w:pPr>
      <w:r w:rsidRPr="00264E5C">
        <w:rPr>
          <w:rStyle w:val="FootnoteReference"/>
          <w:rFonts w:ascii="Calibri" w:hAnsi="Calibri" w:cs="Calibri"/>
          <w:sz w:val="18"/>
          <w:szCs w:val="18"/>
        </w:rPr>
        <w:footnoteRef/>
      </w:r>
      <w:r w:rsidRPr="00264E5C">
        <w:rPr>
          <w:rFonts w:ascii="Calibri" w:hAnsi="Calibri" w:cs="Calibri"/>
          <w:sz w:val="18"/>
          <w:szCs w:val="18"/>
        </w:rPr>
        <w:t xml:space="preserve"> Outpatient procedure that helps patients diagnosed with lumbar spinal stenosis (LSS) stand longer and walk farther with less pain. The Applicant notes the MILD procedure is only performed on patients age 65 and older who have not had success with epidural steroid injections (ESI).</w:t>
      </w:r>
    </w:p>
  </w:footnote>
  <w:footnote w:id="12">
    <w:p w14:paraId="71C6D229" w14:textId="76E48937" w:rsidR="00B9062A" w:rsidRPr="00264E5C" w:rsidRDefault="00B9062A">
      <w:pPr>
        <w:pStyle w:val="FootnoteText"/>
        <w:rPr>
          <w:sz w:val="18"/>
          <w:szCs w:val="18"/>
        </w:rPr>
      </w:pPr>
      <w:r w:rsidRPr="00264E5C">
        <w:rPr>
          <w:rStyle w:val="FootnoteReference"/>
          <w:sz w:val="18"/>
          <w:szCs w:val="18"/>
        </w:rPr>
        <w:footnoteRef/>
      </w:r>
      <w:r w:rsidRPr="00264E5C">
        <w:rPr>
          <w:sz w:val="18"/>
          <w:szCs w:val="18"/>
        </w:rPr>
        <w:t xml:space="preserve"> Collection of data for otolaryngology cases began in May, 2018</w:t>
      </w:r>
      <w:r>
        <w:rPr>
          <w:sz w:val="18"/>
          <w:szCs w:val="18"/>
        </w:rPr>
        <w:t>.</w:t>
      </w:r>
    </w:p>
  </w:footnote>
  <w:footnote w:id="13">
    <w:p w14:paraId="3EF345C4" w14:textId="77777777" w:rsidR="00B9062A" w:rsidRPr="00264E5C" w:rsidRDefault="00B9062A" w:rsidP="00AE433F">
      <w:pPr>
        <w:pStyle w:val="FootnoteText"/>
        <w:rPr>
          <w:sz w:val="18"/>
          <w:szCs w:val="18"/>
        </w:rPr>
      </w:pPr>
      <w:r w:rsidRPr="00264E5C">
        <w:rPr>
          <w:rStyle w:val="FootnoteReference"/>
          <w:rFonts w:ascii="Calibri" w:hAnsi="Calibri" w:cs="Calibri"/>
          <w:sz w:val="18"/>
          <w:szCs w:val="18"/>
        </w:rPr>
        <w:footnoteRef/>
      </w:r>
      <w:r w:rsidRPr="00264E5C">
        <w:rPr>
          <w:rFonts w:ascii="Calibri" w:hAnsi="Calibri" w:cs="Calibri"/>
          <w:sz w:val="18"/>
          <w:szCs w:val="18"/>
        </w:rPr>
        <w:t xml:space="preserve"> Both require general anesthesia.</w:t>
      </w:r>
    </w:p>
  </w:footnote>
  <w:footnote w:id="14">
    <w:p w14:paraId="0581B5E7" w14:textId="0F5261C3" w:rsidR="00B9062A" w:rsidRPr="00264E5C" w:rsidRDefault="00B9062A">
      <w:pPr>
        <w:pStyle w:val="FootnoteText"/>
        <w:rPr>
          <w:rFonts w:ascii="Calibri" w:hAnsi="Calibri" w:cs="Calibri"/>
          <w:sz w:val="18"/>
          <w:szCs w:val="18"/>
        </w:rPr>
      </w:pPr>
      <w:r w:rsidRPr="00264E5C">
        <w:rPr>
          <w:rStyle w:val="FootnoteReference"/>
          <w:rFonts w:ascii="Calibri" w:hAnsi="Calibri" w:cs="Calibri"/>
          <w:sz w:val="18"/>
          <w:szCs w:val="18"/>
        </w:rPr>
        <w:footnoteRef/>
      </w:r>
      <w:r w:rsidRPr="00264E5C">
        <w:rPr>
          <w:rFonts w:ascii="Calibri" w:hAnsi="Calibri" w:cs="Calibri"/>
          <w:sz w:val="18"/>
          <w:szCs w:val="18"/>
        </w:rPr>
        <w:t xml:space="preserve"> The additional orthopedic surgeons increased the number of shoulder and knee arthroscopies; and added foot, ankle, and hand procedures, the majority requiring general anesthesia.</w:t>
      </w:r>
    </w:p>
  </w:footnote>
  <w:footnote w:id="15">
    <w:p w14:paraId="3ABA2F84" w14:textId="59463050" w:rsidR="00B9062A" w:rsidRPr="00264E5C" w:rsidRDefault="00B9062A">
      <w:pPr>
        <w:pStyle w:val="FootnoteText"/>
        <w:rPr>
          <w:rFonts w:ascii="Calibri" w:hAnsi="Calibri" w:cs="Calibri"/>
          <w:sz w:val="18"/>
          <w:szCs w:val="18"/>
        </w:rPr>
      </w:pPr>
      <w:r w:rsidRPr="00264E5C">
        <w:rPr>
          <w:rStyle w:val="FootnoteReference"/>
          <w:rFonts w:ascii="Calibri" w:hAnsi="Calibri" w:cs="Calibri"/>
          <w:sz w:val="18"/>
          <w:szCs w:val="18"/>
        </w:rPr>
        <w:footnoteRef/>
      </w:r>
      <w:r w:rsidRPr="00264E5C">
        <w:rPr>
          <w:rFonts w:ascii="Calibri" w:hAnsi="Calibri" w:cs="Calibri"/>
          <w:sz w:val="18"/>
          <w:szCs w:val="18"/>
        </w:rPr>
        <w:t xml:space="preserve"> Additional surgeries include large mass removal, open hernia repairs, breast biopsies, and hemorrhoid procedures.</w:t>
      </w:r>
    </w:p>
  </w:footnote>
  <w:footnote w:id="16">
    <w:p w14:paraId="52F22EB7" w14:textId="2A712079" w:rsidR="00B9062A" w:rsidRPr="00264E5C" w:rsidRDefault="00B9062A" w:rsidP="00A52E4E">
      <w:pPr>
        <w:pStyle w:val="FootnoteText"/>
        <w:rPr>
          <w:rFonts w:ascii="Calibri" w:hAnsi="Calibri" w:cs="Calibri"/>
          <w:sz w:val="18"/>
          <w:szCs w:val="18"/>
        </w:rPr>
      </w:pPr>
      <w:r w:rsidRPr="00264E5C">
        <w:rPr>
          <w:rStyle w:val="FootnoteReference"/>
          <w:rFonts w:ascii="Calibri" w:hAnsi="Calibri" w:cs="Calibri"/>
          <w:sz w:val="18"/>
          <w:szCs w:val="18"/>
        </w:rPr>
        <w:footnoteRef/>
      </w:r>
      <w:r w:rsidRPr="00264E5C">
        <w:rPr>
          <w:rFonts w:ascii="Calibri" w:hAnsi="Calibri" w:cs="Calibri"/>
          <w:sz w:val="18"/>
          <w:szCs w:val="18"/>
        </w:rPr>
        <w:t xml:space="preserve"> Procedures </w:t>
      </w:r>
      <w:r>
        <w:rPr>
          <w:rFonts w:ascii="Calibri" w:hAnsi="Calibri" w:cs="Calibri"/>
          <w:sz w:val="18"/>
          <w:szCs w:val="18"/>
        </w:rPr>
        <w:t>brought in</w:t>
      </w:r>
      <w:r w:rsidRPr="00264E5C">
        <w:rPr>
          <w:rFonts w:ascii="Calibri" w:hAnsi="Calibri" w:cs="Calibri"/>
          <w:sz w:val="18"/>
          <w:szCs w:val="18"/>
        </w:rPr>
        <w:t xml:space="preserve"> by the general surgeons include excision of malignant lesions, umbilical hernia repair, removal of soft tissue tumors; all of the procedures are performed under general anesthesia.</w:t>
      </w:r>
    </w:p>
  </w:footnote>
  <w:footnote w:id="17">
    <w:p w14:paraId="228053D6" w14:textId="77777777" w:rsidR="00B9062A" w:rsidRPr="00533D00" w:rsidRDefault="00B9062A" w:rsidP="007A0753">
      <w:pPr>
        <w:pStyle w:val="FootnoteText"/>
        <w:rPr>
          <w:rFonts w:cstheme="minorHAnsi"/>
          <w:sz w:val="16"/>
          <w:szCs w:val="16"/>
        </w:rPr>
      </w:pPr>
      <w:r w:rsidRPr="00264E5C">
        <w:rPr>
          <w:rStyle w:val="FootnoteReference"/>
          <w:rFonts w:ascii="Calibri" w:hAnsi="Calibri" w:cs="Calibri"/>
          <w:sz w:val="18"/>
          <w:szCs w:val="18"/>
        </w:rPr>
        <w:footnoteRef/>
      </w:r>
      <w:r w:rsidRPr="00264E5C">
        <w:rPr>
          <w:rFonts w:ascii="Calibri" w:hAnsi="Calibri" w:cs="Calibri"/>
          <w:sz w:val="18"/>
          <w:szCs w:val="18"/>
        </w:rPr>
        <w:t xml:space="preserve"> Cases include transurethral resection of the prostate (TURP), Pyronie disease repair, and kidney stone removal.</w:t>
      </w:r>
      <w:r w:rsidRPr="00533D00">
        <w:rPr>
          <w:rFonts w:cstheme="minorHAnsi"/>
          <w:sz w:val="16"/>
          <w:szCs w:val="16"/>
        </w:rPr>
        <w:t xml:space="preserve"> </w:t>
      </w:r>
    </w:p>
  </w:footnote>
  <w:footnote w:id="18">
    <w:p w14:paraId="60C34A9F" w14:textId="67B47201" w:rsidR="00B9062A" w:rsidRPr="00D40292" w:rsidRDefault="00B9062A">
      <w:pPr>
        <w:pStyle w:val="FootnoteText"/>
        <w:rPr>
          <w:rFonts w:cstheme="minorHAnsi"/>
          <w:sz w:val="18"/>
          <w:szCs w:val="18"/>
        </w:rPr>
      </w:pPr>
      <w:r w:rsidRPr="00D40292">
        <w:rPr>
          <w:rStyle w:val="FootnoteReference"/>
          <w:rFonts w:cstheme="minorHAnsi"/>
          <w:sz w:val="18"/>
          <w:szCs w:val="18"/>
        </w:rPr>
        <w:footnoteRef/>
      </w:r>
      <w:r w:rsidRPr="00D40292">
        <w:rPr>
          <w:rFonts w:cstheme="minorHAnsi"/>
          <w:sz w:val="18"/>
          <w:szCs w:val="18"/>
        </w:rPr>
        <w:t xml:space="preserve"> Personal health care consists of all the medical goods and services used to treat or prevent a specific disease or condition in a specific person.</w:t>
      </w:r>
    </w:p>
  </w:footnote>
  <w:footnote w:id="19">
    <w:p w14:paraId="467BE187" w14:textId="57EF64A3" w:rsidR="00B9062A" w:rsidRPr="00D40292" w:rsidRDefault="00B9062A">
      <w:pPr>
        <w:pStyle w:val="FootnoteText"/>
        <w:rPr>
          <w:rFonts w:cstheme="minorHAnsi"/>
          <w:sz w:val="18"/>
          <w:szCs w:val="18"/>
        </w:rPr>
      </w:pPr>
      <w:r w:rsidRPr="00D40292">
        <w:rPr>
          <w:rStyle w:val="FootnoteReference"/>
          <w:rFonts w:cstheme="minorHAnsi"/>
          <w:sz w:val="18"/>
          <w:szCs w:val="18"/>
        </w:rPr>
        <w:footnoteRef/>
      </w:r>
      <w:r w:rsidRPr="00D40292">
        <w:rPr>
          <w:rFonts w:cstheme="minorHAnsi"/>
          <w:sz w:val="18"/>
          <w:szCs w:val="18"/>
        </w:rPr>
        <w:t xml:space="preserve"> Introduced approximately 20 years ago, the List designates surgeries and procedures that require inpatient hospital care to be reimbursed under Medicare.</w:t>
      </w:r>
    </w:p>
  </w:footnote>
  <w:footnote w:id="20">
    <w:p w14:paraId="1744E0BF" w14:textId="31331AF6" w:rsidR="00B9062A" w:rsidRPr="00264E5C" w:rsidRDefault="00B9062A">
      <w:pPr>
        <w:pStyle w:val="FootnoteText"/>
        <w:rPr>
          <w:rFonts w:ascii="Calibri" w:hAnsi="Calibri" w:cs="Calibri"/>
          <w:sz w:val="18"/>
          <w:szCs w:val="18"/>
        </w:rPr>
      </w:pPr>
      <w:r w:rsidRPr="00D40292">
        <w:rPr>
          <w:rStyle w:val="FootnoteReference"/>
          <w:rFonts w:cstheme="minorHAnsi"/>
          <w:sz w:val="18"/>
          <w:szCs w:val="18"/>
        </w:rPr>
        <w:footnoteRef/>
      </w:r>
      <w:r w:rsidRPr="00D40292">
        <w:rPr>
          <w:rFonts w:cstheme="minorHAnsi"/>
          <w:sz w:val="18"/>
          <w:szCs w:val="18"/>
        </w:rPr>
        <w:t xml:space="preserve"> Evidence of the benefits of MILD procedures, and BurstDR stimulation, a form of spinal cord stimulation.</w:t>
      </w:r>
    </w:p>
  </w:footnote>
  <w:footnote w:id="21">
    <w:p w14:paraId="5D53E9CA" w14:textId="1E9116B9" w:rsidR="00B9062A" w:rsidRPr="00264E5C" w:rsidRDefault="00B9062A">
      <w:pPr>
        <w:pStyle w:val="FootnoteText"/>
        <w:rPr>
          <w:rFonts w:ascii="Calibri" w:hAnsi="Calibri" w:cs="Calibri"/>
          <w:sz w:val="18"/>
          <w:szCs w:val="18"/>
        </w:rPr>
      </w:pPr>
      <w:r w:rsidRPr="00264E5C">
        <w:rPr>
          <w:rStyle w:val="FootnoteReference"/>
          <w:rFonts w:ascii="Calibri" w:hAnsi="Calibri" w:cs="Calibri"/>
          <w:sz w:val="18"/>
          <w:szCs w:val="18"/>
        </w:rPr>
        <w:footnoteRef/>
      </w:r>
      <w:r w:rsidRPr="00264E5C">
        <w:rPr>
          <w:rFonts w:ascii="Calibri" w:hAnsi="Calibri" w:cs="Calibri"/>
          <w:sz w:val="18"/>
          <w:szCs w:val="18"/>
        </w:rPr>
        <w:t xml:space="preserve"> The Applicant states the use of image-guided surgery (IGS) has played an important and expanding role in endoscopic sinus surgery (ESS) over the past two decades. Functional endoscopic sinus surgery is a minimally invasive outpatient procedure used in the treatment of sinusiti</w:t>
      </w:r>
      <w:r>
        <w:rPr>
          <w:rFonts w:ascii="Calibri" w:hAnsi="Calibri" w:cs="Calibri"/>
          <w:sz w:val="18"/>
          <w:szCs w:val="18"/>
        </w:rPr>
        <w:t>s, which</w:t>
      </w:r>
      <w:r w:rsidRPr="00264E5C">
        <w:rPr>
          <w:rFonts w:ascii="Calibri" w:hAnsi="Calibri" w:cs="Calibri"/>
          <w:sz w:val="18"/>
          <w:szCs w:val="18"/>
        </w:rPr>
        <w:t xml:space="preserve"> affects 37 million Americans annually. </w:t>
      </w:r>
    </w:p>
  </w:footnote>
  <w:footnote w:id="22">
    <w:p w14:paraId="7906288A" w14:textId="136D1726" w:rsidR="00B9062A" w:rsidRPr="00F44B23" w:rsidRDefault="00B9062A" w:rsidP="00064B9C">
      <w:pPr>
        <w:pStyle w:val="FootnoteText"/>
        <w:rPr>
          <w:rFonts w:ascii="Calibri" w:hAnsi="Calibri" w:cs="Calibri"/>
          <w:sz w:val="16"/>
          <w:szCs w:val="16"/>
        </w:rPr>
      </w:pPr>
      <w:r w:rsidRPr="00264E5C">
        <w:rPr>
          <w:rStyle w:val="FootnoteReference"/>
          <w:rFonts w:ascii="Calibri" w:hAnsi="Calibri" w:cs="Calibri"/>
          <w:sz w:val="18"/>
          <w:szCs w:val="18"/>
        </w:rPr>
        <w:footnoteRef/>
      </w:r>
      <w:r w:rsidRPr="00264E5C">
        <w:rPr>
          <w:rFonts w:ascii="Calibri" w:hAnsi="Calibri" w:cs="Calibri"/>
          <w:sz w:val="18"/>
          <w:szCs w:val="18"/>
        </w:rPr>
        <w:t xml:space="preserve"> Patient satisfaction survey is administered both online and by paper to each patient seen at the facility. Survey measures include quality indicators related to patient satisfaction and quality of care. Patient satisfaction ranged from 96 to 100% for Overall Quality and Willingness to Recommend. Percent participation ranged from 10-37%.</w:t>
      </w:r>
      <w:r w:rsidRPr="00F44B23">
        <w:rPr>
          <w:rFonts w:ascii="Calibri" w:hAnsi="Calibri" w:cs="Calibri"/>
          <w:sz w:val="16"/>
          <w:szCs w:val="16"/>
        </w:rPr>
        <w:t xml:space="preserve"> </w:t>
      </w:r>
    </w:p>
  </w:footnote>
  <w:footnote w:id="23">
    <w:p w14:paraId="5F95A05E" w14:textId="77777777" w:rsidR="00F94426" w:rsidRPr="00C21423" w:rsidRDefault="00F94426" w:rsidP="00F94426">
      <w:pPr>
        <w:pStyle w:val="FootnoteText"/>
        <w:rPr>
          <w:sz w:val="18"/>
          <w:szCs w:val="18"/>
        </w:rPr>
      </w:pPr>
      <w:r w:rsidRPr="00C21423">
        <w:rPr>
          <w:rStyle w:val="FootnoteReference"/>
          <w:sz w:val="18"/>
          <w:szCs w:val="18"/>
        </w:rPr>
        <w:footnoteRef/>
      </w:r>
      <w:r w:rsidRPr="00C21423">
        <w:rPr>
          <w:sz w:val="18"/>
          <w:szCs w:val="18"/>
        </w:rPr>
        <w:t xml:space="preserve"> Primary Language (2019): English (1,004), Spanish (14), Portuguese (6), Russian (3), Arabic (1), and Other (3). Not all participants responded. </w:t>
      </w:r>
    </w:p>
  </w:footnote>
  <w:footnote w:id="24">
    <w:p w14:paraId="4B58FAB9" w14:textId="5B1DC573" w:rsidR="00B9062A" w:rsidRPr="00B84387" w:rsidRDefault="00B9062A" w:rsidP="00473DDF">
      <w:pPr>
        <w:pStyle w:val="FootnoteText"/>
        <w:rPr>
          <w:sz w:val="18"/>
          <w:szCs w:val="18"/>
        </w:rPr>
      </w:pPr>
      <w:r w:rsidRPr="00C21423">
        <w:rPr>
          <w:rStyle w:val="FootnoteReference"/>
          <w:rFonts w:ascii="Calibri" w:hAnsi="Calibri" w:cs="Calibri"/>
          <w:sz w:val="18"/>
          <w:szCs w:val="18"/>
        </w:rPr>
        <w:footnoteRef/>
      </w:r>
      <w:r w:rsidRPr="00C21423">
        <w:rPr>
          <w:rFonts w:ascii="Calibri" w:hAnsi="Calibri" w:cs="Calibri"/>
          <w:sz w:val="18"/>
          <w:szCs w:val="18"/>
        </w:rPr>
        <w:t xml:space="preserve"> The Applicant included a reference to the National Partnership for Action to End Health Disparities (2011) report with this statement. The document includes a definition of health disparities: Health disparities adversely affect groups of people who have systematically experienced greater social and/or economic obstacles to health and/or a clean environment based on their racial or ethnic group; religion; socioeconomic status; gender; age; mental health; cognitive, sensory, or physical disability; sexual orientation or gender identity; geographic location; or other characteristics historically linked to discrimination or exclusion. </w:t>
      </w:r>
      <w:hyperlink r:id="rId1" w:history="1">
        <w:r w:rsidRPr="00C21423">
          <w:rPr>
            <w:rStyle w:val="Hyperlink"/>
            <w:rFonts w:ascii="Calibri" w:hAnsi="Calibri" w:cs="Calibri"/>
            <w:sz w:val="18"/>
            <w:szCs w:val="18"/>
          </w:rPr>
          <w:t>https://www.minorityhealth.hhs.gov/npa/files/Plans/Toolkit/NPA_Toolkit.pdf</w:t>
        </w:r>
      </w:hyperlink>
      <w:r w:rsidRPr="00B84387">
        <w:rPr>
          <w:sz w:val="18"/>
          <w:szCs w:val="18"/>
        </w:rPr>
        <w:t xml:space="preserve"> </w:t>
      </w:r>
    </w:p>
  </w:footnote>
  <w:footnote w:id="25">
    <w:p w14:paraId="68484DAE" w14:textId="68ABB17B" w:rsidR="00B9062A" w:rsidRPr="00264E5C" w:rsidRDefault="00B9062A">
      <w:pPr>
        <w:pStyle w:val="FootnoteText"/>
        <w:rPr>
          <w:sz w:val="18"/>
          <w:szCs w:val="18"/>
        </w:rPr>
      </w:pPr>
      <w:r w:rsidRPr="00B84387">
        <w:rPr>
          <w:rStyle w:val="FootnoteReference"/>
          <w:sz w:val="18"/>
          <w:szCs w:val="18"/>
        </w:rPr>
        <w:footnoteRef/>
      </w:r>
      <w:r w:rsidRPr="00B84387">
        <w:rPr>
          <w:sz w:val="18"/>
          <w:szCs w:val="18"/>
        </w:rPr>
        <w:t xml:space="preserve"> The Applicant mentioned that COVID protocols do not allow family or caregivers to wait in the facility, so upon discharge patients are provided post-surgery information and escorted to their transportation.</w:t>
      </w:r>
      <w:r w:rsidRPr="00264E5C">
        <w:rPr>
          <w:sz w:val="18"/>
          <w:szCs w:val="18"/>
        </w:rPr>
        <w:t xml:space="preserve"> </w:t>
      </w:r>
    </w:p>
  </w:footnote>
  <w:footnote w:id="26">
    <w:p w14:paraId="680B1941" w14:textId="77777777" w:rsidR="006010A9" w:rsidRDefault="006010A9" w:rsidP="006010A9">
      <w:pPr>
        <w:pStyle w:val="FootnoteText"/>
      </w:pPr>
      <w:r w:rsidRPr="00B2329C">
        <w:rPr>
          <w:rStyle w:val="FootnoteReference"/>
          <w:sz w:val="18"/>
          <w:szCs w:val="18"/>
        </w:rPr>
        <w:footnoteRef/>
      </w:r>
      <w:r w:rsidRPr="00B2329C">
        <w:rPr>
          <w:sz w:val="18"/>
          <w:szCs w:val="18"/>
        </w:rPr>
        <w:t xml:space="preserve"> Lahey Epic Link is a secure, web-based portal that allows providers to view detailed clinical information for patients at Lahey Hospital &amp; Medical Center.</w:t>
      </w:r>
    </w:p>
  </w:footnote>
  <w:footnote w:id="27">
    <w:p w14:paraId="5F0BC457" w14:textId="08B7A559" w:rsidR="00B9062A" w:rsidRPr="00FE7B07" w:rsidRDefault="00B9062A">
      <w:pPr>
        <w:pStyle w:val="FootnoteText"/>
        <w:rPr>
          <w:rFonts w:ascii="Calibri" w:hAnsi="Calibri" w:cs="Calibri"/>
          <w:sz w:val="16"/>
          <w:szCs w:val="16"/>
        </w:rPr>
      </w:pPr>
      <w:r w:rsidRPr="00264E5C">
        <w:rPr>
          <w:rStyle w:val="FootnoteReference"/>
          <w:rFonts w:ascii="Calibri" w:hAnsi="Calibri" w:cs="Calibri"/>
          <w:sz w:val="18"/>
          <w:szCs w:val="18"/>
        </w:rPr>
        <w:footnoteRef/>
      </w:r>
      <w:r w:rsidRPr="00264E5C">
        <w:rPr>
          <w:rFonts w:ascii="Calibri" w:hAnsi="Calibri" w:cs="Calibri"/>
          <w:sz w:val="18"/>
          <w:szCs w:val="18"/>
        </w:rPr>
        <w:t xml:space="preserve"> Health Information Technology for Economic and Clinical Health (HITECH) Act was signed into law in February 2009 as part of the American Recovery and Reinvestment Act by with the primary purpose of encouraging healthcare providers to adopt Electronic Healthcare Records and supporting technology.</w:t>
      </w:r>
    </w:p>
  </w:footnote>
  <w:footnote w:id="28">
    <w:p w14:paraId="5E585199" w14:textId="3392651A" w:rsidR="00B9062A" w:rsidRPr="006F1B84" w:rsidRDefault="00B9062A" w:rsidP="001F5DA0">
      <w:pPr>
        <w:pStyle w:val="FootnoteText"/>
        <w:rPr>
          <w:rFonts w:cstheme="minorHAnsi"/>
          <w:sz w:val="18"/>
          <w:szCs w:val="18"/>
        </w:rPr>
      </w:pPr>
      <w:r w:rsidRPr="00E514FA">
        <w:rPr>
          <w:rStyle w:val="FootnoteReference"/>
          <w:rFonts w:cstheme="minorHAnsi"/>
          <w:sz w:val="18"/>
          <w:szCs w:val="18"/>
        </w:rPr>
        <w:footnoteRef/>
      </w:r>
      <w:r w:rsidRPr="00E514FA">
        <w:rPr>
          <w:rFonts w:cstheme="minorHAnsi"/>
          <w:sz w:val="18"/>
          <w:szCs w:val="18"/>
        </w:rPr>
        <w:t xml:space="preserve"> Displays national averages for the amount Medicare pays the hospital or ambulatory surgical center and the national average copayment amount a beneficiary with no Medicare supplemental insurance would pay the provider. </w:t>
      </w:r>
      <w:r>
        <w:rPr>
          <w:rFonts w:cstheme="minorHAnsi"/>
          <w:sz w:val="18"/>
          <w:szCs w:val="18"/>
        </w:rPr>
        <w:t>Site includes p</w:t>
      </w:r>
      <w:r w:rsidRPr="00806304">
        <w:rPr>
          <w:rFonts w:cstheme="minorHAnsi"/>
          <w:sz w:val="18"/>
          <w:szCs w:val="18"/>
        </w:rPr>
        <w:t xml:space="preserve">hysician fees </w:t>
      </w:r>
      <w:r>
        <w:rPr>
          <w:rFonts w:cstheme="minorHAnsi"/>
          <w:sz w:val="18"/>
          <w:szCs w:val="18"/>
        </w:rPr>
        <w:t>and</w:t>
      </w:r>
      <w:r w:rsidRPr="00806304">
        <w:rPr>
          <w:rFonts w:cstheme="minorHAnsi"/>
          <w:sz w:val="18"/>
          <w:szCs w:val="18"/>
        </w:rPr>
        <w:t xml:space="preserve"> facility fees</w:t>
      </w:r>
      <w:r>
        <w:rPr>
          <w:rFonts w:cstheme="minorHAnsi"/>
          <w:sz w:val="18"/>
          <w:szCs w:val="18"/>
        </w:rPr>
        <w:t xml:space="preserve">. </w:t>
      </w:r>
      <w:r w:rsidRPr="00E514FA">
        <w:rPr>
          <w:rFonts w:cstheme="minorHAnsi"/>
          <w:sz w:val="18"/>
          <w:szCs w:val="18"/>
        </w:rPr>
        <w:t xml:space="preserve">Medicare.gov Procedure Price Lookup: </w:t>
      </w:r>
      <w:hyperlink r:id="rId2" w:history="1">
        <w:r w:rsidRPr="00E514FA">
          <w:rPr>
            <w:rStyle w:val="Hyperlink"/>
            <w:rFonts w:cstheme="minorHAnsi"/>
            <w:sz w:val="18"/>
            <w:szCs w:val="18"/>
          </w:rPr>
          <w:t>https://www.medicare.gov/procedure-price-lookup/</w:t>
        </w:r>
      </w:hyperlink>
    </w:p>
  </w:footnote>
  <w:footnote w:id="29">
    <w:p w14:paraId="54B75E13" w14:textId="657E04D5" w:rsidR="00B9062A" w:rsidRPr="00823F6C" w:rsidRDefault="00B9062A" w:rsidP="00537156">
      <w:pPr>
        <w:pStyle w:val="FootnoteText"/>
        <w:rPr>
          <w:sz w:val="18"/>
          <w:szCs w:val="18"/>
        </w:rPr>
      </w:pPr>
      <w:r w:rsidRPr="00823F6C">
        <w:rPr>
          <w:rStyle w:val="FootnoteReference"/>
          <w:rFonts w:cstheme="minorHAnsi"/>
          <w:sz w:val="18"/>
          <w:szCs w:val="18"/>
        </w:rPr>
        <w:footnoteRef/>
      </w:r>
      <w:r w:rsidRPr="00823F6C">
        <w:rPr>
          <w:rFonts w:cstheme="minorHAnsi"/>
          <w:sz w:val="18"/>
          <w:szCs w:val="18"/>
        </w:rPr>
        <w:t xml:space="preserve"> Medicare.gov website. </w:t>
      </w:r>
      <w:r w:rsidRPr="0019577A">
        <w:rPr>
          <w:rFonts w:cstheme="minorHAnsi"/>
          <w:sz w:val="18"/>
          <w:szCs w:val="18"/>
        </w:rPr>
        <w:t>Local average prices are based on 2020 Medicare payments and copayments, and do not include physician fees.</w:t>
      </w:r>
      <w:r>
        <w:rPr>
          <w:rFonts w:cstheme="minorHAnsi"/>
          <w:sz w:val="18"/>
          <w:szCs w:val="18"/>
        </w:rPr>
        <w:t xml:space="preserve"> </w:t>
      </w:r>
      <w:r w:rsidRPr="00AC42A0">
        <w:rPr>
          <w:rFonts w:cstheme="minorHAnsi"/>
          <w:sz w:val="18"/>
          <w:szCs w:val="18"/>
        </w:rPr>
        <w:t>Payment rates for each covered surgical procedure after adjustments for regional wage variations, and wage indices</w:t>
      </w:r>
      <w:r>
        <w:rPr>
          <w:rFonts w:cstheme="minorHAnsi"/>
          <w:sz w:val="18"/>
          <w:szCs w:val="18"/>
        </w:rPr>
        <w:t>, w</w:t>
      </w:r>
      <w:r w:rsidRPr="006070A8">
        <w:rPr>
          <w:rFonts w:cstheme="minorHAnsi"/>
          <w:sz w:val="18"/>
          <w:szCs w:val="18"/>
        </w:rPr>
        <w:t>ithout 2% sequester</w:t>
      </w:r>
      <w:r>
        <w:rPr>
          <w:rFonts w:cstheme="minorHAnsi"/>
          <w:sz w:val="18"/>
          <w:szCs w:val="18"/>
        </w:rPr>
        <w:t>.</w:t>
      </w:r>
      <w:r w:rsidRPr="006070A8">
        <w:rPr>
          <w:rFonts w:cstheme="minorHAnsi"/>
          <w:sz w:val="18"/>
          <w:szCs w:val="18"/>
        </w:rPr>
        <w:t xml:space="preserve">  </w:t>
      </w:r>
    </w:p>
  </w:footnote>
  <w:footnote w:id="30">
    <w:p w14:paraId="7096D7E2" w14:textId="0A65ADE4" w:rsidR="00B9062A" w:rsidRPr="00264E5C" w:rsidRDefault="00B9062A">
      <w:pPr>
        <w:pStyle w:val="FootnoteText"/>
        <w:rPr>
          <w:rFonts w:cstheme="minorHAnsi"/>
          <w:sz w:val="18"/>
          <w:szCs w:val="18"/>
        </w:rPr>
      </w:pPr>
      <w:r w:rsidRPr="00823F6C">
        <w:rPr>
          <w:rStyle w:val="FootnoteReference"/>
          <w:rFonts w:cstheme="minorHAnsi"/>
          <w:sz w:val="18"/>
          <w:szCs w:val="18"/>
        </w:rPr>
        <w:footnoteRef/>
      </w:r>
      <w:r w:rsidRPr="00823F6C">
        <w:rPr>
          <w:rFonts w:cstheme="minorHAnsi"/>
          <w:sz w:val="18"/>
          <w:szCs w:val="18"/>
        </w:rPr>
        <w:t xml:space="preserve"> Six potential competito</w:t>
      </w:r>
      <w:r w:rsidR="00DA7E2B">
        <w:rPr>
          <w:rFonts w:cstheme="minorHAnsi"/>
          <w:sz w:val="18"/>
          <w:szCs w:val="18"/>
        </w:rPr>
        <w:t>rs include: North Shore Plastic Surgery and Med Spa</w:t>
      </w:r>
      <w:r w:rsidRPr="00823F6C">
        <w:rPr>
          <w:rFonts w:cstheme="minorHAnsi"/>
          <w:sz w:val="18"/>
          <w:szCs w:val="18"/>
        </w:rPr>
        <w:t>, Mass General/North Shore Center for Outpatient Care; Lahey Outpatient Center, Danvers; Lahey Medical Center</w:t>
      </w:r>
      <w:r w:rsidR="00DA7E2B">
        <w:rPr>
          <w:rFonts w:cstheme="minorHAnsi"/>
          <w:sz w:val="18"/>
          <w:szCs w:val="18"/>
        </w:rPr>
        <w:t>, Peabody;</w:t>
      </w:r>
      <w:r w:rsidRPr="00823F6C">
        <w:rPr>
          <w:rFonts w:cstheme="minorHAnsi"/>
          <w:sz w:val="18"/>
          <w:szCs w:val="18"/>
        </w:rPr>
        <w:t xml:space="preserve"> New England Pain C</w:t>
      </w:r>
      <w:r w:rsidR="00DA7E2B">
        <w:rPr>
          <w:rFonts w:cstheme="minorHAnsi"/>
          <w:sz w:val="18"/>
          <w:szCs w:val="18"/>
        </w:rPr>
        <w:t>are ,Inc; and Orthopedic Surgical</w:t>
      </w:r>
      <w:r w:rsidRPr="00823F6C">
        <w:rPr>
          <w:rFonts w:cstheme="minorHAnsi"/>
          <w:sz w:val="18"/>
          <w:szCs w:val="18"/>
        </w:rPr>
        <w:t xml:space="preserve"> Center of the North Shore.</w:t>
      </w:r>
      <w:r w:rsidRPr="00264E5C">
        <w:rPr>
          <w:rFonts w:cstheme="minorHAnsi"/>
          <w:sz w:val="18"/>
          <w:szCs w:val="18"/>
        </w:rPr>
        <w:t xml:space="preserve"> </w:t>
      </w:r>
    </w:p>
  </w:footnote>
  <w:footnote w:id="31">
    <w:p w14:paraId="7B6DFFD0" w14:textId="362EE190" w:rsidR="00B9062A" w:rsidRPr="00626765" w:rsidRDefault="00B9062A">
      <w:pPr>
        <w:pStyle w:val="FootnoteText"/>
        <w:rPr>
          <w:rFonts w:cstheme="minorHAnsi"/>
        </w:rPr>
      </w:pPr>
      <w:r w:rsidRPr="00264E5C">
        <w:rPr>
          <w:rStyle w:val="FootnoteReference"/>
          <w:rFonts w:cstheme="minorHAnsi"/>
          <w:sz w:val="18"/>
          <w:szCs w:val="18"/>
        </w:rPr>
        <w:footnoteRef/>
      </w:r>
      <w:r w:rsidRPr="00264E5C">
        <w:rPr>
          <w:rFonts w:cstheme="minorHAnsi"/>
          <w:sz w:val="18"/>
          <w:szCs w:val="18"/>
        </w:rPr>
        <w:t xml:space="preserve"> HealthTrust Purchasing Group.</w:t>
      </w:r>
      <w:r w:rsidRPr="00626765">
        <w:rPr>
          <w:rFonts w:cstheme="minorHAnsi"/>
        </w:rPr>
        <w:t xml:space="preserve"> </w:t>
      </w:r>
    </w:p>
  </w:footnote>
  <w:footnote w:id="32">
    <w:p w14:paraId="3C9BDFFF" w14:textId="70FAB9BA" w:rsidR="00B9062A" w:rsidRPr="00A82427" w:rsidRDefault="00B9062A" w:rsidP="00CA2654">
      <w:pPr>
        <w:pStyle w:val="FootnoteText"/>
        <w:rPr>
          <w:sz w:val="18"/>
          <w:szCs w:val="18"/>
        </w:rPr>
      </w:pPr>
      <w:r w:rsidRPr="00A82427">
        <w:rPr>
          <w:rStyle w:val="FootnoteReference"/>
          <w:sz w:val="18"/>
          <w:szCs w:val="18"/>
        </w:rPr>
        <w:footnoteRef/>
      </w:r>
      <w:r w:rsidRPr="00A82427">
        <w:rPr>
          <w:sz w:val="18"/>
          <w:szCs w:val="18"/>
        </w:rPr>
        <w:t xml:space="preserve"> Medicare, Blue Cross, and Tufts Medicare Preferred. </w:t>
      </w:r>
    </w:p>
  </w:footnote>
  <w:footnote w:id="33">
    <w:p w14:paraId="488E30BA" w14:textId="776817BF" w:rsidR="00B9062A" w:rsidRPr="00A82427" w:rsidRDefault="00B9062A" w:rsidP="00A82427">
      <w:pPr>
        <w:pStyle w:val="FootnoteText"/>
        <w:rPr>
          <w:sz w:val="18"/>
          <w:szCs w:val="18"/>
        </w:rPr>
      </w:pPr>
      <w:r w:rsidRPr="00A82427">
        <w:rPr>
          <w:rStyle w:val="FootnoteReference"/>
          <w:sz w:val="18"/>
          <w:szCs w:val="18"/>
        </w:rPr>
        <w:footnoteRef/>
      </w:r>
      <w:r w:rsidRPr="00A82427">
        <w:rPr>
          <w:sz w:val="18"/>
          <w:szCs w:val="18"/>
        </w:rPr>
        <w:t xml:space="preserve"> MassHealth Buy In and Family Assistance</w:t>
      </w:r>
      <w:r>
        <w:rPr>
          <w:sz w:val="18"/>
          <w:szCs w:val="18"/>
        </w:rPr>
        <w:t xml:space="preserve">: </w:t>
      </w:r>
      <w:r w:rsidRPr="00A82427">
        <w:rPr>
          <w:sz w:val="18"/>
          <w:szCs w:val="18"/>
        </w:rPr>
        <w:t>listed as not covered in an ASC</w:t>
      </w:r>
      <w:r>
        <w:rPr>
          <w:sz w:val="18"/>
          <w:szCs w:val="18"/>
        </w:rPr>
        <w:t xml:space="preserve">.  </w:t>
      </w:r>
      <w:r w:rsidRPr="00A82427">
        <w:rPr>
          <w:sz w:val="18"/>
          <w:szCs w:val="18"/>
        </w:rPr>
        <w:t>MassHealth Limited</w:t>
      </w:r>
      <w:r>
        <w:rPr>
          <w:sz w:val="18"/>
          <w:szCs w:val="18"/>
        </w:rPr>
        <w:t>: listed as only for</w:t>
      </w:r>
      <w:r w:rsidRPr="00A82427">
        <w:rPr>
          <w:sz w:val="18"/>
          <w:szCs w:val="18"/>
        </w:rPr>
        <w:t xml:space="preserve"> emergency services</w:t>
      </w:r>
      <w:r>
        <w:rPr>
          <w:sz w:val="18"/>
          <w:szCs w:val="18"/>
        </w:rPr>
        <w:t>.</w:t>
      </w:r>
    </w:p>
  </w:footnote>
  <w:footnote w:id="34">
    <w:p w14:paraId="3961BA1E" w14:textId="60C9B883" w:rsidR="00B9062A" w:rsidRPr="002821E5" w:rsidRDefault="00B9062A" w:rsidP="00D45F49">
      <w:pPr>
        <w:pStyle w:val="FootnoteText"/>
        <w:rPr>
          <w:sz w:val="18"/>
          <w:szCs w:val="18"/>
        </w:rPr>
      </w:pPr>
      <w:r w:rsidRPr="00A82427">
        <w:rPr>
          <w:rStyle w:val="FootnoteReference"/>
          <w:sz w:val="18"/>
          <w:szCs w:val="18"/>
        </w:rPr>
        <w:footnoteRef/>
      </w:r>
      <w:r w:rsidRPr="00A82427">
        <w:rPr>
          <w:sz w:val="18"/>
          <w:szCs w:val="18"/>
        </w:rPr>
        <w:t xml:space="preserve"> The Applicant states that complex cases are more costly due to the length of time they take and/or implants used. For example, an invoice for a spinal cord stimulator is $15,500 and facility reimbursement was $12,728.</w:t>
      </w:r>
    </w:p>
  </w:footnote>
  <w:footnote w:id="35">
    <w:p w14:paraId="5385FDF9" w14:textId="6E769F72" w:rsidR="00B9062A" w:rsidRPr="00AB7AC7" w:rsidRDefault="00B9062A">
      <w:pPr>
        <w:pStyle w:val="FootnoteText"/>
        <w:rPr>
          <w:rFonts w:ascii="Calibri" w:hAnsi="Calibri" w:cs="Calibri"/>
          <w:sz w:val="16"/>
          <w:szCs w:val="16"/>
        </w:rPr>
      </w:pPr>
      <w:r w:rsidRPr="00463474">
        <w:rPr>
          <w:rStyle w:val="FootnoteReference"/>
          <w:rFonts w:ascii="Calibri" w:hAnsi="Calibri" w:cs="Calibri"/>
          <w:sz w:val="18"/>
          <w:szCs w:val="18"/>
        </w:rPr>
        <w:footnoteRef/>
      </w:r>
      <w:r w:rsidRPr="00463474">
        <w:rPr>
          <w:rFonts w:ascii="Calibri" w:hAnsi="Calibri" w:cs="Calibri"/>
          <w:sz w:val="18"/>
          <w:szCs w:val="18"/>
        </w:rPr>
        <w:t xml:space="preserve"> CPA report notes the following expenses were justifiably excluded: Amortization expense, Office Supply Expense, Interest Expense, Real Estate Taxes, and Rent Expense.</w:t>
      </w:r>
      <w:r w:rsidRPr="00AB7AC7">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AB643" w14:textId="5914A7B3" w:rsidR="00B9062A" w:rsidRDefault="00B90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CB2F" w14:textId="08726DF9" w:rsidR="00B9062A" w:rsidRDefault="00B906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0FC3D" w14:textId="5ABB28AF" w:rsidR="00B9062A" w:rsidRDefault="00B906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CC0"/>
    <w:multiLevelType w:val="hybridMultilevel"/>
    <w:tmpl w:val="D26ACF4E"/>
    <w:lvl w:ilvl="0" w:tplc="0409000F">
      <w:start w:val="1"/>
      <w:numFmt w:val="decimal"/>
      <w:lvlText w:val="%1."/>
      <w:lvlJc w:val="left"/>
      <w:pPr>
        <w:ind w:left="540" w:hanging="360"/>
      </w:pPr>
    </w:lvl>
    <w:lvl w:ilvl="1" w:tplc="834A53E4">
      <w:start w:val="1"/>
      <w:numFmt w:val="lowerLetter"/>
      <w:lvlText w:val="%2."/>
      <w:lvlJc w:val="left"/>
      <w:pPr>
        <w:ind w:left="1260" w:hanging="360"/>
      </w:pPr>
      <w:rPr>
        <w:b w:val="0"/>
        <w:bCs w:val="0"/>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2924D7C"/>
    <w:multiLevelType w:val="hybridMultilevel"/>
    <w:tmpl w:val="0EB20904"/>
    <w:lvl w:ilvl="0" w:tplc="0672A684">
      <w:start w:val="1"/>
      <w:numFmt w:val="lowerLetter"/>
      <w:lvlText w:val="%1."/>
      <w:lvlJc w:val="left"/>
      <w:pPr>
        <w:ind w:left="1260" w:hanging="360"/>
      </w:pPr>
      <w:rPr>
        <w:b w:val="0"/>
        <w:bCs/>
      </w:rPr>
    </w:lvl>
    <w:lvl w:ilvl="1" w:tplc="53C4E5C4">
      <w:start w:val="1"/>
      <w:numFmt w:val="lowerRoman"/>
      <w:lvlText w:val="%2."/>
      <w:lvlJc w:val="right"/>
      <w:pPr>
        <w:ind w:left="1620" w:hanging="360"/>
      </w:pPr>
      <w:rPr>
        <w:b w:val="0"/>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86E49"/>
    <w:multiLevelType w:val="hybridMultilevel"/>
    <w:tmpl w:val="91B07178"/>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07131E8B"/>
    <w:multiLevelType w:val="hybridMultilevel"/>
    <w:tmpl w:val="0522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649AC"/>
    <w:multiLevelType w:val="hybridMultilevel"/>
    <w:tmpl w:val="8F5C2036"/>
    <w:lvl w:ilvl="0" w:tplc="5C9429CC">
      <w:start w:val="1"/>
      <w:numFmt w:val="decimal"/>
      <w:lvlText w:val="%1."/>
      <w:lvlJc w:val="left"/>
      <w:pPr>
        <w:ind w:left="720" w:hanging="360"/>
      </w:pPr>
      <w:rPr>
        <w:b/>
        <w:bCs/>
      </w:rPr>
    </w:lvl>
    <w:lvl w:ilvl="1" w:tplc="2BB8A85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F6C7E"/>
    <w:multiLevelType w:val="hybridMultilevel"/>
    <w:tmpl w:val="A13609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063808"/>
    <w:multiLevelType w:val="hybridMultilevel"/>
    <w:tmpl w:val="AE4A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97321D"/>
    <w:multiLevelType w:val="hybridMultilevel"/>
    <w:tmpl w:val="ACBE9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67E95"/>
    <w:multiLevelType w:val="hybridMultilevel"/>
    <w:tmpl w:val="7D58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E3061A"/>
    <w:multiLevelType w:val="multilevel"/>
    <w:tmpl w:val="AC549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9D543B2"/>
    <w:multiLevelType w:val="hybridMultilevel"/>
    <w:tmpl w:val="518E2736"/>
    <w:lvl w:ilvl="0" w:tplc="0409000F">
      <w:start w:val="1"/>
      <w:numFmt w:val="decimal"/>
      <w:lvlText w:val="%1."/>
      <w:lvlJc w:val="left"/>
      <w:pPr>
        <w:ind w:left="12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0"/>
  </w:num>
  <w:num w:numId="5">
    <w:abstractNumId w:val="4"/>
  </w:num>
  <w:num w:numId="6">
    <w:abstractNumId w:val="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10"/>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1"/>
  <w:activeWritingStyle w:appName="MSWord" w:lang="fr-FR" w:vendorID="64" w:dllVersion="0" w:nlCheck="1" w:checkStyle="0"/>
  <w:activeWritingStyle w:appName="MSWord" w:lang="en-US" w:vendorID="64" w:dllVersion="6" w:nlCheck="1" w:checkStyle="1"/>
  <w:activeWritingStyle w:appName="MSWord" w:lang="fr-FR" w:vendorID="64" w:dllVersion="6"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1228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09"/>
    <w:rsid w:val="00000112"/>
    <w:rsid w:val="000004E9"/>
    <w:rsid w:val="00000829"/>
    <w:rsid w:val="0000112F"/>
    <w:rsid w:val="0000230D"/>
    <w:rsid w:val="000024E4"/>
    <w:rsid w:val="000028FF"/>
    <w:rsid w:val="00003172"/>
    <w:rsid w:val="000034ED"/>
    <w:rsid w:val="00004564"/>
    <w:rsid w:val="00004A48"/>
    <w:rsid w:val="00005606"/>
    <w:rsid w:val="00005803"/>
    <w:rsid w:val="000067CB"/>
    <w:rsid w:val="00006B94"/>
    <w:rsid w:val="000073EC"/>
    <w:rsid w:val="000075E6"/>
    <w:rsid w:val="00007811"/>
    <w:rsid w:val="00007CF8"/>
    <w:rsid w:val="0001038F"/>
    <w:rsid w:val="0001062A"/>
    <w:rsid w:val="00011399"/>
    <w:rsid w:val="00011696"/>
    <w:rsid w:val="00011A9D"/>
    <w:rsid w:val="00011C4B"/>
    <w:rsid w:val="00011F67"/>
    <w:rsid w:val="0001210E"/>
    <w:rsid w:val="00012736"/>
    <w:rsid w:val="000130CD"/>
    <w:rsid w:val="00013646"/>
    <w:rsid w:val="000139FB"/>
    <w:rsid w:val="00013C9B"/>
    <w:rsid w:val="00013E7F"/>
    <w:rsid w:val="000146B0"/>
    <w:rsid w:val="00014B30"/>
    <w:rsid w:val="00015618"/>
    <w:rsid w:val="00015BA4"/>
    <w:rsid w:val="00015FB3"/>
    <w:rsid w:val="0001692A"/>
    <w:rsid w:val="00016BCE"/>
    <w:rsid w:val="00016EA5"/>
    <w:rsid w:val="0001756C"/>
    <w:rsid w:val="00017667"/>
    <w:rsid w:val="0001772E"/>
    <w:rsid w:val="00017B56"/>
    <w:rsid w:val="000206AB"/>
    <w:rsid w:val="000208FF"/>
    <w:rsid w:val="00020CA9"/>
    <w:rsid w:val="00020E34"/>
    <w:rsid w:val="00022914"/>
    <w:rsid w:val="000229D3"/>
    <w:rsid w:val="00022C75"/>
    <w:rsid w:val="00022CE4"/>
    <w:rsid w:val="00022F15"/>
    <w:rsid w:val="0002301A"/>
    <w:rsid w:val="0002366A"/>
    <w:rsid w:val="00023C3C"/>
    <w:rsid w:val="00023E6B"/>
    <w:rsid w:val="00024AD9"/>
    <w:rsid w:val="00024CE4"/>
    <w:rsid w:val="00025188"/>
    <w:rsid w:val="00025F5B"/>
    <w:rsid w:val="0002603D"/>
    <w:rsid w:val="00026469"/>
    <w:rsid w:val="00027463"/>
    <w:rsid w:val="00027B44"/>
    <w:rsid w:val="00027B9B"/>
    <w:rsid w:val="00027C98"/>
    <w:rsid w:val="00027FEC"/>
    <w:rsid w:val="00030170"/>
    <w:rsid w:val="00030F81"/>
    <w:rsid w:val="00030FFD"/>
    <w:rsid w:val="000311A6"/>
    <w:rsid w:val="000316E3"/>
    <w:rsid w:val="0003258A"/>
    <w:rsid w:val="000325EE"/>
    <w:rsid w:val="00032E2F"/>
    <w:rsid w:val="00033F29"/>
    <w:rsid w:val="00034016"/>
    <w:rsid w:val="000341C3"/>
    <w:rsid w:val="0003476F"/>
    <w:rsid w:val="0003494B"/>
    <w:rsid w:val="00035081"/>
    <w:rsid w:val="00035089"/>
    <w:rsid w:val="0003573D"/>
    <w:rsid w:val="00035882"/>
    <w:rsid w:val="00035DA3"/>
    <w:rsid w:val="00036077"/>
    <w:rsid w:val="00036304"/>
    <w:rsid w:val="000368BE"/>
    <w:rsid w:val="000369E7"/>
    <w:rsid w:val="0003777C"/>
    <w:rsid w:val="00037844"/>
    <w:rsid w:val="000378CE"/>
    <w:rsid w:val="00040371"/>
    <w:rsid w:val="00040884"/>
    <w:rsid w:val="00040A7A"/>
    <w:rsid w:val="0004197B"/>
    <w:rsid w:val="00041E73"/>
    <w:rsid w:val="00041FCC"/>
    <w:rsid w:val="00042241"/>
    <w:rsid w:val="000427E0"/>
    <w:rsid w:val="00043499"/>
    <w:rsid w:val="00043A9F"/>
    <w:rsid w:val="0004400F"/>
    <w:rsid w:val="00044142"/>
    <w:rsid w:val="000446EE"/>
    <w:rsid w:val="00044B80"/>
    <w:rsid w:val="00045006"/>
    <w:rsid w:val="0004507F"/>
    <w:rsid w:val="000450D9"/>
    <w:rsid w:val="000451B2"/>
    <w:rsid w:val="0004538A"/>
    <w:rsid w:val="000455D3"/>
    <w:rsid w:val="00045705"/>
    <w:rsid w:val="00045E7E"/>
    <w:rsid w:val="00046261"/>
    <w:rsid w:val="00046924"/>
    <w:rsid w:val="00046F4C"/>
    <w:rsid w:val="000472A6"/>
    <w:rsid w:val="000479CF"/>
    <w:rsid w:val="00047C8C"/>
    <w:rsid w:val="00047DCA"/>
    <w:rsid w:val="00047F79"/>
    <w:rsid w:val="000502E2"/>
    <w:rsid w:val="00050CB2"/>
    <w:rsid w:val="0005108C"/>
    <w:rsid w:val="00051151"/>
    <w:rsid w:val="00051BEB"/>
    <w:rsid w:val="000523D7"/>
    <w:rsid w:val="0005256B"/>
    <w:rsid w:val="0005267E"/>
    <w:rsid w:val="00052697"/>
    <w:rsid w:val="00052CD7"/>
    <w:rsid w:val="000531C1"/>
    <w:rsid w:val="000534AF"/>
    <w:rsid w:val="00053968"/>
    <w:rsid w:val="00054068"/>
    <w:rsid w:val="000540E2"/>
    <w:rsid w:val="00054A7A"/>
    <w:rsid w:val="00054EE5"/>
    <w:rsid w:val="00055187"/>
    <w:rsid w:val="00055A80"/>
    <w:rsid w:val="00055B26"/>
    <w:rsid w:val="000564EE"/>
    <w:rsid w:val="000568DE"/>
    <w:rsid w:val="00056CFB"/>
    <w:rsid w:val="0005739F"/>
    <w:rsid w:val="00057500"/>
    <w:rsid w:val="000579D3"/>
    <w:rsid w:val="00057DA0"/>
    <w:rsid w:val="00060374"/>
    <w:rsid w:val="00060584"/>
    <w:rsid w:val="0006083B"/>
    <w:rsid w:val="000608EB"/>
    <w:rsid w:val="0006094E"/>
    <w:rsid w:val="00060950"/>
    <w:rsid w:val="00060BF9"/>
    <w:rsid w:val="00060E72"/>
    <w:rsid w:val="0006171E"/>
    <w:rsid w:val="00061849"/>
    <w:rsid w:val="000622EC"/>
    <w:rsid w:val="00062316"/>
    <w:rsid w:val="00062AD7"/>
    <w:rsid w:val="00062E94"/>
    <w:rsid w:val="00062E9B"/>
    <w:rsid w:val="00062EEF"/>
    <w:rsid w:val="000633AF"/>
    <w:rsid w:val="000635A1"/>
    <w:rsid w:val="00063791"/>
    <w:rsid w:val="000646E0"/>
    <w:rsid w:val="00064B9C"/>
    <w:rsid w:val="00064E2D"/>
    <w:rsid w:val="00065175"/>
    <w:rsid w:val="000655C9"/>
    <w:rsid w:val="000656F4"/>
    <w:rsid w:val="00065F1D"/>
    <w:rsid w:val="000665A9"/>
    <w:rsid w:val="000667BA"/>
    <w:rsid w:val="00066E21"/>
    <w:rsid w:val="000672F8"/>
    <w:rsid w:val="0006739A"/>
    <w:rsid w:val="00067432"/>
    <w:rsid w:val="0006772A"/>
    <w:rsid w:val="00067A34"/>
    <w:rsid w:val="00067DB2"/>
    <w:rsid w:val="00070074"/>
    <w:rsid w:val="00070785"/>
    <w:rsid w:val="00070802"/>
    <w:rsid w:val="000708E5"/>
    <w:rsid w:val="00071373"/>
    <w:rsid w:val="00071F27"/>
    <w:rsid w:val="0007201D"/>
    <w:rsid w:val="0007236A"/>
    <w:rsid w:val="000723E2"/>
    <w:rsid w:val="00072B95"/>
    <w:rsid w:val="00072E5B"/>
    <w:rsid w:val="00072FB0"/>
    <w:rsid w:val="0007398E"/>
    <w:rsid w:val="00074313"/>
    <w:rsid w:val="00074FD0"/>
    <w:rsid w:val="0007520A"/>
    <w:rsid w:val="000756CA"/>
    <w:rsid w:val="0007588A"/>
    <w:rsid w:val="000764E9"/>
    <w:rsid w:val="00076AC1"/>
    <w:rsid w:val="00076B1A"/>
    <w:rsid w:val="00076EF2"/>
    <w:rsid w:val="000813D1"/>
    <w:rsid w:val="00082213"/>
    <w:rsid w:val="00082892"/>
    <w:rsid w:val="0008299E"/>
    <w:rsid w:val="00082C43"/>
    <w:rsid w:val="00082E1E"/>
    <w:rsid w:val="00083274"/>
    <w:rsid w:val="00084463"/>
    <w:rsid w:val="00085145"/>
    <w:rsid w:val="000857B4"/>
    <w:rsid w:val="000867C2"/>
    <w:rsid w:val="00086AC4"/>
    <w:rsid w:val="00086AF3"/>
    <w:rsid w:val="00086B5D"/>
    <w:rsid w:val="00086E75"/>
    <w:rsid w:val="000870AA"/>
    <w:rsid w:val="000871C1"/>
    <w:rsid w:val="00087B5A"/>
    <w:rsid w:val="00087E18"/>
    <w:rsid w:val="0009013A"/>
    <w:rsid w:val="00090949"/>
    <w:rsid w:val="00090989"/>
    <w:rsid w:val="00091156"/>
    <w:rsid w:val="0009121B"/>
    <w:rsid w:val="000912F4"/>
    <w:rsid w:val="00091646"/>
    <w:rsid w:val="00091D13"/>
    <w:rsid w:val="00091D54"/>
    <w:rsid w:val="000922A1"/>
    <w:rsid w:val="00092A70"/>
    <w:rsid w:val="00092F6E"/>
    <w:rsid w:val="0009388E"/>
    <w:rsid w:val="00093A4B"/>
    <w:rsid w:val="000942E8"/>
    <w:rsid w:val="00094596"/>
    <w:rsid w:val="00094E73"/>
    <w:rsid w:val="0009553E"/>
    <w:rsid w:val="000959E1"/>
    <w:rsid w:val="00095E43"/>
    <w:rsid w:val="00096949"/>
    <w:rsid w:val="00097100"/>
    <w:rsid w:val="0009721C"/>
    <w:rsid w:val="00097B0B"/>
    <w:rsid w:val="00097E6A"/>
    <w:rsid w:val="000A01AB"/>
    <w:rsid w:val="000A0973"/>
    <w:rsid w:val="000A0CE8"/>
    <w:rsid w:val="000A234E"/>
    <w:rsid w:val="000A23A5"/>
    <w:rsid w:val="000A2BEA"/>
    <w:rsid w:val="000A3469"/>
    <w:rsid w:val="000A3479"/>
    <w:rsid w:val="000A3AB5"/>
    <w:rsid w:val="000A431B"/>
    <w:rsid w:val="000A44CC"/>
    <w:rsid w:val="000A45D5"/>
    <w:rsid w:val="000A45E7"/>
    <w:rsid w:val="000A4672"/>
    <w:rsid w:val="000A4809"/>
    <w:rsid w:val="000A497A"/>
    <w:rsid w:val="000A4E19"/>
    <w:rsid w:val="000A5041"/>
    <w:rsid w:val="000A526D"/>
    <w:rsid w:val="000A54C5"/>
    <w:rsid w:val="000A59EA"/>
    <w:rsid w:val="000A5B71"/>
    <w:rsid w:val="000A60C3"/>
    <w:rsid w:val="000A6947"/>
    <w:rsid w:val="000A6F29"/>
    <w:rsid w:val="000A6FB1"/>
    <w:rsid w:val="000A70D9"/>
    <w:rsid w:val="000A7291"/>
    <w:rsid w:val="000A799B"/>
    <w:rsid w:val="000B0284"/>
    <w:rsid w:val="000B0973"/>
    <w:rsid w:val="000B0A95"/>
    <w:rsid w:val="000B13C4"/>
    <w:rsid w:val="000B237E"/>
    <w:rsid w:val="000B2464"/>
    <w:rsid w:val="000B25FF"/>
    <w:rsid w:val="000B28BE"/>
    <w:rsid w:val="000B2B59"/>
    <w:rsid w:val="000B2EE6"/>
    <w:rsid w:val="000B36EA"/>
    <w:rsid w:val="000B3E1D"/>
    <w:rsid w:val="000B40CE"/>
    <w:rsid w:val="000B4770"/>
    <w:rsid w:val="000B4B2B"/>
    <w:rsid w:val="000B5094"/>
    <w:rsid w:val="000B512F"/>
    <w:rsid w:val="000B56E4"/>
    <w:rsid w:val="000B5FC8"/>
    <w:rsid w:val="000B6260"/>
    <w:rsid w:val="000B6291"/>
    <w:rsid w:val="000B65FF"/>
    <w:rsid w:val="000B6844"/>
    <w:rsid w:val="000B7D07"/>
    <w:rsid w:val="000B7FF3"/>
    <w:rsid w:val="000C0114"/>
    <w:rsid w:val="000C03C1"/>
    <w:rsid w:val="000C04C1"/>
    <w:rsid w:val="000C051E"/>
    <w:rsid w:val="000C0AE7"/>
    <w:rsid w:val="000C0D67"/>
    <w:rsid w:val="000C1108"/>
    <w:rsid w:val="000C13B9"/>
    <w:rsid w:val="000C198D"/>
    <w:rsid w:val="000C20BC"/>
    <w:rsid w:val="000C2263"/>
    <w:rsid w:val="000C2A12"/>
    <w:rsid w:val="000C2F5B"/>
    <w:rsid w:val="000C349E"/>
    <w:rsid w:val="000C3F4E"/>
    <w:rsid w:val="000C41D9"/>
    <w:rsid w:val="000C4B41"/>
    <w:rsid w:val="000C4F77"/>
    <w:rsid w:val="000C56C3"/>
    <w:rsid w:val="000C5B17"/>
    <w:rsid w:val="000C5D83"/>
    <w:rsid w:val="000C660C"/>
    <w:rsid w:val="000C6B59"/>
    <w:rsid w:val="000C7050"/>
    <w:rsid w:val="000C7B35"/>
    <w:rsid w:val="000C7D54"/>
    <w:rsid w:val="000C7E04"/>
    <w:rsid w:val="000D08A5"/>
    <w:rsid w:val="000D1001"/>
    <w:rsid w:val="000D218B"/>
    <w:rsid w:val="000D22A8"/>
    <w:rsid w:val="000D28DA"/>
    <w:rsid w:val="000D2BEB"/>
    <w:rsid w:val="000D32B0"/>
    <w:rsid w:val="000D41D6"/>
    <w:rsid w:val="000D4726"/>
    <w:rsid w:val="000D4824"/>
    <w:rsid w:val="000D4C02"/>
    <w:rsid w:val="000D5AD2"/>
    <w:rsid w:val="000D644C"/>
    <w:rsid w:val="000D668D"/>
    <w:rsid w:val="000D6735"/>
    <w:rsid w:val="000D6DE3"/>
    <w:rsid w:val="000D6E7A"/>
    <w:rsid w:val="000D70D5"/>
    <w:rsid w:val="000D7212"/>
    <w:rsid w:val="000D78CD"/>
    <w:rsid w:val="000D7BFE"/>
    <w:rsid w:val="000E0505"/>
    <w:rsid w:val="000E0AA2"/>
    <w:rsid w:val="000E101E"/>
    <w:rsid w:val="000E22E7"/>
    <w:rsid w:val="000E26C9"/>
    <w:rsid w:val="000E2A58"/>
    <w:rsid w:val="000E31F5"/>
    <w:rsid w:val="000E35A3"/>
    <w:rsid w:val="000E36BB"/>
    <w:rsid w:val="000E3E75"/>
    <w:rsid w:val="000E455F"/>
    <w:rsid w:val="000E477A"/>
    <w:rsid w:val="000E4DD4"/>
    <w:rsid w:val="000E54A6"/>
    <w:rsid w:val="000E5A4F"/>
    <w:rsid w:val="000E61E2"/>
    <w:rsid w:val="000E6352"/>
    <w:rsid w:val="000E6514"/>
    <w:rsid w:val="000E6625"/>
    <w:rsid w:val="000E6A17"/>
    <w:rsid w:val="000E6D89"/>
    <w:rsid w:val="000E7F2D"/>
    <w:rsid w:val="000F03B2"/>
    <w:rsid w:val="000F05A3"/>
    <w:rsid w:val="000F0AAD"/>
    <w:rsid w:val="000F0B29"/>
    <w:rsid w:val="000F1581"/>
    <w:rsid w:val="000F1784"/>
    <w:rsid w:val="000F1892"/>
    <w:rsid w:val="000F2753"/>
    <w:rsid w:val="000F29FD"/>
    <w:rsid w:val="000F2FD6"/>
    <w:rsid w:val="000F31E0"/>
    <w:rsid w:val="000F3697"/>
    <w:rsid w:val="000F383A"/>
    <w:rsid w:val="000F3A46"/>
    <w:rsid w:val="000F3E5B"/>
    <w:rsid w:val="000F3FCB"/>
    <w:rsid w:val="000F44B8"/>
    <w:rsid w:val="000F5147"/>
    <w:rsid w:val="000F6105"/>
    <w:rsid w:val="000F63FF"/>
    <w:rsid w:val="000F6A5C"/>
    <w:rsid w:val="000F7045"/>
    <w:rsid w:val="000F7501"/>
    <w:rsid w:val="000F7820"/>
    <w:rsid w:val="000F789B"/>
    <w:rsid w:val="000F78EA"/>
    <w:rsid w:val="000F7A35"/>
    <w:rsid w:val="000F7A7C"/>
    <w:rsid w:val="000F7BFA"/>
    <w:rsid w:val="000F7D9E"/>
    <w:rsid w:val="00100705"/>
    <w:rsid w:val="00100B1E"/>
    <w:rsid w:val="00100B42"/>
    <w:rsid w:val="00100B91"/>
    <w:rsid w:val="00100DE1"/>
    <w:rsid w:val="00100EA2"/>
    <w:rsid w:val="00101428"/>
    <w:rsid w:val="001020D8"/>
    <w:rsid w:val="001020EE"/>
    <w:rsid w:val="0010282D"/>
    <w:rsid w:val="00102C74"/>
    <w:rsid w:val="00102FB2"/>
    <w:rsid w:val="0010319D"/>
    <w:rsid w:val="00103670"/>
    <w:rsid w:val="00103A4B"/>
    <w:rsid w:val="00104383"/>
    <w:rsid w:val="00104A0B"/>
    <w:rsid w:val="001052D1"/>
    <w:rsid w:val="00105750"/>
    <w:rsid w:val="00105B9A"/>
    <w:rsid w:val="00106C44"/>
    <w:rsid w:val="001073D9"/>
    <w:rsid w:val="0010785F"/>
    <w:rsid w:val="00110B03"/>
    <w:rsid w:val="00111014"/>
    <w:rsid w:val="0011165D"/>
    <w:rsid w:val="00111FBF"/>
    <w:rsid w:val="001124EB"/>
    <w:rsid w:val="00112641"/>
    <w:rsid w:val="00112A0B"/>
    <w:rsid w:val="0011313C"/>
    <w:rsid w:val="001131EB"/>
    <w:rsid w:val="001133D6"/>
    <w:rsid w:val="0011367A"/>
    <w:rsid w:val="001138A8"/>
    <w:rsid w:val="00113AF4"/>
    <w:rsid w:val="00114877"/>
    <w:rsid w:val="00115298"/>
    <w:rsid w:val="00115BBD"/>
    <w:rsid w:val="001164DD"/>
    <w:rsid w:val="001166F5"/>
    <w:rsid w:val="00116757"/>
    <w:rsid w:val="00117721"/>
    <w:rsid w:val="00117909"/>
    <w:rsid w:val="001203DA"/>
    <w:rsid w:val="00120D62"/>
    <w:rsid w:val="0012122D"/>
    <w:rsid w:val="00121EA5"/>
    <w:rsid w:val="00122290"/>
    <w:rsid w:val="001223E1"/>
    <w:rsid w:val="00122669"/>
    <w:rsid w:val="0012271E"/>
    <w:rsid w:val="00122860"/>
    <w:rsid w:val="00122D29"/>
    <w:rsid w:val="00122D88"/>
    <w:rsid w:val="00122E17"/>
    <w:rsid w:val="0012392C"/>
    <w:rsid w:val="0012521D"/>
    <w:rsid w:val="0012638F"/>
    <w:rsid w:val="001263B3"/>
    <w:rsid w:val="00126615"/>
    <w:rsid w:val="00126902"/>
    <w:rsid w:val="00126DEE"/>
    <w:rsid w:val="0012777C"/>
    <w:rsid w:val="00127B67"/>
    <w:rsid w:val="00130275"/>
    <w:rsid w:val="0013042B"/>
    <w:rsid w:val="00130530"/>
    <w:rsid w:val="001316FD"/>
    <w:rsid w:val="0013182A"/>
    <w:rsid w:val="0013197F"/>
    <w:rsid w:val="00131FF5"/>
    <w:rsid w:val="00132340"/>
    <w:rsid w:val="0013246A"/>
    <w:rsid w:val="00132744"/>
    <w:rsid w:val="00132781"/>
    <w:rsid w:val="00132D48"/>
    <w:rsid w:val="00133184"/>
    <w:rsid w:val="00133B68"/>
    <w:rsid w:val="00134697"/>
    <w:rsid w:val="001353DE"/>
    <w:rsid w:val="0013543C"/>
    <w:rsid w:val="00135636"/>
    <w:rsid w:val="001357BA"/>
    <w:rsid w:val="0013675F"/>
    <w:rsid w:val="001368AE"/>
    <w:rsid w:val="0013696F"/>
    <w:rsid w:val="00136CD0"/>
    <w:rsid w:val="00137099"/>
    <w:rsid w:val="0013724C"/>
    <w:rsid w:val="00137301"/>
    <w:rsid w:val="00140278"/>
    <w:rsid w:val="001405ED"/>
    <w:rsid w:val="00140642"/>
    <w:rsid w:val="0014075B"/>
    <w:rsid w:val="001407FD"/>
    <w:rsid w:val="00142184"/>
    <w:rsid w:val="001422B9"/>
    <w:rsid w:val="001422E5"/>
    <w:rsid w:val="00142833"/>
    <w:rsid w:val="00142BE7"/>
    <w:rsid w:val="00143408"/>
    <w:rsid w:val="001438F2"/>
    <w:rsid w:val="00143C61"/>
    <w:rsid w:val="001440EE"/>
    <w:rsid w:val="001444CD"/>
    <w:rsid w:val="001445DC"/>
    <w:rsid w:val="00144A1A"/>
    <w:rsid w:val="0014549A"/>
    <w:rsid w:val="001455DF"/>
    <w:rsid w:val="0014582E"/>
    <w:rsid w:val="00145A1F"/>
    <w:rsid w:val="00145AD2"/>
    <w:rsid w:val="00145C09"/>
    <w:rsid w:val="00145D30"/>
    <w:rsid w:val="00146130"/>
    <w:rsid w:val="00146154"/>
    <w:rsid w:val="00146526"/>
    <w:rsid w:val="001467FC"/>
    <w:rsid w:val="00146BAC"/>
    <w:rsid w:val="00146D3E"/>
    <w:rsid w:val="00147072"/>
    <w:rsid w:val="00147EEF"/>
    <w:rsid w:val="00150B1E"/>
    <w:rsid w:val="00150C03"/>
    <w:rsid w:val="00150D59"/>
    <w:rsid w:val="00150E91"/>
    <w:rsid w:val="0015175A"/>
    <w:rsid w:val="0015191A"/>
    <w:rsid w:val="00151B96"/>
    <w:rsid w:val="00151E08"/>
    <w:rsid w:val="00151F61"/>
    <w:rsid w:val="00152075"/>
    <w:rsid w:val="00152B0E"/>
    <w:rsid w:val="001533E4"/>
    <w:rsid w:val="00154783"/>
    <w:rsid w:val="00154B3A"/>
    <w:rsid w:val="00154DE8"/>
    <w:rsid w:val="001565C3"/>
    <w:rsid w:val="00156BDE"/>
    <w:rsid w:val="0015773C"/>
    <w:rsid w:val="001601F0"/>
    <w:rsid w:val="0016038D"/>
    <w:rsid w:val="00160741"/>
    <w:rsid w:val="00161068"/>
    <w:rsid w:val="001616DC"/>
    <w:rsid w:val="00161E92"/>
    <w:rsid w:val="001625D8"/>
    <w:rsid w:val="00162635"/>
    <w:rsid w:val="001626CF"/>
    <w:rsid w:val="001628DD"/>
    <w:rsid w:val="00162AB8"/>
    <w:rsid w:val="00162BA9"/>
    <w:rsid w:val="00162BB4"/>
    <w:rsid w:val="00162C36"/>
    <w:rsid w:val="0016369C"/>
    <w:rsid w:val="001636D9"/>
    <w:rsid w:val="0016397E"/>
    <w:rsid w:val="00163B74"/>
    <w:rsid w:val="00163EF3"/>
    <w:rsid w:val="001645C7"/>
    <w:rsid w:val="001646C5"/>
    <w:rsid w:val="00165F2B"/>
    <w:rsid w:val="0016668B"/>
    <w:rsid w:val="00167041"/>
    <w:rsid w:val="0016747D"/>
    <w:rsid w:val="00167664"/>
    <w:rsid w:val="0016779F"/>
    <w:rsid w:val="00170804"/>
    <w:rsid w:val="00171764"/>
    <w:rsid w:val="00171777"/>
    <w:rsid w:val="00171DE5"/>
    <w:rsid w:val="001728BE"/>
    <w:rsid w:val="00173498"/>
    <w:rsid w:val="0017352D"/>
    <w:rsid w:val="00173576"/>
    <w:rsid w:val="0017366A"/>
    <w:rsid w:val="001743B4"/>
    <w:rsid w:val="00174F81"/>
    <w:rsid w:val="00175AF1"/>
    <w:rsid w:val="00175D04"/>
    <w:rsid w:val="00175FAC"/>
    <w:rsid w:val="00176379"/>
    <w:rsid w:val="0017662D"/>
    <w:rsid w:val="001767B7"/>
    <w:rsid w:val="00177225"/>
    <w:rsid w:val="001803E6"/>
    <w:rsid w:val="001806BA"/>
    <w:rsid w:val="00180D40"/>
    <w:rsid w:val="00180EED"/>
    <w:rsid w:val="00181C68"/>
    <w:rsid w:val="00182953"/>
    <w:rsid w:val="00182D6D"/>
    <w:rsid w:val="001837B1"/>
    <w:rsid w:val="00183984"/>
    <w:rsid w:val="001839C9"/>
    <w:rsid w:val="001841A8"/>
    <w:rsid w:val="00184417"/>
    <w:rsid w:val="001846E8"/>
    <w:rsid w:val="00184F6B"/>
    <w:rsid w:val="0018514E"/>
    <w:rsid w:val="00185246"/>
    <w:rsid w:val="001852F2"/>
    <w:rsid w:val="00186426"/>
    <w:rsid w:val="00186503"/>
    <w:rsid w:val="00187CCE"/>
    <w:rsid w:val="001905B5"/>
    <w:rsid w:val="0019073F"/>
    <w:rsid w:val="00190A8D"/>
    <w:rsid w:val="00190CC2"/>
    <w:rsid w:val="00190D7B"/>
    <w:rsid w:val="00191268"/>
    <w:rsid w:val="001912E5"/>
    <w:rsid w:val="00191B8C"/>
    <w:rsid w:val="00191E68"/>
    <w:rsid w:val="001921C9"/>
    <w:rsid w:val="0019276B"/>
    <w:rsid w:val="00193460"/>
    <w:rsid w:val="00193C13"/>
    <w:rsid w:val="00194100"/>
    <w:rsid w:val="0019412B"/>
    <w:rsid w:val="001943EC"/>
    <w:rsid w:val="0019451A"/>
    <w:rsid w:val="0019488B"/>
    <w:rsid w:val="00194A80"/>
    <w:rsid w:val="00194F0B"/>
    <w:rsid w:val="00194F7E"/>
    <w:rsid w:val="00195039"/>
    <w:rsid w:val="0019525E"/>
    <w:rsid w:val="0019527F"/>
    <w:rsid w:val="0019558F"/>
    <w:rsid w:val="0019577A"/>
    <w:rsid w:val="00195960"/>
    <w:rsid w:val="00195C98"/>
    <w:rsid w:val="00195D25"/>
    <w:rsid w:val="00195E9C"/>
    <w:rsid w:val="00196AA1"/>
    <w:rsid w:val="00196F90"/>
    <w:rsid w:val="001976E0"/>
    <w:rsid w:val="001A01B9"/>
    <w:rsid w:val="001A07C4"/>
    <w:rsid w:val="001A0A75"/>
    <w:rsid w:val="001A0BE5"/>
    <w:rsid w:val="001A0E40"/>
    <w:rsid w:val="001A143B"/>
    <w:rsid w:val="001A1872"/>
    <w:rsid w:val="001A1873"/>
    <w:rsid w:val="001A2289"/>
    <w:rsid w:val="001A22E4"/>
    <w:rsid w:val="001A24C4"/>
    <w:rsid w:val="001A27A9"/>
    <w:rsid w:val="001A2E92"/>
    <w:rsid w:val="001A3339"/>
    <w:rsid w:val="001A363A"/>
    <w:rsid w:val="001A4991"/>
    <w:rsid w:val="001A5382"/>
    <w:rsid w:val="001A5C30"/>
    <w:rsid w:val="001A6173"/>
    <w:rsid w:val="001A6B67"/>
    <w:rsid w:val="001A6F03"/>
    <w:rsid w:val="001A77AD"/>
    <w:rsid w:val="001A78AF"/>
    <w:rsid w:val="001A7A07"/>
    <w:rsid w:val="001A7B7D"/>
    <w:rsid w:val="001B10B6"/>
    <w:rsid w:val="001B1201"/>
    <w:rsid w:val="001B14D8"/>
    <w:rsid w:val="001B24CF"/>
    <w:rsid w:val="001B2C1D"/>
    <w:rsid w:val="001B3708"/>
    <w:rsid w:val="001B3D92"/>
    <w:rsid w:val="001B4494"/>
    <w:rsid w:val="001B4CF9"/>
    <w:rsid w:val="001B53CE"/>
    <w:rsid w:val="001B5821"/>
    <w:rsid w:val="001B5884"/>
    <w:rsid w:val="001B5E12"/>
    <w:rsid w:val="001B6A59"/>
    <w:rsid w:val="001B7617"/>
    <w:rsid w:val="001B7770"/>
    <w:rsid w:val="001B7893"/>
    <w:rsid w:val="001B7902"/>
    <w:rsid w:val="001B79BC"/>
    <w:rsid w:val="001C0E1D"/>
    <w:rsid w:val="001C0F2F"/>
    <w:rsid w:val="001C11DE"/>
    <w:rsid w:val="001C1271"/>
    <w:rsid w:val="001C1B5E"/>
    <w:rsid w:val="001C27E3"/>
    <w:rsid w:val="001C2B39"/>
    <w:rsid w:val="001C3E2E"/>
    <w:rsid w:val="001C4405"/>
    <w:rsid w:val="001C4412"/>
    <w:rsid w:val="001C4C13"/>
    <w:rsid w:val="001C5074"/>
    <w:rsid w:val="001C5719"/>
    <w:rsid w:val="001C5728"/>
    <w:rsid w:val="001C648C"/>
    <w:rsid w:val="001C6E4B"/>
    <w:rsid w:val="001C721C"/>
    <w:rsid w:val="001C72CB"/>
    <w:rsid w:val="001C746D"/>
    <w:rsid w:val="001C79BC"/>
    <w:rsid w:val="001C79FE"/>
    <w:rsid w:val="001D0183"/>
    <w:rsid w:val="001D019F"/>
    <w:rsid w:val="001D0C93"/>
    <w:rsid w:val="001D11BE"/>
    <w:rsid w:val="001D19D9"/>
    <w:rsid w:val="001D22B4"/>
    <w:rsid w:val="001D2622"/>
    <w:rsid w:val="001D27EC"/>
    <w:rsid w:val="001D32EA"/>
    <w:rsid w:val="001D337B"/>
    <w:rsid w:val="001D34C8"/>
    <w:rsid w:val="001D38D4"/>
    <w:rsid w:val="001D3E95"/>
    <w:rsid w:val="001D3FFD"/>
    <w:rsid w:val="001D4589"/>
    <w:rsid w:val="001D4BF6"/>
    <w:rsid w:val="001D4D9F"/>
    <w:rsid w:val="001D53D9"/>
    <w:rsid w:val="001D5777"/>
    <w:rsid w:val="001D5B0D"/>
    <w:rsid w:val="001D60EB"/>
    <w:rsid w:val="001D616C"/>
    <w:rsid w:val="001D6B32"/>
    <w:rsid w:val="001D6D59"/>
    <w:rsid w:val="001D7380"/>
    <w:rsid w:val="001D7458"/>
    <w:rsid w:val="001D7582"/>
    <w:rsid w:val="001D7AA1"/>
    <w:rsid w:val="001D7E95"/>
    <w:rsid w:val="001E0878"/>
    <w:rsid w:val="001E135B"/>
    <w:rsid w:val="001E19B9"/>
    <w:rsid w:val="001E2007"/>
    <w:rsid w:val="001E262F"/>
    <w:rsid w:val="001E2772"/>
    <w:rsid w:val="001E363A"/>
    <w:rsid w:val="001E3761"/>
    <w:rsid w:val="001E37BA"/>
    <w:rsid w:val="001E3D04"/>
    <w:rsid w:val="001E3E07"/>
    <w:rsid w:val="001E43DE"/>
    <w:rsid w:val="001E4A60"/>
    <w:rsid w:val="001E4CB5"/>
    <w:rsid w:val="001E4E78"/>
    <w:rsid w:val="001E529A"/>
    <w:rsid w:val="001E57D4"/>
    <w:rsid w:val="001E57F5"/>
    <w:rsid w:val="001E63FC"/>
    <w:rsid w:val="001E6B51"/>
    <w:rsid w:val="001E71D2"/>
    <w:rsid w:val="001E73A2"/>
    <w:rsid w:val="001E7DC1"/>
    <w:rsid w:val="001F12C8"/>
    <w:rsid w:val="001F137E"/>
    <w:rsid w:val="001F1694"/>
    <w:rsid w:val="001F16C0"/>
    <w:rsid w:val="001F1873"/>
    <w:rsid w:val="001F197C"/>
    <w:rsid w:val="001F1A11"/>
    <w:rsid w:val="001F1CC6"/>
    <w:rsid w:val="001F1D66"/>
    <w:rsid w:val="001F25BB"/>
    <w:rsid w:val="001F273E"/>
    <w:rsid w:val="001F38B7"/>
    <w:rsid w:val="001F3AEF"/>
    <w:rsid w:val="001F3FDA"/>
    <w:rsid w:val="001F4EF7"/>
    <w:rsid w:val="001F51AE"/>
    <w:rsid w:val="001F528D"/>
    <w:rsid w:val="001F548F"/>
    <w:rsid w:val="001F5DA0"/>
    <w:rsid w:val="001F662A"/>
    <w:rsid w:val="00200537"/>
    <w:rsid w:val="00200807"/>
    <w:rsid w:val="0020082D"/>
    <w:rsid w:val="00200CAB"/>
    <w:rsid w:val="002020A3"/>
    <w:rsid w:val="0020255E"/>
    <w:rsid w:val="00202B49"/>
    <w:rsid w:val="002043EE"/>
    <w:rsid w:val="00204697"/>
    <w:rsid w:val="00204746"/>
    <w:rsid w:val="0020478E"/>
    <w:rsid w:val="00204F87"/>
    <w:rsid w:val="002055AA"/>
    <w:rsid w:val="002055B3"/>
    <w:rsid w:val="00205832"/>
    <w:rsid w:val="00206738"/>
    <w:rsid w:val="00206F80"/>
    <w:rsid w:val="002070A9"/>
    <w:rsid w:val="00207164"/>
    <w:rsid w:val="002071A1"/>
    <w:rsid w:val="002073A7"/>
    <w:rsid w:val="0020757B"/>
    <w:rsid w:val="0021024F"/>
    <w:rsid w:val="00210432"/>
    <w:rsid w:val="002105E8"/>
    <w:rsid w:val="002106A3"/>
    <w:rsid w:val="0021086F"/>
    <w:rsid w:val="00210EF8"/>
    <w:rsid w:val="00211508"/>
    <w:rsid w:val="002118F4"/>
    <w:rsid w:val="00211BF5"/>
    <w:rsid w:val="0021203A"/>
    <w:rsid w:val="0021275E"/>
    <w:rsid w:val="002129AE"/>
    <w:rsid w:val="0021453E"/>
    <w:rsid w:val="002147FB"/>
    <w:rsid w:val="002152A7"/>
    <w:rsid w:val="002156DC"/>
    <w:rsid w:val="00215CD6"/>
    <w:rsid w:val="00215E5D"/>
    <w:rsid w:val="00216CE0"/>
    <w:rsid w:val="00216D46"/>
    <w:rsid w:val="00216F15"/>
    <w:rsid w:val="00216FAB"/>
    <w:rsid w:val="00217B91"/>
    <w:rsid w:val="00220D48"/>
    <w:rsid w:val="00220D60"/>
    <w:rsid w:val="0022119B"/>
    <w:rsid w:val="002213E6"/>
    <w:rsid w:val="0022169E"/>
    <w:rsid w:val="00221E35"/>
    <w:rsid w:val="00221ECD"/>
    <w:rsid w:val="00222277"/>
    <w:rsid w:val="002225C6"/>
    <w:rsid w:val="002244AE"/>
    <w:rsid w:val="00224A39"/>
    <w:rsid w:val="00224C97"/>
    <w:rsid w:val="00224EEE"/>
    <w:rsid w:val="002255E1"/>
    <w:rsid w:val="00225C07"/>
    <w:rsid w:val="00226AB8"/>
    <w:rsid w:val="00226BEC"/>
    <w:rsid w:val="0022738D"/>
    <w:rsid w:val="00227590"/>
    <w:rsid w:val="002276EE"/>
    <w:rsid w:val="0023005C"/>
    <w:rsid w:val="00230187"/>
    <w:rsid w:val="00230470"/>
    <w:rsid w:val="0023064A"/>
    <w:rsid w:val="00230F9A"/>
    <w:rsid w:val="00231A5C"/>
    <w:rsid w:val="0023349A"/>
    <w:rsid w:val="0023407E"/>
    <w:rsid w:val="002347EF"/>
    <w:rsid w:val="00234964"/>
    <w:rsid w:val="00234A76"/>
    <w:rsid w:val="00235692"/>
    <w:rsid w:val="0023575D"/>
    <w:rsid w:val="00235B69"/>
    <w:rsid w:val="00235B73"/>
    <w:rsid w:val="002363E6"/>
    <w:rsid w:val="002368DE"/>
    <w:rsid w:val="00236BCA"/>
    <w:rsid w:val="00237390"/>
    <w:rsid w:val="002375CC"/>
    <w:rsid w:val="00237D20"/>
    <w:rsid w:val="00237E3B"/>
    <w:rsid w:val="00237F51"/>
    <w:rsid w:val="00237F81"/>
    <w:rsid w:val="00240B7F"/>
    <w:rsid w:val="00240F43"/>
    <w:rsid w:val="002419D0"/>
    <w:rsid w:val="00241D92"/>
    <w:rsid w:val="00241F76"/>
    <w:rsid w:val="00241FD7"/>
    <w:rsid w:val="0024282E"/>
    <w:rsid w:val="002428DC"/>
    <w:rsid w:val="00243CB3"/>
    <w:rsid w:val="00243D0E"/>
    <w:rsid w:val="00243D15"/>
    <w:rsid w:val="002440B4"/>
    <w:rsid w:val="0024450E"/>
    <w:rsid w:val="00244F20"/>
    <w:rsid w:val="0024504D"/>
    <w:rsid w:val="002464E8"/>
    <w:rsid w:val="002464FF"/>
    <w:rsid w:val="002466DF"/>
    <w:rsid w:val="002468C8"/>
    <w:rsid w:val="00246C44"/>
    <w:rsid w:val="00246DC8"/>
    <w:rsid w:val="00246F9D"/>
    <w:rsid w:val="00247287"/>
    <w:rsid w:val="0024765B"/>
    <w:rsid w:val="002476D8"/>
    <w:rsid w:val="00247C4A"/>
    <w:rsid w:val="00247CC2"/>
    <w:rsid w:val="00247E44"/>
    <w:rsid w:val="002505DD"/>
    <w:rsid w:val="00250DFC"/>
    <w:rsid w:val="00251254"/>
    <w:rsid w:val="002524A3"/>
    <w:rsid w:val="00252969"/>
    <w:rsid w:val="00252AB6"/>
    <w:rsid w:val="00253486"/>
    <w:rsid w:val="0025453C"/>
    <w:rsid w:val="002545E7"/>
    <w:rsid w:val="00254AA8"/>
    <w:rsid w:val="00254BE1"/>
    <w:rsid w:val="002553D9"/>
    <w:rsid w:val="0025594E"/>
    <w:rsid w:val="00255B3E"/>
    <w:rsid w:val="002568F6"/>
    <w:rsid w:val="00257021"/>
    <w:rsid w:val="0025717B"/>
    <w:rsid w:val="00257EB1"/>
    <w:rsid w:val="002607BB"/>
    <w:rsid w:val="0026082C"/>
    <w:rsid w:val="002609DC"/>
    <w:rsid w:val="00260C2A"/>
    <w:rsid w:val="00260D4E"/>
    <w:rsid w:val="00260F5F"/>
    <w:rsid w:val="002610C0"/>
    <w:rsid w:val="00261AD1"/>
    <w:rsid w:val="00261B4D"/>
    <w:rsid w:val="00261E77"/>
    <w:rsid w:val="00261FAF"/>
    <w:rsid w:val="00262721"/>
    <w:rsid w:val="00262FE7"/>
    <w:rsid w:val="00263088"/>
    <w:rsid w:val="00263433"/>
    <w:rsid w:val="00263B9E"/>
    <w:rsid w:val="002641A7"/>
    <w:rsid w:val="002647D9"/>
    <w:rsid w:val="00264E5C"/>
    <w:rsid w:val="002658D2"/>
    <w:rsid w:val="002660E6"/>
    <w:rsid w:val="00266D7E"/>
    <w:rsid w:val="002671A3"/>
    <w:rsid w:val="002671A4"/>
    <w:rsid w:val="0026741B"/>
    <w:rsid w:val="00267548"/>
    <w:rsid w:val="0027152A"/>
    <w:rsid w:val="00271BF1"/>
    <w:rsid w:val="00272862"/>
    <w:rsid w:val="002729DF"/>
    <w:rsid w:val="00272D17"/>
    <w:rsid w:val="00272F01"/>
    <w:rsid w:val="00274510"/>
    <w:rsid w:val="0027472F"/>
    <w:rsid w:val="002748AA"/>
    <w:rsid w:val="00274B67"/>
    <w:rsid w:val="002750B8"/>
    <w:rsid w:val="0027514A"/>
    <w:rsid w:val="0027537F"/>
    <w:rsid w:val="00275D5D"/>
    <w:rsid w:val="0027620E"/>
    <w:rsid w:val="0027694A"/>
    <w:rsid w:val="00277066"/>
    <w:rsid w:val="002770D6"/>
    <w:rsid w:val="00277488"/>
    <w:rsid w:val="002775FB"/>
    <w:rsid w:val="002776F2"/>
    <w:rsid w:val="00280D11"/>
    <w:rsid w:val="0028132B"/>
    <w:rsid w:val="00281834"/>
    <w:rsid w:val="002821E5"/>
    <w:rsid w:val="00282579"/>
    <w:rsid w:val="0028257B"/>
    <w:rsid w:val="00282924"/>
    <w:rsid w:val="002832A0"/>
    <w:rsid w:val="002835E7"/>
    <w:rsid w:val="00283A0B"/>
    <w:rsid w:val="00283A38"/>
    <w:rsid w:val="00283B55"/>
    <w:rsid w:val="00283E62"/>
    <w:rsid w:val="002858D7"/>
    <w:rsid w:val="00285A32"/>
    <w:rsid w:val="002869B9"/>
    <w:rsid w:val="00286B51"/>
    <w:rsid w:val="00286D52"/>
    <w:rsid w:val="002878AE"/>
    <w:rsid w:val="00287AF2"/>
    <w:rsid w:val="00290121"/>
    <w:rsid w:val="0029049B"/>
    <w:rsid w:val="002905AB"/>
    <w:rsid w:val="00291858"/>
    <w:rsid w:val="00293320"/>
    <w:rsid w:val="00293A02"/>
    <w:rsid w:val="00293E9A"/>
    <w:rsid w:val="0029454F"/>
    <w:rsid w:val="002947CC"/>
    <w:rsid w:val="00295081"/>
    <w:rsid w:val="002950B4"/>
    <w:rsid w:val="002952B7"/>
    <w:rsid w:val="00296126"/>
    <w:rsid w:val="002963E8"/>
    <w:rsid w:val="00296790"/>
    <w:rsid w:val="00297331"/>
    <w:rsid w:val="00297AEF"/>
    <w:rsid w:val="002A08DB"/>
    <w:rsid w:val="002A0AE2"/>
    <w:rsid w:val="002A0C97"/>
    <w:rsid w:val="002A15C2"/>
    <w:rsid w:val="002A179E"/>
    <w:rsid w:val="002A1AD4"/>
    <w:rsid w:val="002A1B31"/>
    <w:rsid w:val="002A2DA4"/>
    <w:rsid w:val="002A3449"/>
    <w:rsid w:val="002A4AB7"/>
    <w:rsid w:val="002A4C1E"/>
    <w:rsid w:val="002A5860"/>
    <w:rsid w:val="002A64C1"/>
    <w:rsid w:val="002A70E3"/>
    <w:rsid w:val="002A7200"/>
    <w:rsid w:val="002A7347"/>
    <w:rsid w:val="002A73F5"/>
    <w:rsid w:val="002A757C"/>
    <w:rsid w:val="002A7F9C"/>
    <w:rsid w:val="002B0051"/>
    <w:rsid w:val="002B1383"/>
    <w:rsid w:val="002B19A7"/>
    <w:rsid w:val="002B1B77"/>
    <w:rsid w:val="002B1D47"/>
    <w:rsid w:val="002B1E79"/>
    <w:rsid w:val="002B205D"/>
    <w:rsid w:val="002B2E7B"/>
    <w:rsid w:val="002B31FB"/>
    <w:rsid w:val="002B32E2"/>
    <w:rsid w:val="002B373A"/>
    <w:rsid w:val="002B3AFA"/>
    <w:rsid w:val="002B40C3"/>
    <w:rsid w:val="002B424F"/>
    <w:rsid w:val="002B4524"/>
    <w:rsid w:val="002B4841"/>
    <w:rsid w:val="002B49E3"/>
    <w:rsid w:val="002B517A"/>
    <w:rsid w:val="002B55C6"/>
    <w:rsid w:val="002B570F"/>
    <w:rsid w:val="002B6243"/>
    <w:rsid w:val="002B6534"/>
    <w:rsid w:val="002B6554"/>
    <w:rsid w:val="002B7240"/>
    <w:rsid w:val="002B73AC"/>
    <w:rsid w:val="002B75AA"/>
    <w:rsid w:val="002B7BB9"/>
    <w:rsid w:val="002C0132"/>
    <w:rsid w:val="002C0628"/>
    <w:rsid w:val="002C07D2"/>
    <w:rsid w:val="002C07E5"/>
    <w:rsid w:val="002C0A85"/>
    <w:rsid w:val="002C11E2"/>
    <w:rsid w:val="002C1986"/>
    <w:rsid w:val="002C221E"/>
    <w:rsid w:val="002C2AFB"/>
    <w:rsid w:val="002C2F55"/>
    <w:rsid w:val="002C38B4"/>
    <w:rsid w:val="002C3BE0"/>
    <w:rsid w:val="002C3C4A"/>
    <w:rsid w:val="002C3FE2"/>
    <w:rsid w:val="002C45B4"/>
    <w:rsid w:val="002C4993"/>
    <w:rsid w:val="002C50CB"/>
    <w:rsid w:val="002C5276"/>
    <w:rsid w:val="002C53B6"/>
    <w:rsid w:val="002C579B"/>
    <w:rsid w:val="002C60BB"/>
    <w:rsid w:val="002C654D"/>
    <w:rsid w:val="002C67BE"/>
    <w:rsid w:val="002C7098"/>
    <w:rsid w:val="002C715A"/>
    <w:rsid w:val="002C73BC"/>
    <w:rsid w:val="002C7ED9"/>
    <w:rsid w:val="002D0180"/>
    <w:rsid w:val="002D02EB"/>
    <w:rsid w:val="002D0B62"/>
    <w:rsid w:val="002D0CC5"/>
    <w:rsid w:val="002D0EAC"/>
    <w:rsid w:val="002D1071"/>
    <w:rsid w:val="002D10FC"/>
    <w:rsid w:val="002D1F54"/>
    <w:rsid w:val="002D20E7"/>
    <w:rsid w:val="002D2D91"/>
    <w:rsid w:val="002D3025"/>
    <w:rsid w:val="002D3315"/>
    <w:rsid w:val="002D3B5E"/>
    <w:rsid w:val="002D3FA1"/>
    <w:rsid w:val="002D409C"/>
    <w:rsid w:val="002D452A"/>
    <w:rsid w:val="002D481F"/>
    <w:rsid w:val="002D4A4A"/>
    <w:rsid w:val="002D4F48"/>
    <w:rsid w:val="002D525E"/>
    <w:rsid w:val="002D5B8E"/>
    <w:rsid w:val="002D5DD6"/>
    <w:rsid w:val="002D6200"/>
    <w:rsid w:val="002D6207"/>
    <w:rsid w:val="002D63E8"/>
    <w:rsid w:val="002D64B0"/>
    <w:rsid w:val="002D68C3"/>
    <w:rsid w:val="002D7135"/>
    <w:rsid w:val="002E0353"/>
    <w:rsid w:val="002E05DF"/>
    <w:rsid w:val="002E08AF"/>
    <w:rsid w:val="002E0E02"/>
    <w:rsid w:val="002E113E"/>
    <w:rsid w:val="002E17E8"/>
    <w:rsid w:val="002E1C30"/>
    <w:rsid w:val="002E1FFB"/>
    <w:rsid w:val="002E25A5"/>
    <w:rsid w:val="002E33F7"/>
    <w:rsid w:val="002E3410"/>
    <w:rsid w:val="002E3DC0"/>
    <w:rsid w:val="002E3DC8"/>
    <w:rsid w:val="002E3DCC"/>
    <w:rsid w:val="002E4B00"/>
    <w:rsid w:val="002E4D45"/>
    <w:rsid w:val="002E51F3"/>
    <w:rsid w:val="002E52EE"/>
    <w:rsid w:val="002E5C43"/>
    <w:rsid w:val="002E6A24"/>
    <w:rsid w:val="002E7522"/>
    <w:rsid w:val="002F009F"/>
    <w:rsid w:val="002F021B"/>
    <w:rsid w:val="002F08BF"/>
    <w:rsid w:val="002F08FD"/>
    <w:rsid w:val="002F1182"/>
    <w:rsid w:val="002F24F8"/>
    <w:rsid w:val="002F283E"/>
    <w:rsid w:val="002F297F"/>
    <w:rsid w:val="002F2A1B"/>
    <w:rsid w:val="002F2BB0"/>
    <w:rsid w:val="002F2E96"/>
    <w:rsid w:val="002F3018"/>
    <w:rsid w:val="002F3AC8"/>
    <w:rsid w:val="002F44A3"/>
    <w:rsid w:val="002F4AA1"/>
    <w:rsid w:val="002F5868"/>
    <w:rsid w:val="002F5AFE"/>
    <w:rsid w:val="002F5B3F"/>
    <w:rsid w:val="002F7B26"/>
    <w:rsid w:val="002F7D42"/>
    <w:rsid w:val="003001CF"/>
    <w:rsid w:val="00300221"/>
    <w:rsid w:val="003007AC"/>
    <w:rsid w:val="0030088B"/>
    <w:rsid w:val="00300C5E"/>
    <w:rsid w:val="003012B9"/>
    <w:rsid w:val="00301AAA"/>
    <w:rsid w:val="00301CA6"/>
    <w:rsid w:val="00301D1B"/>
    <w:rsid w:val="0030200E"/>
    <w:rsid w:val="003020EC"/>
    <w:rsid w:val="00302263"/>
    <w:rsid w:val="0030315C"/>
    <w:rsid w:val="00303465"/>
    <w:rsid w:val="0030421F"/>
    <w:rsid w:val="00304376"/>
    <w:rsid w:val="00304BDD"/>
    <w:rsid w:val="00304C55"/>
    <w:rsid w:val="00305102"/>
    <w:rsid w:val="003064E3"/>
    <w:rsid w:val="00306729"/>
    <w:rsid w:val="0030762F"/>
    <w:rsid w:val="00310925"/>
    <w:rsid w:val="00310CA4"/>
    <w:rsid w:val="00311085"/>
    <w:rsid w:val="00311198"/>
    <w:rsid w:val="00311BC7"/>
    <w:rsid w:val="00311EC9"/>
    <w:rsid w:val="003121D1"/>
    <w:rsid w:val="00312D23"/>
    <w:rsid w:val="00313BB1"/>
    <w:rsid w:val="00313E57"/>
    <w:rsid w:val="00314248"/>
    <w:rsid w:val="00314544"/>
    <w:rsid w:val="00314903"/>
    <w:rsid w:val="003149A1"/>
    <w:rsid w:val="003151D1"/>
    <w:rsid w:val="003157E9"/>
    <w:rsid w:val="0031582A"/>
    <w:rsid w:val="00315EA9"/>
    <w:rsid w:val="003165A0"/>
    <w:rsid w:val="00316AEA"/>
    <w:rsid w:val="00316FA8"/>
    <w:rsid w:val="00317BDB"/>
    <w:rsid w:val="00320281"/>
    <w:rsid w:val="003203FD"/>
    <w:rsid w:val="00320559"/>
    <w:rsid w:val="00320C40"/>
    <w:rsid w:val="00321C2E"/>
    <w:rsid w:val="00322151"/>
    <w:rsid w:val="00322447"/>
    <w:rsid w:val="00322513"/>
    <w:rsid w:val="00322D02"/>
    <w:rsid w:val="00323069"/>
    <w:rsid w:val="00323247"/>
    <w:rsid w:val="00323288"/>
    <w:rsid w:val="003232D0"/>
    <w:rsid w:val="003234D8"/>
    <w:rsid w:val="003235C6"/>
    <w:rsid w:val="00323BBA"/>
    <w:rsid w:val="00323C5E"/>
    <w:rsid w:val="00323E31"/>
    <w:rsid w:val="003243DD"/>
    <w:rsid w:val="00324FDC"/>
    <w:rsid w:val="00325183"/>
    <w:rsid w:val="003253C6"/>
    <w:rsid w:val="00325682"/>
    <w:rsid w:val="0032571E"/>
    <w:rsid w:val="003260A2"/>
    <w:rsid w:val="00326F06"/>
    <w:rsid w:val="00326F24"/>
    <w:rsid w:val="00326F82"/>
    <w:rsid w:val="00327119"/>
    <w:rsid w:val="0032782F"/>
    <w:rsid w:val="00327A05"/>
    <w:rsid w:val="00327D8B"/>
    <w:rsid w:val="00327EB8"/>
    <w:rsid w:val="003301E3"/>
    <w:rsid w:val="0033055A"/>
    <w:rsid w:val="00330B8F"/>
    <w:rsid w:val="00331324"/>
    <w:rsid w:val="00331397"/>
    <w:rsid w:val="003317B8"/>
    <w:rsid w:val="00331B3F"/>
    <w:rsid w:val="00331E8C"/>
    <w:rsid w:val="00331F06"/>
    <w:rsid w:val="00333960"/>
    <w:rsid w:val="00333986"/>
    <w:rsid w:val="00333D72"/>
    <w:rsid w:val="00333EA3"/>
    <w:rsid w:val="003344E7"/>
    <w:rsid w:val="00335519"/>
    <w:rsid w:val="00335606"/>
    <w:rsid w:val="00335975"/>
    <w:rsid w:val="00337410"/>
    <w:rsid w:val="00337A36"/>
    <w:rsid w:val="00337AFC"/>
    <w:rsid w:val="00337BA1"/>
    <w:rsid w:val="00337DEE"/>
    <w:rsid w:val="0034070E"/>
    <w:rsid w:val="00340E10"/>
    <w:rsid w:val="0034127F"/>
    <w:rsid w:val="00341811"/>
    <w:rsid w:val="00341943"/>
    <w:rsid w:val="00341C2D"/>
    <w:rsid w:val="00341E06"/>
    <w:rsid w:val="00341E1E"/>
    <w:rsid w:val="00341E9A"/>
    <w:rsid w:val="00342539"/>
    <w:rsid w:val="00342A9B"/>
    <w:rsid w:val="00342F4E"/>
    <w:rsid w:val="00343391"/>
    <w:rsid w:val="00343582"/>
    <w:rsid w:val="003438E0"/>
    <w:rsid w:val="00344039"/>
    <w:rsid w:val="0034423D"/>
    <w:rsid w:val="003442BA"/>
    <w:rsid w:val="0034443A"/>
    <w:rsid w:val="0034475F"/>
    <w:rsid w:val="00345428"/>
    <w:rsid w:val="00345FF1"/>
    <w:rsid w:val="003476DE"/>
    <w:rsid w:val="00347DC8"/>
    <w:rsid w:val="00347F5E"/>
    <w:rsid w:val="003501E4"/>
    <w:rsid w:val="00350300"/>
    <w:rsid w:val="00351597"/>
    <w:rsid w:val="00351731"/>
    <w:rsid w:val="00351B1B"/>
    <w:rsid w:val="0035227D"/>
    <w:rsid w:val="00352EAC"/>
    <w:rsid w:val="00353076"/>
    <w:rsid w:val="00353130"/>
    <w:rsid w:val="003539DF"/>
    <w:rsid w:val="00353A78"/>
    <w:rsid w:val="00353EF6"/>
    <w:rsid w:val="003541B7"/>
    <w:rsid w:val="003546AA"/>
    <w:rsid w:val="00354A00"/>
    <w:rsid w:val="003550E1"/>
    <w:rsid w:val="003553D6"/>
    <w:rsid w:val="003557D9"/>
    <w:rsid w:val="00355CD9"/>
    <w:rsid w:val="003564D2"/>
    <w:rsid w:val="0035665B"/>
    <w:rsid w:val="00356ACF"/>
    <w:rsid w:val="00356C7D"/>
    <w:rsid w:val="0035746F"/>
    <w:rsid w:val="0035750E"/>
    <w:rsid w:val="00357B0F"/>
    <w:rsid w:val="00357DB9"/>
    <w:rsid w:val="0036002B"/>
    <w:rsid w:val="003600C5"/>
    <w:rsid w:val="003602C7"/>
    <w:rsid w:val="00360447"/>
    <w:rsid w:val="00360C1C"/>
    <w:rsid w:val="00360EA9"/>
    <w:rsid w:val="00360F6A"/>
    <w:rsid w:val="00361064"/>
    <w:rsid w:val="003613AC"/>
    <w:rsid w:val="00361ADC"/>
    <w:rsid w:val="00361FB5"/>
    <w:rsid w:val="00361FFD"/>
    <w:rsid w:val="00362242"/>
    <w:rsid w:val="00362A00"/>
    <w:rsid w:val="00362D81"/>
    <w:rsid w:val="003630A7"/>
    <w:rsid w:val="00363200"/>
    <w:rsid w:val="00363244"/>
    <w:rsid w:val="00363A1C"/>
    <w:rsid w:val="00364233"/>
    <w:rsid w:val="003643D5"/>
    <w:rsid w:val="00365698"/>
    <w:rsid w:val="0036593B"/>
    <w:rsid w:val="003659DC"/>
    <w:rsid w:val="003661C6"/>
    <w:rsid w:val="0036668B"/>
    <w:rsid w:val="00366AB5"/>
    <w:rsid w:val="00366EB2"/>
    <w:rsid w:val="003706DC"/>
    <w:rsid w:val="0037095C"/>
    <w:rsid w:val="00370E05"/>
    <w:rsid w:val="0037127D"/>
    <w:rsid w:val="003714BE"/>
    <w:rsid w:val="00371751"/>
    <w:rsid w:val="00371783"/>
    <w:rsid w:val="00371842"/>
    <w:rsid w:val="00371989"/>
    <w:rsid w:val="00371C8C"/>
    <w:rsid w:val="0037237A"/>
    <w:rsid w:val="00372477"/>
    <w:rsid w:val="00372626"/>
    <w:rsid w:val="00372AB2"/>
    <w:rsid w:val="00372B25"/>
    <w:rsid w:val="0037304D"/>
    <w:rsid w:val="00373276"/>
    <w:rsid w:val="00373299"/>
    <w:rsid w:val="00373344"/>
    <w:rsid w:val="003738DE"/>
    <w:rsid w:val="00373C28"/>
    <w:rsid w:val="00373D23"/>
    <w:rsid w:val="0037435E"/>
    <w:rsid w:val="003744FD"/>
    <w:rsid w:val="00374582"/>
    <w:rsid w:val="003746CF"/>
    <w:rsid w:val="0037479E"/>
    <w:rsid w:val="003748F4"/>
    <w:rsid w:val="00374F9B"/>
    <w:rsid w:val="003750F9"/>
    <w:rsid w:val="003751FB"/>
    <w:rsid w:val="00375A65"/>
    <w:rsid w:val="00375DB3"/>
    <w:rsid w:val="003760BE"/>
    <w:rsid w:val="00376114"/>
    <w:rsid w:val="00376749"/>
    <w:rsid w:val="0037689E"/>
    <w:rsid w:val="00377313"/>
    <w:rsid w:val="0037774F"/>
    <w:rsid w:val="00377B50"/>
    <w:rsid w:val="00377C7F"/>
    <w:rsid w:val="003803AF"/>
    <w:rsid w:val="0038070E"/>
    <w:rsid w:val="00380C03"/>
    <w:rsid w:val="00380D56"/>
    <w:rsid w:val="00380F94"/>
    <w:rsid w:val="0038117C"/>
    <w:rsid w:val="00381DD5"/>
    <w:rsid w:val="003825FA"/>
    <w:rsid w:val="003826C7"/>
    <w:rsid w:val="003829AA"/>
    <w:rsid w:val="00382D1C"/>
    <w:rsid w:val="00382E14"/>
    <w:rsid w:val="003831D4"/>
    <w:rsid w:val="0038339D"/>
    <w:rsid w:val="003833F7"/>
    <w:rsid w:val="00383B88"/>
    <w:rsid w:val="003844A8"/>
    <w:rsid w:val="00384E11"/>
    <w:rsid w:val="003863EB"/>
    <w:rsid w:val="003866A3"/>
    <w:rsid w:val="00386BF8"/>
    <w:rsid w:val="00386C2C"/>
    <w:rsid w:val="00386E9B"/>
    <w:rsid w:val="003874AD"/>
    <w:rsid w:val="003875BA"/>
    <w:rsid w:val="0038769E"/>
    <w:rsid w:val="00390752"/>
    <w:rsid w:val="00391025"/>
    <w:rsid w:val="0039116A"/>
    <w:rsid w:val="0039163B"/>
    <w:rsid w:val="00392787"/>
    <w:rsid w:val="00392DD1"/>
    <w:rsid w:val="0039319D"/>
    <w:rsid w:val="003944EE"/>
    <w:rsid w:val="00395020"/>
    <w:rsid w:val="0039542C"/>
    <w:rsid w:val="003958B2"/>
    <w:rsid w:val="003958B5"/>
    <w:rsid w:val="00396901"/>
    <w:rsid w:val="00396E9A"/>
    <w:rsid w:val="003970CC"/>
    <w:rsid w:val="003972C0"/>
    <w:rsid w:val="003975DD"/>
    <w:rsid w:val="003979B7"/>
    <w:rsid w:val="00397B79"/>
    <w:rsid w:val="00397D25"/>
    <w:rsid w:val="00397FB8"/>
    <w:rsid w:val="003A0934"/>
    <w:rsid w:val="003A0C76"/>
    <w:rsid w:val="003A0FE9"/>
    <w:rsid w:val="003A1139"/>
    <w:rsid w:val="003A11F4"/>
    <w:rsid w:val="003A152C"/>
    <w:rsid w:val="003A1949"/>
    <w:rsid w:val="003A221F"/>
    <w:rsid w:val="003A28B5"/>
    <w:rsid w:val="003A30B5"/>
    <w:rsid w:val="003A346A"/>
    <w:rsid w:val="003A3B92"/>
    <w:rsid w:val="003A3E14"/>
    <w:rsid w:val="003A4184"/>
    <w:rsid w:val="003A4F7F"/>
    <w:rsid w:val="003A5204"/>
    <w:rsid w:val="003A522C"/>
    <w:rsid w:val="003A5552"/>
    <w:rsid w:val="003A6261"/>
    <w:rsid w:val="003A6431"/>
    <w:rsid w:val="003A6833"/>
    <w:rsid w:val="003A68E4"/>
    <w:rsid w:val="003A6911"/>
    <w:rsid w:val="003A69CC"/>
    <w:rsid w:val="003A6C75"/>
    <w:rsid w:val="003A73BA"/>
    <w:rsid w:val="003A7435"/>
    <w:rsid w:val="003A7A8A"/>
    <w:rsid w:val="003B0234"/>
    <w:rsid w:val="003B0BB2"/>
    <w:rsid w:val="003B2A87"/>
    <w:rsid w:val="003B3BE7"/>
    <w:rsid w:val="003B3E78"/>
    <w:rsid w:val="003B4B91"/>
    <w:rsid w:val="003B4FEA"/>
    <w:rsid w:val="003B54AA"/>
    <w:rsid w:val="003B5EDB"/>
    <w:rsid w:val="003B5F67"/>
    <w:rsid w:val="003B6497"/>
    <w:rsid w:val="003B68D6"/>
    <w:rsid w:val="003C01FF"/>
    <w:rsid w:val="003C10D3"/>
    <w:rsid w:val="003C1904"/>
    <w:rsid w:val="003C24C9"/>
    <w:rsid w:val="003C2B17"/>
    <w:rsid w:val="003C2E03"/>
    <w:rsid w:val="003C365F"/>
    <w:rsid w:val="003C37D6"/>
    <w:rsid w:val="003C3D30"/>
    <w:rsid w:val="003C4229"/>
    <w:rsid w:val="003C493A"/>
    <w:rsid w:val="003C4AD0"/>
    <w:rsid w:val="003C4CC4"/>
    <w:rsid w:val="003C4E5C"/>
    <w:rsid w:val="003C55A5"/>
    <w:rsid w:val="003C5BA4"/>
    <w:rsid w:val="003C6083"/>
    <w:rsid w:val="003C66F5"/>
    <w:rsid w:val="003C69BE"/>
    <w:rsid w:val="003C78CE"/>
    <w:rsid w:val="003C7DCA"/>
    <w:rsid w:val="003D0093"/>
    <w:rsid w:val="003D018E"/>
    <w:rsid w:val="003D0291"/>
    <w:rsid w:val="003D0416"/>
    <w:rsid w:val="003D082C"/>
    <w:rsid w:val="003D0A6C"/>
    <w:rsid w:val="003D13C0"/>
    <w:rsid w:val="003D1E3A"/>
    <w:rsid w:val="003D259A"/>
    <w:rsid w:val="003D27E5"/>
    <w:rsid w:val="003D2A52"/>
    <w:rsid w:val="003D2D78"/>
    <w:rsid w:val="003D320F"/>
    <w:rsid w:val="003D38BD"/>
    <w:rsid w:val="003D3EAA"/>
    <w:rsid w:val="003D3F00"/>
    <w:rsid w:val="003D4075"/>
    <w:rsid w:val="003D445F"/>
    <w:rsid w:val="003D463F"/>
    <w:rsid w:val="003D486E"/>
    <w:rsid w:val="003D5B44"/>
    <w:rsid w:val="003D5D83"/>
    <w:rsid w:val="003D61F5"/>
    <w:rsid w:val="003D73C3"/>
    <w:rsid w:val="003D74CC"/>
    <w:rsid w:val="003D7C0F"/>
    <w:rsid w:val="003D7EBF"/>
    <w:rsid w:val="003E1AA1"/>
    <w:rsid w:val="003E1CD4"/>
    <w:rsid w:val="003E1E43"/>
    <w:rsid w:val="003E2EE8"/>
    <w:rsid w:val="003E3C37"/>
    <w:rsid w:val="003E3CBD"/>
    <w:rsid w:val="003E4578"/>
    <w:rsid w:val="003E49DD"/>
    <w:rsid w:val="003E4A01"/>
    <w:rsid w:val="003E4A6B"/>
    <w:rsid w:val="003E55DF"/>
    <w:rsid w:val="003E57DB"/>
    <w:rsid w:val="003E5CDC"/>
    <w:rsid w:val="003E640B"/>
    <w:rsid w:val="003E6692"/>
    <w:rsid w:val="003E6D4F"/>
    <w:rsid w:val="003E7B0E"/>
    <w:rsid w:val="003E7C15"/>
    <w:rsid w:val="003F09F9"/>
    <w:rsid w:val="003F1BEF"/>
    <w:rsid w:val="003F22B1"/>
    <w:rsid w:val="003F26E4"/>
    <w:rsid w:val="003F2E38"/>
    <w:rsid w:val="003F3430"/>
    <w:rsid w:val="003F3B73"/>
    <w:rsid w:val="003F4136"/>
    <w:rsid w:val="003F4353"/>
    <w:rsid w:val="003F4A7D"/>
    <w:rsid w:val="003F5818"/>
    <w:rsid w:val="003F5819"/>
    <w:rsid w:val="003F661A"/>
    <w:rsid w:val="003F6C57"/>
    <w:rsid w:val="003F7C2A"/>
    <w:rsid w:val="003F7CB8"/>
    <w:rsid w:val="00400116"/>
    <w:rsid w:val="004002F1"/>
    <w:rsid w:val="00400553"/>
    <w:rsid w:val="00400E7C"/>
    <w:rsid w:val="0040144F"/>
    <w:rsid w:val="004015A5"/>
    <w:rsid w:val="00402A54"/>
    <w:rsid w:val="00402B0F"/>
    <w:rsid w:val="0040313E"/>
    <w:rsid w:val="00404735"/>
    <w:rsid w:val="00404BDC"/>
    <w:rsid w:val="00404DC2"/>
    <w:rsid w:val="0040565F"/>
    <w:rsid w:val="00405673"/>
    <w:rsid w:val="00405910"/>
    <w:rsid w:val="00405A93"/>
    <w:rsid w:val="00406243"/>
    <w:rsid w:val="004063E0"/>
    <w:rsid w:val="00406FC6"/>
    <w:rsid w:val="00407AF0"/>
    <w:rsid w:val="00410465"/>
    <w:rsid w:val="00410A5C"/>
    <w:rsid w:val="00411E59"/>
    <w:rsid w:val="00411EAD"/>
    <w:rsid w:val="004122C1"/>
    <w:rsid w:val="00412948"/>
    <w:rsid w:val="00412B68"/>
    <w:rsid w:val="00412C4B"/>
    <w:rsid w:val="00412D99"/>
    <w:rsid w:val="00413097"/>
    <w:rsid w:val="00413D10"/>
    <w:rsid w:val="00413F0E"/>
    <w:rsid w:val="00414145"/>
    <w:rsid w:val="00414328"/>
    <w:rsid w:val="00414594"/>
    <w:rsid w:val="00414D47"/>
    <w:rsid w:val="004156B1"/>
    <w:rsid w:val="00415E3F"/>
    <w:rsid w:val="004168D0"/>
    <w:rsid w:val="00417703"/>
    <w:rsid w:val="0042018A"/>
    <w:rsid w:val="0042081E"/>
    <w:rsid w:val="00420FBA"/>
    <w:rsid w:val="00421831"/>
    <w:rsid w:val="00421900"/>
    <w:rsid w:val="00421B52"/>
    <w:rsid w:val="004220C4"/>
    <w:rsid w:val="00422180"/>
    <w:rsid w:val="00422E15"/>
    <w:rsid w:val="00422E87"/>
    <w:rsid w:val="004230DB"/>
    <w:rsid w:val="004233A5"/>
    <w:rsid w:val="00423CAC"/>
    <w:rsid w:val="00424265"/>
    <w:rsid w:val="004243E4"/>
    <w:rsid w:val="00424C27"/>
    <w:rsid w:val="0042512F"/>
    <w:rsid w:val="00425A76"/>
    <w:rsid w:val="00425ABC"/>
    <w:rsid w:val="00425C31"/>
    <w:rsid w:val="00426035"/>
    <w:rsid w:val="004260C0"/>
    <w:rsid w:val="0042617D"/>
    <w:rsid w:val="004265F2"/>
    <w:rsid w:val="00427489"/>
    <w:rsid w:val="00427B1C"/>
    <w:rsid w:val="00427DE5"/>
    <w:rsid w:val="00430334"/>
    <w:rsid w:val="00430AC0"/>
    <w:rsid w:val="00430F8C"/>
    <w:rsid w:val="00431260"/>
    <w:rsid w:val="004316C8"/>
    <w:rsid w:val="004324FA"/>
    <w:rsid w:val="00432F8D"/>
    <w:rsid w:val="0043322F"/>
    <w:rsid w:val="00434302"/>
    <w:rsid w:val="004343C7"/>
    <w:rsid w:val="00434B36"/>
    <w:rsid w:val="00434BE0"/>
    <w:rsid w:val="0043530D"/>
    <w:rsid w:val="00435A89"/>
    <w:rsid w:val="0043632F"/>
    <w:rsid w:val="00436678"/>
    <w:rsid w:val="00436DD7"/>
    <w:rsid w:val="00437D0A"/>
    <w:rsid w:val="00437D8F"/>
    <w:rsid w:val="004409EC"/>
    <w:rsid w:val="00441017"/>
    <w:rsid w:val="004412A9"/>
    <w:rsid w:val="004415AF"/>
    <w:rsid w:val="004423C4"/>
    <w:rsid w:val="004428C1"/>
    <w:rsid w:val="0044316F"/>
    <w:rsid w:val="004432E1"/>
    <w:rsid w:val="004434AD"/>
    <w:rsid w:val="00443527"/>
    <w:rsid w:val="0044365D"/>
    <w:rsid w:val="004438F1"/>
    <w:rsid w:val="00443D10"/>
    <w:rsid w:val="00444493"/>
    <w:rsid w:val="0044476F"/>
    <w:rsid w:val="00444B5E"/>
    <w:rsid w:val="00444E2A"/>
    <w:rsid w:val="00444F96"/>
    <w:rsid w:val="004450B6"/>
    <w:rsid w:val="0044547F"/>
    <w:rsid w:val="004457DA"/>
    <w:rsid w:val="00446005"/>
    <w:rsid w:val="004462FC"/>
    <w:rsid w:val="00446B39"/>
    <w:rsid w:val="004471E9"/>
    <w:rsid w:val="00447378"/>
    <w:rsid w:val="00447731"/>
    <w:rsid w:val="00447A59"/>
    <w:rsid w:val="00447C26"/>
    <w:rsid w:val="00450505"/>
    <w:rsid w:val="004506B5"/>
    <w:rsid w:val="00450851"/>
    <w:rsid w:val="00450944"/>
    <w:rsid w:val="00450A9C"/>
    <w:rsid w:val="00450D7A"/>
    <w:rsid w:val="00450E44"/>
    <w:rsid w:val="00451439"/>
    <w:rsid w:val="00451831"/>
    <w:rsid w:val="00452048"/>
    <w:rsid w:val="00452E44"/>
    <w:rsid w:val="00452E75"/>
    <w:rsid w:val="00453178"/>
    <w:rsid w:val="004531A8"/>
    <w:rsid w:val="00453291"/>
    <w:rsid w:val="00453881"/>
    <w:rsid w:val="00454540"/>
    <w:rsid w:val="004556DD"/>
    <w:rsid w:val="00455762"/>
    <w:rsid w:val="004560A4"/>
    <w:rsid w:val="00456FBC"/>
    <w:rsid w:val="004573DC"/>
    <w:rsid w:val="00457863"/>
    <w:rsid w:val="004579CB"/>
    <w:rsid w:val="00457BEA"/>
    <w:rsid w:val="00457D8F"/>
    <w:rsid w:val="004601F9"/>
    <w:rsid w:val="004607AA"/>
    <w:rsid w:val="00460959"/>
    <w:rsid w:val="00460EFB"/>
    <w:rsid w:val="004616CF"/>
    <w:rsid w:val="00461BFB"/>
    <w:rsid w:val="004625ED"/>
    <w:rsid w:val="0046267B"/>
    <w:rsid w:val="004628ED"/>
    <w:rsid w:val="00462B2D"/>
    <w:rsid w:val="0046302E"/>
    <w:rsid w:val="00463220"/>
    <w:rsid w:val="00463474"/>
    <w:rsid w:val="00463B1F"/>
    <w:rsid w:val="00465957"/>
    <w:rsid w:val="0046610B"/>
    <w:rsid w:val="0046694F"/>
    <w:rsid w:val="00466CAE"/>
    <w:rsid w:val="0046714D"/>
    <w:rsid w:val="004677E6"/>
    <w:rsid w:val="004702AD"/>
    <w:rsid w:val="00470901"/>
    <w:rsid w:val="00470B01"/>
    <w:rsid w:val="00470E5C"/>
    <w:rsid w:val="00471159"/>
    <w:rsid w:val="00472094"/>
    <w:rsid w:val="0047217F"/>
    <w:rsid w:val="004730C2"/>
    <w:rsid w:val="0047397F"/>
    <w:rsid w:val="00473DDF"/>
    <w:rsid w:val="00474843"/>
    <w:rsid w:val="00474C6D"/>
    <w:rsid w:val="00475910"/>
    <w:rsid w:val="004763CF"/>
    <w:rsid w:val="004772DD"/>
    <w:rsid w:val="0047759C"/>
    <w:rsid w:val="0047777F"/>
    <w:rsid w:val="004778A9"/>
    <w:rsid w:val="00477BD6"/>
    <w:rsid w:val="004804E1"/>
    <w:rsid w:val="0048088E"/>
    <w:rsid w:val="00481091"/>
    <w:rsid w:val="004821B2"/>
    <w:rsid w:val="00482391"/>
    <w:rsid w:val="004823B1"/>
    <w:rsid w:val="0048255E"/>
    <w:rsid w:val="00482671"/>
    <w:rsid w:val="00483242"/>
    <w:rsid w:val="00483283"/>
    <w:rsid w:val="00483588"/>
    <w:rsid w:val="004840AB"/>
    <w:rsid w:val="0048425F"/>
    <w:rsid w:val="00484400"/>
    <w:rsid w:val="00484858"/>
    <w:rsid w:val="00484B3B"/>
    <w:rsid w:val="004859E9"/>
    <w:rsid w:val="004862CF"/>
    <w:rsid w:val="00486591"/>
    <w:rsid w:val="00486BA5"/>
    <w:rsid w:val="00487885"/>
    <w:rsid w:val="00487A64"/>
    <w:rsid w:val="00487E24"/>
    <w:rsid w:val="0049011C"/>
    <w:rsid w:val="00490AC8"/>
    <w:rsid w:val="00490B3F"/>
    <w:rsid w:val="00490D71"/>
    <w:rsid w:val="004914ED"/>
    <w:rsid w:val="00491838"/>
    <w:rsid w:val="00491BD8"/>
    <w:rsid w:val="0049361D"/>
    <w:rsid w:val="00493BB1"/>
    <w:rsid w:val="0049400C"/>
    <w:rsid w:val="004946E8"/>
    <w:rsid w:val="004948A1"/>
    <w:rsid w:val="00494A06"/>
    <w:rsid w:val="00494B56"/>
    <w:rsid w:val="00494C18"/>
    <w:rsid w:val="00494E49"/>
    <w:rsid w:val="00495263"/>
    <w:rsid w:val="0049544B"/>
    <w:rsid w:val="004954E4"/>
    <w:rsid w:val="00495FEA"/>
    <w:rsid w:val="004962D9"/>
    <w:rsid w:val="0049678D"/>
    <w:rsid w:val="00496BD3"/>
    <w:rsid w:val="00497007"/>
    <w:rsid w:val="00497585"/>
    <w:rsid w:val="004978FF"/>
    <w:rsid w:val="00497D5B"/>
    <w:rsid w:val="004A123D"/>
    <w:rsid w:val="004A1C2B"/>
    <w:rsid w:val="004A1D5A"/>
    <w:rsid w:val="004A219D"/>
    <w:rsid w:val="004A25BF"/>
    <w:rsid w:val="004A2898"/>
    <w:rsid w:val="004A28C1"/>
    <w:rsid w:val="004A39A4"/>
    <w:rsid w:val="004A428A"/>
    <w:rsid w:val="004A464E"/>
    <w:rsid w:val="004A4F7D"/>
    <w:rsid w:val="004A5F38"/>
    <w:rsid w:val="004A6130"/>
    <w:rsid w:val="004A6990"/>
    <w:rsid w:val="004A6D58"/>
    <w:rsid w:val="004A6E9E"/>
    <w:rsid w:val="004A7800"/>
    <w:rsid w:val="004A7ADF"/>
    <w:rsid w:val="004A7B12"/>
    <w:rsid w:val="004A7F84"/>
    <w:rsid w:val="004B0A8B"/>
    <w:rsid w:val="004B0A92"/>
    <w:rsid w:val="004B231A"/>
    <w:rsid w:val="004B25C7"/>
    <w:rsid w:val="004B4066"/>
    <w:rsid w:val="004B4170"/>
    <w:rsid w:val="004B4570"/>
    <w:rsid w:val="004B48DF"/>
    <w:rsid w:val="004B523E"/>
    <w:rsid w:val="004B57E9"/>
    <w:rsid w:val="004B644B"/>
    <w:rsid w:val="004B6F63"/>
    <w:rsid w:val="004B7263"/>
    <w:rsid w:val="004B7B83"/>
    <w:rsid w:val="004B7BB8"/>
    <w:rsid w:val="004B7E23"/>
    <w:rsid w:val="004C011E"/>
    <w:rsid w:val="004C085D"/>
    <w:rsid w:val="004C0EF7"/>
    <w:rsid w:val="004C0F21"/>
    <w:rsid w:val="004C116F"/>
    <w:rsid w:val="004C1398"/>
    <w:rsid w:val="004C142D"/>
    <w:rsid w:val="004C1471"/>
    <w:rsid w:val="004C16F5"/>
    <w:rsid w:val="004C20EB"/>
    <w:rsid w:val="004C257E"/>
    <w:rsid w:val="004C2C55"/>
    <w:rsid w:val="004C2E66"/>
    <w:rsid w:val="004C30D4"/>
    <w:rsid w:val="004C316F"/>
    <w:rsid w:val="004C3A33"/>
    <w:rsid w:val="004C412C"/>
    <w:rsid w:val="004C461B"/>
    <w:rsid w:val="004C51CE"/>
    <w:rsid w:val="004C5A37"/>
    <w:rsid w:val="004C5DF6"/>
    <w:rsid w:val="004C6842"/>
    <w:rsid w:val="004C6E80"/>
    <w:rsid w:val="004C7327"/>
    <w:rsid w:val="004C7347"/>
    <w:rsid w:val="004C7BCF"/>
    <w:rsid w:val="004C7D8C"/>
    <w:rsid w:val="004D00A3"/>
    <w:rsid w:val="004D045D"/>
    <w:rsid w:val="004D0642"/>
    <w:rsid w:val="004D0FCF"/>
    <w:rsid w:val="004D1065"/>
    <w:rsid w:val="004D1625"/>
    <w:rsid w:val="004D16DD"/>
    <w:rsid w:val="004D1788"/>
    <w:rsid w:val="004D1AFE"/>
    <w:rsid w:val="004D1FE5"/>
    <w:rsid w:val="004D2230"/>
    <w:rsid w:val="004D237B"/>
    <w:rsid w:val="004D2829"/>
    <w:rsid w:val="004D2F99"/>
    <w:rsid w:val="004D2FE3"/>
    <w:rsid w:val="004D31D5"/>
    <w:rsid w:val="004D3413"/>
    <w:rsid w:val="004D4074"/>
    <w:rsid w:val="004D4923"/>
    <w:rsid w:val="004D5A8E"/>
    <w:rsid w:val="004D5BDE"/>
    <w:rsid w:val="004D62FE"/>
    <w:rsid w:val="004D6C8A"/>
    <w:rsid w:val="004D7590"/>
    <w:rsid w:val="004D77BD"/>
    <w:rsid w:val="004D7AA5"/>
    <w:rsid w:val="004D7C85"/>
    <w:rsid w:val="004E02BA"/>
    <w:rsid w:val="004E0B4E"/>
    <w:rsid w:val="004E14B0"/>
    <w:rsid w:val="004E1540"/>
    <w:rsid w:val="004E18CC"/>
    <w:rsid w:val="004E2724"/>
    <w:rsid w:val="004E39C4"/>
    <w:rsid w:val="004E40F1"/>
    <w:rsid w:val="004E4A48"/>
    <w:rsid w:val="004E4AF2"/>
    <w:rsid w:val="004E4B7E"/>
    <w:rsid w:val="004E5047"/>
    <w:rsid w:val="004E573C"/>
    <w:rsid w:val="004E59E3"/>
    <w:rsid w:val="004E5B48"/>
    <w:rsid w:val="004E5D1E"/>
    <w:rsid w:val="004E6006"/>
    <w:rsid w:val="004E648B"/>
    <w:rsid w:val="004E6670"/>
    <w:rsid w:val="004E6CFA"/>
    <w:rsid w:val="004E7512"/>
    <w:rsid w:val="004E78A5"/>
    <w:rsid w:val="004E79A4"/>
    <w:rsid w:val="004E79B8"/>
    <w:rsid w:val="004E7C6C"/>
    <w:rsid w:val="004F03E0"/>
    <w:rsid w:val="004F0C53"/>
    <w:rsid w:val="004F0D91"/>
    <w:rsid w:val="004F1067"/>
    <w:rsid w:val="004F123E"/>
    <w:rsid w:val="004F128C"/>
    <w:rsid w:val="004F1418"/>
    <w:rsid w:val="004F16BE"/>
    <w:rsid w:val="004F172C"/>
    <w:rsid w:val="004F208B"/>
    <w:rsid w:val="004F2959"/>
    <w:rsid w:val="004F2E38"/>
    <w:rsid w:val="004F3678"/>
    <w:rsid w:val="004F3BF1"/>
    <w:rsid w:val="004F4784"/>
    <w:rsid w:val="004F49D2"/>
    <w:rsid w:val="004F521A"/>
    <w:rsid w:val="004F5236"/>
    <w:rsid w:val="004F53C2"/>
    <w:rsid w:val="004F5727"/>
    <w:rsid w:val="004F5E70"/>
    <w:rsid w:val="004F5FE4"/>
    <w:rsid w:val="004F6268"/>
    <w:rsid w:val="004F6DE7"/>
    <w:rsid w:val="004F6FFC"/>
    <w:rsid w:val="004F7313"/>
    <w:rsid w:val="004F78EB"/>
    <w:rsid w:val="004F7AE5"/>
    <w:rsid w:val="004F7B5C"/>
    <w:rsid w:val="004F7D51"/>
    <w:rsid w:val="004F7F70"/>
    <w:rsid w:val="005000B9"/>
    <w:rsid w:val="00500BCB"/>
    <w:rsid w:val="00501213"/>
    <w:rsid w:val="00501598"/>
    <w:rsid w:val="00501A7F"/>
    <w:rsid w:val="00501B06"/>
    <w:rsid w:val="005021DF"/>
    <w:rsid w:val="005021E6"/>
    <w:rsid w:val="005027D1"/>
    <w:rsid w:val="00502C4C"/>
    <w:rsid w:val="00502CB0"/>
    <w:rsid w:val="00503C9F"/>
    <w:rsid w:val="00504A9D"/>
    <w:rsid w:val="00505BF6"/>
    <w:rsid w:val="00505F49"/>
    <w:rsid w:val="00506363"/>
    <w:rsid w:val="00507B64"/>
    <w:rsid w:val="00507C64"/>
    <w:rsid w:val="0051029B"/>
    <w:rsid w:val="005116F7"/>
    <w:rsid w:val="005118BA"/>
    <w:rsid w:val="00511A4A"/>
    <w:rsid w:val="00512328"/>
    <w:rsid w:val="00512750"/>
    <w:rsid w:val="00513218"/>
    <w:rsid w:val="00513276"/>
    <w:rsid w:val="00513522"/>
    <w:rsid w:val="00513C8D"/>
    <w:rsid w:val="00513EE2"/>
    <w:rsid w:val="00514E32"/>
    <w:rsid w:val="00515B52"/>
    <w:rsid w:val="00515F48"/>
    <w:rsid w:val="005161F1"/>
    <w:rsid w:val="0051630F"/>
    <w:rsid w:val="0051637F"/>
    <w:rsid w:val="005165C4"/>
    <w:rsid w:val="00516616"/>
    <w:rsid w:val="00516E4A"/>
    <w:rsid w:val="0051703C"/>
    <w:rsid w:val="005173E0"/>
    <w:rsid w:val="005202EE"/>
    <w:rsid w:val="0052073E"/>
    <w:rsid w:val="0052188E"/>
    <w:rsid w:val="00521C57"/>
    <w:rsid w:val="00522970"/>
    <w:rsid w:val="00522ECB"/>
    <w:rsid w:val="0052312B"/>
    <w:rsid w:val="00523652"/>
    <w:rsid w:val="0052414E"/>
    <w:rsid w:val="00524289"/>
    <w:rsid w:val="005246B7"/>
    <w:rsid w:val="00524811"/>
    <w:rsid w:val="00525076"/>
    <w:rsid w:val="005252CD"/>
    <w:rsid w:val="00525384"/>
    <w:rsid w:val="0052546B"/>
    <w:rsid w:val="00525EE0"/>
    <w:rsid w:val="005268EC"/>
    <w:rsid w:val="00526D3C"/>
    <w:rsid w:val="00527782"/>
    <w:rsid w:val="005278B6"/>
    <w:rsid w:val="005279BA"/>
    <w:rsid w:val="00527A7B"/>
    <w:rsid w:val="00527BF5"/>
    <w:rsid w:val="00527CA1"/>
    <w:rsid w:val="00527E9D"/>
    <w:rsid w:val="005305CA"/>
    <w:rsid w:val="00530740"/>
    <w:rsid w:val="00531792"/>
    <w:rsid w:val="00531AD0"/>
    <w:rsid w:val="0053211E"/>
    <w:rsid w:val="005323CA"/>
    <w:rsid w:val="00532D25"/>
    <w:rsid w:val="00532DD8"/>
    <w:rsid w:val="00532EE8"/>
    <w:rsid w:val="005333B7"/>
    <w:rsid w:val="005334E8"/>
    <w:rsid w:val="00533CE8"/>
    <w:rsid w:val="00533D00"/>
    <w:rsid w:val="005341A7"/>
    <w:rsid w:val="00536ABB"/>
    <w:rsid w:val="00537156"/>
    <w:rsid w:val="005374A2"/>
    <w:rsid w:val="0054020D"/>
    <w:rsid w:val="00540271"/>
    <w:rsid w:val="005404D7"/>
    <w:rsid w:val="00540509"/>
    <w:rsid w:val="00541766"/>
    <w:rsid w:val="0054177D"/>
    <w:rsid w:val="00541D43"/>
    <w:rsid w:val="00542685"/>
    <w:rsid w:val="00542972"/>
    <w:rsid w:val="00542C8A"/>
    <w:rsid w:val="0054319E"/>
    <w:rsid w:val="00543408"/>
    <w:rsid w:val="005435BB"/>
    <w:rsid w:val="00543796"/>
    <w:rsid w:val="00543D95"/>
    <w:rsid w:val="00543E24"/>
    <w:rsid w:val="005443BA"/>
    <w:rsid w:val="005446EF"/>
    <w:rsid w:val="005451AD"/>
    <w:rsid w:val="0054531D"/>
    <w:rsid w:val="005456D4"/>
    <w:rsid w:val="005458A7"/>
    <w:rsid w:val="00545940"/>
    <w:rsid w:val="005459A8"/>
    <w:rsid w:val="00545BCA"/>
    <w:rsid w:val="00545BEF"/>
    <w:rsid w:val="00545EF4"/>
    <w:rsid w:val="00546084"/>
    <w:rsid w:val="0054631E"/>
    <w:rsid w:val="00546469"/>
    <w:rsid w:val="005467CF"/>
    <w:rsid w:val="00546911"/>
    <w:rsid w:val="0054710B"/>
    <w:rsid w:val="0054734E"/>
    <w:rsid w:val="0055057D"/>
    <w:rsid w:val="00550BF1"/>
    <w:rsid w:val="00550F7A"/>
    <w:rsid w:val="005514CF"/>
    <w:rsid w:val="005521DE"/>
    <w:rsid w:val="00552569"/>
    <w:rsid w:val="005525C6"/>
    <w:rsid w:val="00552B22"/>
    <w:rsid w:val="00552D6F"/>
    <w:rsid w:val="005532AC"/>
    <w:rsid w:val="00553BB8"/>
    <w:rsid w:val="00554216"/>
    <w:rsid w:val="0055436A"/>
    <w:rsid w:val="00554E01"/>
    <w:rsid w:val="00554F6C"/>
    <w:rsid w:val="00555163"/>
    <w:rsid w:val="00555695"/>
    <w:rsid w:val="0055625A"/>
    <w:rsid w:val="0055629A"/>
    <w:rsid w:val="00556A73"/>
    <w:rsid w:val="00557327"/>
    <w:rsid w:val="00557553"/>
    <w:rsid w:val="005577D0"/>
    <w:rsid w:val="00557B40"/>
    <w:rsid w:val="00557BB1"/>
    <w:rsid w:val="00560403"/>
    <w:rsid w:val="00561198"/>
    <w:rsid w:val="005612DC"/>
    <w:rsid w:val="00561596"/>
    <w:rsid w:val="00561657"/>
    <w:rsid w:val="005618E5"/>
    <w:rsid w:val="00561F30"/>
    <w:rsid w:val="00561FBE"/>
    <w:rsid w:val="00562508"/>
    <w:rsid w:val="0056267F"/>
    <w:rsid w:val="005629F7"/>
    <w:rsid w:val="00563217"/>
    <w:rsid w:val="0056362A"/>
    <w:rsid w:val="0056445A"/>
    <w:rsid w:val="005646FE"/>
    <w:rsid w:val="00565597"/>
    <w:rsid w:val="00565BF0"/>
    <w:rsid w:val="00565DFD"/>
    <w:rsid w:val="005662B1"/>
    <w:rsid w:val="005665D7"/>
    <w:rsid w:val="00566982"/>
    <w:rsid w:val="00566997"/>
    <w:rsid w:val="00567ECE"/>
    <w:rsid w:val="005708DE"/>
    <w:rsid w:val="00570BCC"/>
    <w:rsid w:val="005718AC"/>
    <w:rsid w:val="005719E4"/>
    <w:rsid w:val="00571A92"/>
    <w:rsid w:val="00571B8C"/>
    <w:rsid w:val="005723EE"/>
    <w:rsid w:val="00572536"/>
    <w:rsid w:val="00572B63"/>
    <w:rsid w:val="00572BA3"/>
    <w:rsid w:val="00573369"/>
    <w:rsid w:val="00573647"/>
    <w:rsid w:val="00573731"/>
    <w:rsid w:val="0057417E"/>
    <w:rsid w:val="00574D70"/>
    <w:rsid w:val="00575003"/>
    <w:rsid w:val="005757B6"/>
    <w:rsid w:val="00575D6F"/>
    <w:rsid w:val="00575F12"/>
    <w:rsid w:val="005761DD"/>
    <w:rsid w:val="00576487"/>
    <w:rsid w:val="0057664A"/>
    <w:rsid w:val="005767E7"/>
    <w:rsid w:val="005769EC"/>
    <w:rsid w:val="00576EF6"/>
    <w:rsid w:val="00576F0E"/>
    <w:rsid w:val="00577053"/>
    <w:rsid w:val="00577425"/>
    <w:rsid w:val="00580319"/>
    <w:rsid w:val="00580D6A"/>
    <w:rsid w:val="00582064"/>
    <w:rsid w:val="00582448"/>
    <w:rsid w:val="0058269D"/>
    <w:rsid w:val="00583224"/>
    <w:rsid w:val="0058353C"/>
    <w:rsid w:val="0058385F"/>
    <w:rsid w:val="0058420A"/>
    <w:rsid w:val="00584293"/>
    <w:rsid w:val="005845DD"/>
    <w:rsid w:val="00584DE2"/>
    <w:rsid w:val="005858F8"/>
    <w:rsid w:val="00585D28"/>
    <w:rsid w:val="00586333"/>
    <w:rsid w:val="00586374"/>
    <w:rsid w:val="0058657B"/>
    <w:rsid w:val="00586667"/>
    <w:rsid w:val="00586886"/>
    <w:rsid w:val="00586C87"/>
    <w:rsid w:val="00586E73"/>
    <w:rsid w:val="005870EF"/>
    <w:rsid w:val="00587CDC"/>
    <w:rsid w:val="005906DF"/>
    <w:rsid w:val="00590AE4"/>
    <w:rsid w:val="0059140E"/>
    <w:rsid w:val="00591C5B"/>
    <w:rsid w:val="00592172"/>
    <w:rsid w:val="0059258D"/>
    <w:rsid w:val="00592955"/>
    <w:rsid w:val="005935FC"/>
    <w:rsid w:val="005936C8"/>
    <w:rsid w:val="00593968"/>
    <w:rsid w:val="00593978"/>
    <w:rsid w:val="00593B00"/>
    <w:rsid w:val="0059471B"/>
    <w:rsid w:val="0059498A"/>
    <w:rsid w:val="00594A38"/>
    <w:rsid w:val="005954DD"/>
    <w:rsid w:val="00596451"/>
    <w:rsid w:val="005966F2"/>
    <w:rsid w:val="005977A4"/>
    <w:rsid w:val="0059780C"/>
    <w:rsid w:val="00597ACC"/>
    <w:rsid w:val="005A0350"/>
    <w:rsid w:val="005A0C84"/>
    <w:rsid w:val="005A10A7"/>
    <w:rsid w:val="005A10EB"/>
    <w:rsid w:val="005A17AF"/>
    <w:rsid w:val="005A1A07"/>
    <w:rsid w:val="005A22AA"/>
    <w:rsid w:val="005A264C"/>
    <w:rsid w:val="005A2855"/>
    <w:rsid w:val="005A29DC"/>
    <w:rsid w:val="005A2B87"/>
    <w:rsid w:val="005A3171"/>
    <w:rsid w:val="005A357C"/>
    <w:rsid w:val="005A395E"/>
    <w:rsid w:val="005A3E01"/>
    <w:rsid w:val="005A465A"/>
    <w:rsid w:val="005A4BE9"/>
    <w:rsid w:val="005A5257"/>
    <w:rsid w:val="005A57D2"/>
    <w:rsid w:val="005A5A03"/>
    <w:rsid w:val="005A6060"/>
    <w:rsid w:val="005A6B4E"/>
    <w:rsid w:val="005A6F3F"/>
    <w:rsid w:val="005A7393"/>
    <w:rsid w:val="005A7711"/>
    <w:rsid w:val="005B01EB"/>
    <w:rsid w:val="005B03AC"/>
    <w:rsid w:val="005B0A1E"/>
    <w:rsid w:val="005B0AA3"/>
    <w:rsid w:val="005B0D1B"/>
    <w:rsid w:val="005B1C88"/>
    <w:rsid w:val="005B2321"/>
    <w:rsid w:val="005B283C"/>
    <w:rsid w:val="005B30BD"/>
    <w:rsid w:val="005B3806"/>
    <w:rsid w:val="005B3B02"/>
    <w:rsid w:val="005B3C58"/>
    <w:rsid w:val="005B3FF7"/>
    <w:rsid w:val="005B42E7"/>
    <w:rsid w:val="005B43DE"/>
    <w:rsid w:val="005B47D1"/>
    <w:rsid w:val="005B52C3"/>
    <w:rsid w:val="005B5749"/>
    <w:rsid w:val="005B5786"/>
    <w:rsid w:val="005B5848"/>
    <w:rsid w:val="005B5AED"/>
    <w:rsid w:val="005B5CA0"/>
    <w:rsid w:val="005B5E62"/>
    <w:rsid w:val="005B5EE0"/>
    <w:rsid w:val="005B5FEA"/>
    <w:rsid w:val="005B6F5F"/>
    <w:rsid w:val="005B799C"/>
    <w:rsid w:val="005B7B5B"/>
    <w:rsid w:val="005C052A"/>
    <w:rsid w:val="005C069F"/>
    <w:rsid w:val="005C09DB"/>
    <w:rsid w:val="005C114F"/>
    <w:rsid w:val="005C17DA"/>
    <w:rsid w:val="005C18B3"/>
    <w:rsid w:val="005C1D5B"/>
    <w:rsid w:val="005C2952"/>
    <w:rsid w:val="005C36D0"/>
    <w:rsid w:val="005C3F06"/>
    <w:rsid w:val="005C3FBC"/>
    <w:rsid w:val="005C4174"/>
    <w:rsid w:val="005C4378"/>
    <w:rsid w:val="005C44D7"/>
    <w:rsid w:val="005C4713"/>
    <w:rsid w:val="005C4CB1"/>
    <w:rsid w:val="005C53C7"/>
    <w:rsid w:val="005C5425"/>
    <w:rsid w:val="005C5BCF"/>
    <w:rsid w:val="005C654C"/>
    <w:rsid w:val="005C6CCC"/>
    <w:rsid w:val="005C6E6E"/>
    <w:rsid w:val="005C6F0F"/>
    <w:rsid w:val="005C7827"/>
    <w:rsid w:val="005C7D35"/>
    <w:rsid w:val="005D004F"/>
    <w:rsid w:val="005D0387"/>
    <w:rsid w:val="005D0449"/>
    <w:rsid w:val="005D0537"/>
    <w:rsid w:val="005D09E5"/>
    <w:rsid w:val="005D0DBE"/>
    <w:rsid w:val="005D1861"/>
    <w:rsid w:val="005D1BC7"/>
    <w:rsid w:val="005D23AE"/>
    <w:rsid w:val="005D397D"/>
    <w:rsid w:val="005D39C8"/>
    <w:rsid w:val="005D3C49"/>
    <w:rsid w:val="005D4584"/>
    <w:rsid w:val="005D46BC"/>
    <w:rsid w:val="005D477D"/>
    <w:rsid w:val="005D50C7"/>
    <w:rsid w:val="005D542D"/>
    <w:rsid w:val="005D579A"/>
    <w:rsid w:val="005D5B56"/>
    <w:rsid w:val="005D5E62"/>
    <w:rsid w:val="005D64C4"/>
    <w:rsid w:val="005D6A84"/>
    <w:rsid w:val="005D6D85"/>
    <w:rsid w:val="005D6E64"/>
    <w:rsid w:val="005D7375"/>
    <w:rsid w:val="005D769C"/>
    <w:rsid w:val="005D7B60"/>
    <w:rsid w:val="005D7BC9"/>
    <w:rsid w:val="005E0010"/>
    <w:rsid w:val="005E0307"/>
    <w:rsid w:val="005E051C"/>
    <w:rsid w:val="005E06F7"/>
    <w:rsid w:val="005E0ABE"/>
    <w:rsid w:val="005E11F7"/>
    <w:rsid w:val="005E15DB"/>
    <w:rsid w:val="005E1752"/>
    <w:rsid w:val="005E1910"/>
    <w:rsid w:val="005E1DF9"/>
    <w:rsid w:val="005E2068"/>
    <w:rsid w:val="005E2E38"/>
    <w:rsid w:val="005E30AD"/>
    <w:rsid w:val="005E3459"/>
    <w:rsid w:val="005E3951"/>
    <w:rsid w:val="005E4276"/>
    <w:rsid w:val="005E42E1"/>
    <w:rsid w:val="005E50D6"/>
    <w:rsid w:val="005E59DD"/>
    <w:rsid w:val="005E74ED"/>
    <w:rsid w:val="005E764B"/>
    <w:rsid w:val="005E783C"/>
    <w:rsid w:val="005E78C6"/>
    <w:rsid w:val="005E7CCD"/>
    <w:rsid w:val="005F0789"/>
    <w:rsid w:val="005F0912"/>
    <w:rsid w:val="005F1EC9"/>
    <w:rsid w:val="005F2115"/>
    <w:rsid w:val="005F2C23"/>
    <w:rsid w:val="005F2F7D"/>
    <w:rsid w:val="005F30DB"/>
    <w:rsid w:val="005F343A"/>
    <w:rsid w:val="005F37A8"/>
    <w:rsid w:val="005F37D1"/>
    <w:rsid w:val="005F3BBA"/>
    <w:rsid w:val="005F41E2"/>
    <w:rsid w:val="005F4493"/>
    <w:rsid w:val="005F49A3"/>
    <w:rsid w:val="005F4C13"/>
    <w:rsid w:val="005F56E4"/>
    <w:rsid w:val="005F57A0"/>
    <w:rsid w:val="005F58A2"/>
    <w:rsid w:val="005F604B"/>
    <w:rsid w:val="005F6B5F"/>
    <w:rsid w:val="005F6B6F"/>
    <w:rsid w:val="005F7FB4"/>
    <w:rsid w:val="00600EDA"/>
    <w:rsid w:val="006010A9"/>
    <w:rsid w:val="006015AB"/>
    <w:rsid w:val="006017B9"/>
    <w:rsid w:val="00601C4F"/>
    <w:rsid w:val="0060202D"/>
    <w:rsid w:val="006020FF"/>
    <w:rsid w:val="00602634"/>
    <w:rsid w:val="006026B6"/>
    <w:rsid w:val="00602C02"/>
    <w:rsid w:val="00602F0F"/>
    <w:rsid w:val="00603236"/>
    <w:rsid w:val="0060365A"/>
    <w:rsid w:val="0060401D"/>
    <w:rsid w:val="0060427D"/>
    <w:rsid w:val="00604454"/>
    <w:rsid w:val="00604531"/>
    <w:rsid w:val="00604BF2"/>
    <w:rsid w:val="00604F96"/>
    <w:rsid w:val="00605015"/>
    <w:rsid w:val="0060520B"/>
    <w:rsid w:val="0060669B"/>
    <w:rsid w:val="0060696F"/>
    <w:rsid w:val="00606B34"/>
    <w:rsid w:val="00606DEB"/>
    <w:rsid w:val="006070A8"/>
    <w:rsid w:val="006074EA"/>
    <w:rsid w:val="00607CE9"/>
    <w:rsid w:val="006101BC"/>
    <w:rsid w:val="006110A4"/>
    <w:rsid w:val="006110DE"/>
    <w:rsid w:val="00611A50"/>
    <w:rsid w:val="00611C53"/>
    <w:rsid w:val="00611F76"/>
    <w:rsid w:val="00612A6B"/>
    <w:rsid w:val="00612FB2"/>
    <w:rsid w:val="00614C7E"/>
    <w:rsid w:val="00614D57"/>
    <w:rsid w:val="00614E61"/>
    <w:rsid w:val="00615395"/>
    <w:rsid w:val="006156D4"/>
    <w:rsid w:val="00615B65"/>
    <w:rsid w:val="00615F49"/>
    <w:rsid w:val="0061610F"/>
    <w:rsid w:val="006163C6"/>
    <w:rsid w:val="00616530"/>
    <w:rsid w:val="00616DAF"/>
    <w:rsid w:val="00616FF3"/>
    <w:rsid w:val="0061725F"/>
    <w:rsid w:val="00617921"/>
    <w:rsid w:val="006208A0"/>
    <w:rsid w:val="00621040"/>
    <w:rsid w:val="00621636"/>
    <w:rsid w:val="00621C62"/>
    <w:rsid w:val="00621C70"/>
    <w:rsid w:val="00621C77"/>
    <w:rsid w:val="00621F24"/>
    <w:rsid w:val="00622194"/>
    <w:rsid w:val="00622278"/>
    <w:rsid w:val="006223BB"/>
    <w:rsid w:val="00622BF3"/>
    <w:rsid w:val="00622D13"/>
    <w:rsid w:val="00622D51"/>
    <w:rsid w:val="006231FA"/>
    <w:rsid w:val="00623368"/>
    <w:rsid w:val="00623918"/>
    <w:rsid w:val="00623D36"/>
    <w:rsid w:val="00623E3D"/>
    <w:rsid w:val="00624015"/>
    <w:rsid w:val="006245E7"/>
    <w:rsid w:val="006249EC"/>
    <w:rsid w:val="00624A26"/>
    <w:rsid w:val="00624E1C"/>
    <w:rsid w:val="006256C7"/>
    <w:rsid w:val="00625989"/>
    <w:rsid w:val="00625CE7"/>
    <w:rsid w:val="00626765"/>
    <w:rsid w:val="0062745D"/>
    <w:rsid w:val="006277E0"/>
    <w:rsid w:val="0062780B"/>
    <w:rsid w:val="006278F6"/>
    <w:rsid w:val="006302C5"/>
    <w:rsid w:val="00630731"/>
    <w:rsid w:val="00630CCA"/>
    <w:rsid w:val="00632E38"/>
    <w:rsid w:val="00633658"/>
    <w:rsid w:val="006337D2"/>
    <w:rsid w:val="00633F25"/>
    <w:rsid w:val="00634333"/>
    <w:rsid w:val="00634887"/>
    <w:rsid w:val="006349CF"/>
    <w:rsid w:val="00634E5A"/>
    <w:rsid w:val="00635DD7"/>
    <w:rsid w:val="00636109"/>
    <w:rsid w:val="0063641F"/>
    <w:rsid w:val="0063648C"/>
    <w:rsid w:val="00636755"/>
    <w:rsid w:val="00636BD2"/>
    <w:rsid w:val="00636C82"/>
    <w:rsid w:val="00637098"/>
    <w:rsid w:val="00637556"/>
    <w:rsid w:val="006376B8"/>
    <w:rsid w:val="00637BDA"/>
    <w:rsid w:val="00637F8A"/>
    <w:rsid w:val="0064017E"/>
    <w:rsid w:val="00640B55"/>
    <w:rsid w:val="00640D42"/>
    <w:rsid w:val="00641348"/>
    <w:rsid w:val="0064142A"/>
    <w:rsid w:val="00641B9C"/>
    <w:rsid w:val="00641B9E"/>
    <w:rsid w:val="00641E8B"/>
    <w:rsid w:val="006420BC"/>
    <w:rsid w:val="006421EB"/>
    <w:rsid w:val="00642C61"/>
    <w:rsid w:val="00643790"/>
    <w:rsid w:val="00643D0A"/>
    <w:rsid w:val="0064428A"/>
    <w:rsid w:val="00644C54"/>
    <w:rsid w:val="006450DC"/>
    <w:rsid w:val="006451A0"/>
    <w:rsid w:val="006452CE"/>
    <w:rsid w:val="00645369"/>
    <w:rsid w:val="0064546A"/>
    <w:rsid w:val="0064557E"/>
    <w:rsid w:val="0064592D"/>
    <w:rsid w:val="0064647C"/>
    <w:rsid w:val="00646E5A"/>
    <w:rsid w:val="00646FD5"/>
    <w:rsid w:val="00647092"/>
    <w:rsid w:val="00647487"/>
    <w:rsid w:val="00647EF8"/>
    <w:rsid w:val="00647EFF"/>
    <w:rsid w:val="006502DD"/>
    <w:rsid w:val="00650667"/>
    <w:rsid w:val="00650DD4"/>
    <w:rsid w:val="00650E05"/>
    <w:rsid w:val="0065146F"/>
    <w:rsid w:val="006519AF"/>
    <w:rsid w:val="0065202A"/>
    <w:rsid w:val="0065225F"/>
    <w:rsid w:val="00653130"/>
    <w:rsid w:val="006534B4"/>
    <w:rsid w:val="00653A41"/>
    <w:rsid w:val="00653B8C"/>
    <w:rsid w:val="006543C8"/>
    <w:rsid w:val="00654F5F"/>
    <w:rsid w:val="00655597"/>
    <w:rsid w:val="006559BE"/>
    <w:rsid w:val="00655ACA"/>
    <w:rsid w:val="00655D14"/>
    <w:rsid w:val="00656120"/>
    <w:rsid w:val="006561CD"/>
    <w:rsid w:val="00656454"/>
    <w:rsid w:val="00657323"/>
    <w:rsid w:val="006576ED"/>
    <w:rsid w:val="00657C0E"/>
    <w:rsid w:val="006616BB"/>
    <w:rsid w:val="00661B2B"/>
    <w:rsid w:val="00661CA6"/>
    <w:rsid w:val="00662C46"/>
    <w:rsid w:val="00662D43"/>
    <w:rsid w:val="0066319F"/>
    <w:rsid w:val="00663880"/>
    <w:rsid w:val="00663A89"/>
    <w:rsid w:val="00664E2C"/>
    <w:rsid w:val="0066502A"/>
    <w:rsid w:val="0066511E"/>
    <w:rsid w:val="0066535C"/>
    <w:rsid w:val="00665518"/>
    <w:rsid w:val="00666296"/>
    <w:rsid w:val="0066673B"/>
    <w:rsid w:val="0066733D"/>
    <w:rsid w:val="00667424"/>
    <w:rsid w:val="006675E8"/>
    <w:rsid w:val="00670CCC"/>
    <w:rsid w:val="00671685"/>
    <w:rsid w:val="006719EE"/>
    <w:rsid w:val="00672328"/>
    <w:rsid w:val="0067290E"/>
    <w:rsid w:val="00672FD2"/>
    <w:rsid w:val="006734DB"/>
    <w:rsid w:val="00673556"/>
    <w:rsid w:val="00673CC0"/>
    <w:rsid w:val="006744ED"/>
    <w:rsid w:val="006745E7"/>
    <w:rsid w:val="00674E19"/>
    <w:rsid w:val="00675B88"/>
    <w:rsid w:val="006767D0"/>
    <w:rsid w:val="00676FE3"/>
    <w:rsid w:val="0067779F"/>
    <w:rsid w:val="00680F11"/>
    <w:rsid w:val="00681960"/>
    <w:rsid w:val="006821C4"/>
    <w:rsid w:val="0068251C"/>
    <w:rsid w:val="006833B1"/>
    <w:rsid w:val="00683D73"/>
    <w:rsid w:val="0068420F"/>
    <w:rsid w:val="00684775"/>
    <w:rsid w:val="00684816"/>
    <w:rsid w:val="00684A24"/>
    <w:rsid w:val="0068521C"/>
    <w:rsid w:val="006858C4"/>
    <w:rsid w:val="00685A3D"/>
    <w:rsid w:val="00686150"/>
    <w:rsid w:val="00686534"/>
    <w:rsid w:val="006872D6"/>
    <w:rsid w:val="0068754C"/>
    <w:rsid w:val="006879A7"/>
    <w:rsid w:val="00690292"/>
    <w:rsid w:val="0069080E"/>
    <w:rsid w:val="00690C6B"/>
    <w:rsid w:val="006917C1"/>
    <w:rsid w:val="00691B07"/>
    <w:rsid w:val="006921F7"/>
    <w:rsid w:val="00692421"/>
    <w:rsid w:val="00693698"/>
    <w:rsid w:val="00693D9C"/>
    <w:rsid w:val="00694538"/>
    <w:rsid w:val="006945CC"/>
    <w:rsid w:val="006947C3"/>
    <w:rsid w:val="006954D9"/>
    <w:rsid w:val="006957D7"/>
    <w:rsid w:val="00695AD0"/>
    <w:rsid w:val="00695DC6"/>
    <w:rsid w:val="00696455"/>
    <w:rsid w:val="006969FB"/>
    <w:rsid w:val="00697251"/>
    <w:rsid w:val="0069746A"/>
    <w:rsid w:val="00697711"/>
    <w:rsid w:val="006A02D8"/>
    <w:rsid w:val="006A0734"/>
    <w:rsid w:val="006A07DB"/>
    <w:rsid w:val="006A0B7C"/>
    <w:rsid w:val="006A0F38"/>
    <w:rsid w:val="006A12A7"/>
    <w:rsid w:val="006A1D6E"/>
    <w:rsid w:val="006A1F9D"/>
    <w:rsid w:val="006A233D"/>
    <w:rsid w:val="006A27BD"/>
    <w:rsid w:val="006A2A93"/>
    <w:rsid w:val="006A2B75"/>
    <w:rsid w:val="006A2DA9"/>
    <w:rsid w:val="006A3DC1"/>
    <w:rsid w:val="006A4129"/>
    <w:rsid w:val="006A4723"/>
    <w:rsid w:val="006A53D1"/>
    <w:rsid w:val="006A5CE0"/>
    <w:rsid w:val="006A5D5D"/>
    <w:rsid w:val="006A62E3"/>
    <w:rsid w:val="006A64C8"/>
    <w:rsid w:val="006A6655"/>
    <w:rsid w:val="006A69B5"/>
    <w:rsid w:val="006A6C6D"/>
    <w:rsid w:val="006A7A96"/>
    <w:rsid w:val="006B0EE0"/>
    <w:rsid w:val="006B1A64"/>
    <w:rsid w:val="006B250B"/>
    <w:rsid w:val="006B281F"/>
    <w:rsid w:val="006B292F"/>
    <w:rsid w:val="006B3BC3"/>
    <w:rsid w:val="006B3FB1"/>
    <w:rsid w:val="006B4E43"/>
    <w:rsid w:val="006B5808"/>
    <w:rsid w:val="006B5DEB"/>
    <w:rsid w:val="006B606C"/>
    <w:rsid w:val="006B63BE"/>
    <w:rsid w:val="006B679F"/>
    <w:rsid w:val="006B711A"/>
    <w:rsid w:val="006B7222"/>
    <w:rsid w:val="006C00A0"/>
    <w:rsid w:val="006C0392"/>
    <w:rsid w:val="006C0CAB"/>
    <w:rsid w:val="006C0DC9"/>
    <w:rsid w:val="006C10A8"/>
    <w:rsid w:val="006C1778"/>
    <w:rsid w:val="006C1801"/>
    <w:rsid w:val="006C180E"/>
    <w:rsid w:val="006C1E70"/>
    <w:rsid w:val="006C21B8"/>
    <w:rsid w:val="006C267E"/>
    <w:rsid w:val="006C2802"/>
    <w:rsid w:val="006C3188"/>
    <w:rsid w:val="006C3253"/>
    <w:rsid w:val="006C3678"/>
    <w:rsid w:val="006C36F2"/>
    <w:rsid w:val="006C3B3D"/>
    <w:rsid w:val="006C4918"/>
    <w:rsid w:val="006C4A39"/>
    <w:rsid w:val="006C4D0C"/>
    <w:rsid w:val="006C500B"/>
    <w:rsid w:val="006C5607"/>
    <w:rsid w:val="006C5A40"/>
    <w:rsid w:val="006C62CE"/>
    <w:rsid w:val="006C64AF"/>
    <w:rsid w:val="006C64B5"/>
    <w:rsid w:val="006C6A35"/>
    <w:rsid w:val="006C6D94"/>
    <w:rsid w:val="006C71A4"/>
    <w:rsid w:val="006C75CD"/>
    <w:rsid w:val="006D0519"/>
    <w:rsid w:val="006D1BBB"/>
    <w:rsid w:val="006D1D3D"/>
    <w:rsid w:val="006D2014"/>
    <w:rsid w:val="006D2500"/>
    <w:rsid w:val="006D2A8F"/>
    <w:rsid w:val="006D2C93"/>
    <w:rsid w:val="006D2D3E"/>
    <w:rsid w:val="006D2D4D"/>
    <w:rsid w:val="006D31D2"/>
    <w:rsid w:val="006D3F45"/>
    <w:rsid w:val="006D3F5F"/>
    <w:rsid w:val="006D44BB"/>
    <w:rsid w:val="006D4A85"/>
    <w:rsid w:val="006D4B9F"/>
    <w:rsid w:val="006D518C"/>
    <w:rsid w:val="006D5371"/>
    <w:rsid w:val="006D56EB"/>
    <w:rsid w:val="006D5743"/>
    <w:rsid w:val="006D5858"/>
    <w:rsid w:val="006D589C"/>
    <w:rsid w:val="006D63DB"/>
    <w:rsid w:val="006D6671"/>
    <w:rsid w:val="006D6834"/>
    <w:rsid w:val="006D6A27"/>
    <w:rsid w:val="006D71AC"/>
    <w:rsid w:val="006D7648"/>
    <w:rsid w:val="006E00CE"/>
    <w:rsid w:val="006E0583"/>
    <w:rsid w:val="006E0F58"/>
    <w:rsid w:val="006E10CD"/>
    <w:rsid w:val="006E13B8"/>
    <w:rsid w:val="006E1879"/>
    <w:rsid w:val="006E2F7F"/>
    <w:rsid w:val="006E3169"/>
    <w:rsid w:val="006E3896"/>
    <w:rsid w:val="006E3CE0"/>
    <w:rsid w:val="006E3E6F"/>
    <w:rsid w:val="006E3FF8"/>
    <w:rsid w:val="006E4433"/>
    <w:rsid w:val="006E46A6"/>
    <w:rsid w:val="006E46DF"/>
    <w:rsid w:val="006E470C"/>
    <w:rsid w:val="006E50A7"/>
    <w:rsid w:val="006E5462"/>
    <w:rsid w:val="006E55C9"/>
    <w:rsid w:val="006E586B"/>
    <w:rsid w:val="006E5896"/>
    <w:rsid w:val="006E5C84"/>
    <w:rsid w:val="006E684A"/>
    <w:rsid w:val="006E6867"/>
    <w:rsid w:val="006E69F7"/>
    <w:rsid w:val="006E6B41"/>
    <w:rsid w:val="006F05F6"/>
    <w:rsid w:val="006F0889"/>
    <w:rsid w:val="006F1AD3"/>
    <w:rsid w:val="006F1B17"/>
    <w:rsid w:val="006F1B84"/>
    <w:rsid w:val="006F1DCD"/>
    <w:rsid w:val="006F231A"/>
    <w:rsid w:val="006F2370"/>
    <w:rsid w:val="006F306A"/>
    <w:rsid w:val="006F3075"/>
    <w:rsid w:val="006F32A6"/>
    <w:rsid w:val="006F3569"/>
    <w:rsid w:val="006F3B6D"/>
    <w:rsid w:val="006F3C86"/>
    <w:rsid w:val="006F401B"/>
    <w:rsid w:val="006F4681"/>
    <w:rsid w:val="006F46A8"/>
    <w:rsid w:val="006F4BFB"/>
    <w:rsid w:val="006F4EB5"/>
    <w:rsid w:val="006F4EBA"/>
    <w:rsid w:val="006F53AB"/>
    <w:rsid w:val="006F542C"/>
    <w:rsid w:val="006F5576"/>
    <w:rsid w:val="006F57FC"/>
    <w:rsid w:val="006F5CCD"/>
    <w:rsid w:val="006F5D21"/>
    <w:rsid w:val="006F6B41"/>
    <w:rsid w:val="00700027"/>
    <w:rsid w:val="0070031F"/>
    <w:rsid w:val="00700416"/>
    <w:rsid w:val="0070072B"/>
    <w:rsid w:val="00700F10"/>
    <w:rsid w:val="00701A27"/>
    <w:rsid w:val="00701A51"/>
    <w:rsid w:val="00701C6D"/>
    <w:rsid w:val="0070203B"/>
    <w:rsid w:val="0070318B"/>
    <w:rsid w:val="007034D3"/>
    <w:rsid w:val="007036B8"/>
    <w:rsid w:val="007037C8"/>
    <w:rsid w:val="00703843"/>
    <w:rsid w:val="00703E07"/>
    <w:rsid w:val="007044D4"/>
    <w:rsid w:val="007046B8"/>
    <w:rsid w:val="0070479D"/>
    <w:rsid w:val="00704954"/>
    <w:rsid w:val="00704CF2"/>
    <w:rsid w:val="00705A5E"/>
    <w:rsid w:val="00705FA4"/>
    <w:rsid w:val="00707AE8"/>
    <w:rsid w:val="007101C3"/>
    <w:rsid w:val="00710C11"/>
    <w:rsid w:val="007110A9"/>
    <w:rsid w:val="007113D4"/>
    <w:rsid w:val="00711D2B"/>
    <w:rsid w:val="007121E3"/>
    <w:rsid w:val="007125EE"/>
    <w:rsid w:val="00712A6D"/>
    <w:rsid w:val="00712A80"/>
    <w:rsid w:val="00712FE0"/>
    <w:rsid w:val="00713DB2"/>
    <w:rsid w:val="00713E7C"/>
    <w:rsid w:val="00713ED4"/>
    <w:rsid w:val="00713F54"/>
    <w:rsid w:val="007144B3"/>
    <w:rsid w:val="007148B4"/>
    <w:rsid w:val="00714A30"/>
    <w:rsid w:val="00714CB3"/>
    <w:rsid w:val="00714F9E"/>
    <w:rsid w:val="00715C52"/>
    <w:rsid w:val="00716042"/>
    <w:rsid w:val="0071606F"/>
    <w:rsid w:val="007166EB"/>
    <w:rsid w:val="007167C3"/>
    <w:rsid w:val="00716CDE"/>
    <w:rsid w:val="00716D9E"/>
    <w:rsid w:val="00717580"/>
    <w:rsid w:val="00717D09"/>
    <w:rsid w:val="007205E3"/>
    <w:rsid w:val="00720B9E"/>
    <w:rsid w:val="0072127C"/>
    <w:rsid w:val="00722125"/>
    <w:rsid w:val="00722230"/>
    <w:rsid w:val="0072314E"/>
    <w:rsid w:val="00723C27"/>
    <w:rsid w:val="00723DAF"/>
    <w:rsid w:val="007243DA"/>
    <w:rsid w:val="00724F4D"/>
    <w:rsid w:val="0072515D"/>
    <w:rsid w:val="00725B18"/>
    <w:rsid w:val="00725F24"/>
    <w:rsid w:val="00726332"/>
    <w:rsid w:val="00726691"/>
    <w:rsid w:val="00726CF5"/>
    <w:rsid w:val="007274B9"/>
    <w:rsid w:val="007274E2"/>
    <w:rsid w:val="00727A6C"/>
    <w:rsid w:val="00727DF2"/>
    <w:rsid w:val="007301A6"/>
    <w:rsid w:val="00730294"/>
    <w:rsid w:val="00730365"/>
    <w:rsid w:val="00730746"/>
    <w:rsid w:val="00730A52"/>
    <w:rsid w:val="00730D7D"/>
    <w:rsid w:val="00730F7C"/>
    <w:rsid w:val="007315A5"/>
    <w:rsid w:val="0073208D"/>
    <w:rsid w:val="007320AD"/>
    <w:rsid w:val="00732DA0"/>
    <w:rsid w:val="007332E9"/>
    <w:rsid w:val="0073374F"/>
    <w:rsid w:val="00734093"/>
    <w:rsid w:val="0073431A"/>
    <w:rsid w:val="00734BBB"/>
    <w:rsid w:val="00734ED8"/>
    <w:rsid w:val="00734EE3"/>
    <w:rsid w:val="007352BE"/>
    <w:rsid w:val="0073554A"/>
    <w:rsid w:val="00735BA8"/>
    <w:rsid w:val="00735BC4"/>
    <w:rsid w:val="00735D7D"/>
    <w:rsid w:val="00736B05"/>
    <w:rsid w:val="00736E9A"/>
    <w:rsid w:val="00736FBD"/>
    <w:rsid w:val="0073770F"/>
    <w:rsid w:val="00737BBE"/>
    <w:rsid w:val="00740F7D"/>
    <w:rsid w:val="00741326"/>
    <w:rsid w:val="00741369"/>
    <w:rsid w:val="00741B71"/>
    <w:rsid w:val="00741B80"/>
    <w:rsid w:val="00742324"/>
    <w:rsid w:val="00743227"/>
    <w:rsid w:val="007438D9"/>
    <w:rsid w:val="00743DAA"/>
    <w:rsid w:val="00744093"/>
    <w:rsid w:val="00745A4F"/>
    <w:rsid w:val="00745EE8"/>
    <w:rsid w:val="00745FEC"/>
    <w:rsid w:val="0074694F"/>
    <w:rsid w:val="007469CA"/>
    <w:rsid w:val="00746E91"/>
    <w:rsid w:val="00746ECC"/>
    <w:rsid w:val="00746FD2"/>
    <w:rsid w:val="007476A3"/>
    <w:rsid w:val="0074785B"/>
    <w:rsid w:val="00747905"/>
    <w:rsid w:val="00747935"/>
    <w:rsid w:val="00750002"/>
    <w:rsid w:val="0075010A"/>
    <w:rsid w:val="00750A7F"/>
    <w:rsid w:val="00750B54"/>
    <w:rsid w:val="00750B63"/>
    <w:rsid w:val="00751611"/>
    <w:rsid w:val="00751996"/>
    <w:rsid w:val="00751CE0"/>
    <w:rsid w:val="00752347"/>
    <w:rsid w:val="00752650"/>
    <w:rsid w:val="00752872"/>
    <w:rsid w:val="007529B6"/>
    <w:rsid w:val="00752C24"/>
    <w:rsid w:val="00753B68"/>
    <w:rsid w:val="00754C53"/>
    <w:rsid w:val="00754E3D"/>
    <w:rsid w:val="007557B6"/>
    <w:rsid w:val="007559A3"/>
    <w:rsid w:val="0075600F"/>
    <w:rsid w:val="007563A9"/>
    <w:rsid w:val="007572AF"/>
    <w:rsid w:val="00757B73"/>
    <w:rsid w:val="0076014A"/>
    <w:rsid w:val="00760485"/>
    <w:rsid w:val="007608C3"/>
    <w:rsid w:val="00760A83"/>
    <w:rsid w:val="00760FAE"/>
    <w:rsid w:val="00761088"/>
    <w:rsid w:val="00761A9D"/>
    <w:rsid w:val="00761C1D"/>
    <w:rsid w:val="0076241E"/>
    <w:rsid w:val="00762E46"/>
    <w:rsid w:val="00763425"/>
    <w:rsid w:val="0076365D"/>
    <w:rsid w:val="00763B2D"/>
    <w:rsid w:val="00763E1B"/>
    <w:rsid w:val="00764AE8"/>
    <w:rsid w:val="007650C0"/>
    <w:rsid w:val="007654BD"/>
    <w:rsid w:val="0076551D"/>
    <w:rsid w:val="007655D2"/>
    <w:rsid w:val="00765605"/>
    <w:rsid w:val="00765668"/>
    <w:rsid w:val="00765A51"/>
    <w:rsid w:val="00765EAE"/>
    <w:rsid w:val="00766074"/>
    <w:rsid w:val="00766169"/>
    <w:rsid w:val="00766357"/>
    <w:rsid w:val="00767972"/>
    <w:rsid w:val="00767A2D"/>
    <w:rsid w:val="00767AA7"/>
    <w:rsid w:val="00767B3C"/>
    <w:rsid w:val="00767CCC"/>
    <w:rsid w:val="0077013D"/>
    <w:rsid w:val="0077017C"/>
    <w:rsid w:val="007705D9"/>
    <w:rsid w:val="00770CE3"/>
    <w:rsid w:val="00770FA2"/>
    <w:rsid w:val="007711CD"/>
    <w:rsid w:val="007720B8"/>
    <w:rsid w:val="007744B6"/>
    <w:rsid w:val="007746D3"/>
    <w:rsid w:val="00774FA3"/>
    <w:rsid w:val="00775447"/>
    <w:rsid w:val="00775B2F"/>
    <w:rsid w:val="00775EA2"/>
    <w:rsid w:val="007772C6"/>
    <w:rsid w:val="00777475"/>
    <w:rsid w:val="007774D4"/>
    <w:rsid w:val="00777634"/>
    <w:rsid w:val="007779C7"/>
    <w:rsid w:val="00777E0D"/>
    <w:rsid w:val="0078094B"/>
    <w:rsid w:val="00780D5C"/>
    <w:rsid w:val="007817F2"/>
    <w:rsid w:val="007818F6"/>
    <w:rsid w:val="00781BE4"/>
    <w:rsid w:val="00781C36"/>
    <w:rsid w:val="00781C3A"/>
    <w:rsid w:val="00782030"/>
    <w:rsid w:val="00782155"/>
    <w:rsid w:val="007833D1"/>
    <w:rsid w:val="007835B6"/>
    <w:rsid w:val="0078366C"/>
    <w:rsid w:val="007839F6"/>
    <w:rsid w:val="00783BBD"/>
    <w:rsid w:val="00783D8F"/>
    <w:rsid w:val="00785459"/>
    <w:rsid w:val="007857D1"/>
    <w:rsid w:val="00785AC7"/>
    <w:rsid w:val="00785D02"/>
    <w:rsid w:val="00786061"/>
    <w:rsid w:val="00786879"/>
    <w:rsid w:val="00787172"/>
    <w:rsid w:val="007876F8"/>
    <w:rsid w:val="00790056"/>
    <w:rsid w:val="007903C7"/>
    <w:rsid w:val="00790A2E"/>
    <w:rsid w:val="00790B56"/>
    <w:rsid w:val="00790C4A"/>
    <w:rsid w:val="007910BB"/>
    <w:rsid w:val="00791CF5"/>
    <w:rsid w:val="007926FF"/>
    <w:rsid w:val="00793AF3"/>
    <w:rsid w:val="00793BE2"/>
    <w:rsid w:val="00793BF1"/>
    <w:rsid w:val="00794003"/>
    <w:rsid w:val="007944FA"/>
    <w:rsid w:val="007945DA"/>
    <w:rsid w:val="00794656"/>
    <w:rsid w:val="007946EF"/>
    <w:rsid w:val="007949A0"/>
    <w:rsid w:val="0079543E"/>
    <w:rsid w:val="007956DB"/>
    <w:rsid w:val="00795E14"/>
    <w:rsid w:val="0079615C"/>
    <w:rsid w:val="00796706"/>
    <w:rsid w:val="00796FF2"/>
    <w:rsid w:val="007A0753"/>
    <w:rsid w:val="007A0EA8"/>
    <w:rsid w:val="007A0FFD"/>
    <w:rsid w:val="007A1320"/>
    <w:rsid w:val="007A1A37"/>
    <w:rsid w:val="007A1BCE"/>
    <w:rsid w:val="007A1D19"/>
    <w:rsid w:val="007A1F82"/>
    <w:rsid w:val="007A213A"/>
    <w:rsid w:val="007A23BE"/>
    <w:rsid w:val="007A2C5A"/>
    <w:rsid w:val="007A3812"/>
    <w:rsid w:val="007A3C9C"/>
    <w:rsid w:val="007A404B"/>
    <w:rsid w:val="007A431C"/>
    <w:rsid w:val="007A4B8B"/>
    <w:rsid w:val="007A5714"/>
    <w:rsid w:val="007A5BB9"/>
    <w:rsid w:val="007A6272"/>
    <w:rsid w:val="007A66E2"/>
    <w:rsid w:val="007A6AF8"/>
    <w:rsid w:val="007A76D6"/>
    <w:rsid w:val="007B0287"/>
    <w:rsid w:val="007B0380"/>
    <w:rsid w:val="007B04A2"/>
    <w:rsid w:val="007B0962"/>
    <w:rsid w:val="007B0A0A"/>
    <w:rsid w:val="007B0BD7"/>
    <w:rsid w:val="007B0EA9"/>
    <w:rsid w:val="007B154A"/>
    <w:rsid w:val="007B15CD"/>
    <w:rsid w:val="007B1C0B"/>
    <w:rsid w:val="007B1CD9"/>
    <w:rsid w:val="007B2529"/>
    <w:rsid w:val="007B2744"/>
    <w:rsid w:val="007B28AC"/>
    <w:rsid w:val="007B2B08"/>
    <w:rsid w:val="007B2B6A"/>
    <w:rsid w:val="007B2D9C"/>
    <w:rsid w:val="007B3729"/>
    <w:rsid w:val="007B376A"/>
    <w:rsid w:val="007B3DE3"/>
    <w:rsid w:val="007B42DB"/>
    <w:rsid w:val="007B503F"/>
    <w:rsid w:val="007B5D7D"/>
    <w:rsid w:val="007B62AB"/>
    <w:rsid w:val="007B642A"/>
    <w:rsid w:val="007B68B1"/>
    <w:rsid w:val="007B6C1D"/>
    <w:rsid w:val="007C0555"/>
    <w:rsid w:val="007C0BA7"/>
    <w:rsid w:val="007C0DFC"/>
    <w:rsid w:val="007C1A08"/>
    <w:rsid w:val="007C1D1C"/>
    <w:rsid w:val="007C2BF1"/>
    <w:rsid w:val="007C2EEC"/>
    <w:rsid w:val="007C37AD"/>
    <w:rsid w:val="007C46F0"/>
    <w:rsid w:val="007C49BC"/>
    <w:rsid w:val="007C529D"/>
    <w:rsid w:val="007C5560"/>
    <w:rsid w:val="007C58B1"/>
    <w:rsid w:val="007C5A97"/>
    <w:rsid w:val="007C5A99"/>
    <w:rsid w:val="007C5D37"/>
    <w:rsid w:val="007C5F82"/>
    <w:rsid w:val="007C61C9"/>
    <w:rsid w:val="007C6468"/>
    <w:rsid w:val="007C68A2"/>
    <w:rsid w:val="007C6904"/>
    <w:rsid w:val="007C6D0F"/>
    <w:rsid w:val="007C75AF"/>
    <w:rsid w:val="007C7D35"/>
    <w:rsid w:val="007D0220"/>
    <w:rsid w:val="007D03DD"/>
    <w:rsid w:val="007D0BA7"/>
    <w:rsid w:val="007D1A0A"/>
    <w:rsid w:val="007D1E35"/>
    <w:rsid w:val="007D229A"/>
    <w:rsid w:val="007D25AE"/>
    <w:rsid w:val="007D2F2D"/>
    <w:rsid w:val="007D398D"/>
    <w:rsid w:val="007D3B16"/>
    <w:rsid w:val="007D3C7D"/>
    <w:rsid w:val="007D3D3A"/>
    <w:rsid w:val="007D42DE"/>
    <w:rsid w:val="007D4666"/>
    <w:rsid w:val="007D4677"/>
    <w:rsid w:val="007D46CD"/>
    <w:rsid w:val="007D4EAB"/>
    <w:rsid w:val="007D51A1"/>
    <w:rsid w:val="007D634E"/>
    <w:rsid w:val="007D67B0"/>
    <w:rsid w:val="007D7021"/>
    <w:rsid w:val="007D7BFE"/>
    <w:rsid w:val="007D7EBA"/>
    <w:rsid w:val="007E06E6"/>
    <w:rsid w:val="007E08E0"/>
    <w:rsid w:val="007E0B4B"/>
    <w:rsid w:val="007E11B1"/>
    <w:rsid w:val="007E1F3D"/>
    <w:rsid w:val="007E3A62"/>
    <w:rsid w:val="007E3ADB"/>
    <w:rsid w:val="007E40F0"/>
    <w:rsid w:val="007E4279"/>
    <w:rsid w:val="007E428B"/>
    <w:rsid w:val="007E430A"/>
    <w:rsid w:val="007E4586"/>
    <w:rsid w:val="007E46FC"/>
    <w:rsid w:val="007E4A1C"/>
    <w:rsid w:val="007E4E53"/>
    <w:rsid w:val="007E55ED"/>
    <w:rsid w:val="007E5645"/>
    <w:rsid w:val="007E5B62"/>
    <w:rsid w:val="007E5EF1"/>
    <w:rsid w:val="007E5F98"/>
    <w:rsid w:val="007E60D5"/>
    <w:rsid w:val="007E6B50"/>
    <w:rsid w:val="007E6E9B"/>
    <w:rsid w:val="007E75E7"/>
    <w:rsid w:val="007E7648"/>
    <w:rsid w:val="007E76CF"/>
    <w:rsid w:val="007F0261"/>
    <w:rsid w:val="007F0749"/>
    <w:rsid w:val="007F07DC"/>
    <w:rsid w:val="007F07E5"/>
    <w:rsid w:val="007F09F8"/>
    <w:rsid w:val="007F0ED3"/>
    <w:rsid w:val="007F1B01"/>
    <w:rsid w:val="007F2722"/>
    <w:rsid w:val="007F273D"/>
    <w:rsid w:val="007F2748"/>
    <w:rsid w:val="007F2BF5"/>
    <w:rsid w:val="007F2C59"/>
    <w:rsid w:val="007F304E"/>
    <w:rsid w:val="007F308B"/>
    <w:rsid w:val="007F31AB"/>
    <w:rsid w:val="007F3420"/>
    <w:rsid w:val="007F36BE"/>
    <w:rsid w:val="007F37E3"/>
    <w:rsid w:val="007F3918"/>
    <w:rsid w:val="007F39A1"/>
    <w:rsid w:val="007F4961"/>
    <w:rsid w:val="007F4E35"/>
    <w:rsid w:val="007F5143"/>
    <w:rsid w:val="007F5295"/>
    <w:rsid w:val="007F532B"/>
    <w:rsid w:val="007F5B7B"/>
    <w:rsid w:val="007F611B"/>
    <w:rsid w:val="007F62B0"/>
    <w:rsid w:val="007F632C"/>
    <w:rsid w:val="007F6D58"/>
    <w:rsid w:val="007F6D95"/>
    <w:rsid w:val="007F72EF"/>
    <w:rsid w:val="007F786E"/>
    <w:rsid w:val="007F7B39"/>
    <w:rsid w:val="007F7C48"/>
    <w:rsid w:val="008002DF"/>
    <w:rsid w:val="008008DD"/>
    <w:rsid w:val="008017BE"/>
    <w:rsid w:val="00801EB2"/>
    <w:rsid w:val="008024CA"/>
    <w:rsid w:val="00802792"/>
    <w:rsid w:val="00802952"/>
    <w:rsid w:val="00802B84"/>
    <w:rsid w:val="008030A4"/>
    <w:rsid w:val="0080312A"/>
    <w:rsid w:val="00803928"/>
    <w:rsid w:val="00803A46"/>
    <w:rsid w:val="00804162"/>
    <w:rsid w:val="008042DD"/>
    <w:rsid w:val="00804E4E"/>
    <w:rsid w:val="00804F15"/>
    <w:rsid w:val="00805076"/>
    <w:rsid w:val="008050D1"/>
    <w:rsid w:val="0080568C"/>
    <w:rsid w:val="008058AF"/>
    <w:rsid w:val="00805C02"/>
    <w:rsid w:val="00806144"/>
    <w:rsid w:val="00806304"/>
    <w:rsid w:val="00806834"/>
    <w:rsid w:val="008070AD"/>
    <w:rsid w:val="00807920"/>
    <w:rsid w:val="00810069"/>
    <w:rsid w:val="008101F8"/>
    <w:rsid w:val="008102D4"/>
    <w:rsid w:val="008104C5"/>
    <w:rsid w:val="008105E8"/>
    <w:rsid w:val="008107BA"/>
    <w:rsid w:val="00810CBF"/>
    <w:rsid w:val="0081108A"/>
    <w:rsid w:val="008111D5"/>
    <w:rsid w:val="00811313"/>
    <w:rsid w:val="008113A3"/>
    <w:rsid w:val="0081147D"/>
    <w:rsid w:val="00812267"/>
    <w:rsid w:val="008134C3"/>
    <w:rsid w:val="00814315"/>
    <w:rsid w:val="008144B4"/>
    <w:rsid w:val="008147BE"/>
    <w:rsid w:val="00815034"/>
    <w:rsid w:val="00815694"/>
    <w:rsid w:val="00815A33"/>
    <w:rsid w:val="00815FED"/>
    <w:rsid w:val="00816037"/>
    <w:rsid w:val="0081638F"/>
    <w:rsid w:val="00816893"/>
    <w:rsid w:val="008169FE"/>
    <w:rsid w:val="00816CA6"/>
    <w:rsid w:val="00816D29"/>
    <w:rsid w:val="00817218"/>
    <w:rsid w:val="0081726E"/>
    <w:rsid w:val="008176D3"/>
    <w:rsid w:val="0082019A"/>
    <w:rsid w:val="00820218"/>
    <w:rsid w:val="008211AD"/>
    <w:rsid w:val="00821323"/>
    <w:rsid w:val="008216AD"/>
    <w:rsid w:val="00821892"/>
    <w:rsid w:val="00821C24"/>
    <w:rsid w:val="00821D27"/>
    <w:rsid w:val="00822212"/>
    <w:rsid w:val="00822994"/>
    <w:rsid w:val="00822E47"/>
    <w:rsid w:val="008231EC"/>
    <w:rsid w:val="00823856"/>
    <w:rsid w:val="00823A24"/>
    <w:rsid w:val="00823BC1"/>
    <w:rsid w:val="00823E1D"/>
    <w:rsid w:val="00823E37"/>
    <w:rsid w:val="00823F6C"/>
    <w:rsid w:val="00824938"/>
    <w:rsid w:val="00824A1A"/>
    <w:rsid w:val="00824CAC"/>
    <w:rsid w:val="00825499"/>
    <w:rsid w:val="008257A1"/>
    <w:rsid w:val="008257A8"/>
    <w:rsid w:val="0082643C"/>
    <w:rsid w:val="00826784"/>
    <w:rsid w:val="00826F9C"/>
    <w:rsid w:val="00827BA5"/>
    <w:rsid w:val="00830413"/>
    <w:rsid w:val="008306FF"/>
    <w:rsid w:val="0083071F"/>
    <w:rsid w:val="00830847"/>
    <w:rsid w:val="00830913"/>
    <w:rsid w:val="008312C1"/>
    <w:rsid w:val="00831332"/>
    <w:rsid w:val="0083134E"/>
    <w:rsid w:val="0083157D"/>
    <w:rsid w:val="00831D5C"/>
    <w:rsid w:val="00832489"/>
    <w:rsid w:val="0083270F"/>
    <w:rsid w:val="00832BAE"/>
    <w:rsid w:val="00832F44"/>
    <w:rsid w:val="0083336A"/>
    <w:rsid w:val="00833C89"/>
    <w:rsid w:val="0083474E"/>
    <w:rsid w:val="00834B2F"/>
    <w:rsid w:val="00834E6A"/>
    <w:rsid w:val="00835DA9"/>
    <w:rsid w:val="00836A56"/>
    <w:rsid w:val="00836DE6"/>
    <w:rsid w:val="00836F38"/>
    <w:rsid w:val="0083737D"/>
    <w:rsid w:val="008376CA"/>
    <w:rsid w:val="00837CC5"/>
    <w:rsid w:val="00840533"/>
    <w:rsid w:val="00841290"/>
    <w:rsid w:val="008412E5"/>
    <w:rsid w:val="008419C9"/>
    <w:rsid w:val="00841ACD"/>
    <w:rsid w:val="00841BD4"/>
    <w:rsid w:val="00841D96"/>
    <w:rsid w:val="00841DAA"/>
    <w:rsid w:val="008420C8"/>
    <w:rsid w:val="008425BB"/>
    <w:rsid w:val="008425E5"/>
    <w:rsid w:val="008428CF"/>
    <w:rsid w:val="008429E1"/>
    <w:rsid w:val="00842E63"/>
    <w:rsid w:val="0084304E"/>
    <w:rsid w:val="008431E5"/>
    <w:rsid w:val="00843612"/>
    <w:rsid w:val="00843646"/>
    <w:rsid w:val="00844BAF"/>
    <w:rsid w:val="00844E9A"/>
    <w:rsid w:val="008451B0"/>
    <w:rsid w:val="008461F2"/>
    <w:rsid w:val="00846394"/>
    <w:rsid w:val="00846773"/>
    <w:rsid w:val="008469D4"/>
    <w:rsid w:val="00846AC0"/>
    <w:rsid w:val="00850130"/>
    <w:rsid w:val="008508A6"/>
    <w:rsid w:val="008509E8"/>
    <w:rsid w:val="00850A6D"/>
    <w:rsid w:val="00850B62"/>
    <w:rsid w:val="00850D19"/>
    <w:rsid w:val="00850F9B"/>
    <w:rsid w:val="008513B9"/>
    <w:rsid w:val="00851405"/>
    <w:rsid w:val="00851760"/>
    <w:rsid w:val="00852792"/>
    <w:rsid w:val="00852DA8"/>
    <w:rsid w:val="00852EAB"/>
    <w:rsid w:val="0085445D"/>
    <w:rsid w:val="00854F4F"/>
    <w:rsid w:val="00855A1A"/>
    <w:rsid w:val="00855FD7"/>
    <w:rsid w:val="0085652F"/>
    <w:rsid w:val="00856E91"/>
    <w:rsid w:val="0085702B"/>
    <w:rsid w:val="0085718A"/>
    <w:rsid w:val="008577F9"/>
    <w:rsid w:val="00857C41"/>
    <w:rsid w:val="00861844"/>
    <w:rsid w:val="00861A78"/>
    <w:rsid w:val="00861E41"/>
    <w:rsid w:val="0086203E"/>
    <w:rsid w:val="00862302"/>
    <w:rsid w:val="0086285C"/>
    <w:rsid w:val="008629C2"/>
    <w:rsid w:val="00862AB5"/>
    <w:rsid w:val="00862D3E"/>
    <w:rsid w:val="00862EB0"/>
    <w:rsid w:val="00862EBE"/>
    <w:rsid w:val="00862FEE"/>
    <w:rsid w:val="00863BC2"/>
    <w:rsid w:val="00863D2E"/>
    <w:rsid w:val="00865480"/>
    <w:rsid w:val="00866486"/>
    <w:rsid w:val="00866490"/>
    <w:rsid w:val="00866B7B"/>
    <w:rsid w:val="00866FE6"/>
    <w:rsid w:val="008670A1"/>
    <w:rsid w:val="00867147"/>
    <w:rsid w:val="00867202"/>
    <w:rsid w:val="00867DB0"/>
    <w:rsid w:val="00867EC3"/>
    <w:rsid w:val="008701EE"/>
    <w:rsid w:val="00870511"/>
    <w:rsid w:val="00870A23"/>
    <w:rsid w:val="00870ABD"/>
    <w:rsid w:val="0087146D"/>
    <w:rsid w:val="0087191A"/>
    <w:rsid w:val="00871A75"/>
    <w:rsid w:val="00871B52"/>
    <w:rsid w:val="00871D66"/>
    <w:rsid w:val="0087248E"/>
    <w:rsid w:val="0087329E"/>
    <w:rsid w:val="008739BE"/>
    <w:rsid w:val="00873BF6"/>
    <w:rsid w:val="0087498B"/>
    <w:rsid w:val="008755EE"/>
    <w:rsid w:val="008758CD"/>
    <w:rsid w:val="008759F5"/>
    <w:rsid w:val="008762F5"/>
    <w:rsid w:val="008765CC"/>
    <w:rsid w:val="00876F97"/>
    <w:rsid w:val="0087729C"/>
    <w:rsid w:val="0087793F"/>
    <w:rsid w:val="00877E8C"/>
    <w:rsid w:val="008800A9"/>
    <w:rsid w:val="00880CE9"/>
    <w:rsid w:val="00881A0A"/>
    <w:rsid w:val="00882788"/>
    <w:rsid w:val="00882BC6"/>
    <w:rsid w:val="00882F8A"/>
    <w:rsid w:val="00883011"/>
    <w:rsid w:val="0088304F"/>
    <w:rsid w:val="0088350C"/>
    <w:rsid w:val="0088354E"/>
    <w:rsid w:val="00883C23"/>
    <w:rsid w:val="00884792"/>
    <w:rsid w:val="00884952"/>
    <w:rsid w:val="00884C5B"/>
    <w:rsid w:val="00884CD9"/>
    <w:rsid w:val="00885E7E"/>
    <w:rsid w:val="00886012"/>
    <w:rsid w:val="00886368"/>
    <w:rsid w:val="00886DB5"/>
    <w:rsid w:val="00886F5E"/>
    <w:rsid w:val="00886F75"/>
    <w:rsid w:val="0088772A"/>
    <w:rsid w:val="00890301"/>
    <w:rsid w:val="0089063D"/>
    <w:rsid w:val="008919AB"/>
    <w:rsid w:val="00891FC3"/>
    <w:rsid w:val="008921F4"/>
    <w:rsid w:val="0089230E"/>
    <w:rsid w:val="00892317"/>
    <w:rsid w:val="00892621"/>
    <w:rsid w:val="008929F8"/>
    <w:rsid w:val="00892B29"/>
    <w:rsid w:val="00892E3A"/>
    <w:rsid w:val="00893B6B"/>
    <w:rsid w:val="00893BAB"/>
    <w:rsid w:val="00894068"/>
    <w:rsid w:val="00894211"/>
    <w:rsid w:val="008943DD"/>
    <w:rsid w:val="0089463A"/>
    <w:rsid w:val="00895B26"/>
    <w:rsid w:val="00896CBA"/>
    <w:rsid w:val="00896D07"/>
    <w:rsid w:val="00896F03"/>
    <w:rsid w:val="008A01E7"/>
    <w:rsid w:val="008A0500"/>
    <w:rsid w:val="008A0D65"/>
    <w:rsid w:val="008A0FF9"/>
    <w:rsid w:val="008A1443"/>
    <w:rsid w:val="008A15AE"/>
    <w:rsid w:val="008A2563"/>
    <w:rsid w:val="008A2895"/>
    <w:rsid w:val="008A29E6"/>
    <w:rsid w:val="008A39A3"/>
    <w:rsid w:val="008A3EA9"/>
    <w:rsid w:val="008A433E"/>
    <w:rsid w:val="008A4685"/>
    <w:rsid w:val="008A4996"/>
    <w:rsid w:val="008A4BC0"/>
    <w:rsid w:val="008A58FF"/>
    <w:rsid w:val="008A5963"/>
    <w:rsid w:val="008A59B6"/>
    <w:rsid w:val="008A61AE"/>
    <w:rsid w:val="008A6ADD"/>
    <w:rsid w:val="008A6EA0"/>
    <w:rsid w:val="008A7149"/>
    <w:rsid w:val="008A7529"/>
    <w:rsid w:val="008A75B8"/>
    <w:rsid w:val="008A7A44"/>
    <w:rsid w:val="008A7BA1"/>
    <w:rsid w:val="008B0178"/>
    <w:rsid w:val="008B0CA1"/>
    <w:rsid w:val="008B0FEA"/>
    <w:rsid w:val="008B1A4C"/>
    <w:rsid w:val="008B279A"/>
    <w:rsid w:val="008B2A72"/>
    <w:rsid w:val="008B2AE9"/>
    <w:rsid w:val="008B2DD1"/>
    <w:rsid w:val="008B3261"/>
    <w:rsid w:val="008B34DD"/>
    <w:rsid w:val="008B37BD"/>
    <w:rsid w:val="008B3A6E"/>
    <w:rsid w:val="008B3E39"/>
    <w:rsid w:val="008B41D1"/>
    <w:rsid w:val="008B472A"/>
    <w:rsid w:val="008B4AB3"/>
    <w:rsid w:val="008B4C97"/>
    <w:rsid w:val="008B4F1D"/>
    <w:rsid w:val="008B568C"/>
    <w:rsid w:val="008B68A2"/>
    <w:rsid w:val="008B7A1A"/>
    <w:rsid w:val="008B7B7B"/>
    <w:rsid w:val="008B7CD5"/>
    <w:rsid w:val="008C0709"/>
    <w:rsid w:val="008C0779"/>
    <w:rsid w:val="008C0C1E"/>
    <w:rsid w:val="008C0E3E"/>
    <w:rsid w:val="008C1827"/>
    <w:rsid w:val="008C2A2C"/>
    <w:rsid w:val="008C2B30"/>
    <w:rsid w:val="008C44B4"/>
    <w:rsid w:val="008C55E3"/>
    <w:rsid w:val="008C55F0"/>
    <w:rsid w:val="008C5AD7"/>
    <w:rsid w:val="008C5C5C"/>
    <w:rsid w:val="008C5D32"/>
    <w:rsid w:val="008C5E80"/>
    <w:rsid w:val="008C62F6"/>
    <w:rsid w:val="008C667D"/>
    <w:rsid w:val="008C67EC"/>
    <w:rsid w:val="008C6AF4"/>
    <w:rsid w:val="008C6C19"/>
    <w:rsid w:val="008C6F7F"/>
    <w:rsid w:val="008C724C"/>
    <w:rsid w:val="008C7BA1"/>
    <w:rsid w:val="008C7EF7"/>
    <w:rsid w:val="008D0356"/>
    <w:rsid w:val="008D04EB"/>
    <w:rsid w:val="008D0B38"/>
    <w:rsid w:val="008D0BBC"/>
    <w:rsid w:val="008D194D"/>
    <w:rsid w:val="008D1CEA"/>
    <w:rsid w:val="008D2068"/>
    <w:rsid w:val="008D2708"/>
    <w:rsid w:val="008D2AFF"/>
    <w:rsid w:val="008D2BCC"/>
    <w:rsid w:val="008D2C5A"/>
    <w:rsid w:val="008D34A7"/>
    <w:rsid w:val="008D3A58"/>
    <w:rsid w:val="008D428E"/>
    <w:rsid w:val="008D44AA"/>
    <w:rsid w:val="008D456F"/>
    <w:rsid w:val="008D4A96"/>
    <w:rsid w:val="008D4B66"/>
    <w:rsid w:val="008D4E25"/>
    <w:rsid w:val="008D522B"/>
    <w:rsid w:val="008D54D6"/>
    <w:rsid w:val="008D583C"/>
    <w:rsid w:val="008D5933"/>
    <w:rsid w:val="008D5C03"/>
    <w:rsid w:val="008D5DE3"/>
    <w:rsid w:val="008D67DA"/>
    <w:rsid w:val="008D6DE1"/>
    <w:rsid w:val="008D79AF"/>
    <w:rsid w:val="008E0015"/>
    <w:rsid w:val="008E081F"/>
    <w:rsid w:val="008E0ECB"/>
    <w:rsid w:val="008E1511"/>
    <w:rsid w:val="008E20BB"/>
    <w:rsid w:val="008E2320"/>
    <w:rsid w:val="008E2515"/>
    <w:rsid w:val="008E2CAB"/>
    <w:rsid w:val="008E3568"/>
    <w:rsid w:val="008E36A9"/>
    <w:rsid w:val="008E3882"/>
    <w:rsid w:val="008E3B54"/>
    <w:rsid w:val="008E3CB1"/>
    <w:rsid w:val="008E41A2"/>
    <w:rsid w:val="008E4704"/>
    <w:rsid w:val="008E4DEB"/>
    <w:rsid w:val="008E540D"/>
    <w:rsid w:val="008E61DB"/>
    <w:rsid w:val="008E665C"/>
    <w:rsid w:val="008E6A21"/>
    <w:rsid w:val="008E7197"/>
    <w:rsid w:val="008E7807"/>
    <w:rsid w:val="008F0A34"/>
    <w:rsid w:val="008F0FFD"/>
    <w:rsid w:val="008F1685"/>
    <w:rsid w:val="008F1790"/>
    <w:rsid w:val="008F2931"/>
    <w:rsid w:val="008F2E67"/>
    <w:rsid w:val="008F31C8"/>
    <w:rsid w:val="008F3969"/>
    <w:rsid w:val="008F4CFC"/>
    <w:rsid w:val="008F5366"/>
    <w:rsid w:val="008F543F"/>
    <w:rsid w:val="008F54E7"/>
    <w:rsid w:val="008F65F5"/>
    <w:rsid w:val="008F66EB"/>
    <w:rsid w:val="008F6E67"/>
    <w:rsid w:val="008F746B"/>
    <w:rsid w:val="008F7C70"/>
    <w:rsid w:val="00900B93"/>
    <w:rsid w:val="00902223"/>
    <w:rsid w:val="00902489"/>
    <w:rsid w:val="0090285F"/>
    <w:rsid w:val="00902EF7"/>
    <w:rsid w:val="009033B7"/>
    <w:rsid w:val="009035C7"/>
    <w:rsid w:val="00903863"/>
    <w:rsid w:val="009043E9"/>
    <w:rsid w:val="00904458"/>
    <w:rsid w:val="0090490E"/>
    <w:rsid w:val="00904B37"/>
    <w:rsid w:val="00904F53"/>
    <w:rsid w:val="00905953"/>
    <w:rsid w:val="00905B62"/>
    <w:rsid w:val="0090612F"/>
    <w:rsid w:val="00906A63"/>
    <w:rsid w:val="009073C9"/>
    <w:rsid w:val="00907465"/>
    <w:rsid w:val="00907B43"/>
    <w:rsid w:val="00907DE3"/>
    <w:rsid w:val="00910AFD"/>
    <w:rsid w:val="0091232D"/>
    <w:rsid w:val="00912B8C"/>
    <w:rsid w:val="00912E42"/>
    <w:rsid w:val="00912F67"/>
    <w:rsid w:val="0091306E"/>
    <w:rsid w:val="00913136"/>
    <w:rsid w:val="009138A6"/>
    <w:rsid w:val="009139E7"/>
    <w:rsid w:val="00913A93"/>
    <w:rsid w:val="009147D2"/>
    <w:rsid w:val="009154B1"/>
    <w:rsid w:val="00915609"/>
    <w:rsid w:val="00915857"/>
    <w:rsid w:val="00915961"/>
    <w:rsid w:val="00915F0F"/>
    <w:rsid w:val="00916253"/>
    <w:rsid w:val="0091635C"/>
    <w:rsid w:val="00917270"/>
    <w:rsid w:val="009175F6"/>
    <w:rsid w:val="00920664"/>
    <w:rsid w:val="00920970"/>
    <w:rsid w:val="00920B52"/>
    <w:rsid w:val="00921002"/>
    <w:rsid w:val="00921775"/>
    <w:rsid w:val="00921838"/>
    <w:rsid w:val="00921AAC"/>
    <w:rsid w:val="00922588"/>
    <w:rsid w:val="0092265D"/>
    <w:rsid w:val="00922D2F"/>
    <w:rsid w:val="009230C4"/>
    <w:rsid w:val="00923EDC"/>
    <w:rsid w:val="0092404F"/>
    <w:rsid w:val="00924BBE"/>
    <w:rsid w:val="00925748"/>
    <w:rsid w:val="0092595D"/>
    <w:rsid w:val="0092606F"/>
    <w:rsid w:val="00926DA2"/>
    <w:rsid w:val="00927169"/>
    <w:rsid w:val="00930193"/>
    <w:rsid w:val="00930703"/>
    <w:rsid w:val="00930CE0"/>
    <w:rsid w:val="009310B1"/>
    <w:rsid w:val="00931C4F"/>
    <w:rsid w:val="00931CC2"/>
    <w:rsid w:val="00931F62"/>
    <w:rsid w:val="0093324B"/>
    <w:rsid w:val="0093340D"/>
    <w:rsid w:val="009335AF"/>
    <w:rsid w:val="00934273"/>
    <w:rsid w:val="0093460C"/>
    <w:rsid w:val="00934709"/>
    <w:rsid w:val="009347BB"/>
    <w:rsid w:val="009348FD"/>
    <w:rsid w:val="0093534A"/>
    <w:rsid w:val="009353AF"/>
    <w:rsid w:val="009354C4"/>
    <w:rsid w:val="0093588C"/>
    <w:rsid w:val="00935C3B"/>
    <w:rsid w:val="0093622E"/>
    <w:rsid w:val="00936687"/>
    <w:rsid w:val="00936E82"/>
    <w:rsid w:val="00936FBF"/>
    <w:rsid w:val="0093709A"/>
    <w:rsid w:val="0093714B"/>
    <w:rsid w:val="00937890"/>
    <w:rsid w:val="00937D5B"/>
    <w:rsid w:val="00937F24"/>
    <w:rsid w:val="0094037B"/>
    <w:rsid w:val="00940948"/>
    <w:rsid w:val="00940ACC"/>
    <w:rsid w:val="009417D2"/>
    <w:rsid w:val="00941831"/>
    <w:rsid w:val="00941FFD"/>
    <w:rsid w:val="0094213B"/>
    <w:rsid w:val="0094219F"/>
    <w:rsid w:val="009422FA"/>
    <w:rsid w:val="009426C3"/>
    <w:rsid w:val="00942F74"/>
    <w:rsid w:val="00943159"/>
    <w:rsid w:val="0094335C"/>
    <w:rsid w:val="009436D8"/>
    <w:rsid w:val="009436FB"/>
    <w:rsid w:val="00943B3B"/>
    <w:rsid w:val="00943CB2"/>
    <w:rsid w:val="009440BC"/>
    <w:rsid w:val="00944246"/>
    <w:rsid w:val="009443DF"/>
    <w:rsid w:val="009444E0"/>
    <w:rsid w:val="00944AAE"/>
    <w:rsid w:val="00944CB0"/>
    <w:rsid w:val="00945031"/>
    <w:rsid w:val="00945117"/>
    <w:rsid w:val="00945681"/>
    <w:rsid w:val="00945714"/>
    <w:rsid w:val="00945CB3"/>
    <w:rsid w:val="00945F78"/>
    <w:rsid w:val="0094608C"/>
    <w:rsid w:val="00947A26"/>
    <w:rsid w:val="00947FD1"/>
    <w:rsid w:val="00950186"/>
    <w:rsid w:val="00950AD9"/>
    <w:rsid w:val="00950CA4"/>
    <w:rsid w:val="00950D9A"/>
    <w:rsid w:val="00950EE0"/>
    <w:rsid w:val="00951199"/>
    <w:rsid w:val="009512DB"/>
    <w:rsid w:val="0095165C"/>
    <w:rsid w:val="009516E7"/>
    <w:rsid w:val="0095178F"/>
    <w:rsid w:val="00951824"/>
    <w:rsid w:val="00951A85"/>
    <w:rsid w:val="00952F5C"/>
    <w:rsid w:val="00953279"/>
    <w:rsid w:val="00953C00"/>
    <w:rsid w:val="009544CC"/>
    <w:rsid w:val="00954D2C"/>
    <w:rsid w:val="00954D87"/>
    <w:rsid w:val="009555A8"/>
    <w:rsid w:val="00955900"/>
    <w:rsid w:val="00955939"/>
    <w:rsid w:val="00955941"/>
    <w:rsid w:val="0095595E"/>
    <w:rsid w:val="00955E60"/>
    <w:rsid w:val="00956201"/>
    <w:rsid w:val="009568E7"/>
    <w:rsid w:val="00956963"/>
    <w:rsid w:val="00956EC8"/>
    <w:rsid w:val="00957E09"/>
    <w:rsid w:val="009602A5"/>
    <w:rsid w:val="009604DC"/>
    <w:rsid w:val="00960A81"/>
    <w:rsid w:val="00960AB8"/>
    <w:rsid w:val="00960C64"/>
    <w:rsid w:val="00960F1B"/>
    <w:rsid w:val="009612D1"/>
    <w:rsid w:val="00961668"/>
    <w:rsid w:val="00961E3A"/>
    <w:rsid w:val="009626D0"/>
    <w:rsid w:val="00962DB8"/>
    <w:rsid w:val="00963678"/>
    <w:rsid w:val="00963ECF"/>
    <w:rsid w:val="00964492"/>
    <w:rsid w:val="00964866"/>
    <w:rsid w:val="0096491C"/>
    <w:rsid w:val="00964B9E"/>
    <w:rsid w:val="0096555B"/>
    <w:rsid w:val="00965589"/>
    <w:rsid w:val="00965BC0"/>
    <w:rsid w:val="00965E98"/>
    <w:rsid w:val="00966020"/>
    <w:rsid w:val="00966908"/>
    <w:rsid w:val="00966E10"/>
    <w:rsid w:val="00966FA7"/>
    <w:rsid w:val="009675DD"/>
    <w:rsid w:val="00967C02"/>
    <w:rsid w:val="00967DD3"/>
    <w:rsid w:val="0097017F"/>
    <w:rsid w:val="00971272"/>
    <w:rsid w:val="009718DD"/>
    <w:rsid w:val="00971E0C"/>
    <w:rsid w:val="00971E8D"/>
    <w:rsid w:val="0097218D"/>
    <w:rsid w:val="0097292F"/>
    <w:rsid w:val="00972BCB"/>
    <w:rsid w:val="00972D14"/>
    <w:rsid w:val="009736BD"/>
    <w:rsid w:val="00973A58"/>
    <w:rsid w:val="00973EF7"/>
    <w:rsid w:val="009740E9"/>
    <w:rsid w:val="0097419D"/>
    <w:rsid w:val="00974BC6"/>
    <w:rsid w:val="00974C66"/>
    <w:rsid w:val="00974D4D"/>
    <w:rsid w:val="009756CF"/>
    <w:rsid w:val="009757EC"/>
    <w:rsid w:val="0097593E"/>
    <w:rsid w:val="00975A3C"/>
    <w:rsid w:val="00975DC3"/>
    <w:rsid w:val="00976463"/>
    <w:rsid w:val="00976524"/>
    <w:rsid w:val="00976959"/>
    <w:rsid w:val="00976C0C"/>
    <w:rsid w:val="0098022D"/>
    <w:rsid w:val="00980248"/>
    <w:rsid w:val="009811A0"/>
    <w:rsid w:val="00982130"/>
    <w:rsid w:val="00982553"/>
    <w:rsid w:val="00982A42"/>
    <w:rsid w:val="00982CC5"/>
    <w:rsid w:val="00982E0E"/>
    <w:rsid w:val="009835A4"/>
    <w:rsid w:val="009835D9"/>
    <w:rsid w:val="00983DE4"/>
    <w:rsid w:val="0098420F"/>
    <w:rsid w:val="0098479A"/>
    <w:rsid w:val="009854EE"/>
    <w:rsid w:val="00985D72"/>
    <w:rsid w:val="009866B5"/>
    <w:rsid w:val="009867BB"/>
    <w:rsid w:val="0098699C"/>
    <w:rsid w:val="00986C0F"/>
    <w:rsid w:val="0098779F"/>
    <w:rsid w:val="00987B6E"/>
    <w:rsid w:val="00990220"/>
    <w:rsid w:val="00990360"/>
    <w:rsid w:val="0099054B"/>
    <w:rsid w:val="0099058F"/>
    <w:rsid w:val="009908AF"/>
    <w:rsid w:val="00990945"/>
    <w:rsid w:val="00991404"/>
    <w:rsid w:val="0099146D"/>
    <w:rsid w:val="0099157A"/>
    <w:rsid w:val="00991666"/>
    <w:rsid w:val="00991AD9"/>
    <w:rsid w:val="00991E3E"/>
    <w:rsid w:val="00992F5A"/>
    <w:rsid w:val="00993216"/>
    <w:rsid w:val="00993624"/>
    <w:rsid w:val="00993B58"/>
    <w:rsid w:val="00994269"/>
    <w:rsid w:val="00994690"/>
    <w:rsid w:val="00994B6A"/>
    <w:rsid w:val="00994EA0"/>
    <w:rsid w:val="0099534B"/>
    <w:rsid w:val="00995378"/>
    <w:rsid w:val="00995E3B"/>
    <w:rsid w:val="00995F11"/>
    <w:rsid w:val="00995F96"/>
    <w:rsid w:val="00995FF9"/>
    <w:rsid w:val="009961AD"/>
    <w:rsid w:val="00996403"/>
    <w:rsid w:val="00996539"/>
    <w:rsid w:val="009967A1"/>
    <w:rsid w:val="00997B46"/>
    <w:rsid w:val="00997EFB"/>
    <w:rsid w:val="009A0723"/>
    <w:rsid w:val="009A0FD9"/>
    <w:rsid w:val="009A1061"/>
    <w:rsid w:val="009A1315"/>
    <w:rsid w:val="009A1415"/>
    <w:rsid w:val="009A16F8"/>
    <w:rsid w:val="009A1A11"/>
    <w:rsid w:val="009A1AAE"/>
    <w:rsid w:val="009A2222"/>
    <w:rsid w:val="009A2394"/>
    <w:rsid w:val="009A270E"/>
    <w:rsid w:val="009A322E"/>
    <w:rsid w:val="009A3AFE"/>
    <w:rsid w:val="009A3DFE"/>
    <w:rsid w:val="009A52EA"/>
    <w:rsid w:val="009A53C9"/>
    <w:rsid w:val="009A54D0"/>
    <w:rsid w:val="009A5D52"/>
    <w:rsid w:val="009A6A03"/>
    <w:rsid w:val="009A6D55"/>
    <w:rsid w:val="009A715B"/>
    <w:rsid w:val="009A7250"/>
    <w:rsid w:val="009A73BD"/>
    <w:rsid w:val="009B0285"/>
    <w:rsid w:val="009B0671"/>
    <w:rsid w:val="009B0723"/>
    <w:rsid w:val="009B0F82"/>
    <w:rsid w:val="009B120A"/>
    <w:rsid w:val="009B12EF"/>
    <w:rsid w:val="009B1751"/>
    <w:rsid w:val="009B1B15"/>
    <w:rsid w:val="009B1B53"/>
    <w:rsid w:val="009B2070"/>
    <w:rsid w:val="009B2DEB"/>
    <w:rsid w:val="009B3603"/>
    <w:rsid w:val="009B360C"/>
    <w:rsid w:val="009B3716"/>
    <w:rsid w:val="009B38DD"/>
    <w:rsid w:val="009B3ECD"/>
    <w:rsid w:val="009B3F9C"/>
    <w:rsid w:val="009B3FB2"/>
    <w:rsid w:val="009B445A"/>
    <w:rsid w:val="009B456E"/>
    <w:rsid w:val="009B4A9C"/>
    <w:rsid w:val="009B4F04"/>
    <w:rsid w:val="009B532A"/>
    <w:rsid w:val="009B541E"/>
    <w:rsid w:val="009B56BF"/>
    <w:rsid w:val="009B6C34"/>
    <w:rsid w:val="009B6FD0"/>
    <w:rsid w:val="009B72ED"/>
    <w:rsid w:val="009C037B"/>
    <w:rsid w:val="009C041D"/>
    <w:rsid w:val="009C1418"/>
    <w:rsid w:val="009C1B99"/>
    <w:rsid w:val="009C1CFA"/>
    <w:rsid w:val="009C20CA"/>
    <w:rsid w:val="009C2B95"/>
    <w:rsid w:val="009C2BDC"/>
    <w:rsid w:val="009C2D12"/>
    <w:rsid w:val="009C2E20"/>
    <w:rsid w:val="009C38F6"/>
    <w:rsid w:val="009C45BD"/>
    <w:rsid w:val="009C4C0A"/>
    <w:rsid w:val="009C547E"/>
    <w:rsid w:val="009C5528"/>
    <w:rsid w:val="009C58E2"/>
    <w:rsid w:val="009C5A3B"/>
    <w:rsid w:val="009C5B87"/>
    <w:rsid w:val="009C64F6"/>
    <w:rsid w:val="009C6C00"/>
    <w:rsid w:val="009C7042"/>
    <w:rsid w:val="009C739C"/>
    <w:rsid w:val="009C73D5"/>
    <w:rsid w:val="009C785F"/>
    <w:rsid w:val="009C7FB6"/>
    <w:rsid w:val="009D02A5"/>
    <w:rsid w:val="009D0389"/>
    <w:rsid w:val="009D0A53"/>
    <w:rsid w:val="009D0B9F"/>
    <w:rsid w:val="009D12D9"/>
    <w:rsid w:val="009D1432"/>
    <w:rsid w:val="009D162F"/>
    <w:rsid w:val="009D174D"/>
    <w:rsid w:val="009D1CA7"/>
    <w:rsid w:val="009D1F4B"/>
    <w:rsid w:val="009D2511"/>
    <w:rsid w:val="009D30FD"/>
    <w:rsid w:val="009D32C4"/>
    <w:rsid w:val="009D3520"/>
    <w:rsid w:val="009D3617"/>
    <w:rsid w:val="009D3830"/>
    <w:rsid w:val="009D3957"/>
    <w:rsid w:val="009D3A2F"/>
    <w:rsid w:val="009D42BC"/>
    <w:rsid w:val="009D4750"/>
    <w:rsid w:val="009D6325"/>
    <w:rsid w:val="009D6524"/>
    <w:rsid w:val="009D6C0C"/>
    <w:rsid w:val="009D7056"/>
    <w:rsid w:val="009D7232"/>
    <w:rsid w:val="009D7387"/>
    <w:rsid w:val="009D7514"/>
    <w:rsid w:val="009D7989"/>
    <w:rsid w:val="009D7DE3"/>
    <w:rsid w:val="009D7F05"/>
    <w:rsid w:val="009E0034"/>
    <w:rsid w:val="009E0703"/>
    <w:rsid w:val="009E099C"/>
    <w:rsid w:val="009E1071"/>
    <w:rsid w:val="009E1DF6"/>
    <w:rsid w:val="009E2134"/>
    <w:rsid w:val="009E2539"/>
    <w:rsid w:val="009E2B44"/>
    <w:rsid w:val="009E2CD4"/>
    <w:rsid w:val="009E2F5E"/>
    <w:rsid w:val="009E317C"/>
    <w:rsid w:val="009E3570"/>
    <w:rsid w:val="009E3954"/>
    <w:rsid w:val="009E4011"/>
    <w:rsid w:val="009E4321"/>
    <w:rsid w:val="009E4B4C"/>
    <w:rsid w:val="009E4E31"/>
    <w:rsid w:val="009E4F79"/>
    <w:rsid w:val="009E5A00"/>
    <w:rsid w:val="009E63BB"/>
    <w:rsid w:val="009E6484"/>
    <w:rsid w:val="009E664F"/>
    <w:rsid w:val="009E667B"/>
    <w:rsid w:val="009E6695"/>
    <w:rsid w:val="009E6727"/>
    <w:rsid w:val="009E6F1F"/>
    <w:rsid w:val="009E706F"/>
    <w:rsid w:val="009E7102"/>
    <w:rsid w:val="009E7793"/>
    <w:rsid w:val="009E78AF"/>
    <w:rsid w:val="009E7CAA"/>
    <w:rsid w:val="009F0402"/>
    <w:rsid w:val="009F052A"/>
    <w:rsid w:val="009F0BB2"/>
    <w:rsid w:val="009F136F"/>
    <w:rsid w:val="009F13A0"/>
    <w:rsid w:val="009F1D02"/>
    <w:rsid w:val="009F28EB"/>
    <w:rsid w:val="009F2DE6"/>
    <w:rsid w:val="009F39D8"/>
    <w:rsid w:val="009F45D0"/>
    <w:rsid w:val="009F4B50"/>
    <w:rsid w:val="009F536C"/>
    <w:rsid w:val="009F5451"/>
    <w:rsid w:val="009F5ADD"/>
    <w:rsid w:val="009F5C1C"/>
    <w:rsid w:val="009F64B4"/>
    <w:rsid w:val="009F6B2A"/>
    <w:rsid w:val="009F796E"/>
    <w:rsid w:val="009F7D73"/>
    <w:rsid w:val="00A00958"/>
    <w:rsid w:val="00A00B54"/>
    <w:rsid w:val="00A00E49"/>
    <w:rsid w:val="00A013DC"/>
    <w:rsid w:val="00A01467"/>
    <w:rsid w:val="00A01B6B"/>
    <w:rsid w:val="00A0240A"/>
    <w:rsid w:val="00A02DBE"/>
    <w:rsid w:val="00A02EAE"/>
    <w:rsid w:val="00A0308D"/>
    <w:rsid w:val="00A03194"/>
    <w:rsid w:val="00A033E9"/>
    <w:rsid w:val="00A036A2"/>
    <w:rsid w:val="00A03716"/>
    <w:rsid w:val="00A0464C"/>
    <w:rsid w:val="00A0479A"/>
    <w:rsid w:val="00A04D94"/>
    <w:rsid w:val="00A051B8"/>
    <w:rsid w:val="00A051BE"/>
    <w:rsid w:val="00A05C59"/>
    <w:rsid w:val="00A05E36"/>
    <w:rsid w:val="00A05E71"/>
    <w:rsid w:val="00A05EB5"/>
    <w:rsid w:val="00A06327"/>
    <w:rsid w:val="00A0689A"/>
    <w:rsid w:val="00A06E5A"/>
    <w:rsid w:val="00A07854"/>
    <w:rsid w:val="00A07C7E"/>
    <w:rsid w:val="00A07CC2"/>
    <w:rsid w:val="00A105A8"/>
    <w:rsid w:val="00A107CC"/>
    <w:rsid w:val="00A10EDA"/>
    <w:rsid w:val="00A1105E"/>
    <w:rsid w:val="00A11580"/>
    <w:rsid w:val="00A11DF0"/>
    <w:rsid w:val="00A124EA"/>
    <w:rsid w:val="00A12565"/>
    <w:rsid w:val="00A12C32"/>
    <w:rsid w:val="00A13585"/>
    <w:rsid w:val="00A13822"/>
    <w:rsid w:val="00A13957"/>
    <w:rsid w:val="00A13990"/>
    <w:rsid w:val="00A13DEA"/>
    <w:rsid w:val="00A13E03"/>
    <w:rsid w:val="00A14200"/>
    <w:rsid w:val="00A1446A"/>
    <w:rsid w:val="00A15D9F"/>
    <w:rsid w:val="00A15E9A"/>
    <w:rsid w:val="00A160EE"/>
    <w:rsid w:val="00A16605"/>
    <w:rsid w:val="00A16BD5"/>
    <w:rsid w:val="00A170ED"/>
    <w:rsid w:val="00A177A1"/>
    <w:rsid w:val="00A17803"/>
    <w:rsid w:val="00A17DA7"/>
    <w:rsid w:val="00A2080C"/>
    <w:rsid w:val="00A20C9D"/>
    <w:rsid w:val="00A20E84"/>
    <w:rsid w:val="00A21E80"/>
    <w:rsid w:val="00A2276C"/>
    <w:rsid w:val="00A22C4F"/>
    <w:rsid w:val="00A22D84"/>
    <w:rsid w:val="00A22DCB"/>
    <w:rsid w:val="00A23888"/>
    <w:rsid w:val="00A23FCE"/>
    <w:rsid w:val="00A2413E"/>
    <w:rsid w:val="00A24E3D"/>
    <w:rsid w:val="00A251C5"/>
    <w:rsid w:val="00A25233"/>
    <w:rsid w:val="00A2525C"/>
    <w:rsid w:val="00A25504"/>
    <w:rsid w:val="00A25CD0"/>
    <w:rsid w:val="00A25EA0"/>
    <w:rsid w:val="00A262C9"/>
    <w:rsid w:val="00A264D9"/>
    <w:rsid w:val="00A26D5A"/>
    <w:rsid w:val="00A2711E"/>
    <w:rsid w:val="00A272E8"/>
    <w:rsid w:val="00A27910"/>
    <w:rsid w:val="00A2798C"/>
    <w:rsid w:val="00A27F45"/>
    <w:rsid w:val="00A27FD8"/>
    <w:rsid w:val="00A30230"/>
    <w:rsid w:val="00A30C99"/>
    <w:rsid w:val="00A312C1"/>
    <w:rsid w:val="00A313C7"/>
    <w:rsid w:val="00A316C4"/>
    <w:rsid w:val="00A318F9"/>
    <w:rsid w:val="00A31A23"/>
    <w:rsid w:val="00A31D76"/>
    <w:rsid w:val="00A31EBE"/>
    <w:rsid w:val="00A32898"/>
    <w:rsid w:val="00A32C3D"/>
    <w:rsid w:val="00A32DC6"/>
    <w:rsid w:val="00A335F9"/>
    <w:rsid w:val="00A341BF"/>
    <w:rsid w:val="00A3423E"/>
    <w:rsid w:val="00A34844"/>
    <w:rsid w:val="00A349AF"/>
    <w:rsid w:val="00A34F59"/>
    <w:rsid w:val="00A34FAA"/>
    <w:rsid w:val="00A354D5"/>
    <w:rsid w:val="00A359A0"/>
    <w:rsid w:val="00A35D01"/>
    <w:rsid w:val="00A35F33"/>
    <w:rsid w:val="00A36067"/>
    <w:rsid w:val="00A36CBA"/>
    <w:rsid w:val="00A36CBD"/>
    <w:rsid w:val="00A376E7"/>
    <w:rsid w:val="00A40240"/>
    <w:rsid w:val="00A4069B"/>
    <w:rsid w:val="00A408E4"/>
    <w:rsid w:val="00A40A18"/>
    <w:rsid w:val="00A40B5B"/>
    <w:rsid w:val="00A40FAD"/>
    <w:rsid w:val="00A412E6"/>
    <w:rsid w:val="00A418D0"/>
    <w:rsid w:val="00A418E8"/>
    <w:rsid w:val="00A4198A"/>
    <w:rsid w:val="00A42695"/>
    <w:rsid w:val="00A43262"/>
    <w:rsid w:val="00A43951"/>
    <w:rsid w:val="00A43E86"/>
    <w:rsid w:val="00A444C6"/>
    <w:rsid w:val="00A44D5D"/>
    <w:rsid w:val="00A4500F"/>
    <w:rsid w:val="00A4693F"/>
    <w:rsid w:val="00A46A7F"/>
    <w:rsid w:val="00A471D0"/>
    <w:rsid w:val="00A471E0"/>
    <w:rsid w:val="00A474CC"/>
    <w:rsid w:val="00A475D5"/>
    <w:rsid w:val="00A47979"/>
    <w:rsid w:val="00A50352"/>
    <w:rsid w:val="00A51B42"/>
    <w:rsid w:val="00A52BF7"/>
    <w:rsid w:val="00A52E4E"/>
    <w:rsid w:val="00A53661"/>
    <w:rsid w:val="00A53D2A"/>
    <w:rsid w:val="00A545A3"/>
    <w:rsid w:val="00A54921"/>
    <w:rsid w:val="00A54A69"/>
    <w:rsid w:val="00A54DC2"/>
    <w:rsid w:val="00A55149"/>
    <w:rsid w:val="00A55424"/>
    <w:rsid w:val="00A55A3D"/>
    <w:rsid w:val="00A55FF3"/>
    <w:rsid w:val="00A563FD"/>
    <w:rsid w:val="00A563FF"/>
    <w:rsid w:val="00A57A72"/>
    <w:rsid w:val="00A6001A"/>
    <w:rsid w:val="00A60394"/>
    <w:rsid w:val="00A61042"/>
    <w:rsid w:val="00A6137A"/>
    <w:rsid w:val="00A613B2"/>
    <w:rsid w:val="00A619AC"/>
    <w:rsid w:val="00A61AD2"/>
    <w:rsid w:val="00A624D1"/>
    <w:rsid w:val="00A62563"/>
    <w:rsid w:val="00A62AF9"/>
    <w:rsid w:val="00A63CA7"/>
    <w:rsid w:val="00A643FA"/>
    <w:rsid w:val="00A64AB4"/>
    <w:rsid w:val="00A65286"/>
    <w:rsid w:val="00A65510"/>
    <w:rsid w:val="00A66372"/>
    <w:rsid w:val="00A665F9"/>
    <w:rsid w:val="00A66871"/>
    <w:rsid w:val="00A6708A"/>
    <w:rsid w:val="00A6711C"/>
    <w:rsid w:val="00A67525"/>
    <w:rsid w:val="00A67A30"/>
    <w:rsid w:val="00A67B4E"/>
    <w:rsid w:val="00A67BCD"/>
    <w:rsid w:val="00A67C65"/>
    <w:rsid w:val="00A70043"/>
    <w:rsid w:val="00A7020B"/>
    <w:rsid w:val="00A70558"/>
    <w:rsid w:val="00A7080D"/>
    <w:rsid w:val="00A70865"/>
    <w:rsid w:val="00A7177E"/>
    <w:rsid w:val="00A727A9"/>
    <w:rsid w:val="00A73716"/>
    <w:rsid w:val="00A739BB"/>
    <w:rsid w:val="00A73D31"/>
    <w:rsid w:val="00A742FF"/>
    <w:rsid w:val="00A74FAD"/>
    <w:rsid w:val="00A752EF"/>
    <w:rsid w:val="00A755A3"/>
    <w:rsid w:val="00A759B6"/>
    <w:rsid w:val="00A768CA"/>
    <w:rsid w:val="00A769DD"/>
    <w:rsid w:val="00A76C55"/>
    <w:rsid w:val="00A770B1"/>
    <w:rsid w:val="00A7723C"/>
    <w:rsid w:val="00A77C78"/>
    <w:rsid w:val="00A80DCF"/>
    <w:rsid w:val="00A81F3F"/>
    <w:rsid w:val="00A82427"/>
    <w:rsid w:val="00A82785"/>
    <w:rsid w:val="00A82882"/>
    <w:rsid w:val="00A83197"/>
    <w:rsid w:val="00A83C46"/>
    <w:rsid w:val="00A840B2"/>
    <w:rsid w:val="00A84283"/>
    <w:rsid w:val="00A847BF"/>
    <w:rsid w:val="00A848A8"/>
    <w:rsid w:val="00A84B93"/>
    <w:rsid w:val="00A8517D"/>
    <w:rsid w:val="00A8532E"/>
    <w:rsid w:val="00A85418"/>
    <w:rsid w:val="00A86071"/>
    <w:rsid w:val="00A862CD"/>
    <w:rsid w:val="00A86314"/>
    <w:rsid w:val="00A8661F"/>
    <w:rsid w:val="00A86BA7"/>
    <w:rsid w:val="00A872F1"/>
    <w:rsid w:val="00A87788"/>
    <w:rsid w:val="00A8793D"/>
    <w:rsid w:val="00A87FD3"/>
    <w:rsid w:val="00A904DB"/>
    <w:rsid w:val="00A90E97"/>
    <w:rsid w:val="00A91871"/>
    <w:rsid w:val="00A92A87"/>
    <w:rsid w:val="00A92EA7"/>
    <w:rsid w:val="00A94BAD"/>
    <w:rsid w:val="00A95A73"/>
    <w:rsid w:val="00A9621E"/>
    <w:rsid w:val="00A9773E"/>
    <w:rsid w:val="00A9783E"/>
    <w:rsid w:val="00AA09EE"/>
    <w:rsid w:val="00AA0B4B"/>
    <w:rsid w:val="00AA0E8E"/>
    <w:rsid w:val="00AA1AB1"/>
    <w:rsid w:val="00AA1B38"/>
    <w:rsid w:val="00AA236E"/>
    <w:rsid w:val="00AA2476"/>
    <w:rsid w:val="00AA2586"/>
    <w:rsid w:val="00AA276F"/>
    <w:rsid w:val="00AA2DC8"/>
    <w:rsid w:val="00AA2F75"/>
    <w:rsid w:val="00AA2F9B"/>
    <w:rsid w:val="00AA383C"/>
    <w:rsid w:val="00AA38BA"/>
    <w:rsid w:val="00AA3A48"/>
    <w:rsid w:val="00AA3E37"/>
    <w:rsid w:val="00AA462A"/>
    <w:rsid w:val="00AA4772"/>
    <w:rsid w:val="00AA4A32"/>
    <w:rsid w:val="00AA4D8C"/>
    <w:rsid w:val="00AA542E"/>
    <w:rsid w:val="00AA5984"/>
    <w:rsid w:val="00AA60E5"/>
    <w:rsid w:val="00AA6A47"/>
    <w:rsid w:val="00AA7118"/>
    <w:rsid w:val="00AA734B"/>
    <w:rsid w:val="00AA7574"/>
    <w:rsid w:val="00AA7863"/>
    <w:rsid w:val="00AA7AA2"/>
    <w:rsid w:val="00AA7B11"/>
    <w:rsid w:val="00AA7D23"/>
    <w:rsid w:val="00AA7D55"/>
    <w:rsid w:val="00AB053C"/>
    <w:rsid w:val="00AB0E5A"/>
    <w:rsid w:val="00AB18EA"/>
    <w:rsid w:val="00AB1BA7"/>
    <w:rsid w:val="00AB2E95"/>
    <w:rsid w:val="00AB2F15"/>
    <w:rsid w:val="00AB33AC"/>
    <w:rsid w:val="00AB3D2D"/>
    <w:rsid w:val="00AB437E"/>
    <w:rsid w:val="00AB4729"/>
    <w:rsid w:val="00AB47EF"/>
    <w:rsid w:val="00AB4966"/>
    <w:rsid w:val="00AB49DF"/>
    <w:rsid w:val="00AB4EDA"/>
    <w:rsid w:val="00AB604B"/>
    <w:rsid w:val="00AB6275"/>
    <w:rsid w:val="00AB6678"/>
    <w:rsid w:val="00AB6D2B"/>
    <w:rsid w:val="00AB6DB9"/>
    <w:rsid w:val="00AB6F29"/>
    <w:rsid w:val="00AB70F0"/>
    <w:rsid w:val="00AB71D6"/>
    <w:rsid w:val="00AB7515"/>
    <w:rsid w:val="00AB76D0"/>
    <w:rsid w:val="00AB7A2B"/>
    <w:rsid w:val="00AB7AC7"/>
    <w:rsid w:val="00AC0923"/>
    <w:rsid w:val="00AC0AF3"/>
    <w:rsid w:val="00AC0BC7"/>
    <w:rsid w:val="00AC0C5A"/>
    <w:rsid w:val="00AC0EAC"/>
    <w:rsid w:val="00AC1106"/>
    <w:rsid w:val="00AC16C2"/>
    <w:rsid w:val="00AC19CC"/>
    <w:rsid w:val="00AC1D5F"/>
    <w:rsid w:val="00AC20A7"/>
    <w:rsid w:val="00AC222F"/>
    <w:rsid w:val="00AC22C3"/>
    <w:rsid w:val="00AC3555"/>
    <w:rsid w:val="00AC389F"/>
    <w:rsid w:val="00AC3B74"/>
    <w:rsid w:val="00AC42A0"/>
    <w:rsid w:val="00AC438F"/>
    <w:rsid w:val="00AC46EB"/>
    <w:rsid w:val="00AC4855"/>
    <w:rsid w:val="00AC4E2F"/>
    <w:rsid w:val="00AC4EB0"/>
    <w:rsid w:val="00AC50F9"/>
    <w:rsid w:val="00AC54F9"/>
    <w:rsid w:val="00AC5862"/>
    <w:rsid w:val="00AC5FF7"/>
    <w:rsid w:val="00AC68E5"/>
    <w:rsid w:val="00AC6B8C"/>
    <w:rsid w:val="00AC72EA"/>
    <w:rsid w:val="00AC73DF"/>
    <w:rsid w:val="00AC749A"/>
    <w:rsid w:val="00AD02D8"/>
    <w:rsid w:val="00AD1347"/>
    <w:rsid w:val="00AD15E9"/>
    <w:rsid w:val="00AD1621"/>
    <w:rsid w:val="00AD174C"/>
    <w:rsid w:val="00AD1BD0"/>
    <w:rsid w:val="00AD1DE7"/>
    <w:rsid w:val="00AD217E"/>
    <w:rsid w:val="00AD2965"/>
    <w:rsid w:val="00AD2A72"/>
    <w:rsid w:val="00AD2E7F"/>
    <w:rsid w:val="00AD3934"/>
    <w:rsid w:val="00AD4195"/>
    <w:rsid w:val="00AD4493"/>
    <w:rsid w:val="00AD4A27"/>
    <w:rsid w:val="00AD4A81"/>
    <w:rsid w:val="00AD4B34"/>
    <w:rsid w:val="00AD4D53"/>
    <w:rsid w:val="00AD4EFE"/>
    <w:rsid w:val="00AD519D"/>
    <w:rsid w:val="00AD5287"/>
    <w:rsid w:val="00AD544C"/>
    <w:rsid w:val="00AD5542"/>
    <w:rsid w:val="00AD563C"/>
    <w:rsid w:val="00AD6231"/>
    <w:rsid w:val="00AD62DD"/>
    <w:rsid w:val="00AD6A0E"/>
    <w:rsid w:val="00AD6CA1"/>
    <w:rsid w:val="00AD6ED3"/>
    <w:rsid w:val="00AD71AE"/>
    <w:rsid w:val="00AD7289"/>
    <w:rsid w:val="00AD74A8"/>
    <w:rsid w:val="00AD7A07"/>
    <w:rsid w:val="00AD7C8F"/>
    <w:rsid w:val="00AE00A2"/>
    <w:rsid w:val="00AE071E"/>
    <w:rsid w:val="00AE077C"/>
    <w:rsid w:val="00AE20DC"/>
    <w:rsid w:val="00AE26AA"/>
    <w:rsid w:val="00AE28D5"/>
    <w:rsid w:val="00AE30B9"/>
    <w:rsid w:val="00AE3117"/>
    <w:rsid w:val="00AE329C"/>
    <w:rsid w:val="00AE33BD"/>
    <w:rsid w:val="00AE3520"/>
    <w:rsid w:val="00AE3555"/>
    <w:rsid w:val="00AE3653"/>
    <w:rsid w:val="00AE382F"/>
    <w:rsid w:val="00AE40DB"/>
    <w:rsid w:val="00AE433F"/>
    <w:rsid w:val="00AE4592"/>
    <w:rsid w:val="00AE4C15"/>
    <w:rsid w:val="00AE4DC1"/>
    <w:rsid w:val="00AE5109"/>
    <w:rsid w:val="00AE56FD"/>
    <w:rsid w:val="00AE5981"/>
    <w:rsid w:val="00AE5994"/>
    <w:rsid w:val="00AE5B45"/>
    <w:rsid w:val="00AE6A13"/>
    <w:rsid w:val="00AE7978"/>
    <w:rsid w:val="00AE7C27"/>
    <w:rsid w:val="00AE7FD3"/>
    <w:rsid w:val="00AF01F6"/>
    <w:rsid w:val="00AF07F7"/>
    <w:rsid w:val="00AF1133"/>
    <w:rsid w:val="00AF1859"/>
    <w:rsid w:val="00AF1ADA"/>
    <w:rsid w:val="00AF25AB"/>
    <w:rsid w:val="00AF2D58"/>
    <w:rsid w:val="00AF30F0"/>
    <w:rsid w:val="00AF36C1"/>
    <w:rsid w:val="00AF3958"/>
    <w:rsid w:val="00AF3DFC"/>
    <w:rsid w:val="00AF3FD3"/>
    <w:rsid w:val="00AF462E"/>
    <w:rsid w:val="00AF4E07"/>
    <w:rsid w:val="00AF5499"/>
    <w:rsid w:val="00AF5B14"/>
    <w:rsid w:val="00AF5B17"/>
    <w:rsid w:val="00AF61E4"/>
    <w:rsid w:val="00AF636D"/>
    <w:rsid w:val="00AF69FB"/>
    <w:rsid w:val="00AF6E39"/>
    <w:rsid w:val="00AF7128"/>
    <w:rsid w:val="00AF7D59"/>
    <w:rsid w:val="00B0073F"/>
    <w:rsid w:val="00B00A0D"/>
    <w:rsid w:val="00B01C5C"/>
    <w:rsid w:val="00B02425"/>
    <w:rsid w:val="00B03024"/>
    <w:rsid w:val="00B0316A"/>
    <w:rsid w:val="00B0372D"/>
    <w:rsid w:val="00B0387A"/>
    <w:rsid w:val="00B03E72"/>
    <w:rsid w:val="00B04008"/>
    <w:rsid w:val="00B04A0F"/>
    <w:rsid w:val="00B04DA8"/>
    <w:rsid w:val="00B05274"/>
    <w:rsid w:val="00B052EA"/>
    <w:rsid w:val="00B0533D"/>
    <w:rsid w:val="00B069E8"/>
    <w:rsid w:val="00B06E85"/>
    <w:rsid w:val="00B0702C"/>
    <w:rsid w:val="00B072E0"/>
    <w:rsid w:val="00B07908"/>
    <w:rsid w:val="00B10012"/>
    <w:rsid w:val="00B100CE"/>
    <w:rsid w:val="00B1037B"/>
    <w:rsid w:val="00B10E45"/>
    <w:rsid w:val="00B1140D"/>
    <w:rsid w:val="00B115D3"/>
    <w:rsid w:val="00B11DC6"/>
    <w:rsid w:val="00B12018"/>
    <w:rsid w:val="00B1273F"/>
    <w:rsid w:val="00B12740"/>
    <w:rsid w:val="00B127AE"/>
    <w:rsid w:val="00B13015"/>
    <w:rsid w:val="00B135B1"/>
    <w:rsid w:val="00B137E3"/>
    <w:rsid w:val="00B139B2"/>
    <w:rsid w:val="00B13DA1"/>
    <w:rsid w:val="00B13FC1"/>
    <w:rsid w:val="00B1403F"/>
    <w:rsid w:val="00B1413D"/>
    <w:rsid w:val="00B149E4"/>
    <w:rsid w:val="00B14EEF"/>
    <w:rsid w:val="00B15641"/>
    <w:rsid w:val="00B1567F"/>
    <w:rsid w:val="00B1623A"/>
    <w:rsid w:val="00B16824"/>
    <w:rsid w:val="00B17020"/>
    <w:rsid w:val="00B17588"/>
    <w:rsid w:val="00B176EE"/>
    <w:rsid w:val="00B177CE"/>
    <w:rsid w:val="00B17A04"/>
    <w:rsid w:val="00B202FD"/>
    <w:rsid w:val="00B2052D"/>
    <w:rsid w:val="00B20696"/>
    <w:rsid w:val="00B206DD"/>
    <w:rsid w:val="00B20D27"/>
    <w:rsid w:val="00B20D73"/>
    <w:rsid w:val="00B21279"/>
    <w:rsid w:val="00B2132C"/>
    <w:rsid w:val="00B213AE"/>
    <w:rsid w:val="00B22026"/>
    <w:rsid w:val="00B22076"/>
    <w:rsid w:val="00B220F3"/>
    <w:rsid w:val="00B22361"/>
    <w:rsid w:val="00B229A5"/>
    <w:rsid w:val="00B23574"/>
    <w:rsid w:val="00B238F0"/>
    <w:rsid w:val="00B23D5E"/>
    <w:rsid w:val="00B24311"/>
    <w:rsid w:val="00B247C5"/>
    <w:rsid w:val="00B24986"/>
    <w:rsid w:val="00B2542F"/>
    <w:rsid w:val="00B26025"/>
    <w:rsid w:val="00B2645E"/>
    <w:rsid w:val="00B264B1"/>
    <w:rsid w:val="00B26A9C"/>
    <w:rsid w:val="00B26E96"/>
    <w:rsid w:val="00B27187"/>
    <w:rsid w:val="00B27634"/>
    <w:rsid w:val="00B276FC"/>
    <w:rsid w:val="00B27711"/>
    <w:rsid w:val="00B27945"/>
    <w:rsid w:val="00B27BB7"/>
    <w:rsid w:val="00B27E04"/>
    <w:rsid w:val="00B3089F"/>
    <w:rsid w:val="00B3164D"/>
    <w:rsid w:val="00B316BE"/>
    <w:rsid w:val="00B321DD"/>
    <w:rsid w:val="00B3278E"/>
    <w:rsid w:val="00B3348D"/>
    <w:rsid w:val="00B337DC"/>
    <w:rsid w:val="00B338AA"/>
    <w:rsid w:val="00B33A8D"/>
    <w:rsid w:val="00B33C0F"/>
    <w:rsid w:val="00B33DEE"/>
    <w:rsid w:val="00B33E82"/>
    <w:rsid w:val="00B3407F"/>
    <w:rsid w:val="00B3486C"/>
    <w:rsid w:val="00B349CC"/>
    <w:rsid w:val="00B34C22"/>
    <w:rsid w:val="00B3560E"/>
    <w:rsid w:val="00B3596A"/>
    <w:rsid w:val="00B35CC3"/>
    <w:rsid w:val="00B36038"/>
    <w:rsid w:val="00B362F1"/>
    <w:rsid w:val="00B36465"/>
    <w:rsid w:val="00B37B3B"/>
    <w:rsid w:val="00B37C99"/>
    <w:rsid w:val="00B40028"/>
    <w:rsid w:val="00B40B9E"/>
    <w:rsid w:val="00B4121F"/>
    <w:rsid w:val="00B417EB"/>
    <w:rsid w:val="00B41BA7"/>
    <w:rsid w:val="00B42B01"/>
    <w:rsid w:val="00B42E91"/>
    <w:rsid w:val="00B43218"/>
    <w:rsid w:val="00B43410"/>
    <w:rsid w:val="00B43648"/>
    <w:rsid w:val="00B4389F"/>
    <w:rsid w:val="00B43998"/>
    <w:rsid w:val="00B44A0B"/>
    <w:rsid w:val="00B44B39"/>
    <w:rsid w:val="00B44B98"/>
    <w:rsid w:val="00B458B3"/>
    <w:rsid w:val="00B4597B"/>
    <w:rsid w:val="00B45A2F"/>
    <w:rsid w:val="00B45DD3"/>
    <w:rsid w:val="00B46104"/>
    <w:rsid w:val="00B46941"/>
    <w:rsid w:val="00B46B80"/>
    <w:rsid w:val="00B46FED"/>
    <w:rsid w:val="00B470D4"/>
    <w:rsid w:val="00B4726F"/>
    <w:rsid w:val="00B4759D"/>
    <w:rsid w:val="00B478E9"/>
    <w:rsid w:val="00B47AC4"/>
    <w:rsid w:val="00B505A7"/>
    <w:rsid w:val="00B51482"/>
    <w:rsid w:val="00B5176E"/>
    <w:rsid w:val="00B518CF"/>
    <w:rsid w:val="00B51B53"/>
    <w:rsid w:val="00B51F24"/>
    <w:rsid w:val="00B523C6"/>
    <w:rsid w:val="00B524CC"/>
    <w:rsid w:val="00B525D1"/>
    <w:rsid w:val="00B52D98"/>
    <w:rsid w:val="00B53390"/>
    <w:rsid w:val="00B53438"/>
    <w:rsid w:val="00B536D1"/>
    <w:rsid w:val="00B53792"/>
    <w:rsid w:val="00B54013"/>
    <w:rsid w:val="00B542D5"/>
    <w:rsid w:val="00B55190"/>
    <w:rsid w:val="00B565F9"/>
    <w:rsid w:val="00B56687"/>
    <w:rsid w:val="00B56963"/>
    <w:rsid w:val="00B56A86"/>
    <w:rsid w:val="00B56FBA"/>
    <w:rsid w:val="00B57372"/>
    <w:rsid w:val="00B57905"/>
    <w:rsid w:val="00B57AC5"/>
    <w:rsid w:val="00B6050F"/>
    <w:rsid w:val="00B6054A"/>
    <w:rsid w:val="00B60BF7"/>
    <w:rsid w:val="00B61222"/>
    <w:rsid w:val="00B61C73"/>
    <w:rsid w:val="00B61CAA"/>
    <w:rsid w:val="00B62597"/>
    <w:rsid w:val="00B633E1"/>
    <w:rsid w:val="00B63742"/>
    <w:rsid w:val="00B645E4"/>
    <w:rsid w:val="00B648BE"/>
    <w:rsid w:val="00B64960"/>
    <w:rsid w:val="00B652AA"/>
    <w:rsid w:val="00B6534C"/>
    <w:rsid w:val="00B6536B"/>
    <w:rsid w:val="00B65888"/>
    <w:rsid w:val="00B6607F"/>
    <w:rsid w:val="00B66506"/>
    <w:rsid w:val="00B66611"/>
    <w:rsid w:val="00B66A09"/>
    <w:rsid w:val="00B66C75"/>
    <w:rsid w:val="00B670F5"/>
    <w:rsid w:val="00B67967"/>
    <w:rsid w:val="00B72942"/>
    <w:rsid w:val="00B7298E"/>
    <w:rsid w:val="00B72CD8"/>
    <w:rsid w:val="00B72EF4"/>
    <w:rsid w:val="00B732F6"/>
    <w:rsid w:val="00B734B0"/>
    <w:rsid w:val="00B7462D"/>
    <w:rsid w:val="00B752F3"/>
    <w:rsid w:val="00B758A9"/>
    <w:rsid w:val="00B75C84"/>
    <w:rsid w:val="00B764B7"/>
    <w:rsid w:val="00B76685"/>
    <w:rsid w:val="00B769D1"/>
    <w:rsid w:val="00B76E91"/>
    <w:rsid w:val="00B7794F"/>
    <w:rsid w:val="00B804FE"/>
    <w:rsid w:val="00B8100F"/>
    <w:rsid w:val="00B8101A"/>
    <w:rsid w:val="00B81154"/>
    <w:rsid w:val="00B8227A"/>
    <w:rsid w:val="00B825AC"/>
    <w:rsid w:val="00B82637"/>
    <w:rsid w:val="00B827D4"/>
    <w:rsid w:val="00B82991"/>
    <w:rsid w:val="00B82D50"/>
    <w:rsid w:val="00B82E6F"/>
    <w:rsid w:val="00B83296"/>
    <w:rsid w:val="00B83497"/>
    <w:rsid w:val="00B8375A"/>
    <w:rsid w:val="00B84387"/>
    <w:rsid w:val="00B84CDF"/>
    <w:rsid w:val="00B84D16"/>
    <w:rsid w:val="00B84F9B"/>
    <w:rsid w:val="00B85556"/>
    <w:rsid w:val="00B85819"/>
    <w:rsid w:val="00B85AFD"/>
    <w:rsid w:val="00B85B1D"/>
    <w:rsid w:val="00B85DC6"/>
    <w:rsid w:val="00B8613C"/>
    <w:rsid w:val="00B8695B"/>
    <w:rsid w:val="00B86A72"/>
    <w:rsid w:val="00B86ADA"/>
    <w:rsid w:val="00B86AE2"/>
    <w:rsid w:val="00B86D4D"/>
    <w:rsid w:val="00B875E9"/>
    <w:rsid w:val="00B87610"/>
    <w:rsid w:val="00B877D6"/>
    <w:rsid w:val="00B87AE2"/>
    <w:rsid w:val="00B87B66"/>
    <w:rsid w:val="00B87D0E"/>
    <w:rsid w:val="00B902B8"/>
    <w:rsid w:val="00B9062A"/>
    <w:rsid w:val="00B910D4"/>
    <w:rsid w:val="00B92213"/>
    <w:rsid w:val="00B923D4"/>
    <w:rsid w:val="00B93381"/>
    <w:rsid w:val="00B933BA"/>
    <w:rsid w:val="00B93769"/>
    <w:rsid w:val="00B93F40"/>
    <w:rsid w:val="00B9449F"/>
    <w:rsid w:val="00B94AFE"/>
    <w:rsid w:val="00B955A8"/>
    <w:rsid w:val="00B9593F"/>
    <w:rsid w:val="00B9604B"/>
    <w:rsid w:val="00B961ED"/>
    <w:rsid w:val="00B9642E"/>
    <w:rsid w:val="00B96C1C"/>
    <w:rsid w:val="00B97034"/>
    <w:rsid w:val="00B9704F"/>
    <w:rsid w:val="00B97128"/>
    <w:rsid w:val="00B97419"/>
    <w:rsid w:val="00BA0063"/>
    <w:rsid w:val="00BA01EB"/>
    <w:rsid w:val="00BA0F9D"/>
    <w:rsid w:val="00BA291E"/>
    <w:rsid w:val="00BA2D8D"/>
    <w:rsid w:val="00BA2EB7"/>
    <w:rsid w:val="00BA3393"/>
    <w:rsid w:val="00BA390D"/>
    <w:rsid w:val="00BA3AD6"/>
    <w:rsid w:val="00BA413E"/>
    <w:rsid w:val="00BA4570"/>
    <w:rsid w:val="00BA6143"/>
    <w:rsid w:val="00BA6213"/>
    <w:rsid w:val="00BA67D7"/>
    <w:rsid w:val="00BA69DB"/>
    <w:rsid w:val="00BA69F7"/>
    <w:rsid w:val="00BA6F97"/>
    <w:rsid w:val="00BB0B34"/>
    <w:rsid w:val="00BB15A4"/>
    <w:rsid w:val="00BB1763"/>
    <w:rsid w:val="00BB1D9F"/>
    <w:rsid w:val="00BB23F7"/>
    <w:rsid w:val="00BB2690"/>
    <w:rsid w:val="00BB2872"/>
    <w:rsid w:val="00BB2875"/>
    <w:rsid w:val="00BB3C02"/>
    <w:rsid w:val="00BB4106"/>
    <w:rsid w:val="00BB4423"/>
    <w:rsid w:val="00BB45F9"/>
    <w:rsid w:val="00BB4667"/>
    <w:rsid w:val="00BB5646"/>
    <w:rsid w:val="00BB5AA2"/>
    <w:rsid w:val="00BB6629"/>
    <w:rsid w:val="00BB6CDC"/>
    <w:rsid w:val="00BB6FCD"/>
    <w:rsid w:val="00BB7365"/>
    <w:rsid w:val="00BB73CF"/>
    <w:rsid w:val="00BB7B4F"/>
    <w:rsid w:val="00BC001F"/>
    <w:rsid w:val="00BC0675"/>
    <w:rsid w:val="00BC081A"/>
    <w:rsid w:val="00BC08D7"/>
    <w:rsid w:val="00BC09E6"/>
    <w:rsid w:val="00BC1A7C"/>
    <w:rsid w:val="00BC1F7D"/>
    <w:rsid w:val="00BC3934"/>
    <w:rsid w:val="00BC3FCF"/>
    <w:rsid w:val="00BC4117"/>
    <w:rsid w:val="00BC4CD4"/>
    <w:rsid w:val="00BC53D2"/>
    <w:rsid w:val="00BC5849"/>
    <w:rsid w:val="00BC5AE3"/>
    <w:rsid w:val="00BC6562"/>
    <w:rsid w:val="00BC6A32"/>
    <w:rsid w:val="00BC715A"/>
    <w:rsid w:val="00BC7DD7"/>
    <w:rsid w:val="00BD031D"/>
    <w:rsid w:val="00BD06A2"/>
    <w:rsid w:val="00BD0D6D"/>
    <w:rsid w:val="00BD11FD"/>
    <w:rsid w:val="00BD14B3"/>
    <w:rsid w:val="00BD1BEB"/>
    <w:rsid w:val="00BD1DF0"/>
    <w:rsid w:val="00BD1F13"/>
    <w:rsid w:val="00BD1FC9"/>
    <w:rsid w:val="00BD269B"/>
    <w:rsid w:val="00BD29BC"/>
    <w:rsid w:val="00BD3CA0"/>
    <w:rsid w:val="00BD3F21"/>
    <w:rsid w:val="00BD568B"/>
    <w:rsid w:val="00BD57A2"/>
    <w:rsid w:val="00BD5D80"/>
    <w:rsid w:val="00BD5E91"/>
    <w:rsid w:val="00BD6384"/>
    <w:rsid w:val="00BD63B5"/>
    <w:rsid w:val="00BD6837"/>
    <w:rsid w:val="00BD7AA5"/>
    <w:rsid w:val="00BD7D76"/>
    <w:rsid w:val="00BD7DBA"/>
    <w:rsid w:val="00BD7E29"/>
    <w:rsid w:val="00BD7F51"/>
    <w:rsid w:val="00BE02FD"/>
    <w:rsid w:val="00BE15B9"/>
    <w:rsid w:val="00BE1773"/>
    <w:rsid w:val="00BE1AD7"/>
    <w:rsid w:val="00BE1D08"/>
    <w:rsid w:val="00BE20FC"/>
    <w:rsid w:val="00BE21D5"/>
    <w:rsid w:val="00BE2369"/>
    <w:rsid w:val="00BE23A8"/>
    <w:rsid w:val="00BE271C"/>
    <w:rsid w:val="00BE29A0"/>
    <w:rsid w:val="00BE2B41"/>
    <w:rsid w:val="00BE2BBB"/>
    <w:rsid w:val="00BE4253"/>
    <w:rsid w:val="00BE457E"/>
    <w:rsid w:val="00BE4D18"/>
    <w:rsid w:val="00BE5144"/>
    <w:rsid w:val="00BE52D5"/>
    <w:rsid w:val="00BE542D"/>
    <w:rsid w:val="00BE55D1"/>
    <w:rsid w:val="00BE59A0"/>
    <w:rsid w:val="00BE5B73"/>
    <w:rsid w:val="00BE6988"/>
    <w:rsid w:val="00BE6DE5"/>
    <w:rsid w:val="00BE7A0A"/>
    <w:rsid w:val="00BE7DDD"/>
    <w:rsid w:val="00BF00DC"/>
    <w:rsid w:val="00BF0E19"/>
    <w:rsid w:val="00BF1DED"/>
    <w:rsid w:val="00BF1EF9"/>
    <w:rsid w:val="00BF2CBF"/>
    <w:rsid w:val="00BF3B4B"/>
    <w:rsid w:val="00BF3DEB"/>
    <w:rsid w:val="00BF454A"/>
    <w:rsid w:val="00BF5947"/>
    <w:rsid w:val="00BF61B2"/>
    <w:rsid w:val="00BF6652"/>
    <w:rsid w:val="00BF66C5"/>
    <w:rsid w:val="00BF6884"/>
    <w:rsid w:val="00BF7689"/>
    <w:rsid w:val="00BF7FEC"/>
    <w:rsid w:val="00C00030"/>
    <w:rsid w:val="00C00156"/>
    <w:rsid w:val="00C00B1C"/>
    <w:rsid w:val="00C015AB"/>
    <w:rsid w:val="00C02201"/>
    <w:rsid w:val="00C023C7"/>
    <w:rsid w:val="00C02913"/>
    <w:rsid w:val="00C02AEA"/>
    <w:rsid w:val="00C02EA5"/>
    <w:rsid w:val="00C02F5A"/>
    <w:rsid w:val="00C03024"/>
    <w:rsid w:val="00C03060"/>
    <w:rsid w:val="00C031BB"/>
    <w:rsid w:val="00C03242"/>
    <w:rsid w:val="00C042E5"/>
    <w:rsid w:val="00C0437D"/>
    <w:rsid w:val="00C04612"/>
    <w:rsid w:val="00C04875"/>
    <w:rsid w:val="00C05477"/>
    <w:rsid w:val="00C05BE4"/>
    <w:rsid w:val="00C05C53"/>
    <w:rsid w:val="00C05E81"/>
    <w:rsid w:val="00C06EA2"/>
    <w:rsid w:val="00C06F05"/>
    <w:rsid w:val="00C07622"/>
    <w:rsid w:val="00C11639"/>
    <w:rsid w:val="00C11B09"/>
    <w:rsid w:val="00C11D54"/>
    <w:rsid w:val="00C12064"/>
    <w:rsid w:val="00C12BBA"/>
    <w:rsid w:val="00C130D8"/>
    <w:rsid w:val="00C13945"/>
    <w:rsid w:val="00C16407"/>
    <w:rsid w:val="00C16B98"/>
    <w:rsid w:val="00C17057"/>
    <w:rsid w:val="00C17A2A"/>
    <w:rsid w:val="00C17C6A"/>
    <w:rsid w:val="00C20A92"/>
    <w:rsid w:val="00C20B47"/>
    <w:rsid w:val="00C2112F"/>
    <w:rsid w:val="00C211A4"/>
    <w:rsid w:val="00C21307"/>
    <w:rsid w:val="00C21423"/>
    <w:rsid w:val="00C214C8"/>
    <w:rsid w:val="00C217DE"/>
    <w:rsid w:val="00C21958"/>
    <w:rsid w:val="00C21B1D"/>
    <w:rsid w:val="00C22058"/>
    <w:rsid w:val="00C220A0"/>
    <w:rsid w:val="00C22EBC"/>
    <w:rsid w:val="00C22F26"/>
    <w:rsid w:val="00C2411D"/>
    <w:rsid w:val="00C2458A"/>
    <w:rsid w:val="00C24D4C"/>
    <w:rsid w:val="00C24E6C"/>
    <w:rsid w:val="00C24F11"/>
    <w:rsid w:val="00C25160"/>
    <w:rsid w:val="00C25409"/>
    <w:rsid w:val="00C2606D"/>
    <w:rsid w:val="00C269AE"/>
    <w:rsid w:val="00C27091"/>
    <w:rsid w:val="00C27105"/>
    <w:rsid w:val="00C277D9"/>
    <w:rsid w:val="00C27CF0"/>
    <w:rsid w:val="00C30665"/>
    <w:rsid w:val="00C31010"/>
    <w:rsid w:val="00C31AA9"/>
    <w:rsid w:val="00C31E42"/>
    <w:rsid w:val="00C3228C"/>
    <w:rsid w:val="00C33651"/>
    <w:rsid w:val="00C3395B"/>
    <w:rsid w:val="00C33C4B"/>
    <w:rsid w:val="00C34213"/>
    <w:rsid w:val="00C3423F"/>
    <w:rsid w:val="00C34893"/>
    <w:rsid w:val="00C34F3C"/>
    <w:rsid w:val="00C34FFD"/>
    <w:rsid w:val="00C353E3"/>
    <w:rsid w:val="00C3550C"/>
    <w:rsid w:val="00C366C7"/>
    <w:rsid w:val="00C36A99"/>
    <w:rsid w:val="00C36AD6"/>
    <w:rsid w:val="00C36E7F"/>
    <w:rsid w:val="00C376D7"/>
    <w:rsid w:val="00C37F83"/>
    <w:rsid w:val="00C4026B"/>
    <w:rsid w:val="00C4056F"/>
    <w:rsid w:val="00C405F2"/>
    <w:rsid w:val="00C4096E"/>
    <w:rsid w:val="00C413E1"/>
    <w:rsid w:val="00C41B89"/>
    <w:rsid w:val="00C43554"/>
    <w:rsid w:val="00C43B36"/>
    <w:rsid w:val="00C44A33"/>
    <w:rsid w:val="00C44C40"/>
    <w:rsid w:val="00C456F3"/>
    <w:rsid w:val="00C45736"/>
    <w:rsid w:val="00C45A82"/>
    <w:rsid w:val="00C45D2F"/>
    <w:rsid w:val="00C45D9F"/>
    <w:rsid w:val="00C46EDD"/>
    <w:rsid w:val="00C47FC9"/>
    <w:rsid w:val="00C50160"/>
    <w:rsid w:val="00C5072F"/>
    <w:rsid w:val="00C5176E"/>
    <w:rsid w:val="00C51E1B"/>
    <w:rsid w:val="00C52266"/>
    <w:rsid w:val="00C5241A"/>
    <w:rsid w:val="00C527E7"/>
    <w:rsid w:val="00C52B5A"/>
    <w:rsid w:val="00C52B7B"/>
    <w:rsid w:val="00C52C04"/>
    <w:rsid w:val="00C52CEF"/>
    <w:rsid w:val="00C52D64"/>
    <w:rsid w:val="00C52DC1"/>
    <w:rsid w:val="00C532F3"/>
    <w:rsid w:val="00C5331E"/>
    <w:rsid w:val="00C53EEB"/>
    <w:rsid w:val="00C543F6"/>
    <w:rsid w:val="00C54408"/>
    <w:rsid w:val="00C5444D"/>
    <w:rsid w:val="00C549FF"/>
    <w:rsid w:val="00C55717"/>
    <w:rsid w:val="00C560C2"/>
    <w:rsid w:val="00C56C70"/>
    <w:rsid w:val="00C56E00"/>
    <w:rsid w:val="00C56E81"/>
    <w:rsid w:val="00C5753D"/>
    <w:rsid w:val="00C57887"/>
    <w:rsid w:val="00C57F64"/>
    <w:rsid w:val="00C60985"/>
    <w:rsid w:val="00C60C40"/>
    <w:rsid w:val="00C6118D"/>
    <w:rsid w:val="00C625E2"/>
    <w:rsid w:val="00C627ED"/>
    <w:rsid w:val="00C6399F"/>
    <w:rsid w:val="00C64104"/>
    <w:rsid w:val="00C64744"/>
    <w:rsid w:val="00C64D65"/>
    <w:rsid w:val="00C64DEE"/>
    <w:rsid w:val="00C65799"/>
    <w:rsid w:val="00C65936"/>
    <w:rsid w:val="00C65DC3"/>
    <w:rsid w:val="00C65EFA"/>
    <w:rsid w:val="00C664EF"/>
    <w:rsid w:val="00C673DF"/>
    <w:rsid w:val="00C67446"/>
    <w:rsid w:val="00C677DE"/>
    <w:rsid w:val="00C67B81"/>
    <w:rsid w:val="00C67CCC"/>
    <w:rsid w:val="00C67D56"/>
    <w:rsid w:val="00C70566"/>
    <w:rsid w:val="00C70AB7"/>
    <w:rsid w:val="00C7160D"/>
    <w:rsid w:val="00C71A31"/>
    <w:rsid w:val="00C722B3"/>
    <w:rsid w:val="00C72443"/>
    <w:rsid w:val="00C72949"/>
    <w:rsid w:val="00C7296E"/>
    <w:rsid w:val="00C73369"/>
    <w:rsid w:val="00C735D2"/>
    <w:rsid w:val="00C73646"/>
    <w:rsid w:val="00C74541"/>
    <w:rsid w:val="00C746D7"/>
    <w:rsid w:val="00C752F5"/>
    <w:rsid w:val="00C754C8"/>
    <w:rsid w:val="00C7609D"/>
    <w:rsid w:val="00C7695D"/>
    <w:rsid w:val="00C76F12"/>
    <w:rsid w:val="00C770A4"/>
    <w:rsid w:val="00C771E8"/>
    <w:rsid w:val="00C77674"/>
    <w:rsid w:val="00C803E2"/>
    <w:rsid w:val="00C80E64"/>
    <w:rsid w:val="00C80EC2"/>
    <w:rsid w:val="00C80F99"/>
    <w:rsid w:val="00C812E9"/>
    <w:rsid w:val="00C81CA2"/>
    <w:rsid w:val="00C820DC"/>
    <w:rsid w:val="00C828AA"/>
    <w:rsid w:val="00C83409"/>
    <w:rsid w:val="00C835A5"/>
    <w:rsid w:val="00C83803"/>
    <w:rsid w:val="00C8386C"/>
    <w:rsid w:val="00C83BD6"/>
    <w:rsid w:val="00C83E14"/>
    <w:rsid w:val="00C840D1"/>
    <w:rsid w:val="00C84567"/>
    <w:rsid w:val="00C84EB8"/>
    <w:rsid w:val="00C856A0"/>
    <w:rsid w:val="00C85989"/>
    <w:rsid w:val="00C85F48"/>
    <w:rsid w:val="00C86533"/>
    <w:rsid w:val="00C865C1"/>
    <w:rsid w:val="00C867B4"/>
    <w:rsid w:val="00C86956"/>
    <w:rsid w:val="00C86B58"/>
    <w:rsid w:val="00C86F46"/>
    <w:rsid w:val="00C87218"/>
    <w:rsid w:val="00C87E95"/>
    <w:rsid w:val="00C906CC"/>
    <w:rsid w:val="00C90773"/>
    <w:rsid w:val="00C90A4E"/>
    <w:rsid w:val="00C9124D"/>
    <w:rsid w:val="00C91ECB"/>
    <w:rsid w:val="00C91F04"/>
    <w:rsid w:val="00C91F0B"/>
    <w:rsid w:val="00C92372"/>
    <w:rsid w:val="00C92617"/>
    <w:rsid w:val="00C929C1"/>
    <w:rsid w:val="00C93698"/>
    <w:rsid w:val="00C94AE1"/>
    <w:rsid w:val="00C94B9D"/>
    <w:rsid w:val="00C94D68"/>
    <w:rsid w:val="00C94E25"/>
    <w:rsid w:val="00C95911"/>
    <w:rsid w:val="00C95B10"/>
    <w:rsid w:val="00C95C01"/>
    <w:rsid w:val="00C96CD6"/>
    <w:rsid w:val="00C96E16"/>
    <w:rsid w:val="00C9799E"/>
    <w:rsid w:val="00CA037B"/>
    <w:rsid w:val="00CA121B"/>
    <w:rsid w:val="00CA1596"/>
    <w:rsid w:val="00CA1CB1"/>
    <w:rsid w:val="00CA2257"/>
    <w:rsid w:val="00CA243C"/>
    <w:rsid w:val="00CA2654"/>
    <w:rsid w:val="00CA308F"/>
    <w:rsid w:val="00CA356F"/>
    <w:rsid w:val="00CA3670"/>
    <w:rsid w:val="00CA39D2"/>
    <w:rsid w:val="00CA3EC4"/>
    <w:rsid w:val="00CA4822"/>
    <w:rsid w:val="00CA4D58"/>
    <w:rsid w:val="00CA5138"/>
    <w:rsid w:val="00CA52B4"/>
    <w:rsid w:val="00CA5487"/>
    <w:rsid w:val="00CA54EC"/>
    <w:rsid w:val="00CA5AE9"/>
    <w:rsid w:val="00CA67CE"/>
    <w:rsid w:val="00CA67EF"/>
    <w:rsid w:val="00CA681D"/>
    <w:rsid w:val="00CA6932"/>
    <w:rsid w:val="00CA78D6"/>
    <w:rsid w:val="00CA7D93"/>
    <w:rsid w:val="00CB03B1"/>
    <w:rsid w:val="00CB0D0C"/>
    <w:rsid w:val="00CB110D"/>
    <w:rsid w:val="00CB121C"/>
    <w:rsid w:val="00CB167B"/>
    <w:rsid w:val="00CB181F"/>
    <w:rsid w:val="00CB2757"/>
    <w:rsid w:val="00CB2813"/>
    <w:rsid w:val="00CB295D"/>
    <w:rsid w:val="00CB2B53"/>
    <w:rsid w:val="00CB2BF3"/>
    <w:rsid w:val="00CB2CD5"/>
    <w:rsid w:val="00CB2E22"/>
    <w:rsid w:val="00CB2F41"/>
    <w:rsid w:val="00CB35CC"/>
    <w:rsid w:val="00CB363F"/>
    <w:rsid w:val="00CB3F97"/>
    <w:rsid w:val="00CB41A6"/>
    <w:rsid w:val="00CB4992"/>
    <w:rsid w:val="00CB51F6"/>
    <w:rsid w:val="00CB566F"/>
    <w:rsid w:val="00CB5856"/>
    <w:rsid w:val="00CB5BA0"/>
    <w:rsid w:val="00CB5C72"/>
    <w:rsid w:val="00CB660B"/>
    <w:rsid w:val="00CB6CDB"/>
    <w:rsid w:val="00CB6DE9"/>
    <w:rsid w:val="00CB7467"/>
    <w:rsid w:val="00CB74E9"/>
    <w:rsid w:val="00CB7CF4"/>
    <w:rsid w:val="00CC001F"/>
    <w:rsid w:val="00CC0340"/>
    <w:rsid w:val="00CC037C"/>
    <w:rsid w:val="00CC06D1"/>
    <w:rsid w:val="00CC06EE"/>
    <w:rsid w:val="00CC09B4"/>
    <w:rsid w:val="00CC0B29"/>
    <w:rsid w:val="00CC0BE7"/>
    <w:rsid w:val="00CC0E8F"/>
    <w:rsid w:val="00CC192A"/>
    <w:rsid w:val="00CC19CF"/>
    <w:rsid w:val="00CC1D04"/>
    <w:rsid w:val="00CC218E"/>
    <w:rsid w:val="00CC2F33"/>
    <w:rsid w:val="00CC3149"/>
    <w:rsid w:val="00CC3345"/>
    <w:rsid w:val="00CC3D21"/>
    <w:rsid w:val="00CC4515"/>
    <w:rsid w:val="00CC46D2"/>
    <w:rsid w:val="00CC47FC"/>
    <w:rsid w:val="00CC4B50"/>
    <w:rsid w:val="00CC4F3B"/>
    <w:rsid w:val="00CC61AF"/>
    <w:rsid w:val="00CC6369"/>
    <w:rsid w:val="00CC63A0"/>
    <w:rsid w:val="00CC74EB"/>
    <w:rsid w:val="00CC78E1"/>
    <w:rsid w:val="00CC7B93"/>
    <w:rsid w:val="00CC7E24"/>
    <w:rsid w:val="00CD067D"/>
    <w:rsid w:val="00CD0836"/>
    <w:rsid w:val="00CD09C2"/>
    <w:rsid w:val="00CD0FA0"/>
    <w:rsid w:val="00CD1082"/>
    <w:rsid w:val="00CD1735"/>
    <w:rsid w:val="00CD1D58"/>
    <w:rsid w:val="00CD1DE8"/>
    <w:rsid w:val="00CD2877"/>
    <w:rsid w:val="00CD2A40"/>
    <w:rsid w:val="00CD3552"/>
    <w:rsid w:val="00CD3C7B"/>
    <w:rsid w:val="00CD3F41"/>
    <w:rsid w:val="00CD4429"/>
    <w:rsid w:val="00CD48A7"/>
    <w:rsid w:val="00CD4F92"/>
    <w:rsid w:val="00CD5379"/>
    <w:rsid w:val="00CD5481"/>
    <w:rsid w:val="00CD5505"/>
    <w:rsid w:val="00CD5DAD"/>
    <w:rsid w:val="00CD6999"/>
    <w:rsid w:val="00CD70C2"/>
    <w:rsid w:val="00CD7BFA"/>
    <w:rsid w:val="00CD7DA2"/>
    <w:rsid w:val="00CD7DD8"/>
    <w:rsid w:val="00CD7DFE"/>
    <w:rsid w:val="00CE0403"/>
    <w:rsid w:val="00CE046E"/>
    <w:rsid w:val="00CE04C5"/>
    <w:rsid w:val="00CE25BA"/>
    <w:rsid w:val="00CE2810"/>
    <w:rsid w:val="00CE34E7"/>
    <w:rsid w:val="00CE3D67"/>
    <w:rsid w:val="00CE3EC7"/>
    <w:rsid w:val="00CE43C1"/>
    <w:rsid w:val="00CE48B5"/>
    <w:rsid w:val="00CE5258"/>
    <w:rsid w:val="00CE5706"/>
    <w:rsid w:val="00CE586F"/>
    <w:rsid w:val="00CE5B88"/>
    <w:rsid w:val="00CE5D19"/>
    <w:rsid w:val="00CE5FA4"/>
    <w:rsid w:val="00CE6A81"/>
    <w:rsid w:val="00CE6B93"/>
    <w:rsid w:val="00CE6F37"/>
    <w:rsid w:val="00CE7B26"/>
    <w:rsid w:val="00CF0DCC"/>
    <w:rsid w:val="00CF14A0"/>
    <w:rsid w:val="00CF1CDF"/>
    <w:rsid w:val="00CF1D8A"/>
    <w:rsid w:val="00CF23F3"/>
    <w:rsid w:val="00CF26D6"/>
    <w:rsid w:val="00CF27DD"/>
    <w:rsid w:val="00CF2C12"/>
    <w:rsid w:val="00CF385C"/>
    <w:rsid w:val="00CF3CAA"/>
    <w:rsid w:val="00CF3EBC"/>
    <w:rsid w:val="00CF474F"/>
    <w:rsid w:val="00CF4DA3"/>
    <w:rsid w:val="00CF5A60"/>
    <w:rsid w:val="00CF5D5C"/>
    <w:rsid w:val="00CF5E5B"/>
    <w:rsid w:val="00CF617E"/>
    <w:rsid w:val="00CF6939"/>
    <w:rsid w:val="00CF6AB3"/>
    <w:rsid w:val="00CF6BEB"/>
    <w:rsid w:val="00CF71C4"/>
    <w:rsid w:val="00CF73EA"/>
    <w:rsid w:val="00D000B4"/>
    <w:rsid w:val="00D0049F"/>
    <w:rsid w:val="00D004BA"/>
    <w:rsid w:val="00D00F1B"/>
    <w:rsid w:val="00D01672"/>
    <w:rsid w:val="00D0186F"/>
    <w:rsid w:val="00D01B47"/>
    <w:rsid w:val="00D02392"/>
    <w:rsid w:val="00D02C6C"/>
    <w:rsid w:val="00D02D92"/>
    <w:rsid w:val="00D032F4"/>
    <w:rsid w:val="00D032FE"/>
    <w:rsid w:val="00D03867"/>
    <w:rsid w:val="00D03B9C"/>
    <w:rsid w:val="00D044D7"/>
    <w:rsid w:val="00D058AE"/>
    <w:rsid w:val="00D05CB1"/>
    <w:rsid w:val="00D0609F"/>
    <w:rsid w:val="00D0616D"/>
    <w:rsid w:val="00D065BC"/>
    <w:rsid w:val="00D0714A"/>
    <w:rsid w:val="00D07B21"/>
    <w:rsid w:val="00D07BA9"/>
    <w:rsid w:val="00D07D84"/>
    <w:rsid w:val="00D1006D"/>
    <w:rsid w:val="00D10193"/>
    <w:rsid w:val="00D10457"/>
    <w:rsid w:val="00D10B56"/>
    <w:rsid w:val="00D110CF"/>
    <w:rsid w:val="00D11210"/>
    <w:rsid w:val="00D112C6"/>
    <w:rsid w:val="00D1180E"/>
    <w:rsid w:val="00D11869"/>
    <w:rsid w:val="00D1186A"/>
    <w:rsid w:val="00D11AEB"/>
    <w:rsid w:val="00D11F50"/>
    <w:rsid w:val="00D11FA5"/>
    <w:rsid w:val="00D123E8"/>
    <w:rsid w:val="00D12A5A"/>
    <w:rsid w:val="00D13788"/>
    <w:rsid w:val="00D13D0D"/>
    <w:rsid w:val="00D13E15"/>
    <w:rsid w:val="00D1476A"/>
    <w:rsid w:val="00D148FE"/>
    <w:rsid w:val="00D14F77"/>
    <w:rsid w:val="00D15062"/>
    <w:rsid w:val="00D15964"/>
    <w:rsid w:val="00D15AB3"/>
    <w:rsid w:val="00D16063"/>
    <w:rsid w:val="00D161C7"/>
    <w:rsid w:val="00D16565"/>
    <w:rsid w:val="00D173C2"/>
    <w:rsid w:val="00D17EA8"/>
    <w:rsid w:val="00D17EB5"/>
    <w:rsid w:val="00D201C3"/>
    <w:rsid w:val="00D20296"/>
    <w:rsid w:val="00D20DD0"/>
    <w:rsid w:val="00D21716"/>
    <w:rsid w:val="00D21A17"/>
    <w:rsid w:val="00D21AD0"/>
    <w:rsid w:val="00D22348"/>
    <w:rsid w:val="00D232CE"/>
    <w:rsid w:val="00D23325"/>
    <w:rsid w:val="00D234A6"/>
    <w:rsid w:val="00D234DD"/>
    <w:rsid w:val="00D238F2"/>
    <w:rsid w:val="00D239A4"/>
    <w:rsid w:val="00D23E0F"/>
    <w:rsid w:val="00D24B70"/>
    <w:rsid w:val="00D24D0F"/>
    <w:rsid w:val="00D25446"/>
    <w:rsid w:val="00D25AAD"/>
    <w:rsid w:val="00D26224"/>
    <w:rsid w:val="00D267B6"/>
    <w:rsid w:val="00D26A46"/>
    <w:rsid w:val="00D26B8D"/>
    <w:rsid w:val="00D26CFB"/>
    <w:rsid w:val="00D271B6"/>
    <w:rsid w:val="00D27B20"/>
    <w:rsid w:val="00D30826"/>
    <w:rsid w:val="00D30A18"/>
    <w:rsid w:val="00D31396"/>
    <w:rsid w:val="00D31EC4"/>
    <w:rsid w:val="00D328DE"/>
    <w:rsid w:val="00D339B3"/>
    <w:rsid w:val="00D343F5"/>
    <w:rsid w:val="00D34845"/>
    <w:rsid w:val="00D34BE1"/>
    <w:rsid w:val="00D352C4"/>
    <w:rsid w:val="00D35510"/>
    <w:rsid w:val="00D35A75"/>
    <w:rsid w:val="00D35C62"/>
    <w:rsid w:val="00D35C78"/>
    <w:rsid w:val="00D360E9"/>
    <w:rsid w:val="00D365A1"/>
    <w:rsid w:val="00D365FC"/>
    <w:rsid w:val="00D3693E"/>
    <w:rsid w:val="00D37E44"/>
    <w:rsid w:val="00D40184"/>
    <w:rsid w:val="00D4020D"/>
    <w:rsid w:val="00D40292"/>
    <w:rsid w:val="00D40492"/>
    <w:rsid w:val="00D409C1"/>
    <w:rsid w:val="00D40F17"/>
    <w:rsid w:val="00D41204"/>
    <w:rsid w:val="00D412E3"/>
    <w:rsid w:val="00D41A86"/>
    <w:rsid w:val="00D41DC9"/>
    <w:rsid w:val="00D422A1"/>
    <w:rsid w:val="00D429A9"/>
    <w:rsid w:val="00D42EC4"/>
    <w:rsid w:val="00D435B4"/>
    <w:rsid w:val="00D43708"/>
    <w:rsid w:val="00D43D19"/>
    <w:rsid w:val="00D441D6"/>
    <w:rsid w:val="00D44326"/>
    <w:rsid w:val="00D44719"/>
    <w:rsid w:val="00D44B76"/>
    <w:rsid w:val="00D44CB3"/>
    <w:rsid w:val="00D452BE"/>
    <w:rsid w:val="00D45B57"/>
    <w:rsid w:val="00D45F49"/>
    <w:rsid w:val="00D45FF9"/>
    <w:rsid w:val="00D46054"/>
    <w:rsid w:val="00D46164"/>
    <w:rsid w:val="00D462FD"/>
    <w:rsid w:val="00D47B35"/>
    <w:rsid w:val="00D47D1B"/>
    <w:rsid w:val="00D47D46"/>
    <w:rsid w:val="00D50C03"/>
    <w:rsid w:val="00D5172B"/>
    <w:rsid w:val="00D51AD1"/>
    <w:rsid w:val="00D51FEB"/>
    <w:rsid w:val="00D5212F"/>
    <w:rsid w:val="00D524F7"/>
    <w:rsid w:val="00D53264"/>
    <w:rsid w:val="00D532DA"/>
    <w:rsid w:val="00D5356E"/>
    <w:rsid w:val="00D54B92"/>
    <w:rsid w:val="00D5571B"/>
    <w:rsid w:val="00D55907"/>
    <w:rsid w:val="00D55994"/>
    <w:rsid w:val="00D55FAD"/>
    <w:rsid w:val="00D56D05"/>
    <w:rsid w:val="00D56E80"/>
    <w:rsid w:val="00D571E1"/>
    <w:rsid w:val="00D57638"/>
    <w:rsid w:val="00D57C9A"/>
    <w:rsid w:val="00D57D22"/>
    <w:rsid w:val="00D6008D"/>
    <w:rsid w:val="00D6068C"/>
    <w:rsid w:val="00D6079A"/>
    <w:rsid w:val="00D60CB1"/>
    <w:rsid w:val="00D60F7E"/>
    <w:rsid w:val="00D61571"/>
    <w:rsid w:val="00D61A70"/>
    <w:rsid w:val="00D62348"/>
    <w:rsid w:val="00D63131"/>
    <w:rsid w:val="00D63207"/>
    <w:rsid w:val="00D63C15"/>
    <w:rsid w:val="00D63E4A"/>
    <w:rsid w:val="00D64A3F"/>
    <w:rsid w:val="00D650B0"/>
    <w:rsid w:val="00D65941"/>
    <w:rsid w:val="00D65AA8"/>
    <w:rsid w:val="00D65B94"/>
    <w:rsid w:val="00D66383"/>
    <w:rsid w:val="00D66FE8"/>
    <w:rsid w:val="00D67193"/>
    <w:rsid w:val="00D701E6"/>
    <w:rsid w:val="00D70246"/>
    <w:rsid w:val="00D7044E"/>
    <w:rsid w:val="00D707D4"/>
    <w:rsid w:val="00D70967"/>
    <w:rsid w:val="00D70E0B"/>
    <w:rsid w:val="00D71649"/>
    <w:rsid w:val="00D718BA"/>
    <w:rsid w:val="00D71AC7"/>
    <w:rsid w:val="00D71F87"/>
    <w:rsid w:val="00D72B51"/>
    <w:rsid w:val="00D733DB"/>
    <w:rsid w:val="00D734CD"/>
    <w:rsid w:val="00D7370F"/>
    <w:rsid w:val="00D7374F"/>
    <w:rsid w:val="00D7377F"/>
    <w:rsid w:val="00D73B7C"/>
    <w:rsid w:val="00D74077"/>
    <w:rsid w:val="00D74CF5"/>
    <w:rsid w:val="00D751C3"/>
    <w:rsid w:val="00D751F5"/>
    <w:rsid w:val="00D75D3E"/>
    <w:rsid w:val="00D75F3C"/>
    <w:rsid w:val="00D76019"/>
    <w:rsid w:val="00D76844"/>
    <w:rsid w:val="00D76A57"/>
    <w:rsid w:val="00D77092"/>
    <w:rsid w:val="00D77707"/>
    <w:rsid w:val="00D77AAE"/>
    <w:rsid w:val="00D77C9E"/>
    <w:rsid w:val="00D80355"/>
    <w:rsid w:val="00D806CD"/>
    <w:rsid w:val="00D81BFF"/>
    <w:rsid w:val="00D81F6E"/>
    <w:rsid w:val="00D8217E"/>
    <w:rsid w:val="00D822E7"/>
    <w:rsid w:val="00D8255D"/>
    <w:rsid w:val="00D8283E"/>
    <w:rsid w:val="00D82C97"/>
    <w:rsid w:val="00D83530"/>
    <w:rsid w:val="00D84A58"/>
    <w:rsid w:val="00D85C67"/>
    <w:rsid w:val="00D865B4"/>
    <w:rsid w:val="00D86ED6"/>
    <w:rsid w:val="00D8713E"/>
    <w:rsid w:val="00D87F61"/>
    <w:rsid w:val="00D90302"/>
    <w:rsid w:val="00D91EFA"/>
    <w:rsid w:val="00D920A8"/>
    <w:rsid w:val="00D924C4"/>
    <w:rsid w:val="00D929CA"/>
    <w:rsid w:val="00D93325"/>
    <w:rsid w:val="00D93B15"/>
    <w:rsid w:val="00D93D6F"/>
    <w:rsid w:val="00D940D5"/>
    <w:rsid w:val="00D94770"/>
    <w:rsid w:val="00D94A81"/>
    <w:rsid w:val="00D94C18"/>
    <w:rsid w:val="00D9502A"/>
    <w:rsid w:val="00D9504F"/>
    <w:rsid w:val="00D951DA"/>
    <w:rsid w:val="00D951DE"/>
    <w:rsid w:val="00D9532F"/>
    <w:rsid w:val="00D954AD"/>
    <w:rsid w:val="00D95BB9"/>
    <w:rsid w:val="00D95F20"/>
    <w:rsid w:val="00D96719"/>
    <w:rsid w:val="00D96BC3"/>
    <w:rsid w:val="00D96D86"/>
    <w:rsid w:val="00D97408"/>
    <w:rsid w:val="00D97581"/>
    <w:rsid w:val="00D977B3"/>
    <w:rsid w:val="00D97E54"/>
    <w:rsid w:val="00D97ECF"/>
    <w:rsid w:val="00DA04C0"/>
    <w:rsid w:val="00DA07B8"/>
    <w:rsid w:val="00DA0F56"/>
    <w:rsid w:val="00DA155F"/>
    <w:rsid w:val="00DA25FC"/>
    <w:rsid w:val="00DA279B"/>
    <w:rsid w:val="00DA27C9"/>
    <w:rsid w:val="00DA290E"/>
    <w:rsid w:val="00DA2919"/>
    <w:rsid w:val="00DA365E"/>
    <w:rsid w:val="00DA3F9E"/>
    <w:rsid w:val="00DA46B6"/>
    <w:rsid w:val="00DA4DB1"/>
    <w:rsid w:val="00DA5509"/>
    <w:rsid w:val="00DA57EF"/>
    <w:rsid w:val="00DA62CA"/>
    <w:rsid w:val="00DA6424"/>
    <w:rsid w:val="00DA75CA"/>
    <w:rsid w:val="00DA7B42"/>
    <w:rsid w:val="00DA7E2B"/>
    <w:rsid w:val="00DA7EE0"/>
    <w:rsid w:val="00DB0059"/>
    <w:rsid w:val="00DB070B"/>
    <w:rsid w:val="00DB0729"/>
    <w:rsid w:val="00DB07FE"/>
    <w:rsid w:val="00DB1098"/>
    <w:rsid w:val="00DB12C4"/>
    <w:rsid w:val="00DB1556"/>
    <w:rsid w:val="00DB19DC"/>
    <w:rsid w:val="00DB1A6A"/>
    <w:rsid w:val="00DB1E3F"/>
    <w:rsid w:val="00DB21E9"/>
    <w:rsid w:val="00DB242F"/>
    <w:rsid w:val="00DB2A98"/>
    <w:rsid w:val="00DB3513"/>
    <w:rsid w:val="00DB3DDE"/>
    <w:rsid w:val="00DB41D8"/>
    <w:rsid w:val="00DB42F6"/>
    <w:rsid w:val="00DB4353"/>
    <w:rsid w:val="00DB4CB8"/>
    <w:rsid w:val="00DB507B"/>
    <w:rsid w:val="00DB5586"/>
    <w:rsid w:val="00DB5D26"/>
    <w:rsid w:val="00DB60EB"/>
    <w:rsid w:val="00DB6610"/>
    <w:rsid w:val="00DB6A43"/>
    <w:rsid w:val="00DB6B20"/>
    <w:rsid w:val="00DB7081"/>
    <w:rsid w:val="00DB719E"/>
    <w:rsid w:val="00DB74BA"/>
    <w:rsid w:val="00DB7560"/>
    <w:rsid w:val="00DB7A15"/>
    <w:rsid w:val="00DB7B0E"/>
    <w:rsid w:val="00DC0007"/>
    <w:rsid w:val="00DC01C5"/>
    <w:rsid w:val="00DC098C"/>
    <w:rsid w:val="00DC1547"/>
    <w:rsid w:val="00DC17A1"/>
    <w:rsid w:val="00DC1805"/>
    <w:rsid w:val="00DC29A6"/>
    <w:rsid w:val="00DC2C8C"/>
    <w:rsid w:val="00DC2F39"/>
    <w:rsid w:val="00DC33BF"/>
    <w:rsid w:val="00DC397C"/>
    <w:rsid w:val="00DC4B10"/>
    <w:rsid w:val="00DC4D2D"/>
    <w:rsid w:val="00DC4D5D"/>
    <w:rsid w:val="00DC5A36"/>
    <w:rsid w:val="00DC5BE6"/>
    <w:rsid w:val="00DC5CFE"/>
    <w:rsid w:val="00DC636E"/>
    <w:rsid w:val="00DC6A10"/>
    <w:rsid w:val="00DC6F5E"/>
    <w:rsid w:val="00DC7789"/>
    <w:rsid w:val="00DC7A24"/>
    <w:rsid w:val="00DD0537"/>
    <w:rsid w:val="00DD06F7"/>
    <w:rsid w:val="00DD0BF0"/>
    <w:rsid w:val="00DD17C9"/>
    <w:rsid w:val="00DD2278"/>
    <w:rsid w:val="00DD240C"/>
    <w:rsid w:val="00DD25ED"/>
    <w:rsid w:val="00DD297F"/>
    <w:rsid w:val="00DD2B04"/>
    <w:rsid w:val="00DD3367"/>
    <w:rsid w:val="00DD37DF"/>
    <w:rsid w:val="00DD3929"/>
    <w:rsid w:val="00DD39E5"/>
    <w:rsid w:val="00DD41FB"/>
    <w:rsid w:val="00DD43B0"/>
    <w:rsid w:val="00DD46A4"/>
    <w:rsid w:val="00DD4C68"/>
    <w:rsid w:val="00DD4F65"/>
    <w:rsid w:val="00DD5347"/>
    <w:rsid w:val="00DD5684"/>
    <w:rsid w:val="00DD58E7"/>
    <w:rsid w:val="00DD5B44"/>
    <w:rsid w:val="00DD60DD"/>
    <w:rsid w:val="00DD62D5"/>
    <w:rsid w:val="00DD65BA"/>
    <w:rsid w:val="00DD6709"/>
    <w:rsid w:val="00DD6B6D"/>
    <w:rsid w:val="00DD70CE"/>
    <w:rsid w:val="00DD7A2A"/>
    <w:rsid w:val="00DE0637"/>
    <w:rsid w:val="00DE0E7B"/>
    <w:rsid w:val="00DE1424"/>
    <w:rsid w:val="00DE1583"/>
    <w:rsid w:val="00DE185E"/>
    <w:rsid w:val="00DE19DE"/>
    <w:rsid w:val="00DE2509"/>
    <w:rsid w:val="00DE2633"/>
    <w:rsid w:val="00DE2695"/>
    <w:rsid w:val="00DE2945"/>
    <w:rsid w:val="00DE2CB5"/>
    <w:rsid w:val="00DE2D46"/>
    <w:rsid w:val="00DE335A"/>
    <w:rsid w:val="00DE3624"/>
    <w:rsid w:val="00DE40AF"/>
    <w:rsid w:val="00DE40D7"/>
    <w:rsid w:val="00DE4FEF"/>
    <w:rsid w:val="00DE51D5"/>
    <w:rsid w:val="00DE56AB"/>
    <w:rsid w:val="00DE57F5"/>
    <w:rsid w:val="00DE5850"/>
    <w:rsid w:val="00DE5A85"/>
    <w:rsid w:val="00DE5E86"/>
    <w:rsid w:val="00DE663F"/>
    <w:rsid w:val="00DE7042"/>
    <w:rsid w:val="00DE7229"/>
    <w:rsid w:val="00DE75C1"/>
    <w:rsid w:val="00DE7667"/>
    <w:rsid w:val="00DE77CF"/>
    <w:rsid w:val="00DE7C79"/>
    <w:rsid w:val="00DE7FD3"/>
    <w:rsid w:val="00DF0399"/>
    <w:rsid w:val="00DF0619"/>
    <w:rsid w:val="00DF12B2"/>
    <w:rsid w:val="00DF14A9"/>
    <w:rsid w:val="00DF14C1"/>
    <w:rsid w:val="00DF14EC"/>
    <w:rsid w:val="00DF1886"/>
    <w:rsid w:val="00DF1CC3"/>
    <w:rsid w:val="00DF21DA"/>
    <w:rsid w:val="00DF257A"/>
    <w:rsid w:val="00DF263C"/>
    <w:rsid w:val="00DF2909"/>
    <w:rsid w:val="00DF296F"/>
    <w:rsid w:val="00DF319D"/>
    <w:rsid w:val="00DF35E8"/>
    <w:rsid w:val="00DF3634"/>
    <w:rsid w:val="00DF3AB1"/>
    <w:rsid w:val="00DF5AD2"/>
    <w:rsid w:val="00DF5DDE"/>
    <w:rsid w:val="00DF5FCE"/>
    <w:rsid w:val="00DF6465"/>
    <w:rsid w:val="00DF6509"/>
    <w:rsid w:val="00DF6DC9"/>
    <w:rsid w:val="00DF6FDF"/>
    <w:rsid w:val="00DF70BC"/>
    <w:rsid w:val="00DF713E"/>
    <w:rsid w:val="00DF72F9"/>
    <w:rsid w:val="00DF7335"/>
    <w:rsid w:val="00DF7E21"/>
    <w:rsid w:val="00DF7EE1"/>
    <w:rsid w:val="00E002BD"/>
    <w:rsid w:val="00E0078D"/>
    <w:rsid w:val="00E00853"/>
    <w:rsid w:val="00E0098F"/>
    <w:rsid w:val="00E00E03"/>
    <w:rsid w:val="00E010D2"/>
    <w:rsid w:val="00E012BD"/>
    <w:rsid w:val="00E01CC8"/>
    <w:rsid w:val="00E01DA5"/>
    <w:rsid w:val="00E02326"/>
    <w:rsid w:val="00E0242A"/>
    <w:rsid w:val="00E025A6"/>
    <w:rsid w:val="00E02844"/>
    <w:rsid w:val="00E029EE"/>
    <w:rsid w:val="00E02DC8"/>
    <w:rsid w:val="00E030FC"/>
    <w:rsid w:val="00E03280"/>
    <w:rsid w:val="00E0357C"/>
    <w:rsid w:val="00E03FB8"/>
    <w:rsid w:val="00E05352"/>
    <w:rsid w:val="00E05AE1"/>
    <w:rsid w:val="00E05D7D"/>
    <w:rsid w:val="00E062C8"/>
    <w:rsid w:val="00E064F5"/>
    <w:rsid w:val="00E066DF"/>
    <w:rsid w:val="00E06912"/>
    <w:rsid w:val="00E06CAA"/>
    <w:rsid w:val="00E0707F"/>
    <w:rsid w:val="00E072D2"/>
    <w:rsid w:val="00E074C8"/>
    <w:rsid w:val="00E0752D"/>
    <w:rsid w:val="00E07DF5"/>
    <w:rsid w:val="00E10247"/>
    <w:rsid w:val="00E10334"/>
    <w:rsid w:val="00E11112"/>
    <w:rsid w:val="00E1118F"/>
    <w:rsid w:val="00E111E6"/>
    <w:rsid w:val="00E1172E"/>
    <w:rsid w:val="00E11874"/>
    <w:rsid w:val="00E122FA"/>
    <w:rsid w:val="00E12CCA"/>
    <w:rsid w:val="00E12DAA"/>
    <w:rsid w:val="00E12E53"/>
    <w:rsid w:val="00E138D3"/>
    <w:rsid w:val="00E13E47"/>
    <w:rsid w:val="00E14CDA"/>
    <w:rsid w:val="00E14E12"/>
    <w:rsid w:val="00E151FB"/>
    <w:rsid w:val="00E15492"/>
    <w:rsid w:val="00E15945"/>
    <w:rsid w:val="00E15B3F"/>
    <w:rsid w:val="00E1649D"/>
    <w:rsid w:val="00E16819"/>
    <w:rsid w:val="00E16D57"/>
    <w:rsid w:val="00E16F61"/>
    <w:rsid w:val="00E170EE"/>
    <w:rsid w:val="00E17273"/>
    <w:rsid w:val="00E17599"/>
    <w:rsid w:val="00E17786"/>
    <w:rsid w:val="00E17A27"/>
    <w:rsid w:val="00E17F47"/>
    <w:rsid w:val="00E205DD"/>
    <w:rsid w:val="00E213AC"/>
    <w:rsid w:val="00E2146F"/>
    <w:rsid w:val="00E215EB"/>
    <w:rsid w:val="00E21C43"/>
    <w:rsid w:val="00E220AC"/>
    <w:rsid w:val="00E2313D"/>
    <w:rsid w:val="00E239E0"/>
    <w:rsid w:val="00E2410E"/>
    <w:rsid w:val="00E24DBC"/>
    <w:rsid w:val="00E24F5C"/>
    <w:rsid w:val="00E25270"/>
    <w:rsid w:val="00E25409"/>
    <w:rsid w:val="00E257C3"/>
    <w:rsid w:val="00E26646"/>
    <w:rsid w:val="00E266E5"/>
    <w:rsid w:val="00E26AEE"/>
    <w:rsid w:val="00E26BBF"/>
    <w:rsid w:val="00E26CF5"/>
    <w:rsid w:val="00E27119"/>
    <w:rsid w:val="00E3004F"/>
    <w:rsid w:val="00E303D9"/>
    <w:rsid w:val="00E3073E"/>
    <w:rsid w:val="00E30866"/>
    <w:rsid w:val="00E30A14"/>
    <w:rsid w:val="00E30EFC"/>
    <w:rsid w:val="00E313A3"/>
    <w:rsid w:val="00E315D7"/>
    <w:rsid w:val="00E31673"/>
    <w:rsid w:val="00E31A8E"/>
    <w:rsid w:val="00E31F61"/>
    <w:rsid w:val="00E320E9"/>
    <w:rsid w:val="00E32531"/>
    <w:rsid w:val="00E328E1"/>
    <w:rsid w:val="00E328EB"/>
    <w:rsid w:val="00E32A2D"/>
    <w:rsid w:val="00E32F97"/>
    <w:rsid w:val="00E3317A"/>
    <w:rsid w:val="00E33EA6"/>
    <w:rsid w:val="00E341A0"/>
    <w:rsid w:val="00E34B4E"/>
    <w:rsid w:val="00E353F4"/>
    <w:rsid w:val="00E35525"/>
    <w:rsid w:val="00E3562C"/>
    <w:rsid w:val="00E35CE7"/>
    <w:rsid w:val="00E366A8"/>
    <w:rsid w:val="00E36CD4"/>
    <w:rsid w:val="00E40E83"/>
    <w:rsid w:val="00E40FAA"/>
    <w:rsid w:val="00E4186B"/>
    <w:rsid w:val="00E418FB"/>
    <w:rsid w:val="00E41B06"/>
    <w:rsid w:val="00E41F03"/>
    <w:rsid w:val="00E420F3"/>
    <w:rsid w:val="00E42FE7"/>
    <w:rsid w:val="00E42FF2"/>
    <w:rsid w:val="00E43BB6"/>
    <w:rsid w:val="00E44368"/>
    <w:rsid w:val="00E446B3"/>
    <w:rsid w:val="00E44EBB"/>
    <w:rsid w:val="00E44F61"/>
    <w:rsid w:val="00E470D8"/>
    <w:rsid w:val="00E501F6"/>
    <w:rsid w:val="00E502FB"/>
    <w:rsid w:val="00E505CB"/>
    <w:rsid w:val="00E5084A"/>
    <w:rsid w:val="00E50B05"/>
    <w:rsid w:val="00E51273"/>
    <w:rsid w:val="00E514FA"/>
    <w:rsid w:val="00E52538"/>
    <w:rsid w:val="00E5273E"/>
    <w:rsid w:val="00E53DC4"/>
    <w:rsid w:val="00E53EEB"/>
    <w:rsid w:val="00E5513C"/>
    <w:rsid w:val="00E5529D"/>
    <w:rsid w:val="00E556D8"/>
    <w:rsid w:val="00E55705"/>
    <w:rsid w:val="00E55823"/>
    <w:rsid w:val="00E563A4"/>
    <w:rsid w:val="00E568C6"/>
    <w:rsid w:val="00E56B02"/>
    <w:rsid w:val="00E56C95"/>
    <w:rsid w:val="00E572DC"/>
    <w:rsid w:val="00E578B8"/>
    <w:rsid w:val="00E578FD"/>
    <w:rsid w:val="00E57E39"/>
    <w:rsid w:val="00E57FD0"/>
    <w:rsid w:val="00E60245"/>
    <w:rsid w:val="00E608E3"/>
    <w:rsid w:val="00E60B13"/>
    <w:rsid w:val="00E60CCC"/>
    <w:rsid w:val="00E60E9B"/>
    <w:rsid w:val="00E61010"/>
    <w:rsid w:val="00E617A5"/>
    <w:rsid w:val="00E61900"/>
    <w:rsid w:val="00E61F61"/>
    <w:rsid w:val="00E62362"/>
    <w:rsid w:val="00E62FFA"/>
    <w:rsid w:val="00E63354"/>
    <w:rsid w:val="00E634EC"/>
    <w:rsid w:val="00E637CE"/>
    <w:rsid w:val="00E63F03"/>
    <w:rsid w:val="00E64329"/>
    <w:rsid w:val="00E646FC"/>
    <w:rsid w:val="00E6520F"/>
    <w:rsid w:val="00E66330"/>
    <w:rsid w:val="00E6659F"/>
    <w:rsid w:val="00E66769"/>
    <w:rsid w:val="00E70134"/>
    <w:rsid w:val="00E705CC"/>
    <w:rsid w:val="00E70751"/>
    <w:rsid w:val="00E70D52"/>
    <w:rsid w:val="00E714F3"/>
    <w:rsid w:val="00E716A2"/>
    <w:rsid w:val="00E72AA6"/>
    <w:rsid w:val="00E72BB6"/>
    <w:rsid w:val="00E7313C"/>
    <w:rsid w:val="00E7327C"/>
    <w:rsid w:val="00E738A8"/>
    <w:rsid w:val="00E73CD8"/>
    <w:rsid w:val="00E74520"/>
    <w:rsid w:val="00E74891"/>
    <w:rsid w:val="00E74D0C"/>
    <w:rsid w:val="00E75011"/>
    <w:rsid w:val="00E75726"/>
    <w:rsid w:val="00E75756"/>
    <w:rsid w:val="00E760A7"/>
    <w:rsid w:val="00E763AE"/>
    <w:rsid w:val="00E767AA"/>
    <w:rsid w:val="00E76A37"/>
    <w:rsid w:val="00E76E07"/>
    <w:rsid w:val="00E76E8E"/>
    <w:rsid w:val="00E77E02"/>
    <w:rsid w:val="00E80B37"/>
    <w:rsid w:val="00E81115"/>
    <w:rsid w:val="00E81356"/>
    <w:rsid w:val="00E813A1"/>
    <w:rsid w:val="00E814A3"/>
    <w:rsid w:val="00E81EAF"/>
    <w:rsid w:val="00E828D2"/>
    <w:rsid w:val="00E83226"/>
    <w:rsid w:val="00E83818"/>
    <w:rsid w:val="00E83B54"/>
    <w:rsid w:val="00E8410E"/>
    <w:rsid w:val="00E8496D"/>
    <w:rsid w:val="00E84B13"/>
    <w:rsid w:val="00E84F08"/>
    <w:rsid w:val="00E8532F"/>
    <w:rsid w:val="00E85430"/>
    <w:rsid w:val="00E85E0B"/>
    <w:rsid w:val="00E85F9C"/>
    <w:rsid w:val="00E866AD"/>
    <w:rsid w:val="00E868E0"/>
    <w:rsid w:val="00E87081"/>
    <w:rsid w:val="00E876D9"/>
    <w:rsid w:val="00E903F4"/>
    <w:rsid w:val="00E904D1"/>
    <w:rsid w:val="00E9081A"/>
    <w:rsid w:val="00E90B60"/>
    <w:rsid w:val="00E9159B"/>
    <w:rsid w:val="00E91D7D"/>
    <w:rsid w:val="00E91FE5"/>
    <w:rsid w:val="00E927ED"/>
    <w:rsid w:val="00E93384"/>
    <w:rsid w:val="00E935E5"/>
    <w:rsid w:val="00E93731"/>
    <w:rsid w:val="00E93866"/>
    <w:rsid w:val="00E939B7"/>
    <w:rsid w:val="00E93D57"/>
    <w:rsid w:val="00E94730"/>
    <w:rsid w:val="00E94780"/>
    <w:rsid w:val="00E948E2"/>
    <w:rsid w:val="00E94F8B"/>
    <w:rsid w:val="00E95700"/>
    <w:rsid w:val="00E9573A"/>
    <w:rsid w:val="00E96377"/>
    <w:rsid w:val="00E96638"/>
    <w:rsid w:val="00E9689E"/>
    <w:rsid w:val="00E96A64"/>
    <w:rsid w:val="00E974E6"/>
    <w:rsid w:val="00E97BA1"/>
    <w:rsid w:val="00EA135B"/>
    <w:rsid w:val="00EA1A6E"/>
    <w:rsid w:val="00EA1A99"/>
    <w:rsid w:val="00EA2017"/>
    <w:rsid w:val="00EA22C7"/>
    <w:rsid w:val="00EA262F"/>
    <w:rsid w:val="00EA291A"/>
    <w:rsid w:val="00EA2E18"/>
    <w:rsid w:val="00EA2FD1"/>
    <w:rsid w:val="00EA34C1"/>
    <w:rsid w:val="00EA35A1"/>
    <w:rsid w:val="00EA38CA"/>
    <w:rsid w:val="00EA3F03"/>
    <w:rsid w:val="00EA40F6"/>
    <w:rsid w:val="00EA48A0"/>
    <w:rsid w:val="00EA5299"/>
    <w:rsid w:val="00EA53E1"/>
    <w:rsid w:val="00EA54BD"/>
    <w:rsid w:val="00EA581B"/>
    <w:rsid w:val="00EA58FF"/>
    <w:rsid w:val="00EA590C"/>
    <w:rsid w:val="00EA5A35"/>
    <w:rsid w:val="00EA5B9A"/>
    <w:rsid w:val="00EA5D87"/>
    <w:rsid w:val="00EA6DD0"/>
    <w:rsid w:val="00EA6E69"/>
    <w:rsid w:val="00EA708E"/>
    <w:rsid w:val="00EA7136"/>
    <w:rsid w:val="00EA7275"/>
    <w:rsid w:val="00EA7750"/>
    <w:rsid w:val="00EA7B14"/>
    <w:rsid w:val="00EB0981"/>
    <w:rsid w:val="00EB1654"/>
    <w:rsid w:val="00EB1B01"/>
    <w:rsid w:val="00EB1B85"/>
    <w:rsid w:val="00EB1C6D"/>
    <w:rsid w:val="00EB1D41"/>
    <w:rsid w:val="00EB1E15"/>
    <w:rsid w:val="00EB2226"/>
    <w:rsid w:val="00EB244C"/>
    <w:rsid w:val="00EB2BB6"/>
    <w:rsid w:val="00EB307F"/>
    <w:rsid w:val="00EB30C4"/>
    <w:rsid w:val="00EB30D0"/>
    <w:rsid w:val="00EB3CCD"/>
    <w:rsid w:val="00EB3D29"/>
    <w:rsid w:val="00EB43F0"/>
    <w:rsid w:val="00EB4590"/>
    <w:rsid w:val="00EB5D6A"/>
    <w:rsid w:val="00EB6854"/>
    <w:rsid w:val="00EB6EC5"/>
    <w:rsid w:val="00EB7887"/>
    <w:rsid w:val="00EB78EB"/>
    <w:rsid w:val="00EC00E4"/>
    <w:rsid w:val="00EC0542"/>
    <w:rsid w:val="00EC0BCC"/>
    <w:rsid w:val="00EC11FC"/>
    <w:rsid w:val="00EC170A"/>
    <w:rsid w:val="00EC1E75"/>
    <w:rsid w:val="00EC1F8B"/>
    <w:rsid w:val="00EC202E"/>
    <w:rsid w:val="00EC2A99"/>
    <w:rsid w:val="00EC3C05"/>
    <w:rsid w:val="00EC4826"/>
    <w:rsid w:val="00EC4C13"/>
    <w:rsid w:val="00EC54E0"/>
    <w:rsid w:val="00EC599E"/>
    <w:rsid w:val="00EC5ABC"/>
    <w:rsid w:val="00EC6CE8"/>
    <w:rsid w:val="00EC6D7E"/>
    <w:rsid w:val="00EC70F2"/>
    <w:rsid w:val="00EC71D3"/>
    <w:rsid w:val="00EC7579"/>
    <w:rsid w:val="00EC78B0"/>
    <w:rsid w:val="00EC79AD"/>
    <w:rsid w:val="00EC79E5"/>
    <w:rsid w:val="00EC7C9C"/>
    <w:rsid w:val="00EC7FB2"/>
    <w:rsid w:val="00ED066A"/>
    <w:rsid w:val="00ED0D39"/>
    <w:rsid w:val="00ED1B1B"/>
    <w:rsid w:val="00ED1C44"/>
    <w:rsid w:val="00ED1F0A"/>
    <w:rsid w:val="00ED1FBC"/>
    <w:rsid w:val="00ED2354"/>
    <w:rsid w:val="00ED36B6"/>
    <w:rsid w:val="00ED3B62"/>
    <w:rsid w:val="00ED40A1"/>
    <w:rsid w:val="00ED5557"/>
    <w:rsid w:val="00ED5DAF"/>
    <w:rsid w:val="00ED5EF0"/>
    <w:rsid w:val="00ED5FDD"/>
    <w:rsid w:val="00ED6418"/>
    <w:rsid w:val="00ED6C55"/>
    <w:rsid w:val="00ED7418"/>
    <w:rsid w:val="00EE0DE9"/>
    <w:rsid w:val="00EE1B03"/>
    <w:rsid w:val="00EE21D1"/>
    <w:rsid w:val="00EE24CF"/>
    <w:rsid w:val="00EE2514"/>
    <w:rsid w:val="00EE2635"/>
    <w:rsid w:val="00EE2668"/>
    <w:rsid w:val="00EE276F"/>
    <w:rsid w:val="00EE2C3E"/>
    <w:rsid w:val="00EE306F"/>
    <w:rsid w:val="00EE3A1E"/>
    <w:rsid w:val="00EE49F5"/>
    <w:rsid w:val="00EE538F"/>
    <w:rsid w:val="00EE60E5"/>
    <w:rsid w:val="00EE70F5"/>
    <w:rsid w:val="00EE7309"/>
    <w:rsid w:val="00EE73DE"/>
    <w:rsid w:val="00EE7A02"/>
    <w:rsid w:val="00EF02E3"/>
    <w:rsid w:val="00EF16BA"/>
    <w:rsid w:val="00EF16BF"/>
    <w:rsid w:val="00EF186C"/>
    <w:rsid w:val="00EF1C6C"/>
    <w:rsid w:val="00EF2D49"/>
    <w:rsid w:val="00EF2E64"/>
    <w:rsid w:val="00EF381D"/>
    <w:rsid w:val="00EF3B61"/>
    <w:rsid w:val="00EF4BEE"/>
    <w:rsid w:val="00EF531C"/>
    <w:rsid w:val="00EF5704"/>
    <w:rsid w:val="00EF645C"/>
    <w:rsid w:val="00EF671A"/>
    <w:rsid w:val="00EF6F97"/>
    <w:rsid w:val="00EF74C5"/>
    <w:rsid w:val="00EF76AD"/>
    <w:rsid w:val="00EF7879"/>
    <w:rsid w:val="00EF799D"/>
    <w:rsid w:val="00F00506"/>
    <w:rsid w:val="00F00634"/>
    <w:rsid w:val="00F00E1A"/>
    <w:rsid w:val="00F01274"/>
    <w:rsid w:val="00F01442"/>
    <w:rsid w:val="00F0152E"/>
    <w:rsid w:val="00F01645"/>
    <w:rsid w:val="00F01C98"/>
    <w:rsid w:val="00F020D2"/>
    <w:rsid w:val="00F02437"/>
    <w:rsid w:val="00F0252F"/>
    <w:rsid w:val="00F02C3A"/>
    <w:rsid w:val="00F02EC2"/>
    <w:rsid w:val="00F03127"/>
    <w:rsid w:val="00F03764"/>
    <w:rsid w:val="00F039A5"/>
    <w:rsid w:val="00F039C5"/>
    <w:rsid w:val="00F03B30"/>
    <w:rsid w:val="00F046F7"/>
    <w:rsid w:val="00F04910"/>
    <w:rsid w:val="00F049F8"/>
    <w:rsid w:val="00F05A88"/>
    <w:rsid w:val="00F05A98"/>
    <w:rsid w:val="00F0665C"/>
    <w:rsid w:val="00F068E9"/>
    <w:rsid w:val="00F06F14"/>
    <w:rsid w:val="00F06FB1"/>
    <w:rsid w:val="00F07191"/>
    <w:rsid w:val="00F07773"/>
    <w:rsid w:val="00F10206"/>
    <w:rsid w:val="00F10377"/>
    <w:rsid w:val="00F10B7E"/>
    <w:rsid w:val="00F112A9"/>
    <w:rsid w:val="00F113F1"/>
    <w:rsid w:val="00F11792"/>
    <w:rsid w:val="00F1180A"/>
    <w:rsid w:val="00F13BA3"/>
    <w:rsid w:val="00F14176"/>
    <w:rsid w:val="00F14C4C"/>
    <w:rsid w:val="00F14E78"/>
    <w:rsid w:val="00F152E3"/>
    <w:rsid w:val="00F15AF6"/>
    <w:rsid w:val="00F16A29"/>
    <w:rsid w:val="00F16D6E"/>
    <w:rsid w:val="00F16F90"/>
    <w:rsid w:val="00F171DB"/>
    <w:rsid w:val="00F1745E"/>
    <w:rsid w:val="00F17C9D"/>
    <w:rsid w:val="00F17F1D"/>
    <w:rsid w:val="00F2026E"/>
    <w:rsid w:val="00F2098B"/>
    <w:rsid w:val="00F2159C"/>
    <w:rsid w:val="00F21A2A"/>
    <w:rsid w:val="00F2214A"/>
    <w:rsid w:val="00F22483"/>
    <w:rsid w:val="00F22691"/>
    <w:rsid w:val="00F22847"/>
    <w:rsid w:val="00F22A59"/>
    <w:rsid w:val="00F23055"/>
    <w:rsid w:val="00F23063"/>
    <w:rsid w:val="00F23159"/>
    <w:rsid w:val="00F233F9"/>
    <w:rsid w:val="00F2354A"/>
    <w:rsid w:val="00F23C4C"/>
    <w:rsid w:val="00F24064"/>
    <w:rsid w:val="00F2435F"/>
    <w:rsid w:val="00F2445A"/>
    <w:rsid w:val="00F2475F"/>
    <w:rsid w:val="00F247E7"/>
    <w:rsid w:val="00F250A7"/>
    <w:rsid w:val="00F25463"/>
    <w:rsid w:val="00F259CF"/>
    <w:rsid w:val="00F25BE4"/>
    <w:rsid w:val="00F263F0"/>
    <w:rsid w:val="00F2656A"/>
    <w:rsid w:val="00F2766C"/>
    <w:rsid w:val="00F27B84"/>
    <w:rsid w:val="00F302F9"/>
    <w:rsid w:val="00F3030E"/>
    <w:rsid w:val="00F305D3"/>
    <w:rsid w:val="00F30635"/>
    <w:rsid w:val="00F30664"/>
    <w:rsid w:val="00F30821"/>
    <w:rsid w:val="00F30BC3"/>
    <w:rsid w:val="00F30E05"/>
    <w:rsid w:val="00F3172C"/>
    <w:rsid w:val="00F324C8"/>
    <w:rsid w:val="00F32647"/>
    <w:rsid w:val="00F3328C"/>
    <w:rsid w:val="00F3339A"/>
    <w:rsid w:val="00F334CE"/>
    <w:rsid w:val="00F337AB"/>
    <w:rsid w:val="00F33D51"/>
    <w:rsid w:val="00F343E1"/>
    <w:rsid w:val="00F34AF7"/>
    <w:rsid w:val="00F35040"/>
    <w:rsid w:val="00F350FE"/>
    <w:rsid w:val="00F35546"/>
    <w:rsid w:val="00F3590C"/>
    <w:rsid w:val="00F3593A"/>
    <w:rsid w:val="00F35B24"/>
    <w:rsid w:val="00F35DB2"/>
    <w:rsid w:val="00F36144"/>
    <w:rsid w:val="00F3624C"/>
    <w:rsid w:val="00F365BD"/>
    <w:rsid w:val="00F36C1B"/>
    <w:rsid w:val="00F37282"/>
    <w:rsid w:val="00F37F40"/>
    <w:rsid w:val="00F4030C"/>
    <w:rsid w:val="00F40A53"/>
    <w:rsid w:val="00F40FB0"/>
    <w:rsid w:val="00F41185"/>
    <w:rsid w:val="00F418FF"/>
    <w:rsid w:val="00F41ADC"/>
    <w:rsid w:val="00F42267"/>
    <w:rsid w:val="00F4234C"/>
    <w:rsid w:val="00F4283B"/>
    <w:rsid w:val="00F42A66"/>
    <w:rsid w:val="00F42C57"/>
    <w:rsid w:val="00F42D38"/>
    <w:rsid w:val="00F43E5E"/>
    <w:rsid w:val="00F44B23"/>
    <w:rsid w:val="00F44C53"/>
    <w:rsid w:val="00F45554"/>
    <w:rsid w:val="00F45769"/>
    <w:rsid w:val="00F47019"/>
    <w:rsid w:val="00F47938"/>
    <w:rsid w:val="00F47F10"/>
    <w:rsid w:val="00F47FFC"/>
    <w:rsid w:val="00F507F5"/>
    <w:rsid w:val="00F51084"/>
    <w:rsid w:val="00F5197E"/>
    <w:rsid w:val="00F5239D"/>
    <w:rsid w:val="00F523B7"/>
    <w:rsid w:val="00F52918"/>
    <w:rsid w:val="00F536B8"/>
    <w:rsid w:val="00F5407B"/>
    <w:rsid w:val="00F54441"/>
    <w:rsid w:val="00F54A23"/>
    <w:rsid w:val="00F55B2B"/>
    <w:rsid w:val="00F56970"/>
    <w:rsid w:val="00F56973"/>
    <w:rsid w:val="00F5702C"/>
    <w:rsid w:val="00F6098A"/>
    <w:rsid w:val="00F60CFB"/>
    <w:rsid w:val="00F61216"/>
    <w:rsid w:val="00F6141E"/>
    <w:rsid w:val="00F61804"/>
    <w:rsid w:val="00F62191"/>
    <w:rsid w:val="00F62EBD"/>
    <w:rsid w:val="00F62F37"/>
    <w:rsid w:val="00F6316F"/>
    <w:rsid w:val="00F64538"/>
    <w:rsid w:val="00F645C1"/>
    <w:rsid w:val="00F64BEF"/>
    <w:rsid w:val="00F64CEB"/>
    <w:rsid w:val="00F64DD4"/>
    <w:rsid w:val="00F64E22"/>
    <w:rsid w:val="00F64E88"/>
    <w:rsid w:val="00F6622C"/>
    <w:rsid w:val="00F66336"/>
    <w:rsid w:val="00F668F7"/>
    <w:rsid w:val="00F66B5D"/>
    <w:rsid w:val="00F66C69"/>
    <w:rsid w:val="00F66CFD"/>
    <w:rsid w:val="00F66FB9"/>
    <w:rsid w:val="00F67094"/>
    <w:rsid w:val="00F67EFC"/>
    <w:rsid w:val="00F67F99"/>
    <w:rsid w:val="00F7092D"/>
    <w:rsid w:val="00F70A45"/>
    <w:rsid w:val="00F70BDC"/>
    <w:rsid w:val="00F70EE1"/>
    <w:rsid w:val="00F70EEA"/>
    <w:rsid w:val="00F71B70"/>
    <w:rsid w:val="00F72161"/>
    <w:rsid w:val="00F722B1"/>
    <w:rsid w:val="00F72543"/>
    <w:rsid w:val="00F72A27"/>
    <w:rsid w:val="00F72FC3"/>
    <w:rsid w:val="00F73622"/>
    <w:rsid w:val="00F75860"/>
    <w:rsid w:val="00F7606C"/>
    <w:rsid w:val="00F7651F"/>
    <w:rsid w:val="00F77115"/>
    <w:rsid w:val="00F775CD"/>
    <w:rsid w:val="00F77623"/>
    <w:rsid w:val="00F77738"/>
    <w:rsid w:val="00F779C7"/>
    <w:rsid w:val="00F77FCB"/>
    <w:rsid w:val="00F8004A"/>
    <w:rsid w:val="00F805F8"/>
    <w:rsid w:val="00F80CAA"/>
    <w:rsid w:val="00F81FA2"/>
    <w:rsid w:val="00F82232"/>
    <w:rsid w:val="00F823B6"/>
    <w:rsid w:val="00F839E5"/>
    <w:rsid w:val="00F83B8C"/>
    <w:rsid w:val="00F846FB"/>
    <w:rsid w:val="00F84A00"/>
    <w:rsid w:val="00F84FE1"/>
    <w:rsid w:val="00F85183"/>
    <w:rsid w:val="00F85532"/>
    <w:rsid w:val="00F85796"/>
    <w:rsid w:val="00F85F3E"/>
    <w:rsid w:val="00F86662"/>
    <w:rsid w:val="00F86686"/>
    <w:rsid w:val="00F872B8"/>
    <w:rsid w:val="00F874F4"/>
    <w:rsid w:val="00F87686"/>
    <w:rsid w:val="00F87ABE"/>
    <w:rsid w:val="00F87CEB"/>
    <w:rsid w:val="00F87E7F"/>
    <w:rsid w:val="00F904D6"/>
    <w:rsid w:val="00F907DD"/>
    <w:rsid w:val="00F90C46"/>
    <w:rsid w:val="00F90C88"/>
    <w:rsid w:val="00F90F30"/>
    <w:rsid w:val="00F92C75"/>
    <w:rsid w:val="00F93498"/>
    <w:rsid w:val="00F9369F"/>
    <w:rsid w:val="00F937F1"/>
    <w:rsid w:val="00F93FC3"/>
    <w:rsid w:val="00F94044"/>
    <w:rsid w:val="00F94426"/>
    <w:rsid w:val="00F945E2"/>
    <w:rsid w:val="00F94E4D"/>
    <w:rsid w:val="00F9519A"/>
    <w:rsid w:val="00F956A4"/>
    <w:rsid w:val="00F95D6F"/>
    <w:rsid w:val="00F95F76"/>
    <w:rsid w:val="00F9696E"/>
    <w:rsid w:val="00F9764E"/>
    <w:rsid w:val="00F978C5"/>
    <w:rsid w:val="00F97D4D"/>
    <w:rsid w:val="00FA042E"/>
    <w:rsid w:val="00FA05D6"/>
    <w:rsid w:val="00FA06BE"/>
    <w:rsid w:val="00FA078C"/>
    <w:rsid w:val="00FA0846"/>
    <w:rsid w:val="00FA08D3"/>
    <w:rsid w:val="00FA0A12"/>
    <w:rsid w:val="00FA0F91"/>
    <w:rsid w:val="00FA1382"/>
    <w:rsid w:val="00FA1BE9"/>
    <w:rsid w:val="00FA1C82"/>
    <w:rsid w:val="00FA24CD"/>
    <w:rsid w:val="00FA2584"/>
    <w:rsid w:val="00FA296E"/>
    <w:rsid w:val="00FA2EA6"/>
    <w:rsid w:val="00FA38B1"/>
    <w:rsid w:val="00FA45BB"/>
    <w:rsid w:val="00FA5E5F"/>
    <w:rsid w:val="00FA6BB2"/>
    <w:rsid w:val="00FA73A5"/>
    <w:rsid w:val="00FA7807"/>
    <w:rsid w:val="00FA7CA7"/>
    <w:rsid w:val="00FA7E25"/>
    <w:rsid w:val="00FB06EC"/>
    <w:rsid w:val="00FB10CD"/>
    <w:rsid w:val="00FB1367"/>
    <w:rsid w:val="00FB18EA"/>
    <w:rsid w:val="00FB1C88"/>
    <w:rsid w:val="00FB1CDE"/>
    <w:rsid w:val="00FB1F1D"/>
    <w:rsid w:val="00FB254F"/>
    <w:rsid w:val="00FB3234"/>
    <w:rsid w:val="00FB3246"/>
    <w:rsid w:val="00FB33E5"/>
    <w:rsid w:val="00FB44D7"/>
    <w:rsid w:val="00FB49C8"/>
    <w:rsid w:val="00FB4C1B"/>
    <w:rsid w:val="00FB4DBF"/>
    <w:rsid w:val="00FB500D"/>
    <w:rsid w:val="00FB59B7"/>
    <w:rsid w:val="00FB5EC7"/>
    <w:rsid w:val="00FB6333"/>
    <w:rsid w:val="00FB6E4B"/>
    <w:rsid w:val="00FB6F29"/>
    <w:rsid w:val="00FB7084"/>
    <w:rsid w:val="00FB7BCD"/>
    <w:rsid w:val="00FB7EA5"/>
    <w:rsid w:val="00FB7F88"/>
    <w:rsid w:val="00FC030B"/>
    <w:rsid w:val="00FC0477"/>
    <w:rsid w:val="00FC0741"/>
    <w:rsid w:val="00FC18EF"/>
    <w:rsid w:val="00FC1A0C"/>
    <w:rsid w:val="00FC1E3F"/>
    <w:rsid w:val="00FC1EB5"/>
    <w:rsid w:val="00FC2432"/>
    <w:rsid w:val="00FC31DB"/>
    <w:rsid w:val="00FC332B"/>
    <w:rsid w:val="00FC35FB"/>
    <w:rsid w:val="00FC3881"/>
    <w:rsid w:val="00FC3C5E"/>
    <w:rsid w:val="00FC3E53"/>
    <w:rsid w:val="00FC3E7F"/>
    <w:rsid w:val="00FC4716"/>
    <w:rsid w:val="00FC60FB"/>
    <w:rsid w:val="00FC66F7"/>
    <w:rsid w:val="00FC70C9"/>
    <w:rsid w:val="00FC7739"/>
    <w:rsid w:val="00FC788E"/>
    <w:rsid w:val="00FC7AA0"/>
    <w:rsid w:val="00FC7E88"/>
    <w:rsid w:val="00FD0E15"/>
    <w:rsid w:val="00FD139B"/>
    <w:rsid w:val="00FD1B18"/>
    <w:rsid w:val="00FD1B58"/>
    <w:rsid w:val="00FD20F6"/>
    <w:rsid w:val="00FD2578"/>
    <w:rsid w:val="00FD2AA3"/>
    <w:rsid w:val="00FD2B16"/>
    <w:rsid w:val="00FD32F7"/>
    <w:rsid w:val="00FD333B"/>
    <w:rsid w:val="00FD34DA"/>
    <w:rsid w:val="00FD3ECA"/>
    <w:rsid w:val="00FD409E"/>
    <w:rsid w:val="00FD4221"/>
    <w:rsid w:val="00FD42C1"/>
    <w:rsid w:val="00FD4334"/>
    <w:rsid w:val="00FD4AF0"/>
    <w:rsid w:val="00FD52FF"/>
    <w:rsid w:val="00FD6A5C"/>
    <w:rsid w:val="00FD7455"/>
    <w:rsid w:val="00FD7786"/>
    <w:rsid w:val="00FD7965"/>
    <w:rsid w:val="00FE0032"/>
    <w:rsid w:val="00FE0B9F"/>
    <w:rsid w:val="00FE1537"/>
    <w:rsid w:val="00FE1AAF"/>
    <w:rsid w:val="00FE1CBC"/>
    <w:rsid w:val="00FE2F9E"/>
    <w:rsid w:val="00FE3B93"/>
    <w:rsid w:val="00FE3EF7"/>
    <w:rsid w:val="00FE4441"/>
    <w:rsid w:val="00FE48C6"/>
    <w:rsid w:val="00FE4B88"/>
    <w:rsid w:val="00FE52F2"/>
    <w:rsid w:val="00FE5804"/>
    <w:rsid w:val="00FE5A37"/>
    <w:rsid w:val="00FE5AFD"/>
    <w:rsid w:val="00FE5C6D"/>
    <w:rsid w:val="00FE5D79"/>
    <w:rsid w:val="00FE5FA7"/>
    <w:rsid w:val="00FE6571"/>
    <w:rsid w:val="00FE6D0C"/>
    <w:rsid w:val="00FE6F6F"/>
    <w:rsid w:val="00FE6FE7"/>
    <w:rsid w:val="00FE7B07"/>
    <w:rsid w:val="00FF02FB"/>
    <w:rsid w:val="00FF07A2"/>
    <w:rsid w:val="00FF0C50"/>
    <w:rsid w:val="00FF0E15"/>
    <w:rsid w:val="00FF1A6A"/>
    <w:rsid w:val="00FF1B59"/>
    <w:rsid w:val="00FF1DAC"/>
    <w:rsid w:val="00FF2773"/>
    <w:rsid w:val="00FF28E3"/>
    <w:rsid w:val="00FF4AC0"/>
    <w:rsid w:val="00FF4E01"/>
    <w:rsid w:val="00FF5133"/>
    <w:rsid w:val="00FF59B1"/>
    <w:rsid w:val="00FF5BF7"/>
    <w:rsid w:val="00FF5D8D"/>
    <w:rsid w:val="00FF630B"/>
    <w:rsid w:val="00FF6499"/>
    <w:rsid w:val="00F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F7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D55"/>
  </w:style>
  <w:style w:type="paragraph" w:styleId="Heading1">
    <w:name w:val="heading 1"/>
    <w:basedOn w:val="Normal"/>
    <w:next w:val="Normal"/>
    <w:link w:val="Heading1Char"/>
    <w:uiPriority w:val="9"/>
    <w:qFormat/>
    <w:rsid w:val="003253C6"/>
    <w:pPr>
      <w:keepNext/>
      <w:keepLines/>
      <w:spacing w:before="480" w:after="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4">
    <w:name w:val="heading 4"/>
    <w:basedOn w:val="Normal"/>
    <w:next w:val="Normal"/>
    <w:link w:val="Heading4Char"/>
    <w:uiPriority w:val="9"/>
    <w:semiHidden/>
    <w:unhideWhenUsed/>
    <w:qFormat/>
    <w:rsid w:val="0021275E"/>
    <w:pPr>
      <w:keepNext/>
      <w:keepLines/>
      <w:spacing w:before="40" w:after="0"/>
      <w:outlineLvl w:val="3"/>
    </w:pPr>
    <w:rPr>
      <w:rFonts w:asciiTheme="majorHAnsi" w:eastAsiaTheme="majorEastAsia" w:hAnsiTheme="majorHAnsi" w:cstheme="majorBidi"/>
      <w:i/>
      <w:iCs/>
      <w:color w:val="4255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pPr>
      <w:spacing w:after="0" w:line="240" w:lineRule="auto"/>
    </w:pPr>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pPr>
      <w:spacing w:after="0" w:line="240" w:lineRule="auto"/>
    </w:pPr>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line="240" w:lineRule="auto"/>
    </w:pPr>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04538A"/>
    <w:pPr>
      <w:tabs>
        <w:tab w:val="right" w:leader="dot" w:pos="10070"/>
      </w:tabs>
      <w:spacing w:after="100"/>
    </w:pPr>
    <w:rPr>
      <w:rFonts w:ascii="Garamond" w:eastAsia="Times New Roman" w:hAnsi="Garamond" w:cs="Times New Roman"/>
      <w:noProof/>
    </w:rPr>
  </w:style>
  <w:style w:type="paragraph" w:styleId="TOC2">
    <w:name w:val="toc 2"/>
    <w:basedOn w:val="Normal"/>
    <w:next w:val="Normal"/>
    <w:autoRedefine/>
    <w:uiPriority w:val="39"/>
    <w:unhideWhenUsed/>
    <w:rsid w:val="002E51F3"/>
    <w:pPr>
      <w:tabs>
        <w:tab w:val="right" w:leader="dot" w:pos="10070"/>
      </w:tabs>
      <w:spacing w:after="100"/>
      <w:ind w:left="270"/>
    </w:pPr>
  </w:style>
  <w:style w:type="paragraph" w:styleId="NormalWeb">
    <w:name w:val="Normal (Web)"/>
    <w:basedOn w:val="Normal"/>
    <w:uiPriority w:val="99"/>
    <w:unhideWhenUsed/>
    <w:rsid w:val="00040884"/>
    <w:pPr>
      <w:spacing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2C3BE0"/>
    <w:pPr>
      <w:spacing w:line="240" w:lineRule="auto"/>
    </w:pPr>
    <w:rPr>
      <w:b/>
      <w:bCs/>
      <w:color w:val="6076B4" w:themeColor="accent1"/>
      <w:sz w:val="18"/>
      <w:szCs w:val="18"/>
    </w:rPr>
  </w:style>
  <w:style w:type="character" w:customStyle="1" w:styleId="UnresolvedMention2">
    <w:name w:val="Unresolved Mention2"/>
    <w:basedOn w:val="DefaultParagraphFont"/>
    <w:uiPriority w:val="99"/>
    <w:semiHidden/>
    <w:unhideWhenUsed/>
    <w:rsid w:val="00804E4E"/>
    <w:rPr>
      <w:color w:val="605E5C"/>
      <w:shd w:val="clear" w:color="auto" w:fill="E1DFDD"/>
    </w:rPr>
  </w:style>
  <w:style w:type="character" w:customStyle="1" w:styleId="UnresolvedMention3">
    <w:name w:val="Unresolved Mention3"/>
    <w:basedOn w:val="DefaultParagraphFont"/>
    <w:uiPriority w:val="99"/>
    <w:semiHidden/>
    <w:unhideWhenUsed/>
    <w:rsid w:val="008F543F"/>
    <w:rPr>
      <w:color w:val="605E5C"/>
      <w:shd w:val="clear" w:color="auto" w:fill="E1DFDD"/>
    </w:rPr>
  </w:style>
  <w:style w:type="character" w:customStyle="1" w:styleId="UnresolvedMention4">
    <w:name w:val="Unresolved Mention4"/>
    <w:basedOn w:val="DefaultParagraphFont"/>
    <w:uiPriority w:val="99"/>
    <w:semiHidden/>
    <w:unhideWhenUsed/>
    <w:rsid w:val="000C6B59"/>
    <w:rPr>
      <w:color w:val="605E5C"/>
      <w:shd w:val="clear" w:color="auto" w:fill="E1DFDD"/>
    </w:rPr>
  </w:style>
  <w:style w:type="character" w:customStyle="1" w:styleId="UnresolvedMention5">
    <w:name w:val="Unresolved Mention5"/>
    <w:basedOn w:val="DefaultParagraphFont"/>
    <w:uiPriority w:val="99"/>
    <w:semiHidden/>
    <w:unhideWhenUsed/>
    <w:rsid w:val="006A0734"/>
    <w:rPr>
      <w:color w:val="605E5C"/>
      <w:shd w:val="clear" w:color="auto" w:fill="E1DFDD"/>
    </w:rPr>
  </w:style>
  <w:style w:type="paragraph" w:styleId="HTMLPreformatted">
    <w:name w:val="HTML Preformatted"/>
    <w:basedOn w:val="Normal"/>
    <w:link w:val="HTMLPreformattedChar"/>
    <w:uiPriority w:val="99"/>
    <w:unhideWhenUsed/>
    <w:rsid w:val="00F64BE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64BEF"/>
    <w:rPr>
      <w:rFonts w:ascii="Consolas" w:hAnsi="Consolas" w:cs="Consolas"/>
      <w:sz w:val="20"/>
      <w:szCs w:val="20"/>
    </w:rPr>
  </w:style>
  <w:style w:type="character" w:customStyle="1" w:styleId="UnresolvedMention6">
    <w:name w:val="Unresolved Mention6"/>
    <w:basedOn w:val="DefaultParagraphFont"/>
    <w:uiPriority w:val="99"/>
    <w:semiHidden/>
    <w:unhideWhenUsed/>
    <w:rsid w:val="001C1271"/>
    <w:rPr>
      <w:color w:val="605E5C"/>
      <w:shd w:val="clear" w:color="auto" w:fill="E1DFDD"/>
    </w:rPr>
  </w:style>
  <w:style w:type="character" w:customStyle="1" w:styleId="UnresolvedMention">
    <w:name w:val="Unresolved Mention"/>
    <w:basedOn w:val="DefaultParagraphFont"/>
    <w:uiPriority w:val="99"/>
    <w:semiHidden/>
    <w:unhideWhenUsed/>
    <w:rsid w:val="000B6844"/>
    <w:rPr>
      <w:color w:val="605E5C"/>
      <w:shd w:val="clear" w:color="auto" w:fill="E1DFDD"/>
    </w:rPr>
  </w:style>
  <w:style w:type="character" w:styleId="Strong">
    <w:name w:val="Strong"/>
    <w:basedOn w:val="DefaultParagraphFont"/>
    <w:uiPriority w:val="22"/>
    <w:qFormat/>
    <w:rsid w:val="00152075"/>
    <w:rPr>
      <w:b/>
      <w:bCs/>
    </w:rPr>
  </w:style>
  <w:style w:type="character" w:customStyle="1" w:styleId="Heading4Char">
    <w:name w:val="Heading 4 Char"/>
    <w:basedOn w:val="DefaultParagraphFont"/>
    <w:link w:val="Heading4"/>
    <w:uiPriority w:val="9"/>
    <w:semiHidden/>
    <w:rsid w:val="0021275E"/>
    <w:rPr>
      <w:rFonts w:asciiTheme="majorHAnsi" w:eastAsiaTheme="majorEastAsia" w:hAnsiTheme="majorHAnsi" w:cstheme="majorBidi"/>
      <w:i/>
      <w:iCs/>
      <w:color w:val="42558C"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D55"/>
  </w:style>
  <w:style w:type="paragraph" w:styleId="Heading1">
    <w:name w:val="heading 1"/>
    <w:basedOn w:val="Normal"/>
    <w:next w:val="Normal"/>
    <w:link w:val="Heading1Char"/>
    <w:uiPriority w:val="9"/>
    <w:qFormat/>
    <w:rsid w:val="003253C6"/>
    <w:pPr>
      <w:keepNext/>
      <w:keepLines/>
      <w:spacing w:before="480" w:after="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4">
    <w:name w:val="heading 4"/>
    <w:basedOn w:val="Normal"/>
    <w:next w:val="Normal"/>
    <w:link w:val="Heading4Char"/>
    <w:uiPriority w:val="9"/>
    <w:semiHidden/>
    <w:unhideWhenUsed/>
    <w:qFormat/>
    <w:rsid w:val="0021275E"/>
    <w:pPr>
      <w:keepNext/>
      <w:keepLines/>
      <w:spacing w:before="40" w:after="0"/>
      <w:outlineLvl w:val="3"/>
    </w:pPr>
    <w:rPr>
      <w:rFonts w:asciiTheme="majorHAnsi" w:eastAsiaTheme="majorEastAsia" w:hAnsiTheme="majorHAnsi" w:cstheme="majorBidi"/>
      <w:i/>
      <w:iCs/>
      <w:color w:val="4255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pPr>
      <w:spacing w:after="0" w:line="240" w:lineRule="auto"/>
    </w:pPr>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pPr>
      <w:spacing w:after="0" w:line="240" w:lineRule="auto"/>
    </w:pPr>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line="240" w:lineRule="auto"/>
    </w:pPr>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04538A"/>
    <w:pPr>
      <w:tabs>
        <w:tab w:val="right" w:leader="dot" w:pos="10070"/>
      </w:tabs>
      <w:spacing w:after="100"/>
    </w:pPr>
    <w:rPr>
      <w:rFonts w:ascii="Garamond" w:eastAsia="Times New Roman" w:hAnsi="Garamond" w:cs="Times New Roman"/>
      <w:noProof/>
    </w:rPr>
  </w:style>
  <w:style w:type="paragraph" w:styleId="TOC2">
    <w:name w:val="toc 2"/>
    <w:basedOn w:val="Normal"/>
    <w:next w:val="Normal"/>
    <w:autoRedefine/>
    <w:uiPriority w:val="39"/>
    <w:unhideWhenUsed/>
    <w:rsid w:val="002E51F3"/>
    <w:pPr>
      <w:tabs>
        <w:tab w:val="right" w:leader="dot" w:pos="10070"/>
      </w:tabs>
      <w:spacing w:after="100"/>
      <w:ind w:left="270"/>
    </w:pPr>
  </w:style>
  <w:style w:type="paragraph" w:styleId="NormalWeb">
    <w:name w:val="Normal (Web)"/>
    <w:basedOn w:val="Normal"/>
    <w:uiPriority w:val="99"/>
    <w:unhideWhenUsed/>
    <w:rsid w:val="00040884"/>
    <w:pPr>
      <w:spacing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2C3BE0"/>
    <w:pPr>
      <w:spacing w:line="240" w:lineRule="auto"/>
    </w:pPr>
    <w:rPr>
      <w:b/>
      <w:bCs/>
      <w:color w:val="6076B4" w:themeColor="accent1"/>
      <w:sz w:val="18"/>
      <w:szCs w:val="18"/>
    </w:rPr>
  </w:style>
  <w:style w:type="character" w:customStyle="1" w:styleId="UnresolvedMention2">
    <w:name w:val="Unresolved Mention2"/>
    <w:basedOn w:val="DefaultParagraphFont"/>
    <w:uiPriority w:val="99"/>
    <w:semiHidden/>
    <w:unhideWhenUsed/>
    <w:rsid w:val="00804E4E"/>
    <w:rPr>
      <w:color w:val="605E5C"/>
      <w:shd w:val="clear" w:color="auto" w:fill="E1DFDD"/>
    </w:rPr>
  </w:style>
  <w:style w:type="character" w:customStyle="1" w:styleId="UnresolvedMention3">
    <w:name w:val="Unresolved Mention3"/>
    <w:basedOn w:val="DefaultParagraphFont"/>
    <w:uiPriority w:val="99"/>
    <w:semiHidden/>
    <w:unhideWhenUsed/>
    <w:rsid w:val="008F543F"/>
    <w:rPr>
      <w:color w:val="605E5C"/>
      <w:shd w:val="clear" w:color="auto" w:fill="E1DFDD"/>
    </w:rPr>
  </w:style>
  <w:style w:type="character" w:customStyle="1" w:styleId="UnresolvedMention4">
    <w:name w:val="Unresolved Mention4"/>
    <w:basedOn w:val="DefaultParagraphFont"/>
    <w:uiPriority w:val="99"/>
    <w:semiHidden/>
    <w:unhideWhenUsed/>
    <w:rsid w:val="000C6B59"/>
    <w:rPr>
      <w:color w:val="605E5C"/>
      <w:shd w:val="clear" w:color="auto" w:fill="E1DFDD"/>
    </w:rPr>
  </w:style>
  <w:style w:type="character" w:customStyle="1" w:styleId="UnresolvedMention5">
    <w:name w:val="Unresolved Mention5"/>
    <w:basedOn w:val="DefaultParagraphFont"/>
    <w:uiPriority w:val="99"/>
    <w:semiHidden/>
    <w:unhideWhenUsed/>
    <w:rsid w:val="006A0734"/>
    <w:rPr>
      <w:color w:val="605E5C"/>
      <w:shd w:val="clear" w:color="auto" w:fill="E1DFDD"/>
    </w:rPr>
  </w:style>
  <w:style w:type="paragraph" w:styleId="HTMLPreformatted">
    <w:name w:val="HTML Preformatted"/>
    <w:basedOn w:val="Normal"/>
    <w:link w:val="HTMLPreformattedChar"/>
    <w:uiPriority w:val="99"/>
    <w:unhideWhenUsed/>
    <w:rsid w:val="00F64BE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64BEF"/>
    <w:rPr>
      <w:rFonts w:ascii="Consolas" w:hAnsi="Consolas" w:cs="Consolas"/>
      <w:sz w:val="20"/>
      <w:szCs w:val="20"/>
    </w:rPr>
  </w:style>
  <w:style w:type="character" w:customStyle="1" w:styleId="UnresolvedMention6">
    <w:name w:val="Unresolved Mention6"/>
    <w:basedOn w:val="DefaultParagraphFont"/>
    <w:uiPriority w:val="99"/>
    <w:semiHidden/>
    <w:unhideWhenUsed/>
    <w:rsid w:val="001C1271"/>
    <w:rPr>
      <w:color w:val="605E5C"/>
      <w:shd w:val="clear" w:color="auto" w:fill="E1DFDD"/>
    </w:rPr>
  </w:style>
  <w:style w:type="character" w:customStyle="1" w:styleId="UnresolvedMention">
    <w:name w:val="Unresolved Mention"/>
    <w:basedOn w:val="DefaultParagraphFont"/>
    <w:uiPriority w:val="99"/>
    <w:semiHidden/>
    <w:unhideWhenUsed/>
    <w:rsid w:val="000B6844"/>
    <w:rPr>
      <w:color w:val="605E5C"/>
      <w:shd w:val="clear" w:color="auto" w:fill="E1DFDD"/>
    </w:rPr>
  </w:style>
  <w:style w:type="character" w:styleId="Strong">
    <w:name w:val="Strong"/>
    <w:basedOn w:val="DefaultParagraphFont"/>
    <w:uiPriority w:val="22"/>
    <w:qFormat/>
    <w:rsid w:val="00152075"/>
    <w:rPr>
      <w:b/>
      <w:bCs/>
    </w:rPr>
  </w:style>
  <w:style w:type="character" w:customStyle="1" w:styleId="Heading4Char">
    <w:name w:val="Heading 4 Char"/>
    <w:basedOn w:val="DefaultParagraphFont"/>
    <w:link w:val="Heading4"/>
    <w:uiPriority w:val="9"/>
    <w:semiHidden/>
    <w:rsid w:val="0021275E"/>
    <w:rPr>
      <w:rFonts w:asciiTheme="majorHAnsi" w:eastAsiaTheme="majorEastAsia" w:hAnsiTheme="majorHAnsi" w:cstheme="majorBidi"/>
      <w:i/>
      <w:iCs/>
      <w:color w:val="42558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99492372">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7202186">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318004419">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94994953">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59430702">
      <w:bodyDiv w:val="1"/>
      <w:marLeft w:val="0"/>
      <w:marRight w:val="0"/>
      <w:marTop w:val="0"/>
      <w:marBottom w:val="0"/>
      <w:divBdr>
        <w:top w:val="none" w:sz="0" w:space="0" w:color="auto"/>
        <w:left w:val="none" w:sz="0" w:space="0" w:color="auto"/>
        <w:bottom w:val="none" w:sz="0" w:space="0" w:color="auto"/>
        <w:right w:val="none" w:sz="0" w:space="0" w:color="auto"/>
      </w:divBdr>
    </w:div>
    <w:div w:id="701171529">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802961255">
      <w:bodyDiv w:val="1"/>
      <w:marLeft w:val="0"/>
      <w:marRight w:val="0"/>
      <w:marTop w:val="0"/>
      <w:marBottom w:val="0"/>
      <w:divBdr>
        <w:top w:val="none" w:sz="0" w:space="0" w:color="auto"/>
        <w:left w:val="none" w:sz="0" w:space="0" w:color="auto"/>
        <w:bottom w:val="none" w:sz="0" w:space="0" w:color="auto"/>
        <w:right w:val="none" w:sz="0" w:space="0" w:color="auto"/>
      </w:divBdr>
    </w:div>
    <w:div w:id="871653450">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96434057">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1120416436">
      <w:bodyDiv w:val="1"/>
      <w:marLeft w:val="0"/>
      <w:marRight w:val="0"/>
      <w:marTop w:val="0"/>
      <w:marBottom w:val="0"/>
      <w:divBdr>
        <w:top w:val="none" w:sz="0" w:space="0" w:color="auto"/>
        <w:left w:val="none" w:sz="0" w:space="0" w:color="auto"/>
        <w:bottom w:val="none" w:sz="0" w:space="0" w:color="auto"/>
        <w:right w:val="none" w:sz="0" w:space="0" w:color="auto"/>
      </w:divBdr>
    </w:div>
    <w:div w:id="1173371492">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50718005">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64795">
      <w:bodyDiv w:val="1"/>
      <w:marLeft w:val="0"/>
      <w:marRight w:val="0"/>
      <w:marTop w:val="0"/>
      <w:marBottom w:val="0"/>
      <w:divBdr>
        <w:top w:val="none" w:sz="0" w:space="0" w:color="auto"/>
        <w:left w:val="none" w:sz="0" w:space="0" w:color="auto"/>
        <w:bottom w:val="none" w:sz="0" w:space="0" w:color="auto"/>
        <w:right w:val="none" w:sz="0" w:space="0" w:color="auto"/>
      </w:divBdr>
    </w:div>
    <w:div w:id="1552767650">
      <w:bodyDiv w:val="1"/>
      <w:marLeft w:val="0"/>
      <w:marRight w:val="0"/>
      <w:marTop w:val="0"/>
      <w:marBottom w:val="0"/>
      <w:divBdr>
        <w:top w:val="none" w:sz="0" w:space="0" w:color="auto"/>
        <w:left w:val="none" w:sz="0" w:space="0" w:color="auto"/>
        <w:bottom w:val="none" w:sz="0" w:space="0" w:color="auto"/>
        <w:right w:val="none" w:sz="0" w:space="0" w:color="auto"/>
      </w:divBdr>
    </w:div>
    <w:div w:id="1580557735">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1511">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7591495">
      <w:bodyDiv w:val="1"/>
      <w:marLeft w:val="0"/>
      <w:marRight w:val="0"/>
      <w:marTop w:val="0"/>
      <w:marBottom w:val="0"/>
      <w:divBdr>
        <w:top w:val="none" w:sz="0" w:space="0" w:color="auto"/>
        <w:left w:val="none" w:sz="0" w:space="0" w:color="auto"/>
        <w:bottom w:val="none" w:sz="0" w:space="0" w:color="auto"/>
        <w:right w:val="none" w:sz="0" w:space="0" w:color="auto"/>
      </w:divBdr>
      <w:divsChild>
        <w:div w:id="309947201">
          <w:marLeft w:val="0"/>
          <w:marRight w:val="0"/>
          <w:marTop w:val="0"/>
          <w:marBottom w:val="0"/>
          <w:divBdr>
            <w:top w:val="none" w:sz="0" w:space="0" w:color="auto"/>
            <w:left w:val="none" w:sz="0" w:space="0" w:color="auto"/>
            <w:bottom w:val="none" w:sz="0" w:space="0" w:color="auto"/>
            <w:right w:val="none" w:sz="0" w:space="0" w:color="auto"/>
          </w:divBdr>
        </w:div>
        <w:div w:id="1083063700">
          <w:marLeft w:val="0"/>
          <w:marRight w:val="0"/>
          <w:marTop w:val="0"/>
          <w:marBottom w:val="0"/>
          <w:divBdr>
            <w:top w:val="none" w:sz="0" w:space="0" w:color="auto"/>
            <w:left w:val="none" w:sz="0" w:space="0" w:color="auto"/>
            <w:bottom w:val="none" w:sz="0" w:space="0" w:color="auto"/>
            <w:right w:val="none" w:sz="0" w:space="0" w:color="auto"/>
          </w:divBdr>
        </w:div>
        <w:div w:id="1691299356">
          <w:marLeft w:val="0"/>
          <w:marRight w:val="0"/>
          <w:marTop w:val="0"/>
          <w:marBottom w:val="0"/>
          <w:divBdr>
            <w:top w:val="none" w:sz="0" w:space="0" w:color="auto"/>
            <w:left w:val="none" w:sz="0" w:space="0" w:color="auto"/>
            <w:bottom w:val="none" w:sz="0" w:space="0" w:color="auto"/>
            <w:right w:val="none" w:sz="0" w:space="0" w:color="auto"/>
          </w:divBdr>
        </w:div>
        <w:div w:id="2007895374">
          <w:marLeft w:val="0"/>
          <w:marRight w:val="0"/>
          <w:marTop w:val="0"/>
          <w:marBottom w:val="0"/>
          <w:divBdr>
            <w:top w:val="none" w:sz="0" w:space="0" w:color="auto"/>
            <w:left w:val="none" w:sz="0" w:space="0" w:color="auto"/>
            <w:bottom w:val="none" w:sz="0" w:space="0" w:color="auto"/>
            <w:right w:val="none" w:sz="0" w:space="0" w:color="auto"/>
          </w:divBdr>
        </w:div>
        <w:div w:id="1694917317">
          <w:marLeft w:val="0"/>
          <w:marRight w:val="0"/>
          <w:marTop w:val="0"/>
          <w:marBottom w:val="0"/>
          <w:divBdr>
            <w:top w:val="none" w:sz="0" w:space="0" w:color="auto"/>
            <w:left w:val="none" w:sz="0" w:space="0" w:color="auto"/>
            <w:bottom w:val="none" w:sz="0" w:space="0" w:color="auto"/>
            <w:right w:val="none" w:sz="0" w:space="0" w:color="auto"/>
          </w:divBdr>
        </w:div>
        <w:div w:id="948313931">
          <w:marLeft w:val="0"/>
          <w:marRight w:val="0"/>
          <w:marTop w:val="0"/>
          <w:marBottom w:val="0"/>
          <w:divBdr>
            <w:top w:val="none" w:sz="0" w:space="0" w:color="auto"/>
            <w:left w:val="none" w:sz="0" w:space="0" w:color="auto"/>
            <w:bottom w:val="none" w:sz="0" w:space="0" w:color="auto"/>
            <w:right w:val="none" w:sz="0" w:space="0" w:color="auto"/>
          </w:divBdr>
        </w:div>
        <w:div w:id="416943454">
          <w:marLeft w:val="0"/>
          <w:marRight w:val="0"/>
          <w:marTop w:val="0"/>
          <w:marBottom w:val="0"/>
          <w:divBdr>
            <w:top w:val="none" w:sz="0" w:space="0" w:color="auto"/>
            <w:left w:val="none" w:sz="0" w:space="0" w:color="auto"/>
            <w:bottom w:val="none" w:sz="0" w:space="0" w:color="auto"/>
            <w:right w:val="none" w:sz="0" w:space="0" w:color="auto"/>
          </w:divBdr>
        </w:div>
        <w:div w:id="1399205633">
          <w:marLeft w:val="0"/>
          <w:marRight w:val="0"/>
          <w:marTop w:val="0"/>
          <w:marBottom w:val="0"/>
          <w:divBdr>
            <w:top w:val="none" w:sz="0" w:space="0" w:color="auto"/>
            <w:left w:val="none" w:sz="0" w:space="0" w:color="auto"/>
            <w:bottom w:val="none" w:sz="0" w:space="0" w:color="auto"/>
            <w:right w:val="none" w:sz="0" w:space="0" w:color="auto"/>
          </w:divBdr>
        </w:div>
        <w:div w:id="1018776737">
          <w:marLeft w:val="0"/>
          <w:marRight w:val="0"/>
          <w:marTop w:val="0"/>
          <w:marBottom w:val="0"/>
          <w:divBdr>
            <w:top w:val="none" w:sz="0" w:space="0" w:color="auto"/>
            <w:left w:val="none" w:sz="0" w:space="0" w:color="auto"/>
            <w:bottom w:val="none" w:sz="0" w:space="0" w:color="auto"/>
            <w:right w:val="none" w:sz="0" w:space="0" w:color="auto"/>
          </w:divBdr>
        </w:div>
      </w:divsChild>
    </w:div>
    <w:div w:id="184963754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65912383">
      <w:bodyDiv w:val="1"/>
      <w:marLeft w:val="0"/>
      <w:marRight w:val="0"/>
      <w:marTop w:val="0"/>
      <w:marBottom w:val="0"/>
      <w:divBdr>
        <w:top w:val="none" w:sz="0" w:space="0" w:color="auto"/>
        <w:left w:val="none" w:sz="0" w:space="0" w:color="auto"/>
        <w:bottom w:val="none" w:sz="0" w:space="0" w:color="auto"/>
        <w:right w:val="none" w:sz="0" w:space="0" w:color="auto"/>
      </w:divBdr>
      <w:divsChild>
        <w:div w:id="1925409339">
          <w:marLeft w:val="0"/>
          <w:marRight w:val="0"/>
          <w:marTop w:val="0"/>
          <w:marBottom w:val="0"/>
          <w:divBdr>
            <w:top w:val="none" w:sz="0" w:space="0" w:color="auto"/>
            <w:left w:val="none" w:sz="0" w:space="0" w:color="auto"/>
            <w:bottom w:val="none" w:sz="0" w:space="0" w:color="auto"/>
            <w:right w:val="none" w:sz="0" w:space="0" w:color="auto"/>
          </w:divBdr>
          <w:divsChild>
            <w:div w:id="1928532492">
              <w:marLeft w:val="0"/>
              <w:marRight w:val="0"/>
              <w:marTop w:val="0"/>
              <w:marBottom w:val="0"/>
              <w:divBdr>
                <w:top w:val="none" w:sz="0" w:space="0" w:color="auto"/>
                <w:left w:val="none" w:sz="0" w:space="0" w:color="auto"/>
                <w:bottom w:val="none" w:sz="0" w:space="0" w:color="auto"/>
                <w:right w:val="none" w:sz="0" w:space="0" w:color="auto"/>
              </w:divBdr>
              <w:divsChild>
                <w:div w:id="420299787">
                  <w:marLeft w:val="0"/>
                  <w:marRight w:val="0"/>
                  <w:marTop w:val="0"/>
                  <w:marBottom w:val="0"/>
                  <w:divBdr>
                    <w:top w:val="none" w:sz="0" w:space="0" w:color="auto"/>
                    <w:left w:val="none" w:sz="0" w:space="0" w:color="auto"/>
                    <w:bottom w:val="none" w:sz="0" w:space="0" w:color="auto"/>
                    <w:right w:val="none" w:sz="0" w:space="0" w:color="auto"/>
                  </w:divBdr>
                  <w:divsChild>
                    <w:div w:id="789395747">
                      <w:marLeft w:val="0"/>
                      <w:marRight w:val="0"/>
                      <w:marTop w:val="0"/>
                      <w:marBottom w:val="0"/>
                      <w:divBdr>
                        <w:top w:val="none" w:sz="0" w:space="0" w:color="auto"/>
                        <w:left w:val="none" w:sz="0" w:space="0" w:color="auto"/>
                        <w:bottom w:val="none" w:sz="0" w:space="0" w:color="auto"/>
                        <w:right w:val="none" w:sz="0" w:space="0" w:color="auto"/>
                      </w:divBdr>
                      <w:divsChild>
                        <w:div w:id="171996016">
                          <w:marLeft w:val="0"/>
                          <w:marRight w:val="0"/>
                          <w:marTop w:val="0"/>
                          <w:marBottom w:val="0"/>
                          <w:divBdr>
                            <w:top w:val="none" w:sz="0" w:space="0" w:color="auto"/>
                            <w:left w:val="none" w:sz="0" w:space="0" w:color="auto"/>
                            <w:bottom w:val="none" w:sz="0" w:space="0" w:color="auto"/>
                            <w:right w:val="none" w:sz="0" w:space="0" w:color="auto"/>
                          </w:divBdr>
                          <w:divsChild>
                            <w:div w:id="2054571180">
                              <w:marLeft w:val="0"/>
                              <w:marRight w:val="0"/>
                              <w:marTop w:val="0"/>
                              <w:marBottom w:val="0"/>
                              <w:divBdr>
                                <w:top w:val="none" w:sz="0" w:space="0" w:color="auto"/>
                                <w:left w:val="none" w:sz="0" w:space="0" w:color="auto"/>
                                <w:bottom w:val="none" w:sz="0" w:space="0" w:color="auto"/>
                                <w:right w:val="none" w:sz="0" w:space="0" w:color="auto"/>
                              </w:divBdr>
                              <w:divsChild>
                                <w:div w:id="1033924929">
                                  <w:marLeft w:val="0"/>
                                  <w:marRight w:val="0"/>
                                  <w:marTop w:val="0"/>
                                  <w:marBottom w:val="0"/>
                                  <w:divBdr>
                                    <w:top w:val="none" w:sz="0" w:space="0" w:color="auto"/>
                                    <w:left w:val="none" w:sz="0" w:space="0" w:color="auto"/>
                                    <w:bottom w:val="none" w:sz="0" w:space="0" w:color="auto"/>
                                    <w:right w:val="none" w:sz="0" w:space="0" w:color="auto"/>
                                  </w:divBdr>
                                  <w:divsChild>
                                    <w:div w:id="311523128">
                                      <w:marLeft w:val="0"/>
                                      <w:marRight w:val="0"/>
                                      <w:marTop w:val="0"/>
                                      <w:marBottom w:val="0"/>
                                      <w:divBdr>
                                        <w:top w:val="none" w:sz="0" w:space="0" w:color="auto"/>
                                        <w:left w:val="none" w:sz="0" w:space="0" w:color="auto"/>
                                        <w:bottom w:val="none" w:sz="0" w:space="0" w:color="auto"/>
                                        <w:right w:val="none" w:sz="0" w:space="0" w:color="auto"/>
                                      </w:divBdr>
                                      <w:divsChild>
                                        <w:div w:id="2058846077">
                                          <w:marLeft w:val="0"/>
                                          <w:marRight w:val="0"/>
                                          <w:marTop w:val="0"/>
                                          <w:marBottom w:val="0"/>
                                          <w:divBdr>
                                            <w:top w:val="none" w:sz="0" w:space="0" w:color="auto"/>
                                            <w:left w:val="none" w:sz="0" w:space="0" w:color="auto"/>
                                            <w:bottom w:val="none" w:sz="0" w:space="0" w:color="auto"/>
                                            <w:right w:val="none" w:sz="0" w:space="0" w:color="auto"/>
                                          </w:divBdr>
                                          <w:divsChild>
                                            <w:div w:id="1684670815">
                                              <w:marLeft w:val="0"/>
                                              <w:marRight w:val="0"/>
                                              <w:marTop w:val="0"/>
                                              <w:marBottom w:val="0"/>
                                              <w:divBdr>
                                                <w:top w:val="none" w:sz="0" w:space="0" w:color="auto"/>
                                                <w:left w:val="none" w:sz="0" w:space="0" w:color="auto"/>
                                                <w:bottom w:val="none" w:sz="0" w:space="0" w:color="auto"/>
                                                <w:right w:val="none" w:sz="0" w:space="0" w:color="auto"/>
                                              </w:divBdr>
                                              <w:divsChild>
                                                <w:div w:id="702755379">
                                                  <w:marLeft w:val="0"/>
                                                  <w:marRight w:val="0"/>
                                                  <w:marTop w:val="0"/>
                                                  <w:marBottom w:val="0"/>
                                                  <w:divBdr>
                                                    <w:top w:val="none" w:sz="0" w:space="0" w:color="auto"/>
                                                    <w:left w:val="none" w:sz="0" w:space="0" w:color="auto"/>
                                                    <w:bottom w:val="none" w:sz="0" w:space="0" w:color="auto"/>
                                                    <w:right w:val="none" w:sz="0" w:space="0" w:color="auto"/>
                                                  </w:divBdr>
                                                  <w:divsChild>
                                                    <w:div w:id="1784499422">
                                                      <w:marLeft w:val="0"/>
                                                      <w:marRight w:val="0"/>
                                                      <w:marTop w:val="0"/>
                                                      <w:marBottom w:val="0"/>
                                                      <w:divBdr>
                                                        <w:top w:val="none" w:sz="0" w:space="0" w:color="auto"/>
                                                        <w:left w:val="none" w:sz="0" w:space="0" w:color="auto"/>
                                                        <w:bottom w:val="none" w:sz="0" w:space="0" w:color="auto"/>
                                                        <w:right w:val="none" w:sz="0" w:space="0" w:color="auto"/>
                                                      </w:divBdr>
                                                    </w:div>
                                                    <w:div w:id="19350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healthaffairs.org/doi/full/10.1377/hlthaff.2013.1224" TargetMode="External"/><Relationship Id="rId13" Type="http://schemas.openxmlformats.org/officeDocument/2006/relationships/hyperlink" Target="https://www.painphysicianjournal.com/current/pdf?article=MjcwNQ%3D%3D&amp;journal=96" TargetMode="External"/><Relationship Id="rId18" Type="http://schemas.openxmlformats.org/officeDocument/2006/relationships/hyperlink" Target="https://www.ncbi.nlm.nih.gov/pmc/articles/PMC4600358/" TargetMode="External"/><Relationship Id="rId26" Type="http://schemas.openxmlformats.org/officeDocument/2006/relationships/hyperlink" Target="https://www.healthypeople.gov/2020/topics-objectives/topic/Access-to-Health-Services" TargetMode="External"/><Relationship Id="rId39" Type="http://schemas.openxmlformats.org/officeDocument/2006/relationships/hyperlink" Target="http://www.medpac.gov/docs/default-source/reports/mar19_medpac_ch5_sec.pdf?sfvrsn=0" TargetMode="External"/><Relationship Id="rId3" Type="http://schemas.openxmlformats.org/officeDocument/2006/relationships/hyperlink" Target="https://www.aaos.org/contentassets/1cd7f41417ec4dd4b5c4c48532183b96/1184-the-impact-of-obesity-on-bone-and-joint-health1.pdf" TargetMode="External"/><Relationship Id="rId21" Type="http://schemas.openxmlformats.org/officeDocument/2006/relationships/hyperlink" Target="https://www.aaos.org/uploadedFiles/1161%20Ambulatory%20Surgical%20Centers.pdf" TargetMode="External"/><Relationship Id="rId34" Type="http://schemas.openxmlformats.org/officeDocument/2006/relationships/hyperlink" Target="https://www.ascassociation.org/HigherLogic/System/DownloadDocumentFile.ashx?DocumentFileKey=829b1dd6-0b5d-9686-e57c-3e2ed4ab42ca&amp;forceDialog=0" TargetMode="External"/><Relationship Id="rId42" Type="http://schemas.openxmlformats.org/officeDocument/2006/relationships/hyperlink" Target="https://www.pyapc.com/wp-content/uploads/2019/04/0419_HFM_McMillan.pdf" TargetMode="External"/><Relationship Id="rId7" Type="http://schemas.openxmlformats.org/officeDocument/2006/relationships/hyperlink" Target="https://www.ncbi.nlm.nih.gov/pmc/articles/PMC3753584/pdf/nihms479319.pdf" TargetMode="External"/><Relationship Id="rId12" Type="http://schemas.openxmlformats.org/officeDocument/2006/relationships/hyperlink" Target="https://www.healthypeople.gov/2020/topics-objectives/topic/older-adults" TargetMode="External"/><Relationship Id="rId17" Type="http://schemas.openxmlformats.org/officeDocument/2006/relationships/hyperlink" Target="https://www.advancingsurgicalcare.com/safetyquality/ascqualityreporting" TargetMode="External"/><Relationship Id="rId25" Type="http://schemas.openxmlformats.org/officeDocument/2006/relationships/hyperlink" Target="https://www.countyhealthrankings.org/explore-health-rankings/measures-data-sources/county-health-rankings-model/health-factors/clinical-care/access-to-care" TargetMode="External"/><Relationship Id="rId33" Type="http://schemas.openxmlformats.org/officeDocument/2006/relationships/hyperlink" Target="https://www.ascassociation.org/advancingsurgicalcare/reducinghealthcarecosts/paymentdisparitiesbetweenascsandhopds" TargetMode="External"/><Relationship Id="rId38" Type="http://schemas.openxmlformats.org/officeDocument/2006/relationships/hyperlink" Target="https://www.aha.org/system/files/media/file/2019/04/kng-health-aha-analysis-of-hopd-vs-asc-report.pdf" TargetMode="External"/><Relationship Id="rId2" Type="http://schemas.openxmlformats.org/officeDocument/2006/relationships/hyperlink" Target="https://www.impact-advisors.com/implementation/surgical-block-utilization/" TargetMode="External"/><Relationship Id="rId16" Type="http://schemas.openxmlformats.org/officeDocument/2006/relationships/hyperlink" Target="https://www.entnet.org/content/intra-operative-use-computer-aided-surgery" TargetMode="External"/><Relationship Id="rId20" Type="http://schemas.openxmlformats.org/officeDocument/2006/relationships/hyperlink" Target="https://www.healthaffairs.org/doi/pdf/10.1377/hlthaff.2013.1281" TargetMode="External"/><Relationship Id="rId29" Type="http://schemas.openxmlformats.org/officeDocument/2006/relationships/hyperlink" Target="https://www.ajmc.com/contributor/michael-abrams/2019/05/coming-to-terms-with-care-migration" TargetMode="External"/><Relationship Id="rId41" Type="http://schemas.openxmlformats.org/officeDocument/2006/relationships/hyperlink" Target="https://www.ascassociation.org/advancingsurgicalcare/aboutascs/industryoverview/apositivetrendinhealthcare" TargetMode="External"/><Relationship Id="rId1" Type="http://schemas.openxmlformats.org/officeDocument/2006/relationships/hyperlink" Target="https://www.painphysicianjournal.com/current/pdf?article=NTQwMQ%3D%3D&amp;journal=113" TargetMode="External"/><Relationship Id="rId6" Type="http://schemas.openxmlformats.org/officeDocument/2006/relationships/hyperlink" Target="https://www.cdc.gov/arthritis/data_statistics/arthritis-related-stats.htm" TargetMode="External"/><Relationship Id="rId11" Type="http://schemas.openxmlformats.org/officeDocument/2006/relationships/hyperlink" Target="https://www.cms.gov/newsroom/fact-sheets/cy-2021-medicare-hospital-outpatient-prospective-payment-system-and-ambulatory-surgical-center-0" TargetMode="External"/><Relationship Id="rId24" Type="http://schemas.openxmlformats.org/officeDocument/2006/relationships/hyperlink" Target="https://www.healthypeople.gov/2020/topics-objectives/topic/Access-to-Health-Services" TargetMode="External"/><Relationship Id="rId32" Type="http://schemas.openxmlformats.org/officeDocument/2006/relationships/hyperlink" Target="https://www.mass.gov/files/documents/2018/12/31/jud-lib-105cmr100.pdf" TargetMode="External"/><Relationship Id="rId37" Type="http://schemas.openxmlformats.org/officeDocument/2006/relationships/hyperlink" Target="https://www.ascassociation.org/advancingsurgicalcare/reducinghealthcarecosts/costsavings/healthcarebluebookstudy" TargetMode="External"/><Relationship Id="rId40" Type="http://schemas.openxmlformats.org/officeDocument/2006/relationships/hyperlink" Target="https://www.brookings.edu/blog/techtank/2019/01/30/procedure-price-lookup-a-step-toward-transparency-in-the-health-care-system/" TargetMode="External"/><Relationship Id="rId5" Type="http://schemas.openxmlformats.org/officeDocument/2006/relationships/hyperlink" Target="https://www.ncbi.nlm.nih.gov/pmc/articles/PMC6059375/pdf/nihms981764.pdf" TargetMode="External"/><Relationship Id="rId15" Type="http://schemas.openxmlformats.org/officeDocument/2006/relationships/hyperlink" Target="https://www.ncbi.nlm.nih.gov/pmc/articles/PMC6544556/pdf/pnz003.pdf" TargetMode="External"/><Relationship Id="rId23" Type="http://schemas.openxmlformats.org/officeDocument/2006/relationships/hyperlink" Target="http://www.medpac.gov/docs/default-source/reports/mar20_medpac_ch5_sec.pdf?sfvrsn=0" TargetMode="External"/><Relationship Id="rId28" Type="http://schemas.openxmlformats.org/officeDocument/2006/relationships/hyperlink" Target="https://www.iaas-med.com/files/Journal/Volume25/AMB_SURG_25_1-UPPAL.pdf" TargetMode="External"/><Relationship Id="rId36" Type="http://schemas.openxmlformats.org/officeDocument/2006/relationships/hyperlink" Target="https://www.beckersasc.com/asc-coding-billing-and-collections/cms-posts-payments-for-ascs-vs-hopds-medicare-pays-ascs-359-less-for-colonoscopy-1-092-less-for-knee-arthroscopy.html" TargetMode="External"/><Relationship Id="rId10" Type="http://schemas.openxmlformats.org/officeDocument/2006/relationships/hyperlink" Target="https://www.ncbi.nlm.nih.gov/pmc/articles/PMC4024102/pdf/nihms568357.pdf" TargetMode="External"/><Relationship Id="rId19" Type="http://schemas.openxmlformats.org/officeDocument/2006/relationships/hyperlink" Target="https://www.hhs.gov/sites/default/files/pain-mgmt-best-practices-draft-final-report-05062019.pdf" TargetMode="External"/><Relationship Id="rId31" Type="http://schemas.openxmlformats.org/officeDocument/2006/relationships/hyperlink" Target="https://www.mass.gov/doc/community-engagement-guidelines-for-community-health-planning-pdf/download" TargetMode="External"/><Relationship Id="rId44" Type="http://schemas.openxmlformats.org/officeDocument/2006/relationships/hyperlink" Target="https://www.pyapc.com/wp-content/uploads/2019/04/0419_HFM_McMillan.pdf" TargetMode="External"/><Relationship Id="rId4" Type="http://schemas.openxmlformats.org/officeDocument/2006/relationships/hyperlink" Target="https://www.ncbi.nlm.nih.gov/pmc/articles/PMC7265183/pdf/RiU022001_0024.pdf" TargetMode="External"/><Relationship Id="rId9" Type="http://schemas.openxmlformats.org/officeDocument/2006/relationships/hyperlink" Target="https://www.cms.gov/Research-Statistics-Data-and-Systems/Statistics-Trends-and-Reports/NationalHealthExpendData/NHE-Fact-Sheet" TargetMode="External"/><Relationship Id="rId14" Type="http://schemas.openxmlformats.org/officeDocument/2006/relationships/hyperlink" Target="file:///C:/Users/lc352/Downloads/d6c73669-7872-4ab4-bdc9-0694d708c136.pdf" TargetMode="External"/><Relationship Id="rId22" Type="http://schemas.openxmlformats.org/officeDocument/2006/relationships/hyperlink" Target="https://higherlogicdownload.s3.amazonaws.com/ASCACONNECT/fd1693e2-e4a8-43d3-816d-17ecfc7d55c1/UploadedImages/About%20Us/ASCs%20-%20A%20Positive%20Trend%20in%20Health%20Care.pdf" TargetMode="External"/><Relationship Id="rId27" Type="http://schemas.openxmlformats.org/officeDocument/2006/relationships/hyperlink" Target="https://www.beckersasc.com/asc-coding-billing-and-collections/shining-a-light-on-the-value-of-value-based-care-ascs-are-positioned-to-lead-the-way.html" TargetMode="External"/><Relationship Id="rId30" Type="http://schemas.openxmlformats.org/officeDocument/2006/relationships/hyperlink" Target="https://www.beckersasc.com/supply-chain/3-reasons-ascs-adopt-ehr-software.html" TargetMode="External"/><Relationship Id="rId35" Type="http://schemas.openxmlformats.org/officeDocument/2006/relationships/hyperlink" Target="https://www.ascassociation.org/advancingsurgicalcare/aboutascs/industryoverview/apositivetrendinhealthcare" TargetMode="External"/><Relationship Id="rId43" Type="http://schemas.openxmlformats.org/officeDocument/2006/relationships/hyperlink" Target="https://www.beckersasc.com/asc-coding-billing-and-collections/shining-a-light-on-the-value-of-value-based-care-ascs-are-positioned-to-lead-the-wa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edicare.gov/procedure-price-lookup/" TargetMode="External"/><Relationship Id="rId1" Type="http://schemas.openxmlformats.org/officeDocument/2006/relationships/hyperlink" Target="https://www.minorityhealth.hhs.gov/npa/files/Plans/Toolkit/NPA_Toolkit.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F3600-5DC4-46F3-9946-246DF0CC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6560</Words>
  <Characters>37393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 LAC</cp:lastModifiedBy>
  <cp:revision>6</cp:revision>
  <cp:lastPrinted>2020-12-15T19:03:00Z</cp:lastPrinted>
  <dcterms:created xsi:type="dcterms:W3CDTF">2020-12-21T16:43:00Z</dcterms:created>
  <dcterms:modified xsi:type="dcterms:W3CDTF">2020-12-21T17:10:00Z</dcterms:modified>
</cp:coreProperties>
</file>