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DDE72" w14:textId="77777777" w:rsidR="00B568BB" w:rsidRPr="00B568BB" w:rsidRDefault="00B568BB" w:rsidP="00B568BB">
      <w:pPr>
        <w:pStyle w:val="Heading1"/>
      </w:pPr>
      <w:r w:rsidRPr="00B568BB">
        <w:t>Non-Emergency Human Service Transportation Task Force</w:t>
      </w:r>
    </w:p>
    <w:p w14:paraId="72BBADD4" w14:textId="77777777" w:rsidR="00B568BB" w:rsidRPr="00B568BB" w:rsidRDefault="00B568BB" w:rsidP="00B568BB">
      <w:r w:rsidRPr="00B568BB">
        <w:rPr>
          <w:i/>
          <w:iCs/>
        </w:rPr>
        <w:t>Established by Section 134 of Chapter 24 of the Acts of 2021 (FY22 Budget)</w:t>
      </w:r>
    </w:p>
    <w:p w14:paraId="250885DE" w14:textId="3B8CCC00" w:rsidR="00B568BB" w:rsidRDefault="00B568BB" w:rsidP="00B568BB">
      <w:r w:rsidRPr="00B568BB">
        <w:t>December 1, 2022</w:t>
      </w:r>
    </w:p>
    <w:p w14:paraId="237AF518" w14:textId="77777777" w:rsidR="00B568BB" w:rsidRDefault="00B568BB">
      <w:r>
        <w:br w:type="page"/>
      </w:r>
    </w:p>
    <w:p w14:paraId="456C69CA" w14:textId="787A32F9" w:rsidR="00B568BB" w:rsidRDefault="00B568BB" w:rsidP="00B568BB">
      <w:r>
        <w:lastRenderedPageBreak/>
        <w:t>Slide 2</w:t>
      </w:r>
    </w:p>
    <w:p w14:paraId="48C152A8" w14:textId="43844C35" w:rsidR="00B568BB" w:rsidRPr="00B568BB" w:rsidRDefault="00B568BB" w:rsidP="00B568BB">
      <w:pPr>
        <w:pStyle w:val="Heading2"/>
      </w:pPr>
      <w:r w:rsidRPr="00B568BB">
        <w:t>Table of Contents</w:t>
      </w:r>
    </w:p>
    <w:p w14:paraId="65B20429" w14:textId="77777777" w:rsidR="00B568BB" w:rsidRPr="00B568BB" w:rsidRDefault="00B568BB" w:rsidP="00B568BB">
      <w:pPr>
        <w:numPr>
          <w:ilvl w:val="0"/>
          <w:numId w:val="1"/>
        </w:numPr>
      </w:pPr>
      <w:r w:rsidRPr="00B568BB">
        <w:rPr>
          <w:b/>
          <w:bCs/>
        </w:rPr>
        <w:t>Task Force Overview</w:t>
      </w:r>
    </w:p>
    <w:p w14:paraId="79567B6C" w14:textId="77777777" w:rsidR="00B568BB" w:rsidRPr="00B568BB" w:rsidRDefault="00B568BB" w:rsidP="00B568BB">
      <w:pPr>
        <w:numPr>
          <w:ilvl w:val="0"/>
          <w:numId w:val="1"/>
        </w:numPr>
      </w:pPr>
      <w:r w:rsidRPr="00B568BB">
        <w:rPr>
          <w:b/>
          <w:bCs/>
        </w:rPr>
        <w:t>Public Input to Task Force Recommendations</w:t>
      </w:r>
    </w:p>
    <w:p w14:paraId="05C9D8F9" w14:textId="77777777" w:rsidR="00B568BB" w:rsidRPr="00B568BB" w:rsidRDefault="00B568BB" w:rsidP="00B568BB">
      <w:pPr>
        <w:numPr>
          <w:ilvl w:val="0"/>
          <w:numId w:val="1"/>
        </w:numPr>
      </w:pPr>
      <w:r w:rsidRPr="00B568BB">
        <w:rPr>
          <w:b/>
          <w:bCs/>
        </w:rPr>
        <w:t>Background on HST Services</w:t>
      </w:r>
    </w:p>
    <w:p w14:paraId="2B9569F4" w14:textId="77777777" w:rsidR="00B568BB" w:rsidRPr="00B568BB" w:rsidRDefault="00B568BB" w:rsidP="00B568BB">
      <w:pPr>
        <w:numPr>
          <w:ilvl w:val="0"/>
          <w:numId w:val="1"/>
        </w:numPr>
      </w:pPr>
      <w:r w:rsidRPr="00B568BB">
        <w:rPr>
          <w:b/>
          <w:bCs/>
        </w:rPr>
        <w:t>Task Force’s Overall Findings and Recommendations</w:t>
      </w:r>
    </w:p>
    <w:p w14:paraId="1E0E7089" w14:textId="77777777" w:rsidR="00B568BB" w:rsidRPr="00B568BB" w:rsidRDefault="00B568BB" w:rsidP="00B568BB">
      <w:pPr>
        <w:numPr>
          <w:ilvl w:val="0"/>
          <w:numId w:val="1"/>
        </w:numPr>
      </w:pPr>
      <w:r w:rsidRPr="00B568BB">
        <w:rPr>
          <w:b/>
          <w:bCs/>
        </w:rPr>
        <w:t>Task Force’s Recommendations in Detail</w:t>
      </w:r>
    </w:p>
    <w:p w14:paraId="2B0008C5" w14:textId="77777777" w:rsidR="00B568BB" w:rsidRPr="00B568BB" w:rsidRDefault="00B568BB" w:rsidP="00B568BB">
      <w:pPr>
        <w:numPr>
          <w:ilvl w:val="0"/>
          <w:numId w:val="1"/>
        </w:numPr>
      </w:pPr>
      <w:r w:rsidRPr="00B568BB">
        <w:rPr>
          <w:b/>
          <w:bCs/>
        </w:rPr>
        <w:t>Appendices</w:t>
      </w:r>
    </w:p>
    <w:p w14:paraId="3B5D2E9B" w14:textId="51A3FEDF" w:rsidR="00B568BB" w:rsidRPr="00B568BB" w:rsidRDefault="00B568BB" w:rsidP="00B568BB">
      <w:pPr>
        <w:numPr>
          <w:ilvl w:val="1"/>
          <w:numId w:val="1"/>
        </w:numPr>
      </w:pPr>
      <w:r w:rsidRPr="00B568BB">
        <w:t>Appendix A</w:t>
      </w:r>
      <w:r w:rsidR="00F90978">
        <w:t xml:space="preserve"> </w:t>
      </w:r>
      <w:r w:rsidRPr="00B568BB">
        <w:t>–  Legislative Mandate</w:t>
      </w:r>
    </w:p>
    <w:p w14:paraId="00D1BD44" w14:textId="096D8713" w:rsidR="00B568BB" w:rsidRPr="00B568BB" w:rsidRDefault="00B568BB" w:rsidP="00B568BB">
      <w:pPr>
        <w:numPr>
          <w:ilvl w:val="1"/>
          <w:numId w:val="1"/>
        </w:numPr>
      </w:pPr>
      <w:r w:rsidRPr="00B568BB">
        <w:t>Appendix B</w:t>
      </w:r>
      <w:r w:rsidR="00F90978">
        <w:t xml:space="preserve"> </w:t>
      </w:r>
      <w:r w:rsidRPr="00B568BB">
        <w:t>–  List of Task Force Members</w:t>
      </w:r>
    </w:p>
    <w:p w14:paraId="09567BB9" w14:textId="3C7AE72B" w:rsidR="00B568BB" w:rsidRPr="00B568BB" w:rsidRDefault="00B568BB" w:rsidP="00B568BB">
      <w:pPr>
        <w:numPr>
          <w:ilvl w:val="1"/>
          <w:numId w:val="1"/>
        </w:numPr>
      </w:pPr>
      <w:r w:rsidRPr="00B568BB">
        <w:t>Appendix C</w:t>
      </w:r>
      <w:r w:rsidR="00F90978">
        <w:t xml:space="preserve"> </w:t>
      </w:r>
      <w:r w:rsidRPr="00B568BB">
        <w:t>–  Summary of Meetings and Input Provided to the Task Force</w:t>
      </w:r>
    </w:p>
    <w:p w14:paraId="55D52D84" w14:textId="5ED1AF9C" w:rsidR="00B568BB" w:rsidRPr="00B568BB" w:rsidRDefault="00B568BB" w:rsidP="00B568BB">
      <w:pPr>
        <w:numPr>
          <w:ilvl w:val="1"/>
          <w:numId w:val="1"/>
        </w:numPr>
      </w:pPr>
      <w:r w:rsidRPr="00B568BB">
        <w:t>Appendix D</w:t>
      </w:r>
      <w:r w:rsidR="00F90978">
        <w:t xml:space="preserve"> </w:t>
      </w:r>
      <w:r w:rsidRPr="00B568BB">
        <w:t>–  Resources Reviewed by the Task Force</w:t>
      </w:r>
    </w:p>
    <w:p w14:paraId="6E4006F7" w14:textId="2AB22124" w:rsidR="00B568BB" w:rsidRPr="00B568BB" w:rsidRDefault="00B568BB" w:rsidP="00B568BB">
      <w:pPr>
        <w:numPr>
          <w:ilvl w:val="1"/>
          <w:numId w:val="1"/>
        </w:numPr>
      </w:pPr>
      <w:r w:rsidRPr="00B568BB">
        <w:t>Appendix E</w:t>
      </w:r>
      <w:r w:rsidR="00F90978">
        <w:t xml:space="preserve"> </w:t>
      </w:r>
      <w:r w:rsidRPr="00B568BB">
        <w:t>–  Letters Received from Brokers and Stakeholder Groups</w:t>
      </w:r>
    </w:p>
    <w:p w14:paraId="29582A5E" w14:textId="4BCD8899" w:rsidR="00B568BB" w:rsidRPr="00B568BB" w:rsidRDefault="00B568BB" w:rsidP="00B568BB">
      <w:pPr>
        <w:numPr>
          <w:ilvl w:val="1"/>
          <w:numId w:val="1"/>
        </w:numPr>
      </w:pPr>
      <w:r w:rsidRPr="00B568BB">
        <w:t>Appendix F</w:t>
      </w:r>
      <w:r w:rsidR="00F90978">
        <w:t xml:space="preserve"> </w:t>
      </w:r>
      <w:r w:rsidRPr="00B568BB">
        <w:t>–  Broker Welcome Letters and Postcards</w:t>
      </w:r>
    </w:p>
    <w:p w14:paraId="365E1CB5" w14:textId="7EECE53B" w:rsidR="00B568BB" w:rsidRPr="00B568BB" w:rsidRDefault="00B568BB" w:rsidP="00B568BB">
      <w:pPr>
        <w:numPr>
          <w:ilvl w:val="1"/>
          <w:numId w:val="1"/>
        </w:numPr>
      </w:pPr>
      <w:r w:rsidRPr="00B568BB">
        <w:t>Appendix G</w:t>
      </w:r>
      <w:r w:rsidR="00F90978">
        <w:t xml:space="preserve"> </w:t>
      </w:r>
      <w:r w:rsidRPr="00B568BB">
        <w:t>–  Passenger Assistance Safety and Sensitivity Training Manual</w:t>
      </w:r>
    </w:p>
    <w:p w14:paraId="53802D4F" w14:textId="77777777" w:rsidR="00B568BB" w:rsidRPr="00B568BB" w:rsidRDefault="00B568BB" w:rsidP="00B568BB">
      <w:pPr>
        <w:numPr>
          <w:ilvl w:val="1"/>
          <w:numId w:val="1"/>
        </w:numPr>
      </w:pPr>
      <w:r w:rsidRPr="00B568BB">
        <w:t>Appendix H –  Written Feedback Received from Task Force Members After 11/15/2022</w:t>
      </w:r>
    </w:p>
    <w:p w14:paraId="5CE19C5E" w14:textId="0A822735" w:rsidR="00B568BB" w:rsidRDefault="00B568BB"/>
    <w:p w14:paraId="3E26DC65" w14:textId="4B40CBB1" w:rsidR="00B568BB" w:rsidRDefault="00B568BB">
      <w:r>
        <w:t>Slide 3 and 4</w:t>
      </w:r>
    </w:p>
    <w:p w14:paraId="1B7FB49A" w14:textId="37FAD528" w:rsidR="00B568BB" w:rsidRPr="00B568BB" w:rsidRDefault="00B568BB" w:rsidP="00B568BB">
      <w:pPr>
        <w:pStyle w:val="Heading2"/>
      </w:pPr>
      <w:r w:rsidRPr="00B568BB">
        <w:t>Task Force Overview</w:t>
      </w:r>
    </w:p>
    <w:p w14:paraId="750BAEB6" w14:textId="77777777" w:rsidR="00B568BB" w:rsidRPr="00B568BB" w:rsidRDefault="00B568BB" w:rsidP="00B568BB">
      <w:r w:rsidRPr="00B568BB">
        <w:t xml:space="preserve">The Non-Emergency Human Service Transportation Task Force was established in July 2021 with the passage of </w:t>
      </w:r>
      <w:hyperlink r:id="rId5" w:history="1">
        <w:r w:rsidRPr="00B568BB">
          <w:rPr>
            <w:rStyle w:val="Hyperlink"/>
          </w:rPr>
          <w:t>Section 134 of Chapter 24 of the Acts of 2021 (FY22 Budget)</w:t>
        </w:r>
      </w:hyperlink>
      <w:r w:rsidRPr="00B568BB">
        <w:t xml:space="preserve"> and was charged with exploring ways to </w:t>
      </w:r>
      <w:r w:rsidRPr="00B568BB">
        <w:rPr>
          <w:b/>
          <w:bCs/>
        </w:rPr>
        <w:t xml:space="preserve">better collaborate, improve service and achieve operational and cost efficiencies through the brokerage system </w:t>
      </w:r>
      <w:r w:rsidRPr="00B568BB">
        <w:t xml:space="preserve">and </w:t>
      </w:r>
      <w:r w:rsidRPr="00B568BB">
        <w:rPr>
          <w:b/>
          <w:bCs/>
        </w:rPr>
        <w:t xml:space="preserve">provide the highest quality outcomes for consumers </w:t>
      </w:r>
      <w:r w:rsidRPr="00B568BB">
        <w:t>utilizing these services in the Commonwealth. The Task Force was charged with developing recommendations and proposing guidelines on non-emergency human services transportation with the goal of examining and better understanding the Human Service Transportation brokerage program and identifying opportunities for improved service and productivity that provides a strong safety net for vulnerable populations in both rural and urban areas.  The Task Force was tasked with submitting its report no later than December 1, 2022.</w:t>
      </w:r>
    </w:p>
    <w:p w14:paraId="160D98E8" w14:textId="77777777" w:rsidR="00B568BB" w:rsidRPr="00B568BB" w:rsidRDefault="00B568BB" w:rsidP="00B568BB">
      <w:r w:rsidRPr="00B568BB">
        <w:t>The Task Force was comprised of a diverse panel of legislators, policymakers, individuals with lived experience, advocates, regional transit authority administrators, and stakeholder organizations and chaired by the Undersecretary for Human Services from the Executive Office of Health and Human Services (EOHHS) (see full membership list in Appendix B).</w:t>
      </w:r>
    </w:p>
    <w:p w14:paraId="22AFA7BE" w14:textId="77777777" w:rsidR="00B568BB" w:rsidRPr="00B568BB" w:rsidRDefault="00B568BB" w:rsidP="00B568BB">
      <w:r w:rsidRPr="00B568BB">
        <w:lastRenderedPageBreak/>
        <w:t>The Task Force met seven times from November 2021 through November 2022.</w:t>
      </w:r>
    </w:p>
    <w:p w14:paraId="47C2E4FC" w14:textId="77777777" w:rsidR="00B568BB" w:rsidRPr="00B568BB" w:rsidRDefault="00B568BB" w:rsidP="00B568BB">
      <w:r w:rsidRPr="00B568BB">
        <w:t>This Report is being filed to the Clerks of the House of Representatives and Senate, the House and Senate Committees on Ways and Means, the Joint Committee on Transportation, the Joint Committee on Children, Families and Persons with Disabilities, the Secretary of Health and Human Services, and the Secretary of Transportation no later than December 1, 2022.</w:t>
      </w:r>
    </w:p>
    <w:p w14:paraId="1AD783E5" w14:textId="77777777" w:rsidR="00B568BB" w:rsidRPr="00B568BB" w:rsidRDefault="00B568BB" w:rsidP="00B568BB">
      <w:r w:rsidRPr="00B568BB">
        <w:t xml:space="preserve">While the Task Force had robust discussions of issues and its proposed recommendations in its final meetings, a consensus could not be reached around the package of recommendations, with a few members expressing that there was not sufficient time for the Task Force to complete its work.   </w:t>
      </w:r>
    </w:p>
    <w:p w14:paraId="58EBB4B1" w14:textId="0FD32763" w:rsidR="00B568BB" w:rsidRDefault="00B568BB" w:rsidP="00B568BB">
      <w:r w:rsidRPr="00B568BB">
        <w:t>Task Force members had several opportunities to recommend changes to the draft report while it was under development.  A formal request to extend the report’s date was not submitted by the legislators.  Written feedback on the report received from members after the Task Force's final meeting on 11/15/2022 appears in Appendix H.</w:t>
      </w:r>
    </w:p>
    <w:p w14:paraId="329AAB86" w14:textId="1B5E838C" w:rsidR="00B568BB" w:rsidRDefault="00B568BB" w:rsidP="00B568BB"/>
    <w:p w14:paraId="13E94F61" w14:textId="542C7B53" w:rsidR="00E86A31" w:rsidRDefault="00E86A31" w:rsidP="00B568BB">
      <w:r>
        <w:t>Slide 5</w:t>
      </w:r>
    </w:p>
    <w:p w14:paraId="49840787" w14:textId="253A93BB" w:rsidR="00E86A31" w:rsidRDefault="00E86A31" w:rsidP="00E86A31">
      <w:pPr>
        <w:pStyle w:val="Heading2"/>
      </w:pPr>
      <w:r w:rsidRPr="00E86A31">
        <w:t>Public Input to Task Force Recommendations</w:t>
      </w:r>
    </w:p>
    <w:p w14:paraId="00BDAE75" w14:textId="77777777" w:rsidR="00E86A31" w:rsidRPr="00E86A31" w:rsidRDefault="00E86A31" w:rsidP="00E86A31">
      <w:r w:rsidRPr="00E86A31">
        <w:t xml:space="preserve">At the Task Force’s recommendation, the HST office convened two public listening sessions on </w:t>
      </w:r>
      <w:r w:rsidRPr="00E86A31">
        <w:br/>
        <w:t>May 16 and 18, 2022 to solicit feedback from HST consumers.   These public listening sessions gathered consumers’ feedback on their experiences using HST services since the new contracts with the two Brokers who administer transportation services, the Montachusett Regional Transit Authority (MART) and the Greater Attleboro Taunton Regional Transit Authority (GATRA), went into effect on July 1, 2021.</w:t>
      </w:r>
    </w:p>
    <w:p w14:paraId="07DA677E" w14:textId="77777777" w:rsidR="00E86A31" w:rsidRPr="00E86A31" w:rsidRDefault="00E86A31" w:rsidP="00E86A31">
      <w:r w:rsidRPr="00E86A31">
        <w:t>The HST office promoted the public listening sessions by mailing over 42,000 letters to Massachusetts residents who had utilized HST services since July 2021, in addition to promoting the sessions with HST stakeholders and partners.</w:t>
      </w:r>
    </w:p>
    <w:p w14:paraId="60C10DF6" w14:textId="77777777" w:rsidR="00E86A31" w:rsidRPr="00E86A31" w:rsidRDefault="00E86A31" w:rsidP="00E86A31">
      <w:r w:rsidRPr="00E86A31">
        <w:t>Over 40 HST consumers from across the Commonwealth testified during the public listening sessions and 50 individuals submitted written testimony.  This feedback from HST consumers was a primary source for the Task Force’s recommendations.</w:t>
      </w:r>
    </w:p>
    <w:p w14:paraId="63D714CB" w14:textId="60AF1C57" w:rsidR="00B568BB" w:rsidRDefault="00B568BB"/>
    <w:p w14:paraId="38DF234D" w14:textId="04C87E20" w:rsidR="00F90978" w:rsidRDefault="00F90978">
      <w:r>
        <w:t>Slide 6 - 11</w:t>
      </w:r>
    </w:p>
    <w:p w14:paraId="3A11C56D" w14:textId="59CBAA3E" w:rsidR="00F90978" w:rsidRDefault="00F90978" w:rsidP="00F90978">
      <w:pPr>
        <w:pStyle w:val="Heading2"/>
      </w:pPr>
      <w:r w:rsidRPr="00F90978">
        <w:t>Background on HST Services</w:t>
      </w:r>
    </w:p>
    <w:p w14:paraId="56096E4D" w14:textId="77777777" w:rsidR="00F90978" w:rsidRPr="00F90978" w:rsidRDefault="00F90978" w:rsidP="00F90978">
      <w:r w:rsidRPr="00F90978">
        <w:t>The Human Service Transportation (HST) office is the second largest public provider of transportation in the Commonwealth, after the MBTA, providing over 6.2 million rides to over 50,000 consumers in FY22. The HST office coordinates transportation for the Commonwealth's most vulnerable citizens to access medical appointments, life sustaining medical treatments, and day services. </w:t>
      </w:r>
    </w:p>
    <w:p w14:paraId="42D9668D" w14:textId="77777777" w:rsidR="00F90978" w:rsidRPr="00F90978" w:rsidRDefault="00F90978" w:rsidP="00F90978">
      <w:r w:rsidRPr="00F90978">
        <w:t xml:space="preserve">The mission of the HST office is to promote access to health and human services, employment and community life by managing a statewide transportation brokerage network for eligible consumers and </w:t>
      </w:r>
      <w:r w:rsidRPr="00F90978">
        <w:lastRenderedPageBreak/>
        <w:t>by providing technical assistance and outreach strategies in support of local mobility and transportation coordination efforts especially for transportation-disadvantaged Massachusetts residents.</w:t>
      </w:r>
    </w:p>
    <w:p w14:paraId="136EAC03" w14:textId="77777777" w:rsidR="00F90978" w:rsidRPr="00F90978" w:rsidRDefault="00F90978" w:rsidP="00F90978">
      <w:r w:rsidRPr="00F90978">
        <w:t>The HST office brokers two types of Non-Emergency Medical transportation for eligible MassHealth members: </w:t>
      </w:r>
    </w:p>
    <w:p w14:paraId="17C9A15F" w14:textId="77777777" w:rsidR="00F90978" w:rsidRPr="00F90978" w:rsidRDefault="00F90978" w:rsidP="00F90978">
      <w:r w:rsidRPr="00F90978">
        <w:rPr>
          <w:u w:val="single"/>
        </w:rPr>
        <w:t>Demand-Response PT-1 Transportation:</w:t>
      </w:r>
      <w:r w:rsidRPr="00F90978">
        <w:t xml:space="preserve"> transportation provided to eligible MassHealth members to MassHealth covered services such as routine medical appointments and ongoing, life-sustaining medical treatment.</w:t>
      </w:r>
    </w:p>
    <w:p w14:paraId="2D40686B" w14:textId="77777777" w:rsidR="00F90978" w:rsidRPr="00F90978" w:rsidRDefault="00F90978" w:rsidP="00F90978">
      <w:r w:rsidRPr="00F90978">
        <w:rPr>
          <w:u w:val="single"/>
        </w:rPr>
        <w:t>Program-Based Transportation:</w:t>
      </w:r>
      <w:r w:rsidRPr="00F90978">
        <w:t xml:space="preserve"> Transportation to and from a specific destination, such as the site of a day habilitation or clubhouse program, on a regularly-scheduled basis.</w:t>
      </w:r>
    </w:p>
    <w:p w14:paraId="1AF29F79" w14:textId="77777777" w:rsidR="00F90978" w:rsidRPr="00F90978" w:rsidRDefault="00F90978" w:rsidP="00F90978">
      <w:r w:rsidRPr="00F90978">
        <w:t>The HST office oversees transportation programs for six EOHHS agencies:</w:t>
      </w:r>
    </w:p>
    <w:p w14:paraId="68DCAD30" w14:textId="77777777" w:rsidR="00F90978" w:rsidRPr="00F90978" w:rsidRDefault="00F90978" w:rsidP="00F90978">
      <w:pPr>
        <w:pStyle w:val="ListParagraph"/>
        <w:numPr>
          <w:ilvl w:val="0"/>
          <w:numId w:val="2"/>
        </w:numPr>
      </w:pPr>
      <w:r w:rsidRPr="00F90978">
        <w:t>MassHealth</w:t>
      </w:r>
    </w:p>
    <w:p w14:paraId="74ECE82B" w14:textId="77777777" w:rsidR="00F90978" w:rsidRPr="00F90978" w:rsidRDefault="00F90978" w:rsidP="00F90978">
      <w:pPr>
        <w:pStyle w:val="ListParagraph"/>
        <w:numPr>
          <w:ilvl w:val="0"/>
          <w:numId w:val="2"/>
        </w:numPr>
      </w:pPr>
      <w:r w:rsidRPr="00F90978">
        <w:t>The Department of Developmental Services (DDS)</w:t>
      </w:r>
    </w:p>
    <w:p w14:paraId="3F93C2BD" w14:textId="77777777" w:rsidR="00F90978" w:rsidRPr="00F90978" w:rsidRDefault="00F90978" w:rsidP="00F90978">
      <w:pPr>
        <w:pStyle w:val="ListParagraph"/>
        <w:numPr>
          <w:ilvl w:val="0"/>
          <w:numId w:val="2"/>
        </w:numPr>
      </w:pPr>
      <w:r w:rsidRPr="00F90978">
        <w:t>The Department of Mental Health (DMH)</w:t>
      </w:r>
    </w:p>
    <w:p w14:paraId="22A2B616" w14:textId="77777777" w:rsidR="00F90978" w:rsidRPr="00F90978" w:rsidRDefault="00F90978" w:rsidP="00F90978">
      <w:pPr>
        <w:pStyle w:val="ListParagraph"/>
        <w:numPr>
          <w:ilvl w:val="0"/>
          <w:numId w:val="2"/>
        </w:numPr>
      </w:pPr>
      <w:r w:rsidRPr="00F90978">
        <w:t>The Department of Public Health – Early Intervention Program (DPH-EI)</w:t>
      </w:r>
    </w:p>
    <w:p w14:paraId="57303345" w14:textId="77777777" w:rsidR="00F90978" w:rsidRPr="00F90978" w:rsidRDefault="00F90978" w:rsidP="00F90978">
      <w:pPr>
        <w:pStyle w:val="ListParagraph"/>
        <w:numPr>
          <w:ilvl w:val="0"/>
          <w:numId w:val="2"/>
        </w:numPr>
      </w:pPr>
      <w:r w:rsidRPr="00F90978">
        <w:t>The Massachusetts Commission for the Blind (MCB)</w:t>
      </w:r>
    </w:p>
    <w:p w14:paraId="6F2BD0A1" w14:textId="77777777" w:rsidR="00F90978" w:rsidRPr="00F90978" w:rsidRDefault="00F90978" w:rsidP="00F90978">
      <w:pPr>
        <w:pStyle w:val="ListParagraph"/>
        <w:numPr>
          <w:ilvl w:val="0"/>
          <w:numId w:val="2"/>
        </w:numPr>
      </w:pPr>
      <w:r w:rsidRPr="00F90978">
        <w:t>The Massachusetts Rehabilitation Commission (MRC)</w:t>
      </w:r>
    </w:p>
    <w:p w14:paraId="55CB26F9" w14:textId="77777777" w:rsidR="00F90978" w:rsidRPr="00F90978" w:rsidRDefault="00F90978" w:rsidP="00F90978">
      <w:r w:rsidRPr="00F90978">
        <w:t>EOHHS contracts with two Regional Transit Authorities (RTAs) – MART and GATRA – that  function as brokers to provide direct transportation services to EOHHS consumers in all cities and towns within the Commonwealth. The service areas of each broker is reflected in the map below.</w:t>
      </w:r>
    </w:p>
    <w:p w14:paraId="2E17BF33" w14:textId="380CF435" w:rsidR="00F90978" w:rsidRDefault="00F90978">
      <w:r>
        <w:t>[image of HST regions for procurement]</w:t>
      </w:r>
    </w:p>
    <w:p w14:paraId="55DAF33C" w14:textId="77777777" w:rsidR="00F90978" w:rsidRPr="00F90978" w:rsidRDefault="00F90978" w:rsidP="00F90978">
      <w:r w:rsidRPr="00F90978">
        <w:t>MART and GATRA administer transportation services through subcontracting with qualified transportation vendors within their coverage areas. Collectively the two RTAs subcontract with over 300 different transportation providers in the Commonwealth.</w:t>
      </w:r>
    </w:p>
    <w:p w14:paraId="4BB22D06" w14:textId="77777777" w:rsidR="00F90978" w:rsidRPr="00F90978" w:rsidRDefault="00F90978" w:rsidP="00F90978">
      <w:r w:rsidRPr="00F90978">
        <w:t>New contracts with MART and GATRA went into effect on July 1, 2021.  In response to consumer feedback, these new contracts introduced changes to improve consumer experience and safety:</w:t>
      </w:r>
    </w:p>
    <w:p w14:paraId="0D760C0F" w14:textId="77777777" w:rsidR="00F90978" w:rsidRPr="00F90978" w:rsidRDefault="00F90978" w:rsidP="00F90978">
      <w:r w:rsidRPr="00F90978">
        <w:rPr>
          <w:u w:val="single"/>
        </w:rPr>
        <w:t>Complaints process</w:t>
      </w:r>
      <w:r w:rsidRPr="00F90978">
        <w:t xml:space="preserve"> – Requires 95% of complaints resolved within three business days, 100% within 10 business days, HST phone and email publicized for complaints.</w:t>
      </w:r>
    </w:p>
    <w:p w14:paraId="04B95CDE" w14:textId="77777777" w:rsidR="00F90978" w:rsidRPr="00F90978" w:rsidRDefault="00F90978" w:rsidP="00F90978">
      <w:r w:rsidRPr="00F90978">
        <w:rPr>
          <w:u w:val="single"/>
        </w:rPr>
        <w:t>Online scheduling</w:t>
      </w:r>
      <w:r w:rsidRPr="00F90978">
        <w:t xml:space="preserve"> – Requires the adoption of new technologies to improve customer service, including smart phone apps and self-service web portals to facilitate transportation scheduling and the reporting of complaints.</w:t>
      </w:r>
    </w:p>
    <w:p w14:paraId="562C53B7" w14:textId="77777777" w:rsidR="00F90978" w:rsidRPr="00F90978" w:rsidRDefault="00F90978" w:rsidP="00F90978">
      <w:r w:rsidRPr="00F90978">
        <w:rPr>
          <w:u w:val="single"/>
        </w:rPr>
        <w:t>Call wait times</w:t>
      </w:r>
      <w:r w:rsidRPr="00F90978">
        <w:t xml:space="preserve"> – Contract requires that all calls be answered in under three minutes.</w:t>
      </w:r>
    </w:p>
    <w:p w14:paraId="7D946D9E" w14:textId="77777777" w:rsidR="00F90978" w:rsidRPr="00F90978" w:rsidRDefault="00F90978" w:rsidP="00F90978">
      <w:r w:rsidRPr="00F90978">
        <w:rPr>
          <w:u w:val="single"/>
        </w:rPr>
        <w:t>On-time performance and reliability</w:t>
      </w:r>
      <w:r w:rsidRPr="00F90978">
        <w:t xml:space="preserve"> – GPS systems required on all Demand Response vehicles to provide data on on-time performance. </w:t>
      </w:r>
    </w:p>
    <w:p w14:paraId="423E33F2" w14:textId="64195CCC" w:rsidR="00F90978" w:rsidRDefault="00F90978" w:rsidP="00F90978">
      <w:r w:rsidRPr="00F90978">
        <w:rPr>
          <w:u w:val="single"/>
        </w:rPr>
        <w:t>Driver and vehicle safety standards</w:t>
      </w:r>
      <w:r w:rsidRPr="00F90978">
        <w:t xml:space="preserve"> – Quality and Assurance team within the HST office staffed with four Compliance Officers, tripling the number of field visits.</w:t>
      </w:r>
    </w:p>
    <w:p w14:paraId="3C09EEF4" w14:textId="6420CF3F" w:rsidR="00F90978" w:rsidRDefault="00F90978" w:rsidP="00F90978"/>
    <w:p w14:paraId="59BB7E19" w14:textId="09F2FE87" w:rsidR="00F90978" w:rsidRPr="00F90978" w:rsidRDefault="00F90978" w:rsidP="00F90978">
      <w:r w:rsidRPr="00F90978">
        <w:rPr>
          <w:b/>
          <w:bCs/>
        </w:rPr>
        <w:lastRenderedPageBreak/>
        <w:t>HST FY22 Trip Volume</w:t>
      </w:r>
    </w:p>
    <w:tbl>
      <w:tblPr>
        <w:tblStyle w:val="TableGrid"/>
        <w:tblW w:w="9504" w:type="dxa"/>
        <w:tblLook w:val="04A0" w:firstRow="1" w:lastRow="0" w:firstColumn="1" w:lastColumn="0" w:noHBand="0" w:noVBand="1"/>
      </w:tblPr>
      <w:tblGrid>
        <w:gridCol w:w="3521"/>
        <w:gridCol w:w="2025"/>
        <w:gridCol w:w="2060"/>
        <w:gridCol w:w="1898"/>
      </w:tblGrid>
      <w:tr w:rsidR="00F90978" w:rsidRPr="00F90978" w14:paraId="72B5C331" w14:textId="77777777" w:rsidTr="00F90978">
        <w:trPr>
          <w:trHeight w:val="710"/>
        </w:trPr>
        <w:tc>
          <w:tcPr>
            <w:tcW w:w="3521" w:type="dxa"/>
            <w:hideMark/>
          </w:tcPr>
          <w:p w14:paraId="20B9931C" w14:textId="77777777" w:rsidR="00F90978" w:rsidRPr="00F90978" w:rsidRDefault="00F90978" w:rsidP="00F90978">
            <w:pPr>
              <w:spacing w:after="160" w:line="259" w:lineRule="auto"/>
            </w:pPr>
            <w:r w:rsidRPr="00F90978">
              <w:rPr>
                <w:b/>
                <w:bCs/>
              </w:rPr>
              <w:t>FY22 Trip Volume</w:t>
            </w:r>
          </w:p>
        </w:tc>
        <w:tc>
          <w:tcPr>
            <w:tcW w:w="2025" w:type="dxa"/>
            <w:hideMark/>
          </w:tcPr>
          <w:p w14:paraId="0A4D5B90" w14:textId="77777777" w:rsidR="00F90978" w:rsidRPr="00F90978" w:rsidRDefault="00F90978" w:rsidP="00F90978">
            <w:pPr>
              <w:spacing w:after="160" w:line="259" w:lineRule="auto"/>
            </w:pPr>
            <w:r w:rsidRPr="00F90978">
              <w:rPr>
                <w:b/>
                <w:bCs/>
              </w:rPr>
              <w:t>Montachusett RTA (MART)</w:t>
            </w:r>
          </w:p>
        </w:tc>
        <w:tc>
          <w:tcPr>
            <w:tcW w:w="2060" w:type="dxa"/>
            <w:hideMark/>
          </w:tcPr>
          <w:p w14:paraId="54BE543D" w14:textId="77777777" w:rsidR="00F90978" w:rsidRPr="00F90978" w:rsidRDefault="00F90978" w:rsidP="00F90978">
            <w:pPr>
              <w:spacing w:after="160" w:line="259" w:lineRule="auto"/>
            </w:pPr>
            <w:r w:rsidRPr="00F90978">
              <w:rPr>
                <w:b/>
                <w:bCs/>
              </w:rPr>
              <w:t>Greater Attleboro and Taunton RTA (GATRA)</w:t>
            </w:r>
          </w:p>
        </w:tc>
        <w:tc>
          <w:tcPr>
            <w:tcW w:w="1898" w:type="dxa"/>
            <w:hideMark/>
          </w:tcPr>
          <w:p w14:paraId="24B29974" w14:textId="77777777" w:rsidR="00F90978" w:rsidRPr="00F90978" w:rsidRDefault="00F90978" w:rsidP="00F90978">
            <w:pPr>
              <w:spacing w:after="160" w:line="259" w:lineRule="auto"/>
            </w:pPr>
            <w:r w:rsidRPr="00F90978">
              <w:rPr>
                <w:b/>
                <w:bCs/>
              </w:rPr>
              <w:t>FY 2022 Total</w:t>
            </w:r>
          </w:p>
        </w:tc>
      </w:tr>
      <w:tr w:rsidR="00F90978" w:rsidRPr="00F90978" w14:paraId="57D94AFF" w14:textId="77777777" w:rsidTr="00F90978">
        <w:trPr>
          <w:trHeight w:val="70"/>
        </w:trPr>
        <w:tc>
          <w:tcPr>
            <w:tcW w:w="3521" w:type="dxa"/>
            <w:hideMark/>
          </w:tcPr>
          <w:p w14:paraId="420E16A7" w14:textId="77777777" w:rsidR="00F90978" w:rsidRPr="00F90978" w:rsidRDefault="00F90978" w:rsidP="00F90978">
            <w:pPr>
              <w:spacing w:after="160" w:line="259" w:lineRule="auto"/>
            </w:pPr>
            <w:r w:rsidRPr="00F90978">
              <w:rPr>
                <w:b/>
                <w:bCs/>
              </w:rPr>
              <w:t>Total # Number of Trips</w:t>
            </w:r>
          </w:p>
        </w:tc>
        <w:tc>
          <w:tcPr>
            <w:tcW w:w="2025" w:type="dxa"/>
            <w:hideMark/>
          </w:tcPr>
          <w:p w14:paraId="3187D538" w14:textId="77777777" w:rsidR="00F90978" w:rsidRPr="00F90978" w:rsidRDefault="00F90978" w:rsidP="00F90978">
            <w:pPr>
              <w:spacing w:after="160" w:line="259" w:lineRule="auto"/>
            </w:pPr>
            <w:r w:rsidRPr="00F90978">
              <w:t>4,805,286</w:t>
            </w:r>
          </w:p>
        </w:tc>
        <w:tc>
          <w:tcPr>
            <w:tcW w:w="2060" w:type="dxa"/>
            <w:hideMark/>
          </w:tcPr>
          <w:p w14:paraId="430B82EF" w14:textId="77777777" w:rsidR="00F90978" w:rsidRPr="00F90978" w:rsidRDefault="00F90978" w:rsidP="00F90978">
            <w:pPr>
              <w:spacing w:after="160" w:line="259" w:lineRule="auto"/>
            </w:pPr>
            <w:r w:rsidRPr="00F90978">
              <w:t>1,316,371</w:t>
            </w:r>
          </w:p>
        </w:tc>
        <w:tc>
          <w:tcPr>
            <w:tcW w:w="1898" w:type="dxa"/>
            <w:hideMark/>
          </w:tcPr>
          <w:p w14:paraId="2BAAF081" w14:textId="77777777" w:rsidR="00F90978" w:rsidRPr="00F90978" w:rsidRDefault="00F90978" w:rsidP="00F90978">
            <w:pPr>
              <w:spacing w:after="160" w:line="259" w:lineRule="auto"/>
            </w:pPr>
            <w:r w:rsidRPr="00F90978">
              <w:t>6,121,657</w:t>
            </w:r>
          </w:p>
        </w:tc>
      </w:tr>
      <w:tr w:rsidR="00F90978" w:rsidRPr="00F90978" w14:paraId="046E1541" w14:textId="77777777" w:rsidTr="00F90978">
        <w:trPr>
          <w:trHeight w:val="107"/>
        </w:trPr>
        <w:tc>
          <w:tcPr>
            <w:tcW w:w="3521" w:type="dxa"/>
            <w:hideMark/>
          </w:tcPr>
          <w:p w14:paraId="461EF313" w14:textId="77777777" w:rsidR="00F90978" w:rsidRPr="00F90978" w:rsidRDefault="00F90978" w:rsidP="00F90978">
            <w:pPr>
              <w:spacing w:after="160" w:line="259" w:lineRule="auto"/>
            </w:pPr>
            <w:r w:rsidRPr="00F90978">
              <w:rPr>
                <w:b/>
                <w:bCs/>
              </w:rPr>
              <w:t xml:space="preserve">       Demand-Response Trips</w:t>
            </w:r>
          </w:p>
        </w:tc>
        <w:tc>
          <w:tcPr>
            <w:tcW w:w="2025" w:type="dxa"/>
            <w:hideMark/>
          </w:tcPr>
          <w:p w14:paraId="2C6002F6" w14:textId="77777777" w:rsidR="00F90978" w:rsidRPr="00F90978" w:rsidRDefault="00F90978" w:rsidP="00F90978">
            <w:pPr>
              <w:spacing w:after="160" w:line="259" w:lineRule="auto"/>
            </w:pPr>
            <w:r w:rsidRPr="00F90978">
              <w:t>3,021,212</w:t>
            </w:r>
          </w:p>
        </w:tc>
        <w:tc>
          <w:tcPr>
            <w:tcW w:w="2060" w:type="dxa"/>
            <w:hideMark/>
          </w:tcPr>
          <w:p w14:paraId="7A5E4FC9" w14:textId="77777777" w:rsidR="00F90978" w:rsidRPr="00F90978" w:rsidRDefault="00F90978" w:rsidP="00F90978">
            <w:pPr>
              <w:spacing w:after="160" w:line="259" w:lineRule="auto"/>
            </w:pPr>
            <w:r w:rsidRPr="00F90978">
              <w:t>857,572</w:t>
            </w:r>
          </w:p>
        </w:tc>
        <w:tc>
          <w:tcPr>
            <w:tcW w:w="1898" w:type="dxa"/>
            <w:hideMark/>
          </w:tcPr>
          <w:p w14:paraId="0F27C99C" w14:textId="77777777" w:rsidR="00F90978" w:rsidRPr="00F90978" w:rsidRDefault="00F90978" w:rsidP="00F90978">
            <w:pPr>
              <w:spacing w:after="160" w:line="259" w:lineRule="auto"/>
            </w:pPr>
            <w:r w:rsidRPr="00F90978">
              <w:t>3,878,784</w:t>
            </w:r>
          </w:p>
        </w:tc>
      </w:tr>
      <w:tr w:rsidR="00F90978" w:rsidRPr="00F90978" w14:paraId="5ACF8E0C" w14:textId="77777777" w:rsidTr="00F90978">
        <w:trPr>
          <w:trHeight w:val="70"/>
        </w:trPr>
        <w:tc>
          <w:tcPr>
            <w:tcW w:w="3521" w:type="dxa"/>
            <w:hideMark/>
          </w:tcPr>
          <w:p w14:paraId="0E321F34" w14:textId="77777777" w:rsidR="00F90978" w:rsidRPr="00F90978" w:rsidRDefault="00F90978" w:rsidP="00F90978">
            <w:pPr>
              <w:spacing w:after="160" w:line="259" w:lineRule="auto"/>
            </w:pPr>
            <w:r w:rsidRPr="00F90978">
              <w:rPr>
                <w:b/>
                <w:bCs/>
              </w:rPr>
              <w:t xml:space="preserve">       Program-Based Trips</w:t>
            </w:r>
          </w:p>
        </w:tc>
        <w:tc>
          <w:tcPr>
            <w:tcW w:w="2025" w:type="dxa"/>
            <w:hideMark/>
          </w:tcPr>
          <w:p w14:paraId="33E3D765" w14:textId="77777777" w:rsidR="00F90978" w:rsidRPr="00F90978" w:rsidRDefault="00F90978" w:rsidP="00F90978">
            <w:pPr>
              <w:spacing w:after="160" w:line="259" w:lineRule="auto"/>
            </w:pPr>
            <w:r w:rsidRPr="00F90978">
              <w:t>1,784,074</w:t>
            </w:r>
          </w:p>
        </w:tc>
        <w:tc>
          <w:tcPr>
            <w:tcW w:w="2060" w:type="dxa"/>
            <w:hideMark/>
          </w:tcPr>
          <w:p w14:paraId="46CB1ECC" w14:textId="77777777" w:rsidR="00F90978" w:rsidRPr="00F90978" w:rsidRDefault="00F90978" w:rsidP="00F90978">
            <w:pPr>
              <w:spacing w:after="160" w:line="259" w:lineRule="auto"/>
            </w:pPr>
            <w:r w:rsidRPr="00F90978">
              <w:t>458,799</w:t>
            </w:r>
          </w:p>
        </w:tc>
        <w:tc>
          <w:tcPr>
            <w:tcW w:w="1898" w:type="dxa"/>
            <w:hideMark/>
          </w:tcPr>
          <w:p w14:paraId="79696188" w14:textId="77777777" w:rsidR="00F90978" w:rsidRPr="00F90978" w:rsidRDefault="00F90978" w:rsidP="00F90978">
            <w:pPr>
              <w:spacing w:after="160" w:line="259" w:lineRule="auto"/>
            </w:pPr>
            <w:r w:rsidRPr="00F90978">
              <w:t>2,242,873</w:t>
            </w:r>
          </w:p>
        </w:tc>
      </w:tr>
      <w:tr w:rsidR="00F90978" w:rsidRPr="00F90978" w14:paraId="505D2F6A" w14:textId="77777777" w:rsidTr="00F90978">
        <w:trPr>
          <w:trHeight w:val="98"/>
        </w:trPr>
        <w:tc>
          <w:tcPr>
            <w:tcW w:w="3521" w:type="dxa"/>
            <w:hideMark/>
          </w:tcPr>
          <w:p w14:paraId="41E6E928" w14:textId="77777777" w:rsidR="00F90978" w:rsidRPr="00F90978" w:rsidRDefault="00F90978" w:rsidP="00F90978">
            <w:pPr>
              <w:spacing w:after="160" w:line="259" w:lineRule="auto"/>
            </w:pPr>
            <w:r w:rsidRPr="00F90978">
              <w:rPr>
                <w:b/>
                <w:bCs/>
              </w:rPr>
              <w:t>Total # of Requests for Rides (Demand-Response only)</w:t>
            </w:r>
          </w:p>
        </w:tc>
        <w:tc>
          <w:tcPr>
            <w:tcW w:w="2025" w:type="dxa"/>
            <w:hideMark/>
          </w:tcPr>
          <w:p w14:paraId="528B8C81" w14:textId="77777777" w:rsidR="00F90978" w:rsidRPr="00F90978" w:rsidRDefault="00F90978" w:rsidP="00F90978">
            <w:pPr>
              <w:spacing w:after="160" w:line="259" w:lineRule="auto"/>
            </w:pPr>
            <w:r w:rsidRPr="00F90978">
              <w:t>3,798,225</w:t>
            </w:r>
          </w:p>
        </w:tc>
        <w:tc>
          <w:tcPr>
            <w:tcW w:w="2060" w:type="dxa"/>
            <w:hideMark/>
          </w:tcPr>
          <w:p w14:paraId="4E9A1D0F" w14:textId="77777777" w:rsidR="00F90978" w:rsidRPr="00F90978" w:rsidRDefault="00F90978" w:rsidP="00F90978">
            <w:pPr>
              <w:spacing w:after="160" w:line="259" w:lineRule="auto"/>
            </w:pPr>
            <w:r w:rsidRPr="00F90978">
              <w:t>1,168,072</w:t>
            </w:r>
          </w:p>
        </w:tc>
        <w:tc>
          <w:tcPr>
            <w:tcW w:w="1898" w:type="dxa"/>
            <w:hideMark/>
          </w:tcPr>
          <w:p w14:paraId="0959AD62" w14:textId="77777777" w:rsidR="00F90978" w:rsidRPr="00F90978" w:rsidRDefault="00F90978" w:rsidP="00F90978">
            <w:pPr>
              <w:spacing w:after="160" w:line="259" w:lineRule="auto"/>
            </w:pPr>
            <w:r w:rsidRPr="00F90978">
              <w:t>4,966,297</w:t>
            </w:r>
          </w:p>
        </w:tc>
      </w:tr>
      <w:tr w:rsidR="00F90978" w:rsidRPr="00F90978" w14:paraId="59E11855" w14:textId="77777777" w:rsidTr="00F90978">
        <w:trPr>
          <w:trHeight w:val="70"/>
        </w:trPr>
        <w:tc>
          <w:tcPr>
            <w:tcW w:w="3521" w:type="dxa"/>
            <w:hideMark/>
          </w:tcPr>
          <w:p w14:paraId="21F0D2CC" w14:textId="77777777" w:rsidR="00F90978" w:rsidRPr="00F90978" w:rsidRDefault="00F90978" w:rsidP="00F90978">
            <w:pPr>
              <w:spacing w:after="160" w:line="259" w:lineRule="auto"/>
            </w:pPr>
            <w:r w:rsidRPr="00F90978">
              <w:rPr>
                <w:b/>
                <w:bCs/>
              </w:rPr>
              <w:t xml:space="preserve">       Requested Rides by Phone</w:t>
            </w:r>
          </w:p>
        </w:tc>
        <w:tc>
          <w:tcPr>
            <w:tcW w:w="2025" w:type="dxa"/>
            <w:hideMark/>
          </w:tcPr>
          <w:p w14:paraId="2ED3950E" w14:textId="77777777" w:rsidR="00F90978" w:rsidRPr="00F90978" w:rsidRDefault="00F90978" w:rsidP="00F90978">
            <w:pPr>
              <w:spacing w:after="160" w:line="259" w:lineRule="auto"/>
            </w:pPr>
            <w:r w:rsidRPr="00F90978">
              <w:t>3,758,346</w:t>
            </w:r>
          </w:p>
        </w:tc>
        <w:tc>
          <w:tcPr>
            <w:tcW w:w="2060" w:type="dxa"/>
            <w:hideMark/>
          </w:tcPr>
          <w:p w14:paraId="060A15BA" w14:textId="77777777" w:rsidR="00F90978" w:rsidRPr="00F90978" w:rsidRDefault="00F90978" w:rsidP="00F90978">
            <w:pPr>
              <w:spacing w:after="160" w:line="259" w:lineRule="auto"/>
            </w:pPr>
            <w:r w:rsidRPr="00F90978">
              <w:t>1,161,437</w:t>
            </w:r>
          </w:p>
        </w:tc>
        <w:tc>
          <w:tcPr>
            <w:tcW w:w="1898" w:type="dxa"/>
            <w:hideMark/>
          </w:tcPr>
          <w:p w14:paraId="4BF039AA" w14:textId="77777777" w:rsidR="00F90978" w:rsidRPr="00F90978" w:rsidRDefault="00F90978" w:rsidP="00F90978">
            <w:pPr>
              <w:spacing w:after="160" w:line="259" w:lineRule="auto"/>
            </w:pPr>
            <w:r w:rsidRPr="00F90978">
              <w:t>4,919,783</w:t>
            </w:r>
          </w:p>
        </w:tc>
      </w:tr>
      <w:tr w:rsidR="00F90978" w:rsidRPr="00F90978" w14:paraId="69E22900" w14:textId="77777777" w:rsidTr="00F90978">
        <w:trPr>
          <w:trHeight w:val="720"/>
        </w:trPr>
        <w:tc>
          <w:tcPr>
            <w:tcW w:w="3521" w:type="dxa"/>
            <w:hideMark/>
          </w:tcPr>
          <w:p w14:paraId="2B6F4C19" w14:textId="77777777" w:rsidR="00F90978" w:rsidRPr="00F90978" w:rsidRDefault="00F90978" w:rsidP="00F90978">
            <w:pPr>
              <w:spacing w:after="160" w:line="259" w:lineRule="auto"/>
            </w:pPr>
            <w:r w:rsidRPr="00F90978">
              <w:rPr>
                <w:b/>
                <w:bCs/>
              </w:rPr>
              <w:t xml:space="preserve">       Requested Rides in the Portals and Apps</w:t>
            </w:r>
          </w:p>
        </w:tc>
        <w:tc>
          <w:tcPr>
            <w:tcW w:w="2025" w:type="dxa"/>
            <w:hideMark/>
          </w:tcPr>
          <w:p w14:paraId="67C71F0A" w14:textId="77777777" w:rsidR="00F90978" w:rsidRPr="00F90978" w:rsidRDefault="00F90978" w:rsidP="00F90978">
            <w:pPr>
              <w:spacing w:after="160" w:line="259" w:lineRule="auto"/>
            </w:pPr>
            <w:r w:rsidRPr="00F90978">
              <w:t>39,879</w:t>
            </w:r>
          </w:p>
        </w:tc>
        <w:tc>
          <w:tcPr>
            <w:tcW w:w="2060" w:type="dxa"/>
            <w:hideMark/>
          </w:tcPr>
          <w:p w14:paraId="5CFEB92B" w14:textId="77777777" w:rsidR="00F90978" w:rsidRPr="00F90978" w:rsidRDefault="00F90978" w:rsidP="00F90978">
            <w:pPr>
              <w:spacing w:after="160" w:line="259" w:lineRule="auto"/>
            </w:pPr>
            <w:r w:rsidRPr="00F90978">
              <w:t>6,635</w:t>
            </w:r>
          </w:p>
        </w:tc>
        <w:tc>
          <w:tcPr>
            <w:tcW w:w="1898" w:type="dxa"/>
            <w:hideMark/>
          </w:tcPr>
          <w:p w14:paraId="33128E19" w14:textId="77777777" w:rsidR="00F90978" w:rsidRPr="00F90978" w:rsidRDefault="00F90978" w:rsidP="00F90978">
            <w:pPr>
              <w:spacing w:after="160" w:line="259" w:lineRule="auto"/>
            </w:pPr>
            <w:r w:rsidRPr="00F90978">
              <w:t>46,514</w:t>
            </w:r>
          </w:p>
        </w:tc>
      </w:tr>
    </w:tbl>
    <w:p w14:paraId="64015F6E" w14:textId="4A1B46BA" w:rsidR="00F90978" w:rsidRDefault="00F90978"/>
    <w:p w14:paraId="22C1ABA2" w14:textId="77777777" w:rsidR="00F90978" w:rsidRPr="00F90978" w:rsidRDefault="00F90978" w:rsidP="00F90978">
      <w:r w:rsidRPr="00F90978">
        <w:rPr>
          <w:b/>
          <w:bCs/>
        </w:rPr>
        <w:t>HST FY22 Expenditures</w:t>
      </w:r>
    </w:p>
    <w:tbl>
      <w:tblPr>
        <w:tblStyle w:val="TableGrid"/>
        <w:tblW w:w="9504" w:type="dxa"/>
        <w:tblLook w:val="04A0" w:firstRow="1" w:lastRow="0" w:firstColumn="1" w:lastColumn="0" w:noHBand="0" w:noVBand="1"/>
      </w:tblPr>
      <w:tblGrid>
        <w:gridCol w:w="3379"/>
        <w:gridCol w:w="2034"/>
        <w:gridCol w:w="2085"/>
        <w:gridCol w:w="2006"/>
      </w:tblGrid>
      <w:tr w:rsidR="00F90978" w:rsidRPr="00F90978" w14:paraId="1EC48BCE" w14:textId="77777777" w:rsidTr="00F90978">
        <w:trPr>
          <w:trHeight w:val="703"/>
        </w:trPr>
        <w:tc>
          <w:tcPr>
            <w:tcW w:w="3379" w:type="dxa"/>
            <w:hideMark/>
          </w:tcPr>
          <w:p w14:paraId="7608814E" w14:textId="77777777" w:rsidR="00F90978" w:rsidRPr="00F90978" w:rsidRDefault="00F90978" w:rsidP="00F90978">
            <w:pPr>
              <w:spacing w:after="160" w:line="259" w:lineRule="auto"/>
            </w:pPr>
            <w:r w:rsidRPr="00F90978">
              <w:rPr>
                <w:b/>
                <w:bCs/>
              </w:rPr>
              <w:t>HST FY22 Expenditures</w:t>
            </w:r>
          </w:p>
        </w:tc>
        <w:tc>
          <w:tcPr>
            <w:tcW w:w="2034" w:type="dxa"/>
            <w:hideMark/>
          </w:tcPr>
          <w:p w14:paraId="3F558898" w14:textId="77777777" w:rsidR="00F90978" w:rsidRPr="00F90978" w:rsidRDefault="00F90978" w:rsidP="00F90978">
            <w:pPr>
              <w:spacing w:after="160" w:line="259" w:lineRule="auto"/>
            </w:pPr>
            <w:r w:rsidRPr="00F90978">
              <w:rPr>
                <w:b/>
                <w:bCs/>
              </w:rPr>
              <w:t>Montachusett RTA (MART)</w:t>
            </w:r>
          </w:p>
        </w:tc>
        <w:tc>
          <w:tcPr>
            <w:tcW w:w="2085" w:type="dxa"/>
            <w:hideMark/>
          </w:tcPr>
          <w:p w14:paraId="4F66016A" w14:textId="77777777" w:rsidR="00F90978" w:rsidRPr="00F90978" w:rsidRDefault="00F90978" w:rsidP="00F90978">
            <w:pPr>
              <w:spacing w:after="160" w:line="259" w:lineRule="auto"/>
            </w:pPr>
            <w:r w:rsidRPr="00F90978">
              <w:rPr>
                <w:b/>
                <w:bCs/>
              </w:rPr>
              <w:t>Greater Attleboro and Taunton RTA (GATRA)</w:t>
            </w:r>
          </w:p>
        </w:tc>
        <w:tc>
          <w:tcPr>
            <w:tcW w:w="2006" w:type="dxa"/>
            <w:hideMark/>
          </w:tcPr>
          <w:p w14:paraId="17512351" w14:textId="77777777" w:rsidR="00F90978" w:rsidRPr="00F90978" w:rsidRDefault="00F90978" w:rsidP="00F90978">
            <w:pPr>
              <w:spacing w:after="160" w:line="259" w:lineRule="auto"/>
            </w:pPr>
            <w:r w:rsidRPr="00F90978">
              <w:rPr>
                <w:b/>
                <w:bCs/>
              </w:rPr>
              <w:t>FY 2022 Total</w:t>
            </w:r>
          </w:p>
        </w:tc>
      </w:tr>
      <w:tr w:rsidR="00F90978" w:rsidRPr="00F90978" w14:paraId="4EA4F051" w14:textId="77777777" w:rsidTr="00F90978">
        <w:trPr>
          <w:trHeight w:val="70"/>
        </w:trPr>
        <w:tc>
          <w:tcPr>
            <w:tcW w:w="3379" w:type="dxa"/>
            <w:hideMark/>
          </w:tcPr>
          <w:p w14:paraId="75342C35" w14:textId="77777777" w:rsidR="00F90978" w:rsidRPr="00F90978" w:rsidRDefault="00F90978" w:rsidP="00F90978">
            <w:pPr>
              <w:spacing w:after="160" w:line="259" w:lineRule="auto"/>
            </w:pPr>
            <w:r w:rsidRPr="00F90978">
              <w:rPr>
                <w:b/>
                <w:bCs/>
              </w:rPr>
              <w:t>Total Expenditure</w:t>
            </w:r>
          </w:p>
        </w:tc>
        <w:tc>
          <w:tcPr>
            <w:tcW w:w="2034" w:type="dxa"/>
            <w:hideMark/>
          </w:tcPr>
          <w:p w14:paraId="6D90ED4E" w14:textId="77777777" w:rsidR="00F90978" w:rsidRPr="00F90978" w:rsidRDefault="00F90978" w:rsidP="00F90978">
            <w:pPr>
              <w:spacing w:after="160" w:line="259" w:lineRule="auto"/>
            </w:pPr>
            <w:r w:rsidRPr="00F90978">
              <w:t>$171,010,424</w:t>
            </w:r>
          </w:p>
        </w:tc>
        <w:tc>
          <w:tcPr>
            <w:tcW w:w="2085" w:type="dxa"/>
            <w:hideMark/>
          </w:tcPr>
          <w:p w14:paraId="6BECB382" w14:textId="77777777" w:rsidR="00F90978" w:rsidRPr="00F90978" w:rsidRDefault="00F90978" w:rsidP="00F90978">
            <w:pPr>
              <w:spacing w:after="160" w:line="259" w:lineRule="auto"/>
            </w:pPr>
            <w:r w:rsidRPr="00F90978">
              <w:t>$46,302,856</w:t>
            </w:r>
          </w:p>
        </w:tc>
        <w:tc>
          <w:tcPr>
            <w:tcW w:w="2006" w:type="dxa"/>
            <w:hideMark/>
          </w:tcPr>
          <w:p w14:paraId="72AF6AE6" w14:textId="77777777" w:rsidR="00F90978" w:rsidRPr="00F90978" w:rsidRDefault="00F90978" w:rsidP="00F90978">
            <w:pPr>
              <w:spacing w:after="160" w:line="259" w:lineRule="auto"/>
            </w:pPr>
            <w:r w:rsidRPr="00F90978">
              <w:t>$217,313,280</w:t>
            </w:r>
          </w:p>
        </w:tc>
      </w:tr>
      <w:tr w:rsidR="00F90978" w:rsidRPr="00F90978" w14:paraId="3BA98EC4" w14:textId="77777777" w:rsidTr="00F90978">
        <w:trPr>
          <w:trHeight w:val="70"/>
        </w:trPr>
        <w:tc>
          <w:tcPr>
            <w:tcW w:w="3379" w:type="dxa"/>
            <w:hideMark/>
          </w:tcPr>
          <w:p w14:paraId="28A42985" w14:textId="77777777" w:rsidR="00F90978" w:rsidRPr="00F90978" w:rsidRDefault="00F90978" w:rsidP="00F90978">
            <w:pPr>
              <w:spacing w:after="160" w:line="259" w:lineRule="auto"/>
            </w:pPr>
            <w:r w:rsidRPr="00F90978">
              <w:rPr>
                <w:b/>
                <w:bCs/>
              </w:rPr>
              <w:t xml:space="preserve">      Demand-Response Expenditure</w:t>
            </w:r>
          </w:p>
        </w:tc>
        <w:tc>
          <w:tcPr>
            <w:tcW w:w="2034" w:type="dxa"/>
            <w:hideMark/>
          </w:tcPr>
          <w:p w14:paraId="3CD9A1D7" w14:textId="77777777" w:rsidR="00F90978" w:rsidRPr="00F90978" w:rsidRDefault="00F90978" w:rsidP="00F90978">
            <w:pPr>
              <w:spacing w:after="160" w:line="259" w:lineRule="auto"/>
            </w:pPr>
            <w:r w:rsidRPr="00F90978">
              <w:t>$90,655,989</w:t>
            </w:r>
          </w:p>
        </w:tc>
        <w:tc>
          <w:tcPr>
            <w:tcW w:w="2085" w:type="dxa"/>
            <w:hideMark/>
          </w:tcPr>
          <w:p w14:paraId="04229CBC" w14:textId="77777777" w:rsidR="00F90978" w:rsidRPr="00F90978" w:rsidRDefault="00F90978" w:rsidP="00F90978">
            <w:pPr>
              <w:spacing w:after="160" w:line="259" w:lineRule="auto"/>
            </w:pPr>
            <w:r w:rsidRPr="00F90978">
              <w:t>$27,443,959</w:t>
            </w:r>
          </w:p>
        </w:tc>
        <w:tc>
          <w:tcPr>
            <w:tcW w:w="2006" w:type="dxa"/>
            <w:hideMark/>
          </w:tcPr>
          <w:p w14:paraId="3EE393CA" w14:textId="77777777" w:rsidR="00F90978" w:rsidRPr="00F90978" w:rsidRDefault="00F90978" w:rsidP="00F90978">
            <w:pPr>
              <w:spacing w:after="160" w:line="259" w:lineRule="auto"/>
            </w:pPr>
            <w:r w:rsidRPr="00F90978">
              <w:t>$118,099,949</w:t>
            </w:r>
          </w:p>
        </w:tc>
      </w:tr>
      <w:tr w:rsidR="00F90978" w:rsidRPr="00F90978" w14:paraId="776D48FF" w14:textId="77777777" w:rsidTr="00F90978">
        <w:trPr>
          <w:trHeight w:val="70"/>
        </w:trPr>
        <w:tc>
          <w:tcPr>
            <w:tcW w:w="3379" w:type="dxa"/>
            <w:hideMark/>
          </w:tcPr>
          <w:p w14:paraId="72D6BBA2" w14:textId="77777777" w:rsidR="00F90978" w:rsidRPr="00F90978" w:rsidRDefault="00F90978" w:rsidP="00F90978">
            <w:pPr>
              <w:spacing w:after="160" w:line="259" w:lineRule="auto"/>
            </w:pPr>
            <w:r w:rsidRPr="00F90978">
              <w:rPr>
                <w:b/>
                <w:bCs/>
              </w:rPr>
              <w:t xml:space="preserve">      Program-Based Expenditure</w:t>
            </w:r>
          </w:p>
        </w:tc>
        <w:tc>
          <w:tcPr>
            <w:tcW w:w="2034" w:type="dxa"/>
            <w:hideMark/>
          </w:tcPr>
          <w:p w14:paraId="32E92C2A" w14:textId="77777777" w:rsidR="00F90978" w:rsidRPr="00F90978" w:rsidRDefault="00F90978" w:rsidP="00F90978">
            <w:pPr>
              <w:spacing w:after="160" w:line="259" w:lineRule="auto"/>
            </w:pPr>
            <w:r w:rsidRPr="00F90978">
              <w:t> $80,354,435</w:t>
            </w:r>
          </w:p>
        </w:tc>
        <w:tc>
          <w:tcPr>
            <w:tcW w:w="2085" w:type="dxa"/>
            <w:hideMark/>
          </w:tcPr>
          <w:p w14:paraId="365019E8" w14:textId="77777777" w:rsidR="00F90978" w:rsidRPr="00F90978" w:rsidRDefault="00F90978" w:rsidP="00F90978">
            <w:pPr>
              <w:spacing w:after="160" w:line="259" w:lineRule="auto"/>
            </w:pPr>
            <w:r w:rsidRPr="00F90978">
              <w:t>$18,858,896</w:t>
            </w:r>
          </w:p>
        </w:tc>
        <w:tc>
          <w:tcPr>
            <w:tcW w:w="2006" w:type="dxa"/>
            <w:hideMark/>
          </w:tcPr>
          <w:p w14:paraId="39FE9A2B" w14:textId="77777777" w:rsidR="00F90978" w:rsidRPr="00F90978" w:rsidRDefault="00F90978" w:rsidP="00F90978">
            <w:pPr>
              <w:spacing w:after="160" w:line="259" w:lineRule="auto"/>
            </w:pPr>
            <w:r w:rsidRPr="00F90978">
              <w:t>$99,213,331</w:t>
            </w:r>
          </w:p>
        </w:tc>
      </w:tr>
      <w:tr w:rsidR="00F90978" w:rsidRPr="00F90978" w14:paraId="7A085D61" w14:textId="77777777" w:rsidTr="00F90978">
        <w:trPr>
          <w:trHeight w:val="70"/>
        </w:trPr>
        <w:tc>
          <w:tcPr>
            <w:tcW w:w="3379" w:type="dxa"/>
            <w:hideMark/>
          </w:tcPr>
          <w:p w14:paraId="1837808F" w14:textId="77777777" w:rsidR="00F90978" w:rsidRPr="00F90978" w:rsidRDefault="00F90978" w:rsidP="00F90978">
            <w:pPr>
              <w:spacing w:after="160" w:line="259" w:lineRule="auto"/>
            </w:pPr>
            <w:r w:rsidRPr="00F90978">
              <w:rPr>
                <w:b/>
                <w:bCs/>
              </w:rPr>
              <w:t>Average Cost Per Trip</w:t>
            </w:r>
          </w:p>
        </w:tc>
        <w:tc>
          <w:tcPr>
            <w:tcW w:w="2034" w:type="dxa"/>
            <w:hideMark/>
          </w:tcPr>
          <w:p w14:paraId="244BA852" w14:textId="77777777" w:rsidR="00F90978" w:rsidRPr="00F90978" w:rsidRDefault="00F90978" w:rsidP="00F90978">
            <w:pPr>
              <w:spacing w:after="160" w:line="259" w:lineRule="auto"/>
            </w:pPr>
            <w:r w:rsidRPr="00F90978">
              <w:t>$35.59</w:t>
            </w:r>
          </w:p>
        </w:tc>
        <w:tc>
          <w:tcPr>
            <w:tcW w:w="2085" w:type="dxa"/>
            <w:hideMark/>
          </w:tcPr>
          <w:p w14:paraId="05851860" w14:textId="77777777" w:rsidR="00F90978" w:rsidRPr="00F90978" w:rsidRDefault="00F90978" w:rsidP="00F90978">
            <w:pPr>
              <w:spacing w:after="160" w:line="259" w:lineRule="auto"/>
            </w:pPr>
            <w:r w:rsidRPr="00F90978">
              <w:t>$35.17</w:t>
            </w:r>
          </w:p>
        </w:tc>
        <w:tc>
          <w:tcPr>
            <w:tcW w:w="2006" w:type="dxa"/>
            <w:hideMark/>
          </w:tcPr>
          <w:p w14:paraId="5E04D265" w14:textId="77777777" w:rsidR="00F90978" w:rsidRPr="00F90978" w:rsidRDefault="00F90978" w:rsidP="00F90978">
            <w:pPr>
              <w:spacing w:after="160" w:line="259" w:lineRule="auto"/>
            </w:pPr>
            <w:r w:rsidRPr="00F90978">
              <w:t>$35.50</w:t>
            </w:r>
          </w:p>
        </w:tc>
      </w:tr>
      <w:tr w:rsidR="00F90978" w:rsidRPr="00F90978" w14:paraId="2868E752" w14:textId="77777777" w:rsidTr="00F90978">
        <w:trPr>
          <w:trHeight w:val="98"/>
        </w:trPr>
        <w:tc>
          <w:tcPr>
            <w:tcW w:w="3379" w:type="dxa"/>
            <w:hideMark/>
          </w:tcPr>
          <w:p w14:paraId="2DF359A3" w14:textId="77777777" w:rsidR="00F90978" w:rsidRPr="00F90978" w:rsidRDefault="00F90978" w:rsidP="00F90978">
            <w:pPr>
              <w:spacing w:after="160" w:line="259" w:lineRule="auto"/>
            </w:pPr>
            <w:r w:rsidRPr="00F90978">
              <w:rPr>
                <w:b/>
                <w:bCs/>
              </w:rPr>
              <w:t xml:space="preserve">      Average Cost Per Trip: DR</w:t>
            </w:r>
          </w:p>
        </w:tc>
        <w:tc>
          <w:tcPr>
            <w:tcW w:w="2034" w:type="dxa"/>
            <w:hideMark/>
          </w:tcPr>
          <w:p w14:paraId="6BC27E61" w14:textId="77777777" w:rsidR="00F90978" w:rsidRPr="00F90978" w:rsidRDefault="00F90978" w:rsidP="00F90978">
            <w:pPr>
              <w:spacing w:after="160" w:line="259" w:lineRule="auto"/>
            </w:pPr>
            <w:r w:rsidRPr="00F90978">
              <w:t>$30.01</w:t>
            </w:r>
          </w:p>
        </w:tc>
        <w:tc>
          <w:tcPr>
            <w:tcW w:w="2085" w:type="dxa"/>
            <w:hideMark/>
          </w:tcPr>
          <w:p w14:paraId="1F7749F9" w14:textId="77777777" w:rsidR="00F90978" w:rsidRPr="00F90978" w:rsidRDefault="00F90978" w:rsidP="00F90978">
            <w:pPr>
              <w:spacing w:after="160" w:line="259" w:lineRule="auto"/>
            </w:pPr>
            <w:r w:rsidRPr="00F90978">
              <w:t>$32.00</w:t>
            </w:r>
          </w:p>
        </w:tc>
        <w:tc>
          <w:tcPr>
            <w:tcW w:w="2006" w:type="dxa"/>
            <w:hideMark/>
          </w:tcPr>
          <w:p w14:paraId="3E5D9D50" w14:textId="77777777" w:rsidR="00F90978" w:rsidRPr="00F90978" w:rsidRDefault="00F90978" w:rsidP="00F90978">
            <w:pPr>
              <w:spacing w:after="160" w:line="259" w:lineRule="auto"/>
            </w:pPr>
            <w:r w:rsidRPr="00F90978">
              <w:t>$30.45</w:t>
            </w:r>
          </w:p>
        </w:tc>
      </w:tr>
      <w:tr w:rsidR="00F90978" w:rsidRPr="00F90978" w14:paraId="206EC19A" w14:textId="77777777" w:rsidTr="00F90978">
        <w:trPr>
          <w:trHeight w:val="80"/>
        </w:trPr>
        <w:tc>
          <w:tcPr>
            <w:tcW w:w="3379" w:type="dxa"/>
            <w:hideMark/>
          </w:tcPr>
          <w:p w14:paraId="5B7F05C9" w14:textId="77777777" w:rsidR="00F90978" w:rsidRPr="00F90978" w:rsidRDefault="00F90978" w:rsidP="00F90978">
            <w:pPr>
              <w:spacing w:after="160" w:line="259" w:lineRule="auto"/>
            </w:pPr>
            <w:r w:rsidRPr="00F90978">
              <w:rPr>
                <w:b/>
                <w:bCs/>
              </w:rPr>
              <w:t xml:space="preserve">      Average Cost Per Trip: PB</w:t>
            </w:r>
          </w:p>
        </w:tc>
        <w:tc>
          <w:tcPr>
            <w:tcW w:w="2034" w:type="dxa"/>
            <w:hideMark/>
          </w:tcPr>
          <w:p w14:paraId="330DD76C" w14:textId="77777777" w:rsidR="00F90978" w:rsidRPr="00F90978" w:rsidRDefault="00F90978" w:rsidP="00F90978">
            <w:pPr>
              <w:spacing w:after="160" w:line="259" w:lineRule="auto"/>
            </w:pPr>
            <w:r w:rsidRPr="00F90978">
              <w:t>$45.04</w:t>
            </w:r>
          </w:p>
        </w:tc>
        <w:tc>
          <w:tcPr>
            <w:tcW w:w="2085" w:type="dxa"/>
            <w:hideMark/>
          </w:tcPr>
          <w:p w14:paraId="350E1730" w14:textId="77777777" w:rsidR="00F90978" w:rsidRPr="00F90978" w:rsidRDefault="00F90978" w:rsidP="00F90978">
            <w:pPr>
              <w:spacing w:after="160" w:line="259" w:lineRule="auto"/>
            </w:pPr>
            <w:r w:rsidRPr="00F90978">
              <w:t>$41.10</w:t>
            </w:r>
          </w:p>
        </w:tc>
        <w:tc>
          <w:tcPr>
            <w:tcW w:w="2006" w:type="dxa"/>
            <w:hideMark/>
          </w:tcPr>
          <w:p w14:paraId="789C54D1" w14:textId="77777777" w:rsidR="00F90978" w:rsidRPr="00F90978" w:rsidRDefault="00F90978" w:rsidP="00F90978">
            <w:pPr>
              <w:spacing w:after="160" w:line="259" w:lineRule="auto"/>
            </w:pPr>
            <w:r w:rsidRPr="00F90978">
              <w:t>$44.23</w:t>
            </w:r>
          </w:p>
        </w:tc>
      </w:tr>
    </w:tbl>
    <w:p w14:paraId="13752491" w14:textId="1A9B4075" w:rsidR="00F90978" w:rsidRDefault="00F90978"/>
    <w:p w14:paraId="51049022" w14:textId="47EDA211" w:rsidR="00F90978" w:rsidRDefault="00F90978">
      <w:r>
        <w:t>Slide 12</w:t>
      </w:r>
    </w:p>
    <w:p w14:paraId="026F3634" w14:textId="19BBEBD7" w:rsidR="00F90978" w:rsidRDefault="00F90978" w:rsidP="00F90978">
      <w:pPr>
        <w:pStyle w:val="Heading2"/>
      </w:pPr>
      <w:r w:rsidRPr="00F90978">
        <w:t>Task Force Recommendations</w:t>
      </w:r>
    </w:p>
    <w:p w14:paraId="595349E8" w14:textId="6B4728F6" w:rsidR="00F90978" w:rsidRDefault="00F90978" w:rsidP="00F90978"/>
    <w:p w14:paraId="23FB63D9" w14:textId="289A0A65" w:rsidR="00F90978" w:rsidRDefault="00F90978" w:rsidP="00F90978">
      <w:r>
        <w:t>Slide 13 and 14</w:t>
      </w:r>
    </w:p>
    <w:p w14:paraId="4842A17E" w14:textId="49E3A3BF" w:rsidR="00F90978" w:rsidRDefault="00F90978" w:rsidP="00C807C3">
      <w:pPr>
        <w:pStyle w:val="Heading3"/>
      </w:pPr>
      <w:r w:rsidRPr="00F90978">
        <w:t>Task Force’s Recommendations – Wheelchair Securement</w:t>
      </w:r>
    </w:p>
    <w:p w14:paraId="56417ABE" w14:textId="77777777" w:rsidR="00F90978" w:rsidRPr="00F90978" w:rsidRDefault="00F90978" w:rsidP="00F90978">
      <w:r w:rsidRPr="00F90978">
        <w:rPr>
          <w:b/>
          <w:bCs/>
        </w:rPr>
        <w:lastRenderedPageBreak/>
        <w:t>The HST office and Brokers should continue to improve the security, safety and comfort of consumers who utilize wheelchairs.  Wheelchair trainings should take into account the different types of equipment used by consumers.  The unique circumstances and equipment needs of wheelchair users should continue to be tracked in the consumer’s file and communicated and confirmed by the transportation vendor.</w:t>
      </w:r>
    </w:p>
    <w:p w14:paraId="290EA670" w14:textId="77777777" w:rsidR="00F90978" w:rsidRPr="00F90978" w:rsidRDefault="00F90978" w:rsidP="00F90978">
      <w:r w:rsidRPr="00F90978">
        <w:rPr>
          <w:b/>
          <w:bCs/>
          <w:u w:val="single"/>
        </w:rPr>
        <w:t>Actions Taken and Recommended</w:t>
      </w:r>
    </w:p>
    <w:p w14:paraId="3213E13E" w14:textId="77777777" w:rsidR="00F90978" w:rsidRPr="00F90978" w:rsidRDefault="00F90978" w:rsidP="00F90978">
      <w:pPr>
        <w:pStyle w:val="ListParagraph"/>
        <w:numPr>
          <w:ilvl w:val="0"/>
          <w:numId w:val="5"/>
        </w:numPr>
      </w:pPr>
      <w:r w:rsidRPr="00F90978">
        <w:t>The HST Office instituted a new requirement of annual wheelchair securement training by a certified trainer and mid-year evaluation of all drivers of wheelchair vehicles.</w:t>
      </w:r>
    </w:p>
    <w:p w14:paraId="3FB4D719" w14:textId="77777777" w:rsidR="00F90978" w:rsidRPr="00F90978" w:rsidRDefault="00F90978" w:rsidP="00F90978">
      <w:pPr>
        <w:pStyle w:val="ListParagraph"/>
        <w:numPr>
          <w:ilvl w:val="0"/>
          <w:numId w:val="5"/>
        </w:numPr>
      </w:pPr>
      <w:r w:rsidRPr="00F90978">
        <w:t>Brokers retraining all wheelchair drivers immediately with deadline of November 30, 2022.</w:t>
      </w:r>
    </w:p>
    <w:p w14:paraId="17ACB02D" w14:textId="77777777" w:rsidR="00F90978" w:rsidRPr="00F90978" w:rsidRDefault="00F90978" w:rsidP="00F90978">
      <w:pPr>
        <w:pStyle w:val="ListParagraph"/>
        <w:numPr>
          <w:ilvl w:val="0"/>
          <w:numId w:val="5"/>
        </w:numPr>
      </w:pPr>
      <w:r w:rsidRPr="00F90978">
        <w:t>HST compliance officers inspecting all wheelchair vehicles – to be completed by January 1, 2023.</w:t>
      </w:r>
    </w:p>
    <w:p w14:paraId="56EF7CDF" w14:textId="77777777" w:rsidR="00F90978" w:rsidRPr="00F90978" w:rsidRDefault="00F90978" w:rsidP="00F90978">
      <w:pPr>
        <w:pStyle w:val="ListParagraph"/>
        <w:numPr>
          <w:ilvl w:val="0"/>
          <w:numId w:val="5"/>
        </w:numPr>
      </w:pPr>
      <w:r w:rsidRPr="00F90978">
        <w:t>As a part of inspections, inspectors now required to sit in the wheelchair and have drivers to secure them during inspections.</w:t>
      </w:r>
    </w:p>
    <w:p w14:paraId="3C965EA3" w14:textId="77777777" w:rsidR="00F90978" w:rsidRPr="00F90978" w:rsidRDefault="00F90978" w:rsidP="00F90978">
      <w:pPr>
        <w:pStyle w:val="ListParagraph"/>
        <w:numPr>
          <w:ilvl w:val="0"/>
          <w:numId w:val="5"/>
        </w:numPr>
      </w:pPr>
      <w:r w:rsidRPr="00F90978">
        <w:t>Placards to be posted in all wheelchair vehicles by October 1, 2022 demonstrating proper securement. </w:t>
      </w:r>
    </w:p>
    <w:p w14:paraId="6FB97512" w14:textId="77777777" w:rsidR="00F90978" w:rsidRPr="00F90978" w:rsidRDefault="00F90978" w:rsidP="00F90978">
      <w:pPr>
        <w:pStyle w:val="ListParagraph"/>
        <w:numPr>
          <w:ilvl w:val="0"/>
          <w:numId w:val="5"/>
        </w:numPr>
      </w:pPr>
      <w:r w:rsidRPr="00F90978">
        <w:t xml:space="preserve">Corrective Action Schedule of fines and suspensions implemented for drivers and vendors for failing to properly secure wheelchairs. </w:t>
      </w:r>
    </w:p>
    <w:p w14:paraId="38CD15EC" w14:textId="77777777" w:rsidR="00F90978" w:rsidRPr="00F90978" w:rsidRDefault="00F90978" w:rsidP="00F90978">
      <w:pPr>
        <w:pStyle w:val="ListParagraph"/>
        <w:numPr>
          <w:ilvl w:val="0"/>
          <w:numId w:val="5"/>
        </w:numPr>
      </w:pPr>
      <w:r w:rsidRPr="00F90978">
        <w:t>Brokers sent email communication to all vendors reminding them of progressive penalties for failure to secure wheelchairs​.</w:t>
      </w:r>
    </w:p>
    <w:p w14:paraId="52D34843" w14:textId="77777777" w:rsidR="00F90978" w:rsidRPr="00F90978" w:rsidRDefault="00F90978" w:rsidP="00F90978">
      <w:r w:rsidRPr="00F90978">
        <w:rPr>
          <w:b/>
          <w:bCs/>
          <w:u w:val="single"/>
        </w:rPr>
        <w:t>Actions Taken and Recommended</w:t>
      </w:r>
    </w:p>
    <w:p w14:paraId="0E880849" w14:textId="77777777" w:rsidR="00F90978" w:rsidRPr="00F90978" w:rsidRDefault="00F90978" w:rsidP="00F90978">
      <w:pPr>
        <w:pStyle w:val="ListParagraph"/>
        <w:numPr>
          <w:ilvl w:val="0"/>
          <w:numId w:val="4"/>
        </w:numPr>
      </w:pPr>
      <w:r w:rsidRPr="00F90978">
        <w:t>For wheelchair users, the medical provider communicates the consumer’s wheelchair and mobility needs in the PT-1 form.  Unique circumstances and equipment is then recorded in the consumer’s file and communicated to the transportation vendor who accepts the trip.  It was recommended that there be a review of this process to ensure that the unique equipment needs are properly communicated to the vendor.</w:t>
      </w:r>
    </w:p>
    <w:p w14:paraId="13B2991C" w14:textId="77777777" w:rsidR="00F90978" w:rsidRPr="00F90978" w:rsidRDefault="00F90978" w:rsidP="00F90978">
      <w:pPr>
        <w:pStyle w:val="ListParagraph"/>
        <w:numPr>
          <w:ilvl w:val="0"/>
          <w:numId w:val="4"/>
        </w:numPr>
      </w:pPr>
      <w:r w:rsidRPr="00F90978">
        <w:t>While there was not unanimous agreement amongst the Task Force members about how best to incorporate consumer involvement into wheelchair securement training due to the complexities of logistical and liability concerns, there was a recommendation that consumers should be provided opportunities to provide feedback on the trainings.</w:t>
      </w:r>
    </w:p>
    <w:p w14:paraId="63802268" w14:textId="6181F524" w:rsidR="00F90978" w:rsidRDefault="00F90978" w:rsidP="00F90978"/>
    <w:p w14:paraId="51A64982" w14:textId="30DF5FA2" w:rsidR="003F51A7" w:rsidRDefault="003F51A7" w:rsidP="00F90978">
      <w:r>
        <w:t>Slide 15</w:t>
      </w:r>
    </w:p>
    <w:p w14:paraId="0464A3CF" w14:textId="5B852129" w:rsidR="003F51A7" w:rsidRDefault="003F51A7" w:rsidP="00C807C3">
      <w:pPr>
        <w:pStyle w:val="Heading3"/>
      </w:pPr>
      <w:r w:rsidRPr="003F51A7">
        <w:t>Task Force’s Recommendations – Driver Training and Professionalism</w:t>
      </w:r>
    </w:p>
    <w:p w14:paraId="16AD9E97" w14:textId="77777777" w:rsidR="00F90978" w:rsidRPr="00F90978" w:rsidRDefault="00F90978" w:rsidP="00F90978">
      <w:r w:rsidRPr="00F90978">
        <w:rPr>
          <w:b/>
          <w:bCs/>
        </w:rPr>
        <w:t>Improve driver training and professionalism</w:t>
      </w:r>
    </w:p>
    <w:p w14:paraId="1DA9C68C" w14:textId="77777777" w:rsidR="00F90978" w:rsidRPr="00F90978" w:rsidRDefault="00F90978" w:rsidP="00F90978">
      <w:r w:rsidRPr="00F90978">
        <w:rPr>
          <w:b/>
          <w:bCs/>
          <w:u w:val="single"/>
        </w:rPr>
        <w:t>Actions Taken and Recommended</w:t>
      </w:r>
    </w:p>
    <w:p w14:paraId="1532AB79" w14:textId="77777777" w:rsidR="00F90978" w:rsidRPr="00F90978" w:rsidRDefault="00F90978" w:rsidP="00F90978">
      <w:pPr>
        <w:pStyle w:val="ListParagraph"/>
        <w:numPr>
          <w:ilvl w:val="0"/>
          <w:numId w:val="3"/>
        </w:numPr>
      </w:pPr>
      <w:r w:rsidRPr="00F90978">
        <w:t>Trainings added:</w:t>
      </w:r>
    </w:p>
    <w:p w14:paraId="53E906CA" w14:textId="77777777" w:rsidR="00F90978" w:rsidRPr="00F90978" w:rsidRDefault="00F90978" w:rsidP="00F90978">
      <w:pPr>
        <w:pStyle w:val="ListParagraph"/>
        <w:numPr>
          <w:ilvl w:val="1"/>
          <w:numId w:val="3"/>
        </w:numPr>
      </w:pPr>
      <w:r w:rsidRPr="00F90978">
        <w:t>Annual Human Rights and Sensitivity Training</w:t>
      </w:r>
    </w:p>
    <w:p w14:paraId="2DB65850" w14:textId="77777777" w:rsidR="00F90978" w:rsidRPr="00F90978" w:rsidRDefault="00F90978" w:rsidP="00F90978">
      <w:pPr>
        <w:pStyle w:val="ListParagraph"/>
        <w:numPr>
          <w:ilvl w:val="1"/>
          <w:numId w:val="3"/>
        </w:numPr>
      </w:pPr>
      <w:r w:rsidRPr="00F90978">
        <w:t>Annual Sexual Harassment Training</w:t>
      </w:r>
    </w:p>
    <w:p w14:paraId="4766C23D" w14:textId="77777777" w:rsidR="00F90978" w:rsidRPr="00F90978" w:rsidRDefault="00F90978" w:rsidP="00F90978">
      <w:pPr>
        <w:pStyle w:val="ListParagraph"/>
        <w:numPr>
          <w:ilvl w:val="1"/>
          <w:numId w:val="3"/>
        </w:numPr>
      </w:pPr>
      <w:r w:rsidRPr="00F90978">
        <w:t>Annual Defensive Driving by Certified Trainer</w:t>
      </w:r>
    </w:p>
    <w:p w14:paraId="4C367B72" w14:textId="77777777" w:rsidR="00F90978" w:rsidRPr="00F90978" w:rsidRDefault="00F90978" w:rsidP="00F90978">
      <w:pPr>
        <w:pStyle w:val="ListParagraph"/>
        <w:numPr>
          <w:ilvl w:val="1"/>
          <w:numId w:val="3"/>
        </w:numPr>
      </w:pPr>
      <w:r w:rsidRPr="00F90978">
        <w:t>Annual wheelchair securement training</w:t>
      </w:r>
    </w:p>
    <w:p w14:paraId="612AA3B9" w14:textId="77777777" w:rsidR="00F90978" w:rsidRPr="00F90978" w:rsidRDefault="00F90978" w:rsidP="00F90978">
      <w:pPr>
        <w:pStyle w:val="ListParagraph"/>
        <w:numPr>
          <w:ilvl w:val="0"/>
          <w:numId w:val="3"/>
        </w:numPr>
      </w:pPr>
      <w:r w:rsidRPr="00F90978">
        <w:lastRenderedPageBreak/>
        <w:t xml:space="preserve">Require drivers to wear nametags visible to consumers.  Recommend drivers provide name upon arrival, confirm passenger’s name and that they are medical transportation to the drop-off location. </w:t>
      </w:r>
    </w:p>
    <w:p w14:paraId="3BD7CBD8" w14:textId="77777777" w:rsidR="00F90978" w:rsidRPr="00F90978" w:rsidRDefault="00F90978" w:rsidP="00F90978">
      <w:pPr>
        <w:pStyle w:val="ListParagraph"/>
        <w:numPr>
          <w:ilvl w:val="0"/>
          <w:numId w:val="3"/>
        </w:numPr>
      </w:pPr>
      <w:r w:rsidRPr="00F90978">
        <w:t>Reinforce that existing rule that drivers are not permitted to use cell phones while driving passengers.</w:t>
      </w:r>
    </w:p>
    <w:p w14:paraId="60B3FCED" w14:textId="77777777" w:rsidR="00F90978" w:rsidRPr="00F90978" w:rsidRDefault="00F90978" w:rsidP="00F90978">
      <w:pPr>
        <w:pStyle w:val="ListParagraph"/>
        <w:numPr>
          <w:ilvl w:val="0"/>
          <w:numId w:val="3"/>
        </w:numPr>
      </w:pPr>
      <w:r w:rsidRPr="00F90978">
        <w:t>There should be greater collaboration with The RIDE to share successful strategies and/or protocols that HST could adopt.</w:t>
      </w:r>
    </w:p>
    <w:p w14:paraId="73FAF9AB" w14:textId="77777777" w:rsidR="00F90978" w:rsidRPr="00F90978" w:rsidRDefault="00F90978" w:rsidP="00F90978">
      <w:pPr>
        <w:pStyle w:val="ListParagraph"/>
        <w:numPr>
          <w:ilvl w:val="0"/>
          <w:numId w:val="3"/>
        </w:numPr>
      </w:pPr>
      <w:r w:rsidRPr="00F90978">
        <w:t>Recommend that the trainings include a video featuring a wheelchair user and other consumers with disabilities.  During the Task Force's final meeting, members offered to share examples of similar videos with the HST office to help guide development of the video.</w:t>
      </w:r>
    </w:p>
    <w:p w14:paraId="2AAEA899" w14:textId="1D561177" w:rsidR="00F90978" w:rsidRDefault="00F90978" w:rsidP="00F90978"/>
    <w:p w14:paraId="09E8C778" w14:textId="41311096" w:rsidR="003F51A7" w:rsidRDefault="003F51A7" w:rsidP="00F90978">
      <w:r>
        <w:t>Slide 16</w:t>
      </w:r>
    </w:p>
    <w:p w14:paraId="12562442" w14:textId="54BF4782" w:rsidR="003F51A7" w:rsidRDefault="003F51A7" w:rsidP="00C807C3">
      <w:pPr>
        <w:pStyle w:val="Heading3"/>
      </w:pPr>
      <w:r w:rsidRPr="003F51A7">
        <w:t>Task Force’s Recommendations – Unannounced Vehicle Inspections</w:t>
      </w:r>
    </w:p>
    <w:p w14:paraId="2C813889" w14:textId="77777777" w:rsidR="003F51A7" w:rsidRPr="003F51A7" w:rsidRDefault="003F51A7" w:rsidP="003F51A7">
      <w:r w:rsidRPr="003F51A7">
        <w:rPr>
          <w:b/>
          <w:bCs/>
        </w:rPr>
        <w:t>Conduct more frequent and unannounced vehicle inspections</w:t>
      </w:r>
    </w:p>
    <w:p w14:paraId="7462A766" w14:textId="77777777" w:rsidR="003F51A7" w:rsidRPr="003F51A7" w:rsidRDefault="003F51A7" w:rsidP="003F51A7">
      <w:r w:rsidRPr="003F51A7">
        <w:rPr>
          <w:b/>
          <w:bCs/>
          <w:u w:val="single"/>
        </w:rPr>
        <w:t>Actions Taken and Recommended</w:t>
      </w:r>
    </w:p>
    <w:p w14:paraId="07BCE6C6" w14:textId="77777777" w:rsidR="003F51A7" w:rsidRPr="003F51A7" w:rsidRDefault="003F51A7" w:rsidP="003F51A7">
      <w:r w:rsidRPr="003F51A7">
        <w:t xml:space="preserve">Following the procurement in 2021, HST hired an additional two Compliance Officers. The HST office is hiring two additional Compliance Officers and will have a total of five full-time and one part-time Compliance Officers reporting to the Manager of Compliance. </w:t>
      </w:r>
    </w:p>
    <w:p w14:paraId="74EDF100" w14:textId="77777777" w:rsidR="003F51A7" w:rsidRPr="003F51A7" w:rsidRDefault="003F51A7" w:rsidP="003F51A7">
      <w:r w:rsidRPr="003F51A7">
        <w:t>GATRA and MART each hiring an additional inspector. MART will have seven Inspectors; GATRA will have three.</w:t>
      </w:r>
    </w:p>
    <w:p w14:paraId="67437A3E" w14:textId="77777777" w:rsidR="003F51A7" w:rsidRPr="003F51A7" w:rsidRDefault="003F51A7" w:rsidP="003F51A7">
      <w:r w:rsidRPr="003F51A7">
        <w:t xml:space="preserve">HST Compliance Officers and Broker Inspectors conduct unannounced field inspections at programs, homes and facilities. Brokers have a monthly inspection goal of 0.05% of the total volume of one-way trips and must be reported to the HST office. Inspections must include the HST Vehicle Safety Checklist. </w:t>
      </w:r>
    </w:p>
    <w:p w14:paraId="22B5966F" w14:textId="77777777" w:rsidR="003F51A7" w:rsidRPr="003F51A7" w:rsidRDefault="003F51A7" w:rsidP="003F51A7">
      <w:r w:rsidRPr="003F51A7">
        <w:t>HST and Brokers coordinated and scheduled inspections of every wheelchair vehicle.</w:t>
      </w:r>
    </w:p>
    <w:p w14:paraId="2B58E81B" w14:textId="77777777" w:rsidR="003F51A7" w:rsidRPr="003F51A7" w:rsidRDefault="003F51A7" w:rsidP="003F51A7">
      <w:r w:rsidRPr="003F51A7">
        <w:t>Additional inspections will be focused on vendors with high complaint volumes.</w:t>
      </w:r>
    </w:p>
    <w:p w14:paraId="0CCD2E1A" w14:textId="69E59410" w:rsidR="003F51A7" w:rsidRDefault="003F51A7" w:rsidP="003F51A7">
      <w:r w:rsidRPr="003F51A7">
        <w:t>Announced/pre-planned inspections of vehicle fleets should take place either outside of transportation hours or be coordinated with vendors to minimize disruption to consumer transportation.</w:t>
      </w:r>
    </w:p>
    <w:p w14:paraId="276E1F74" w14:textId="46B95F5C" w:rsidR="00F0196E" w:rsidRDefault="00F0196E" w:rsidP="003F51A7"/>
    <w:p w14:paraId="508C2B6E" w14:textId="25A3E832" w:rsidR="00F0196E" w:rsidRDefault="00F0196E" w:rsidP="003F51A7">
      <w:r>
        <w:t>Slide 17</w:t>
      </w:r>
    </w:p>
    <w:p w14:paraId="29FD5AEA" w14:textId="77777777" w:rsidR="00F0196E" w:rsidRPr="00F0196E" w:rsidRDefault="00F0196E" w:rsidP="00C807C3">
      <w:pPr>
        <w:pStyle w:val="Heading3"/>
      </w:pPr>
      <w:r w:rsidRPr="00F0196E">
        <w:t>Task Force’s Recommendations – Encouraging Feedback from Consumers</w:t>
      </w:r>
    </w:p>
    <w:p w14:paraId="7DFD3B42" w14:textId="77777777" w:rsidR="00F0196E" w:rsidRPr="00F0196E" w:rsidRDefault="00F0196E" w:rsidP="00F0196E">
      <w:r w:rsidRPr="00F0196E">
        <w:rPr>
          <w:b/>
          <w:bCs/>
        </w:rPr>
        <w:t xml:space="preserve">Encourage and provide more avenues for consumers to submit feedback, which should include both electronic means and phone, to make it accessible to those without internet access. </w:t>
      </w:r>
    </w:p>
    <w:p w14:paraId="76D75CEB" w14:textId="77777777" w:rsidR="00F0196E" w:rsidRPr="00F0196E" w:rsidRDefault="00F0196E" w:rsidP="00F0196E">
      <w:r w:rsidRPr="00F0196E">
        <w:rPr>
          <w:b/>
          <w:bCs/>
        </w:rPr>
        <w:t>Improve complaint process and communication of complaint resolution.</w:t>
      </w:r>
    </w:p>
    <w:p w14:paraId="3F148CA5" w14:textId="77777777" w:rsidR="00F0196E" w:rsidRPr="00F0196E" w:rsidRDefault="00F0196E" w:rsidP="00F0196E">
      <w:r w:rsidRPr="00F0196E">
        <w:rPr>
          <w:b/>
          <w:bCs/>
        </w:rPr>
        <w:t xml:space="preserve">Advocates and trade groups should convene a standing group of HST consumers and transportation providers with broad geographic representation to provide consumer and vendor feedback to HST and </w:t>
      </w:r>
      <w:r w:rsidRPr="00F0196E">
        <w:rPr>
          <w:b/>
          <w:bCs/>
        </w:rPr>
        <w:lastRenderedPageBreak/>
        <w:t>Brokers.  The group should have representation from both program-based and PT-1 consumers and vendors.</w:t>
      </w:r>
    </w:p>
    <w:p w14:paraId="126477BA" w14:textId="77777777" w:rsidR="00F0196E" w:rsidRPr="00F0196E" w:rsidRDefault="00F0196E" w:rsidP="00F0196E">
      <w:r w:rsidRPr="00F0196E">
        <w:rPr>
          <w:b/>
          <w:bCs/>
          <w:u w:val="single"/>
        </w:rPr>
        <w:t>Actions Taken and Recommended</w:t>
      </w:r>
    </w:p>
    <w:p w14:paraId="3351CF9F" w14:textId="77777777" w:rsidR="00F0196E" w:rsidRPr="00F0196E" w:rsidRDefault="00F0196E" w:rsidP="00F0196E">
      <w:r w:rsidRPr="00F0196E">
        <w:t>HST Compliance Team conducts random telephone surveys to offer consumers the opportunity to share feedback.</w:t>
      </w:r>
    </w:p>
    <w:p w14:paraId="6496D150" w14:textId="77777777" w:rsidR="00F0196E" w:rsidRPr="00F0196E" w:rsidRDefault="00F0196E" w:rsidP="00F0196E">
      <w:r w:rsidRPr="00F0196E">
        <w:t>Brokers have Quality &amp; Assurance units that resolve and communicate complaint resolution to consumers via phone and text.  Additional follow-up is provided per customer request.</w:t>
      </w:r>
    </w:p>
    <w:p w14:paraId="08E8E001" w14:textId="77777777" w:rsidR="00F0196E" w:rsidRPr="00F0196E" w:rsidRDefault="00F0196E" w:rsidP="00F0196E">
      <w:r w:rsidRPr="00F0196E">
        <w:t>Consumers can submit complaints in the smart phone app, the member and facility portals with resolutions sent via email and text, and call the HST office directly.</w:t>
      </w:r>
    </w:p>
    <w:p w14:paraId="68E63617" w14:textId="77777777" w:rsidR="00F0196E" w:rsidRPr="00F0196E" w:rsidRDefault="00F0196E" w:rsidP="00F0196E">
      <w:r w:rsidRPr="00F0196E">
        <w:t>HST and Brokers should invite feedback from consumers continuously and on multiple platforms – and do so in a way that makes clear “We want to hear from you”.  This should include exploring automatic texts or emails following rides and posting information about submitting complaints in places conspicuous to consumers.</w:t>
      </w:r>
    </w:p>
    <w:p w14:paraId="1C0F92BE" w14:textId="653BD0B2" w:rsidR="00F0196E" w:rsidRDefault="00F0196E" w:rsidP="003F51A7"/>
    <w:p w14:paraId="42C23706" w14:textId="4A5DFDA4" w:rsidR="00F0196E" w:rsidRDefault="00F0196E" w:rsidP="003F51A7">
      <w:r>
        <w:t>Slide 18</w:t>
      </w:r>
    </w:p>
    <w:p w14:paraId="5B57D5A4" w14:textId="77777777" w:rsidR="00F0196E" w:rsidRPr="00F0196E" w:rsidRDefault="00F0196E" w:rsidP="00C807C3">
      <w:pPr>
        <w:pStyle w:val="Heading3"/>
      </w:pPr>
      <w:r w:rsidRPr="00F0196E">
        <w:t>Task Force’s Recommendations – Complaint Process and Resolutions (cont.)</w:t>
      </w:r>
    </w:p>
    <w:p w14:paraId="059AE0CF" w14:textId="77777777" w:rsidR="00F0196E" w:rsidRPr="00F0196E" w:rsidRDefault="00F0196E" w:rsidP="00F0196E">
      <w:r w:rsidRPr="00F0196E">
        <w:rPr>
          <w:b/>
          <w:bCs/>
          <w:u w:val="single"/>
        </w:rPr>
        <w:t>Actions Taken and Recommended (cont.)</w:t>
      </w:r>
    </w:p>
    <w:p w14:paraId="21AF0AD1" w14:textId="77777777" w:rsidR="00F0196E" w:rsidRPr="00F0196E" w:rsidRDefault="00F0196E" w:rsidP="00F0196E">
      <w:r w:rsidRPr="00F0196E">
        <w:t>Explore ways to provide consumers with a durable tool (like a magnet or keychain) to remind consumers of the how to provide feedback to the Brokers and HST. </w:t>
      </w:r>
    </w:p>
    <w:p w14:paraId="533EAE72" w14:textId="77777777" w:rsidR="00F0196E" w:rsidRPr="00F0196E" w:rsidRDefault="00F0196E" w:rsidP="00F0196E">
      <w:r w:rsidRPr="00F0196E">
        <w:t>The HST office should solicit random feedback from consumers by providing incentives to regular riders to provide detailed feedback on their HST experience (note that this will require a procurement).</w:t>
      </w:r>
    </w:p>
    <w:p w14:paraId="26B71FEF" w14:textId="77777777" w:rsidR="00F0196E" w:rsidRPr="00F0196E" w:rsidRDefault="00F0196E" w:rsidP="00F0196E">
      <w:r w:rsidRPr="00F0196E">
        <w:t>The HST office is working with MassHealth to add information and QR codes to PT-1 Approval and Renewal letters encouraging consumer to provide feedback and providing instructions for doing so.  Links to provide feedback are posted on Broker websites and apps.</w:t>
      </w:r>
    </w:p>
    <w:p w14:paraId="5A50E977" w14:textId="6567ECB9" w:rsidR="00F0196E" w:rsidRDefault="00F0196E" w:rsidP="00F0196E">
      <w:r w:rsidRPr="00F0196E">
        <w:t>The Task Force had a robust discussion around whether and when consumers should be able to exclude and preference vendors; however, the Task Force did not reach a firm conclusion or recommendation on this topic.</w:t>
      </w:r>
    </w:p>
    <w:p w14:paraId="5EF15530" w14:textId="6B5E066D" w:rsidR="00F0196E" w:rsidRDefault="00F0196E" w:rsidP="00F0196E"/>
    <w:p w14:paraId="11296455" w14:textId="181F5636" w:rsidR="00F0196E" w:rsidRDefault="00F0196E" w:rsidP="00F0196E">
      <w:r>
        <w:t>Slide 19</w:t>
      </w:r>
    </w:p>
    <w:p w14:paraId="0EA23B31" w14:textId="77777777" w:rsidR="00F0196E" w:rsidRPr="00F0196E" w:rsidRDefault="00F0196E" w:rsidP="00C807C3">
      <w:pPr>
        <w:pStyle w:val="Heading3"/>
      </w:pPr>
      <w:r w:rsidRPr="00F0196E">
        <w:t>Task Force’s Recommendations – On-time Performance</w:t>
      </w:r>
    </w:p>
    <w:p w14:paraId="5F2D5D8A" w14:textId="77777777" w:rsidR="00F0196E" w:rsidRPr="00F0196E" w:rsidRDefault="00F0196E" w:rsidP="00F0196E">
      <w:r w:rsidRPr="00F0196E">
        <w:rPr>
          <w:b/>
          <w:bCs/>
        </w:rPr>
        <w:t>Improve on-time performance</w:t>
      </w:r>
    </w:p>
    <w:p w14:paraId="6A6A5F81" w14:textId="77777777" w:rsidR="00F0196E" w:rsidRPr="00F0196E" w:rsidRDefault="00F0196E" w:rsidP="00F0196E">
      <w:r w:rsidRPr="00F0196E">
        <w:rPr>
          <w:b/>
          <w:bCs/>
          <w:u w:val="single"/>
        </w:rPr>
        <w:t>Actions Taken and Recommended</w:t>
      </w:r>
    </w:p>
    <w:p w14:paraId="0DDED90B" w14:textId="77777777" w:rsidR="00F0196E" w:rsidRPr="00F0196E" w:rsidRDefault="00F0196E" w:rsidP="00F0196E">
      <w:r w:rsidRPr="00F0196E">
        <w:t>MART and GATRA implementing GPS tracking of on-time performance. Required to have 90% of trips tracked by GPS by December 31, 2022.</w:t>
      </w:r>
    </w:p>
    <w:p w14:paraId="3939342B" w14:textId="77777777" w:rsidR="00F0196E" w:rsidRPr="00F0196E" w:rsidRDefault="00F0196E" w:rsidP="00F0196E">
      <w:r w:rsidRPr="00F0196E">
        <w:lastRenderedPageBreak/>
        <w:t>MART and GATRA are required to report on-time performance measured by GPS to the HST office monthly and the data will be posted publicly on an online dashboard.</w:t>
      </w:r>
    </w:p>
    <w:p w14:paraId="62931FCC" w14:textId="77777777" w:rsidR="00F0196E" w:rsidRPr="00F0196E" w:rsidRDefault="00F0196E" w:rsidP="00F0196E">
      <w:r w:rsidRPr="00F0196E">
        <w:t>On-time performance incentive is earned if 90% or more trips are performed on-time.</w:t>
      </w:r>
    </w:p>
    <w:p w14:paraId="4137CE92" w14:textId="77777777" w:rsidR="00F0196E" w:rsidRPr="00F0196E" w:rsidRDefault="00F0196E" w:rsidP="00F0196E">
      <w:r w:rsidRPr="00F0196E">
        <w:t>Brokers should continually evaluate the scheduling algorithm to ensure that its recommended pick-up time allows for enough time to ensure on-time arrival, including drivers’ grace periods.</w:t>
      </w:r>
    </w:p>
    <w:p w14:paraId="14FC7B60" w14:textId="77777777" w:rsidR="00F0196E" w:rsidRPr="00F0196E" w:rsidRDefault="00F0196E" w:rsidP="00F0196E">
      <w:r w:rsidRPr="00F0196E">
        <w:t>Recommend having call center staff inform riders that they can adjust their pick-up time within a recommended window to ensure on-time arrival.</w:t>
      </w:r>
    </w:p>
    <w:p w14:paraId="053B10AA" w14:textId="5369C812" w:rsidR="00F0196E" w:rsidRDefault="00F0196E" w:rsidP="00F0196E"/>
    <w:p w14:paraId="1C2D307C" w14:textId="282FF94C" w:rsidR="00F0196E" w:rsidRDefault="00F0196E" w:rsidP="00F0196E">
      <w:r>
        <w:t>Slide 20 - 22</w:t>
      </w:r>
    </w:p>
    <w:p w14:paraId="0111956B" w14:textId="77777777" w:rsidR="00F0196E" w:rsidRPr="00F0196E" w:rsidRDefault="00F0196E" w:rsidP="00C807C3">
      <w:pPr>
        <w:pStyle w:val="Heading3"/>
      </w:pPr>
      <w:r w:rsidRPr="00F0196E">
        <w:t>Task Force’s Recommendations – Accessibility and Booking</w:t>
      </w:r>
    </w:p>
    <w:p w14:paraId="05BE5E7F" w14:textId="77777777" w:rsidR="00F0196E" w:rsidRPr="00F0196E" w:rsidRDefault="00F0196E" w:rsidP="00F0196E">
      <w:r w:rsidRPr="00F0196E">
        <w:rPr>
          <w:b/>
          <w:bCs/>
        </w:rPr>
        <w:t>Improve and align broker and HST websites and the accessibility and adoption of online booking through apps and portals</w:t>
      </w:r>
    </w:p>
    <w:p w14:paraId="733BDDCA" w14:textId="77777777" w:rsidR="00F0196E" w:rsidRPr="00F0196E" w:rsidRDefault="00F0196E" w:rsidP="00F0196E">
      <w:r w:rsidRPr="00F0196E">
        <w:rPr>
          <w:b/>
          <w:bCs/>
          <w:u w:val="single"/>
        </w:rPr>
        <w:t>Actions Taken and Recommended</w:t>
      </w:r>
    </w:p>
    <w:p w14:paraId="5AB87C4D" w14:textId="77777777" w:rsidR="00F0196E" w:rsidRPr="00F0196E" w:rsidRDefault="00F0196E" w:rsidP="00F0196E">
      <w:r w:rsidRPr="00F0196E">
        <w:t>Postcard with QR codes promoting the apps and portals sent to all consumers that used transportation in the past year. Postcard included a reminder that three-day advance scheduling is recommended but not required.</w:t>
      </w:r>
    </w:p>
    <w:p w14:paraId="728581CB" w14:textId="77777777" w:rsidR="00F0196E" w:rsidRPr="00F0196E" w:rsidRDefault="00F0196E" w:rsidP="00F0196E">
      <w:r w:rsidRPr="00F0196E">
        <w:t>Automated Call Center message provides new short URL for the apps and portals.</w:t>
      </w:r>
    </w:p>
    <w:p w14:paraId="06D13133" w14:textId="77777777" w:rsidR="00F0196E" w:rsidRPr="00F0196E" w:rsidRDefault="00F0196E" w:rsidP="00F0196E">
      <w:r w:rsidRPr="00F0196E">
        <w:t xml:space="preserve">The Executive Office of Technology Services and Security (EOTSS) engaged to do a review of HST’s Mass.gov website, broker websites, and apps and portals, and make recommendations.  </w:t>
      </w:r>
    </w:p>
    <w:p w14:paraId="22592D19" w14:textId="77777777" w:rsidR="00F0196E" w:rsidRPr="00F0196E" w:rsidRDefault="00F0196E" w:rsidP="00F0196E">
      <w:r w:rsidRPr="00F0196E">
        <w:t>EOTSS conducted consumer interviews to inform improvements to website and apps.</w:t>
      </w:r>
    </w:p>
    <w:p w14:paraId="5223DB11" w14:textId="77777777" w:rsidR="00F0196E" w:rsidRPr="00F0196E" w:rsidRDefault="00F0196E" w:rsidP="00F0196E">
      <w:r w:rsidRPr="00F0196E">
        <w:t xml:space="preserve">EOTSS has recommended changes to improve website and app accessibility. </w:t>
      </w:r>
    </w:p>
    <w:p w14:paraId="449803DA" w14:textId="77777777" w:rsidR="00F0196E" w:rsidRPr="00F0196E" w:rsidRDefault="00F0196E" w:rsidP="00F0196E">
      <w:r w:rsidRPr="00F0196E">
        <w:t>EOTSS conducting usability testing with consumers and facilities on the apps and portals to map the user journey and make recommendations for improvements.</w:t>
      </w:r>
    </w:p>
    <w:p w14:paraId="4AA62065" w14:textId="77777777" w:rsidR="00F0196E" w:rsidRPr="003F51A7" w:rsidRDefault="00F0196E" w:rsidP="003F51A7"/>
    <w:p w14:paraId="3E84E16A" w14:textId="77777777" w:rsidR="00F0196E" w:rsidRPr="00F0196E" w:rsidRDefault="00F0196E" w:rsidP="00F0196E">
      <w:r w:rsidRPr="00F0196E">
        <w:rPr>
          <w:b/>
          <w:bCs/>
        </w:rPr>
        <w:t>Promote the PT-1 service among medical providers and nursing facilities</w:t>
      </w:r>
    </w:p>
    <w:p w14:paraId="0AC881E5" w14:textId="77777777" w:rsidR="00F0196E" w:rsidRPr="00F0196E" w:rsidRDefault="00F0196E" w:rsidP="00F0196E">
      <w:r w:rsidRPr="00F0196E">
        <w:rPr>
          <w:b/>
          <w:bCs/>
          <w:u w:val="single"/>
        </w:rPr>
        <w:t>Actions Taken and Recommended</w:t>
      </w:r>
    </w:p>
    <w:p w14:paraId="492BE543" w14:textId="77777777" w:rsidR="00F0196E" w:rsidRPr="00F0196E" w:rsidRDefault="00F0196E" w:rsidP="00F0196E">
      <w:r w:rsidRPr="00F0196E">
        <w:t xml:space="preserve">Explore providing PT-1 transportation information to medical providers to promote PT-1 use for eligible consumers. </w:t>
      </w:r>
    </w:p>
    <w:p w14:paraId="34072896" w14:textId="77777777" w:rsidR="00F0196E" w:rsidRPr="00F0196E" w:rsidRDefault="00F0196E" w:rsidP="00F0196E">
      <w:r w:rsidRPr="00F0196E">
        <w:t>Promote PT-1 among skilled nursing facilities (SNF), which were newly eligible to enroll in the brokerage as of April 1, 2022.</w:t>
      </w:r>
    </w:p>
    <w:p w14:paraId="11ACD5E4" w14:textId="77777777" w:rsidR="00F0196E" w:rsidRPr="00F0196E" w:rsidRDefault="00F0196E" w:rsidP="00F0196E">
      <w:r w:rsidRPr="00F0196E">
        <w:t xml:space="preserve">MassHealth led the outreach efforts to SNFs through numerous provider bulletins, as well as conducting outreach and training to the ambulance companies that service SNFs. Efforts to educate nursing facilities are ongoing. The most recent communication to SNFs informed them that if they had a wheelchair van </w:t>
      </w:r>
      <w:r w:rsidRPr="00F0196E">
        <w:lastRenderedPageBreak/>
        <w:t>or wanted to purchase a wheelchair van to provide transportation to their residents, they could do so and receive payment through the HST brokerage if they contracted with a Broker.</w:t>
      </w:r>
    </w:p>
    <w:p w14:paraId="692AA7EF" w14:textId="520B4639" w:rsidR="003F51A7" w:rsidRDefault="003F51A7" w:rsidP="00F90978"/>
    <w:p w14:paraId="46DE6419" w14:textId="77777777" w:rsidR="00F0196E" w:rsidRPr="00F0196E" w:rsidRDefault="00F0196E" w:rsidP="00F0196E">
      <w:r w:rsidRPr="00F0196E">
        <w:rPr>
          <w:b/>
          <w:bCs/>
        </w:rPr>
        <w:t>Educate consumers about their rights as HST riders</w:t>
      </w:r>
    </w:p>
    <w:p w14:paraId="5CB2FFA7" w14:textId="77777777" w:rsidR="00F0196E" w:rsidRPr="00F0196E" w:rsidRDefault="00F0196E" w:rsidP="00F0196E">
      <w:r w:rsidRPr="00F0196E">
        <w:rPr>
          <w:b/>
          <w:bCs/>
          <w:u w:val="single"/>
        </w:rPr>
        <w:t>Actions Taken and Recommended</w:t>
      </w:r>
    </w:p>
    <w:p w14:paraId="5A068B13" w14:textId="77777777" w:rsidR="00F0196E" w:rsidRPr="00F0196E" w:rsidRDefault="00F0196E" w:rsidP="00F0196E">
      <w:r w:rsidRPr="00F0196E">
        <w:t>EOTSS and Brokers created “Single Source of Truth” pages on HST and Broker websites with links to “Know Before You Go” document, a document which enumerates consumers rights and was developed in consultation with the Boston Center for Independent Living (BCIL).</w:t>
      </w:r>
    </w:p>
    <w:p w14:paraId="481236D6" w14:textId="77777777" w:rsidR="00F0196E" w:rsidRPr="00F0196E" w:rsidRDefault="00F0196E" w:rsidP="00F0196E">
      <w:r w:rsidRPr="00F0196E">
        <w:t>“Know Before You Go” information is prominently displayed on the Broker pages:</w:t>
      </w:r>
    </w:p>
    <w:p w14:paraId="7DCE8EE6" w14:textId="77777777" w:rsidR="00F0196E" w:rsidRPr="00F0196E" w:rsidRDefault="0034181D" w:rsidP="00F0196E">
      <w:hyperlink r:id="rId6" w:history="1">
        <w:r w:rsidR="00F0196E" w:rsidRPr="00F0196E">
          <w:rPr>
            <w:rStyle w:val="Hyperlink"/>
          </w:rPr>
          <w:t>GATRA HST webpage</w:t>
        </w:r>
      </w:hyperlink>
    </w:p>
    <w:p w14:paraId="784D019E" w14:textId="77777777" w:rsidR="00F0196E" w:rsidRPr="00F0196E" w:rsidRDefault="0034181D" w:rsidP="00F0196E">
      <w:hyperlink r:id="rId7" w:history="1">
        <w:r w:rsidR="00F0196E" w:rsidRPr="00F0196E">
          <w:rPr>
            <w:rStyle w:val="Hyperlink"/>
          </w:rPr>
          <w:t>MART HST webpage</w:t>
        </w:r>
      </w:hyperlink>
    </w:p>
    <w:p w14:paraId="3D43F22D" w14:textId="77777777" w:rsidR="00F0196E" w:rsidRPr="00F0196E" w:rsidRDefault="00F0196E" w:rsidP="00F0196E">
      <w:r w:rsidRPr="00F0196E">
        <w:t>The HST office is working with MassHealth and Maximus to include a QR code link for the “Know Before You Go” document on the PT-1 Approval Letter, which is sent to a consumer when they have a new or renewed PT-1 (i.e., it is a member the consumer will regularly receive).</w:t>
      </w:r>
    </w:p>
    <w:p w14:paraId="72AE71D9" w14:textId="77777777" w:rsidR="00F0196E" w:rsidRPr="00F0196E" w:rsidRDefault="00F0196E" w:rsidP="00F0196E">
      <w:r w:rsidRPr="00F0196E">
        <w:t>Consumers should receive a “Know Before You Go" pamphlet or booklet outlining their rights as HST Consumers in a clear and concise manner upon becoming an HST user.</w:t>
      </w:r>
    </w:p>
    <w:p w14:paraId="1591E7FA" w14:textId="3D231F63" w:rsidR="00F0196E" w:rsidRDefault="00F0196E" w:rsidP="00F90978"/>
    <w:p w14:paraId="0777E5B2" w14:textId="0975315D" w:rsidR="00F0196E" w:rsidRDefault="00F0196E" w:rsidP="00F90978">
      <w:r>
        <w:t>Slide 23</w:t>
      </w:r>
    </w:p>
    <w:p w14:paraId="6AFF5F9B" w14:textId="4C964D5F" w:rsidR="00F0196E" w:rsidRDefault="00F0196E" w:rsidP="00F90978">
      <w:r w:rsidRPr="00F0196E">
        <w:rPr>
          <w:b/>
          <w:bCs/>
        </w:rPr>
        <w:t>Task Force’s Recommendations – Call Center Wait Times and Professionalism</w:t>
      </w:r>
    </w:p>
    <w:p w14:paraId="1C7A1812" w14:textId="77777777" w:rsidR="00F0196E" w:rsidRPr="00F0196E" w:rsidRDefault="00F0196E" w:rsidP="00F0196E">
      <w:r w:rsidRPr="00F0196E">
        <w:rPr>
          <w:b/>
          <w:bCs/>
        </w:rPr>
        <w:t xml:space="preserve">Improve call center wait times and professionalism </w:t>
      </w:r>
    </w:p>
    <w:p w14:paraId="12FA2BCE" w14:textId="77777777" w:rsidR="00F0196E" w:rsidRPr="00F0196E" w:rsidRDefault="00F0196E" w:rsidP="00F0196E">
      <w:r w:rsidRPr="00F0196E">
        <w:rPr>
          <w:b/>
          <w:bCs/>
          <w:u w:val="single"/>
        </w:rPr>
        <w:t>Actions Taken and Recommended</w:t>
      </w:r>
    </w:p>
    <w:p w14:paraId="226F3955" w14:textId="77777777" w:rsidR="00F0196E" w:rsidRPr="00F0196E" w:rsidRDefault="00F0196E" w:rsidP="00F0196E">
      <w:r w:rsidRPr="00F0196E">
        <w:t>MART and GATRA have added additional call center capacity through contract with external call center support.</w:t>
      </w:r>
    </w:p>
    <w:p w14:paraId="1FF72DE6" w14:textId="77777777" w:rsidR="00F0196E" w:rsidRPr="00F0196E" w:rsidRDefault="00F0196E" w:rsidP="00F0196E">
      <w:r w:rsidRPr="00F0196E">
        <w:t xml:space="preserve">MART’s voice recording and website now informs consumers of call hold time and provides the website address for on-line booking. MART has added and GATRA will have a call back feature by November 30, 2022 allowing consumers to leave a call back number if they do not want to remain on hold. </w:t>
      </w:r>
    </w:p>
    <w:p w14:paraId="68A896FC" w14:textId="77777777" w:rsidR="00F0196E" w:rsidRPr="00F0196E" w:rsidRDefault="00F0196E" w:rsidP="00F0196E">
      <w:r w:rsidRPr="00F0196E">
        <w:t xml:space="preserve">HST is reviewing call center training and will make suggested improvements, to be reviewed with the brokers to determine feasibility and timeline.  Agreed upon improvements and should be posted publicly. </w:t>
      </w:r>
    </w:p>
    <w:p w14:paraId="6B3430CC" w14:textId="537BA184" w:rsidR="00F0196E" w:rsidRDefault="00F0196E" w:rsidP="00F90978"/>
    <w:p w14:paraId="48F014AD" w14:textId="33BBC450" w:rsidR="00F0196E" w:rsidRDefault="00F0196E" w:rsidP="00F90978">
      <w:r>
        <w:t>Slide 24</w:t>
      </w:r>
    </w:p>
    <w:p w14:paraId="4566EEE1" w14:textId="6E8D8098" w:rsidR="00F0196E" w:rsidRDefault="00F0196E" w:rsidP="00F0196E">
      <w:pPr>
        <w:pStyle w:val="Heading2"/>
      </w:pPr>
      <w:r w:rsidRPr="00F0196E">
        <w:t xml:space="preserve">Additional Actions Taken by the HST Office </w:t>
      </w:r>
    </w:p>
    <w:p w14:paraId="45E4DC33" w14:textId="77777777" w:rsidR="00F0196E" w:rsidRPr="00F0196E" w:rsidRDefault="00F0196E" w:rsidP="00F0196E">
      <w:r w:rsidRPr="00F0196E">
        <w:rPr>
          <w:b/>
          <w:bCs/>
          <w:u w:val="single"/>
        </w:rPr>
        <w:t>Additional Actions taken by the HST Office</w:t>
      </w:r>
    </w:p>
    <w:p w14:paraId="77E05815" w14:textId="77777777" w:rsidR="00F0196E" w:rsidRPr="00F0196E" w:rsidRDefault="00F0196E" w:rsidP="00F0196E">
      <w:r w:rsidRPr="00F0196E">
        <w:lastRenderedPageBreak/>
        <w:t>The HST office has issued a Corrective Action Plan with MART and GATRA to include:</w:t>
      </w:r>
    </w:p>
    <w:p w14:paraId="74A0095F" w14:textId="77777777" w:rsidR="00F0196E" w:rsidRPr="00F0196E" w:rsidRDefault="00F0196E" w:rsidP="00F0196E">
      <w:pPr>
        <w:pStyle w:val="ListParagraph"/>
        <w:numPr>
          <w:ilvl w:val="0"/>
          <w:numId w:val="7"/>
        </w:numPr>
      </w:pPr>
      <w:r w:rsidRPr="00F0196E">
        <w:t xml:space="preserve">Revised “Welcome Letters” to include directions for online booking (See Appendix F) </w:t>
      </w:r>
      <w:r w:rsidRPr="00F0196E">
        <w:rPr>
          <w:b/>
          <w:bCs/>
          <w:i/>
          <w:iCs/>
        </w:rPr>
        <w:t>(Completed)</w:t>
      </w:r>
    </w:p>
    <w:p w14:paraId="3A948982" w14:textId="77777777" w:rsidR="00F0196E" w:rsidRPr="00F0196E" w:rsidRDefault="00F0196E" w:rsidP="00F0196E">
      <w:pPr>
        <w:pStyle w:val="ListParagraph"/>
        <w:numPr>
          <w:ilvl w:val="0"/>
          <w:numId w:val="7"/>
        </w:numPr>
      </w:pPr>
      <w:r w:rsidRPr="00F0196E">
        <w:t xml:space="preserve">Postcard mailing to all consumers who have used transportation in the past year to promote online booking through the apps and portals </w:t>
      </w:r>
      <w:r w:rsidRPr="00F0196E">
        <w:rPr>
          <w:b/>
          <w:bCs/>
          <w:i/>
          <w:iCs/>
        </w:rPr>
        <w:t>(Completed)</w:t>
      </w:r>
    </w:p>
    <w:p w14:paraId="6F6C0DC6" w14:textId="77777777" w:rsidR="00F0196E" w:rsidRPr="00F0196E" w:rsidRDefault="00F0196E" w:rsidP="00F0196E">
      <w:pPr>
        <w:pStyle w:val="ListParagraph"/>
        <w:numPr>
          <w:ilvl w:val="0"/>
          <w:numId w:val="7"/>
        </w:numPr>
      </w:pPr>
      <w:r w:rsidRPr="00F0196E">
        <w:t xml:space="preserve">Improve functionality, accessibility, and support of the apps and portals </w:t>
      </w:r>
      <w:r w:rsidRPr="00F0196E">
        <w:rPr>
          <w:b/>
          <w:bCs/>
          <w:i/>
          <w:iCs/>
        </w:rPr>
        <w:t>(November 2022)</w:t>
      </w:r>
    </w:p>
    <w:p w14:paraId="1F59650F" w14:textId="77777777" w:rsidR="00F0196E" w:rsidRPr="00F0196E" w:rsidRDefault="00F0196E" w:rsidP="00F0196E">
      <w:pPr>
        <w:pStyle w:val="ListParagraph"/>
        <w:numPr>
          <w:ilvl w:val="0"/>
          <w:numId w:val="7"/>
        </w:numPr>
      </w:pPr>
      <w:r w:rsidRPr="00F0196E">
        <w:t xml:space="preserve">Consistent branding of the apps and portals </w:t>
      </w:r>
      <w:r w:rsidRPr="00F0196E">
        <w:rPr>
          <w:b/>
          <w:bCs/>
          <w:i/>
          <w:iCs/>
        </w:rPr>
        <w:t>(November 2022)</w:t>
      </w:r>
    </w:p>
    <w:p w14:paraId="4386BB4D" w14:textId="77777777" w:rsidR="00F0196E" w:rsidRPr="00F0196E" w:rsidRDefault="00F0196E" w:rsidP="00F0196E">
      <w:pPr>
        <w:pStyle w:val="ListParagraph"/>
        <w:numPr>
          <w:ilvl w:val="0"/>
          <w:numId w:val="7"/>
        </w:numPr>
      </w:pPr>
      <w:r w:rsidRPr="00F0196E">
        <w:t xml:space="preserve">Improvements to the Brokers’ webpages to make the “Know Before You Go” more visible and a “single source of truth” page with all of the information needed to receive transportation </w:t>
      </w:r>
      <w:r w:rsidRPr="00F0196E">
        <w:rPr>
          <w:b/>
          <w:bCs/>
          <w:i/>
          <w:iCs/>
        </w:rPr>
        <w:t>(Completed)</w:t>
      </w:r>
    </w:p>
    <w:p w14:paraId="22CC646C" w14:textId="77777777" w:rsidR="00F0196E" w:rsidRPr="00F0196E" w:rsidRDefault="00F0196E" w:rsidP="00F0196E">
      <w:pPr>
        <w:pStyle w:val="ListParagraph"/>
        <w:numPr>
          <w:ilvl w:val="0"/>
          <w:numId w:val="7"/>
        </w:numPr>
      </w:pPr>
      <w:r w:rsidRPr="00F0196E">
        <w:t xml:space="preserve">Improvements to Brokers’ call center’s automated messaging to include URLs for on-line booking and call hold times </w:t>
      </w:r>
      <w:r w:rsidRPr="00F0196E">
        <w:rPr>
          <w:b/>
          <w:bCs/>
          <w:i/>
          <w:iCs/>
        </w:rPr>
        <w:t>(November 2022)</w:t>
      </w:r>
    </w:p>
    <w:p w14:paraId="163548D8" w14:textId="77777777" w:rsidR="00F0196E" w:rsidRPr="00F0196E" w:rsidRDefault="00F0196E" w:rsidP="00F0196E">
      <w:pPr>
        <w:pStyle w:val="ListParagraph"/>
        <w:numPr>
          <w:ilvl w:val="0"/>
          <w:numId w:val="7"/>
        </w:numPr>
      </w:pPr>
      <w:r w:rsidRPr="00F0196E">
        <w:t xml:space="preserve">Additional reporting metrics to the HST office to include the number of trips cancelled, on-time performance percentages as measured by GPS, etc. </w:t>
      </w:r>
      <w:r w:rsidRPr="00F0196E">
        <w:rPr>
          <w:b/>
          <w:bCs/>
          <w:i/>
          <w:iCs/>
        </w:rPr>
        <w:t>(November 2022)</w:t>
      </w:r>
    </w:p>
    <w:p w14:paraId="1538567F" w14:textId="77777777" w:rsidR="00F0196E" w:rsidRPr="00F0196E" w:rsidRDefault="00F0196E" w:rsidP="00F0196E">
      <w:pPr>
        <w:pStyle w:val="ListParagraph"/>
        <w:numPr>
          <w:ilvl w:val="0"/>
          <w:numId w:val="7"/>
        </w:numPr>
      </w:pPr>
      <w:r w:rsidRPr="00F0196E">
        <w:t>Progressive roll-out of GPS adoption by vendors and drivers to achieve 90% by December 31, 2022.</w:t>
      </w:r>
    </w:p>
    <w:p w14:paraId="2D5AF950" w14:textId="77777777" w:rsidR="00F0196E" w:rsidRPr="00F0196E" w:rsidRDefault="00F0196E" w:rsidP="00F0196E">
      <w:pPr>
        <w:pStyle w:val="ListParagraph"/>
        <w:numPr>
          <w:ilvl w:val="0"/>
          <w:numId w:val="7"/>
        </w:numPr>
      </w:pPr>
      <w:r w:rsidRPr="00F0196E">
        <w:t>Monthly review of the Corrective Action Plan to assess progress.</w:t>
      </w:r>
    </w:p>
    <w:p w14:paraId="60B0F38D" w14:textId="0F88FA7E" w:rsidR="00F0196E" w:rsidRDefault="00F0196E" w:rsidP="00F90978"/>
    <w:p w14:paraId="14FE79E9" w14:textId="06959171" w:rsidR="00F0196E" w:rsidRDefault="00F0196E" w:rsidP="00F90978">
      <w:r>
        <w:t>Slide 25</w:t>
      </w:r>
      <w:r w:rsidR="00A44B86">
        <w:t xml:space="preserve"> and 26</w:t>
      </w:r>
    </w:p>
    <w:p w14:paraId="2863FA59" w14:textId="77777777" w:rsidR="00F0196E" w:rsidRPr="00F0196E" w:rsidRDefault="00F0196E" w:rsidP="00F0196E">
      <w:pPr>
        <w:pStyle w:val="Heading2"/>
      </w:pPr>
      <w:r w:rsidRPr="00F0196E">
        <w:t>Task Force’s Overall Findings and Recommendations</w:t>
      </w:r>
    </w:p>
    <w:p w14:paraId="2088B41F" w14:textId="77777777" w:rsidR="00F0196E" w:rsidRPr="00F0196E" w:rsidRDefault="00F0196E" w:rsidP="00F0196E">
      <w:r w:rsidRPr="00F0196E">
        <w:rPr>
          <w:b/>
          <w:bCs/>
          <w:u w:val="single"/>
        </w:rPr>
        <w:t>Other Task Force Findings</w:t>
      </w:r>
    </w:p>
    <w:p w14:paraId="3772C55B" w14:textId="77777777" w:rsidR="00F0196E" w:rsidRPr="00F0196E" w:rsidRDefault="00F0196E" w:rsidP="00F0196E">
      <w:pPr>
        <w:pStyle w:val="ListParagraph"/>
        <w:numPr>
          <w:ilvl w:val="0"/>
          <w:numId w:val="8"/>
        </w:numPr>
      </w:pPr>
      <w:r w:rsidRPr="00F0196E">
        <w:t>The Task Force finds that the current process for determining PT-1 eligibility, which places the decision-making authority between consumers and their medical providers, should remain unchanged.  Per the MassHealth regulations, this process includes a determination that public transportation is either not accessible or not suitable for the consumer.  The Task Force therefore strongly recommends against attempting to provide HST consumers with bus passes or attempting to divert consumers to existing public transportation routes.</w:t>
      </w:r>
    </w:p>
    <w:p w14:paraId="490A0176" w14:textId="77777777" w:rsidR="00F0196E" w:rsidRPr="00F0196E" w:rsidRDefault="00F0196E" w:rsidP="00F0196E">
      <w:pPr>
        <w:pStyle w:val="ListParagraph"/>
        <w:numPr>
          <w:ilvl w:val="0"/>
          <w:numId w:val="8"/>
        </w:numPr>
      </w:pPr>
      <w:r w:rsidRPr="00F0196E">
        <w:t xml:space="preserve">MART and GATRA have robust policies in place to ensure that the capital and operating costs for the brokerage and public transit systems are assigned to the appropriate cost center for reimbursement. To effectively manage the cost components of the public transit and brokerage services, MART and GATRA utilize a chart of accounts to segregate revenues and expenses to the appropriate service line - transit or brokerage and specific service type for both operating and capital costs. MART and GATRA utilize the expansive Chart of accounts structure, as well as their Procurement Processes, to designate and delineate all services and expenses that are procured and expended to either a Transit Service account or a Brokerage Service account. Both MART and GATRA have extensive oversight of funding and internal control processes by both state and federal agencies.  These oversight activities examine the funding that each agency receives and expends, the overall financial internal control procedures and processes in place to ensure proper allocation and utilization of revenues and expenditures, as well as the eligibility of the costs incurred against the funding utilized for reimbursement. These include: Annual Audits, </w:t>
      </w:r>
      <w:r w:rsidRPr="00F0196E">
        <w:lastRenderedPageBreak/>
        <w:t xml:space="preserve">OMB Circular A-133 Single Audits, EOHHS Annual Desk Audits, Triennial MassDOT Audit, Bi-annual State Audit, and FTA Triennial Review.  See Appendix E for more information. </w:t>
      </w:r>
    </w:p>
    <w:p w14:paraId="508D033C" w14:textId="56884374" w:rsidR="00F0196E" w:rsidRDefault="00F0196E" w:rsidP="00F90978"/>
    <w:p w14:paraId="2539ECB1" w14:textId="77777777" w:rsidR="00A44B86" w:rsidRPr="00A44B86" w:rsidRDefault="00A44B86" w:rsidP="00A44B86">
      <w:r w:rsidRPr="00A44B86">
        <w:rPr>
          <w:b/>
          <w:bCs/>
          <w:u w:val="single"/>
        </w:rPr>
        <w:t>Recommended Areas for Future Study and Review</w:t>
      </w:r>
    </w:p>
    <w:p w14:paraId="3A3A01EA" w14:textId="77777777" w:rsidR="00A44B86" w:rsidRPr="00A44B86" w:rsidRDefault="00A44B86" w:rsidP="00A44B86">
      <w:pPr>
        <w:pStyle w:val="ListParagraph"/>
        <w:numPr>
          <w:ilvl w:val="0"/>
          <w:numId w:val="9"/>
        </w:numPr>
      </w:pPr>
      <w:r w:rsidRPr="00A44B86">
        <w:t>A thorough, collaborative review is needed of program-based transportation in close collaboration with the HST office, transportation providers, stakeholder groups, and consumers.  The review should include:</w:t>
      </w:r>
    </w:p>
    <w:p w14:paraId="5E685003" w14:textId="77777777" w:rsidR="00A44B86" w:rsidRPr="00A44B86" w:rsidRDefault="00A44B86" w:rsidP="00A44B86">
      <w:pPr>
        <w:pStyle w:val="ListParagraph"/>
        <w:numPr>
          <w:ilvl w:val="1"/>
          <w:numId w:val="9"/>
        </w:numPr>
      </w:pPr>
      <w:r w:rsidRPr="00A44B86">
        <w:t xml:space="preserve">Whether greater flexibility should be provided to allow vendors and providers to alter routes; </w:t>
      </w:r>
    </w:p>
    <w:p w14:paraId="62D27368" w14:textId="77777777" w:rsidR="00A44B86" w:rsidRPr="00A44B86" w:rsidRDefault="00A44B86" w:rsidP="00A44B86">
      <w:pPr>
        <w:pStyle w:val="ListParagraph"/>
        <w:numPr>
          <w:ilvl w:val="1"/>
          <w:numId w:val="9"/>
        </w:numPr>
      </w:pPr>
      <w:r w:rsidRPr="00A44B86">
        <w:t>An evaluation of hiring protocols and background check protocols, including whether a positive test for marijuana should disqualify drivers;</w:t>
      </w:r>
    </w:p>
    <w:p w14:paraId="3EA24156" w14:textId="77777777" w:rsidR="00A44B86" w:rsidRPr="00A44B86" w:rsidRDefault="00A44B86" w:rsidP="00A44B86">
      <w:pPr>
        <w:pStyle w:val="ListParagraph"/>
        <w:numPr>
          <w:ilvl w:val="1"/>
          <w:numId w:val="9"/>
        </w:numPr>
      </w:pPr>
      <w:r w:rsidRPr="00A44B86">
        <w:t>Careful planning for the reprocurement of program-based transportation, with the goal of providing visibility to vendors about long-term investments and to minimize consumer disruptions.  The planning should take into account supply-chain issues affecting the availability of new vehicles.</w:t>
      </w:r>
    </w:p>
    <w:p w14:paraId="71B150F0" w14:textId="77777777" w:rsidR="00A44B86" w:rsidRPr="00A44B86" w:rsidRDefault="00A44B86" w:rsidP="00A44B86">
      <w:pPr>
        <w:pStyle w:val="ListParagraph"/>
        <w:numPr>
          <w:ilvl w:val="0"/>
          <w:numId w:val="9"/>
        </w:numPr>
      </w:pPr>
      <w:r w:rsidRPr="00A44B86">
        <w:t>The HST office should undertake a financial study of HST services, which should include:</w:t>
      </w:r>
    </w:p>
    <w:p w14:paraId="3A7AF914" w14:textId="77777777" w:rsidR="00A44B86" w:rsidRPr="00A44B86" w:rsidRDefault="00A44B86" w:rsidP="00A44B86">
      <w:pPr>
        <w:pStyle w:val="ListParagraph"/>
        <w:numPr>
          <w:ilvl w:val="1"/>
          <w:numId w:val="9"/>
        </w:numPr>
      </w:pPr>
      <w:r w:rsidRPr="00A44B86">
        <w:t>The budget of the program and the cost per ride;</w:t>
      </w:r>
    </w:p>
    <w:p w14:paraId="1AB251B4" w14:textId="77777777" w:rsidR="00A44B86" w:rsidRPr="00A44B86" w:rsidRDefault="00A44B86" w:rsidP="00A44B86">
      <w:pPr>
        <w:pStyle w:val="ListParagraph"/>
        <w:numPr>
          <w:ilvl w:val="1"/>
          <w:numId w:val="9"/>
        </w:numPr>
      </w:pPr>
      <w:r w:rsidRPr="00A44B86">
        <w:t>An evaluation of the current methodology of bidding out PT-1 rides to vendors and choosing the lowest cost bidder;</w:t>
      </w:r>
    </w:p>
    <w:p w14:paraId="45F52D46" w14:textId="77777777" w:rsidR="00A44B86" w:rsidRPr="00A44B86" w:rsidRDefault="00A44B86" w:rsidP="00A44B86">
      <w:pPr>
        <w:pStyle w:val="ListParagraph"/>
        <w:numPr>
          <w:ilvl w:val="1"/>
          <w:numId w:val="9"/>
        </w:numPr>
      </w:pPr>
      <w:r w:rsidRPr="00A44B86">
        <w:t>The estimated impact of COVID on vendors and employees;</w:t>
      </w:r>
    </w:p>
    <w:p w14:paraId="69D6A9D3" w14:textId="77777777" w:rsidR="00A44B86" w:rsidRPr="00A44B86" w:rsidRDefault="00A44B86" w:rsidP="00A44B86">
      <w:pPr>
        <w:pStyle w:val="ListParagraph"/>
        <w:numPr>
          <w:ilvl w:val="1"/>
          <w:numId w:val="9"/>
        </w:numPr>
      </w:pPr>
      <w:r w:rsidRPr="00A44B86">
        <w:t>The impact of COVID and supply chain disruptions on vehicle availability and replacements, especially for wheelchair and accessible vehicles;</w:t>
      </w:r>
    </w:p>
    <w:p w14:paraId="6B3DE3DC" w14:textId="77777777" w:rsidR="00A44B86" w:rsidRPr="00A44B86" w:rsidRDefault="00A44B86" w:rsidP="00A44B86">
      <w:pPr>
        <w:pStyle w:val="ListParagraph"/>
        <w:numPr>
          <w:ilvl w:val="1"/>
          <w:numId w:val="9"/>
        </w:numPr>
      </w:pPr>
      <w:r w:rsidRPr="00A44B86">
        <w:t>Comparison of costs with other states’ PT-1 and program-based transportation, as available, and other state transportation programs, including the RIDE;</w:t>
      </w:r>
    </w:p>
    <w:p w14:paraId="405B5174" w14:textId="77777777" w:rsidR="00A44B86" w:rsidRPr="00A44B86" w:rsidRDefault="00A44B86" w:rsidP="00A44B86">
      <w:pPr>
        <w:pStyle w:val="ListParagraph"/>
        <w:numPr>
          <w:ilvl w:val="1"/>
          <w:numId w:val="9"/>
        </w:numPr>
      </w:pPr>
      <w:r w:rsidRPr="00A44B86">
        <w:t>Impact of CMS policies on the budget, including policies that prohibit reimbursement for no-show rides.</w:t>
      </w:r>
    </w:p>
    <w:p w14:paraId="383C1145" w14:textId="77777777" w:rsidR="00A44B86" w:rsidRDefault="00A44B86" w:rsidP="00F90978"/>
    <w:p w14:paraId="44908EDC" w14:textId="7939C4B3" w:rsidR="00F0196E" w:rsidRDefault="00A44B86" w:rsidP="00F90978">
      <w:r>
        <w:t>Slide 27</w:t>
      </w:r>
    </w:p>
    <w:p w14:paraId="091566F2" w14:textId="77777777" w:rsidR="00A44B86" w:rsidRPr="00A44B86" w:rsidRDefault="00A44B86" w:rsidP="00A44B86">
      <w:pPr>
        <w:pStyle w:val="Heading2"/>
      </w:pPr>
      <w:r w:rsidRPr="00A44B86">
        <w:t>Appendices</w:t>
      </w:r>
    </w:p>
    <w:p w14:paraId="20A0A8E6" w14:textId="736F62D9" w:rsidR="00A44B86" w:rsidRDefault="00A44B86" w:rsidP="00F90978"/>
    <w:p w14:paraId="1330166C" w14:textId="748F1EF4" w:rsidR="00A44B86" w:rsidRDefault="00A44B86" w:rsidP="00F90978">
      <w:r>
        <w:t>Slide 28</w:t>
      </w:r>
    </w:p>
    <w:p w14:paraId="31A379D7" w14:textId="25409D86" w:rsidR="00681DB5" w:rsidRDefault="00681DB5" w:rsidP="00C807C3">
      <w:pPr>
        <w:pStyle w:val="Heading3"/>
      </w:pPr>
      <w:r w:rsidRPr="00681DB5">
        <w:t>Appendix A – Legislative Mandate</w:t>
      </w:r>
    </w:p>
    <w:p w14:paraId="7A3E31BA" w14:textId="77777777" w:rsidR="00A44B86" w:rsidRPr="00A44B86" w:rsidRDefault="00A44B86" w:rsidP="00A44B86">
      <w:r w:rsidRPr="00A44B86">
        <w:t>Chapter 24, Section 131 of the Acts of 2021 (FY22 Budget)</w:t>
      </w:r>
    </w:p>
    <w:p w14:paraId="3F06A415" w14:textId="77777777" w:rsidR="00A44B86" w:rsidRPr="00A44B86" w:rsidRDefault="00A44B86" w:rsidP="00A44B86">
      <w:pPr>
        <w:numPr>
          <w:ilvl w:val="0"/>
          <w:numId w:val="10"/>
        </w:numPr>
      </w:pPr>
      <w:r w:rsidRPr="00A44B86">
        <w:t xml:space="preserve">There shall be a task force on non-emergency human services transportation to explore ways to better collaborate, improve service and achieve operational and cost efficiencies through the brokerage system and provide the highest quality outcomes for consumers utilizing these services. The task force shall consist of the following members or their designees: the director of the human service transportation office, who shall serve as chair; </w:t>
      </w:r>
      <w:r w:rsidRPr="00A44B86">
        <w:lastRenderedPageBreak/>
        <w:t>2 members of the house of representatives, 1 of whom shall be appointed by the minority leader of the house of representatives; 2 members of the senate, 1 of whom shall be appointed by the minority leader of the senate; a representative from the Massachusetts Department of Transportation; 3 persons to be appointed by the regional transit authority administrators, all of whom shall be regional transit authority administrators currently administering human services transportation; 2 persons to be appointed by the governor, 1 of whom shall be an expert in human services transportation planning; 1 person appointed by the Association of Developmental Disability Providers; and 6 representatives serving consumers with disabilities through the transportation program, 1 of whom shall be appointed by the Boston Center for Independent Living, Inc., 1 of whom shall be appointed by the statewide independent living council, 2 of whom shall be appointed by Arc Massachusetts, Inc., 1 of whom shall be appointed by the Disability Law Center, Inc. and 1 of whom shall be appointed by the Massachusetts developmental disabilities council.</w:t>
      </w:r>
    </w:p>
    <w:p w14:paraId="7CD188AD" w14:textId="77777777" w:rsidR="00A44B86" w:rsidRPr="00A44B86" w:rsidRDefault="00A44B86" w:rsidP="00681DB5">
      <w:pPr>
        <w:numPr>
          <w:ilvl w:val="0"/>
          <w:numId w:val="10"/>
        </w:numPr>
      </w:pPr>
      <w:r w:rsidRPr="00A44B86">
        <w:t>The task force shall make recommendations and propose guidelines on non-emergency human services transportation with the goal of examining and better understanding the human services transportation brokerage program and identifying opportunities for improved service and productivity that provides a strong safety net for vulnerable populations in both rural and urban areas. The recommendations and guidelines shall include, but not be limited to, the use of existing routes when available, the provision of bus passes to eligible individuals and the need to have strong, transparent and consistent cost allocation systems in place to ensure that the capital and operating costs for both the brokerage and public transit systems are assigned to the appropriate cost center for reimbursement.</w:t>
      </w:r>
    </w:p>
    <w:p w14:paraId="0D7546E4" w14:textId="77777777" w:rsidR="00A44B86" w:rsidRPr="00A44B86" w:rsidRDefault="00A44B86" w:rsidP="00681DB5">
      <w:pPr>
        <w:numPr>
          <w:ilvl w:val="0"/>
          <w:numId w:val="10"/>
        </w:numPr>
      </w:pPr>
      <w:r w:rsidRPr="00A44B86">
        <w:t>The recommendations and guidelines shall be used by the human services transportation office to develop non-emergency human services transportation broker services. The task force shall file a report of its study and its recommendations with the clerks of the house of representatives and senate, the house and senate committees on ways and means, the joint committee on transportation, the joint committee on children, families and persons with disabilities, the secretary of health and human services and the secretary of transportation not later than December 1, 2022; provided, however, that the task force may make a draft report available to the public for comment before filing its final version.</w:t>
      </w:r>
    </w:p>
    <w:p w14:paraId="291C94D3" w14:textId="140CF476" w:rsidR="00A44B86" w:rsidRDefault="00A44B86" w:rsidP="00F90978"/>
    <w:p w14:paraId="500B1AF3" w14:textId="4392AC69" w:rsidR="00681DB5" w:rsidRDefault="00681DB5" w:rsidP="00F90978">
      <w:r>
        <w:t>Slide 29 - 31</w:t>
      </w:r>
    </w:p>
    <w:p w14:paraId="377FEE07" w14:textId="77777777" w:rsidR="00681DB5" w:rsidRPr="00681DB5" w:rsidRDefault="00681DB5" w:rsidP="00681DB5">
      <w:r w:rsidRPr="00681DB5">
        <w:rPr>
          <w:b/>
          <w:bCs/>
        </w:rPr>
        <w:t>Appendix B – List of Task Force Members</w:t>
      </w:r>
    </w:p>
    <w:tbl>
      <w:tblPr>
        <w:tblStyle w:val="TableGrid"/>
        <w:tblW w:w="9404" w:type="dxa"/>
        <w:tblLook w:val="04A0" w:firstRow="1" w:lastRow="0" w:firstColumn="1" w:lastColumn="0" w:noHBand="0" w:noVBand="1"/>
      </w:tblPr>
      <w:tblGrid>
        <w:gridCol w:w="4695"/>
        <w:gridCol w:w="4709"/>
      </w:tblGrid>
      <w:tr w:rsidR="00681DB5" w:rsidRPr="00681DB5" w14:paraId="706C2685" w14:textId="77777777" w:rsidTr="00681DB5">
        <w:trPr>
          <w:trHeight w:val="68"/>
          <w:tblHeader/>
        </w:trPr>
        <w:tc>
          <w:tcPr>
            <w:tcW w:w="4695" w:type="dxa"/>
            <w:shd w:val="clear" w:color="auto" w:fill="D9E2F3" w:themeFill="accent1" w:themeFillTint="33"/>
            <w:hideMark/>
          </w:tcPr>
          <w:p w14:paraId="39F03D90" w14:textId="77777777" w:rsidR="00681DB5" w:rsidRPr="00681DB5" w:rsidRDefault="00681DB5" w:rsidP="00681DB5">
            <w:pPr>
              <w:spacing w:after="160" w:line="259" w:lineRule="auto"/>
            </w:pPr>
            <w:r w:rsidRPr="00681DB5">
              <w:rPr>
                <w:b/>
                <w:bCs/>
              </w:rPr>
              <w:t>Name / Affiliation</w:t>
            </w:r>
          </w:p>
        </w:tc>
        <w:tc>
          <w:tcPr>
            <w:tcW w:w="4709" w:type="dxa"/>
            <w:shd w:val="clear" w:color="auto" w:fill="D9E2F3" w:themeFill="accent1" w:themeFillTint="33"/>
            <w:hideMark/>
          </w:tcPr>
          <w:p w14:paraId="5076962D" w14:textId="77777777" w:rsidR="00681DB5" w:rsidRPr="00681DB5" w:rsidRDefault="00681DB5" w:rsidP="00681DB5">
            <w:pPr>
              <w:spacing w:after="160" w:line="259" w:lineRule="auto"/>
            </w:pPr>
            <w:r w:rsidRPr="00681DB5">
              <w:rPr>
                <w:b/>
                <w:bCs/>
              </w:rPr>
              <w:t>Task Force Seat</w:t>
            </w:r>
          </w:p>
        </w:tc>
      </w:tr>
      <w:tr w:rsidR="00681DB5" w:rsidRPr="00681DB5" w14:paraId="68772FF6" w14:textId="77777777" w:rsidTr="00681DB5">
        <w:trPr>
          <w:trHeight w:val="1201"/>
        </w:trPr>
        <w:tc>
          <w:tcPr>
            <w:tcW w:w="4695" w:type="dxa"/>
            <w:hideMark/>
          </w:tcPr>
          <w:p w14:paraId="000EA4EC" w14:textId="77777777" w:rsidR="00681DB5" w:rsidRPr="00681DB5" w:rsidRDefault="00681DB5" w:rsidP="00681DB5">
            <w:pPr>
              <w:spacing w:after="160" w:line="259" w:lineRule="auto"/>
            </w:pPr>
            <w:r w:rsidRPr="00681DB5">
              <w:rPr>
                <w:b/>
                <w:bCs/>
              </w:rPr>
              <w:t xml:space="preserve">Elizabeth Denniston </w:t>
            </w:r>
            <w:r w:rsidRPr="00681DB5">
              <w:rPr>
                <w:b/>
                <w:bCs/>
                <w:i/>
                <w:iCs/>
              </w:rPr>
              <w:t>(chair)</w:t>
            </w:r>
          </w:p>
          <w:p w14:paraId="4CD994BA" w14:textId="77777777" w:rsidR="00681DB5" w:rsidRPr="00681DB5" w:rsidRDefault="00681DB5" w:rsidP="00681DB5">
            <w:pPr>
              <w:spacing w:after="160" w:line="259" w:lineRule="auto"/>
            </w:pPr>
            <w:r w:rsidRPr="00681DB5">
              <w:t>Undersecretary for Human Services, Executive Office of Health and Human Services (EOHHS)</w:t>
            </w:r>
          </w:p>
        </w:tc>
        <w:tc>
          <w:tcPr>
            <w:tcW w:w="4709" w:type="dxa"/>
            <w:hideMark/>
          </w:tcPr>
          <w:p w14:paraId="522B76BE" w14:textId="77777777" w:rsidR="00681DB5" w:rsidRPr="00681DB5" w:rsidRDefault="00681DB5" w:rsidP="00681DB5">
            <w:pPr>
              <w:spacing w:after="160" w:line="259" w:lineRule="auto"/>
            </w:pPr>
            <w:r w:rsidRPr="00681DB5">
              <w:t>Appointment of the Governor</w:t>
            </w:r>
          </w:p>
        </w:tc>
      </w:tr>
      <w:tr w:rsidR="00681DB5" w:rsidRPr="00681DB5" w14:paraId="50E205B2" w14:textId="77777777" w:rsidTr="00681DB5">
        <w:trPr>
          <w:trHeight w:val="255"/>
        </w:trPr>
        <w:tc>
          <w:tcPr>
            <w:tcW w:w="4695" w:type="dxa"/>
            <w:hideMark/>
          </w:tcPr>
          <w:p w14:paraId="3F77E182" w14:textId="77777777" w:rsidR="00681DB5" w:rsidRPr="00681DB5" w:rsidRDefault="00681DB5" w:rsidP="00681DB5">
            <w:pPr>
              <w:spacing w:after="160" w:line="259" w:lineRule="auto"/>
            </w:pPr>
            <w:r w:rsidRPr="00681DB5">
              <w:rPr>
                <w:b/>
                <w:bCs/>
                <w:lang w:val="pt-BR"/>
              </w:rPr>
              <w:lastRenderedPageBreak/>
              <w:t>Tom Cahir</w:t>
            </w:r>
          </w:p>
          <w:p w14:paraId="75131CB4" w14:textId="77777777" w:rsidR="00681DB5" w:rsidRPr="00681DB5" w:rsidRDefault="00681DB5" w:rsidP="00681DB5">
            <w:pPr>
              <w:spacing w:after="160" w:line="259" w:lineRule="auto"/>
            </w:pPr>
            <w:r w:rsidRPr="00681DB5">
              <w:rPr>
                <w:lang w:val="pt-BR"/>
              </w:rPr>
              <w:t>Administrator, Cape Cod RTA</w:t>
            </w:r>
          </w:p>
        </w:tc>
        <w:tc>
          <w:tcPr>
            <w:tcW w:w="4709" w:type="dxa"/>
            <w:hideMark/>
          </w:tcPr>
          <w:p w14:paraId="7941157B" w14:textId="77777777" w:rsidR="00681DB5" w:rsidRPr="00681DB5" w:rsidRDefault="00681DB5" w:rsidP="00681DB5">
            <w:pPr>
              <w:spacing w:after="160" w:line="259" w:lineRule="auto"/>
            </w:pPr>
            <w:r w:rsidRPr="00681DB5">
              <w:t xml:space="preserve">Appointment of RTA Administrators </w:t>
            </w:r>
            <w:r w:rsidRPr="00681DB5">
              <w:rPr>
                <w:i/>
                <w:iCs/>
              </w:rPr>
              <w:t>(current administrator of HST)</w:t>
            </w:r>
          </w:p>
        </w:tc>
      </w:tr>
      <w:tr w:rsidR="00681DB5" w:rsidRPr="00681DB5" w14:paraId="5101821E" w14:textId="77777777" w:rsidTr="00681DB5">
        <w:trPr>
          <w:trHeight w:val="237"/>
        </w:trPr>
        <w:tc>
          <w:tcPr>
            <w:tcW w:w="4695" w:type="dxa"/>
            <w:hideMark/>
          </w:tcPr>
          <w:p w14:paraId="0A015ACE" w14:textId="77777777" w:rsidR="00681DB5" w:rsidRPr="00681DB5" w:rsidRDefault="00681DB5" w:rsidP="00681DB5">
            <w:pPr>
              <w:spacing w:after="160" w:line="259" w:lineRule="auto"/>
            </w:pPr>
            <w:r w:rsidRPr="00681DB5">
              <w:rPr>
                <w:b/>
                <w:bCs/>
              </w:rPr>
              <w:t>Sean Cristofori</w:t>
            </w:r>
          </w:p>
          <w:p w14:paraId="71053BD8" w14:textId="77777777" w:rsidR="00681DB5" w:rsidRPr="00681DB5" w:rsidRDefault="00681DB5" w:rsidP="00681DB5">
            <w:pPr>
              <w:spacing w:after="160" w:line="259" w:lineRule="auto"/>
            </w:pPr>
            <w:r w:rsidRPr="00681DB5">
              <w:t>Director of Transportation, Center of Hope Foundation</w:t>
            </w:r>
          </w:p>
        </w:tc>
        <w:tc>
          <w:tcPr>
            <w:tcW w:w="4709" w:type="dxa"/>
            <w:hideMark/>
          </w:tcPr>
          <w:p w14:paraId="70D5B158" w14:textId="77777777" w:rsidR="00681DB5" w:rsidRPr="00681DB5" w:rsidRDefault="00681DB5" w:rsidP="00681DB5">
            <w:pPr>
              <w:spacing w:after="160" w:line="259" w:lineRule="auto"/>
            </w:pPr>
            <w:r w:rsidRPr="00681DB5">
              <w:t>Appointment of The Arc Massachusetts</w:t>
            </w:r>
          </w:p>
        </w:tc>
      </w:tr>
      <w:tr w:rsidR="00681DB5" w:rsidRPr="00681DB5" w14:paraId="702C0A2C" w14:textId="77777777" w:rsidTr="00681DB5">
        <w:trPr>
          <w:trHeight w:val="564"/>
        </w:trPr>
        <w:tc>
          <w:tcPr>
            <w:tcW w:w="4695" w:type="dxa"/>
            <w:hideMark/>
          </w:tcPr>
          <w:p w14:paraId="41E98A32" w14:textId="77777777" w:rsidR="00681DB5" w:rsidRPr="00681DB5" w:rsidRDefault="00681DB5" w:rsidP="00681DB5">
            <w:pPr>
              <w:spacing w:after="160" w:line="259" w:lineRule="auto"/>
            </w:pPr>
            <w:r w:rsidRPr="00681DB5">
              <w:rPr>
                <w:b/>
                <w:bCs/>
              </w:rPr>
              <w:t>Mary Ellen DeFrias</w:t>
            </w:r>
          </w:p>
          <w:p w14:paraId="37677D13" w14:textId="77777777" w:rsidR="00681DB5" w:rsidRPr="00681DB5" w:rsidRDefault="00681DB5" w:rsidP="00681DB5">
            <w:pPr>
              <w:spacing w:after="160" w:line="259" w:lineRule="auto"/>
            </w:pPr>
            <w:r w:rsidRPr="00681DB5">
              <w:t>Administrator, Greater Attleboro-Taunton RTA (GATRA)</w:t>
            </w:r>
          </w:p>
        </w:tc>
        <w:tc>
          <w:tcPr>
            <w:tcW w:w="4709" w:type="dxa"/>
            <w:hideMark/>
          </w:tcPr>
          <w:p w14:paraId="183624BC" w14:textId="77777777" w:rsidR="00681DB5" w:rsidRPr="00681DB5" w:rsidRDefault="00681DB5" w:rsidP="00681DB5">
            <w:pPr>
              <w:spacing w:after="160" w:line="259" w:lineRule="auto"/>
            </w:pPr>
            <w:r w:rsidRPr="00681DB5">
              <w:t xml:space="preserve">Appointment of RTA Administrators </w:t>
            </w:r>
            <w:r w:rsidRPr="00681DB5">
              <w:rPr>
                <w:i/>
                <w:iCs/>
              </w:rPr>
              <w:t>(current administrator of HST)</w:t>
            </w:r>
          </w:p>
        </w:tc>
      </w:tr>
      <w:tr w:rsidR="00681DB5" w:rsidRPr="00681DB5" w14:paraId="7B2CF290" w14:textId="77777777" w:rsidTr="00681DB5">
        <w:trPr>
          <w:trHeight w:val="184"/>
        </w:trPr>
        <w:tc>
          <w:tcPr>
            <w:tcW w:w="4695" w:type="dxa"/>
            <w:hideMark/>
          </w:tcPr>
          <w:p w14:paraId="648F3DEE" w14:textId="77777777" w:rsidR="00681DB5" w:rsidRPr="00681DB5" w:rsidRDefault="00681DB5" w:rsidP="00681DB5">
            <w:pPr>
              <w:spacing w:after="160" w:line="259" w:lineRule="auto"/>
            </w:pPr>
            <w:r w:rsidRPr="00681DB5">
              <w:rPr>
                <w:b/>
                <w:bCs/>
              </w:rPr>
              <w:t>Mindy Domb</w:t>
            </w:r>
          </w:p>
          <w:p w14:paraId="6647CEB7" w14:textId="77777777" w:rsidR="00681DB5" w:rsidRPr="00681DB5" w:rsidRDefault="00681DB5" w:rsidP="00681DB5">
            <w:pPr>
              <w:spacing w:after="160" w:line="259" w:lineRule="auto"/>
            </w:pPr>
            <w:r w:rsidRPr="00681DB5">
              <w:t>Massachusetts Representative</w:t>
            </w:r>
          </w:p>
        </w:tc>
        <w:tc>
          <w:tcPr>
            <w:tcW w:w="4709" w:type="dxa"/>
            <w:hideMark/>
          </w:tcPr>
          <w:p w14:paraId="6BD23AF6" w14:textId="77777777" w:rsidR="00681DB5" w:rsidRPr="00681DB5" w:rsidRDefault="00681DB5" w:rsidP="00681DB5">
            <w:pPr>
              <w:spacing w:after="160" w:line="259" w:lineRule="auto"/>
            </w:pPr>
            <w:r w:rsidRPr="00681DB5">
              <w:t>Member of the Massachusetts House of Representatives</w:t>
            </w:r>
          </w:p>
        </w:tc>
      </w:tr>
      <w:tr w:rsidR="00681DB5" w:rsidRPr="00681DB5" w14:paraId="2A5C03BF" w14:textId="77777777" w:rsidTr="00681DB5">
        <w:trPr>
          <w:trHeight w:val="449"/>
        </w:trPr>
        <w:tc>
          <w:tcPr>
            <w:tcW w:w="4695" w:type="dxa"/>
            <w:hideMark/>
          </w:tcPr>
          <w:p w14:paraId="0662809E" w14:textId="77777777" w:rsidR="00681DB5" w:rsidRPr="00681DB5" w:rsidRDefault="00681DB5" w:rsidP="00681DB5">
            <w:pPr>
              <w:spacing w:after="160" w:line="259" w:lineRule="auto"/>
            </w:pPr>
            <w:r w:rsidRPr="00681DB5">
              <w:rPr>
                <w:b/>
                <w:bCs/>
              </w:rPr>
              <w:t>Bruno Fisher</w:t>
            </w:r>
          </w:p>
          <w:p w14:paraId="0BECDC15" w14:textId="77777777" w:rsidR="00681DB5" w:rsidRPr="00681DB5" w:rsidRDefault="00681DB5" w:rsidP="00681DB5">
            <w:pPr>
              <w:spacing w:after="160" w:line="259" w:lineRule="auto"/>
            </w:pPr>
            <w:r w:rsidRPr="00681DB5">
              <w:t>Administrator, Montachusett RTA</w:t>
            </w:r>
          </w:p>
        </w:tc>
        <w:tc>
          <w:tcPr>
            <w:tcW w:w="4709" w:type="dxa"/>
            <w:hideMark/>
          </w:tcPr>
          <w:p w14:paraId="18C3CB54" w14:textId="77777777" w:rsidR="00681DB5" w:rsidRPr="00681DB5" w:rsidRDefault="00681DB5" w:rsidP="00681DB5">
            <w:pPr>
              <w:spacing w:after="160" w:line="259" w:lineRule="auto"/>
            </w:pPr>
            <w:r w:rsidRPr="00681DB5">
              <w:t xml:space="preserve">Appointment of RTA Administrators </w:t>
            </w:r>
            <w:r w:rsidRPr="00681DB5">
              <w:rPr>
                <w:i/>
                <w:iCs/>
              </w:rPr>
              <w:t>(current administrator of HST)</w:t>
            </w:r>
          </w:p>
        </w:tc>
      </w:tr>
      <w:tr w:rsidR="00681DB5" w:rsidRPr="00681DB5" w14:paraId="4A519DE0" w14:textId="77777777" w:rsidTr="00681DB5">
        <w:trPr>
          <w:trHeight w:val="166"/>
        </w:trPr>
        <w:tc>
          <w:tcPr>
            <w:tcW w:w="4695" w:type="dxa"/>
            <w:hideMark/>
          </w:tcPr>
          <w:p w14:paraId="581E1BD0" w14:textId="77777777" w:rsidR="00681DB5" w:rsidRPr="00681DB5" w:rsidRDefault="00681DB5" w:rsidP="00681DB5">
            <w:pPr>
              <w:spacing w:after="160" w:line="259" w:lineRule="auto"/>
              <w:rPr>
                <w:b/>
                <w:bCs/>
              </w:rPr>
            </w:pPr>
            <w:r w:rsidRPr="00681DB5">
              <w:rPr>
                <w:b/>
                <w:bCs/>
              </w:rPr>
              <w:t>Millie Hernandez</w:t>
            </w:r>
          </w:p>
          <w:p w14:paraId="161DDE98" w14:textId="77777777" w:rsidR="00681DB5" w:rsidRPr="00681DB5" w:rsidRDefault="00681DB5" w:rsidP="00681DB5">
            <w:pPr>
              <w:spacing w:after="160" w:line="259" w:lineRule="auto"/>
            </w:pPr>
            <w:r w:rsidRPr="00681DB5">
              <w:t>Individual with lived experience</w:t>
            </w:r>
          </w:p>
        </w:tc>
        <w:tc>
          <w:tcPr>
            <w:tcW w:w="4709" w:type="dxa"/>
            <w:hideMark/>
          </w:tcPr>
          <w:p w14:paraId="12F13381" w14:textId="77777777" w:rsidR="00681DB5" w:rsidRPr="00681DB5" w:rsidRDefault="00681DB5" w:rsidP="00681DB5">
            <w:pPr>
              <w:spacing w:after="160" w:line="259" w:lineRule="auto"/>
            </w:pPr>
            <w:r w:rsidRPr="00681DB5">
              <w:t>Appointment of the Statewide Independent Living Council</w:t>
            </w:r>
          </w:p>
        </w:tc>
      </w:tr>
      <w:tr w:rsidR="00681DB5" w:rsidRPr="00681DB5" w14:paraId="61D98B4F" w14:textId="77777777" w:rsidTr="00681DB5">
        <w:trPr>
          <w:trHeight w:val="166"/>
        </w:trPr>
        <w:tc>
          <w:tcPr>
            <w:tcW w:w="4695" w:type="dxa"/>
            <w:hideMark/>
          </w:tcPr>
          <w:p w14:paraId="38227530" w14:textId="77777777" w:rsidR="00681DB5" w:rsidRPr="00681DB5" w:rsidRDefault="00681DB5" w:rsidP="00681DB5">
            <w:pPr>
              <w:spacing w:after="160" w:line="259" w:lineRule="auto"/>
              <w:rPr>
                <w:b/>
                <w:bCs/>
              </w:rPr>
            </w:pPr>
            <w:r w:rsidRPr="00681DB5">
              <w:rPr>
                <w:b/>
                <w:bCs/>
              </w:rPr>
              <w:t>Chris Hoeh</w:t>
            </w:r>
          </w:p>
          <w:p w14:paraId="1CF691F9" w14:textId="77777777" w:rsidR="00681DB5" w:rsidRPr="00681DB5" w:rsidRDefault="00681DB5" w:rsidP="00681DB5">
            <w:pPr>
              <w:spacing w:after="160" w:line="259" w:lineRule="auto"/>
            </w:pPr>
            <w:r w:rsidRPr="00681DB5">
              <w:t>Individual with lived experience</w:t>
            </w:r>
          </w:p>
        </w:tc>
        <w:tc>
          <w:tcPr>
            <w:tcW w:w="4709" w:type="dxa"/>
            <w:hideMark/>
          </w:tcPr>
          <w:p w14:paraId="3A4AC7A3" w14:textId="77777777" w:rsidR="00681DB5" w:rsidRPr="00681DB5" w:rsidRDefault="00681DB5" w:rsidP="00681DB5">
            <w:pPr>
              <w:spacing w:after="160" w:line="259" w:lineRule="auto"/>
            </w:pPr>
            <w:r w:rsidRPr="00681DB5">
              <w:t>Appointment of the Disability Law Center</w:t>
            </w:r>
          </w:p>
        </w:tc>
      </w:tr>
      <w:tr w:rsidR="00681DB5" w:rsidRPr="00681DB5" w14:paraId="50EF56CA" w14:textId="77777777" w:rsidTr="00681DB5">
        <w:trPr>
          <w:trHeight w:val="237"/>
        </w:trPr>
        <w:tc>
          <w:tcPr>
            <w:tcW w:w="4695" w:type="dxa"/>
            <w:hideMark/>
          </w:tcPr>
          <w:p w14:paraId="71C24065" w14:textId="77777777" w:rsidR="00681DB5" w:rsidRPr="00681DB5" w:rsidRDefault="00681DB5" w:rsidP="00681DB5">
            <w:pPr>
              <w:spacing w:after="160" w:line="259" w:lineRule="auto"/>
              <w:rPr>
                <w:b/>
                <w:bCs/>
              </w:rPr>
            </w:pPr>
            <w:r w:rsidRPr="00681DB5">
              <w:rPr>
                <w:b/>
                <w:bCs/>
              </w:rPr>
              <w:t>Joe Krajewski</w:t>
            </w:r>
          </w:p>
          <w:p w14:paraId="442D55B5" w14:textId="77777777" w:rsidR="00681DB5" w:rsidRPr="00681DB5" w:rsidRDefault="00681DB5" w:rsidP="00681DB5">
            <w:pPr>
              <w:spacing w:after="160" w:line="259" w:lineRule="auto"/>
            </w:pPr>
            <w:r w:rsidRPr="00681DB5">
              <w:t>Chief Operating Officer, Community Connections</w:t>
            </w:r>
          </w:p>
        </w:tc>
        <w:tc>
          <w:tcPr>
            <w:tcW w:w="4709" w:type="dxa"/>
            <w:hideMark/>
          </w:tcPr>
          <w:p w14:paraId="1A3DD3B4" w14:textId="77777777" w:rsidR="00681DB5" w:rsidRPr="00681DB5" w:rsidRDefault="00681DB5" w:rsidP="00681DB5">
            <w:pPr>
              <w:spacing w:after="160" w:line="259" w:lineRule="auto"/>
            </w:pPr>
            <w:r w:rsidRPr="00681DB5">
              <w:t>Appointment of the Association of Developmental Disability Providers (ADDP)</w:t>
            </w:r>
          </w:p>
        </w:tc>
      </w:tr>
      <w:tr w:rsidR="00681DB5" w:rsidRPr="00681DB5" w14:paraId="3BB6E855" w14:textId="77777777" w:rsidTr="00681DB5">
        <w:trPr>
          <w:trHeight w:val="68"/>
        </w:trPr>
        <w:tc>
          <w:tcPr>
            <w:tcW w:w="4695" w:type="dxa"/>
            <w:hideMark/>
          </w:tcPr>
          <w:p w14:paraId="08E15848" w14:textId="77777777" w:rsidR="00681DB5" w:rsidRPr="00681DB5" w:rsidRDefault="00681DB5" w:rsidP="00681DB5">
            <w:pPr>
              <w:spacing w:after="160" w:line="259" w:lineRule="auto"/>
              <w:rPr>
                <w:b/>
                <w:bCs/>
              </w:rPr>
            </w:pPr>
            <w:r w:rsidRPr="00681DB5">
              <w:rPr>
                <w:b/>
                <w:bCs/>
              </w:rPr>
              <w:t>Catherine Mick</w:t>
            </w:r>
          </w:p>
          <w:p w14:paraId="48046DEA" w14:textId="77777777" w:rsidR="00681DB5" w:rsidRPr="00681DB5" w:rsidRDefault="00681DB5" w:rsidP="00681DB5">
            <w:pPr>
              <w:spacing w:after="160" w:line="259" w:lineRule="auto"/>
            </w:pPr>
            <w:r w:rsidRPr="00681DB5">
              <w:t>Chief of Staff, Commonwealth Medicine</w:t>
            </w:r>
          </w:p>
        </w:tc>
        <w:tc>
          <w:tcPr>
            <w:tcW w:w="4709" w:type="dxa"/>
            <w:hideMark/>
          </w:tcPr>
          <w:p w14:paraId="6CF986D7" w14:textId="77777777" w:rsidR="00681DB5" w:rsidRPr="00681DB5" w:rsidRDefault="00681DB5" w:rsidP="00681DB5">
            <w:pPr>
              <w:spacing w:after="160" w:line="259" w:lineRule="auto"/>
            </w:pPr>
            <w:r w:rsidRPr="00681DB5">
              <w:t>Appointment of the Governor (expert in Human Service Transportation)</w:t>
            </w:r>
          </w:p>
        </w:tc>
      </w:tr>
      <w:tr w:rsidR="00681DB5" w:rsidRPr="00681DB5" w14:paraId="0A45354F" w14:textId="77777777" w:rsidTr="00681DB5">
        <w:trPr>
          <w:trHeight w:val="140"/>
        </w:trPr>
        <w:tc>
          <w:tcPr>
            <w:tcW w:w="4695" w:type="dxa"/>
            <w:hideMark/>
          </w:tcPr>
          <w:p w14:paraId="72FBD307" w14:textId="77777777" w:rsidR="00681DB5" w:rsidRPr="00681DB5" w:rsidRDefault="00681DB5" w:rsidP="00681DB5">
            <w:pPr>
              <w:spacing w:after="160" w:line="259" w:lineRule="auto"/>
              <w:rPr>
                <w:b/>
                <w:bCs/>
              </w:rPr>
            </w:pPr>
            <w:r w:rsidRPr="00681DB5">
              <w:rPr>
                <w:b/>
                <w:bCs/>
              </w:rPr>
              <w:t>Susan Moran</w:t>
            </w:r>
          </w:p>
          <w:p w14:paraId="41DB9EB1" w14:textId="77777777" w:rsidR="00681DB5" w:rsidRPr="00681DB5" w:rsidRDefault="00681DB5" w:rsidP="00681DB5">
            <w:pPr>
              <w:spacing w:after="160" w:line="259" w:lineRule="auto"/>
            </w:pPr>
            <w:r w:rsidRPr="00681DB5">
              <w:t>Massachusetts Senator</w:t>
            </w:r>
          </w:p>
        </w:tc>
        <w:tc>
          <w:tcPr>
            <w:tcW w:w="4709" w:type="dxa"/>
            <w:hideMark/>
          </w:tcPr>
          <w:p w14:paraId="2163BC8D" w14:textId="77777777" w:rsidR="00681DB5" w:rsidRPr="00681DB5" w:rsidRDefault="00681DB5" w:rsidP="00681DB5">
            <w:pPr>
              <w:spacing w:after="160" w:line="259" w:lineRule="auto"/>
            </w:pPr>
            <w:r w:rsidRPr="00681DB5">
              <w:t>Member of the Massachusetts Senate</w:t>
            </w:r>
          </w:p>
        </w:tc>
      </w:tr>
      <w:tr w:rsidR="00681DB5" w:rsidRPr="00681DB5" w14:paraId="2993604F" w14:textId="77777777" w:rsidTr="00681DB5">
        <w:trPr>
          <w:trHeight w:val="387"/>
        </w:trPr>
        <w:tc>
          <w:tcPr>
            <w:tcW w:w="4695" w:type="dxa"/>
            <w:hideMark/>
          </w:tcPr>
          <w:p w14:paraId="1C1AC123" w14:textId="77777777" w:rsidR="00681DB5" w:rsidRPr="00681DB5" w:rsidRDefault="00681DB5" w:rsidP="00681DB5">
            <w:pPr>
              <w:spacing w:after="160" w:line="259" w:lineRule="auto"/>
              <w:rPr>
                <w:b/>
                <w:bCs/>
              </w:rPr>
            </w:pPr>
            <w:r w:rsidRPr="00681DB5">
              <w:rPr>
                <w:b/>
                <w:bCs/>
              </w:rPr>
              <w:t>Mathew Muratore</w:t>
            </w:r>
          </w:p>
          <w:p w14:paraId="49702059" w14:textId="77777777" w:rsidR="00681DB5" w:rsidRPr="00681DB5" w:rsidRDefault="00681DB5" w:rsidP="00681DB5">
            <w:pPr>
              <w:spacing w:after="160" w:line="259" w:lineRule="auto"/>
            </w:pPr>
            <w:r w:rsidRPr="00681DB5">
              <w:t>Massachusetts Representative</w:t>
            </w:r>
          </w:p>
        </w:tc>
        <w:tc>
          <w:tcPr>
            <w:tcW w:w="4709" w:type="dxa"/>
            <w:hideMark/>
          </w:tcPr>
          <w:p w14:paraId="6D95DEDB" w14:textId="77777777" w:rsidR="00681DB5" w:rsidRPr="00681DB5" w:rsidRDefault="00681DB5" w:rsidP="00681DB5">
            <w:pPr>
              <w:spacing w:after="160" w:line="259" w:lineRule="auto"/>
            </w:pPr>
            <w:r w:rsidRPr="00681DB5">
              <w:t>Member of the Massachusetts House of Representatives (minority leader appointment)</w:t>
            </w:r>
          </w:p>
        </w:tc>
      </w:tr>
      <w:tr w:rsidR="00681DB5" w:rsidRPr="00681DB5" w14:paraId="390C1154" w14:textId="77777777" w:rsidTr="00681DB5">
        <w:trPr>
          <w:trHeight w:val="1201"/>
        </w:trPr>
        <w:tc>
          <w:tcPr>
            <w:tcW w:w="4695" w:type="dxa"/>
            <w:hideMark/>
          </w:tcPr>
          <w:p w14:paraId="15FA78B9" w14:textId="77777777" w:rsidR="00681DB5" w:rsidRPr="00681DB5" w:rsidRDefault="00681DB5" w:rsidP="00681DB5">
            <w:pPr>
              <w:spacing w:after="160" w:line="259" w:lineRule="auto"/>
              <w:rPr>
                <w:b/>
                <w:bCs/>
              </w:rPr>
            </w:pPr>
            <w:r w:rsidRPr="00681DB5">
              <w:rPr>
                <w:b/>
                <w:bCs/>
              </w:rPr>
              <w:t>Patrick O’Connor</w:t>
            </w:r>
          </w:p>
          <w:p w14:paraId="44F60B80" w14:textId="77777777" w:rsidR="00681DB5" w:rsidRPr="00681DB5" w:rsidRDefault="00681DB5" w:rsidP="00681DB5">
            <w:pPr>
              <w:spacing w:after="160" w:line="259" w:lineRule="auto"/>
            </w:pPr>
            <w:r w:rsidRPr="00681DB5">
              <w:t>Massachusetts Senator</w:t>
            </w:r>
          </w:p>
        </w:tc>
        <w:tc>
          <w:tcPr>
            <w:tcW w:w="4709" w:type="dxa"/>
            <w:hideMark/>
          </w:tcPr>
          <w:p w14:paraId="2E24137B" w14:textId="77777777" w:rsidR="00681DB5" w:rsidRPr="00681DB5" w:rsidRDefault="00681DB5" w:rsidP="00681DB5">
            <w:pPr>
              <w:spacing w:after="160" w:line="259" w:lineRule="auto"/>
            </w:pPr>
            <w:r w:rsidRPr="00681DB5">
              <w:t>Member of the Massachusetts Senate (minority leader appointment)</w:t>
            </w:r>
          </w:p>
        </w:tc>
      </w:tr>
      <w:tr w:rsidR="00681DB5" w:rsidRPr="00681DB5" w14:paraId="6EF2FB63" w14:textId="77777777" w:rsidTr="00681DB5">
        <w:trPr>
          <w:trHeight w:val="1201"/>
        </w:trPr>
        <w:tc>
          <w:tcPr>
            <w:tcW w:w="4695" w:type="dxa"/>
            <w:hideMark/>
          </w:tcPr>
          <w:p w14:paraId="1F018D79" w14:textId="77777777" w:rsidR="00681DB5" w:rsidRPr="00681DB5" w:rsidRDefault="00681DB5" w:rsidP="00681DB5">
            <w:pPr>
              <w:spacing w:after="160" w:line="259" w:lineRule="auto"/>
              <w:rPr>
                <w:b/>
                <w:bCs/>
              </w:rPr>
            </w:pPr>
            <w:r w:rsidRPr="00681DB5">
              <w:rPr>
                <w:b/>
                <w:bCs/>
              </w:rPr>
              <w:lastRenderedPageBreak/>
              <w:t>Jessica Podesva</w:t>
            </w:r>
          </w:p>
          <w:p w14:paraId="199D1926" w14:textId="77777777" w:rsidR="00681DB5" w:rsidRPr="00681DB5" w:rsidRDefault="00681DB5" w:rsidP="00681DB5">
            <w:pPr>
              <w:spacing w:after="160" w:line="259" w:lineRule="auto"/>
            </w:pPr>
            <w:r w:rsidRPr="00681DB5">
              <w:t>Community Organizer, Boston Center for Independent Living</w:t>
            </w:r>
          </w:p>
        </w:tc>
        <w:tc>
          <w:tcPr>
            <w:tcW w:w="4709" w:type="dxa"/>
            <w:hideMark/>
          </w:tcPr>
          <w:p w14:paraId="3ADA9781" w14:textId="77777777" w:rsidR="00681DB5" w:rsidRPr="00681DB5" w:rsidRDefault="00681DB5" w:rsidP="00681DB5">
            <w:pPr>
              <w:spacing w:after="160" w:line="259" w:lineRule="auto"/>
            </w:pPr>
            <w:r w:rsidRPr="00681DB5">
              <w:t>Appointment of the Boston Center for Independent Living (BCIL)</w:t>
            </w:r>
          </w:p>
        </w:tc>
      </w:tr>
      <w:tr w:rsidR="00681DB5" w:rsidRPr="00681DB5" w14:paraId="6A6F40EF" w14:textId="77777777" w:rsidTr="00681DB5">
        <w:trPr>
          <w:trHeight w:val="1201"/>
        </w:trPr>
        <w:tc>
          <w:tcPr>
            <w:tcW w:w="4695" w:type="dxa"/>
            <w:hideMark/>
          </w:tcPr>
          <w:p w14:paraId="7AA308C3" w14:textId="77777777" w:rsidR="00681DB5" w:rsidRPr="00681DB5" w:rsidRDefault="00681DB5" w:rsidP="00681DB5">
            <w:pPr>
              <w:spacing w:after="160" w:line="259" w:lineRule="auto"/>
              <w:rPr>
                <w:b/>
                <w:bCs/>
              </w:rPr>
            </w:pPr>
            <w:r w:rsidRPr="00681DB5">
              <w:rPr>
                <w:b/>
                <w:bCs/>
              </w:rPr>
              <w:t>Stephen T. Salwak</w:t>
            </w:r>
          </w:p>
          <w:p w14:paraId="5B940E29" w14:textId="77777777" w:rsidR="00681DB5" w:rsidRPr="00681DB5" w:rsidRDefault="00681DB5" w:rsidP="00681DB5">
            <w:pPr>
              <w:spacing w:after="160" w:line="259" w:lineRule="auto"/>
            </w:pPr>
            <w:r w:rsidRPr="00681DB5">
              <w:t>Transportation Director, South Shore Community Action Council</w:t>
            </w:r>
          </w:p>
        </w:tc>
        <w:tc>
          <w:tcPr>
            <w:tcW w:w="4709" w:type="dxa"/>
            <w:hideMark/>
          </w:tcPr>
          <w:p w14:paraId="59F01555" w14:textId="77777777" w:rsidR="00681DB5" w:rsidRPr="00681DB5" w:rsidRDefault="00681DB5" w:rsidP="00681DB5">
            <w:pPr>
              <w:spacing w:after="160" w:line="259" w:lineRule="auto"/>
            </w:pPr>
            <w:r w:rsidRPr="00681DB5">
              <w:t>Appointment of the Massachusetts Developmental Disabilities Council</w:t>
            </w:r>
          </w:p>
        </w:tc>
      </w:tr>
      <w:tr w:rsidR="00681DB5" w:rsidRPr="00681DB5" w14:paraId="06D34E4F" w14:textId="77777777" w:rsidTr="00681DB5">
        <w:trPr>
          <w:trHeight w:val="1201"/>
        </w:trPr>
        <w:tc>
          <w:tcPr>
            <w:tcW w:w="4695" w:type="dxa"/>
            <w:hideMark/>
          </w:tcPr>
          <w:p w14:paraId="491AEF9C" w14:textId="77777777" w:rsidR="00681DB5" w:rsidRPr="00681DB5" w:rsidRDefault="00681DB5" w:rsidP="00681DB5">
            <w:pPr>
              <w:spacing w:after="160" w:line="259" w:lineRule="auto"/>
              <w:rPr>
                <w:b/>
                <w:bCs/>
              </w:rPr>
            </w:pPr>
            <w:r w:rsidRPr="00681DB5">
              <w:rPr>
                <w:b/>
                <w:bCs/>
              </w:rPr>
              <w:t>Leo Sarkissian</w:t>
            </w:r>
          </w:p>
          <w:p w14:paraId="296704E5" w14:textId="77777777" w:rsidR="00681DB5" w:rsidRPr="00681DB5" w:rsidRDefault="00681DB5" w:rsidP="00681DB5">
            <w:pPr>
              <w:spacing w:after="160" w:line="259" w:lineRule="auto"/>
            </w:pPr>
            <w:r w:rsidRPr="00681DB5">
              <w:t>Executive Director, The Arc of Massachusetts</w:t>
            </w:r>
          </w:p>
        </w:tc>
        <w:tc>
          <w:tcPr>
            <w:tcW w:w="4709" w:type="dxa"/>
            <w:hideMark/>
          </w:tcPr>
          <w:p w14:paraId="70339B22" w14:textId="77777777" w:rsidR="00681DB5" w:rsidRPr="00681DB5" w:rsidRDefault="00681DB5" w:rsidP="00681DB5">
            <w:pPr>
              <w:spacing w:after="160" w:line="259" w:lineRule="auto"/>
            </w:pPr>
            <w:r w:rsidRPr="00681DB5">
              <w:t>Appointment of The Arc Massachusetts</w:t>
            </w:r>
          </w:p>
        </w:tc>
      </w:tr>
      <w:tr w:rsidR="00681DB5" w:rsidRPr="00681DB5" w14:paraId="1738D86D" w14:textId="77777777" w:rsidTr="00681DB5">
        <w:trPr>
          <w:trHeight w:val="1201"/>
        </w:trPr>
        <w:tc>
          <w:tcPr>
            <w:tcW w:w="4695" w:type="dxa"/>
            <w:hideMark/>
          </w:tcPr>
          <w:p w14:paraId="736FCFFD" w14:textId="77777777" w:rsidR="00681DB5" w:rsidRPr="00681DB5" w:rsidRDefault="00681DB5" w:rsidP="00681DB5">
            <w:pPr>
              <w:spacing w:after="160" w:line="259" w:lineRule="auto"/>
              <w:rPr>
                <w:b/>
                <w:bCs/>
              </w:rPr>
            </w:pPr>
            <w:r w:rsidRPr="00681DB5">
              <w:rPr>
                <w:b/>
                <w:bCs/>
              </w:rPr>
              <w:t>Meredith Slesinger</w:t>
            </w:r>
          </w:p>
          <w:p w14:paraId="238B0BF5" w14:textId="77777777" w:rsidR="00681DB5" w:rsidRPr="00681DB5" w:rsidRDefault="00681DB5" w:rsidP="00681DB5">
            <w:pPr>
              <w:spacing w:after="160" w:line="259" w:lineRule="auto"/>
            </w:pPr>
            <w:r w:rsidRPr="00681DB5">
              <w:t>Rail &amp; Transit Administrator, Massachusetts Department of Transportation</w:t>
            </w:r>
          </w:p>
        </w:tc>
        <w:tc>
          <w:tcPr>
            <w:tcW w:w="4709" w:type="dxa"/>
            <w:hideMark/>
          </w:tcPr>
          <w:p w14:paraId="285670F9" w14:textId="77777777" w:rsidR="00681DB5" w:rsidRPr="00681DB5" w:rsidRDefault="00681DB5" w:rsidP="00681DB5">
            <w:pPr>
              <w:spacing w:after="160" w:line="259" w:lineRule="auto"/>
            </w:pPr>
            <w:r w:rsidRPr="00681DB5">
              <w:t>Representative from the Massachusetts Department of Transportation (MassDOT)</w:t>
            </w:r>
          </w:p>
        </w:tc>
      </w:tr>
      <w:tr w:rsidR="00681DB5" w:rsidRPr="00681DB5" w14:paraId="5F5E1285" w14:textId="77777777" w:rsidTr="00681DB5">
        <w:trPr>
          <w:trHeight w:val="1201"/>
        </w:trPr>
        <w:tc>
          <w:tcPr>
            <w:tcW w:w="4695" w:type="dxa"/>
            <w:hideMark/>
          </w:tcPr>
          <w:p w14:paraId="7AD38A83" w14:textId="77777777" w:rsidR="00681DB5" w:rsidRPr="00681DB5" w:rsidRDefault="00681DB5" w:rsidP="00681DB5">
            <w:pPr>
              <w:spacing w:after="160" w:line="259" w:lineRule="auto"/>
              <w:rPr>
                <w:b/>
                <w:bCs/>
              </w:rPr>
            </w:pPr>
            <w:r w:rsidRPr="00681DB5">
              <w:rPr>
                <w:b/>
                <w:bCs/>
              </w:rPr>
              <w:t>Sharna Small Borsellino</w:t>
            </w:r>
          </w:p>
          <w:p w14:paraId="2075B748" w14:textId="77777777" w:rsidR="00681DB5" w:rsidRPr="00681DB5" w:rsidRDefault="00681DB5" w:rsidP="00681DB5">
            <w:pPr>
              <w:spacing w:after="160" w:line="259" w:lineRule="auto"/>
            </w:pPr>
            <w:r w:rsidRPr="00681DB5">
              <w:t>Director, Human Service Transportation Office</w:t>
            </w:r>
          </w:p>
        </w:tc>
        <w:tc>
          <w:tcPr>
            <w:tcW w:w="4709" w:type="dxa"/>
            <w:hideMark/>
          </w:tcPr>
          <w:p w14:paraId="5F050A04" w14:textId="77777777" w:rsidR="00681DB5" w:rsidRPr="00681DB5" w:rsidRDefault="00681DB5" w:rsidP="00681DB5">
            <w:pPr>
              <w:spacing w:after="160" w:line="259" w:lineRule="auto"/>
            </w:pPr>
            <w:r w:rsidRPr="00681DB5">
              <w:t>Human Service Transportation Director</w:t>
            </w:r>
          </w:p>
        </w:tc>
      </w:tr>
    </w:tbl>
    <w:p w14:paraId="101E46CF" w14:textId="36AC23A8" w:rsidR="00681DB5" w:rsidRDefault="00681DB5" w:rsidP="00F90978"/>
    <w:p w14:paraId="55D8CF97" w14:textId="3D5B8908" w:rsidR="00681DB5" w:rsidRDefault="00681DB5" w:rsidP="00F90978">
      <w:r>
        <w:t>Slide 32 - 34</w:t>
      </w:r>
    </w:p>
    <w:p w14:paraId="610B6597" w14:textId="3CD484FC" w:rsidR="00681DB5" w:rsidRDefault="00681DB5" w:rsidP="00C807C3">
      <w:pPr>
        <w:pStyle w:val="Heading3"/>
      </w:pPr>
      <w:r w:rsidRPr="00681DB5">
        <w:t>Appendix C – Summary of Meetings and Input Provided to the Task Force</w:t>
      </w:r>
    </w:p>
    <w:p w14:paraId="3FFE900A" w14:textId="23E896F7" w:rsidR="00681DB5" w:rsidRPr="00681DB5" w:rsidRDefault="00681DB5" w:rsidP="00681DB5">
      <w:r w:rsidRPr="00681DB5">
        <w:rPr>
          <w:b/>
          <w:bCs/>
        </w:rPr>
        <w:t>November 3, 2021</w:t>
      </w:r>
    </w:p>
    <w:tbl>
      <w:tblPr>
        <w:tblStyle w:val="TableGrid"/>
        <w:tblW w:w="9360" w:type="dxa"/>
        <w:tblLook w:val="04A0" w:firstRow="1" w:lastRow="0" w:firstColumn="1" w:lastColumn="0" w:noHBand="0" w:noVBand="1"/>
      </w:tblPr>
      <w:tblGrid>
        <w:gridCol w:w="3462"/>
        <w:gridCol w:w="2542"/>
        <w:gridCol w:w="3356"/>
      </w:tblGrid>
      <w:tr w:rsidR="00681DB5" w:rsidRPr="00681DB5" w14:paraId="0A0F3312" w14:textId="77777777" w:rsidTr="00681DB5">
        <w:trPr>
          <w:trHeight w:val="458"/>
          <w:tblHeader/>
        </w:trPr>
        <w:tc>
          <w:tcPr>
            <w:tcW w:w="3462" w:type="dxa"/>
          </w:tcPr>
          <w:p w14:paraId="38EE152A" w14:textId="666BE038" w:rsidR="00681DB5" w:rsidRPr="00681DB5" w:rsidRDefault="00681DB5" w:rsidP="00681DB5">
            <w:pPr>
              <w:rPr>
                <w:b/>
                <w:bCs/>
              </w:rPr>
            </w:pPr>
            <w:r w:rsidRPr="00681DB5">
              <w:rPr>
                <w:b/>
                <w:bCs/>
              </w:rPr>
              <w:t>Presenters</w:t>
            </w:r>
          </w:p>
        </w:tc>
        <w:tc>
          <w:tcPr>
            <w:tcW w:w="2542" w:type="dxa"/>
          </w:tcPr>
          <w:p w14:paraId="20AEC666" w14:textId="5385B316" w:rsidR="00681DB5" w:rsidRPr="00681DB5" w:rsidRDefault="00681DB5" w:rsidP="00681DB5">
            <w:r w:rsidRPr="00681DB5">
              <w:rPr>
                <w:b/>
                <w:bCs/>
              </w:rPr>
              <w:t>Topics Discussed</w:t>
            </w:r>
          </w:p>
        </w:tc>
        <w:tc>
          <w:tcPr>
            <w:tcW w:w="3356" w:type="dxa"/>
          </w:tcPr>
          <w:p w14:paraId="6BFDFE3C" w14:textId="4B343EAA" w:rsidR="00681DB5" w:rsidRPr="00935E83" w:rsidRDefault="00681DB5" w:rsidP="00681DB5">
            <w:pPr>
              <w:rPr>
                <w:b/>
                <w:bCs/>
                <w:u w:val="single"/>
              </w:rPr>
            </w:pPr>
            <w:r w:rsidRPr="00681DB5">
              <w:rPr>
                <w:b/>
                <w:bCs/>
              </w:rPr>
              <w:t>Resources and Supporting Documents</w:t>
            </w:r>
          </w:p>
        </w:tc>
      </w:tr>
      <w:tr w:rsidR="00681DB5" w:rsidRPr="00681DB5" w14:paraId="503828A1" w14:textId="77777777" w:rsidTr="00681DB5">
        <w:trPr>
          <w:trHeight w:val="818"/>
        </w:trPr>
        <w:tc>
          <w:tcPr>
            <w:tcW w:w="3462" w:type="dxa"/>
            <w:hideMark/>
          </w:tcPr>
          <w:p w14:paraId="122186FB" w14:textId="75E1BA5D" w:rsidR="00681DB5" w:rsidRPr="00681DB5" w:rsidRDefault="00681DB5" w:rsidP="00681DB5">
            <w:pPr>
              <w:spacing w:after="160" w:line="259" w:lineRule="auto"/>
            </w:pPr>
            <w:r w:rsidRPr="00681DB5">
              <w:rPr>
                <w:b/>
                <w:bCs/>
              </w:rPr>
              <w:t xml:space="preserve">Elizabeth Denniston </w:t>
            </w:r>
            <w:r w:rsidRPr="00681DB5">
              <w:rPr>
                <w:i/>
                <w:iCs/>
              </w:rPr>
              <w:t>(chair)</w:t>
            </w:r>
            <w:r>
              <w:rPr>
                <w:i/>
                <w:iCs/>
              </w:rPr>
              <w:br/>
            </w:r>
            <w:r w:rsidRPr="00681DB5">
              <w:t>Undersecretary of Human Services, EOHHS</w:t>
            </w:r>
          </w:p>
        </w:tc>
        <w:tc>
          <w:tcPr>
            <w:tcW w:w="2542" w:type="dxa"/>
            <w:hideMark/>
          </w:tcPr>
          <w:p w14:paraId="2B44015C" w14:textId="77777777" w:rsidR="00681DB5" w:rsidRPr="00681DB5" w:rsidRDefault="00681DB5" w:rsidP="00681DB5">
            <w:pPr>
              <w:spacing w:after="160" w:line="259" w:lineRule="auto"/>
            </w:pPr>
            <w:r w:rsidRPr="00681DB5">
              <w:t>Discussion of the Task Force’s charges, proposed meeting schedule</w:t>
            </w:r>
          </w:p>
        </w:tc>
        <w:tc>
          <w:tcPr>
            <w:tcW w:w="3356" w:type="dxa"/>
            <w:hideMark/>
          </w:tcPr>
          <w:p w14:paraId="6AF4E669" w14:textId="77777777" w:rsidR="00681DB5" w:rsidRPr="00681DB5" w:rsidRDefault="0034181D" w:rsidP="00681DB5">
            <w:pPr>
              <w:spacing w:after="160" w:line="259" w:lineRule="auto"/>
              <w:rPr>
                <w:color w:val="2E74B5" w:themeColor="accent5" w:themeShade="BF"/>
              </w:rPr>
            </w:pPr>
            <w:hyperlink r:id="rId8" w:history="1">
              <w:r w:rsidR="00681DB5" w:rsidRPr="00681DB5">
                <w:rPr>
                  <w:rStyle w:val="Hyperlink"/>
                  <w:b/>
                  <w:bCs/>
                  <w:color w:val="2E74B5" w:themeColor="accent5" w:themeShade="BF"/>
                </w:rPr>
                <w:t>Task Force Presentation</w:t>
              </w:r>
            </w:hyperlink>
          </w:p>
        </w:tc>
      </w:tr>
      <w:tr w:rsidR="00681DB5" w:rsidRPr="00681DB5" w14:paraId="5C6F6105" w14:textId="77777777" w:rsidTr="00681DB5">
        <w:trPr>
          <w:trHeight w:val="287"/>
        </w:trPr>
        <w:tc>
          <w:tcPr>
            <w:tcW w:w="3462" w:type="dxa"/>
            <w:hideMark/>
          </w:tcPr>
          <w:p w14:paraId="3E8E5ED3" w14:textId="0249AE23" w:rsidR="00681DB5" w:rsidRPr="00681DB5" w:rsidRDefault="00681DB5" w:rsidP="00681DB5">
            <w:pPr>
              <w:spacing w:after="160" w:line="259" w:lineRule="auto"/>
            </w:pPr>
            <w:r w:rsidRPr="00681DB5">
              <w:rPr>
                <w:b/>
                <w:bCs/>
              </w:rPr>
              <w:t>Sharna Small Borsellino</w:t>
            </w:r>
            <w:r>
              <w:rPr>
                <w:b/>
                <w:bCs/>
              </w:rPr>
              <w:br/>
            </w:r>
            <w:r w:rsidRPr="00681DB5">
              <w:t>Director, HST office</w:t>
            </w:r>
          </w:p>
        </w:tc>
        <w:tc>
          <w:tcPr>
            <w:tcW w:w="2542" w:type="dxa"/>
            <w:hideMark/>
          </w:tcPr>
          <w:p w14:paraId="76D8A5FB" w14:textId="77777777" w:rsidR="00681DB5" w:rsidRPr="00681DB5" w:rsidRDefault="00681DB5" w:rsidP="00681DB5">
            <w:pPr>
              <w:spacing w:after="160" w:line="259" w:lineRule="auto"/>
            </w:pPr>
            <w:r w:rsidRPr="00681DB5">
              <w:t>Overview of HST office</w:t>
            </w:r>
          </w:p>
        </w:tc>
        <w:tc>
          <w:tcPr>
            <w:tcW w:w="3356" w:type="dxa"/>
            <w:hideMark/>
          </w:tcPr>
          <w:p w14:paraId="70648C83" w14:textId="77777777" w:rsidR="00681DB5" w:rsidRPr="00681DB5" w:rsidRDefault="0034181D" w:rsidP="00681DB5">
            <w:pPr>
              <w:spacing w:after="160" w:line="259" w:lineRule="auto"/>
              <w:rPr>
                <w:color w:val="2E74B5" w:themeColor="accent5" w:themeShade="BF"/>
              </w:rPr>
            </w:pPr>
            <w:hyperlink r:id="rId9" w:history="1">
              <w:r w:rsidR="00681DB5" w:rsidRPr="00681DB5">
                <w:rPr>
                  <w:rStyle w:val="Hyperlink"/>
                  <w:b/>
                  <w:bCs/>
                  <w:color w:val="2E74B5" w:themeColor="accent5" w:themeShade="BF"/>
                </w:rPr>
                <w:t>HST Office Overview Presentation</w:t>
              </w:r>
            </w:hyperlink>
          </w:p>
        </w:tc>
      </w:tr>
    </w:tbl>
    <w:p w14:paraId="30861AA0" w14:textId="3D13C29D" w:rsidR="00681DB5" w:rsidRDefault="00681DB5" w:rsidP="00F90978"/>
    <w:p w14:paraId="3A1DE54A" w14:textId="38916082" w:rsidR="00681DB5" w:rsidRDefault="00681DB5" w:rsidP="00F90978">
      <w:pPr>
        <w:rPr>
          <w:b/>
          <w:bCs/>
        </w:rPr>
      </w:pPr>
      <w:r w:rsidRPr="00681DB5">
        <w:rPr>
          <w:b/>
          <w:bCs/>
        </w:rPr>
        <w:t>February 14, 2022</w:t>
      </w:r>
    </w:p>
    <w:tbl>
      <w:tblPr>
        <w:tblStyle w:val="TableGrid"/>
        <w:tblW w:w="9360" w:type="dxa"/>
        <w:tblLook w:val="04A0" w:firstRow="1" w:lastRow="0" w:firstColumn="1" w:lastColumn="0" w:noHBand="0" w:noVBand="1"/>
      </w:tblPr>
      <w:tblGrid>
        <w:gridCol w:w="3462"/>
        <w:gridCol w:w="2542"/>
        <w:gridCol w:w="3356"/>
      </w:tblGrid>
      <w:tr w:rsidR="00681DB5" w:rsidRPr="00681DB5" w14:paraId="1C6D6498" w14:textId="77777777" w:rsidTr="00681DB5">
        <w:trPr>
          <w:trHeight w:val="70"/>
          <w:tblHeader/>
        </w:trPr>
        <w:tc>
          <w:tcPr>
            <w:tcW w:w="3462" w:type="dxa"/>
          </w:tcPr>
          <w:p w14:paraId="7EA65363" w14:textId="77777777" w:rsidR="00681DB5" w:rsidRPr="00681DB5" w:rsidRDefault="00681DB5" w:rsidP="00C77F9B">
            <w:pPr>
              <w:rPr>
                <w:b/>
                <w:bCs/>
              </w:rPr>
            </w:pPr>
            <w:r w:rsidRPr="00681DB5">
              <w:rPr>
                <w:b/>
                <w:bCs/>
              </w:rPr>
              <w:lastRenderedPageBreak/>
              <w:t>Presenters</w:t>
            </w:r>
          </w:p>
        </w:tc>
        <w:tc>
          <w:tcPr>
            <w:tcW w:w="2542" w:type="dxa"/>
          </w:tcPr>
          <w:p w14:paraId="4DD9EE08" w14:textId="77777777" w:rsidR="00681DB5" w:rsidRPr="00681DB5" w:rsidRDefault="00681DB5" w:rsidP="00C77F9B">
            <w:r w:rsidRPr="00681DB5">
              <w:rPr>
                <w:b/>
                <w:bCs/>
              </w:rPr>
              <w:t>Topics Discussed</w:t>
            </w:r>
          </w:p>
        </w:tc>
        <w:tc>
          <w:tcPr>
            <w:tcW w:w="3356" w:type="dxa"/>
          </w:tcPr>
          <w:p w14:paraId="3C8D867E" w14:textId="77777777" w:rsidR="00681DB5" w:rsidRPr="00681DB5" w:rsidRDefault="00681DB5" w:rsidP="00C77F9B">
            <w:pPr>
              <w:rPr>
                <w:b/>
                <w:bCs/>
                <w:u w:val="single"/>
              </w:rPr>
            </w:pPr>
            <w:r w:rsidRPr="00681DB5">
              <w:rPr>
                <w:b/>
                <w:bCs/>
              </w:rPr>
              <w:t>Resources and Supporting Documents</w:t>
            </w:r>
          </w:p>
        </w:tc>
      </w:tr>
      <w:tr w:rsidR="00681DB5" w:rsidRPr="00681DB5" w14:paraId="3B2B647E" w14:textId="77777777" w:rsidTr="00681DB5">
        <w:trPr>
          <w:trHeight w:val="593"/>
        </w:trPr>
        <w:tc>
          <w:tcPr>
            <w:tcW w:w="3462" w:type="dxa"/>
            <w:hideMark/>
          </w:tcPr>
          <w:p w14:paraId="6F6AAB77" w14:textId="4231C8EB" w:rsidR="00681DB5" w:rsidRPr="00681DB5" w:rsidRDefault="00681DB5" w:rsidP="00C77F9B">
            <w:pPr>
              <w:spacing w:after="160" w:line="259" w:lineRule="auto"/>
            </w:pPr>
            <w:r w:rsidRPr="00681DB5">
              <w:rPr>
                <w:b/>
                <w:bCs/>
              </w:rPr>
              <w:t>Alda</w:t>
            </w:r>
            <w:r w:rsidRPr="00681DB5">
              <w:t xml:space="preserve"> </w:t>
            </w:r>
            <w:r w:rsidRPr="00681DB5">
              <w:rPr>
                <w:b/>
                <w:bCs/>
              </w:rPr>
              <w:t>Rego</w:t>
            </w:r>
            <w:r>
              <w:rPr>
                <w:b/>
                <w:bCs/>
              </w:rPr>
              <w:br/>
            </w:r>
            <w:r w:rsidRPr="00681DB5">
              <w:t>Assistant Secretary for Administration and Finance, EOHHS</w:t>
            </w:r>
          </w:p>
        </w:tc>
        <w:tc>
          <w:tcPr>
            <w:tcW w:w="2542" w:type="dxa"/>
            <w:hideMark/>
          </w:tcPr>
          <w:p w14:paraId="6A40F614" w14:textId="77777777" w:rsidR="00681DB5" w:rsidRPr="00681DB5" w:rsidRDefault="00681DB5" w:rsidP="00C77F9B">
            <w:pPr>
              <w:spacing w:after="160" w:line="259" w:lineRule="auto"/>
            </w:pPr>
            <w:r w:rsidRPr="00681DB5">
              <w:t>Overview of HST services</w:t>
            </w:r>
          </w:p>
        </w:tc>
        <w:tc>
          <w:tcPr>
            <w:tcW w:w="3356" w:type="dxa"/>
            <w:hideMark/>
          </w:tcPr>
          <w:p w14:paraId="592D5539" w14:textId="77777777" w:rsidR="00681DB5" w:rsidRPr="00681DB5" w:rsidRDefault="0034181D" w:rsidP="00C77F9B">
            <w:pPr>
              <w:spacing w:after="160" w:line="259" w:lineRule="auto"/>
              <w:rPr>
                <w:color w:val="2E74B5" w:themeColor="accent5" w:themeShade="BF"/>
              </w:rPr>
            </w:pPr>
            <w:hyperlink r:id="rId10" w:history="1">
              <w:r w:rsidR="00681DB5" w:rsidRPr="00681DB5">
                <w:rPr>
                  <w:rStyle w:val="Hyperlink"/>
                  <w:b/>
                  <w:bCs/>
                  <w:color w:val="2E74B5" w:themeColor="accent5" w:themeShade="BF"/>
                </w:rPr>
                <w:t>Task Force Presentation</w:t>
              </w:r>
            </w:hyperlink>
          </w:p>
        </w:tc>
      </w:tr>
      <w:tr w:rsidR="00681DB5" w:rsidRPr="00681DB5" w14:paraId="09A017FB" w14:textId="77777777" w:rsidTr="00681DB5">
        <w:trPr>
          <w:trHeight w:val="467"/>
        </w:trPr>
        <w:tc>
          <w:tcPr>
            <w:tcW w:w="3462" w:type="dxa"/>
            <w:hideMark/>
          </w:tcPr>
          <w:p w14:paraId="443358A4" w14:textId="6D48F712" w:rsidR="00681DB5" w:rsidRPr="00681DB5" w:rsidRDefault="00681DB5" w:rsidP="00C77F9B">
            <w:pPr>
              <w:spacing w:after="160" w:line="259" w:lineRule="auto"/>
            </w:pPr>
            <w:r w:rsidRPr="00681DB5">
              <w:rPr>
                <w:b/>
                <w:bCs/>
              </w:rPr>
              <w:t>Sharna Small Borsellino</w:t>
            </w:r>
            <w:r>
              <w:rPr>
                <w:b/>
                <w:bCs/>
              </w:rPr>
              <w:br/>
            </w:r>
            <w:r w:rsidRPr="00681DB5">
              <w:t>Director, HST office</w:t>
            </w:r>
          </w:p>
        </w:tc>
        <w:tc>
          <w:tcPr>
            <w:tcW w:w="2542" w:type="dxa"/>
            <w:hideMark/>
          </w:tcPr>
          <w:p w14:paraId="00DC5B15" w14:textId="77777777" w:rsidR="00681DB5" w:rsidRPr="00681DB5" w:rsidRDefault="00681DB5" w:rsidP="00C77F9B">
            <w:pPr>
              <w:spacing w:after="160" w:line="259" w:lineRule="auto"/>
            </w:pPr>
            <w:r w:rsidRPr="00681DB5">
              <w:t>Overview of procurement</w:t>
            </w:r>
            <w:r w:rsidRPr="00681DB5">
              <w:br/>
              <w:t>process</w:t>
            </w:r>
          </w:p>
        </w:tc>
        <w:tc>
          <w:tcPr>
            <w:tcW w:w="3356" w:type="dxa"/>
            <w:hideMark/>
          </w:tcPr>
          <w:p w14:paraId="209EDD64" w14:textId="77777777" w:rsidR="00681DB5" w:rsidRPr="00681DB5" w:rsidRDefault="0034181D" w:rsidP="00C77F9B">
            <w:pPr>
              <w:spacing w:after="160" w:line="259" w:lineRule="auto"/>
              <w:rPr>
                <w:color w:val="2E74B5" w:themeColor="accent5" w:themeShade="BF"/>
              </w:rPr>
            </w:pPr>
            <w:hyperlink r:id="rId11" w:history="1">
              <w:r w:rsidR="00681DB5" w:rsidRPr="00681DB5">
                <w:rPr>
                  <w:rStyle w:val="Hyperlink"/>
                  <w:b/>
                  <w:bCs/>
                  <w:color w:val="2E74B5" w:themeColor="accent5" w:themeShade="BF"/>
                </w:rPr>
                <w:t>Human Service Transportation Office Broker Procurement Presentation</w:t>
              </w:r>
            </w:hyperlink>
          </w:p>
        </w:tc>
      </w:tr>
    </w:tbl>
    <w:p w14:paraId="3C302136" w14:textId="05065F05" w:rsidR="00681DB5" w:rsidRDefault="00681DB5" w:rsidP="00F90978"/>
    <w:p w14:paraId="6077F431" w14:textId="428C1503" w:rsidR="00681DB5" w:rsidRDefault="00681DB5" w:rsidP="00F90978">
      <w:pPr>
        <w:rPr>
          <w:b/>
          <w:bCs/>
        </w:rPr>
      </w:pPr>
      <w:r>
        <w:rPr>
          <w:b/>
          <w:bCs/>
        </w:rPr>
        <w:t>April 28, 2022</w:t>
      </w:r>
    </w:p>
    <w:tbl>
      <w:tblPr>
        <w:tblStyle w:val="TableGrid"/>
        <w:tblW w:w="9360" w:type="dxa"/>
        <w:tblLook w:val="04A0" w:firstRow="1" w:lastRow="0" w:firstColumn="1" w:lastColumn="0" w:noHBand="0" w:noVBand="1"/>
      </w:tblPr>
      <w:tblGrid>
        <w:gridCol w:w="3462"/>
        <w:gridCol w:w="2542"/>
        <w:gridCol w:w="3356"/>
      </w:tblGrid>
      <w:tr w:rsidR="00681DB5" w:rsidRPr="00681DB5" w14:paraId="0D0BD69B" w14:textId="77777777" w:rsidTr="00C77F9B">
        <w:trPr>
          <w:trHeight w:val="70"/>
          <w:tblHeader/>
        </w:trPr>
        <w:tc>
          <w:tcPr>
            <w:tcW w:w="3462" w:type="dxa"/>
          </w:tcPr>
          <w:p w14:paraId="403D6473" w14:textId="77777777" w:rsidR="00681DB5" w:rsidRPr="00681DB5" w:rsidRDefault="00681DB5" w:rsidP="00C77F9B">
            <w:pPr>
              <w:rPr>
                <w:rFonts w:cstheme="minorHAnsi"/>
                <w:b/>
                <w:bCs/>
              </w:rPr>
            </w:pPr>
            <w:r w:rsidRPr="00681DB5">
              <w:rPr>
                <w:rFonts w:cstheme="minorHAnsi"/>
                <w:b/>
                <w:bCs/>
              </w:rPr>
              <w:t>Presenters</w:t>
            </w:r>
          </w:p>
        </w:tc>
        <w:tc>
          <w:tcPr>
            <w:tcW w:w="2542" w:type="dxa"/>
          </w:tcPr>
          <w:p w14:paraId="0E436EA4" w14:textId="77777777" w:rsidR="00681DB5" w:rsidRPr="00681DB5" w:rsidRDefault="00681DB5" w:rsidP="00C77F9B">
            <w:pPr>
              <w:rPr>
                <w:rFonts w:cstheme="minorHAnsi"/>
              </w:rPr>
            </w:pPr>
            <w:r w:rsidRPr="00681DB5">
              <w:rPr>
                <w:rFonts w:cstheme="minorHAnsi"/>
                <w:b/>
                <w:bCs/>
              </w:rPr>
              <w:t>Topics Discussed</w:t>
            </w:r>
          </w:p>
        </w:tc>
        <w:tc>
          <w:tcPr>
            <w:tcW w:w="3356" w:type="dxa"/>
          </w:tcPr>
          <w:p w14:paraId="4BF83B68" w14:textId="77777777" w:rsidR="00681DB5" w:rsidRPr="00681DB5" w:rsidRDefault="00681DB5" w:rsidP="00C77F9B">
            <w:pPr>
              <w:rPr>
                <w:rFonts w:cstheme="minorHAnsi"/>
                <w:b/>
                <w:bCs/>
                <w:u w:val="single"/>
              </w:rPr>
            </w:pPr>
            <w:r w:rsidRPr="00681DB5">
              <w:rPr>
                <w:rFonts w:cstheme="minorHAnsi"/>
                <w:b/>
                <w:bCs/>
              </w:rPr>
              <w:t>Resources and Supporting Documents</w:t>
            </w:r>
          </w:p>
        </w:tc>
      </w:tr>
      <w:tr w:rsidR="00681DB5" w:rsidRPr="00681DB5" w14:paraId="152CBB2A" w14:textId="77777777" w:rsidTr="00C77F9B">
        <w:trPr>
          <w:trHeight w:val="593"/>
        </w:trPr>
        <w:tc>
          <w:tcPr>
            <w:tcW w:w="3462" w:type="dxa"/>
            <w:vAlign w:val="center"/>
            <w:hideMark/>
          </w:tcPr>
          <w:p w14:paraId="18D0134D" w14:textId="77777777" w:rsidR="00681DB5" w:rsidRPr="00681DB5" w:rsidRDefault="00681DB5" w:rsidP="00681DB5">
            <w:pPr>
              <w:pStyle w:val="NormalWeb"/>
              <w:spacing w:before="0" w:beforeAutospacing="0" w:after="0" w:afterAutospacing="0" w:line="276" w:lineRule="auto"/>
              <w:rPr>
                <w:rFonts w:asciiTheme="minorHAnsi" w:hAnsiTheme="minorHAnsi" w:cstheme="minorHAnsi"/>
                <w:sz w:val="22"/>
                <w:szCs w:val="22"/>
              </w:rPr>
            </w:pPr>
            <w:r w:rsidRPr="00681DB5">
              <w:rPr>
                <w:rFonts w:asciiTheme="minorHAnsi" w:eastAsiaTheme="minorEastAsia" w:hAnsiTheme="minorHAnsi" w:cstheme="minorHAnsi"/>
                <w:b/>
                <w:bCs/>
                <w:color w:val="000000"/>
                <w:kern w:val="24"/>
                <w:sz w:val="22"/>
                <w:szCs w:val="22"/>
              </w:rPr>
              <w:t xml:space="preserve">Elizabeth Denniston </w:t>
            </w:r>
            <w:r w:rsidRPr="00681DB5">
              <w:rPr>
                <w:rFonts w:asciiTheme="minorHAnsi" w:eastAsiaTheme="minorEastAsia" w:hAnsiTheme="minorHAnsi" w:cstheme="minorHAnsi"/>
                <w:i/>
                <w:iCs/>
                <w:color w:val="000000"/>
                <w:kern w:val="24"/>
                <w:sz w:val="22"/>
                <w:szCs w:val="22"/>
              </w:rPr>
              <w:t>(chair)</w:t>
            </w:r>
          </w:p>
          <w:p w14:paraId="73B47869" w14:textId="018135B0" w:rsidR="00681DB5" w:rsidRPr="00681DB5" w:rsidRDefault="00681DB5" w:rsidP="00681DB5">
            <w:pPr>
              <w:spacing w:after="160" w:line="259" w:lineRule="auto"/>
              <w:rPr>
                <w:rFonts w:cstheme="minorHAnsi"/>
              </w:rPr>
            </w:pPr>
            <w:r w:rsidRPr="00681DB5">
              <w:rPr>
                <w:rFonts w:eastAsiaTheme="minorEastAsia" w:cstheme="minorHAnsi"/>
                <w:color w:val="000000"/>
                <w:kern w:val="24"/>
              </w:rPr>
              <w:t>Undersecretary of Human Services, EOHHS</w:t>
            </w:r>
          </w:p>
        </w:tc>
        <w:tc>
          <w:tcPr>
            <w:tcW w:w="2542" w:type="dxa"/>
            <w:vAlign w:val="center"/>
            <w:hideMark/>
          </w:tcPr>
          <w:p w14:paraId="6D7C4702" w14:textId="60333505" w:rsidR="00681DB5" w:rsidRPr="00681DB5" w:rsidRDefault="00681DB5" w:rsidP="00681DB5">
            <w:pPr>
              <w:spacing w:after="160" w:line="259" w:lineRule="auto"/>
              <w:rPr>
                <w:rFonts w:cstheme="minorHAnsi"/>
              </w:rPr>
            </w:pPr>
            <w:r w:rsidRPr="00681DB5">
              <w:rPr>
                <w:rFonts w:eastAsiaTheme="minorEastAsia" w:cstheme="minorHAnsi"/>
                <w:color w:val="000000" w:themeColor="text1"/>
                <w:kern w:val="24"/>
              </w:rPr>
              <w:t>Discussion of the Task Force’s charges</w:t>
            </w:r>
          </w:p>
        </w:tc>
        <w:tc>
          <w:tcPr>
            <w:tcW w:w="3356" w:type="dxa"/>
            <w:vAlign w:val="center"/>
            <w:hideMark/>
          </w:tcPr>
          <w:p w14:paraId="53BD0319" w14:textId="5686A0AA" w:rsidR="00681DB5" w:rsidRPr="00681DB5" w:rsidRDefault="0034181D" w:rsidP="00681DB5">
            <w:pPr>
              <w:spacing w:after="160" w:line="259" w:lineRule="auto"/>
              <w:rPr>
                <w:rFonts w:cstheme="minorHAnsi"/>
                <w:color w:val="2E74B5" w:themeColor="accent5" w:themeShade="BF"/>
              </w:rPr>
            </w:pPr>
            <w:hyperlink r:id="rId12" w:history="1">
              <w:r w:rsidR="00681DB5" w:rsidRPr="005508C2">
                <w:rPr>
                  <w:rStyle w:val="Hyperlink"/>
                  <w:rFonts w:cstheme="minorHAnsi"/>
                  <w:b/>
                  <w:bCs/>
                  <w:color w:val="2E74B5" w:themeColor="accent5" w:themeShade="BF"/>
                  <w:kern w:val="24"/>
                </w:rPr>
                <w:t>Task Force Presentation</w:t>
              </w:r>
            </w:hyperlink>
          </w:p>
        </w:tc>
      </w:tr>
      <w:tr w:rsidR="00681DB5" w:rsidRPr="00681DB5" w14:paraId="2188A038" w14:textId="77777777" w:rsidTr="00C77F9B">
        <w:trPr>
          <w:trHeight w:val="467"/>
        </w:trPr>
        <w:tc>
          <w:tcPr>
            <w:tcW w:w="3462" w:type="dxa"/>
            <w:vAlign w:val="center"/>
            <w:hideMark/>
          </w:tcPr>
          <w:p w14:paraId="600C9A06" w14:textId="77777777" w:rsidR="00681DB5" w:rsidRPr="00681DB5" w:rsidRDefault="00681DB5" w:rsidP="00681DB5">
            <w:pPr>
              <w:pStyle w:val="NormalWeb"/>
              <w:spacing w:before="0" w:beforeAutospacing="0" w:after="0" w:afterAutospacing="0" w:line="276" w:lineRule="auto"/>
              <w:rPr>
                <w:rFonts w:asciiTheme="minorHAnsi" w:hAnsiTheme="minorHAnsi" w:cstheme="minorHAnsi"/>
                <w:sz w:val="22"/>
                <w:szCs w:val="22"/>
              </w:rPr>
            </w:pPr>
            <w:r w:rsidRPr="00681DB5">
              <w:rPr>
                <w:rFonts w:asciiTheme="minorHAnsi" w:eastAsiaTheme="minorEastAsia" w:hAnsiTheme="minorHAnsi" w:cstheme="minorHAnsi"/>
                <w:b/>
                <w:bCs/>
                <w:color w:val="000000"/>
                <w:kern w:val="24"/>
                <w:sz w:val="22"/>
                <w:szCs w:val="22"/>
              </w:rPr>
              <w:t>Elizabeth Sandblom</w:t>
            </w:r>
          </w:p>
          <w:p w14:paraId="5E7DBB9C" w14:textId="77777777" w:rsidR="00681DB5" w:rsidRPr="00681DB5" w:rsidRDefault="00681DB5" w:rsidP="00681DB5">
            <w:pPr>
              <w:pStyle w:val="NormalWeb"/>
              <w:spacing w:before="0" w:beforeAutospacing="0" w:after="0" w:afterAutospacing="0" w:line="276" w:lineRule="auto"/>
              <w:rPr>
                <w:rFonts w:asciiTheme="minorHAnsi" w:hAnsiTheme="minorHAnsi" w:cstheme="minorHAnsi"/>
                <w:sz w:val="22"/>
                <w:szCs w:val="22"/>
              </w:rPr>
            </w:pPr>
            <w:r w:rsidRPr="00681DB5">
              <w:rPr>
                <w:rFonts w:asciiTheme="minorHAnsi" w:eastAsiaTheme="minorEastAsia" w:hAnsiTheme="minorHAnsi" w:cstheme="minorHAnsi"/>
                <w:color w:val="000000"/>
                <w:kern w:val="24"/>
                <w:sz w:val="22"/>
                <w:szCs w:val="22"/>
              </w:rPr>
              <w:t>Deputy Assistant Commissioner for Operations</w:t>
            </w:r>
          </w:p>
          <w:p w14:paraId="6E21F4C5" w14:textId="18932AF0" w:rsidR="00681DB5" w:rsidRPr="00681DB5" w:rsidRDefault="00681DB5" w:rsidP="00681DB5">
            <w:pPr>
              <w:spacing w:after="160" w:line="259" w:lineRule="auto"/>
              <w:rPr>
                <w:rFonts w:cstheme="minorHAnsi"/>
              </w:rPr>
            </w:pPr>
            <w:r w:rsidRPr="00681DB5">
              <w:rPr>
                <w:rFonts w:eastAsiaTheme="minorEastAsia" w:cstheme="minorHAnsi"/>
                <w:color w:val="000000"/>
                <w:kern w:val="24"/>
              </w:rPr>
              <w:t>Department of Developmental Services (DDS)</w:t>
            </w:r>
          </w:p>
        </w:tc>
        <w:tc>
          <w:tcPr>
            <w:tcW w:w="2542" w:type="dxa"/>
            <w:vAlign w:val="center"/>
            <w:hideMark/>
          </w:tcPr>
          <w:p w14:paraId="27B809B4" w14:textId="7DFCB7A6" w:rsidR="00681DB5" w:rsidRPr="00681DB5" w:rsidRDefault="00681DB5" w:rsidP="00681DB5">
            <w:pPr>
              <w:spacing w:after="160" w:line="259" w:lineRule="auto"/>
              <w:rPr>
                <w:rFonts w:cstheme="minorHAnsi"/>
              </w:rPr>
            </w:pPr>
            <w:r w:rsidRPr="00681DB5">
              <w:rPr>
                <w:rFonts w:eastAsiaTheme="minorEastAsia" w:cstheme="minorHAnsi"/>
                <w:color w:val="000000" w:themeColor="text1"/>
                <w:kern w:val="24"/>
              </w:rPr>
              <w:t>Overview of transportation benefits for eligibility DDS consumers</w:t>
            </w:r>
          </w:p>
        </w:tc>
        <w:tc>
          <w:tcPr>
            <w:tcW w:w="3356" w:type="dxa"/>
            <w:vAlign w:val="center"/>
            <w:hideMark/>
          </w:tcPr>
          <w:p w14:paraId="5A58F3AA" w14:textId="1DFCE3BC" w:rsidR="00681DB5" w:rsidRPr="00681DB5" w:rsidRDefault="0034181D" w:rsidP="00681DB5">
            <w:pPr>
              <w:spacing w:after="160" w:line="259" w:lineRule="auto"/>
              <w:rPr>
                <w:rFonts w:cstheme="minorHAnsi"/>
                <w:color w:val="2E74B5" w:themeColor="accent5" w:themeShade="BF"/>
              </w:rPr>
            </w:pPr>
            <w:hyperlink r:id="rId13" w:history="1">
              <w:r w:rsidR="00681DB5" w:rsidRPr="005508C2">
                <w:rPr>
                  <w:rStyle w:val="Hyperlink"/>
                  <w:rFonts w:cstheme="minorHAnsi"/>
                  <w:b/>
                  <w:bCs/>
                  <w:color w:val="2E74B5" w:themeColor="accent5" w:themeShade="BF"/>
                  <w:kern w:val="24"/>
                </w:rPr>
                <w:t>Department of Developmental Services Presentation</w:t>
              </w:r>
            </w:hyperlink>
          </w:p>
        </w:tc>
      </w:tr>
      <w:tr w:rsidR="00681DB5" w:rsidRPr="00681DB5" w14:paraId="5084CE47" w14:textId="77777777" w:rsidTr="00C77F9B">
        <w:trPr>
          <w:trHeight w:val="467"/>
        </w:trPr>
        <w:tc>
          <w:tcPr>
            <w:tcW w:w="3462" w:type="dxa"/>
            <w:vAlign w:val="center"/>
          </w:tcPr>
          <w:p w14:paraId="4FF1E33B" w14:textId="736A207F" w:rsidR="00681DB5" w:rsidRPr="00681DB5" w:rsidRDefault="00681DB5" w:rsidP="00681DB5">
            <w:pPr>
              <w:pStyle w:val="NormalWeb"/>
              <w:rPr>
                <w:rFonts w:asciiTheme="minorHAnsi" w:eastAsiaTheme="minorEastAsia" w:hAnsiTheme="minorHAnsi" w:cstheme="minorHAnsi"/>
                <w:b/>
                <w:bCs/>
                <w:color w:val="000000"/>
                <w:kern w:val="24"/>
                <w:sz w:val="22"/>
                <w:szCs w:val="22"/>
              </w:rPr>
            </w:pPr>
            <w:r w:rsidRPr="00681DB5">
              <w:rPr>
                <w:rFonts w:asciiTheme="minorHAnsi" w:eastAsiaTheme="minorEastAsia" w:hAnsiTheme="minorHAnsi" w:cstheme="minorHAnsi"/>
                <w:b/>
                <w:bCs/>
                <w:color w:val="000000"/>
                <w:kern w:val="24"/>
                <w:sz w:val="22"/>
                <w:szCs w:val="22"/>
              </w:rPr>
              <w:t>Rosana Senise</w:t>
            </w:r>
            <w:r>
              <w:rPr>
                <w:rFonts w:asciiTheme="minorHAnsi" w:eastAsiaTheme="minorEastAsia" w:hAnsiTheme="minorHAnsi" w:cstheme="minorHAnsi"/>
                <w:b/>
                <w:bCs/>
                <w:color w:val="000000"/>
                <w:kern w:val="24"/>
                <w:sz w:val="22"/>
                <w:szCs w:val="22"/>
              </w:rPr>
              <w:br/>
            </w:r>
            <w:r w:rsidRPr="00681DB5">
              <w:rPr>
                <w:rFonts w:asciiTheme="minorHAnsi" w:eastAsiaTheme="minorEastAsia" w:hAnsiTheme="minorHAnsi" w:cstheme="minorHAnsi"/>
                <w:color w:val="000000"/>
                <w:kern w:val="24"/>
                <w:sz w:val="22"/>
                <w:szCs w:val="22"/>
              </w:rPr>
              <w:t>Director of the Quincy Enrollment Center</w:t>
            </w:r>
            <w:r>
              <w:rPr>
                <w:rFonts w:asciiTheme="minorHAnsi" w:eastAsiaTheme="minorEastAsia" w:hAnsiTheme="minorHAnsi" w:cstheme="minorHAnsi"/>
                <w:color w:val="000000"/>
                <w:kern w:val="24"/>
                <w:sz w:val="22"/>
                <w:szCs w:val="22"/>
              </w:rPr>
              <w:br/>
            </w:r>
            <w:r w:rsidRPr="00681DB5">
              <w:rPr>
                <w:rFonts w:asciiTheme="minorHAnsi" w:eastAsiaTheme="minorEastAsia" w:hAnsiTheme="minorHAnsi" w:cstheme="minorHAnsi"/>
                <w:color w:val="000000"/>
                <w:kern w:val="24"/>
                <w:sz w:val="22"/>
                <w:szCs w:val="22"/>
              </w:rPr>
              <w:t>MassHealth</w:t>
            </w:r>
          </w:p>
          <w:p w14:paraId="21C4A942" w14:textId="469ADAB2" w:rsidR="00681DB5" w:rsidRPr="00681DB5" w:rsidRDefault="00681DB5" w:rsidP="00681DB5">
            <w:pPr>
              <w:pStyle w:val="NormalWeb"/>
              <w:rPr>
                <w:rFonts w:asciiTheme="minorHAnsi" w:eastAsiaTheme="minorEastAsia" w:hAnsiTheme="minorHAnsi" w:cstheme="minorHAnsi"/>
                <w:b/>
                <w:bCs/>
                <w:color w:val="000000"/>
                <w:kern w:val="24"/>
                <w:sz w:val="22"/>
                <w:szCs w:val="22"/>
              </w:rPr>
            </w:pPr>
            <w:r w:rsidRPr="00681DB5">
              <w:rPr>
                <w:rFonts w:asciiTheme="minorHAnsi" w:eastAsiaTheme="minorEastAsia" w:hAnsiTheme="minorHAnsi" w:cstheme="minorHAnsi"/>
                <w:b/>
                <w:bCs/>
                <w:color w:val="000000"/>
                <w:kern w:val="24"/>
                <w:sz w:val="22"/>
                <w:szCs w:val="22"/>
              </w:rPr>
              <w:t>Keith West</w:t>
            </w:r>
            <w:r>
              <w:rPr>
                <w:rFonts w:asciiTheme="minorHAnsi" w:eastAsiaTheme="minorEastAsia" w:hAnsiTheme="minorHAnsi" w:cstheme="minorHAnsi"/>
                <w:b/>
                <w:bCs/>
                <w:color w:val="000000"/>
                <w:kern w:val="24"/>
                <w:sz w:val="22"/>
                <w:szCs w:val="22"/>
              </w:rPr>
              <w:br/>
            </w:r>
            <w:r w:rsidRPr="00681DB5">
              <w:rPr>
                <w:rFonts w:asciiTheme="minorHAnsi" w:eastAsiaTheme="minorEastAsia" w:hAnsiTheme="minorHAnsi" w:cstheme="minorHAnsi"/>
                <w:color w:val="000000"/>
                <w:kern w:val="24"/>
                <w:sz w:val="22"/>
                <w:szCs w:val="22"/>
              </w:rPr>
              <w:t>Director of Provider Experience</w:t>
            </w:r>
            <w:r>
              <w:rPr>
                <w:rFonts w:asciiTheme="minorHAnsi" w:eastAsiaTheme="minorEastAsia" w:hAnsiTheme="minorHAnsi" w:cstheme="minorHAnsi"/>
                <w:color w:val="000000"/>
                <w:kern w:val="24"/>
                <w:sz w:val="22"/>
                <w:szCs w:val="22"/>
              </w:rPr>
              <w:br/>
            </w:r>
            <w:r w:rsidRPr="00681DB5">
              <w:rPr>
                <w:rFonts w:asciiTheme="minorHAnsi" w:eastAsiaTheme="minorEastAsia" w:hAnsiTheme="minorHAnsi" w:cstheme="minorHAnsi"/>
                <w:color w:val="000000"/>
                <w:kern w:val="24"/>
                <w:sz w:val="22"/>
                <w:szCs w:val="22"/>
              </w:rPr>
              <w:t>Maximus</w:t>
            </w:r>
          </w:p>
        </w:tc>
        <w:tc>
          <w:tcPr>
            <w:tcW w:w="2542" w:type="dxa"/>
            <w:vAlign w:val="center"/>
          </w:tcPr>
          <w:p w14:paraId="2ED6BF30" w14:textId="77777777" w:rsidR="00681DB5" w:rsidRPr="00681DB5" w:rsidRDefault="00681DB5" w:rsidP="00681DB5">
            <w:pPr>
              <w:rPr>
                <w:rFonts w:eastAsiaTheme="minorEastAsia" w:cstheme="minorHAnsi"/>
                <w:color w:val="000000" w:themeColor="text1"/>
                <w:kern w:val="24"/>
              </w:rPr>
            </w:pPr>
            <w:r w:rsidRPr="00681DB5">
              <w:rPr>
                <w:rFonts w:eastAsiaTheme="minorEastAsia" w:cstheme="minorHAnsi"/>
                <w:color w:val="000000" w:themeColor="text1"/>
                <w:kern w:val="24"/>
              </w:rPr>
              <w:t>Overview of eligibility requirements for MassHealth and PT-1 transportation</w:t>
            </w:r>
          </w:p>
          <w:p w14:paraId="109E1389" w14:textId="77777777" w:rsidR="00681DB5" w:rsidRPr="00681DB5" w:rsidRDefault="00681DB5" w:rsidP="00681DB5">
            <w:pPr>
              <w:rPr>
                <w:rFonts w:eastAsiaTheme="minorEastAsia" w:cstheme="minorHAnsi"/>
                <w:color w:val="000000" w:themeColor="text1"/>
                <w:kern w:val="24"/>
              </w:rPr>
            </w:pPr>
          </w:p>
        </w:tc>
        <w:tc>
          <w:tcPr>
            <w:tcW w:w="3356" w:type="dxa"/>
            <w:vAlign w:val="center"/>
          </w:tcPr>
          <w:p w14:paraId="7F74E5BE" w14:textId="77777777" w:rsidR="00681DB5" w:rsidRPr="00681DB5" w:rsidRDefault="0034181D" w:rsidP="00681DB5">
            <w:pPr>
              <w:rPr>
                <w:rFonts w:cstheme="minorHAnsi"/>
                <w:b/>
                <w:bCs/>
                <w:color w:val="2E74B5" w:themeColor="accent5" w:themeShade="BF"/>
                <w:kern w:val="24"/>
              </w:rPr>
            </w:pPr>
            <w:hyperlink r:id="rId14" w:history="1">
              <w:r w:rsidR="00681DB5" w:rsidRPr="00681DB5">
                <w:rPr>
                  <w:rStyle w:val="Hyperlink"/>
                  <w:rFonts w:cstheme="minorHAnsi"/>
                  <w:b/>
                  <w:bCs/>
                  <w:color w:val="2E74B5" w:themeColor="accent5" w:themeShade="BF"/>
                  <w:kern w:val="24"/>
                </w:rPr>
                <w:t>MassHealth Eligibility Transportation Overview</w:t>
              </w:r>
            </w:hyperlink>
          </w:p>
          <w:p w14:paraId="1B6017FC" w14:textId="77777777" w:rsidR="00681DB5" w:rsidRPr="005508C2" w:rsidRDefault="00681DB5" w:rsidP="00681DB5">
            <w:pPr>
              <w:rPr>
                <w:rFonts w:cstheme="minorHAnsi"/>
                <w:b/>
                <w:bCs/>
                <w:color w:val="2E74B5" w:themeColor="accent5" w:themeShade="BF"/>
                <w:kern w:val="24"/>
              </w:rPr>
            </w:pPr>
          </w:p>
        </w:tc>
      </w:tr>
    </w:tbl>
    <w:p w14:paraId="130EF799" w14:textId="6FB77566" w:rsidR="00681DB5" w:rsidRDefault="00681DB5" w:rsidP="00F90978"/>
    <w:p w14:paraId="6C1FAE62" w14:textId="56104D47" w:rsidR="00681DB5" w:rsidRDefault="00681DB5" w:rsidP="00F90978">
      <w:pPr>
        <w:rPr>
          <w:b/>
          <w:bCs/>
        </w:rPr>
      </w:pPr>
      <w:r>
        <w:rPr>
          <w:b/>
          <w:bCs/>
        </w:rPr>
        <w:t>June 28, 2022</w:t>
      </w:r>
    </w:p>
    <w:tbl>
      <w:tblPr>
        <w:tblStyle w:val="TableGrid"/>
        <w:tblW w:w="9360" w:type="dxa"/>
        <w:tblLook w:val="04A0" w:firstRow="1" w:lastRow="0" w:firstColumn="1" w:lastColumn="0" w:noHBand="0" w:noVBand="1"/>
      </w:tblPr>
      <w:tblGrid>
        <w:gridCol w:w="3462"/>
        <w:gridCol w:w="2542"/>
        <w:gridCol w:w="3356"/>
      </w:tblGrid>
      <w:tr w:rsidR="00935E83" w:rsidRPr="00681DB5" w14:paraId="2A335E97" w14:textId="77777777" w:rsidTr="00C77F9B">
        <w:trPr>
          <w:trHeight w:val="70"/>
          <w:tblHeader/>
        </w:trPr>
        <w:tc>
          <w:tcPr>
            <w:tcW w:w="3462" w:type="dxa"/>
          </w:tcPr>
          <w:p w14:paraId="51227173" w14:textId="77777777" w:rsidR="00935E83" w:rsidRPr="00681DB5" w:rsidRDefault="00935E83" w:rsidP="00C77F9B">
            <w:pPr>
              <w:rPr>
                <w:rFonts w:cstheme="minorHAnsi"/>
                <w:b/>
                <w:bCs/>
              </w:rPr>
            </w:pPr>
            <w:r w:rsidRPr="00681DB5">
              <w:rPr>
                <w:rFonts w:cstheme="minorHAnsi"/>
                <w:b/>
                <w:bCs/>
              </w:rPr>
              <w:t>Presenters</w:t>
            </w:r>
          </w:p>
        </w:tc>
        <w:tc>
          <w:tcPr>
            <w:tcW w:w="2542" w:type="dxa"/>
          </w:tcPr>
          <w:p w14:paraId="316726F7" w14:textId="77777777" w:rsidR="00935E83" w:rsidRPr="00681DB5" w:rsidRDefault="00935E83" w:rsidP="00C77F9B">
            <w:pPr>
              <w:rPr>
                <w:rFonts w:cstheme="minorHAnsi"/>
              </w:rPr>
            </w:pPr>
            <w:r w:rsidRPr="00681DB5">
              <w:rPr>
                <w:rFonts w:cstheme="minorHAnsi"/>
                <w:b/>
                <w:bCs/>
              </w:rPr>
              <w:t>Topics Discussed</w:t>
            </w:r>
          </w:p>
        </w:tc>
        <w:tc>
          <w:tcPr>
            <w:tcW w:w="3356" w:type="dxa"/>
          </w:tcPr>
          <w:p w14:paraId="5D4E9191" w14:textId="77777777" w:rsidR="00935E83" w:rsidRPr="00681DB5" w:rsidRDefault="00935E83" w:rsidP="00C77F9B">
            <w:pPr>
              <w:rPr>
                <w:rFonts w:cstheme="minorHAnsi"/>
                <w:b/>
                <w:bCs/>
                <w:u w:val="single"/>
              </w:rPr>
            </w:pPr>
            <w:r w:rsidRPr="00681DB5">
              <w:rPr>
                <w:rFonts w:cstheme="minorHAnsi"/>
                <w:b/>
                <w:bCs/>
              </w:rPr>
              <w:t>Resources and Supporting Documents</w:t>
            </w:r>
          </w:p>
        </w:tc>
      </w:tr>
      <w:tr w:rsidR="00935E83" w:rsidRPr="00681DB5" w14:paraId="59A1F3E8" w14:textId="77777777" w:rsidTr="00C77F9B">
        <w:trPr>
          <w:trHeight w:val="593"/>
        </w:trPr>
        <w:tc>
          <w:tcPr>
            <w:tcW w:w="3462" w:type="dxa"/>
            <w:vAlign w:val="center"/>
            <w:hideMark/>
          </w:tcPr>
          <w:p w14:paraId="0FC08473" w14:textId="77777777" w:rsidR="00935E83" w:rsidRPr="00681DB5" w:rsidRDefault="00935E83" w:rsidP="00C77F9B">
            <w:pPr>
              <w:pStyle w:val="NormalWeb"/>
              <w:spacing w:before="0" w:beforeAutospacing="0" w:after="0" w:afterAutospacing="0" w:line="276" w:lineRule="auto"/>
              <w:rPr>
                <w:rFonts w:asciiTheme="minorHAnsi" w:hAnsiTheme="minorHAnsi" w:cstheme="minorHAnsi"/>
                <w:sz w:val="22"/>
                <w:szCs w:val="22"/>
              </w:rPr>
            </w:pPr>
            <w:r w:rsidRPr="00681DB5">
              <w:rPr>
                <w:rFonts w:asciiTheme="minorHAnsi" w:eastAsiaTheme="minorEastAsia" w:hAnsiTheme="minorHAnsi" w:cstheme="minorHAnsi"/>
                <w:b/>
                <w:bCs/>
                <w:color w:val="000000"/>
                <w:kern w:val="24"/>
                <w:sz w:val="22"/>
                <w:szCs w:val="22"/>
              </w:rPr>
              <w:t xml:space="preserve">Elizabeth Denniston </w:t>
            </w:r>
            <w:r w:rsidRPr="00681DB5">
              <w:rPr>
                <w:rFonts w:asciiTheme="minorHAnsi" w:eastAsiaTheme="minorEastAsia" w:hAnsiTheme="minorHAnsi" w:cstheme="minorHAnsi"/>
                <w:i/>
                <w:iCs/>
                <w:color w:val="000000"/>
                <w:kern w:val="24"/>
                <w:sz w:val="22"/>
                <w:szCs w:val="22"/>
              </w:rPr>
              <w:t>(chair)</w:t>
            </w:r>
          </w:p>
          <w:p w14:paraId="67A5EF17" w14:textId="77777777" w:rsidR="00935E83" w:rsidRPr="00681DB5" w:rsidRDefault="00935E83" w:rsidP="00C77F9B">
            <w:pPr>
              <w:spacing w:after="160" w:line="259" w:lineRule="auto"/>
              <w:rPr>
                <w:rFonts w:cstheme="minorHAnsi"/>
              </w:rPr>
            </w:pPr>
            <w:r w:rsidRPr="00681DB5">
              <w:rPr>
                <w:rFonts w:eastAsiaTheme="minorEastAsia" w:cstheme="minorHAnsi"/>
                <w:color w:val="000000"/>
                <w:kern w:val="24"/>
              </w:rPr>
              <w:t>Undersecretary of Human Services, EOHHS</w:t>
            </w:r>
          </w:p>
        </w:tc>
        <w:tc>
          <w:tcPr>
            <w:tcW w:w="2542" w:type="dxa"/>
            <w:vAlign w:val="center"/>
            <w:hideMark/>
          </w:tcPr>
          <w:p w14:paraId="63D231DA" w14:textId="09B577BE" w:rsidR="00935E83" w:rsidRPr="00681DB5" w:rsidRDefault="00935E83" w:rsidP="00C77F9B">
            <w:pPr>
              <w:spacing w:after="160" w:line="259" w:lineRule="auto"/>
              <w:rPr>
                <w:rFonts w:eastAsiaTheme="minorEastAsia" w:cstheme="minorHAnsi"/>
                <w:color w:val="000000" w:themeColor="text1"/>
                <w:kern w:val="24"/>
              </w:rPr>
            </w:pPr>
            <w:r w:rsidRPr="00935E83">
              <w:rPr>
                <w:rFonts w:eastAsiaTheme="minorEastAsia" w:cstheme="minorHAnsi"/>
                <w:color w:val="000000" w:themeColor="text1"/>
                <w:kern w:val="24"/>
              </w:rPr>
              <w:t>Summary of listening sessions and discussion of the Task Force’s draft recommendations</w:t>
            </w:r>
          </w:p>
        </w:tc>
        <w:tc>
          <w:tcPr>
            <w:tcW w:w="3356" w:type="dxa"/>
            <w:vAlign w:val="center"/>
            <w:hideMark/>
          </w:tcPr>
          <w:p w14:paraId="11CF52A3" w14:textId="0DE3BF66" w:rsidR="00935E83" w:rsidRPr="00681DB5" w:rsidRDefault="0034181D" w:rsidP="00C77F9B">
            <w:pPr>
              <w:spacing w:after="160" w:line="259" w:lineRule="auto"/>
              <w:rPr>
                <w:rFonts w:cstheme="minorHAnsi"/>
                <w:b/>
                <w:bCs/>
                <w:kern w:val="24"/>
                <w:u w:val="single"/>
              </w:rPr>
            </w:pPr>
            <w:hyperlink r:id="rId15" w:history="1">
              <w:r w:rsidR="00935E83" w:rsidRPr="00935E83">
                <w:rPr>
                  <w:rStyle w:val="Hyperlink"/>
                  <w:rFonts w:cstheme="minorHAnsi"/>
                  <w:b/>
                  <w:bCs/>
                  <w:color w:val="2E74B5" w:themeColor="accent5" w:themeShade="BF"/>
                  <w:kern w:val="24"/>
                </w:rPr>
                <w:t>Task Force Presentation</w:t>
              </w:r>
            </w:hyperlink>
          </w:p>
        </w:tc>
      </w:tr>
    </w:tbl>
    <w:p w14:paraId="4A717E93" w14:textId="77777777" w:rsidR="00935E83" w:rsidRDefault="00935E83" w:rsidP="00F90978">
      <w:pPr>
        <w:rPr>
          <w:b/>
          <w:bCs/>
        </w:rPr>
      </w:pPr>
    </w:p>
    <w:p w14:paraId="147EA10E" w14:textId="75326ED0" w:rsidR="00681DB5" w:rsidRDefault="00681DB5" w:rsidP="00F90978">
      <w:pPr>
        <w:rPr>
          <w:b/>
          <w:bCs/>
        </w:rPr>
      </w:pPr>
      <w:r>
        <w:rPr>
          <w:b/>
          <w:bCs/>
        </w:rPr>
        <w:t>September 22, 2022</w:t>
      </w:r>
    </w:p>
    <w:tbl>
      <w:tblPr>
        <w:tblStyle w:val="TableGrid"/>
        <w:tblW w:w="9360" w:type="dxa"/>
        <w:tblLook w:val="04A0" w:firstRow="1" w:lastRow="0" w:firstColumn="1" w:lastColumn="0" w:noHBand="0" w:noVBand="1"/>
      </w:tblPr>
      <w:tblGrid>
        <w:gridCol w:w="3462"/>
        <w:gridCol w:w="2542"/>
        <w:gridCol w:w="3356"/>
      </w:tblGrid>
      <w:tr w:rsidR="00935E83" w:rsidRPr="00681DB5" w14:paraId="15EC77D6" w14:textId="77777777" w:rsidTr="00C77F9B">
        <w:trPr>
          <w:trHeight w:val="70"/>
          <w:tblHeader/>
        </w:trPr>
        <w:tc>
          <w:tcPr>
            <w:tcW w:w="3462" w:type="dxa"/>
          </w:tcPr>
          <w:p w14:paraId="59FF0992" w14:textId="77777777" w:rsidR="00935E83" w:rsidRPr="00681DB5" w:rsidRDefault="00935E83" w:rsidP="00C77F9B">
            <w:pPr>
              <w:rPr>
                <w:rFonts w:cstheme="minorHAnsi"/>
                <w:b/>
                <w:bCs/>
              </w:rPr>
            </w:pPr>
            <w:r w:rsidRPr="00681DB5">
              <w:rPr>
                <w:rFonts w:cstheme="minorHAnsi"/>
                <w:b/>
                <w:bCs/>
              </w:rPr>
              <w:lastRenderedPageBreak/>
              <w:t>Presenters</w:t>
            </w:r>
          </w:p>
        </w:tc>
        <w:tc>
          <w:tcPr>
            <w:tcW w:w="2542" w:type="dxa"/>
          </w:tcPr>
          <w:p w14:paraId="281F1F33" w14:textId="77777777" w:rsidR="00935E83" w:rsidRPr="00681DB5" w:rsidRDefault="00935E83" w:rsidP="00C77F9B">
            <w:pPr>
              <w:rPr>
                <w:rFonts w:cstheme="minorHAnsi"/>
              </w:rPr>
            </w:pPr>
            <w:r w:rsidRPr="00681DB5">
              <w:rPr>
                <w:rFonts w:cstheme="minorHAnsi"/>
                <w:b/>
                <w:bCs/>
              </w:rPr>
              <w:t>Topics Discussed</w:t>
            </w:r>
          </w:p>
        </w:tc>
        <w:tc>
          <w:tcPr>
            <w:tcW w:w="3356" w:type="dxa"/>
          </w:tcPr>
          <w:p w14:paraId="4CFCB65A" w14:textId="77777777" w:rsidR="00935E83" w:rsidRPr="00681DB5" w:rsidRDefault="00935E83" w:rsidP="00C77F9B">
            <w:pPr>
              <w:rPr>
                <w:rFonts w:cstheme="minorHAnsi"/>
                <w:b/>
                <w:bCs/>
                <w:u w:val="single"/>
              </w:rPr>
            </w:pPr>
            <w:r w:rsidRPr="00681DB5">
              <w:rPr>
                <w:rFonts w:cstheme="minorHAnsi"/>
                <w:b/>
                <w:bCs/>
              </w:rPr>
              <w:t>Resources and Supporting Documents</w:t>
            </w:r>
          </w:p>
        </w:tc>
      </w:tr>
      <w:tr w:rsidR="00935E83" w:rsidRPr="00681DB5" w14:paraId="3E89F3B8" w14:textId="77777777" w:rsidTr="00C77F9B">
        <w:trPr>
          <w:trHeight w:val="593"/>
        </w:trPr>
        <w:tc>
          <w:tcPr>
            <w:tcW w:w="3462" w:type="dxa"/>
            <w:vAlign w:val="center"/>
            <w:hideMark/>
          </w:tcPr>
          <w:p w14:paraId="2BBDF7C1" w14:textId="77777777" w:rsidR="00935E83" w:rsidRPr="00681DB5" w:rsidRDefault="00935E83" w:rsidP="00935E83">
            <w:pPr>
              <w:pStyle w:val="NormalWeb"/>
              <w:spacing w:before="0" w:beforeAutospacing="0" w:after="0" w:afterAutospacing="0" w:line="276" w:lineRule="auto"/>
              <w:rPr>
                <w:rFonts w:asciiTheme="minorHAnsi" w:hAnsiTheme="minorHAnsi" w:cstheme="minorHAnsi"/>
                <w:sz w:val="22"/>
                <w:szCs w:val="22"/>
              </w:rPr>
            </w:pPr>
            <w:r w:rsidRPr="00681DB5">
              <w:rPr>
                <w:rFonts w:asciiTheme="minorHAnsi" w:eastAsiaTheme="minorEastAsia" w:hAnsiTheme="minorHAnsi" w:cstheme="minorHAnsi"/>
                <w:b/>
                <w:bCs/>
                <w:color w:val="000000"/>
                <w:kern w:val="24"/>
                <w:sz w:val="22"/>
                <w:szCs w:val="22"/>
              </w:rPr>
              <w:t xml:space="preserve">Elizabeth Denniston </w:t>
            </w:r>
            <w:r w:rsidRPr="00681DB5">
              <w:rPr>
                <w:rFonts w:asciiTheme="minorHAnsi" w:eastAsiaTheme="minorEastAsia" w:hAnsiTheme="minorHAnsi" w:cstheme="minorHAnsi"/>
                <w:i/>
                <w:iCs/>
                <w:color w:val="000000"/>
                <w:kern w:val="24"/>
                <w:sz w:val="22"/>
                <w:szCs w:val="22"/>
              </w:rPr>
              <w:t>(chair)</w:t>
            </w:r>
          </w:p>
          <w:p w14:paraId="31D664A1" w14:textId="77777777" w:rsidR="00935E83" w:rsidRPr="00681DB5" w:rsidRDefault="00935E83" w:rsidP="00935E83">
            <w:pPr>
              <w:spacing w:after="160" w:line="259" w:lineRule="auto"/>
              <w:rPr>
                <w:rFonts w:cstheme="minorHAnsi"/>
              </w:rPr>
            </w:pPr>
            <w:r w:rsidRPr="00681DB5">
              <w:rPr>
                <w:rFonts w:eastAsiaTheme="minorEastAsia" w:cstheme="minorHAnsi"/>
                <w:color w:val="000000"/>
                <w:kern w:val="24"/>
              </w:rPr>
              <w:t>Undersecretary of Human Services, EOHHS</w:t>
            </w:r>
          </w:p>
        </w:tc>
        <w:tc>
          <w:tcPr>
            <w:tcW w:w="2542" w:type="dxa"/>
            <w:vAlign w:val="center"/>
            <w:hideMark/>
          </w:tcPr>
          <w:p w14:paraId="08DF5334" w14:textId="3BA6498D" w:rsidR="00935E83" w:rsidRPr="00681DB5" w:rsidRDefault="00935E83" w:rsidP="00935E83">
            <w:pPr>
              <w:spacing w:after="160" w:line="259" w:lineRule="auto"/>
              <w:rPr>
                <w:rFonts w:eastAsiaTheme="minorEastAsia" w:cstheme="minorHAnsi"/>
                <w:color w:val="000000" w:themeColor="text1"/>
                <w:kern w:val="24"/>
              </w:rPr>
            </w:pPr>
            <w:r>
              <w:rPr>
                <w:rFonts w:asciiTheme="majorHAnsi" w:eastAsiaTheme="minorEastAsia" w:hAnsi="Gill Sans MT"/>
                <w:color w:val="000000" w:themeColor="text1"/>
                <w:kern w:val="24"/>
              </w:rPr>
              <w:t>Discussion of the Task Force</w:t>
            </w:r>
            <w:r>
              <w:rPr>
                <w:rFonts w:asciiTheme="majorHAnsi" w:eastAsiaTheme="minorEastAsia" w:hAnsi="Gill Sans MT"/>
                <w:color w:val="000000" w:themeColor="text1"/>
                <w:kern w:val="24"/>
              </w:rPr>
              <w:t>’</w:t>
            </w:r>
            <w:r>
              <w:rPr>
                <w:rFonts w:asciiTheme="majorHAnsi" w:eastAsiaTheme="minorEastAsia" w:hAnsi="Gill Sans MT"/>
                <w:color w:val="000000" w:themeColor="text1"/>
                <w:kern w:val="24"/>
              </w:rPr>
              <w:t>s draft recommendations</w:t>
            </w:r>
          </w:p>
        </w:tc>
        <w:tc>
          <w:tcPr>
            <w:tcW w:w="3356" w:type="dxa"/>
            <w:vAlign w:val="center"/>
            <w:hideMark/>
          </w:tcPr>
          <w:p w14:paraId="7A8795C7" w14:textId="0FCD9221" w:rsidR="00935E83" w:rsidRPr="00681DB5" w:rsidRDefault="0034181D" w:rsidP="00935E83">
            <w:pPr>
              <w:spacing w:after="160" w:line="259" w:lineRule="auto"/>
              <w:rPr>
                <w:rFonts w:cstheme="minorHAnsi"/>
                <w:b/>
                <w:bCs/>
                <w:color w:val="000000"/>
                <w:kern w:val="24"/>
                <w:u w:val="single"/>
              </w:rPr>
            </w:pPr>
            <w:hyperlink r:id="rId16" w:history="1">
              <w:r w:rsidR="00935E83" w:rsidRPr="005508C2">
                <w:rPr>
                  <w:rStyle w:val="Hyperlink"/>
                  <w:rFonts w:asciiTheme="majorHAnsi" w:hAnsi="Gill Sans MT" w:cs="Arial"/>
                  <w:b/>
                  <w:bCs/>
                  <w:color w:val="2E74B5" w:themeColor="accent5" w:themeShade="BF"/>
                  <w:kern w:val="24"/>
                </w:rPr>
                <w:t>Task Force Presentation</w:t>
              </w:r>
            </w:hyperlink>
          </w:p>
        </w:tc>
      </w:tr>
    </w:tbl>
    <w:p w14:paraId="2AD21BB2" w14:textId="77777777" w:rsidR="00935E83" w:rsidRDefault="00935E83" w:rsidP="00F90978">
      <w:pPr>
        <w:rPr>
          <w:b/>
          <w:bCs/>
        </w:rPr>
      </w:pPr>
    </w:p>
    <w:p w14:paraId="6B43AB24" w14:textId="0C6C80C3" w:rsidR="00935E83" w:rsidRDefault="00935E83" w:rsidP="00F90978">
      <w:pPr>
        <w:rPr>
          <w:b/>
          <w:bCs/>
        </w:rPr>
      </w:pPr>
      <w:r>
        <w:rPr>
          <w:b/>
          <w:bCs/>
        </w:rPr>
        <w:t>October 27, 2022</w:t>
      </w:r>
    </w:p>
    <w:tbl>
      <w:tblPr>
        <w:tblStyle w:val="TableGrid"/>
        <w:tblW w:w="9360" w:type="dxa"/>
        <w:tblLook w:val="04A0" w:firstRow="1" w:lastRow="0" w:firstColumn="1" w:lastColumn="0" w:noHBand="0" w:noVBand="1"/>
      </w:tblPr>
      <w:tblGrid>
        <w:gridCol w:w="3462"/>
        <w:gridCol w:w="2542"/>
        <w:gridCol w:w="3356"/>
      </w:tblGrid>
      <w:tr w:rsidR="00935E83" w:rsidRPr="00681DB5" w14:paraId="2C13293A" w14:textId="77777777" w:rsidTr="00C77F9B">
        <w:trPr>
          <w:trHeight w:val="70"/>
          <w:tblHeader/>
        </w:trPr>
        <w:tc>
          <w:tcPr>
            <w:tcW w:w="3462" w:type="dxa"/>
          </w:tcPr>
          <w:p w14:paraId="1FBE3A54" w14:textId="77777777" w:rsidR="00935E83" w:rsidRPr="00681DB5" w:rsidRDefault="00935E83" w:rsidP="00C77F9B">
            <w:pPr>
              <w:rPr>
                <w:rFonts w:cstheme="minorHAnsi"/>
                <w:b/>
                <w:bCs/>
              </w:rPr>
            </w:pPr>
            <w:r w:rsidRPr="00681DB5">
              <w:rPr>
                <w:rFonts w:cstheme="minorHAnsi"/>
                <w:b/>
                <w:bCs/>
              </w:rPr>
              <w:t>Presenters</w:t>
            </w:r>
          </w:p>
        </w:tc>
        <w:tc>
          <w:tcPr>
            <w:tcW w:w="2542" w:type="dxa"/>
          </w:tcPr>
          <w:p w14:paraId="5FD05D6A" w14:textId="77777777" w:rsidR="00935E83" w:rsidRPr="00681DB5" w:rsidRDefault="00935E83" w:rsidP="00C77F9B">
            <w:pPr>
              <w:rPr>
                <w:rFonts w:cstheme="minorHAnsi"/>
              </w:rPr>
            </w:pPr>
            <w:r w:rsidRPr="00681DB5">
              <w:rPr>
                <w:rFonts w:cstheme="minorHAnsi"/>
                <w:b/>
                <w:bCs/>
              </w:rPr>
              <w:t>Topics Discussed</w:t>
            </w:r>
          </w:p>
        </w:tc>
        <w:tc>
          <w:tcPr>
            <w:tcW w:w="3356" w:type="dxa"/>
          </w:tcPr>
          <w:p w14:paraId="579C8E7D" w14:textId="77777777" w:rsidR="00935E83" w:rsidRPr="00681DB5" w:rsidRDefault="00935E83" w:rsidP="00C77F9B">
            <w:pPr>
              <w:rPr>
                <w:rFonts w:cstheme="minorHAnsi"/>
                <w:b/>
                <w:bCs/>
                <w:u w:val="single"/>
              </w:rPr>
            </w:pPr>
            <w:r w:rsidRPr="00681DB5">
              <w:rPr>
                <w:rFonts w:cstheme="minorHAnsi"/>
                <w:b/>
                <w:bCs/>
              </w:rPr>
              <w:t>Resources and Supporting Documents</w:t>
            </w:r>
          </w:p>
        </w:tc>
      </w:tr>
      <w:tr w:rsidR="00935E83" w:rsidRPr="00681DB5" w14:paraId="1E24A483" w14:textId="77777777" w:rsidTr="00C77F9B">
        <w:trPr>
          <w:trHeight w:val="593"/>
        </w:trPr>
        <w:tc>
          <w:tcPr>
            <w:tcW w:w="3462" w:type="dxa"/>
            <w:vAlign w:val="center"/>
            <w:hideMark/>
          </w:tcPr>
          <w:p w14:paraId="76216B69" w14:textId="77777777" w:rsidR="00935E83" w:rsidRPr="00681DB5" w:rsidRDefault="00935E83" w:rsidP="00935E83">
            <w:pPr>
              <w:pStyle w:val="NormalWeb"/>
              <w:spacing w:before="0" w:beforeAutospacing="0" w:after="0" w:afterAutospacing="0" w:line="276" w:lineRule="auto"/>
              <w:rPr>
                <w:rFonts w:asciiTheme="minorHAnsi" w:hAnsiTheme="minorHAnsi" w:cstheme="minorHAnsi"/>
                <w:sz w:val="22"/>
                <w:szCs w:val="22"/>
              </w:rPr>
            </w:pPr>
            <w:r w:rsidRPr="00681DB5">
              <w:rPr>
                <w:rFonts w:asciiTheme="minorHAnsi" w:eastAsiaTheme="minorEastAsia" w:hAnsiTheme="minorHAnsi" w:cstheme="minorHAnsi"/>
                <w:b/>
                <w:bCs/>
                <w:color w:val="000000"/>
                <w:kern w:val="24"/>
                <w:sz w:val="22"/>
                <w:szCs w:val="22"/>
              </w:rPr>
              <w:t xml:space="preserve">Elizabeth Denniston </w:t>
            </w:r>
            <w:r w:rsidRPr="00681DB5">
              <w:rPr>
                <w:rFonts w:asciiTheme="minorHAnsi" w:eastAsiaTheme="minorEastAsia" w:hAnsiTheme="minorHAnsi" w:cstheme="minorHAnsi"/>
                <w:i/>
                <w:iCs/>
                <w:color w:val="000000"/>
                <w:kern w:val="24"/>
                <w:sz w:val="22"/>
                <w:szCs w:val="22"/>
              </w:rPr>
              <w:t>(chair)</w:t>
            </w:r>
          </w:p>
          <w:p w14:paraId="7B229713" w14:textId="77777777" w:rsidR="00935E83" w:rsidRPr="00681DB5" w:rsidRDefault="00935E83" w:rsidP="00935E83">
            <w:pPr>
              <w:spacing w:after="160" w:line="259" w:lineRule="auto"/>
              <w:rPr>
                <w:rFonts w:cstheme="minorHAnsi"/>
              </w:rPr>
            </w:pPr>
            <w:r w:rsidRPr="00681DB5">
              <w:rPr>
                <w:rFonts w:eastAsiaTheme="minorEastAsia" w:cstheme="minorHAnsi"/>
                <w:color w:val="000000"/>
                <w:kern w:val="24"/>
              </w:rPr>
              <w:t>Undersecretary of Human Services, EOHHS</w:t>
            </w:r>
          </w:p>
        </w:tc>
        <w:tc>
          <w:tcPr>
            <w:tcW w:w="2542" w:type="dxa"/>
            <w:vAlign w:val="center"/>
            <w:hideMark/>
          </w:tcPr>
          <w:p w14:paraId="790A9E86" w14:textId="71C09269" w:rsidR="00935E83" w:rsidRPr="00681DB5" w:rsidRDefault="00935E83" w:rsidP="00935E83">
            <w:pPr>
              <w:spacing w:after="160" w:line="259" w:lineRule="auto"/>
              <w:rPr>
                <w:rFonts w:eastAsiaTheme="minorEastAsia" w:cstheme="minorHAnsi"/>
                <w:color w:val="000000" w:themeColor="text1"/>
                <w:kern w:val="24"/>
              </w:rPr>
            </w:pPr>
            <w:r>
              <w:rPr>
                <w:rFonts w:asciiTheme="majorHAnsi" w:eastAsiaTheme="minorEastAsia" w:hAnsi="Gill Sans MT"/>
                <w:color w:val="000000" w:themeColor="text1"/>
                <w:kern w:val="24"/>
              </w:rPr>
              <w:t>Discussion of the Task Force</w:t>
            </w:r>
            <w:r>
              <w:rPr>
                <w:rFonts w:asciiTheme="majorHAnsi" w:eastAsiaTheme="minorEastAsia" w:hAnsi="Gill Sans MT"/>
                <w:color w:val="000000" w:themeColor="text1"/>
                <w:kern w:val="24"/>
              </w:rPr>
              <w:t>’</w:t>
            </w:r>
            <w:r>
              <w:rPr>
                <w:rFonts w:asciiTheme="majorHAnsi" w:eastAsiaTheme="minorEastAsia" w:hAnsi="Gill Sans MT"/>
                <w:color w:val="000000" w:themeColor="text1"/>
                <w:kern w:val="24"/>
              </w:rPr>
              <w:t>s findings and working draft of the Task Force</w:t>
            </w:r>
            <w:r>
              <w:rPr>
                <w:rFonts w:asciiTheme="majorHAnsi" w:eastAsiaTheme="minorEastAsia" w:hAnsi="Gill Sans MT"/>
                <w:color w:val="000000" w:themeColor="text1"/>
                <w:kern w:val="24"/>
              </w:rPr>
              <w:t>’</w:t>
            </w:r>
            <w:r>
              <w:rPr>
                <w:rFonts w:asciiTheme="majorHAnsi" w:eastAsiaTheme="minorEastAsia" w:hAnsi="Gill Sans MT"/>
                <w:color w:val="000000" w:themeColor="text1"/>
                <w:kern w:val="24"/>
              </w:rPr>
              <w:t>s report</w:t>
            </w:r>
          </w:p>
        </w:tc>
        <w:tc>
          <w:tcPr>
            <w:tcW w:w="3356" w:type="dxa"/>
            <w:vAlign w:val="center"/>
            <w:hideMark/>
          </w:tcPr>
          <w:p w14:paraId="277066CE" w14:textId="1F64190E" w:rsidR="00935E83" w:rsidRPr="00681DB5" w:rsidRDefault="0034181D" w:rsidP="00935E83">
            <w:pPr>
              <w:spacing w:after="160" w:line="259" w:lineRule="auto"/>
              <w:rPr>
                <w:rFonts w:cstheme="minorHAnsi"/>
                <w:b/>
                <w:bCs/>
                <w:color w:val="000000"/>
                <w:kern w:val="24"/>
                <w:u w:val="single"/>
              </w:rPr>
            </w:pPr>
            <w:hyperlink r:id="rId17" w:history="1">
              <w:r w:rsidR="00935E83" w:rsidRPr="005508C2">
                <w:rPr>
                  <w:rStyle w:val="Hyperlink"/>
                  <w:rFonts w:eastAsiaTheme="minorEastAsia" w:hAnsi="Gill Sans MT"/>
                  <w:b/>
                  <w:bCs/>
                  <w:color w:val="2E74B5" w:themeColor="accent5" w:themeShade="BF"/>
                  <w:kern w:val="24"/>
                </w:rPr>
                <w:t>Task Force Charge</w:t>
              </w:r>
            </w:hyperlink>
          </w:p>
        </w:tc>
      </w:tr>
    </w:tbl>
    <w:p w14:paraId="39947BC0" w14:textId="77777777" w:rsidR="00935E83" w:rsidRDefault="00935E83" w:rsidP="00F90978">
      <w:pPr>
        <w:rPr>
          <w:b/>
          <w:bCs/>
        </w:rPr>
      </w:pPr>
    </w:p>
    <w:p w14:paraId="727D7546" w14:textId="7EC7E77D" w:rsidR="00935E83" w:rsidRDefault="00935E83" w:rsidP="00F90978">
      <w:pPr>
        <w:rPr>
          <w:b/>
          <w:bCs/>
        </w:rPr>
      </w:pPr>
      <w:r>
        <w:rPr>
          <w:b/>
          <w:bCs/>
        </w:rPr>
        <w:t>November 15, 2022</w:t>
      </w:r>
    </w:p>
    <w:tbl>
      <w:tblPr>
        <w:tblStyle w:val="TableGrid"/>
        <w:tblW w:w="9360" w:type="dxa"/>
        <w:tblLook w:val="04A0" w:firstRow="1" w:lastRow="0" w:firstColumn="1" w:lastColumn="0" w:noHBand="0" w:noVBand="1"/>
      </w:tblPr>
      <w:tblGrid>
        <w:gridCol w:w="3462"/>
        <w:gridCol w:w="2542"/>
        <w:gridCol w:w="3356"/>
      </w:tblGrid>
      <w:tr w:rsidR="00935E83" w:rsidRPr="00681DB5" w14:paraId="590E08E9" w14:textId="77777777" w:rsidTr="00C77F9B">
        <w:trPr>
          <w:trHeight w:val="70"/>
          <w:tblHeader/>
        </w:trPr>
        <w:tc>
          <w:tcPr>
            <w:tcW w:w="3462" w:type="dxa"/>
          </w:tcPr>
          <w:p w14:paraId="24C46898" w14:textId="77777777" w:rsidR="00935E83" w:rsidRPr="00681DB5" w:rsidRDefault="00935E83" w:rsidP="00C77F9B">
            <w:pPr>
              <w:rPr>
                <w:rFonts w:cstheme="minorHAnsi"/>
                <w:b/>
                <w:bCs/>
              </w:rPr>
            </w:pPr>
            <w:r w:rsidRPr="00681DB5">
              <w:rPr>
                <w:rFonts w:cstheme="minorHAnsi"/>
                <w:b/>
                <w:bCs/>
              </w:rPr>
              <w:t>Presenters</w:t>
            </w:r>
          </w:p>
        </w:tc>
        <w:tc>
          <w:tcPr>
            <w:tcW w:w="2542" w:type="dxa"/>
          </w:tcPr>
          <w:p w14:paraId="1DED5C8C" w14:textId="77777777" w:rsidR="00935E83" w:rsidRPr="00681DB5" w:rsidRDefault="00935E83" w:rsidP="00C77F9B">
            <w:pPr>
              <w:rPr>
                <w:rFonts w:cstheme="minorHAnsi"/>
              </w:rPr>
            </w:pPr>
            <w:r w:rsidRPr="00681DB5">
              <w:rPr>
                <w:rFonts w:cstheme="minorHAnsi"/>
                <w:b/>
                <w:bCs/>
              </w:rPr>
              <w:t>Topics Discussed</w:t>
            </w:r>
          </w:p>
        </w:tc>
        <w:tc>
          <w:tcPr>
            <w:tcW w:w="3356" w:type="dxa"/>
          </w:tcPr>
          <w:p w14:paraId="36042BB8" w14:textId="77777777" w:rsidR="00935E83" w:rsidRPr="00681DB5" w:rsidRDefault="00935E83" w:rsidP="00C77F9B">
            <w:pPr>
              <w:rPr>
                <w:rFonts w:cstheme="minorHAnsi"/>
                <w:b/>
                <w:bCs/>
                <w:u w:val="single"/>
              </w:rPr>
            </w:pPr>
            <w:r w:rsidRPr="00681DB5">
              <w:rPr>
                <w:rFonts w:cstheme="minorHAnsi"/>
                <w:b/>
                <w:bCs/>
              </w:rPr>
              <w:t>Resources and Supporting Documents</w:t>
            </w:r>
          </w:p>
        </w:tc>
      </w:tr>
      <w:tr w:rsidR="00935E83" w:rsidRPr="00681DB5" w14:paraId="091B9E7B" w14:textId="77777777" w:rsidTr="00C77F9B">
        <w:trPr>
          <w:trHeight w:val="593"/>
        </w:trPr>
        <w:tc>
          <w:tcPr>
            <w:tcW w:w="3462" w:type="dxa"/>
            <w:vAlign w:val="center"/>
            <w:hideMark/>
          </w:tcPr>
          <w:p w14:paraId="0A78AF09" w14:textId="77777777" w:rsidR="00935E83" w:rsidRPr="00681DB5" w:rsidRDefault="00935E83" w:rsidP="00935E83">
            <w:pPr>
              <w:pStyle w:val="NormalWeb"/>
              <w:spacing w:before="0" w:beforeAutospacing="0" w:after="0" w:afterAutospacing="0" w:line="276" w:lineRule="auto"/>
              <w:rPr>
                <w:rFonts w:asciiTheme="minorHAnsi" w:hAnsiTheme="minorHAnsi" w:cstheme="minorHAnsi"/>
                <w:sz w:val="22"/>
                <w:szCs w:val="22"/>
              </w:rPr>
            </w:pPr>
            <w:r w:rsidRPr="00681DB5">
              <w:rPr>
                <w:rFonts w:asciiTheme="minorHAnsi" w:eastAsiaTheme="minorEastAsia" w:hAnsiTheme="minorHAnsi" w:cstheme="minorHAnsi"/>
                <w:b/>
                <w:bCs/>
                <w:color w:val="000000"/>
                <w:kern w:val="24"/>
                <w:sz w:val="22"/>
                <w:szCs w:val="22"/>
              </w:rPr>
              <w:t xml:space="preserve">Elizabeth Denniston </w:t>
            </w:r>
            <w:r w:rsidRPr="00681DB5">
              <w:rPr>
                <w:rFonts w:asciiTheme="minorHAnsi" w:eastAsiaTheme="minorEastAsia" w:hAnsiTheme="minorHAnsi" w:cstheme="minorHAnsi"/>
                <w:i/>
                <w:iCs/>
                <w:color w:val="000000"/>
                <w:kern w:val="24"/>
                <w:sz w:val="22"/>
                <w:szCs w:val="22"/>
              </w:rPr>
              <w:t>(chair)</w:t>
            </w:r>
          </w:p>
          <w:p w14:paraId="52DF9E52" w14:textId="77777777" w:rsidR="00935E83" w:rsidRPr="00681DB5" w:rsidRDefault="00935E83" w:rsidP="00935E83">
            <w:pPr>
              <w:spacing w:after="160" w:line="259" w:lineRule="auto"/>
              <w:rPr>
                <w:rFonts w:cstheme="minorHAnsi"/>
              </w:rPr>
            </w:pPr>
            <w:r w:rsidRPr="00681DB5">
              <w:rPr>
                <w:rFonts w:eastAsiaTheme="minorEastAsia" w:cstheme="minorHAnsi"/>
                <w:color w:val="000000"/>
                <w:kern w:val="24"/>
              </w:rPr>
              <w:t>Undersecretary of Human Services, EOHHS</w:t>
            </w:r>
          </w:p>
        </w:tc>
        <w:tc>
          <w:tcPr>
            <w:tcW w:w="2542" w:type="dxa"/>
            <w:vAlign w:val="center"/>
            <w:hideMark/>
          </w:tcPr>
          <w:p w14:paraId="67C99683" w14:textId="685107D3" w:rsidR="00935E83" w:rsidRPr="00681DB5" w:rsidRDefault="00935E83" w:rsidP="00935E83">
            <w:pPr>
              <w:spacing w:after="160" w:line="259" w:lineRule="auto"/>
              <w:rPr>
                <w:rFonts w:eastAsiaTheme="minorEastAsia" w:cstheme="minorHAnsi"/>
                <w:color w:val="000000" w:themeColor="text1"/>
                <w:kern w:val="24"/>
              </w:rPr>
            </w:pPr>
            <w:r>
              <w:rPr>
                <w:rFonts w:asciiTheme="majorHAnsi" w:eastAsiaTheme="minorEastAsia" w:hAnsi="Gill Sans MT"/>
                <w:color w:val="000000" w:themeColor="text1"/>
                <w:kern w:val="24"/>
              </w:rPr>
              <w:t>Discussion of the Task Force</w:t>
            </w:r>
            <w:r>
              <w:rPr>
                <w:rFonts w:asciiTheme="majorHAnsi" w:eastAsiaTheme="minorEastAsia" w:hAnsi="Gill Sans MT"/>
                <w:color w:val="000000" w:themeColor="text1"/>
                <w:kern w:val="24"/>
              </w:rPr>
              <w:t>’</w:t>
            </w:r>
            <w:r>
              <w:rPr>
                <w:rFonts w:asciiTheme="majorHAnsi" w:eastAsiaTheme="minorEastAsia" w:hAnsi="Gill Sans MT"/>
                <w:color w:val="000000" w:themeColor="text1"/>
                <w:kern w:val="24"/>
              </w:rPr>
              <w:t>s findings and working draft of the Task Force</w:t>
            </w:r>
            <w:r>
              <w:rPr>
                <w:rFonts w:asciiTheme="majorHAnsi" w:eastAsiaTheme="minorEastAsia" w:hAnsi="Gill Sans MT"/>
                <w:color w:val="000000" w:themeColor="text1"/>
                <w:kern w:val="24"/>
              </w:rPr>
              <w:t>’</w:t>
            </w:r>
            <w:r>
              <w:rPr>
                <w:rFonts w:asciiTheme="majorHAnsi" w:eastAsiaTheme="minorEastAsia" w:hAnsi="Gill Sans MT"/>
                <w:color w:val="000000" w:themeColor="text1"/>
                <w:kern w:val="24"/>
              </w:rPr>
              <w:t>s report</w:t>
            </w:r>
          </w:p>
        </w:tc>
        <w:tc>
          <w:tcPr>
            <w:tcW w:w="3356" w:type="dxa"/>
            <w:vAlign w:val="center"/>
            <w:hideMark/>
          </w:tcPr>
          <w:p w14:paraId="3BA020EB" w14:textId="0BBA9294" w:rsidR="00935E83" w:rsidRPr="00681DB5" w:rsidRDefault="0034181D" w:rsidP="00935E83">
            <w:pPr>
              <w:spacing w:after="160" w:line="259" w:lineRule="auto"/>
              <w:rPr>
                <w:rFonts w:cstheme="minorHAnsi"/>
                <w:b/>
                <w:bCs/>
                <w:color w:val="000000"/>
                <w:kern w:val="24"/>
                <w:u w:val="single"/>
              </w:rPr>
            </w:pPr>
            <w:hyperlink r:id="rId18" w:history="1">
              <w:r w:rsidR="00935E83" w:rsidRPr="005508C2">
                <w:rPr>
                  <w:rStyle w:val="Hyperlink"/>
                  <w:rFonts w:eastAsiaTheme="minorEastAsia" w:hAnsi="Gill Sans MT"/>
                  <w:b/>
                  <w:bCs/>
                  <w:color w:val="2E74B5" w:themeColor="accent5" w:themeShade="BF"/>
                  <w:kern w:val="24"/>
                </w:rPr>
                <w:t>Task Force Charge</w:t>
              </w:r>
            </w:hyperlink>
          </w:p>
        </w:tc>
      </w:tr>
    </w:tbl>
    <w:p w14:paraId="5608A590" w14:textId="29ACA0B4" w:rsidR="00935E83" w:rsidRDefault="00935E83" w:rsidP="00F90978">
      <w:pPr>
        <w:rPr>
          <w:b/>
          <w:bCs/>
        </w:rPr>
      </w:pPr>
    </w:p>
    <w:p w14:paraId="5E9DD256" w14:textId="457E8A0A" w:rsidR="005508C2" w:rsidRDefault="005508C2" w:rsidP="00F90978">
      <w:r w:rsidRPr="005508C2">
        <w:t xml:space="preserve">Slide </w:t>
      </w:r>
      <w:r>
        <w:t>35 and 36</w:t>
      </w:r>
    </w:p>
    <w:p w14:paraId="57F79AB0" w14:textId="77777777" w:rsidR="005508C2" w:rsidRPr="005508C2" w:rsidRDefault="005508C2" w:rsidP="00C807C3">
      <w:pPr>
        <w:pStyle w:val="Heading3"/>
      </w:pPr>
      <w:r w:rsidRPr="005508C2">
        <w:t>Appendix D – Resources Reviewed by the Task Force</w:t>
      </w:r>
    </w:p>
    <w:p w14:paraId="7B94A7A5" w14:textId="77777777" w:rsidR="005508C2" w:rsidRPr="005508C2" w:rsidRDefault="005508C2" w:rsidP="005508C2">
      <w:r w:rsidRPr="005508C2">
        <w:t>November 3</w:t>
      </w:r>
      <w:r w:rsidRPr="005508C2">
        <w:rPr>
          <w:b/>
          <w:bCs/>
        </w:rPr>
        <w:t>, 2021</w:t>
      </w:r>
    </w:p>
    <w:p w14:paraId="10F04C32" w14:textId="77777777" w:rsidR="005508C2" w:rsidRPr="005508C2" w:rsidRDefault="0034181D" w:rsidP="005508C2">
      <w:pPr>
        <w:numPr>
          <w:ilvl w:val="0"/>
          <w:numId w:val="11"/>
        </w:numPr>
      </w:pPr>
      <w:hyperlink r:id="rId19" w:history="1">
        <w:r w:rsidR="005508C2" w:rsidRPr="005508C2">
          <w:rPr>
            <w:rStyle w:val="Hyperlink"/>
          </w:rPr>
          <w:t>Task Force Meeting Presentation</w:t>
        </w:r>
      </w:hyperlink>
    </w:p>
    <w:p w14:paraId="6DA7D953" w14:textId="77777777" w:rsidR="005508C2" w:rsidRPr="005508C2" w:rsidRDefault="0034181D" w:rsidP="005508C2">
      <w:pPr>
        <w:numPr>
          <w:ilvl w:val="0"/>
          <w:numId w:val="11"/>
        </w:numPr>
      </w:pPr>
      <w:hyperlink r:id="rId20" w:history="1">
        <w:r w:rsidR="005508C2" w:rsidRPr="005508C2">
          <w:rPr>
            <w:rStyle w:val="Hyperlink"/>
          </w:rPr>
          <w:t>HST Office Overview Presentation</w:t>
        </w:r>
      </w:hyperlink>
    </w:p>
    <w:p w14:paraId="5B494A13" w14:textId="77777777" w:rsidR="005508C2" w:rsidRPr="005508C2" w:rsidRDefault="005508C2" w:rsidP="005508C2">
      <w:r w:rsidRPr="005508C2">
        <w:t>February 14, 2022</w:t>
      </w:r>
    </w:p>
    <w:p w14:paraId="25AB9DBC" w14:textId="77777777" w:rsidR="005508C2" w:rsidRPr="005508C2" w:rsidRDefault="0034181D" w:rsidP="005508C2">
      <w:pPr>
        <w:numPr>
          <w:ilvl w:val="0"/>
          <w:numId w:val="12"/>
        </w:numPr>
      </w:pPr>
      <w:hyperlink r:id="rId21" w:history="1">
        <w:r w:rsidR="005508C2" w:rsidRPr="005508C2">
          <w:rPr>
            <w:rStyle w:val="Hyperlink"/>
          </w:rPr>
          <w:t>Task Force Meeting Presentation</w:t>
        </w:r>
      </w:hyperlink>
    </w:p>
    <w:p w14:paraId="43CEFF2D" w14:textId="77777777" w:rsidR="005508C2" w:rsidRPr="005508C2" w:rsidRDefault="0034181D" w:rsidP="005508C2">
      <w:pPr>
        <w:numPr>
          <w:ilvl w:val="0"/>
          <w:numId w:val="12"/>
        </w:numPr>
      </w:pPr>
      <w:hyperlink r:id="rId22" w:history="1">
        <w:r w:rsidR="005508C2" w:rsidRPr="005508C2">
          <w:rPr>
            <w:rStyle w:val="Hyperlink"/>
          </w:rPr>
          <w:t>Human Service Transportation Office Broker Procurement Presentation</w:t>
        </w:r>
      </w:hyperlink>
    </w:p>
    <w:p w14:paraId="77203EEE" w14:textId="77777777" w:rsidR="005508C2" w:rsidRPr="005508C2" w:rsidRDefault="0034181D" w:rsidP="005508C2">
      <w:pPr>
        <w:numPr>
          <w:ilvl w:val="0"/>
          <w:numId w:val="12"/>
        </w:numPr>
      </w:pPr>
      <w:hyperlink r:id="rId23" w:history="1">
        <w:r w:rsidR="005508C2" w:rsidRPr="005508C2">
          <w:rPr>
            <w:rStyle w:val="Hyperlink"/>
          </w:rPr>
          <w:t>MART and GATRA Brokerage Improvements Presentation</w:t>
        </w:r>
      </w:hyperlink>
    </w:p>
    <w:p w14:paraId="2B1B2BA5" w14:textId="77777777" w:rsidR="005508C2" w:rsidRPr="005508C2" w:rsidRDefault="005508C2" w:rsidP="005508C2">
      <w:r w:rsidRPr="005508C2">
        <w:t>April 28, 2022</w:t>
      </w:r>
    </w:p>
    <w:p w14:paraId="4C662418" w14:textId="77777777" w:rsidR="005508C2" w:rsidRPr="005508C2" w:rsidRDefault="0034181D" w:rsidP="005508C2">
      <w:pPr>
        <w:numPr>
          <w:ilvl w:val="0"/>
          <w:numId w:val="13"/>
        </w:numPr>
      </w:pPr>
      <w:hyperlink r:id="rId24" w:history="1">
        <w:r w:rsidR="005508C2" w:rsidRPr="005508C2">
          <w:rPr>
            <w:rStyle w:val="Hyperlink"/>
          </w:rPr>
          <w:t>Task Force Meeting Presentation</w:t>
        </w:r>
      </w:hyperlink>
    </w:p>
    <w:p w14:paraId="05838DAE" w14:textId="77777777" w:rsidR="005508C2" w:rsidRPr="005508C2" w:rsidRDefault="0034181D" w:rsidP="005508C2">
      <w:pPr>
        <w:numPr>
          <w:ilvl w:val="0"/>
          <w:numId w:val="13"/>
        </w:numPr>
      </w:pPr>
      <w:hyperlink r:id="rId25" w:history="1">
        <w:r w:rsidR="005508C2" w:rsidRPr="005508C2">
          <w:rPr>
            <w:rStyle w:val="Hyperlink"/>
          </w:rPr>
          <w:t>Department of Developmental Services Presentation</w:t>
        </w:r>
      </w:hyperlink>
    </w:p>
    <w:p w14:paraId="22DF0156" w14:textId="77777777" w:rsidR="005508C2" w:rsidRPr="005508C2" w:rsidRDefault="0034181D" w:rsidP="005508C2">
      <w:pPr>
        <w:numPr>
          <w:ilvl w:val="0"/>
          <w:numId w:val="13"/>
        </w:numPr>
      </w:pPr>
      <w:hyperlink r:id="rId26" w:history="1">
        <w:r w:rsidR="005508C2" w:rsidRPr="005508C2">
          <w:rPr>
            <w:rStyle w:val="Hyperlink"/>
          </w:rPr>
          <w:t>MassHealth Eligibility Transportation Overview</w:t>
        </w:r>
      </w:hyperlink>
    </w:p>
    <w:p w14:paraId="604311C3" w14:textId="77777777" w:rsidR="005508C2" w:rsidRPr="005508C2" w:rsidRDefault="0034181D" w:rsidP="005508C2">
      <w:pPr>
        <w:numPr>
          <w:ilvl w:val="0"/>
          <w:numId w:val="13"/>
        </w:numPr>
      </w:pPr>
      <w:hyperlink r:id="rId27" w:history="1">
        <w:r w:rsidR="005508C2" w:rsidRPr="005508C2">
          <w:rPr>
            <w:rStyle w:val="Hyperlink"/>
          </w:rPr>
          <w:t>HST Office Overview of Complaints Process</w:t>
        </w:r>
      </w:hyperlink>
    </w:p>
    <w:p w14:paraId="6BE8162D" w14:textId="77777777" w:rsidR="005508C2" w:rsidRPr="005508C2" w:rsidRDefault="005508C2" w:rsidP="005508C2">
      <w:r w:rsidRPr="005508C2">
        <w:t>June 28, 2022</w:t>
      </w:r>
    </w:p>
    <w:p w14:paraId="41A7A2DA" w14:textId="77777777" w:rsidR="005508C2" w:rsidRPr="005508C2" w:rsidRDefault="0034181D" w:rsidP="005508C2">
      <w:pPr>
        <w:numPr>
          <w:ilvl w:val="0"/>
          <w:numId w:val="14"/>
        </w:numPr>
      </w:pPr>
      <w:hyperlink r:id="rId28" w:history="1">
        <w:r w:rsidR="005508C2" w:rsidRPr="005508C2">
          <w:rPr>
            <w:rStyle w:val="Hyperlink"/>
          </w:rPr>
          <w:t>Task Force Meeting Presentation</w:t>
        </w:r>
      </w:hyperlink>
    </w:p>
    <w:p w14:paraId="571F4B41" w14:textId="77777777" w:rsidR="005508C2" w:rsidRPr="005508C2" w:rsidRDefault="005508C2" w:rsidP="005508C2">
      <w:r w:rsidRPr="005508C2">
        <w:t>September 22, 2022</w:t>
      </w:r>
    </w:p>
    <w:p w14:paraId="6696D015" w14:textId="77777777" w:rsidR="005508C2" w:rsidRPr="005508C2" w:rsidRDefault="0034181D" w:rsidP="005508C2">
      <w:pPr>
        <w:numPr>
          <w:ilvl w:val="0"/>
          <w:numId w:val="15"/>
        </w:numPr>
      </w:pPr>
      <w:hyperlink r:id="rId29" w:history="1">
        <w:r w:rsidR="005508C2" w:rsidRPr="005508C2">
          <w:rPr>
            <w:rStyle w:val="Hyperlink"/>
          </w:rPr>
          <w:t>Task Force Meeting Presentation</w:t>
        </w:r>
      </w:hyperlink>
    </w:p>
    <w:p w14:paraId="42B99CCE" w14:textId="77777777" w:rsidR="005508C2" w:rsidRPr="005508C2" w:rsidRDefault="005508C2" w:rsidP="005508C2">
      <w:r w:rsidRPr="005508C2">
        <w:t>October 27, 2022</w:t>
      </w:r>
    </w:p>
    <w:p w14:paraId="65C1693E" w14:textId="77777777" w:rsidR="005508C2" w:rsidRPr="005508C2" w:rsidRDefault="005508C2" w:rsidP="005508C2">
      <w:pPr>
        <w:numPr>
          <w:ilvl w:val="0"/>
          <w:numId w:val="16"/>
        </w:numPr>
      </w:pPr>
      <w:r w:rsidRPr="005508C2">
        <w:t>Task Force Draft Report</w:t>
      </w:r>
    </w:p>
    <w:p w14:paraId="47EF6AA1" w14:textId="77777777" w:rsidR="005508C2" w:rsidRPr="005508C2" w:rsidRDefault="005508C2" w:rsidP="005508C2">
      <w:r w:rsidRPr="005508C2">
        <w:t>November 15, 2022</w:t>
      </w:r>
    </w:p>
    <w:p w14:paraId="46DA8D09" w14:textId="77777777" w:rsidR="005508C2" w:rsidRPr="005508C2" w:rsidRDefault="005508C2" w:rsidP="005508C2">
      <w:pPr>
        <w:numPr>
          <w:ilvl w:val="0"/>
          <w:numId w:val="17"/>
        </w:numPr>
      </w:pPr>
      <w:r w:rsidRPr="005508C2">
        <w:t>Task Force Draft Report</w:t>
      </w:r>
    </w:p>
    <w:p w14:paraId="7C9DF700" w14:textId="2C25D68F" w:rsidR="005508C2" w:rsidRDefault="005508C2" w:rsidP="00F90978"/>
    <w:p w14:paraId="42A4E9C4" w14:textId="2876D138" w:rsidR="00D308A7" w:rsidRDefault="00D308A7" w:rsidP="00F90978">
      <w:r>
        <w:t>Slide 37- 40</w:t>
      </w:r>
    </w:p>
    <w:p w14:paraId="08965AC3" w14:textId="7FB27D36" w:rsidR="00D308A7" w:rsidRPr="00D308A7" w:rsidRDefault="00D308A7" w:rsidP="00C807C3">
      <w:pPr>
        <w:pStyle w:val="Heading3"/>
      </w:pPr>
      <w:r w:rsidRPr="00D308A7">
        <w:t xml:space="preserve">Appendix E – Letters Received from Brokers and Stakeholder Groups </w:t>
      </w:r>
    </w:p>
    <w:p w14:paraId="62E5D18D" w14:textId="52C3C42F" w:rsidR="00D308A7" w:rsidRDefault="00D308A7" w:rsidP="00D308A7">
      <w:r w:rsidRPr="00D308A7">
        <w:t>MART/GATRA</w:t>
      </w:r>
    </w:p>
    <w:p w14:paraId="3B4A244E" w14:textId="388488F2" w:rsidR="00D308A7" w:rsidRDefault="00D308A7" w:rsidP="00D308A7">
      <w:r>
        <w:t>[screenshot of RTA/BKER REVENUE AND COST ALLOCATION METHODOLOGY letter]</w:t>
      </w:r>
    </w:p>
    <w:p w14:paraId="5915ABC1" w14:textId="13E8C5B3" w:rsidR="00D308A7" w:rsidRDefault="00D308A7" w:rsidP="00D308A7">
      <w:r>
        <w:t>[screenshot of RTA/BKER STATE AND FEDERAL OVERSIGHT letter]</w:t>
      </w:r>
    </w:p>
    <w:p w14:paraId="14EFD493" w14:textId="0A51265E" w:rsidR="00D308A7" w:rsidRDefault="00D308A7" w:rsidP="00F90978">
      <w:r>
        <w:t>[screenshot of letter from The Arc Massachusetts]</w:t>
      </w:r>
    </w:p>
    <w:p w14:paraId="233E10C4" w14:textId="338B18EA" w:rsidR="00D308A7" w:rsidRDefault="00D308A7" w:rsidP="00D308A7">
      <w:r>
        <w:t>[screenshot of letter from the Association of Developmental Disability Providers]</w:t>
      </w:r>
    </w:p>
    <w:p w14:paraId="1BDD21BB" w14:textId="7A478A1E" w:rsidR="00D308A7" w:rsidRDefault="00D308A7" w:rsidP="00F90978"/>
    <w:p w14:paraId="258A9B2F" w14:textId="1C056038" w:rsidR="00D308A7" w:rsidRDefault="00D308A7" w:rsidP="00F90978">
      <w:r>
        <w:t>Slide 41 - 44</w:t>
      </w:r>
    </w:p>
    <w:p w14:paraId="194A6F3A" w14:textId="77777777" w:rsidR="00D308A7" w:rsidRPr="00D308A7" w:rsidRDefault="00D308A7" w:rsidP="00C807C3">
      <w:pPr>
        <w:pStyle w:val="Heading3"/>
      </w:pPr>
      <w:r w:rsidRPr="00D308A7">
        <w:t>Appendix F – Broker Welcome Letters and Postcards</w:t>
      </w:r>
    </w:p>
    <w:p w14:paraId="7E029503" w14:textId="39B6CC6F" w:rsidR="00D308A7" w:rsidRDefault="00C77F9B" w:rsidP="00F90978">
      <w:r>
        <w:t>[screenshot of MART welcome letter]</w:t>
      </w:r>
    </w:p>
    <w:p w14:paraId="34CD80A3" w14:textId="1E3757D8" w:rsidR="00C77F9B" w:rsidRDefault="00C77F9B" w:rsidP="00F90978">
      <w:r>
        <w:t>[screenshot of GATRA welcome letter]</w:t>
      </w:r>
    </w:p>
    <w:p w14:paraId="4C31AE25" w14:textId="07396CC8" w:rsidR="00C77F9B" w:rsidRDefault="007D02C5" w:rsidP="00F90978">
      <w:r>
        <w:t>[screenshot of MART postcard]</w:t>
      </w:r>
    </w:p>
    <w:p w14:paraId="410EFADD" w14:textId="00B2B0D7" w:rsidR="007D02C5" w:rsidRDefault="007D02C5" w:rsidP="00F90978">
      <w:r>
        <w:t>[screenshot of GATRA postcard]</w:t>
      </w:r>
    </w:p>
    <w:p w14:paraId="6236DA02" w14:textId="4509582E" w:rsidR="007D02C5" w:rsidRDefault="007D02C5" w:rsidP="00F90978"/>
    <w:p w14:paraId="1288C0BE" w14:textId="3925CF9F" w:rsidR="007D02C5" w:rsidRDefault="007D02C5" w:rsidP="00F90978">
      <w:r>
        <w:t>Slide 45-79</w:t>
      </w:r>
    </w:p>
    <w:p w14:paraId="24123FCF" w14:textId="77777777" w:rsidR="007D02C5" w:rsidRPr="007D02C5" w:rsidRDefault="007D02C5" w:rsidP="00C807C3">
      <w:pPr>
        <w:pStyle w:val="Heading3"/>
      </w:pPr>
      <w:r w:rsidRPr="007D02C5">
        <w:t>Appendix G – Passenger Assistance Safety and Sensitivity Training Manual</w:t>
      </w:r>
    </w:p>
    <w:p w14:paraId="246851A0" w14:textId="76F01975" w:rsidR="007D02C5" w:rsidRDefault="007D02C5" w:rsidP="00F90978">
      <w:r>
        <w:t>[screenshot of entire Passenger Assistance Safety and Sensitivity Training Manual]</w:t>
      </w:r>
    </w:p>
    <w:p w14:paraId="740D990F" w14:textId="24557444" w:rsidR="007D02C5" w:rsidRDefault="007D02C5" w:rsidP="00F90978">
      <w:r>
        <w:lastRenderedPageBreak/>
        <w:t>Slide 80</w:t>
      </w:r>
      <w:r w:rsidR="0031267A">
        <w:t xml:space="preserve"> - 82</w:t>
      </w:r>
    </w:p>
    <w:p w14:paraId="1EE584CD" w14:textId="77777777" w:rsidR="007D02C5" w:rsidRPr="007D02C5" w:rsidRDefault="007D02C5" w:rsidP="00C807C3">
      <w:pPr>
        <w:pStyle w:val="Heading3"/>
      </w:pPr>
      <w:r w:rsidRPr="007D02C5">
        <w:t>Appendix H – Written Feedback Received from Task Force Members After 11/15/2022</w:t>
      </w:r>
    </w:p>
    <w:p w14:paraId="1DDF7BBD" w14:textId="77777777" w:rsidR="007D02C5" w:rsidRPr="007D02C5" w:rsidRDefault="007D02C5" w:rsidP="007D02C5">
      <w:r w:rsidRPr="007D02C5">
        <w:t>Received 11/25/2022</w:t>
      </w:r>
    </w:p>
    <w:p w14:paraId="2A793D2C" w14:textId="1DAB9370" w:rsidR="007D02C5" w:rsidRDefault="007D02C5" w:rsidP="00F90978">
      <w:r>
        <w:t>[screenshot of letter by The Arc]</w:t>
      </w:r>
    </w:p>
    <w:p w14:paraId="3A13CEF5" w14:textId="40D23613" w:rsidR="007D02C5" w:rsidRDefault="007D02C5" w:rsidP="00F90978">
      <w:r>
        <w:t>[screenshot of letter by Chris Hoeh]</w:t>
      </w:r>
    </w:p>
    <w:p w14:paraId="404684AD" w14:textId="77777777" w:rsidR="007D02C5" w:rsidRPr="007D02C5" w:rsidRDefault="007D02C5" w:rsidP="007D02C5">
      <w:r w:rsidRPr="007D02C5">
        <w:t>Received 11/29/2022</w:t>
      </w:r>
    </w:p>
    <w:p w14:paraId="5B713E4F" w14:textId="6161078D" w:rsidR="007D02C5" w:rsidRPr="005508C2" w:rsidRDefault="007D02C5" w:rsidP="00F90978">
      <w:r>
        <w:t>[screenshot of letter by The General Court]</w:t>
      </w:r>
    </w:p>
    <w:sectPr w:rsidR="007D02C5" w:rsidRPr="00550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52624"/>
    <w:multiLevelType w:val="hybridMultilevel"/>
    <w:tmpl w:val="E9AE4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33174"/>
    <w:multiLevelType w:val="hybridMultilevel"/>
    <w:tmpl w:val="EFF2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619C7"/>
    <w:multiLevelType w:val="hybridMultilevel"/>
    <w:tmpl w:val="220ED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73229"/>
    <w:multiLevelType w:val="hybridMultilevel"/>
    <w:tmpl w:val="2BF6061E"/>
    <w:lvl w:ilvl="0" w:tplc="FCC47B8C">
      <w:start w:val="1"/>
      <w:numFmt w:val="decimal"/>
      <w:lvlText w:val="%1."/>
      <w:lvlJc w:val="left"/>
      <w:pPr>
        <w:tabs>
          <w:tab w:val="num" w:pos="720"/>
        </w:tabs>
        <w:ind w:left="720" w:hanging="360"/>
      </w:pPr>
    </w:lvl>
    <w:lvl w:ilvl="1" w:tplc="19843E1E" w:tentative="1">
      <w:start w:val="1"/>
      <w:numFmt w:val="decimal"/>
      <w:lvlText w:val="%2."/>
      <w:lvlJc w:val="left"/>
      <w:pPr>
        <w:tabs>
          <w:tab w:val="num" w:pos="1440"/>
        </w:tabs>
        <w:ind w:left="1440" w:hanging="360"/>
      </w:pPr>
    </w:lvl>
    <w:lvl w:ilvl="2" w:tplc="86B071FE" w:tentative="1">
      <w:start w:val="1"/>
      <w:numFmt w:val="decimal"/>
      <w:lvlText w:val="%3."/>
      <w:lvlJc w:val="left"/>
      <w:pPr>
        <w:tabs>
          <w:tab w:val="num" w:pos="2160"/>
        </w:tabs>
        <w:ind w:left="2160" w:hanging="360"/>
      </w:pPr>
    </w:lvl>
    <w:lvl w:ilvl="3" w:tplc="84320EB0" w:tentative="1">
      <w:start w:val="1"/>
      <w:numFmt w:val="decimal"/>
      <w:lvlText w:val="%4."/>
      <w:lvlJc w:val="left"/>
      <w:pPr>
        <w:tabs>
          <w:tab w:val="num" w:pos="2880"/>
        </w:tabs>
        <w:ind w:left="2880" w:hanging="360"/>
      </w:pPr>
    </w:lvl>
    <w:lvl w:ilvl="4" w:tplc="EA7C2FB0" w:tentative="1">
      <w:start w:val="1"/>
      <w:numFmt w:val="decimal"/>
      <w:lvlText w:val="%5."/>
      <w:lvlJc w:val="left"/>
      <w:pPr>
        <w:tabs>
          <w:tab w:val="num" w:pos="3600"/>
        </w:tabs>
        <w:ind w:left="3600" w:hanging="360"/>
      </w:pPr>
    </w:lvl>
    <w:lvl w:ilvl="5" w:tplc="D096A9AE" w:tentative="1">
      <w:start w:val="1"/>
      <w:numFmt w:val="decimal"/>
      <w:lvlText w:val="%6."/>
      <w:lvlJc w:val="left"/>
      <w:pPr>
        <w:tabs>
          <w:tab w:val="num" w:pos="4320"/>
        </w:tabs>
        <w:ind w:left="4320" w:hanging="360"/>
      </w:pPr>
    </w:lvl>
    <w:lvl w:ilvl="6" w:tplc="E8A8FCA0" w:tentative="1">
      <w:start w:val="1"/>
      <w:numFmt w:val="decimal"/>
      <w:lvlText w:val="%7."/>
      <w:lvlJc w:val="left"/>
      <w:pPr>
        <w:tabs>
          <w:tab w:val="num" w:pos="5040"/>
        </w:tabs>
        <w:ind w:left="5040" w:hanging="360"/>
      </w:pPr>
    </w:lvl>
    <w:lvl w:ilvl="7" w:tplc="1FB243EC" w:tentative="1">
      <w:start w:val="1"/>
      <w:numFmt w:val="decimal"/>
      <w:lvlText w:val="%8."/>
      <w:lvlJc w:val="left"/>
      <w:pPr>
        <w:tabs>
          <w:tab w:val="num" w:pos="5760"/>
        </w:tabs>
        <w:ind w:left="5760" w:hanging="360"/>
      </w:pPr>
    </w:lvl>
    <w:lvl w:ilvl="8" w:tplc="15FA8B52" w:tentative="1">
      <w:start w:val="1"/>
      <w:numFmt w:val="decimal"/>
      <w:lvlText w:val="%9."/>
      <w:lvlJc w:val="left"/>
      <w:pPr>
        <w:tabs>
          <w:tab w:val="num" w:pos="6480"/>
        </w:tabs>
        <w:ind w:left="6480" w:hanging="360"/>
      </w:pPr>
    </w:lvl>
  </w:abstractNum>
  <w:abstractNum w:abstractNumId="4" w15:restartNumberingAfterBreak="0">
    <w:nsid w:val="199D47A5"/>
    <w:multiLevelType w:val="hybridMultilevel"/>
    <w:tmpl w:val="7548EE2A"/>
    <w:lvl w:ilvl="0" w:tplc="6E1A5038">
      <w:start w:val="10"/>
      <w:numFmt w:val="decimal"/>
      <w:lvlText w:val="%1."/>
      <w:lvlJc w:val="left"/>
      <w:pPr>
        <w:tabs>
          <w:tab w:val="num" w:pos="720"/>
        </w:tabs>
        <w:ind w:left="720" w:hanging="360"/>
      </w:pPr>
    </w:lvl>
    <w:lvl w:ilvl="1" w:tplc="DE3C4DFE" w:tentative="1">
      <w:start w:val="1"/>
      <w:numFmt w:val="decimal"/>
      <w:lvlText w:val="%2."/>
      <w:lvlJc w:val="left"/>
      <w:pPr>
        <w:tabs>
          <w:tab w:val="num" w:pos="1440"/>
        </w:tabs>
        <w:ind w:left="1440" w:hanging="360"/>
      </w:pPr>
    </w:lvl>
    <w:lvl w:ilvl="2" w:tplc="8C565C40" w:tentative="1">
      <w:start w:val="1"/>
      <w:numFmt w:val="decimal"/>
      <w:lvlText w:val="%3."/>
      <w:lvlJc w:val="left"/>
      <w:pPr>
        <w:tabs>
          <w:tab w:val="num" w:pos="2160"/>
        </w:tabs>
        <w:ind w:left="2160" w:hanging="360"/>
      </w:pPr>
    </w:lvl>
    <w:lvl w:ilvl="3" w:tplc="7444F288" w:tentative="1">
      <w:start w:val="1"/>
      <w:numFmt w:val="decimal"/>
      <w:lvlText w:val="%4."/>
      <w:lvlJc w:val="left"/>
      <w:pPr>
        <w:tabs>
          <w:tab w:val="num" w:pos="2880"/>
        </w:tabs>
        <w:ind w:left="2880" w:hanging="360"/>
      </w:pPr>
    </w:lvl>
    <w:lvl w:ilvl="4" w:tplc="F850C02E" w:tentative="1">
      <w:start w:val="1"/>
      <w:numFmt w:val="decimal"/>
      <w:lvlText w:val="%5."/>
      <w:lvlJc w:val="left"/>
      <w:pPr>
        <w:tabs>
          <w:tab w:val="num" w:pos="3600"/>
        </w:tabs>
        <w:ind w:left="3600" w:hanging="360"/>
      </w:pPr>
    </w:lvl>
    <w:lvl w:ilvl="5" w:tplc="4F6A2DFA" w:tentative="1">
      <w:start w:val="1"/>
      <w:numFmt w:val="decimal"/>
      <w:lvlText w:val="%6."/>
      <w:lvlJc w:val="left"/>
      <w:pPr>
        <w:tabs>
          <w:tab w:val="num" w:pos="4320"/>
        </w:tabs>
        <w:ind w:left="4320" w:hanging="360"/>
      </w:pPr>
    </w:lvl>
    <w:lvl w:ilvl="6" w:tplc="3950276E" w:tentative="1">
      <w:start w:val="1"/>
      <w:numFmt w:val="decimal"/>
      <w:lvlText w:val="%7."/>
      <w:lvlJc w:val="left"/>
      <w:pPr>
        <w:tabs>
          <w:tab w:val="num" w:pos="5040"/>
        </w:tabs>
        <w:ind w:left="5040" w:hanging="360"/>
      </w:pPr>
    </w:lvl>
    <w:lvl w:ilvl="7" w:tplc="30DE23B6" w:tentative="1">
      <w:start w:val="1"/>
      <w:numFmt w:val="decimal"/>
      <w:lvlText w:val="%8."/>
      <w:lvlJc w:val="left"/>
      <w:pPr>
        <w:tabs>
          <w:tab w:val="num" w:pos="5760"/>
        </w:tabs>
        <w:ind w:left="5760" w:hanging="360"/>
      </w:pPr>
    </w:lvl>
    <w:lvl w:ilvl="8" w:tplc="72DE23FA" w:tentative="1">
      <w:start w:val="1"/>
      <w:numFmt w:val="decimal"/>
      <w:lvlText w:val="%9."/>
      <w:lvlJc w:val="left"/>
      <w:pPr>
        <w:tabs>
          <w:tab w:val="num" w:pos="6480"/>
        </w:tabs>
        <w:ind w:left="6480" w:hanging="360"/>
      </w:pPr>
    </w:lvl>
  </w:abstractNum>
  <w:abstractNum w:abstractNumId="5" w15:restartNumberingAfterBreak="0">
    <w:nsid w:val="257A042F"/>
    <w:multiLevelType w:val="hybridMultilevel"/>
    <w:tmpl w:val="7CECF006"/>
    <w:lvl w:ilvl="0" w:tplc="BD7849FC">
      <w:start w:val="6"/>
      <w:numFmt w:val="decimal"/>
      <w:lvlText w:val="%1."/>
      <w:lvlJc w:val="left"/>
      <w:pPr>
        <w:tabs>
          <w:tab w:val="num" w:pos="720"/>
        </w:tabs>
        <w:ind w:left="720" w:hanging="360"/>
      </w:pPr>
    </w:lvl>
    <w:lvl w:ilvl="1" w:tplc="A622097E" w:tentative="1">
      <w:start w:val="1"/>
      <w:numFmt w:val="decimal"/>
      <w:lvlText w:val="%2."/>
      <w:lvlJc w:val="left"/>
      <w:pPr>
        <w:tabs>
          <w:tab w:val="num" w:pos="1440"/>
        </w:tabs>
        <w:ind w:left="1440" w:hanging="360"/>
      </w:pPr>
    </w:lvl>
    <w:lvl w:ilvl="2" w:tplc="64E64BBC" w:tentative="1">
      <w:start w:val="1"/>
      <w:numFmt w:val="decimal"/>
      <w:lvlText w:val="%3."/>
      <w:lvlJc w:val="left"/>
      <w:pPr>
        <w:tabs>
          <w:tab w:val="num" w:pos="2160"/>
        </w:tabs>
        <w:ind w:left="2160" w:hanging="360"/>
      </w:pPr>
    </w:lvl>
    <w:lvl w:ilvl="3" w:tplc="FF4E0528" w:tentative="1">
      <w:start w:val="1"/>
      <w:numFmt w:val="decimal"/>
      <w:lvlText w:val="%4."/>
      <w:lvlJc w:val="left"/>
      <w:pPr>
        <w:tabs>
          <w:tab w:val="num" w:pos="2880"/>
        </w:tabs>
        <w:ind w:left="2880" w:hanging="360"/>
      </w:pPr>
    </w:lvl>
    <w:lvl w:ilvl="4" w:tplc="51A80CD2" w:tentative="1">
      <w:start w:val="1"/>
      <w:numFmt w:val="decimal"/>
      <w:lvlText w:val="%5."/>
      <w:lvlJc w:val="left"/>
      <w:pPr>
        <w:tabs>
          <w:tab w:val="num" w:pos="3600"/>
        </w:tabs>
        <w:ind w:left="3600" w:hanging="360"/>
      </w:pPr>
    </w:lvl>
    <w:lvl w:ilvl="5" w:tplc="4A9EF39E" w:tentative="1">
      <w:start w:val="1"/>
      <w:numFmt w:val="decimal"/>
      <w:lvlText w:val="%6."/>
      <w:lvlJc w:val="left"/>
      <w:pPr>
        <w:tabs>
          <w:tab w:val="num" w:pos="4320"/>
        </w:tabs>
        <w:ind w:left="4320" w:hanging="360"/>
      </w:pPr>
    </w:lvl>
    <w:lvl w:ilvl="6" w:tplc="B40A50DA" w:tentative="1">
      <w:start w:val="1"/>
      <w:numFmt w:val="decimal"/>
      <w:lvlText w:val="%7."/>
      <w:lvlJc w:val="left"/>
      <w:pPr>
        <w:tabs>
          <w:tab w:val="num" w:pos="5040"/>
        </w:tabs>
        <w:ind w:left="5040" w:hanging="360"/>
      </w:pPr>
    </w:lvl>
    <w:lvl w:ilvl="7" w:tplc="1F5C504E" w:tentative="1">
      <w:start w:val="1"/>
      <w:numFmt w:val="decimal"/>
      <w:lvlText w:val="%8."/>
      <w:lvlJc w:val="left"/>
      <w:pPr>
        <w:tabs>
          <w:tab w:val="num" w:pos="5760"/>
        </w:tabs>
        <w:ind w:left="5760" w:hanging="360"/>
      </w:pPr>
    </w:lvl>
    <w:lvl w:ilvl="8" w:tplc="400A2008" w:tentative="1">
      <w:start w:val="1"/>
      <w:numFmt w:val="decimal"/>
      <w:lvlText w:val="%9."/>
      <w:lvlJc w:val="left"/>
      <w:pPr>
        <w:tabs>
          <w:tab w:val="num" w:pos="6480"/>
        </w:tabs>
        <w:ind w:left="6480" w:hanging="360"/>
      </w:pPr>
    </w:lvl>
  </w:abstractNum>
  <w:abstractNum w:abstractNumId="6" w15:restartNumberingAfterBreak="0">
    <w:nsid w:val="2BAC180F"/>
    <w:multiLevelType w:val="hybridMultilevel"/>
    <w:tmpl w:val="718EE680"/>
    <w:lvl w:ilvl="0" w:tplc="5D90F7E2">
      <w:start w:val="1"/>
      <w:numFmt w:val="decimal"/>
      <w:lvlText w:val="%1."/>
      <w:lvlJc w:val="left"/>
      <w:pPr>
        <w:tabs>
          <w:tab w:val="num" w:pos="720"/>
        </w:tabs>
        <w:ind w:left="720" w:hanging="360"/>
      </w:pPr>
    </w:lvl>
    <w:lvl w:ilvl="1" w:tplc="38CC41CA">
      <w:numFmt w:val="bullet"/>
      <w:lvlText w:val="•"/>
      <w:lvlJc w:val="left"/>
      <w:pPr>
        <w:tabs>
          <w:tab w:val="num" w:pos="1440"/>
        </w:tabs>
        <w:ind w:left="1440" w:hanging="360"/>
      </w:pPr>
      <w:rPr>
        <w:rFonts w:ascii="Arial" w:hAnsi="Arial" w:hint="default"/>
      </w:rPr>
    </w:lvl>
    <w:lvl w:ilvl="2" w:tplc="39804332" w:tentative="1">
      <w:start w:val="1"/>
      <w:numFmt w:val="decimal"/>
      <w:lvlText w:val="%3."/>
      <w:lvlJc w:val="left"/>
      <w:pPr>
        <w:tabs>
          <w:tab w:val="num" w:pos="2160"/>
        </w:tabs>
        <w:ind w:left="2160" w:hanging="360"/>
      </w:pPr>
    </w:lvl>
    <w:lvl w:ilvl="3" w:tplc="6AD86456" w:tentative="1">
      <w:start w:val="1"/>
      <w:numFmt w:val="decimal"/>
      <w:lvlText w:val="%4."/>
      <w:lvlJc w:val="left"/>
      <w:pPr>
        <w:tabs>
          <w:tab w:val="num" w:pos="2880"/>
        </w:tabs>
        <w:ind w:left="2880" w:hanging="360"/>
      </w:pPr>
    </w:lvl>
    <w:lvl w:ilvl="4" w:tplc="8CEEFD60" w:tentative="1">
      <w:start w:val="1"/>
      <w:numFmt w:val="decimal"/>
      <w:lvlText w:val="%5."/>
      <w:lvlJc w:val="left"/>
      <w:pPr>
        <w:tabs>
          <w:tab w:val="num" w:pos="3600"/>
        </w:tabs>
        <w:ind w:left="3600" w:hanging="360"/>
      </w:pPr>
    </w:lvl>
    <w:lvl w:ilvl="5" w:tplc="D4E26FB4" w:tentative="1">
      <w:start w:val="1"/>
      <w:numFmt w:val="decimal"/>
      <w:lvlText w:val="%6."/>
      <w:lvlJc w:val="left"/>
      <w:pPr>
        <w:tabs>
          <w:tab w:val="num" w:pos="4320"/>
        </w:tabs>
        <w:ind w:left="4320" w:hanging="360"/>
      </w:pPr>
    </w:lvl>
    <w:lvl w:ilvl="6" w:tplc="E2EE5DF8" w:tentative="1">
      <w:start w:val="1"/>
      <w:numFmt w:val="decimal"/>
      <w:lvlText w:val="%7."/>
      <w:lvlJc w:val="left"/>
      <w:pPr>
        <w:tabs>
          <w:tab w:val="num" w:pos="5040"/>
        </w:tabs>
        <w:ind w:left="5040" w:hanging="360"/>
      </w:pPr>
    </w:lvl>
    <w:lvl w:ilvl="7" w:tplc="8E1A26D4" w:tentative="1">
      <w:start w:val="1"/>
      <w:numFmt w:val="decimal"/>
      <w:lvlText w:val="%8."/>
      <w:lvlJc w:val="left"/>
      <w:pPr>
        <w:tabs>
          <w:tab w:val="num" w:pos="5760"/>
        </w:tabs>
        <w:ind w:left="5760" w:hanging="360"/>
      </w:pPr>
    </w:lvl>
    <w:lvl w:ilvl="8" w:tplc="DDC0AEDE" w:tentative="1">
      <w:start w:val="1"/>
      <w:numFmt w:val="decimal"/>
      <w:lvlText w:val="%9."/>
      <w:lvlJc w:val="left"/>
      <w:pPr>
        <w:tabs>
          <w:tab w:val="num" w:pos="6480"/>
        </w:tabs>
        <w:ind w:left="6480" w:hanging="360"/>
      </w:pPr>
    </w:lvl>
  </w:abstractNum>
  <w:abstractNum w:abstractNumId="7" w15:restartNumberingAfterBreak="0">
    <w:nsid w:val="33601DB5"/>
    <w:multiLevelType w:val="hybridMultilevel"/>
    <w:tmpl w:val="E482CCF4"/>
    <w:lvl w:ilvl="0" w:tplc="514EA5F2">
      <w:start w:val="1"/>
      <w:numFmt w:val="bullet"/>
      <w:lvlText w:val="•"/>
      <w:lvlJc w:val="left"/>
      <w:pPr>
        <w:tabs>
          <w:tab w:val="num" w:pos="720"/>
        </w:tabs>
        <w:ind w:left="720" w:hanging="360"/>
      </w:pPr>
      <w:rPr>
        <w:rFonts w:ascii="Arial" w:hAnsi="Arial" w:hint="default"/>
      </w:rPr>
    </w:lvl>
    <w:lvl w:ilvl="1" w:tplc="DBDC2D3E">
      <w:start w:val="1"/>
      <w:numFmt w:val="bullet"/>
      <w:lvlText w:val="•"/>
      <w:lvlJc w:val="left"/>
      <w:pPr>
        <w:tabs>
          <w:tab w:val="num" w:pos="1440"/>
        </w:tabs>
        <w:ind w:left="1440" w:hanging="360"/>
      </w:pPr>
      <w:rPr>
        <w:rFonts w:ascii="Arial" w:hAnsi="Arial" w:hint="default"/>
      </w:rPr>
    </w:lvl>
    <w:lvl w:ilvl="2" w:tplc="04BE621E" w:tentative="1">
      <w:start w:val="1"/>
      <w:numFmt w:val="bullet"/>
      <w:lvlText w:val="•"/>
      <w:lvlJc w:val="left"/>
      <w:pPr>
        <w:tabs>
          <w:tab w:val="num" w:pos="2160"/>
        </w:tabs>
        <w:ind w:left="2160" w:hanging="360"/>
      </w:pPr>
      <w:rPr>
        <w:rFonts w:ascii="Arial" w:hAnsi="Arial" w:hint="default"/>
      </w:rPr>
    </w:lvl>
    <w:lvl w:ilvl="3" w:tplc="962820DC" w:tentative="1">
      <w:start w:val="1"/>
      <w:numFmt w:val="bullet"/>
      <w:lvlText w:val="•"/>
      <w:lvlJc w:val="left"/>
      <w:pPr>
        <w:tabs>
          <w:tab w:val="num" w:pos="2880"/>
        </w:tabs>
        <w:ind w:left="2880" w:hanging="360"/>
      </w:pPr>
      <w:rPr>
        <w:rFonts w:ascii="Arial" w:hAnsi="Arial" w:hint="default"/>
      </w:rPr>
    </w:lvl>
    <w:lvl w:ilvl="4" w:tplc="2300440A" w:tentative="1">
      <w:start w:val="1"/>
      <w:numFmt w:val="bullet"/>
      <w:lvlText w:val="•"/>
      <w:lvlJc w:val="left"/>
      <w:pPr>
        <w:tabs>
          <w:tab w:val="num" w:pos="3600"/>
        </w:tabs>
        <w:ind w:left="3600" w:hanging="360"/>
      </w:pPr>
      <w:rPr>
        <w:rFonts w:ascii="Arial" w:hAnsi="Arial" w:hint="default"/>
      </w:rPr>
    </w:lvl>
    <w:lvl w:ilvl="5" w:tplc="C0807402" w:tentative="1">
      <w:start w:val="1"/>
      <w:numFmt w:val="bullet"/>
      <w:lvlText w:val="•"/>
      <w:lvlJc w:val="left"/>
      <w:pPr>
        <w:tabs>
          <w:tab w:val="num" w:pos="4320"/>
        </w:tabs>
        <w:ind w:left="4320" w:hanging="360"/>
      </w:pPr>
      <w:rPr>
        <w:rFonts w:ascii="Arial" w:hAnsi="Arial" w:hint="default"/>
      </w:rPr>
    </w:lvl>
    <w:lvl w:ilvl="6" w:tplc="E402B46E" w:tentative="1">
      <w:start w:val="1"/>
      <w:numFmt w:val="bullet"/>
      <w:lvlText w:val="•"/>
      <w:lvlJc w:val="left"/>
      <w:pPr>
        <w:tabs>
          <w:tab w:val="num" w:pos="5040"/>
        </w:tabs>
        <w:ind w:left="5040" w:hanging="360"/>
      </w:pPr>
      <w:rPr>
        <w:rFonts w:ascii="Arial" w:hAnsi="Arial" w:hint="default"/>
      </w:rPr>
    </w:lvl>
    <w:lvl w:ilvl="7" w:tplc="584249A0" w:tentative="1">
      <w:start w:val="1"/>
      <w:numFmt w:val="bullet"/>
      <w:lvlText w:val="•"/>
      <w:lvlJc w:val="left"/>
      <w:pPr>
        <w:tabs>
          <w:tab w:val="num" w:pos="5760"/>
        </w:tabs>
        <w:ind w:left="5760" w:hanging="360"/>
      </w:pPr>
      <w:rPr>
        <w:rFonts w:ascii="Arial" w:hAnsi="Arial" w:hint="default"/>
      </w:rPr>
    </w:lvl>
    <w:lvl w:ilvl="8" w:tplc="15802B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9543E9"/>
    <w:multiLevelType w:val="hybridMultilevel"/>
    <w:tmpl w:val="0D5E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90519"/>
    <w:multiLevelType w:val="hybridMultilevel"/>
    <w:tmpl w:val="A184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A06AD"/>
    <w:multiLevelType w:val="hybridMultilevel"/>
    <w:tmpl w:val="B600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41FB3"/>
    <w:multiLevelType w:val="hybridMultilevel"/>
    <w:tmpl w:val="97E6C078"/>
    <w:lvl w:ilvl="0" w:tplc="6D3E58C4">
      <w:start w:val="12"/>
      <w:numFmt w:val="decimal"/>
      <w:lvlText w:val="%1."/>
      <w:lvlJc w:val="left"/>
      <w:pPr>
        <w:tabs>
          <w:tab w:val="num" w:pos="720"/>
        </w:tabs>
        <w:ind w:left="720" w:hanging="360"/>
      </w:pPr>
    </w:lvl>
    <w:lvl w:ilvl="1" w:tplc="AE1881F2" w:tentative="1">
      <w:start w:val="1"/>
      <w:numFmt w:val="decimal"/>
      <w:lvlText w:val="%2."/>
      <w:lvlJc w:val="left"/>
      <w:pPr>
        <w:tabs>
          <w:tab w:val="num" w:pos="1440"/>
        </w:tabs>
        <w:ind w:left="1440" w:hanging="360"/>
      </w:pPr>
    </w:lvl>
    <w:lvl w:ilvl="2" w:tplc="8A7899D6" w:tentative="1">
      <w:start w:val="1"/>
      <w:numFmt w:val="decimal"/>
      <w:lvlText w:val="%3."/>
      <w:lvlJc w:val="left"/>
      <w:pPr>
        <w:tabs>
          <w:tab w:val="num" w:pos="2160"/>
        </w:tabs>
        <w:ind w:left="2160" w:hanging="360"/>
      </w:pPr>
    </w:lvl>
    <w:lvl w:ilvl="3" w:tplc="3D1AA17C" w:tentative="1">
      <w:start w:val="1"/>
      <w:numFmt w:val="decimal"/>
      <w:lvlText w:val="%4."/>
      <w:lvlJc w:val="left"/>
      <w:pPr>
        <w:tabs>
          <w:tab w:val="num" w:pos="2880"/>
        </w:tabs>
        <w:ind w:left="2880" w:hanging="360"/>
      </w:pPr>
    </w:lvl>
    <w:lvl w:ilvl="4" w:tplc="8DDE0876" w:tentative="1">
      <w:start w:val="1"/>
      <w:numFmt w:val="decimal"/>
      <w:lvlText w:val="%5."/>
      <w:lvlJc w:val="left"/>
      <w:pPr>
        <w:tabs>
          <w:tab w:val="num" w:pos="3600"/>
        </w:tabs>
        <w:ind w:left="3600" w:hanging="360"/>
      </w:pPr>
    </w:lvl>
    <w:lvl w:ilvl="5" w:tplc="D0CCE304" w:tentative="1">
      <w:start w:val="1"/>
      <w:numFmt w:val="decimal"/>
      <w:lvlText w:val="%6."/>
      <w:lvlJc w:val="left"/>
      <w:pPr>
        <w:tabs>
          <w:tab w:val="num" w:pos="4320"/>
        </w:tabs>
        <w:ind w:left="4320" w:hanging="360"/>
      </w:pPr>
    </w:lvl>
    <w:lvl w:ilvl="6" w:tplc="C36A3FCC" w:tentative="1">
      <w:start w:val="1"/>
      <w:numFmt w:val="decimal"/>
      <w:lvlText w:val="%7."/>
      <w:lvlJc w:val="left"/>
      <w:pPr>
        <w:tabs>
          <w:tab w:val="num" w:pos="5040"/>
        </w:tabs>
        <w:ind w:left="5040" w:hanging="360"/>
      </w:pPr>
    </w:lvl>
    <w:lvl w:ilvl="7" w:tplc="D780F2B6" w:tentative="1">
      <w:start w:val="1"/>
      <w:numFmt w:val="decimal"/>
      <w:lvlText w:val="%8."/>
      <w:lvlJc w:val="left"/>
      <w:pPr>
        <w:tabs>
          <w:tab w:val="num" w:pos="5760"/>
        </w:tabs>
        <w:ind w:left="5760" w:hanging="360"/>
      </w:pPr>
    </w:lvl>
    <w:lvl w:ilvl="8" w:tplc="D7D23BE4" w:tentative="1">
      <w:start w:val="1"/>
      <w:numFmt w:val="decimal"/>
      <w:lvlText w:val="%9."/>
      <w:lvlJc w:val="left"/>
      <w:pPr>
        <w:tabs>
          <w:tab w:val="num" w:pos="6480"/>
        </w:tabs>
        <w:ind w:left="6480" w:hanging="360"/>
      </w:pPr>
    </w:lvl>
  </w:abstractNum>
  <w:abstractNum w:abstractNumId="12" w15:restartNumberingAfterBreak="0">
    <w:nsid w:val="55584A26"/>
    <w:multiLevelType w:val="hybridMultilevel"/>
    <w:tmpl w:val="9BBCF3CE"/>
    <w:lvl w:ilvl="0" w:tplc="C0FAD6C2">
      <w:start w:val="11"/>
      <w:numFmt w:val="decimal"/>
      <w:lvlText w:val="%1."/>
      <w:lvlJc w:val="left"/>
      <w:pPr>
        <w:tabs>
          <w:tab w:val="num" w:pos="720"/>
        </w:tabs>
        <w:ind w:left="720" w:hanging="360"/>
      </w:pPr>
    </w:lvl>
    <w:lvl w:ilvl="1" w:tplc="7E424890" w:tentative="1">
      <w:start w:val="1"/>
      <w:numFmt w:val="decimal"/>
      <w:lvlText w:val="%2."/>
      <w:lvlJc w:val="left"/>
      <w:pPr>
        <w:tabs>
          <w:tab w:val="num" w:pos="1440"/>
        </w:tabs>
        <w:ind w:left="1440" w:hanging="360"/>
      </w:pPr>
    </w:lvl>
    <w:lvl w:ilvl="2" w:tplc="34D4118E" w:tentative="1">
      <w:start w:val="1"/>
      <w:numFmt w:val="decimal"/>
      <w:lvlText w:val="%3."/>
      <w:lvlJc w:val="left"/>
      <w:pPr>
        <w:tabs>
          <w:tab w:val="num" w:pos="2160"/>
        </w:tabs>
        <w:ind w:left="2160" w:hanging="360"/>
      </w:pPr>
    </w:lvl>
    <w:lvl w:ilvl="3" w:tplc="CAACDAAC" w:tentative="1">
      <w:start w:val="1"/>
      <w:numFmt w:val="decimal"/>
      <w:lvlText w:val="%4."/>
      <w:lvlJc w:val="left"/>
      <w:pPr>
        <w:tabs>
          <w:tab w:val="num" w:pos="2880"/>
        </w:tabs>
        <w:ind w:left="2880" w:hanging="360"/>
      </w:pPr>
    </w:lvl>
    <w:lvl w:ilvl="4" w:tplc="791E1970" w:tentative="1">
      <w:start w:val="1"/>
      <w:numFmt w:val="decimal"/>
      <w:lvlText w:val="%5."/>
      <w:lvlJc w:val="left"/>
      <w:pPr>
        <w:tabs>
          <w:tab w:val="num" w:pos="3600"/>
        </w:tabs>
        <w:ind w:left="3600" w:hanging="360"/>
      </w:pPr>
    </w:lvl>
    <w:lvl w:ilvl="5" w:tplc="25EAE6BC" w:tentative="1">
      <w:start w:val="1"/>
      <w:numFmt w:val="decimal"/>
      <w:lvlText w:val="%6."/>
      <w:lvlJc w:val="left"/>
      <w:pPr>
        <w:tabs>
          <w:tab w:val="num" w:pos="4320"/>
        </w:tabs>
        <w:ind w:left="4320" w:hanging="360"/>
      </w:pPr>
    </w:lvl>
    <w:lvl w:ilvl="6" w:tplc="809A33D2" w:tentative="1">
      <w:start w:val="1"/>
      <w:numFmt w:val="decimal"/>
      <w:lvlText w:val="%7."/>
      <w:lvlJc w:val="left"/>
      <w:pPr>
        <w:tabs>
          <w:tab w:val="num" w:pos="5040"/>
        </w:tabs>
        <w:ind w:left="5040" w:hanging="360"/>
      </w:pPr>
    </w:lvl>
    <w:lvl w:ilvl="7" w:tplc="90708D3E" w:tentative="1">
      <w:start w:val="1"/>
      <w:numFmt w:val="decimal"/>
      <w:lvlText w:val="%8."/>
      <w:lvlJc w:val="left"/>
      <w:pPr>
        <w:tabs>
          <w:tab w:val="num" w:pos="5760"/>
        </w:tabs>
        <w:ind w:left="5760" w:hanging="360"/>
      </w:pPr>
    </w:lvl>
    <w:lvl w:ilvl="8" w:tplc="E662D38C" w:tentative="1">
      <w:start w:val="1"/>
      <w:numFmt w:val="decimal"/>
      <w:lvlText w:val="%9."/>
      <w:lvlJc w:val="left"/>
      <w:pPr>
        <w:tabs>
          <w:tab w:val="num" w:pos="6480"/>
        </w:tabs>
        <w:ind w:left="6480" w:hanging="360"/>
      </w:pPr>
    </w:lvl>
  </w:abstractNum>
  <w:abstractNum w:abstractNumId="13" w15:restartNumberingAfterBreak="0">
    <w:nsid w:val="57D015A0"/>
    <w:multiLevelType w:val="hybridMultilevel"/>
    <w:tmpl w:val="938E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C0926"/>
    <w:multiLevelType w:val="hybridMultilevel"/>
    <w:tmpl w:val="6D4A355A"/>
    <w:lvl w:ilvl="0" w:tplc="4C4A17D6">
      <w:start w:val="1"/>
      <w:numFmt w:val="lowerLetter"/>
      <w:lvlText w:val="(%1)"/>
      <w:lvlJc w:val="left"/>
      <w:pPr>
        <w:tabs>
          <w:tab w:val="num" w:pos="1080"/>
        </w:tabs>
        <w:ind w:left="1080" w:hanging="360"/>
      </w:pPr>
    </w:lvl>
    <w:lvl w:ilvl="1" w:tplc="D94CF292">
      <w:start w:val="1"/>
      <w:numFmt w:val="lowerLetter"/>
      <w:lvlText w:val="(%2)"/>
      <w:lvlJc w:val="left"/>
      <w:pPr>
        <w:tabs>
          <w:tab w:val="num" w:pos="1800"/>
        </w:tabs>
        <w:ind w:left="1800" w:hanging="360"/>
      </w:pPr>
    </w:lvl>
    <w:lvl w:ilvl="2" w:tplc="84426950" w:tentative="1">
      <w:start w:val="1"/>
      <w:numFmt w:val="lowerLetter"/>
      <w:lvlText w:val="(%3)"/>
      <w:lvlJc w:val="left"/>
      <w:pPr>
        <w:tabs>
          <w:tab w:val="num" w:pos="2520"/>
        </w:tabs>
        <w:ind w:left="2520" w:hanging="360"/>
      </w:pPr>
    </w:lvl>
    <w:lvl w:ilvl="3" w:tplc="B2CA6A98" w:tentative="1">
      <w:start w:val="1"/>
      <w:numFmt w:val="lowerLetter"/>
      <w:lvlText w:val="(%4)"/>
      <w:lvlJc w:val="left"/>
      <w:pPr>
        <w:tabs>
          <w:tab w:val="num" w:pos="3240"/>
        </w:tabs>
        <w:ind w:left="3240" w:hanging="360"/>
      </w:pPr>
    </w:lvl>
    <w:lvl w:ilvl="4" w:tplc="B03805D2" w:tentative="1">
      <w:start w:val="1"/>
      <w:numFmt w:val="lowerLetter"/>
      <w:lvlText w:val="(%5)"/>
      <w:lvlJc w:val="left"/>
      <w:pPr>
        <w:tabs>
          <w:tab w:val="num" w:pos="3960"/>
        </w:tabs>
        <w:ind w:left="3960" w:hanging="360"/>
      </w:pPr>
    </w:lvl>
    <w:lvl w:ilvl="5" w:tplc="B5AE7B5A" w:tentative="1">
      <w:start w:val="1"/>
      <w:numFmt w:val="lowerLetter"/>
      <w:lvlText w:val="(%6)"/>
      <w:lvlJc w:val="left"/>
      <w:pPr>
        <w:tabs>
          <w:tab w:val="num" w:pos="4680"/>
        </w:tabs>
        <w:ind w:left="4680" w:hanging="360"/>
      </w:pPr>
    </w:lvl>
    <w:lvl w:ilvl="6" w:tplc="9B9AD0BE" w:tentative="1">
      <w:start w:val="1"/>
      <w:numFmt w:val="lowerLetter"/>
      <w:lvlText w:val="(%7)"/>
      <w:lvlJc w:val="left"/>
      <w:pPr>
        <w:tabs>
          <w:tab w:val="num" w:pos="5400"/>
        </w:tabs>
        <w:ind w:left="5400" w:hanging="360"/>
      </w:pPr>
    </w:lvl>
    <w:lvl w:ilvl="7" w:tplc="C31CBDB4" w:tentative="1">
      <w:start w:val="1"/>
      <w:numFmt w:val="lowerLetter"/>
      <w:lvlText w:val="(%8)"/>
      <w:lvlJc w:val="left"/>
      <w:pPr>
        <w:tabs>
          <w:tab w:val="num" w:pos="6120"/>
        </w:tabs>
        <w:ind w:left="6120" w:hanging="360"/>
      </w:pPr>
    </w:lvl>
    <w:lvl w:ilvl="8" w:tplc="4FB2BDF8" w:tentative="1">
      <w:start w:val="1"/>
      <w:numFmt w:val="lowerLetter"/>
      <w:lvlText w:val="(%9)"/>
      <w:lvlJc w:val="left"/>
      <w:pPr>
        <w:tabs>
          <w:tab w:val="num" w:pos="6840"/>
        </w:tabs>
        <w:ind w:left="6840" w:hanging="360"/>
      </w:pPr>
    </w:lvl>
  </w:abstractNum>
  <w:abstractNum w:abstractNumId="15" w15:restartNumberingAfterBreak="0">
    <w:nsid w:val="659F461A"/>
    <w:multiLevelType w:val="hybridMultilevel"/>
    <w:tmpl w:val="4F3AD0CA"/>
    <w:lvl w:ilvl="0" w:tplc="4F0ACB4C">
      <w:start w:val="3"/>
      <w:numFmt w:val="decimal"/>
      <w:lvlText w:val="%1."/>
      <w:lvlJc w:val="left"/>
      <w:pPr>
        <w:tabs>
          <w:tab w:val="num" w:pos="720"/>
        </w:tabs>
        <w:ind w:left="720" w:hanging="360"/>
      </w:pPr>
    </w:lvl>
    <w:lvl w:ilvl="1" w:tplc="C9068558" w:tentative="1">
      <w:start w:val="1"/>
      <w:numFmt w:val="decimal"/>
      <w:lvlText w:val="%2."/>
      <w:lvlJc w:val="left"/>
      <w:pPr>
        <w:tabs>
          <w:tab w:val="num" w:pos="1440"/>
        </w:tabs>
        <w:ind w:left="1440" w:hanging="360"/>
      </w:pPr>
    </w:lvl>
    <w:lvl w:ilvl="2" w:tplc="0032DE0E" w:tentative="1">
      <w:start w:val="1"/>
      <w:numFmt w:val="decimal"/>
      <w:lvlText w:val="%3."/>
      <w:lvlJc w:val="left"/>
      <w:pPr>
        <w:tabs>
          <w:tab w:val="num" w:pos="2160"/>
        </w:tabs>
        <w:ind w:left="2160" w:hanging="360"/>
      </w:pPr>
    </w:lvl>
    <w:lvl w:ilvl="3" w:tplc="706ECAE2" w:tentative="1">
      <w:start w:val="1"/>
      <w:numFmt w:val="decimal"/>
      <w:lvlText w:val="%4."/>
      <w:lvlJc w:val="left"/>
      <w:pPr>
        <w:tabs>
          <w:tab w:val="num" w:pos="2880"/>
        </w:tabs>
        <w:ind w:left="2880" w:hanging="360"/>
      </w:pPr>
    </w:lvl>
    <w:lvl w:ilvl="4" w:tplc="FB163314" w:tentative="1">
      <w:start w:val="1"/>
      <w:numFmt w:val="decimal"/>
      <w:lvlText w:val="%5."/>
      <w:lvlJc w:val="left"/>
      <w:pPr>
        <w:tabs>
          <w:tab w:val="num" w:pos="3600"/>
        </w:tabs>
        <w:ind w:left="3600" w:hanging="360"/>
      </w:pPr>
    </w:lvl>
    <w:lvl w:ilvl="5" w:tplc="EB1E5CFC" w:tentative="1">
      <w:start w:val="1"/>
      <w:numFmt w:val="decimal"/>
      <w:lvlText w:val="%6."/>
      <w:lvlJc w:val="left"/>
      <w:pPr>
        <w:tabs>
          <w:tab w:val="num" w:pos="4320"/>
        </w:tabs>
        <w:ind w:left="4320" w:hanging="360"/>
      </w:pPr>
    </w:lvl>
    <w:lvl w:ilvl="6" w:tplc="94D40660" w:tentative="1">
      <w:start w:val="1"/>
      <w:numFmt w:val="decimal"/>
      <w:lvlText w:val="%7."/>
      <w:lvlJc w:val="left"/>
      <w:pPr>
        <w:tabs>
          <w:tab w:val="num" w:pos="5040"/>
        </w:tabs>
        <w:ind w:left="5040" w:hanging="360"/>
      </w:pPr>
    </w:lvl>
    <w:lvl w:ilvl="7" w:tplc="D82A701A" w:tentative="1">
      <w:start w:val="1"/>
      <w:numFmt w:val="decimal"/>
      <w:lvlText w:val="%8."/>
      <w:lvlJc w:val="left"/>
      <w:pPr>
        <w:tabs>
          <w:tab w:val="num" w:pos="5760"/>
        </w:tabs>
        <w:ind w:left="5760" w:hanging="360"/>
      </w:pPr>
    </w:lvl>
    <w:lvl w:ilvl="8" w:tplc="186AF2D2" w:tentative="1">
      <w:start w:val="1"/>
      <w:numFmt w:val="decimal"/>
      <w:lvlText w:val="%9."/>
      <w:lvlJc w:val="left"/>
      <w:pPr>
        <w:tabs>
          <w:tab w:val="num" w:pos="6480"/>
        </w:tabs>
        <w:ind w:left="6480" w:hanging="360"/>
      </w:pPr>
    </w:lvl>
  </w:abstractNum>
  <w:abstractNum w:abstractNumId="16" w15:restartNumberingAfterBreak="0">
    <w:nsid w:val="6DF34B47"/>
    <w:multiLevelType w:val="hybridMultilevel"/>
    <w:tmpl w:val="655AA3B8"/>
    <w:lvl w:ilvl="0" w:tplc="79C8690E">
      <w:start w:val="13"/>
      <w:numFmt w:val="decimal"/>
      <w:lvlText w:val="%1."/>
      <w:lvlJc w:val="left"/>
      <w:pPr>
        <w:tabs>
          <w:tab w:val="num" w:pos="720"/>
        </w:tabs>
        <w:ind w:left="720" w:hanging="360"/>
      </w:pPr>
    </w:lvl>
    <w:lvl w:ilvl="1" w:tplc="E01E86A4" w:tentative="1">
      <w:start w:val="1"/>
      <w:numFmt w:val="decimal"/>
      <w:lvlText w:val="%2."/>
      <w:lvlJc w:val="left"/>
      <w:pPr>
        <w:tabs>
          <w:tab w:val="num" w:pos="1440"/>
        </w:tabs>
        <w:ind w:left="1440" w:hanging="360"/>
      </w:pPr>
    </w:lvl>
    <w:lvl w:ilvl="2" w:tplc="E5768482" w:tentative="1">
      <w:start w:val="1"/>
      <w:numFmt w:val="decimal"/>
      <w:lvlText w:val="%3."/>
      <w:lvlJc w:val="left"/>
      <w:pPr>
        <w:tabs>
          <w:tab w:val="num" w:pos="2160"/>
        </w:tabs>
        <w:ind w:left="2160" w:hanging="360"/>
      </w:pPr>
    </w:lvl>
    <w:lvl w:ilvl="3" w:tplc="ED706528" w:tentative="1">
      <w:start w:val="1"/>
      <w:numFmt w:val="decimal"/>
      <w:lvlText w:val="%4."/>
      <w:lvlJc w:val="left"/>
      <w:pPr>
        <w:tabs>
          <w:tab w:val="num" w:pos="2880"/>
        </w:tabs>
        <w:ind w:left="2880" w:hanging="360"/>
      </w:pPr>
    </w:lvl>
    <w:lvl w:ilvl="4" w:tplc="2D6878AC" w:tentative="1">
      <w:start w:val="1"/>
      <w:numFmt w:val="decimal"/>
      <w:lvlText w:val="%5."/>
      <w:lvlJc w:val="left"/>
      <w:pPr>
        <w:tabs>
          <w:tab w:val="num" w:pos="3600"/>
        </w:tabs>
        <w:ind w:left="3600" w:hanging="360"/>
      </w:pPr>
    </w:lvl>
    <w:lvl w:ilvl="5" w:tplc="BBA096E2" w:tentative="1">
      <w:start w:val="1"/>
      <w:numFmt w:val="decimal"/>
      <w:lvlText w:val="%6."/>
      <w:lvlJc w:val="left"/>
      <w:pPr>
        <w:tabs>
          <w:tab w:val="num" w:pos="4320"/>
        </w:tabs>
        <w:ind w:left="4320" w:hanging="360"/>
      </w:pPr>
    </w:lvl>
    <w:lvl w:ilvl="6" w:tplc="FB7C8254" w:tentative="1">
      <w:start w:val="1"/>
      <w:numFmt w:val="decimal"/>
      <w:lvlText w:val="%7."/>
      <w:lvlJc w:val="left"/>
      <w:pPr>
        <w:tabs>
          <w:tab w:val="num" w:pos="5040"/>
        </w:tabs>
        <w:ind w:left="5040" w:hanging="360"/>
      </w:pPr>
    </w:lvl>
    <w:lvl w:ilvl="7" w:tplc="5622BC6C" w:tentative="1">
      <w:start w:val="1"/>
      <w:numFmt w:val="decimal"/>
      <w:lvlText w:val="%8."/>
      <w:lvlJc w:val="left"/>
      <w:pPr>
        <w:tabs>
          <w:tab w:val="num" w:pos="5760"/>
        </w:tabs>
        <w:ind w:left="5760" w:hanging="360"/>
      </w:pPr>
    </w:lvl>
    <w:lvl w:ilvl="8" w:tplc="F2CC3118" w:tentative="1">
      <w:start w:val="1"/>
      <w:numFmt w:val="decimal"/>
      <w:lvlText w:val="%9."/>
      <w:lvlJc w:val="left"/>
      <w:pPr>
        <w:tabs>
          <w:tab w:val="num" w:pos="6480"/>
        </w:tabs>
        <w:ind w:left="6480" w:hanging="360"/>
      </w:pPr>
    </w:lvl>
  </w:abstractNum>
  <w:num w:numId="1">
    <w:abstractNumId w:val="6"/>
  </w:num>
  <w:num w:numId="2">
    <w:abstractNumId w:val="9"/>
  </w:num>
  <w:num w:numId="3">
    <w:abstractNumId w:val="2"/>
  </w:num>
  <w:num w:numId="4">
    <w:abstractNumId w:val="13"/>
  </w:num>
  <w:num w:numId="5">
    <w:abstractNumId w:val="1"/>
  </w:num>
  <w:num w:numId="6">
    <w:abstractNumId w:val="7"/>
  </w:num>
  <w:num w:numId="7">
    <w:abstractNumId w:val="10"/>
  </w:num>
  <w:num w:numId="8">
    <w:abstractNumId w:val="8"/>
  </w:num>
  <w:num w:numId="9">
    <w:abstractNumId w:val="0"/>
  </w:num>
  <w:num w:numId="10">
    <w:abstractNumId w:val="14"/>
  </w:num>
  <w:num w:numId="11">
    <w:abstractNumId w:val="3"/>
  </w:num>
  <w:num w:numId="12">
    <w:abstractNumId w:val="15"/>
  </w:num>
  <w:num w:numId="13">
    <w:abstractNumId w:val="5"/>
  </w:num>
  <w:num w:numId="14">
    <w:abstractNumId w:val="4"/>
  </w:num>
  <w:num w:numId="15">
    <w:abstractNumId w:val="12"/>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BB"/>
    <w:rsid w:val="0031267A"/>
    <w:rsid w:val="0034181D"/>
    <w:rsid w:val="003F51A7"/>
    <w:rsid w:val="005508C2"/>
    <w:rsid w:val="00681DB5"/>
    <w:rsid w:val="007D02C5"/>
    <w:rsid w:val="00935E83"/>
    <w:rsid w:val="00A44B86"/>
    <w:rsid w:val="00B568BB"/>
    <w:rsid w:val="00C77F9B"/>
    <w:rsid w:val="00C807C3"/>
    <w:rsid w:val="00D308A7"/>
    <w:rsid w:val="00E86A31"/>
    <w:rsid w:val="00F0196E"/>
    <w:rsid w:val="00F9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CBBD6"/>
  <w15:chartTrackingRefBased/>
  <w15:docId w15:val="{9CDC3ACD-587A-4309-8F5F-98F6ACE0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8BB"/>
    <w:pPr>
      <w:outlineLvl w:val="0"/>
    </w:pPr>
    <w:rPr>
      <w:b/>
      <w:bCs/>
    </w:rPr>
  </w:style>
  <w:style w:type="paragraph" w:styleId="Heading2">
    <w:name w:val="heading 2"/>
    <w:basedOn w:val="Normal"/>
    <w:next w:val="Normal"/>
    <w:link w:val="Heading2Char"/>
    <w:uiPriority w:val="9"/>
    <w:unhideWhenUsed/>
    <w:qFormat/>
    <w:rsid w:val="00B568BB"/>
    <w:pPr>
      <w:outlineLvl w:val="1"/>
    </w:pPr>
    <w:rPr>
      <w:b/>
      <w:sz w:val="24"/>
    </w:rPr>
  </w:style>
  <w:style w:type="paragraph" w:styleId="Heading3">
    <w:name w:val="heading 3"/>
    <w:basedOn w:val="Heading2"/>
    <w:next w:val="Normal"/>
    <w:link w:val="Heading3Char"/>
    <w:uiPriority w:val="9"/>
    <w:unhideWhenUsed/>
    <w:qFormat/>
    <w:rsid w:val="00C807C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8BB"/>
    <w:rPr>
      <w:b/>
      <w:bCs/>
    </w:rPr>
  </w:style>
  <w:style w:type="character" w:customStyle="1" w:styleId="Heading2Char">
    <w:name w:val="Heading 2 Char"/>
    <w:basedOn w:val="DefaultParagraphFont"/>
    <w:link w:val="Heading2"/>
    <w:uiPriority w:val="9"/>
    <w:rsid w:val="00B568BB"/>
    <w:rPr>
      <w:b/>
      <w:sz w:val="24"/>
    </w:rPr>
  </w:style>
  <w:style w:type="character" w:styleId="Hyperlink">
    <w:name w:val="Hyperlink"/>
    <w:basedOn w:val="DefaultParagraphFont"/>
    <w:uiPriority w:val="99"/>
    <w:unhideWhenUsed/>
    <w:rsid w:val="00B568BB"/>
    <w:rPr>
      <w:color w:val="0563C1" w:themeColor="hyperlink"/>
      <w:u w:val="single"/>
    </w:rPr>
  </w:style>
  <w:style w:type="character" w:styleId="UnresolvedMention">
    <w:name w:val="Unresolved Mention"/>
    <w:basedOn w:val="DefaultParagraphFont"/>
    <w:uiPriority w:val="99"/>
    <w:semiHidden/>
    <w:unhideWhenUsed/>
    <w:rsid w:val="00B568BB"/>
    <w:rPr>
      <w:color w:val="605E5C"/>
      <w:shd w:val="clear" w:color="auto" w:fill="E1DFDD"/>
    </w:rPr>
  </w:style>
  <w:style w:type="paragraph" w:styleId="ListParagraph">
    <w:name w:val="List Paragraph"/>
    <w:basedOn w:val="Normal"/>
    <w:uiPriority w:val="34"/>
    <w:qFormat/>
    <w:rsid w:val="00F90978"/>
    <w:pPr>
      <w:ind w:left="720"/>
      <w:contextualSpacing/>
    </w:pPr>
  </w:style>
  <w:style w:type="table" w:styleId="TableGrid">
    <w:name w:val="Table Grid"/>
    <w:basedOn w:val="TableNormal"/>
    <w:uiPriority w:val="39"/>
    <w:rsid w:val="00F90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A7"/>
    <w:rPr>
      <w:rFonts w:ascii="Segoe UI" w:hAnsi="Segoe UI" w:cs="Segoe UI"/>
      <w:sz w:val="18"/>
      <w:szCs w:val="18"/>
    </w:rPr>
  </w:style>
  <w:style w:type="paragraph" w:styleId="NormalWeb">
    <w:name w:val="Normal (Web)"/>
    <w:basedOn w:val="Normal"/>
    <w:uiPriority w:val="99"/>
    <w:semiHidden/>
    <w:unhideWhenUsed/>
    <w:rsid w:val="00681D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807C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0549">
      <w:bodyDiv w:val="1"/>
      <w:marLeft w:val="0"/>
      <w:marRight w:val="0"/>
      <w:marTop w:val="0"/>
      <w:marBottom w:val="0"/>
      <w:divBdr>
        <w:top w:val="none" w:sz="0" w:space="0" w:color="auto"/>
        <w:left w:val="none" w:sz="0" w:space="0" w:color="auto"/>
        <w:bottom w:val="none" w:sz="0" w:space="0" w:color="auto"/>
        <w:right w:val="none" w:sz="0" w:space="0" w:color="auto"/>
      </w:divBdr>
    </w:div>
    <w:div w:id="21177275">
      <w:bodyDiv w:val="1"/>
      <w:marLeft w:val="0"/>
      <w:marRight w:val="0"/>
      <w:marTop w:val="0"/>
      <w:marBottom w:val="0"/>
      <w:divBdr>
        <w:top w:val="none" w:sz="0" w:space="0" w:color="auto"/>
        <w:left w:val="none" w:sz="0" w:space="0" w:color="auto"/>
        <w:bottom w:val="none" w:sz="0" w:space="0" w:color="auto"/>
        <w:right w:val="none" w:sz="0" w:space="0" w:color="auto"/>
      </w:divBdr>
      <w:divsChild>
        <w:div w:id="1764302074">
          <w:marLeft w:val="547"/>
          <w:marRight w:val="0"/>
          <w:marTop w:val="0"/>
          <w:marBottom w:val="40"/>
          <w:divBdr>
            <w:top w:val="none" w:sz="0" w:space="0" w:color="auto"/>
            <w:left w:val="none" w:sz="0" w:space="0" w:color="auto"/>
            <w:bottom w:val="none" w:sz="0" w:space="0" w:color="auto"/>
            <w:right w:val="none" w:sz="0" w:space="0" w:color="auto"/>
          </w:divBdr>
        </w:div>
        <w:div w:id="385956167">
          <w:marLeft w:val="547"/>
          <w:marRight w:val="0"/>
          <w:marTop w:val="0"/>
          <w:marBottom w:val="40"/>
          <w:divBdr>
            <w:top w:val="none" w:sz="0" w:space="0" w:color="auto"/>
            <w:left w:val="none" w:sz="0" w:space="0" w:color="auto"/>
            <w:bottom w:val="none" w:sz="0" w:space="0" w:color="auto"/>
            <w:right w:val="none" w:sz="0" w:space="0" w:color="auto"/>
          </w:divBdr>
        </w:div>
        <w:div w:id="1231577145">
          <w:marLeft w:val="547"/>
          <w:marRight w:val="0"/>
          <w:marTop w:val="0"/>
          <w:marBottom w:val="40"/>
          <w:divBdr>
            <w:top w:val="none" w:sz="0" w:space="0" w:color="auto"/>
            <w:left w:val="none" w:sz="0" w:space="0" w:color="auto"/>
            <w:bottom w:val="none" w:sz="0" w:space="0" w:color="auto"/>
            <w:right w:val="none" w:sz="0" w:space="0" w:color="auto"/>
          </w:divBdr>
        </w:div>
        <w:div w:id="2113161055">
          <w:marLeft w:val="547"/>
          <w:marRight w:val="0"/>
          <w:marTop w:val="0"/>
          <w:marBottom w:val="40"/>
          <w:divBdr>
            <w:top w:val="none" w:sz="0" w:space="0" w:color="auto"/>
            <w:left w:val="none" w:sz="0" w:space="0" w:color="auto"/>
            <w:bottom w:val="none" w:sz="0" w:space="0" w:color="auto"/>
            <w:right w:val="none" w:sz="0" w:space="0" w:color="auto"/>
          </w:divBdr>
        </w:div>
        <w:div w:id="1173568630">
          <w:marLeft w:val="547"/>
          <w:marRight w:val="0"/>
          <w:marTop w:val="0"/>
          <w:marBottom w:val="40"/>
          <w:divBdr>
            <w:top w:val="none" w:sz="0" w:space="0" w:color="auto"/>
            <w:left w:val="none" w:sz="0" w:space="0" w:color="auto"/>
            <w:bottom w:val="none" w:sz="0" w:space="0" w:color="auto"/>
            <w:right w:val="none" w:sz="0" w:space="0" w:color="auto"/>
          </w:divBdr>
        </w:div>
        <w:div w:id="861168185">
          <w:marLeft w:val="547"/>
          <w:marRight w:val="0"/>
          <w:marTop w:val="0"/>
          <w:marBottom w:val="40"/>
          <w:divBdr>
            <w:top w:val="none" w:sz="0" w:space="0" w:color="auto"/>
            <w:left w:val="none" w:sz="0" w:space="0" w:color="auto"/>
            <w:bottom w:val="none" w:sz="0" w:space="0" w:color="auto"/>
            <w:right w:val="none" w:sz="0" w:space="0" w:color="auto"/>
          </w:divBdr>
        </w:div>
        <w:div w:id="35544896">
          <w:marLeft w:val="547"/>
          <w:marRight w:val="0"/>
          <w:marTop w:val="0"/>
          <w:marBottom w:val="40"/>
          <w:divBdr>
            <w:top w:val="none" w:sz="0" w:space="0" w:color="auto"/>
            <w:left w:val="none" w:sz="0" w:space="0" w:color="auto"/>
            <w:bottom w:val="none" w:sz="0" w:space="0" w:color="auto"/>
            <w:right w:val="none" w:sz="0" w:space="0" w:color="auto"/>
          </w:divBdr>
        </w:div>
        <w:div w:id="1330333739">
          <w:marLeft w:val="547"/>
          <w:marRight w:val="0"/>
          <w:marTop w:val="0"/>
          <w:marBottom w:val="40"/>
          <w:divBdr>
            <w:top w:val="none" w:sz="0" w:space="0" w:color="auto"/>
            <w:left w:val="none" w:sz="0" w:space="0" w:color="auto"/>
            <w:bottom w:val="none" w:sz="0" w:space="0" w:color="auto"/>
            <w:right w:val="none" w:sz="0" w:space="0" w:color="auto"/>
          </w:divBdr>
        </w:div>
        <w:div w:id="45492977">
          <w:marLeft w:val="547"/>
          <w:marRight w:val="0"/>
          <w:marTop w:val="0"/>
          <w:marBottom w:val="40"/>
          <w:divBdr>
            <w:top w:val="none" w:sz="0" w:space="0" w:color="auto"/>
            <w:left w:val="none" w:sz="0" w:space="0" w:color="auto"/>
            <w:bottom w:val="none" w:sz="0" w:space="0" w:color="auto"/>
            <w:right w:val="none" w:sz="0" w:space="0" w:color="auto"/>
          </w:divBdr>
        </w:div>
      </w:divsChild>
    </w:div>
    <w:div w:id="24523492">
      <w:bodyDiv w:val="1"/>
      <w:marLeft w:val="0"/>
      <w:marRight w:val="0"/>
      <w:marTop w:val="0"/>
      <w:marBottom w:val="0"/>
      <w:divBdr>
        <w:top w:val="none" w:sz="0" w:space="0" w:color="auto"/>
        <w:left w:val="none" w:sz="0" w:space="0" w:color="auto"/>
        <w:bottom w:val="none" w:sz="0" w:space="0" w:color="auto"/>
        <w:right w:val="none" w:sz="0" w:space="0" w:color="auto"/>
      </w:divBdr>
    </w:div>
    <w:div w:id="89357531">
      <w:bodyDiv w:val="1"/>
      <w:marLeft w:val="0"/>
      <w:marRight w:val="0"/>
      <w:marTop w:val="0"/>
      <w:marBottom w:val="0"/>
      <w:divBdr>
        <w:top w:val="none" w:sz="0" w:space="0" w:color="auto"/>
        <w:left w:val="none" w:sz="0" w:space="0" w:color="auto"/>
        <w:bottom w:val="none" w:sz="0" w:space="0" w:color="auto"/>
        <w:right w:val="none" w:sz="0" w:space="0" w:color="auto"/>
      </w:divBdr>
    </w:div>
    <w:div w:id="131867884">
      <w:bodyDiv w:val="1"/>
      <w:marLeft w:val="0"/>
      <w:marRight w:val="0"/>
      <w:marTop w:val="0"/>
      <w:marBottom w:val="0"/>
      <w:divBdr>
        <w:top w:val="none" w:sz="0" w:space="0" w:color="auto"/>
        <w:left w:val="none" w:sz="0" w:space="0" w:color="auto"/>
        <w:bottom w:val="none" w:sz="0" w:space="0" w:color="auto"/>
        <w:right w:val="none" w:sz="0" w:space="0" w:color="auto"/>
      </w:divBdr>
    </w:div>
    <w:div w:id="131944317">
      <w:bodyDiv w:val="1"/>
      <w:marLeft w:val="0"/>
      <w:marRight w:val="0"/>
      <w:marTop w:val="0"/>
      <w:marBottom w:val="0"/>
      <w:divBdr>
        <w:top w:val="none" w:sz="0" w:space="0" w:color="auto"/>
        <w:left w:val="none" w:sz="0" w:space="0" w:color="auto"/>
        <w:bottom w:val="none" w:sz="0" w:space="0" w:color="auto"/>
        <w:right w:val="none" w:sz="0" w:space="0" w:color="auto"/>
      </w:divBdr>
    </w:div>
    <w:div w:id="136462909">
      <w:bodyDiv w:val="1"/>
      <w:marLeft w:val="0"/>
      <w:marRight w:val="0"/>
      <w:marTop w:val="0"/>
      <w:marBottom w:val="0"/>
      <w:divBdr>
        <w:top w:val="none" w:sz="0" w:space="0" w:color="auto"/>
        <w:left w:val="none" w:sz="0" w:space="0" w:color="auto"/>
        <w:bottom w:val="none" w:sz="0" w:space="0" w:color="auto"/>
        <w:right w:val="none" w:sz="0" w:space="0" w:color="auto"/>
      </w:divBdr>
    </w:div>
    <w:div w:id="158498567">
      <w:bodyDiv w:val="1"/>
      <w:marLeft w:val="0"/>
      <w:marRight w:val="0"/>
      <w:marTop w:val="0"/>
      <w:marBottom w:val="0"/>
      <w:divBdr>
        <w:top w:val="none" w:sz="0" w:space="0" w:color="auto"/>
        <w:left w:val="none" w:sz="0" w:space="0" w:color="auto"/>
        <w:bottom w:val="none" w:sz="0" w:space="0" w:color="auto"/>
        <w:right w:val="none" w:sz="0" w:space="0" w:color="auto"/>
      </w:divBdr>
    </w:div>
    <w:div w:id="166483854">
      <w:bodyDiv w:val="1"/>
      <w:marLeft w:val="0"/>
      <w:marRight w:val="0"/>
      <w:marTop w:val="0"/>
      <w:marBottom w:val="0"/>
      <w:divBdr>
        <w:top w:val="none" w:sz="0" w:space="0" w:color="auto"/>
        <w:left w:val="none" w:sz="0" w:space="0" w:color="auto"/>
        <w:bottom w:val="none" w:sz="0" w:space="0" w:color="auto"/>
        <w:right w:val="none" w:sz="0" w:space="0" w:color="auto"/>
      </w:divBdr>
    </w:div>
    <w:div w:id="174226923">
      <w:bodyDiv w:val="1"/>
      <w:marLeft w:val="0"/>
      <w:marRight w:val="0"/>
      <w:marTop w:val="0"/>
      <w:marBottom w:val="0"/>
      <w:divBdr>
        <w:top w:val="none" w:sz="0" w:space="0" w:color="auto"/>
        <w:left w:val="none" w:sz="0" w:space="0" w:color="auto"/>
        <w:bottom w:val="none" w:sz="0" w:space="0" w:color="auto"/>
        <w:right w:val="none" w:sz="0" w:space="0" w:color="auto"/>
      </w:divBdr>
      <w:divsChild>
        <w:div w:id="1006640532">
          <w:marLeft w:val="547"/>
          <w:marRight w:val="0"/>
          <w:marTop w:val="0"/>
          <w:marBottom w:val="40"/>
          <w:divBdr>
            <w:top w:val="none" w:sz="0" w:space="0" w:color="auto"/>
            <w:left w:val="none" w:sz="0" w:space="0" w:color="auto"/>
            <w:bottom w:val="none" w:sz="0" w:space="0" w:color="auto"/>
            <w:right w:val="none" w:sz="0" w:space="0" w:color="auto"/>
          </w:divBdr>
        </w:div>
        <w:div w:id="1427770688">
          <w:marLeft w:val="547"/>
          <w:marRight w:val="0"/>
          <w:marTop w:val="0"/>
          <w:marBottom w:val="40"/>
          <w:divBdr>
            <w:top w:val="none" w:sz="0" w:space="0" w:color="auto"/>
            <w:left w:val="none" w:sz="0" w:space="0" w:color="auto"/>
            <w:bottom w:val="none" w:sz="0" w:space="0" w:color="auto"/>
            <w:right w:val="none" w:sz="0" w:space="0" w:color="auto"/>
          </w:divBdr>
        </w:div>
        <w:div w:id="53436546">
          <w:marLeft w:val="547"/>
          <w:marRight w:val="0"/>
          <w:marTop w:val="0"/>
          <w:marBottom w:val="40"/>
          <w:divBdr>
            <w:top w:val="none" w:sz="0" w:space="0" w:color="auto"/>
            <w:left w:val="none" w:sz="0" w:space="0" w:color="auto"/>
            <w:bottom w:val="none" w:sz="0" w:space="0" w:color="auto"/>
            <w:right w:val="none" w:sz="0" w:space="0" w:color="auto"/>
          </w:divBdr>
        </w:div>
        <w:div w:id="1417436243">
          <w:marLeft w:val="547"/>
          <w:marRight w:val="0"/>
          <w:marTop w:val="0"/>
          <w:marBottom w:val="40"/>
          <w:divBdr>
            <w:top w:val="none" w:sz="0" w:space="0" w:color="auto"/>
            <w:left w:val="none" w:sz="0" w:space="0" w:color="auto"/>
            <w:bottom w:val="none" w:sz="0" w:space="0" w:color="auto"/>
            <w:right w:val="none" w:sz="0" w:space="0" w:color="auto"/>
          </w:divBdr>
        </w:div>
      </w:divsChild>
    </w:div>
    <w:div w:id="197547315">
      <w:bodyDiv w:val="1"/>
      <w:marLeft w:val="0"/>
      <w:marRight w:val="0"/>
      <w:marTop w:val="0"/>
      <w:marBottom w:val="0"/>
      <w:divBdr>
        <w:top w:val="none" w:sz="0" w:space="0" w:color="auto"/>
        <w:left w:val="none" w:sz="0" w:space="0" w:color="auto"/>
        <w:bottom w:val="none" w:sz="0" w:space="0" w:color="auto"/>
        <w:right w:val="none" w:sz="0" w:space="0" w:color="auto"/>
      </w:divBdr>
    </w:div>
    <w:div w:id="200753122">
      <w:bodyDiv w:val="1"/>
      <w:marLeft w:val="0"/>
      <w:marRight w:val="0"/>
      <w:marTop w:val="0"/>
      <w:marBottom w:val="0"/>
      <w:divBdr>
        <w:top w:val="none" w:sz="0" w:space="0" w:color="auto"/>
        <w:left w:val="none" w:sz="0" w:space="0" w:color="auto"/>
        <w:bottom w:val="none" w:sz="0" w:space="0" w:color="auto"/>
        <w:right w:val="none" w:sz="0" w:space="0" w:color="auto"/>
      </w:divBdr>
    </w:div>
    <w:div w:id="217713477">
      <w:bodyDiv w:val="1"/>
      <w:marLeft w:val="0"/>
      <w:marRight w:val="0"/>
      <w:marTop w:val="0"/>
      <w:marBottom w:val="0"/>
      <w:divBdr>
        <w:top w:val="none" w:sz="0" w:space="0" w:color="auto"/>
        <w:left w:val="none" w:sz="0" w:space="0" w:color="auto"/>
        <w:bottom w:val="none" w:sz="0" w:space="0" w:color="auto"/>
        <w:right w:val="none" w:sz="0" w:space="0" w:color="auto"/>
      </w:divBdr>
    </w:div>
    <w:div w:id="240454292">
      <w:bodyDiv w:val="1"/>
      <w:marLeft w:val="0"/>
      <w:marRight w:val="0"/>
      <w:marTop w:val="0"/>
      <w:marBottom w:val="0"/>
      <w:divBdr>
        <w:top w:val="none" w:sz="0" w:space="0" w:color="auto"/>
        <w:left w:val="none" w:sz="0" w:space="0" w:color="auto"/>
        <w:bottom w:val="none" w:sz="0" w:space="0" w:color="auto"/>
        <w:right w:val="none" w:sz="0" w:space="0" w:color="auto"/>
      </w:divBdr>
    </w:div>
    <w:div w:id="261841296">
      <w:bodyDiv w:val="1"/>
      <w:marLeft w:val="0"/>
      <w:marRight w:val="0"/>
      <w:marTop w:val="0"/>
      <w:marBottom w:val="0"/>
      <w:divBdr>
        <w:top w:val="none" w:sz="0" w:space="0" w:color="auto"/>
        <w:left w:val="none" w:sz="0" w:space="0" w:color="auto"/>
        <w:bottom w:val="none" w:sz="0" w:space="0" w:color="auto"/>
        <w:right w:val="none" w:sz="0" w:space="0" w:color="auto"/>
      </w:divBdr>
    </w:div>
    <w:div w:id="285047280">
      <w:bodyDiv w:val="1"/>
      <w:marLeft w:val="0"/>
      <w:marRight w:val="0"/>
      <w:marTop w:val="0"/>
      <w:marBottom w:val="0"/>
      <w:divBdr>
        <w:top w:val="none" w:sz="0" w:space="0" w:color="auto"/>
        <w:left w:val="none" w:sz="0" w:space="0" w:color="auto"/>
        <w:bottom w:val="none" w:sz="0" w:space="0" w:color="auto"/>
        <w:right w:val="none" w:sz="0" w:space="0" w:color="auto"/>
      </w:divBdr>
    </w:div>
    <w:div w:id="312567031">
      <w:bodyDiv w:val="1"/>
      <w:marLeft w:val="0"/>
      <w:marRight w:val="0"/>
      <w:marTop w:val="0"/>
      <w:marBottom w:val="0"/>
      <w:divBdr>
        <w:top w:val="none" w:sz="0" w:space="0" w:color="auto"/>
        <w:left w:val="none" w:sz="0" w:space="0" w:color="auto"/>
        <w:bottom w:val="none" w:sz="0" w:space="0" w:color="auto"/>
        <w:right w:val="none" w:sz="0" w:space="0" w:color="auto"/>
      </w:divBdr>
    </w:div>
    <w:div w:id="352387156">
      <w:bodyDiv w:val="1"/>
      <w:marLeft w:val="0"/>
      <w:marRight w:val="0"/>
      <w:marTop w:val="0"/>
      <w:marBottom w:val="0"/>
      <w:divBdr>
        <w:top w:val="none" w:sz="0" w:space="0" w:color="auto"/>
        <w:left w:val="none" w:sz="0" w:space="0" w:color="auto"/>
        <w:bottom w:val="none" w:sz="0" w:space="0" w:color="auto"/>
        <w:right w:val="none" w:sz="0" w:space="0" w:color="auto"/>
      </w:divBdr>
    </w:div>
    <w:div w:id="506136250">
      <w:bodyDiv w:val="1"/>
      <w:marLeft w:val="0"/>
      <w:marRight w:val="0"/>
      <w:marTop w:val="0"/>
      <w:marBottom w:val="0"/>
      <w:divBdr>
        <w:top w:val="none" w:sz="0" w:space="0" w:color="auto"/>
        <w:left w:val="none" w:sz="0" w:space="0" w:color="auto"/>
        <w:bottom w:val="none" w:sz="0" w:space="0" w:color="auto"/>
        <w:right w:val="none" w:sz="0" w:space="0" w:color="auto"/>
      </w:divBdr>
    </w:div>
    <w:div w:id="557938542">
      <w:bodyDiv w:val="1"/>
      <w:marLeft w:val="0"/>
      <w:marRight w:val="0"/>
      <w:marTop w:val="0"/>
      <w:marBottom w:val="0"/>
      <w:divBdr>
        <w:top w:val="none" w:sz="0" w:space="0" w:color="auto"/>
        <w:left w:val="none" w:sz="0" w:space="0" w:color="auto"/>
        <w:bottom w:val="none" w:sz="0" w:space="0" w:color="auto"/>
        <w:right w:val="none" w:sz="0" w:space="0" w:color="auto"/>
      </w:divBdr>
    </w:div>
    <w:div w:id="590938668">
      <w:bodyDiv w:val="1"/>
      <w:marLeft w:val="0"/>
      <w:marRight w:val="0"/>
      <w:marTop w:val="0"/>
      <w:marBottom w:val="0"/>
      <w:divBdr>
        <w:top w:val="none" w:sz="0" w:space="0" w:color="auto"/>
        <w:left w:val="none" w:sz="0" w:space="0" w:color="auto"/>
        <w:bottom w:val="none" w:sz="0" w:space="0" w:color="auto"/>
        <w:right w:val="none" w:sz="0" w:space="0" w:color="auto"/>
      </w:divBdr>
    </w:div>
    <w:div w:id="601495566">
      <w:bodyDiv w:val="1"/>
      <w:marLeft w:val="0"/>
      <w:marRight w:val="0"/>
      <w:marTop w:val="0"/>
      <w:marBottom w:val="0"/>
      <w:divBdr>
        <w:top w:val="none" w:sz="0" w:space="0" w:color="auto"/>
        <w:left w:val="none" w:sz="0" w:space="0" w:color="auto"/>
        <w:bottom w:val="none" w:sz="0" w:space="0" w:color="auto"/>
        <w:right w:val="none" w:sz="0" w:space="0" w:color="auto"/>
      </w:divBdr>
    </w:div>
    <w:div w:id="663239929">
      <w:bodyDiv w:val="1"/>
      <w:marLeft w:val="0"/>
      <w:marRight w:val="0"/>
      <w:marTop w:val="0"/>
      <w:marBottom w:val="0"/>
      <w:divBdr>
        <w:top w:val="none" w:sz="0" w:space="0" w:color="auto"/>
        <w:left w:val="none" w:sz="0" w:space="0" w:color="auto"/>
        <w:bottom w:val="none" w:sz="0" w:space="0" w:color="auto"/>
        <w:right w:val="none" w:sz="0" w:space="0" w:color="auto"/>
      </w:divBdr>
    </w:div>
    <w:div w:id="678896533">
      <w:bodyDiv w:val="1"/>
      <w:marLeft w:val="0"/>
      <w:marRight w:val="0"/>
      <w:marTop w:val="0"/>
      <w:marBottom w:val="0"/>
      <w:divBdr>
        <w:top w:val="none" w:sz="0" w:space="0" w:color="auto"/>
        <w:left w:val="none" w:sz="0" w:space="0" w:color="auto"/>
        <w:bottom w:val="none" w:sz="0" w:space="0" w:color="auto"/>
        <w:right w:val="none" w:sz="0" w:space="0" w:color="auto"/>
      </w:divBdr>
    </w:div>
    <w:div w:id="709719259">
      <w:bodyDiv w:val="1"/>
      <w:marLeft w:val="0"/>
      <w:marRight w:val="0"/>
      <w:marTop w:val="0"/>
      <w:marBottom w:val="0"/>
      <w:divBdr>
        <w:top w:val="none" w:sz="0" w:space="0" w:color="auto"/>
        <w:left w:val="none" w:sz="0" w:space="0" w:color="auto"/>
        <w:bottom w:val="none" w:sz="0" w:space="0" w:color="auto"/>
        <w:right w:val="none" w:sz="0" w:space="0" w:color="auto"/>
      </w:divBdr>
    </w:div>
    <w:div w:id="737900924">
      <w:bodyDiv w:val="1"/>
      <w:marLeft w:val="0"/>
      <w:marRight w:val="0"/>
      <w:marTop w:val="0"/>
      <w:marBottom w:val="0"/>
      <w:divBdr>
        <w:top w:val="none" w:sz="0" w:space="0" w:color="auto"/>
        <w:left w:val="none" w:sz="0" w:space="0" w:color="auto"/>
        <w:bottom w:val="none" w:sz="0" w:space="0" w:color="auto"/>
        <w:right w:val="none" w:sz="0" w:space="0" w:color="auto"/>
      </w:divBdr>
      <w:divsChild>
        <w:div w:id="1196193562">
          <w:marLeft w:val="720"/>
          <w:marRight w:val="0"/>
          <w:marTop w:val="0"/>
          <w:marBottom w:val="200"/>
          <w:divBdr>
            <w:top w:val="none" w:sz="0" w:space="0" w:color="auto"/>
            <w:left w:val="none" w:sz="0" w:space="0" w:color="auto"/>
            <w:bottom w:val="none" w:sz="0" w:space="0" w:color="auto"/>
            <w:right w:val="none" w:sz="0" w:space="0" w:color="auto"/>
          </w:divBdr>
        </w:div>
        <w:div w:id="1141190166">
          <w:marLeft w:val="720"/>
          <w:marRight w:val="0"/>
          <w:marTop w:val="0"/>
          <w:marBottom w:val="200"/>
          <w:divBdr>
            <w:top w:val="none" w:sz="0" w:space="0" w:color="auto"/>
            <w:left w:val="none" w:sz="0" w:space="0" w:color="auto"/>
            <w:bottom w:val="none" w:sz="0" w:space="0" w:color="auto"/>
            <w:right w:val="none" w:sz="0" w:space="0" w:color="auto"/>
          </w:divBdr>
        </w:div>
        <w:div w:id="395320299">
          <w:marLeft w:val="720"/>
          <w:marRight w:val="0"/>
          <w:marTop w:val="0"/>
          <w:marBottom w:val="200"/>
          <w:divBdr>
            <w:top w:val="none" w:sz="0" w:space="0" w:color="auto"/>
            <w:left w:val="none" w:sz="0" w:space="0" w:color="auto"/>
            <w:bottom w:val="none" w:sz="0" w:space="0" w:color="auto"/>
            <w:right w:val="none" w:sz="0" w:space="0" w:color="auto"/>
          </w:divBdr>
        </w:div>
        <w:div w:id="72902202">
          <w:marLeft w:val="720"/>
          <w:marRight w:val="0"/>
          <w:marTop w:val="0"/>
          <w:marBottom w:val="200"/>
          <w:divBdr>
            <w:top w:val="none" w:sz="0" w:space="0" w:color="auto"/>
            <w:left w:val="none" w:sz="0" w:space="0" w:color="auto"/>
            <w:bottom w:val="none" w:sz="0" w:space="0" w:color="auto"/>
            <w:right w:val="none" w:sz="0" w:space="0" w:color="auto"/>
          </w:divBdr>
        </w:div>
        <w:div w:id="1118838323">
          <w:marLeft w:val="720"/>
          <w:marRight w:val="0"/>
          <w:marTop w:val="0"/>
          <w:marBottom w:val="200"/>
          <w:divBdr>
            <w:top w:val="none" w:sz="0" w:space="0" w:color="auto"/>
            <w:left w:val="none" w:sz="0" w:space="0" w:color="auto"/>
            <w:bottom w:val="none" w:sz="0" w:space="0" w:color="auto"/>
            <w:right w:val="none" w:sz="0" w:space="0" w:color="auto"/>
          </w:divBdr>
        </w:div>
        <w:div w:id="2136437182">
          <w:marLeft w:val="720"/>
          <w:marRight w:val="0"/>
          <w:marTop w:val="0"/>
          <w:marBottom w:val="200"/>
          <w:divBdr>
            <w:top w:val="none" w:sz="0" w:space="0" w:color="auto"/>
            <w:left w:val="none" w:sz="0" w:space="0" w:color="auto"/>
            <w:bottom w:val="none" w:sz="0" w:space="0" w:color="auto"/>
            <w:right w:val="none" w:sz="0" w:space="0" w:color="auto"/>
          </w:divBdr>
        </w:div>
        <w:div w:id="2136825349">
          <w:marLeft w:val="720"/>
          <w:marRight w:val="0"/>
          <w:marTop w:val="0"/>
          <w:marBottom w:val="200"/>
          <w:divBdr>
            <w:top w:val="none" w:sz="0" w:space="0" w:color="auto"/>
            <w:left w:val="none" w:sz="0" w:space="0" w:color="auto"/>
            <w:bottom w:val="none" w:sz="0" w:space="0" w:color="auto"/>
            <w:right w:val="none" w:sz="0" w:space="0" w:color="auto"/>
          </w:divBdr>
        </w:div>
        <w:div w:id="32924661">
          <w:marLeft w:val="720"/>
          <w:marRight w:val="0"/>
          <w:marTop w:val="0"/>
          <w:marBottom w:val="200"/>
          <w:divBdr>
            <w:top w:val="none" w:sz="0" w:space="0" w:color="auto"/>
            <w:left w:val="none" w:sz="0" w:space="0" w:color="auto"/>
            <w:bottom w:val="none" w:sz="0" w:space="0" w:color="auto"/>
            <w:right w:val="none" w:sz="0" w:space="0" w:color="auto"/>
          </w:divBdr>
        </w:div>
        <w:div w:id="538202699">
          <w:marLeft w:val="720"/>
          <w:marRight w:val="0"/>
          <w:marTop w:val="0"/>
          <w:marBottom w:val="200"/>
          <w:divBdr>
            <w:top w:val="none" w:sz="0" w:space="0" w:color="auto"/>
            <w:left w:val="none" w:sz="0" w:space="0" w:color="auto"/>
            <w:bottom w:val="none" w:sz="0" w:space="0" w:color="auto"/>
            <w:right w:val="none" w:sz="0" w:space="0" w:color="auto"/>
          </w:divBdr>
        </w:div>
      </w:divsChild>
    </w:div>
    <w:div w:id="784732525">
      <w:bodyDiv w:val="1"/>
      <w:marLeft w:val="0"/>
      <w:marRight w:val="0"/>
      <w:marTop w:val="0"/>
      <w:marBottom w:val="0"/>
      <w:divBdr>
        <w:top w:val="none" w:sz="0" w:space="0" w:color="auto"/>
        <w:left w:val="none" w:sz="0" w:space="0" w:color="auto"/>
        <w:bottom w:val="none" w:sz="0" w:space="0" w:color="auto"/>
        <w:right w:val="none" w:sz="0" w:space="0" w:color="auto"/>
      </w:divBdr>
    </w:div>
    <w:div w:id="815532093">
      <w:bodyDiv w:val="1"/>
      <w:marLeft w:val="0"/>
      <w:marRight w:val="0"/>
      <w:marTop w:val="0"/>
      <w:marBottom w:val="0"/>
      <w:divBdr>
        <w:top w:val="none" w:sz="0" w:space="0" w:color="auto"/>
        <w:left w:val="none" w:sz="0" w:space="0" w:color="auto"/>
        <w:bottom w:val="none" w:sz="0" w:space="0" w:color="auto"/>
        <w:right w:val="none" w:sz="0" w:space="0" w:color="auto"/>
      </w:divBdr>
    </w:div>
    <w:div w:id="827479092">
      <w:bodyDiv w:val="1"/>
      <w:marLeft w:val="0"/>
      <w:marRight w:val="0"/>
      <w:marTop w:val="0"/>
      <w:marBottom w:val="0"/>
      <w:divBdr>
        <w:top w:val="none" w:sz="0" w:space="0" w:color="auto"/>
        <w:left w:val="none" w:sz="0" w:space="0" w:color="auto"/>
        <w:bottom w:val="none" w:sz="0" w:space="0" w:color="auto"/>
        <w:right w:val="none" w:sz="0" w:space="0" w:color="auto"/>
      </w:divBdr>
    </w:div>
    <w:div w:id="854343654">
      <w:bodyDiv w:val="1"/>
      <w:marLeft w:val="0"/>
      <w:marRight w:val="0"/>
      <w:marTop w:val="0"/>
      <w:marBottom w:val="0"/>
      <w:divBdr>
        <w:top w:val="none" w:sz="0" w:space="0" w:color="auto"/>
        <w:left w:val="none" w:sz="0" w:space="0" w:color="auto"/>
        <w:bottom w:val="none" w:sz="0" w:space="0" w:color="auto"/>
        <w:right w:val="none" w:sz="0" w:space="0" w:color="auto"/>
      </w:divBdr>
    </w:div>
    <w:div w:id="862787815">
      <w:bodyDiv w:val="1"/>
      <w:marLeft w:val="0"/>
      <w:marRight w:val="0"/>
      <w:marTop w:val="0"/>
      <w:marBottom w:val="0"/>
      <w:divBdr>
        <w:top w:val="none" w:sz="0" w:space="0" w:color="auto"/>
        <w:left w:val="none" w:sz="0" w:space="0" w:color="auto"/>
        <w:bottom w:val="none" w:sz="0" w:space="0" w:color="auto"/>
        <w:right w:val="none" w:sz="0" w:space="0" w:color="auto"/>
      </w:divBdr>
    </w:div>
    <w:div w:id="892888367">
      <w:bodyDiv w:val="1"/>
      <w:marLeft w:val="0"/>
      <w:marRight w:val="0"/>
      <w:marTop w:val="0"/>
      <w:marBottom w:val="0"/>
      <w:divBdr>
        <w:top w:val="none" w:sz="0" w:space="0" w:color="auto"/>
        <w:left w:val="none" w:sz="0" w:space="0" w:color="auto"/>
        <w:bottom w:val="none" w:sz="0" w:space="0" w:color="auto"/>
        <w:right w:val="none" w:sz="0" w:space="0" w:color="auto"/>
      </w:divBdr>
    </w:div>
    <w:div w:id="903487853">
      <w:bodyDiv w:val="1"/>
      <w:marLeft w:val="0"/>
      <w:marRight w:val="0"/>
      <w:marTop w:val="0"/>
      <w:marBottom w:val="0"/>
      <w:divBdr>
        <w:top w:val="none" w:sz="0" w:space="0" w:color="auto"/>
        <w:left w:val="none" w:sz="0" w:space="0" w:color="auto"/>
        <w:bottom w:val="none" w:sz="0" w:space="0" w:color="auto"/>
        <w:right w:val="none" w:sz="0" w:space="0" w:color="auto"/>
      </w:divBdr>
    </w:div>
    <w:div w:id="988090719">
      <w:bodyDiv w:val="1"/>
      <w:marLeft w:val="0"/>
      <w:marRight w:val="0"/>
      <w:marTop w:val="0"/>
      <w:marBottom w:val="0"/>
      <w:divBdr>
        <w:top w:val="none" w:sz="0" w:space="0" w:color="auto"/>
        <w:left w:val="none" w:sz="0" w:space="0" w:color="auto"/>
        <w:bottom w:val="none" w:sz="0" w:space="0" w:color="auto"/>
        <w:right w:val="none" w:sz="0" w:space="0" w:color="auto"/>
      </w:divBdr>
    </w:div>
    <w:div w:id="992372427">
      <w:bodyDiv w:val="1"/>
      <w:marLeft w:val="0"/>
      <w:marRight w:val="0"/>
      <w:marTop w:val="0"/>
      <w:marBottom w:val="0"/>
      <w:divBdr>
        <w:top w:val="none" w:sz="0" w:space="0" w:color="auto"/>
        <w:left w:val="none" w:sz="0" w:space="0" w:color="auto"/>
        <w:bottom w:val="none" w:sz="0" w:space="0" w:color="auto"/>
        <w:right w:val="none" w:sz="0" w:space="0" w:color="auto"/>
      </w:divBdr>
      <w:divsChild>
        <w:div w:id="861015390">
          <w:marLeft w:val="360"/>
          <w:marRight w:val="0"/>
          <w:marTop w:val="0"/>
          <w:marBottom w:val="0"/>
          <w:divBdr>
            <w:top w:val="none" w:sz="0" w:space="0" w:color="auto"/>
            <w:left w:val="none" w:sz="0" w:space="0" w:color="auto"/>
            <w:bottom w:val="none" w:sz="0" w:space="0" w:color="auto"/>
            <w:right w:val="none" w:sz="0" w:space="0" w:color="auto"/>
          </w:divBdr>
        </w:div>
        <w:div w:id="395905651">
          <w:marLeft w:val="360"/>
          <w:marRight w:val="0"/>
          <w:marTop w:val="0"/>
          <w:marBottom w:val="0"/>
          <w:divBdr>
            <w:top w:val="none" w:sz="0" w:space="0" w:color="auto"/>
            <w:left w:val="none" w:sz="0" w:space="0" w:color="auto"/>
            <w:bottom w:val="none" w:sz="0" w:space="0" w:color="auto"/>
            <w:right w:val="none" w:sz="0" w:space="0" w:color="auto"/>
          </w:divBdr>
        </w:div>
        <w:div w:id="744960775">
          <w:marLeft w:val="360"/>
          <w:marRight w:val="0"/>
          <w:marTop w:val="0"/>
          <w:marBottom w:val="0"/>
          <w:divBdr>
            <w:top w:val="none" w:sz="0" w:space="0" w:color="auto"/>
            <w:left w:val="none" w:sz="0" w:space="0" w:color="auto"/>
            <w:bottom w:val="none" w:sz="0" w:space="0" w:color="auto"/>
            <w:right w:val="none" w:sz="0" w:space="0" w:color="auto"/>
          </w:divBdr>
        </w:div>
      </w:divsChild>
    </w:div>
    <w:div w:id="1019893046">
      <w:bodyDiv w:val="1"/>
      <w:marLeft w:val="0"/>
      <w:marRight w:val="0"/>
      <w:marTop w:val="0"/>
      <w:marBottom w:val="0"/>
      <w:divBdr>
        <w:top w:val="none" w:sz="0" w:space="0" w:color="auto"/>
        <w:left w:val="none" w:sz="0" w:space="0" w:color="auto"/>
        <w:bottom w:val="none" w:sz="0" w:space="0" w:color="auto"/>
        <w:right w:val="none" w:sz="0" w:space="0" w:color="auto"/>
      </w:divBdr>
    </w:div>
    <w:div w:id="1058406521">
      <w:bodyDiv w:val="1"/>
      <w:marLeft w:val="0"/>
      <w:marRight w:val="0"/>
      <w:marTop w:val="0"/>
      <w:marBottom w:val="0"/>
      <w:divBdr>
        <w:top w:val="none" w:sz="0" w:space="0" w:color="auto"/>
        <w:left w:val="none" w:sz="0" w:space="0" w:color="auto"/>
        <w:bottom w:val="none" w:sz="0" w:space="0" w:color="auto"/>
        <w:right w:val="none" w:sz="0" w:space="0" w:color="auto"/>
      </w:divBdr>
    </w:div>
    <w:div w:id="1091002882">
      <w:bodyDiv w:val="1"/>
      <w:marLeft w:val="0"/>
      <w:marRight w:val="0"/>
      <w:marTop w:val="0"/>
      <w:marBottom w:val="0"/>
      <w:divBdr>
        <w:top w:val="none" w:sz="0" w:space="0" w:color="auto"/>
        <w:left w:val="none" w:sz="0" w:space="0" w:color="auto"/>
        <w:bottom w:val="none" w:sz="0" w:space="0" w:color="auto"/>
        <w:right w:val="none" w:sz="0" w:space="0" w:color="auto"/>
      </w:divBdr>
    </w:div>
    <w:div w:id="1119910293">
      <w:bodyDiv w:val="1"/>
      <w:marLeft w:val="0"/>
      <w:marRight w:val="0"/>
      <w:marTop w:val="0"/>
      <w:marBottom w:val="0"/>
      <w:divBdr>
        <w:top w:val="none" w:sz="0" w:space="0" w:color="auto"/>
        <w:left w:val="none" w:sz="0" w:space="0" w:color="auto"/>
        <w:bottom w:val="none" w:sz="0" w:space="0" w:color="auto"/>
        <w:right w:val="none" w:sz="0" w:space="0" w:color="auto"/>
      </w:divBdr>
    </w:div>
    <w:div w:id="1145925254">
      <w:bodyDiv w:val="1"/>
      <w:marLeft w:val="0"/>
      <w:marRight w:val="0"/>
      <w:marTop w:val="0"/>
      <w:marBottom w:val="0"/>
      <w:divBdr>
        <w:top w:val="none" w:sz="0" w:space="0" w:color="auto"/>
        <w:left w:val="none" w:sz="0" w:space="0" w:color="auto"/>
        <w:bottom w:val="none" w:sz="0" w:space="0" w:color="auto"/>
        <w:right w:val="none" w:sz="0" w:space="0" w:color="auto"/>
      </w:divBdr>
    </w:div>
    <w:div w:id="1223174108">
      <w:bodyDiv w:val="1"/>
      <w:marLeft w:val="0"/>
      <w:marRight w:val="0"/>
      <w:marTop w:val="0"/>
      <w:marBottom w:val="0"/>
      <w:divBdr>
        <w:top w:val="none" w:sz="0" w:space="0" w:color="auto"/>
        <w:left w:val="none" w:sz="0" w:space="0" w:color="auto"/>
        <w:bottom w:val="none" w:sz="0" w:space="0" w:color="auto"/>
        <w:right w:val="none" w:sz="0" w:space="0" w:color="auto"/>
      </w:divBdr>
      <w:divsChild>
        <w:div w:id="778718856">
          <w:marLeft w:val="547"/>
          <w:marRight w:val="0"/>
          <w:marTop w:val="0"/>
          <w:marBottom w:val="0"/>
          <w:divBdr>
            <w:top w:val="none" w:sz="0" w:space="0" w:color="auto"/>
            <w:left w:val="none" w:sz="0" w:space="0" w:color="auto"/>
            <w:bottom w:val="none" w:sz="0" w:space="0" w:color="auto"/>
            <w:right w:val="none" w:sz="0" w:space="0" w:color="auto"/>
          </w:divBdr>
        </w:div>
        <w:div w:id="37897735">
          <w:marLeft w:val="547"/>
          <w:marRight w:val="0"/>
          <w:marTop w:val="0"/>
          <w:marBottom w:val="0"/>
          <w:divBdr>
            <w:top w:val="none" w:sz="0" w:space="0" w:color="auto"/>
            <w:left w:val="none" w:sz="0" w:space="0" w:color="auto"/>
            <w:bottom w:val="none" w:sz="0" w:space="0" w:color="auto"/>
            <w:right w:val="none" w:sz="0" w:space="0" w:color="auto"/>
          </w:divBdr>
        </w:div>
        <w:div w:id="1225220901">
          <w:marLeft w:val="547"/>
          <w:marRight w:val="0"/>
          <w:marTop w:val="0"/>
          <w:marBottom w:val="0"/>
          <w:divBdr>
            <w:top w:val="none" w:sz="0" w:space="0" w:color="auto"/>
            <w:left w:val="none" w:sz="0" w:space="0" w:color="auto"/>
            <w:bottom w:val="none" w:sz="0" w:space="0" w:color="auto"/>
            <w:right w:val="none" w:sz="0" w:space="0" w:color="auto"/>
          </w:divBdr>
        </w:div>
        <w:div w:id="1341279876">
          <w:marLeft w:val="547"/>
          <w:marRight w:val="0"/>
          <w:marTop w:val="0"/>
          <w:marBottom w:val="0"/>
          <w:divBdr>
            <w:top w:val="none" w:sz="0" w:space="0" w:color="auto"/>
            <w:left w:val="none" w:sz="0" w:space="0" w:color="auto"/>
            <w:bottom w:val="none" w:sz="0" w:space="0" w:color="auto"/>
            <w:right w:val="none" w:sz="0" w:space="0" w:color="auto"/>
          </w:divBdr>
        </w:div>
        <w:div w:id="305018026">
          <w:marLeft w:val="547"/>
          <w:marRight w:val="0"/>
          <w:marTop w:val="0"/>
          <w:marBottom w:val="0"/>
          <w:divBdr>
            <w:top w:val="none" w:sz="0" w:space="0" w:color="auto"/>
            <w:left w:val="none" w:sz="0" w:space="0" w:color="auto"/>
            <w:bottom w:val="none" w:sz="0" w:space="0" w:color="auto"/>
            <w:right w:val="none" w:sz="0" w:space="0" w:color="auto"/>
          </w:divBdr>
        </w:div>
        <w:div w:id="1694646404">
          <w:marLeft w:val="547"/>
          <w:marRight w:val="0"/>
          <w:marTop w:val="0"/>
          <w:marBottom w:val="0"/>
          <w:divBdr>
            <w:top w:val="none" w:sz="0" w:space="0" w:color="auto"/>
            <w:left w:val="none" w:sz="0" w:space="0" w:color="auto"/>
            <w:bottom w:val="none" w:sz="0" w:space="0" w:color="auto"/>
            <w:right w:val="none" w:sz="0" w:space="0" w:color="auto"/>
          </w:divBdr>
        </w:div>
        <w:div w:id="1966738980">
          <w:marLeft w:val="1166"/>
          <w:marRight w:val="0"/>
          <w:marTop w:val="0"/>
          <w:marBottom w:val="0"/>
          <w:divBdr>
            <w:top w:val="none" w:sz="0" w:space="0" w:color="auto"/>
            <w:left w:val="none" w:sz="0" w:space="0" w:color="auto"/>
            <w:bottom w:val="none" w:sz="0" w:space="0" w:color="auto"/>
            <w:right w:val="none" w:sz="0" w:space="0" w:color="auto"/>
          </w:divBdr>
        </w:div>
        <w:div w:id="983048107">
          <w:marLeft w:val="1166"/>
          <w:marRight w:val="0"/>
          <w:marTop w:val="0"/>
          <w:marBottom w:val="0"/>
          <w:divBdr>
            <w:top w:val="none" w:sz="0" w:space="0" w:color="auto"/>
            <w:left w:val="none" w:sz="0" w:space="0" w:color="auto"/>
            <w:bottom w:val="none" w:sz="0" w:space="0" w:color="auto"/>
            <w:right w:val="none" w:sz="0" w:space="0" w:color="auto"/>
          </w:divBdr>
        </w:div>
        <w:div w:id="1729651311">
          <w:marLeft w:val="1166"/>
          <w:marRight w:val="0"/>
          <w:marTop w:val="0"/>
          <w:marBottom w:val="0"/>
          <w:divBdr>
            <w:top w:val="none" w:sz="0" w:space="0" w:color="auto"/>
            <w:left w:val="none" w:sz="0" w:space="0" w:color="auto"/>
            <w:bottom w:val="none" w:sz="0" w:space="0" w:color="auto"/>
            <w:right w:val="none" w:sz="0" w:space="0" w:color="auto"/>
          </w:divBdr>
        </w:div>
        <w:div w:id="1975721422">
          <w:marLeft w:val="1166"/>
          <w:marRight w:val="0"/>
          <w:marTop w:val="0"/>
          <w:marBottom w:val="0"/>
          <w:divBdr>
            <w:top w:val="none" w:sz="0" w:space="0" w:color="auto"/>
            <w:left w:val="none" w:sz="0" w:space="0" w:color="auto"/>
            <w:bottom w:val="none" w:sz="0" w:space="0" w:color="auto"/>
            <w:right w:val="none" w:sz="0" w:space="0" w:color="auto"/>
          </w:divBdr>
        </w:div>
        <w:div w:id="627393883">
          <w:marLeft w:val="1166"/>
          <w:marRight w:val="0"/>
          <w:marTop w:val="0"/>
          <w:marBottom w:val="0"/>
          <w:divBdr>
            <w:top w:val="none" w:sz="0" w:space="0" w:color="auto"/>
            <w:left w:val="none" w:sz="0" w:space="0" w:color="auto"/>
            <w:bottom w:val="none" w:sz="0" w:space="0" w:color="auto"/>
            <w:right w:val="none" w:sz="0" w:space="0" w:color="auto"/>
          </w:divBdr>
        </w:div>
        <w:div w:id="483738191">
          <w:marLeft w:val="1166"/>
          <w:marRight w:val="0"/>
          <w:marTop w:val="0"/>
          <w:marBottom w:val="0"/>
          <w:divBdr>
            <w:top w:val="none" w:sz="0" w:space="0" w:color="auto"/>
            <w:left w:val="none" w:sz="0" w:space="0" w:color="auto"/>
            <w:bottom w:val="none" w:sz="0" w:space="0" w:color="auto"/>
            <w:right w:val="none" w:sz="0" w:space="0" w:color="auto"/>
          </w:divBdr>
        </w:div>
        <w:div w:id="884682764">
          <w:marLeft w:val="1166"/>
          <w:marRight w:val="0"/>
          <w:marTop w:val="0"/>
          <w:marBottom w:val="0"/>
          <w:divBdr>
            <w:top w:val="none" w:sz="0" w:space="0" w:color="auto"/>
            <w:left w:val="none" w:sz="0" w:space="0" w:color="auto"/>
            <w:bottom w:val="none" w:sz="0" w:space="0" w:color="auto"/>
            <w:right w:val="none" w:sz="0" w:space="0" w:color="auto"/>
          </w:divBdr>
        </w:div>
        <w:div w:id="602958240">
          <w:marLeft w:val="1166"/>
          <w:marRight w:val="0"/>
          <w:marTop w:val="0"/>
          <w:marBottom w:val="0"/>
          <w:divBdr>
            <w:top w:val="none" w:sz="0" w:space="0" w:color="auto"/>
            <w:left w:val="none" w:sz="0" w:space="0" w:color="auto"/>
            <w:bottom w:val="none" w:sz="0" w:space="0" w:color="auto"/>
            <w:right w:val="none" w:sz="0" w:space="0" w:color="auto"/>
          </w:divBdr>
        </w:div>
      </w:divsChild>
    </w:div>
    <w:div w:id="1242763274">
      <w:bodyDiv w:val="1"/>
      <w:marLeft w:val="0"/>
      <w:marRight w:val="0"/>
      <w:marTop w:val="0"/>
      <w:marBottom w:val="0"/>
      <w:divBdr>
        <w:top w:val="none" w:sz="0" w:space="0" w:color="auto"/>
        <w:left w:val="none" w:sz="0" w:space="0" w:color="auto"/>
        <w:bottom w:val="none" w:sz="0" w:space="0" w:color="auto"/>
        <w:right w:val="none" w:sz="0" w:space="0" w:color="auto"/>
      </w:divBdr>
    </w:div>
    <w:div w:id="1305506013">
      <w:bodyDiv w:val="1"/>
      <w:marLeft w:val="0"/>
      <w:marRight w:val="0"/>
      <w:marTop w:val="0"/>
      <w:marBottom w:val="0"/>
      <w:divBdr>
        <w:top w:val="none" w:sz="0" w:space="0" w:color="auto"/>
        <w:left w:val="none" w:sz="0" w:space="0" w:color="auto"/>
        <w:bottom w:val="none" w:sz="0" w:space="0" w:color="auto"/>
        <w:right w:val="none" w:sz="0" w:space="0" w:color="auto"/>
      </w:divBdr>
    </w:div>
    <w:div w:id="1315987048">
      <w:bodyDiv w:val="1"/>
      <w:marLeft w:val="0"/>
      <w:marRight w:val="0"/>
      <w:marTop w:val="0"/>
      <w:marBottom w:val="0"/>
      <w:divBdr>
        <w:top w:val="none" w:sz="0" w:space="0" w:color="auto"/>
        <w:left w:val="none" w:sz="0" w:space="0" w:color="auto"/>
        <w:bottom w:val="none" w:sz="0" w:space="0" w:color="auto"/>
        <w:right w:val="none" w:sz="0" w:space="0" w:color="auto"/>
      </w:divBdr>
    </w:div>
    <w:div w:id="1324167731">
      <w:bodyDiv w:val="1"/>
      <w:marLeft w:val="0"/>
      <w:marRight w:val="0"/>
      <w:marTop w:val="0"/>
      <w:marBottom w:val="0"/>
      <w:divBdr>
        <w:top w:val="none" w:sz="0" w:space="0" w:color="auto"/>
        <w:left w:val="none" w:sz="0" w:space="0" w:color="auto"/>
        <w:bottom w:val="none" w:sz="0" w:space="0" w:color="auto"/>
        <w:right w:val="none" w:sz="0" w:space="0" w:color="auto"/>
      </w:divBdr>
    </w:div>
    <w:div w:id="1392271351">
      <w:bodyDiv w:val="1"/>
      <w:marLeft w:val="0"/>
      <w:marRight w:val="0"/>
      <w:marTop w:val="0"/>
      <w:marBottom w:val="0"/>
      <w:divBdr>
        <w:top w:val="none" w:sz="0" w:space="0" w:color="auto"/>
        <w:left w:val="none" w:sz="0" w:space="0" w:color="auto"/>
        <w:bottom w:val="none" w:sz="0" w:space="0" w:color="auto"/>
        <w:right w:val="none" w:sz="0" w:space="0" w:color="auto"/>
      </w:divBdr>
    </w:div>
    <w:div w:id="1414207979">
      <w:bodyDiv w:val="1"/>
      <w:marLeft w:val="0"/>
      <w:marRight w:val="0"/>
      <w:marTop w:val="0"/>
      <w:marBottom w:val="0"/>
      <w:divBdr>
        <w:top w:val="none" w:sz="0" w:space="0" w:color="auto"/>
        <w:left w:val="none" w:sz="0" w:space="0" w:color="auto"/>
        <w:bottom w:val="none" w:sz="0" w:space="0" w:color="auto"/>
        <w:right w:val="none" w:sz="0" w:space="0" w:color="auto"/>
      </w:divBdr>
    </w:div>
    <w:div w:id="1436095658">
      <w:bodyDiv w:val="1"/>
      <w:marLeft w:val="0"/>
      <w:marRight w:val="0"/>
      <w:marTop w:val="0"/>
      <w:marBottom w:val="0"/>
      <w:divBdr>
        <w:top w:val="none" w:sz="0" w:space="0" w:color="auto"/>
        <w:left w:val="none" w:sz="0" w:space="0" w:color="auto"/>
        <w:bottom w:val="none" w:sz="0" w:space="0" w:color="auto"/>
        <w:right w:val="none" w:sz="0" w:space="0" w:color="auto"/>
      </w:divBdr>
    </w:div>
    <w:div w:id="1495535768">
      <w:bodyDiv w:val="1"/>
      <w:marLeft w:val="0"/>
      <w:marRight w:val="0"/>
      <w:marTop w:val="0"/>
      <w:marBottom w:val="0"/>
      <w:divBdr>
        <w:top w:val="none" w:sz="0" w:space="0" w:color="auto"/>
        <w:left w:val="none" w:sz="0" w:space="0" w:color="auto"/>
        <w:bottom w:val="none" w:sz="0" w:space="0" w:color="auto"/>
        <w:right w:val="none" w:sz="0" w:space="0" w:color="auto"/>
      </w:divBdr>
    </w:div>
    <w:div w:id="1524515283">
      <w:bodyDiv w:val="1"/>
      <w:marLeft w:val="0"/>
      <w:marRight w:val="0"/>
      <w:marTop w:val="0"/>
      <w:marBottom w:val="0"/>
      <w:divBdr>
        <w:top w:val="none" w:sz="0" w:space="0" w:color="auto"/>
        <w:left w:val="none" w:sz="0" w:space="0" w:color="auto"/>
        <w:bottom w:val="none" w:sz="0" w:space="0" w:color="auto"/>
        <w:right w:val="none" w:sz="0" w:space="0" w:color="auto"/>
      </w:divBdr>
    </w:div>
    <w:div w:id="1732077785">
      <w:bodyDiv w:val="1"/>
      <w:marLeft w:val="0"/>
      <w:marRight w:val="0"/>
      <w:marTop w:val="0"/>
      <w:marBottom w:val="0"/>
      <w:divBdr>
        <w:top w:val="none" w:sz="0" w:space="0" w:color="auto"/>
        <w:left w:val="none" w:sz="0" w:space="0" w:color="auto"/>
        <w:bottom w:val="none" w:sz="0" w:space="0" w:color="auto"/>
        <w:right w:val="none" w:sz="0" w:space="0" w:color="auto"/>
      </w:divBdr>
    </w:div>
    <w:div w:id="1752702691">
      <w:bodyDiv w:val="1"/>
      <w:marLeft w:val="0"/>
      <w:marRight w:val="0"/>
      <w:marTop w:val="0"/>
      <w:marBottom w:val="0"/>
      <w:divBdr>
        <w:top w:val="none" w:sz="0" w:space="0" w:color="auto"/>
        <w:left w:val="none" w:sz="0" w:space="0" w:color="auto"/>
        <w:bottom w:val="none" w:sz="0" w:space="0" w:color="auto"/>
        <w:right w:val="none" w:sz="0" w:space="0" w:color="auto"/>
      </w:divBdr>
    </w:div>
    <w:div w:id="1761634245">
      <w:bodyDiv w:val="1"/>
      <w:marLeft w:val="0"/>
      <w:marRight w:val="0"/>
      <w:marTop w:val="0"/>
      <w:marBottom w:val="0"/>
      <w:divBdr>
        <w:top w:val="none" w:sz="0" w:space="0" w:color="auto"/>
        <w:left w:val="none" w:sz="0" w:space="0" w:color="auto"/>
        <w:bottom w:val="none" w:sz="0" w:space="0" w:color="auto"/>
        <w:right w:val="none" w:sz="0" w:space="0" w:color="auto"/>
      </w:divBdr>
    </w:div>
    <w:div w:id="1778325889">
      <w:bodyDiv w:val="1"/>
      <w:marLeft w:val="0"/>
      <w:marRight w:val="0"/>
      <w:marTop w:val="0"/>
      <w:marBottom w:val="0"/>
      <w:divBdr>
        <w:top w:val="none" w:sz="0" w:space="0" w:color="auto"/>
        <w:left w:val="none" w:sz="0" w:space="0" w:color="auto"/>
        <w:bottom w:val="none" w:sz="0" w:space="0" w:color="auto"/>
        <w:right w:val="none" w:sz="0" w:space="0" w:color="auto"/>
      </w:divBdr>
    </w:div>
    <w:div w:id="1871724639">
      <w:bodyDiv w:val="1"/>
      <w:marLeft w:val="0"/>
      <w:marRight w:val="0"/>
      <w:marTop w:val="0"/>
      <w:marBottom w:val="0"/>
      <w:divBdr>
        <w:top w:val="none" w:sz="0" w:space="0" w:color="auto"/>
        <w:left w:val="none" w:sz="0" w:space="0" w:color="auto"/>
        <w:bottom w:val="none" w:sz="0" w:space="0" w:color="auto"/>
        <w:right w:val="none" w:sz="0" w:space="0" w:color="auto"/>
      </w:divBdr>
    </w:div>
    <w:div w:id="1874610053">
      <w:bodyDiv w:val="1"/>
      <w:marLeft w:val="0"/>
      <w:marRight w:val="0"/>
      <w:marTop w:val="0"/>
      <w:marBottom w:val="0"/>
      <w:divBdr>
        <w:top w:val="none" w:sz="0" w:space="0" w:color="auto"/>
        <w:left w:val="none" w:sz="0" w:space="0" w:color="auto"/>
        <w:bottom w:val="none" w:sz="0" w:space="0" w:color="auto"/>
        <w:right w:val="none" w:sz="0" w:space="0" w:color="auto"/>
      </w:divBdr>
    </w:div>
    <w:div w:id="1884831513">
      <w:bodyDiv w:val="1"/>
      <w:marLeft w:val="0"/>
      <w:marRight w:val="0"/>
      <w:marTop w:val="0"/>
      <w:marBottom w:val="0"/>
      <w:divBdr>
        <w:top w:val="none" w:sz="0" w:space="0" w:color="auto"/>
        <w:left w:val="none" w:sz="0" w:space="0" w:color="auto"/>
        <w:bottom w:val="none" w:sz="0" w:space="0" w:color="auto"/>
        <w:right w:val="none" w:sz="0" w:space="0" w:color="auto"/>
      </w:divBdr>
    </w:div>
    <w:div w:id="1887836976">
      <w:bodyDiv w:val="1"/>
      <w:marLeft w:val="0"/>
      <w:marRight w:val="0"/>
      <w:marTop w:val="0"/>
      <w:marBottom w:val="0"/>
      <w:divBdr>
        <w:top w:val="none" w:sz="0" w:space="0" w:color="auto"/>
        <w:left w:val="none" w:sz="0" w:space="0" w:color="auto"/>
        <w:bottom w:val="none" w:sz="0" w:space="0" w:color="auto"/>
        <w:right w:val="none" w:sz="0" w:space="0" w:color="auto"/>
      </w:divBdr>
    </w:div>
    <w:div w:id="1918515744">
      <w:bodyDiv w:val="1"/>
      <w:marLeft w:val="0"/>
      <w:marRight w:val="0"/>
      <w:marTop w:val="0"/>
      <w:marBottom w:val="0"/>
      <w:divBdr>
        <w:top w:val="none" w:sz="0" w:space="0" w:color="auto"/>
        <w:left w:val="none" w:sz="0" w:space="0" w:color="auto"/>
        <w:bottom w:val="none" w:sz="0" w:space="0" w:color="auto"/>
        <w:right w:val="none" w:sz="0" w:space="0" w:color="auto"/>
      </w:divBdr>
    </w:div>
    <w:div w:id="1920868361">
      <w:bodyDiv w:val="1"/>
      <w:marLeft w:val="0"/>
      <w:marRight w:val="0"/>
      <w:marTop w:val="0"/>
      <w:marBottom w:val="0"/>
      <w:divBdr>
        <w:top w:val="none" w:sz="0" w:space="0" w:color="auto"/>
        <w:left w:val="none" w:sz="0" w:space="0" w:color="auto"/>
        <w:bottom w:val="none" w:sz="0" w:space="0" w:color="auto"/>
        <w:right w:val="none" w:sz="0" w:space="0" w:color="auto"/>
      </w:divBdr>
    </w:div>
    <w:div w:id="1934707432">
      <w:bodyDiv w:val="1"/>
      <w:marLeft w:val="0"/>
      <w:marRight w:val="0"/>
      <w:marTop w:val="0"/>
      <w:marBottom w:val="0"/>
      <w:divBdr>
        <w:top w:val="none" w:sz="0" w:space="0" w:color="auto"/>
        <w:left w:val="none" w:sz="0" w:space="0" w:color="auto"/>
        <w:bottom w:val="none" w:sz="0" w:space="0" w:color="auto"/>
        <w:right w:val="none" w:sz="0" w:space="0" w:color="auto"/>
      </w:divBdr>
    </w:div>
    <w:div w:id="1964266262">
      <w:bodyDiv w:val="1"/>
      <w:marLeft w:val="0"/>
      <w:marRight w:val="0"/>
      <w:marTop w:val="0"/>
      <w:marBottom w:val="0"/>
      <w:divBdr>
        <w:top w:val="none" w:sz="0" w:space="0" w:color="auto"/>
        <w:left w:val="none" w:sz="0" w:space="0" w:color="auto"/>
        <w:bottom w:val="none" w:sz="0" w:space="0" w:color="auto"/>
        <w:right w:val="none" w:sz="0" w:space="0" w:color="auto"/>
      </w:divBdr>
    </w:div>
    <w:div w:id="1979796140">
      <w:bodyDiv w:val="1"/>
      <w:marLeft w:val="0"/>
      <w:marRight w:val="0"/>
      <w:marTop w:val="0"/>
      <w:marBottom w:val="0"/>
      <w:divBdr>
        <w:top w:val="none" w:sz="0" w:space="0" w:color="auto"/>
        <w:left w:val="none" w:sz="0" w:space="0" w:color="auto"/>
        <w:bottom w:val="none" w:sz="0" w:space="0" w:color="auto"/>
        <w:right w:val="none" w:sz="0" w:space="0" w:color="auto"/>
      </w:divBdr>
    </w:div>
    <w:div w:id="2044360544">
      <w:bodyDiv w:val="1"/>
      <w:marLeft w:val="0"/>
      <w:marRight w:val="0"/>
      <w:marTop w:val="0"/>
      <w:marBottom w:val="0"/>
      <w:divBdr>
        <w:top w:val="none" w:sz="0" w:space="0" w:color="auto"/>
        <w:left w:val="none" w:sz="0" w:space="0" w:color="auto"/>
        <w:bottom w:val="none" w:sz="0" w:space="0" w:color="auto"/>
        <w:right w:val="none" w:sz="0" w:space="0" w:color="auto"/>
      </w:divBdr>
    </w:div>
    <w:div w:id="2068918948">
      <w:bodyDiv w:val="1"/>
      <w:marLeft w:val="0"/>
      <w:marRight w:val="0"/>
      <w:marTop w:val="0"/>
      <w:marBottom w:val="0"/>
      <w:divBdr>
        <w:top w:val="none" w:sz="0" w:space="0" w:color="auto"/>
        <w:left w:val="none" w:sz="0" w:space="0" w:color="auto"/>
        <w:bottom w:val="none" w:sz="0" w:space="0" w:color="auto"/>
        <w:right w:val="none" w:sz="0" w:space="0" w:color="auto"/>
      </w:divBdr>
    </w:div>
    <w:div w:id="2069380281">
      <w:bodyDiv w:val="1"/>
      <w:marLeft w:val="0"/>
      <w:marRight w:val="0"/>
      <w:marTop w:val="0"/>
      <w:marBottom w:val="0"/>
      <w:divBdr>
        <w:top w:val="none" w:sz="0" w:space="0" w:color="auto"/>
        <w:left w:val="none" w:sz="0" w:space="0" w:color="auto"/>
        <w:bottom w:val="none" w:sz="0" w:space="0" w:color="auto"/>
        <w:right w:val="none" w:sz="0" w:space="0" w:color="auto"/>
      </w:divBdr>
    </w:div>
    <w:div w:id="21258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mmission-on-methamphetamine-use-meeting-presentation-12821-0/download" TargetMode="External"/><Relationship Id="rId13" Type="http://schemas.openxmlformats.org/officeDocument/2006/relationships/hyperlink" Target="https://www.mass.gov/doc/department-of-developmental-services-presentation-to-hst-task-force-42822-0/download" TargetMode="External"/><Relationship Id="rId18" Type="http://schemas.openxmlformats.org/officeDocument/2006/relationships/hyperlink" Target="https://www.mass.gov/service-details/non-emergency-human-service-transportation-task-force-statute" TargetMode="External"/><Relationship Id="rId26" Type="http://schemas.openxmlformats.org/officeDocument/2006/relationships/hyperlink" Target="https://www.mass.gov/doc/masshealth-eligibility-transportation-overview-42822-0/download" TargetMode="External"/><Relationship Id="rId3" Type="http://schemas.openxmlformats.org/officeDocument/2006/relationships/settings" Target="settings.xml"/><Relationship Id="rId21" Type="http://schemas.openxmlformats.org/officeDocument/2006/relationships/hyperlink" Target="https://www.mass.gov/doc/non-emergency-hst-task-force-meeting-presentation-21422-0/download" TargetMode="External"/><Relationship Id="rId7" Type="http://schemas.openxmlformats.org/officeDocument/2006/relationships/hyperlink" Target="https://hstrides.mrta.us/" TargetMode="External"/><Relationship Id="rId12" Type="http://schemas.openxmlformats.org/officeDocument/2006/relationships/hyperlink" Target="https://www.mass.gov/doc/commission-on-methamphetamine-use-meeting-presentation-2822-0/download" TargetMode="External"/><Relationship Id="rId17" Type="http://schemas.openxmlformats.org/officeDocument/2006/relationships/hyperlink" Target="https://www.mass.gov/service-details/non-emergency-human-service-transportation-task-force-statute" TargetMode="External"/><Relationship Id="rId25" Type="http://schemas.openxmlformats.org/officeDocument/2006/relationships/hyperlink" Target="https://www.mass.gov/doc/department-of-developmental-services-presentation-to-hst-task-force-42822-0/download" TargetMode="External"/><Relationship Id="rId2" Type="http://schemas.openxmlformats.org/officeDocument/2006/relationships/styles" Target="styles.xml"/><Relationship Id="rId16" Type="http://schemas.openxmlformats.org/officeDocument/2006/relationships/hyperlink" Target="https://www.mass.gov/doc/non-emergency-hst-task-force-meeting-presentation-92222-0/download" TargetMode="External"/><Relationship Id="rId20" Type="http://schemas.openxmlformats.org/officeDocument/2006/relationships/hyperlink" Target="https://www.mass.gov/doc/hst-office-overview-presentation-11321-0/download" TargetMode="External"/><Relationship Id="rId29" Type="http://schemas.openxmlformats.org/officeDocument/2006/relationships/hyperlink" Target="https://www.mass.gov/doc/non-emergency-hst-task-force-meeting-presentation-92222-0/download" TargetMode="External"/><Relationship Id="rId1" Type="http://schemas.openxmlformats.org/officeDocument/2006/relationships/numbering" Target="numbering.xml"/><Relationship Id="rId6" Type="http://schemas.openxmlformats.org/officeDocument/2006/relationships/hyperlink" Target="https://www.gatra.org/masshealthrides/" TargetMode="External"/><Relationship Id="rId11" Type="http://schemas.openxmlformats.org/officeDocument/2006/relationships/hyperlink" Target="https://www.mass.gov/doc/human-service-transportation-office-broker-procurement-presentation-21422-0/download" TargetMode="External"/><Relationship Id="rId24" Type="http://schemas.openxmlformats.org/officeDocument/2006/relationships/hyperlink" Target="https://www.mass.gov/doc/non-emergency-hst-task-force-meeting-presentation-42822-0/download" TargetMode="External"/><Relationship Id="rId5" Type="http://schemas.openxmlformats.org/officeDocument/2006/relationships/hyperlink" Target="https://budget.digital.mass.gov/summary/fy22/outside-section/section-134-non-emergency-human-services-transportation-task-force" TargetMode="External"/><Relationship Id="rId15" Type="http://schemas.openxmlformats.org/officeDocument/2006/relationships/hyperlink" Target="https://www.mass.gov/doc/non-emergency-hst-task-force-meeting-presentation-62822-0/download" TargetMode="External"/><Relationship Id="rId23" Type="http://schemas.openxmlformats.org/officeDocument/2006/relationships/hyperlink" Target="https://www.mass.gov/doc/mart-and-gatra-brokerage-improvements-presentation-21422-0/download" TargetMode="External"/><Relationship Id="rId28" Type="http://schemas.openxmlformats.org/officeDocument/2006/relationships/hyperlink" Target="https://www.mass.gov/doc/non-emergency-hst-task-force-meeting-presentation-62822-0/download" TargetMode="External"/><Relationship Id="rId10" Type="http://schemas.openxmlformats.org/officeDocument/2006/relationships/hyperlink" Target="https://www.mass.gov/files/documents/2018/11/16/Section%2035%20PPT%20Sullivan%2011.5.pdf" TargetMode="External"/><Relationship Id="rId19" Type="http://schemas.openxmlformats.org/officeDocument/2006/relationships/hyperlink" Target="https://www.mass.gov/doc/hst-task-force-meeting-presentation-11321-1/downloa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ss.gov/doc/hst-office-overview-presentation-11321-0/download" TargetMode="External"/><Relationship Id="rId14" Type="http://schemas.openxmlformats.org/officeDocument/2006/relationships/hyperlink" Target="https://www.mass.gov/doc/masshealth-eligibility-transportation-overview-42822-0/download" TargetMode="External"/><Relationship Id="rId22" Type="http://schemas.openxmlformats.org/officeDocument/2006/relationships/hyperlink" Target="https://www.mass.gov/doc/human-service-transportation-office-broker-procurement-presentation-21422-0/download" TargetMode="External"/><Relationship Id="rId27" Type="http://schemas.openxmlformats.org/officeDocument/2006/relationships/hyperlink" Target="https://www.mass.gov/doc/human-service-transportation-office-overview-of-complaints-process-42822-0/downloa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19</Pages>
  <Words>5423</Words>
  <Characters>30914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 (EHS)</dc:creator>
  <cp:keywords/>
  <dc:description/>
  <cp:lastModifiedBy>Lam, Vivian (EHS)</cp:lastModifiedBy>
  <cp:revision>9</cp:revision>
  <dcterms:created xsi:type="dcterms:W3CDTF">2022-12-22T17:56:00Z</dcterms:created>
  <dcterms:modified xsi:type="dcterms:W3CDTF">2023-01-11T14:04:00Z</dcterms:modified>
</cp:coreProperties>
</file>