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2FB33466" w14:textId="77777777" w:rsidR="00033154" w:rsidRDefault="00033154" w:rsidP="0072610D"/>
    <w:p w14:paraId="1BC59202" w14:textId="77777777" w:rsidR="00F059B3" w:rsidRPr="00F051AC" w:rsidRDefault="00F059B3" w:rsidP="00F059B3">
      <w:pPr>
        <w:ind w:left="3600"/>
        <w:rPr>
          <w:rFonts w:ascii="Arial" w:hAnsi="Arial" w:cs="Arial"/>
          <w:b/>
          <w:u w:val="single"/>
        </w:rPr>
      </w:pPr>
      <w:r w:rsidRPr="00F051AC">
        <w:rPr>
          <w:rFonts w:ascii="Arial" w:hAnsi="Arial" w:cs="Arial"/>
          <w:b/>
          <w:u w:val="single"/>
        </w:rPr>
        <w:t>MEMORANDUM</w:t>
      </w:r>
    </w:p>
    <w:p w14:paraId="7A7A07BA" w14:textId="77777777" w:rsidR="00F059B3" w:rsidRPr="00F051AC" w:rsidRDefault="00F059B3" w:rsidP="00F059B3">
      <w:pPr>
        <w:jc w:val="center"/>
        <w:rPr>
          <w:rFonts w:ascii="Arial" w:hAnsi="Arial" w:cs="Arial"/>
          <w:b/>
          <w:u w:val="single"/>
        </w:rPr>
      </w:pPr>
    </w:p>
    <w:p w14:paraId="25DD62C9" w14:textId="77777777" w:rsidR="00F52B6C" w:rsidRPr="004A3E5F" w:rsidRDefault="00F52B6C" w:rsidP="00F52B6C">
      <w:pPr>
        <w:rPr>
          <w:rFonts w:ascii="Arial" w:hAnsi="Arial" w:cs="Arial"/>
        </w:rPr>
      </w:pPr>
      <w:r w:rsidRPr="004A3E5F">
        <w:rPr>
          <w:rFonts w:ascii="Arial" w:hAnsi="Arial" w:cs="Arial"/>
        </w:rPr>
        <w:t xml:space="preserve">TO: </w:t>
      </w:r>
      <w:r>
        <w:rPr>
          <w:rFonts w:ascii="Arial" w:hAnsi="Arial" w:cs="Arial"/>
        </w:rPr>
        <w:t>Non-Resident Pharmacies</w:t>
      </w:r>
    </w:p>
    <w:p w14:paraId="39237F27" w14:textId="77777777" w:rsidR="00F52B6C" w:rsidRPr="004A3E5F" w:rsidRDefault="00F52B6C" w:rsidP="00F52B6C">
      <w:pPr>
        <w:rPr>
          <w:rFonts w:ascii="Arial" w:hAnsi="Arial" w:cs="Arial"/>
        </w:rPr>
      </w:pPr>
    </w:p>
    <w:p w14:paraId="21D1D59C" w14:textId="77777777" w:rsidR="00F52B6C" w:rsidRPr="004A3E5F" w:rsidRDefault="00F52B6C" w:rsidP="00F52B6C">
      <w:pPr>
        <w:rPr>
          <w:rFonts w:ascii="Arial" w:hAnsi="Arial" w:cs="Arial"/>
        </w:rPr>
      </w:pPr>
      <w:r w:rsidRPr="004A3E5F">
        <w:rPr>
          <w:rFonts w:ascii="Arial" w:hAnsi="Arial" w:cs="Arial"/>
        </w:rPr>
        <w:t>FROM: Massachusetts Board of Registration in Pharmacy</w:t>
      </w:r>
      <w:r>
        <w:rPr>
          <w:rFonts w:ascii="Arial" w:hAnsi="Arial" w:cs="Arial"/>
        </w:rPr>
        <w:t xml:space="preserve"> (Board)</w:t>
      </w:r>
    </w:p>
    <w:p w14:paraId="09FC7E5E" w14:textId="77777777" w:rsidR="00F52B6C" w:rsidRPr="004A3E5F" w:rsidRDefault="00F52B6C" w:rsidP="00F52B6C">
      <w:pPr>
        <w:rPr>
          <w:rFonts w:ascii="Arial" w:hAnsi="Arial" w:cs="Arial"/>
        </w:rPr>
      </w:pPr>
    </w:p>
    <w:p w14:paraId="36889492" w14:textId="66B3779E" w:rsidR="00F52B6C" w:rsidRPr="004A3E5F" w:rsidRDefault="00F52B6C" w:rsidP="00F52B6C">
      <w:pPr>
        <w:rPr>
          <w:rFonts w:ascii="Arial" w:hAnsi="Arial" w:cs="Arial"/>
        </w:rPr>
      </w:pPr>
      <w:r w:rsidRPr="00BB20F5">
        <w:rPr>
          <w:rFonts w:ascii="Arial" w:hAnsi="Arial" w:cs="Arial"/>
        </w:rPr>
        <w:t>DATE:</w:t>
      </w:r>
      <w:r w:rsidRPr="004A3E5F">
        <w:rPr>
          <w:rFonts w:ascii="Arial" w:hAnsi="Arial" w:cs="Arial"/>
        </w:rPr>
        <w:t xml:space="preserve"> </w:t>
      </w:r>
      <w:r w:rsidR="00BB20F5">
        <w:rPr>
          <w:rFonts w:ascii="Arial" w:hAnsi="Arial" w:cs="Arial"/>
        </w:rPr>
        <w:t xml:space="preserve">November </w:t>
      </w:r>
      <w:r w:rsidR="00050820">
        <w:rPr>
          <w:rFonts w:ascii="Arial" w:hAnsi="Arial" w:cs="Arial"/>
        </w:rPr>
        <w:t>19</w:t>
      </w:r>
      <w:r w:rsidR="00BC5A6C">
        <w:rPr>
          <w:rFonts w:ascii="Arial" w:hAnsi="Arial" w:cs="Arial"/>
        </w:rPr>
        <w:t>, 2024</w:t>
      </w:r>
    </w:p>
    <w:p w14:paraId="30B87643" w14:textId="77777777" w:rsidR="00F52B6C" w:rsidRPr="004A3E5F" w:rsidRDefault="00F52B6C" w:rsidP="00F52B6C">
      <w:pPr>
        <w:rPr>
          <w:rFonts w:ascii="Arial" w:hAnsi="Arial" w:cs="Arial"/>
        </w:rPr>
      </w:pPr>
    </w:p>
    <w:p w14:paraId="2F9DBE49" w14:textId="0D0A23F9" w:rsidR="00F52B6C" w:rsidRPr="004A3E5F" w:rsidRDefault="00F52B6C" w:rsidP="00F52B6C">
      <w:pPr>
        <w:rPr>
          <w:rFonts w:ascii="Arial" w:hAnsi="Arial" w:cs="Arial"/>
        </w:rPr>
      </w:pPr>
      <w:r w:rsidRPr="004A3E5F">
        <w:rPr>
          <w:rFonts w:ascii="Arial" w:hAnsi="Arial" w:cs="Arial"/>
        </w:rPr>
        <w:t xml:space="preserve">SUBJECT: </w:t>
      </w:r>
      <w:r>
        <w:rPr>
          <w:rFonts w:ascii="Arial" w:hAnsi="Arial" w:cs="Arial"/>
        </w:rPr>
        <w:t>Massachusetts Licensing of Non-Resident Pharmacies</w:t>
      </w:r>
    </w:p>
    <w:p w14:paraId="54C52939" w14:textId="77777777" w:rsidR="00F059B3" w:rsidRPr="00F051AC" w:rsidRDefault="00F059B3" w:rsidP="00F059B3">
      <w:pPr>
        <w:pBdr>
          <w:bottom w:val="single" w:sz="12" w:space="1" w:color="auto"/>
        </w:pBdr>
        <w:jc w:val="both"/>
        <w:rPr>
          <w:rFonts w:ascii="Arial" w:hAnsi="Arial" w:cs="Arial"/>
        </w:rPr>
      </w:pPr>
    </w:p>
    <w:p w14:paraId="2ACB53E3" w14:textId="77777777" w:rsidR="00F059B3" w:rsidRPr="00122A16" w:rsidRDefault="00F059B3" w:rsidP="00F059B3">
      <w:pPr>
        <w:jc w:val="both"/>
        <w:rPr>
          <w:rFonts w:ascii="Arial" w:hAnsi="Arial" w:cs="Arial"/>
          <w:b/>
          <w:bCs/>
        </w:rPr>
      </w:pPr>
    </w:p>
    <w:p w14:paraId="011FA8D4" w14:textId="7B15347E" w:rsidR="00F52B6C" w:rsidRPr="004A3E5F" w:rsidRDefault="00E4095F" w:rsidP="00F52B6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accordance with </w:t>
      </w:r>
      <w:r w:rsidR="00F52B6C" w:rsidRPr="004A3E5F">
        <w:rPr>
          <w:rFonts w:ascii="Arial" w:hAnsi="Arial" w:cs="Arial"/>
        </w:rPr>
        <w:t>Massachusetts law</w:t>
      </w:r>
      <w:r>
        <w:rPr>
          <w:rFonts w:ascii="Arial" w:hAnsi="Arial" w:cs="Arial"/>
        </w:rPr>
        <w:t xml:space="preserve">, </w:t>
      </w:r>
      <w:r w:rsidR="00F52B6C">
        <w:rPr>
          <w:rFonts w:ascii="Arial" w:hAnsi="Arial" w:cs="Arial"/>
        </w:rPr>
        <w:t>all</w:t>
      </w:r>
      <w:r w:rsidR="00F52B6C" w:rsidRPr="004A3E5F">
        <w:rPr>
          <w:rFonts w:ascii="Arial" w:hAnsi="Arial" w:cs="Arial"/>
        </w:rPr>
        <w:t xml:space="preserve"> </w:t>
      </w:r>
      <w:r w:rsidR="00F52B6C">
        <w:rPr>
          <w:rFonts w:ascii="Arial" w:hAnsi="Arial" w:cs="Arial"/>
        </w:rPr>
        <w:t>pharmacies</w:t>
      </w:r>
      <w:r w:rsidR="00F52B6C" w:rsidRPr="004A3E5F">
        <w:rPr>
          <w:rFonts w:ascii="Arial" w:hAnsi="Arial" w:cs="Arial"/>
        </w:rPr>
        <w:t xml:space="preserve"> located outside Massachusetts </w:t>
      </w:r>
      <w:r>
        <w:rPr>
          <w:rFonts w:ascii="Arial" w:hAnsi="Arial" w:cs="Arial"/>
        </w:rPr>
        <w:t>must</w:t>
      </w:r>
      <w:r w:rsidR="00F52B6C" w:rsidRPr="004A3E5F">
        <w:rPr>
          <w:rFonts w:ascii="Arial" w:hAnsi="Arial" w:cs="Arial"/>
        </w:rPr>
        <w:t xml:space="preserve"> obtain a </w:t>
      </w:r>
      <w:r w:rsidR="00F52B6C">
        <w:rPr>
          <w:rFonts w:ascii="Arial" w:hAnsi="Arial" w:cs="Arial"/>
        </w:rPr>
        <w:t>license</w:t>
      </w:r>
      <w:r w:rsidR="00F52B6C" w:rsidRPr="004A3E5F">
        <w:rPr>
          <w:rFonts w:ascii="Arial" w:hAnsi="Arial" w:cs="Arial"/>
        </w:rPr>
        <w:t xml:space="preserve"> from the Board </w:t>
      </w:r>
      <w:proofErr w:type="gramStart"/>
      <w:r w:rsidR="00F52B6C" w:rsidRPr="004A3E5F">
        <w:rPr>
          <w:rFonts w:ascii="Arial" w:hAnsi="Arial" w:cs="Arial"/>
        </w:rPr>
        <w:t>in order to</w:t>
      </w:r>
      <w:proofErr w:type="gramEnd"/>
      <w:r w:rsidR="00F52B6C" w:rsidRPr="004A3E5F">
        <w:rPr>
          <w:rFonts w:ascii="Arial" w:hAnsi="Arial" w:cs="Arial"/>
        </w:rPr>
        <w:t xml:space="preserve"> </w:t>
      </w:r>
      <w:r w:rsidR="00F52B6C">
        <w:rPr>
          <w:rFonts w:ascii="Arial" w:hAnsi="Arial" w:cs="Arial"/>
        </w:rPr>
        <w:t>dispense</w:t>
      </w:r>
      <w:r w:rsidR="00F52B6C" w:rsidRPr="004A3E5F">
        <w:rPr>
          <w:rFonts w:ascii="Arial" w:hAnsi="Arial" w:cs="Arial"/>
        </w:rPr>
        <w:t xml:space="preserve"> any </w:t>
      </w:r>
      <w:r w:rsidR="00F52B6C">
        <w:rPr>
          <w:rFonts w:ascii="Arial" w:hAnsi="Arial" w:cs="Arial"/>
        </w:rPr>
        <w:t xml:space="preserve">prescription </w:t>
      </w:r>
      <w:r w:rsidR="00F52B6C" w:rsidRPr="004A3E5F">
        <w:rPr>
          <w:rFonts w:ascii="Arial" w:hAnsi="Arial" w:cs="Arial"/>
        </w:rPr>
        <w:t>product</w:t>
      </w:r>
      <w:r w:rsidR="00F52B6C">
        <w:rPr>
          <w:rFonts w:ascii="Arial" w:hAnsi="Arial" w:cs="Arial"/>
        </w:rPr>
        <w:t>s</w:t>
      </w:r>
      <w:r w:rsidR="00F52B6C" w:rsidRPr="004A3E5F">
        <w:rPr>
          <w:rFonts w:ascii="Arial" w:hAnsi="Arial" w:cs="Arial"/>
        </w:rPr>
        <w:t xml:space="preserve"> in</w:t>
      </w:r>
      <w:r w:rsidR="00F52B6C">
        <w:rPr>
          <w:rFonts w:ascii="Arial" w:hAnsi="Arial" w:cs="Arial"/>
        </w:rPr>
        <w:t>to</w:t>
      </w:r>
      <w:r w:rsidR="00F52B6C" w:rsidRPr="004A3E5F">
        <w:rPr>
          <w:rFonts w:ascii="Arial" w:hAnsi="Arial" w:cs="Arial"/>
        </w:rPr>
        <w:t xml:space="preserve"> Massachusetts. </w:t>
      </w:r>
      <w:r w:rsidR="00F52B6C">
        <w:rPr>
          <w:rFonts w:ascii="Arial" w:hAnsi="Arial" w:cs="Arial"/>
        </w:rPr>
        <w:t>M.G.L. c. 112, § 39 G, H, and J.</w:t>
      </w:r>
    </w:p>
    <w:p w14:paraId="369C8031" w14:textId="77777777" w:rsidR="00F52B6C" w:rsidRPr="004A3E5F" w:rsidRDefault="00F52B6C" w:rsidP="00F52B6C">
      <w:pPr>
        <w:jc w:val="both"/>
        <w:rPr>
          <w:rFonts w:ascii="Arial" w:hAnsi="Arial" w:cs="Arial"/>
        </w:rPr>
      </w:pPr>
    </w:p>
    <w:p w14:paraId="2CEEB3F7" w14:textId="5E107E34" w:rsidR="00F52B6C" w:rsidRPr="004A3E5F" w:rsidRDefault="00F52B6C" w:rsidP="00F52B6C">
      <w:pPr>
        <w:jc w:val="both"/>
        <w:rPr>
          <w:rFonts w:ascii="Arial" w:hAnsi="Arial" w:cs="Arial"/>
        </w:rPr>
      </w:pPr>
      <w:r w:rsidRPr="00A0243F">
        <w:rPr>
          <w:rFonts w:ascii="Arial" w:hAnsi="Arial" w:cs="Arial"/>
        </w:rPr>
        <w:t xml:space="preserve">Regulations implementing the requirement for </w:t>
      </w:r>
      <w:r>
        <w:rPr>
          <w:rFonts w:ascii="Arial" w:hAnsi="Arial" w:cs="Arial"/>
        </w:rPr>
        <w:t xml:space="preserve">non-resident licensure </w:t>
      </w:r>
      <w:r w:rsidR="00FE50EE">
        <w:rPr>
          <w:rFonts w:ascii="Arial" w:hAnsi="Arial" w:cs="Arial"/>
        </w:rPr>
        <w:t>will be</w:t>
      </w:r>
      <w:r>
        <w:rPr>
          <w:rFonts w:ascii="Arial" w:hAnsi="Arial" w:cs="Arial"/>
        </w:rPr>
        <w:t xml:space="preserve"> promulgated</w:t>
      </w:r>
      <w:r w:rsidR="002B53E2">
        <w:rPr>
          <w:rFonts w:ascii="Arial" w:hAnsi="Arial" w:cs="Arial"/>
        </w:rPr>
        <w:t xml:space="preserve"> in December, 2024,</w:t>
      </w:r>
      <w:r w:rsidR="00E4095F">
        <w:rPr>
          <w:rFonts w:ascii="Arial" w:hAnsi="Arial" w:cs="Arial"/>
        </w:rPr>
        <w:t xml:space="preserve"> and</w:t>
      </w:r>
      <w:r>
        <w:rPr>
          <w:rFonts w:ascii="Arial" w:hAnsi="Arial" w:cs="Arial"/>
        </w:rPr>
        <w:t xml:space="preserve"> on </w:t>
      </w:r>
      <w:r w:rsidRPr="00A94C2A">
        <w:rPr>
          <w:rFonts w:ascii="Arial" w:hAnsi="Arial" w:cs="Arial"/>
          <w:b/>
          <w:bCs/>
        </w:rPr>
        <w:t>January 1, 202</w:t>
      </w:r>
      <w:r w:rsidR="00E4095F" w:rsidRPr="00A94C2A">
        <w:rPr>
          <w:rFonts w:ascii="Arial" w:hAnsi="Arial" w:cs="Arial"/>
          <w:b/>
          <w:bCs/>
        </w:rPr>
        <w:t>5</w:t>
      </w:r>
      <w:r w:rsidR="006436E7" w:rsidRPr="00A94C2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</w:t>
      </w:r>
      <w:r w:rsidRPr="004A3E5F">
        <w:rPr>
          <w:rFonts w:ascii="Arial" w:hAnsi="Arial" w:cs="Arial"/>
        </w:rPr>
        <w:t xml:space="preserve">he Board </w:t>
      </w:r>
      <w:r w:rsidR="00E4095F">
        <w:rPr>
          <w:rFonts w:ascii="Arial" w:hAnsi="Arial" w:cs="Arial"/>
        </w:rPr>
        <w:t>will begin</w:t>
      </w:r>
      <w:r w:rsidRPr="004A3E5F">
        <w:rPr>
          <w:rFonts w:ascii="Arial" w:hAnsi="Arial" w:cs="Arial"/>
        </w:rPr>
        <w:t xml:space="preserve"> accepting </w:t>
      </w:r>
      <w:hyperlink r:id="rId12" w:history="1">
        <w:r w:rsidRPr="006436E7">
          <w:rPr>
            <w:rStyle w:val="Hyperlink"/>
            <w:rFonts w:ascii="Arial" w:hAnsi="Arial" w:cs="Arial"/>
          </w:rPr>
          <w:t>applications</w:t>
        </w:r>
      </w:hyperlink>
      <w:r>
        <w:rPr>
          <w:rFonts w:ascii="Arial" w:hAnsi="Arial" w:cs="Arial"/>
        </w:rPr>
        <w:t>.</w:t>
      </w:r>
      <w:r w:rsidR="00A94C2A">
        <w:rPr>
          <w:rFonts w:ascii="Arial" w:hAnsi="Arial" w:cs="Arial"/>
        </w:rPr>
        <w:t xml:space="preserve"> Frequently asked questions can be found</w:t>
      </w:r>
      <w:r w:rsidR="00791AD8">
        <w:rPr>
          <w:rFonts w:ascii="Arial" w:hAnsi="Arial" w:cs="Arial"/>
        </w:rPr>
        <w:t xml:space="preserve"> </w:t>
      </w:r>
      <w:r w:rsidR="00C50768">
        <w:rPr>
          <w:rFonts w:ascii="Arial" w:hAnsi="Arial" w:cs="Arial"/>
        </w:rPr>
        <w:t>on page 2</w:t>
      </w:r>
      <w:r w:rsidR="00791AD8">
        <w:rPr>
          <w:rFonts w:ascii="Arial" w:hAnsi="Arial" w:cs="Arial"/>
        </w:rPr>
        <w:t>.</w:t>
      </w:r>
    </w:p>
    <w:p w14:paraId="6FFEB976" w14:textId="77777777" w:rsidR="00F52B6C" w:rsidRPr="00E63864" w:rsidRDefault="00F52B6C" w:rsidP="00F52B6C">
      <w:pPr>
        <w:jc w:val="both"/>
        <w:rPr>
          <w:rFonts w:ascii="Arial" w:hAnsi="Arial" w:cs="Arial"/>
        </w:rPr>
      </w:pPr>
    </w:p>
    <w:p w14:paraId="1A1DD35D" w14:textId="0C8C09EB" w:rsidR="00F52B6C" w:rsidRPr="00E4095F" w:rsidRDefault="00FE50EE" w:rsidP="00F52B6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 addition to a retail pharmacy license (non-resident drug store), p</w:t>
      </w:r>
      <w:r w:rsidR="00F52B6C" w:rsidRPr="00E4095F">
        <w:rPr>
          <w:rFonts w:ascii="Arial" w:hAnsi="Arial" w:cs="Arial"/>
          <w:b/>
          <w:bCs/>
        </w:rPr>
        <w:t xml:space="preserve">harmacies that engage in </w:t>
      </w:r>
      <w:r w:rsidR="00F52B6C" w:rsidRPr="00FE50EE">
        <w:rPr>
          <w:rFonts w:ascii="Arial" w:hAnsi="Arial" w:cs="Arial"/>
          <w:b/>
          <w:bCs/>
          <w:color w:val="0070C0"/>
          <w:u w:val="single"/>
        </w:rPr>
        <w:t>sterile</w:t>
      </w:r>
      <w:r w:rsidR="00F52B6C" w:rsidRPr="00E4095F">
        <w:rPr>
          <w:rFonts w:ascii="Arial" w:hAnsi="Arial" w:cs="Arial"/>
          <w:b/>
          <w:bCs/>
        </w:rPr>
        <w:t xml:space="preserve"> and </w:t>
      </w:r>
      <w:hyperlink r:id="rId13" w:history="1">
        <w:r w:rsidR="00F52B6C" w:rsidRPr="00FE50EE">
          <w:rPr>
            <w:rStyle w:val="Hyperlink"/>
            <w:rFonts w:ascii="Arial" w:hAnsi="Arial" w:cs="Arial"/>
            <w:b/>
            <w:bCs/>
            <w:color w:val="0070C0"/>
          </w:rPr>
          <w:t>complex non-sterile compounding</w:t>
        </w:r>
      </w:hyperlink>
      <w:r w:rsidR="00F52B6C" w:rsidRPr="00E4095F">
        <w:rPr>
          <w:rFonts w:ascii="Arial" w:hAnsi="Arial" w:cs="Arial"/>
          <w:b/>
          <w:bCs/>
        </w:rPr>
        <w:t xml:space="preserve"> will require additional licensure.</w:t>
      </w:r>
    </w:p>
    <w:p w14:paraId="0542550E" w14:textId="77777777" w:rsidR="00F52B6C" w:rsidRDefault="00F52B6C" w:rsidP="00F52B6C">
      <w:pPr>
        <w:jc w:val="both"/>
        <w:rPr>
          <w:rFonts w:ascii="Arial" w:hAnsi="Arial" w:cs="Arial"/>
        </w:rPr>
      </w:pPr>
    </w:p>
    <w:p w14:paraId="5CC5AB63" w14:textId="121DA951" w:rsidR="00F52B6C" w:rsidRPr="00A94C2A" w:rsidRDefault="00F52B6C" w:rsidP="00F52B6C">
      <w:pPr>
        <w:jc w:val="both"/>
        <w:rPr>
          <w:rFonts w:ascii="Arial" w:hAnsi="Arial" w:cs="Arial"/>
        </w:rPr>
      </w:pPr>
      <w:r w:rsidRPr="00A0243F">
        <w:rPr>
          <w:rFonts w:ascii="Arial" w:hAnsi="Arial" w:cs="Arial"/>
        </w:rPr>
        <w:t xml:space="preserve">In order to comply with the new licensing regulations, a grace period has been established </w:t>
      </w:r>
      <w:r w:rsidR="00A94C2A">
        <w:rPr>
          <w:rFonts w:ascii="Arial" w:hAnsi="Arial" w:cs="Arial"/>
        </w:rPr>
        <w:t>through</w:t>
      </w:r>
      <w:r w:rsidRPr="00A0243F">
        <w:rPr>
          <w:rFonts w:ascii="Arial" w:hAnsi="Arial" w:cs="Arial"/>
        </w:rPr>
        <w:t xml:space="preserve"> </w:t>
      </w:r>
      <w:r w:rsidRPr="00A94C2A">
        <w:rPr>
          <w:rFonts w:ascii="Arial" w:hAnsi="Arial" w:cs="Arial"/>
          <w:b/>
          <w:bCs/>
        </w:rPr>
        <w:t xml:space="preserve">March 31, </w:t>
      </w:r>
      <w:proofErr w:type="gramStart"/>
      <w:r w:rsidRPr="00A94C2A">
        <w:rPr>
          <w:rFonts w:ascii="Arial" w:hAnsi="Arial" w:cs="Arial"/>
          <w:b/>
          <w:bCs/>
        </w:rPr>
        <w:t>202</w:t>
      </w:r>
      <w:r w:rsidR="00E4095F" w:rsidRPr="00A94C2A">
        <w:rPr>
          <w:rFonts w:ascii="Arial" w:hAnsi="Arial" w:cs="Arial"/>
          <w:b/>
          <w:bCs/>
        </w:rPr>
        <w:t>5</w:t>
      </w:r>
      <w:proofErr w:type="gramEnd"/>
      <w:r w:rsidRPr="00A94C2A">
        <w:rPr>
          <w:rFonts w:ascii="Arial" w:hAnsi="Arial" w:cs="Arial"/>
        </w:rPr>
        <w:t xml:space="preserve"> to </w:t>
      </w:r>
      <w:r w:rsidR="00E4095F" w:rsidRPr="00A94C2A">
        <w:rPr>
          <w:rFonts w:ascii="Arial" w:hAnsi="Arial" w:cs="Arial"/>
        </w:rPr>
        <w:t>apply for</w:t>
      </w:r>
      <w:r w:rsidRPr="00A94C2A">
        <w:rPr>
          <w:rFonts w:ascii="Arial" w:hAnsi="Arial" w:cs="Arial"/>
        </w:rPr>
        <w:t xml:space="preserve"> the required license(s).</w:t>
      </w:r>
    </w:p>
    <w:p w14:paraId="264CE2BD" w14:textId="77777777" w:rsidR="00F52B6C" w:rsidRPr="00A94C2A" w:rsidRDefault="00F52B6C" w:rsidP="00F52B6C">
      <w:pPr>
        <w:jc w:val="both"/>
        <w:rPr>
          <w:rFonts w:ascii="Arial" w:hAnsi="Arial" w:cs="Arial"/>
        </w:rPr>
      </w:pPr>
    </w:p>
    <w:p w14:paraId="6EA3241B" w14:textId="767373E1" w:rsidR="00F52B6C" w:rsidRDefault="00F52B6C" w:rsidP="00F52B6C">
      <w:pPr>
        <w:jc w:val="both"/>
        <w:rPr>
          <w:rFonts w:ascii="Arial" w:hAnsi="Arial" w:cs="Arial"/>
        </w:rPr>
      </w:pPr>
      <w:bookmarkStart w:id="0" w:name="_Hlk178322214"/>
      <w:r w:rsidRPr="00A94C2A">
        <w:rPr>
          <w:rFonts w:ascii="Arial" w:hAnsi="Arial" w:cs="Arial"/>
          <w:bCs/>
        </w:rPr>
        <w:t xml:space="preserve">Beginning </w:t>
      </w:r>
      <w:r w:rsidR="00A94C2A" w:rsidRPr="00A94C2A">
        <w:rPr>
          <w:rFonts w:ascii="Arial" w:hAnsi="Arial" w:cs="Arial"/>
          <w:bCs/>
        </w:rPr>
        <w:t>May 1</w:t>
      </w:r>
      <w:r w:rsidRPr="00A94C2A">
        <w:rPr>
          <w:rFonts w:ascii="Arial" w:hAnsi="Arial" w:cs="Arial"/>
          <w:bCs/>
        </w:rPr>
        <w:t>, 202</w:t>
      </w:r>
      <w:r w:rsidR="00E4095F" w:rsidRPr="00A94C2A">
        <w:rPr>
          <w:rFonts w:ascii="Arial" w:hAnsi="Arial" w:cs="Arial"/>
          <w:bCs/>
        </w:rPr>
        <w:t>5</w:t>
      </w:r>
      <w:r w:rsidRPr="00A94C2A">
        <w:rPr>
          <w:rFonts w:ascii="Arial" w:hAnsi="Arial" w:cs="Arial"/>
          <w:bCs/>
        </w:rPr>
        <w:t xml:space="preserve">, any pharmacy located outside of Massachusetts must hold a license </w:t>
      </w:r>
      <w:proofErr w:type="gramStart"/>
      <w:r w:rsidRPr="00A94C2A">
        <w:rPr>
          <w:rFonts w:ascii="Arial" w:hAnsi="Arial" w:cs="Arial"/>
          <w:bCs/>
        </w:rPr>
        <w:t>in order to</w:t>
      </w:r>
      <w:proofErr w:type="gramEnd"/>
      <w:r w:rsidRPr="00A94C2A">
        <w:rPr>
          <w:rFonts w:ascii="Arial" w:hAnsi="Arial" w:cs="Arial"/>
          <w:bCs/>
        </w:rPr>
        <w:t xml:space="preserve"> dispense prescription products into Massachusetts.</w:t>
      </w:r>
      <w:r>
        <w:rPr>
          <w:rFonts w:ascii="Arial" w:hAnsi="Arial" w:cs="Arial"/>
        </w:rPr>
        <w:t xml:space="preserve">  Please note that any prescription dispensed into Massachusetts must be pursuant to a valid patient-specific prescription.</w:t>
      </w:r>
    </w:p>
    <w:bookmarkEnd w:id="0"/>
    <w:p w14:paraId="03AD0989" w14:textId="77777777" w:rsidR="00F52B6C" w:rsidRDefault="00F52B6C" w:rsidP="00F52B6C">
      <w:pPr>
        <w:jc w:val="both"/>
        <w:rPr>
          <w:rFonts w:ascii="Arial" w:hAnsi="Arial" w:cs="Arial"/>
        </w:rPr>
      </w:pPr>
    </w:p>
    <w:p w14:paraId="20538BA3" w14:textId="45761CB5" w:rsidR="00F52B6C" w:rsidRPr="00A94C2A" w:rsidRDefault="00F52B6C" w:rsidP="00F52B6C">
      <w:pPr>
        <w:jc w:val="both"/>
        <w:rPr>
          <w:rFonts w:ascii="Arial" w:hAnsi="Arial" w:cs="Arial"/>
          <w:b/>
          <w:bCs/>
        </w:rPr>
      </w:pPr>
      <w:bookmarkStart w:id="1" w:name="_Hlk178322267"/>
      <w:r w:rsidRPr="00A94C2A">
        <w:rPr>
          <w:rFonts w:ascii="Arial" w:hAnsi="Arial" w:cs="Arial"/>
          <w:b/>
          <w:bCs/>
        </w:rPr>
        <w:t xml:space="preserve">Any pharmacy without a license that </w:t>
      </w:r>
      <w:r w:rsidR="006436E7" w:rsidRPr="00A94C2A">
        <w:rPr>
          <w:rFonts w:ascii="Arial" w:hAnsi="Arial" w:cs="Arial"/>
          <w:b/>
          <w:bCs/>
        </w:rPr>
        <w:t>dispenses</w:t>
      </w:r>
      <w:r w:rsidRPr="00A94C2A">
        <w:rPr>
          <w:rFonts w:ascii="Arial" w:hAnsi="Arial" w:cs="Arial"/>
          <w:b/>
          <w:bCs/>
        </w:rPr>
        <w:t xml:space="preserve"> prescription products into Massachusetts on or after </w:t>
      </w:r>
      <w:r w:rsidR="00A94C2A" w:rsidRPr="00A94C2A">
        <w:rPr>
          <w:rFonts w:ascii="Arial" w:hAnsi="Arial" w:cs="Arial"/>
          <w:b/>
          <w:bCs/>
        </w:rPr>
        <w:t>May 1</w:t>
      </w:r>
      <w:r w:rsidRPr="00A94C2A">
        <w:rPr>
          <w:rFonts w:ascii="Arial" w:hAnsi="Arial" w:cs="Arial"/>
          <w:b/>
          <w:bCs/>
        </w:rPr>
        <w:t xml:space="preserve">, </w:t>
      </w:r>
      <w:proofErr w:type="gramStart"/>
      <w:r w:rsidRPr="00A94C2A">
        <w:rPr>
          <w:rFonts w:ascii="Arial" w:hAnsi="Arial" w:cs="Arial"/>
          <w:b/>
          <w:bCs/>
        </w:rPr>
        <w:t>202</w:t>
      </w:r>
      <w:r w:rsidR="00E4095F" w:rsidRPr="00A94C2A">
        <w:rPr>
          <w:rFonts w:ascii="Arial" w:hAnsi="Arial" w:cs="Arial"/>
          <w:b/>
          <w:bCs/>
        </w:rPr>
        <w:t>5</w:t>
      </w:r>
      <w:proofErr w:type="gramEnd"/>
      <w:r w:rsidRPr="00A94C2A">
        <w:rPr>
          <w:rFonts w:ascii="Arial" w:hAnsi="Arial" w:cs="Arial"/>
          <w:b/>
          <w:bCs/>
        </w:rPr>
        <w:t xml:space="preserve"> will be subject to prosecution and penalties for unlawful distribution as provided by law.  </w:t>
      </w:r>
    </w:p>
    <w:bookmarkEnd w:id="1"/>
    <w:p w14:paraId="4020AEE7" w14:textId="77777777" w:rsidR="00F52B6C" w:rsidRDefault="00F52B6C" w:rsidP="00F52B6C">
      <w:pPr>
        <w:jc w:val="both"/>
        <w:rPr>
          <w:rFonts w:ascii="Arial" w:hAnsi="Arial" w:cs="Arial"/>
        </w:rPr>
      </w:pPr>
    </w:p>
    <w:p w14:paraId="2C550A58" w14:textId="0F6961AF" w:rsidR="00033154" w:rsidRDefault="00F52B6C" w:rsidP="00F52B6C">
      <w:pPr>
        <w:jc w:val="both"/>
      </w:pPr>
      <w:r w:rsidRPr="00CB4801">
        <w:rPr>
          <w:rFonts w:ascii="Arial" w:hAnsi="Arial" w:cs="Arial"/>
        </w:rPr>
        <w:t xml:space="preserve">Please direct any questions to: </w:t>
      </w:r>
      <w:hyperlink r:id="rId14" w:history="1">
        <w:r w:rsidRPr="00E8649D">
          <w:rPr>
            <w:rStyle w:val="Hyperlink"/>
            <w:rFonts w:ascii="Arial" w:hAnsi="Arial" w:cs="Arial"/>
          </w:rPr>
          <w:t>Pharmacy.Admin@mass.gov</w:t>
        </w:r>
      </w:hyperlink>
    </w:p>
    <w:p w14:paraId="557A8B37" w14:textId="77777777" w:rsidR="00033154" w:rsidRDefault="00033154" w:rsidP="0072610D"/>
    <w:p w14:paraId="54237957" w14:textId="6FF2DBD1" w:rsidR="00791AD8" w:rsidRDefault="00791AD8">
      <w:r>
        <w:br w:type="page"/>
      </w:r>
    </w:p>
    <w:p w14:paraId="54CEAC65" w14:textId="77777777" w:rsidR="00791AD8" w:rsidRDefault="00791AD8" w:rsidP="00791AD8">
      <w:pPr>
        <w:framePr w:w="6926" w:hSpace="187" w:wrap="notBeside" w:vAnchor="page" w:hAnchor="page" w:x="2334" w:y="181"/>
        <w:jc w:val="center"/>
        <w:rPr>
          <w:rFonts w:ascii="Arial" w:hAnsi="Arial"/>
          <w:sz w:val="36"/>
        </w:rPr>
      </w:pPr>
    </w:p>
    <w:p w14:paraId="17B888DE" w14:textId="77777777" w:rsidR="00791AD8" w:rsidRDefault="00791AD8" w:rsidP="00791AD8">
      <w:pPr>
        <w:framePr w:w="6926" w:hSpace="187" w:wrap="notBeside" w:vAnchor="page" w:hAnchor="page" w:x="2334" w:y="18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1D676EE3" w14:textId="77777777" w:rsidR="00791AD8" w:rsidRDefault="00791AD8" w:rsidP="00791AD8">
      <w:pPr>
        <w:pStyle w:val="ExecOffice"/>
        <w:framePr w:w="6926" w:wrap="notBeside" w:vAnchor="page" w:x="2334" w:y="181"/>
      </w:pPr>
      <w:r>
        <w:t>Executive Office of Health and Human Services</w:t>
      </w:r>
    </w:p>
    <w:p w14:paraId="2415C3D2" w14:textId="77777777" w:rsidR="00791AD8" w:rsidRDefault="00791AD8" w:rsidP="00791AD8">
      <w:pPr>
        <w:pStyle w:val="ExecOffice"/>
        <w:framePr w:w="6926" w:wrap="notBeside" w:vAnchor="page" w:x="2334" w:y="181"/>
      </w:pPr>
      <w:r>
        <w:t>Department of Public Health</w:t>
      </w:r>
    </w:p>
    <w:p w14:paraId="72062275" w14:textId="77777777" w:rsidR="00791AD8" w:rsidRDefault="00791AD8" w:rsidP="00791AD8">
      <w:pPr>
        <w:pStyle w:val="ExecOffice"/>
        <w:framePr w:w="6926" w:wrap="notBeside" w:vAnchor="page" w:x="2334" w:y="181"/>
      </w:pPr>
      <w:r>
        <w:t>Bureau of Health Professions Licensure</w:t>
      </w:r>
    </w:p>
    <w:p w14:paraId="7064D42B" w14:textId="77777777" w:rsidR="00791AD8" w:rsidRDefault="00791AD8" w:rsidP="00791AD8">
      <w:pPr>
        <w:pStyle w:val="ExecOffice"/>
        <w:framePr w:w="6926" w:wrap="notBeside" w:vAnchor="page" w:x="2334" w:y="181"/>
      </w:pPr>
      <w:r w:rsidRPr="008B1F3E">
        <w:t>250 Washington Street, Boston, MA 02108-4619</w:t>
      </w:r>
    </w:p>
    <w:p w14:paraId="672C6496" w14:textId="77777777" w:rsidR="00791AD8" w:rsidRDefault="00791AD8" w:rsidP="00791AD8">
      <w:pPr>
        <w:pStyle w:val="ExecOffice"/>
        <w:framePr w:w="6926" w:wrap="notBeside" w:vAnchor="page" w:x="2334" w:y="181"/>
      </w:pPr>
    </w:p>
    <w:p w14:paraId="2D1BCF25" w14:textId="2380E765" w:rsidR="00791AD8" w:rsidRPr="00714203" w:rsidRDefault="00791AD8" w:rsidP="00791AD8">
      <w:pPr>
        <w:framePr w:w="6926" w:hSpace="187" w:wrap="notBeside" w:vAnchor="page" w:hAnchor="page" w:x="2334" w:y="181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Tel: </w:t>
      </w:r>
      <w:r w:rsidR="00DC1364" w:rsidRPr="00DC1364">
        <w:rPr>
          <w:rFonts w:ascii="Arial" w:hAnsi="Arial" w:cs="Arial"/>
          <w:sz w:val="18"/>
          <w:szCs w:val="18"/>
        </w:rPr>
        <w:t>(617) 973-0960</w:t>
      </w:r>
    </w:p>
    <w:p w14:paraId="1EE69390" w14:textId="0808CC50" w:rsidR="00791AD8" w:rsidRPr="00714203" w:rsidRDefault="00791AD8" w:rsidP="00791AD8">
      <w:pPr>
        <w:framePr w:w="6926" w:hSpace="187" w:wrap="notBeside" w:vAnchor="page" w:hAnchor="page" w:x="2334" w:y="181"/>
        <w:jc w:val="center"/>
        <w:rPr>
          <w:rFonts w:ascii="Arial" w:hAnsi="Arial" w:cs="Arial"/>
          <w:sz w:val="18"/>
          <w:szCs w:val="18"/>
          <w:lang w:val="fr-FR"/>
        </w:rPr>
      </w:pPr>
      <w:r w:rsidRPr="00714203">
        <w:rPr>
          <w:rFonts w:ascii="Arial" w:hAnsi="Arial" w:cs="Arial"/>
          <w:sz w:val="18"/>
          <w:szCs w:val="18"/>
          <w:lang w:val="fr-FR"/>
        </w:rPr>
        <w:t xml:space="preserve">TTY : </w:t>
      </w:r>
      <w:r w:rsidR="00DC1364" w:rsidRPr="00DC1364">
        <w:rPr>
          <w:rFonts w:ascii="Arial" w:hAnsi="Arial" w:cs="Arial"/>
          <w:sz w:val="18"/>
          <w:szCs w:val="18"/>
          <w:lang w:val="fr-FR"/>
        </w:rPr>
        <w:t>(617) 973-0960</w:t>
      </w:r>
    </w:p>
    <w:p w14:paraId="0EB7BBFB" w14:textId="77777777" w:rsidR="00791AD8" w:rsidRPr="00714203" w:rsidRDefault="00791AD8" w:rsidP="00791AD8">
      <w:pPr>
        <w:framePr w:w="6926" w:hSpace="187" w:wrap="notBeside" w:vAnchor="page" w:hAnchor="page" w:x="2334" w:y="181"/>
        <w:jc w:val="center"/>
        <w:rPr>
          <w:rFonts w:ascii="Arial" w:hAnsi="Arial" w:cs="Arial"/>
          <w:sz w:val="18"/>
          <w:szCs w:val="18"/>
          <w:lang w:val="fr-FR"/>
        </w:rPr>
      </w:pPr>
      <w:hyperlink r:id="rId15" w:history="1">
        <w:r w:rsidRPr="00714203">
          <w:rPr>
            <w:rFonts w:ascii="Arial" w:hAnsi="Arial" w:cs="Arial"/>
            <w:color w:val="0000FF"/>
            <w:sz w:val="18"/>
            <w:szCs w:val="18"/>
            <w:u w:val="single"/>
            <w:lang w:val="fr-FR"/>
          </w:rPr>
          <w:t>www.mass.gov/dph/boards</w:t>
        </w:r>
      </w:hyperlink>
    </w:p>
    <w:p w14:paraId="39B3364B" w14:textId="77777777" w:rsidR="00791AD8" w:rsidRDefault="00791AD8" w:rsidP="00791AD8">
      <w:pPr>
        <w:pStyle w:val="ExecOffice"/>
        <w:framePr w:w="6926" w:wrap="notBeside" w:vAnchor="page" w:x="2334" w:y="181"/>
      </w:pPr>
    </w:p>
    <w:p w14:paraId="2B36B83C" w14:textId="57E2FA93" w:rsidR="00791AD8" w:rsidRDefault="00791AD8" w:rsidP="00791AD8">
      <w:pPr>
        <w:framePr w:w="1927" w:hSpace="180" w:wrap="auto" w:vAnchor="text" w:hAnchor="page" w:x="391" w:y="-359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207311AD" wp14:editId="5CDE5154">
            <wp:extent cx="963295" cy="1149350"/>
            <wp:effectExtent l="0" t="0" r="8255" b="0"/>
            <wp:docPr id="5869349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6993B" w14:textId="77777777" w:rsidR="00791AD8" w:rsidRDefault="00791AD8" w:rsidP="00791AD8">
      <w:pPr>
        <w:ind w:left="1440" w:firstLine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Board of Registration in Pharmacy</w:t>
      </w:r>
    </w:p>
    <w:p w14:paraId="4871588E" w14:textId="77777777" w:rsidR="00791AD8" w:rsidRDefault="00791AD8" w:rsidP="00791AD8">
      <w:pPr>
        <w:ind w:left="1440" w:firstLine="720"/>
        <w:rPr>
          <w:rFonts w:ascii="Arial" w:hAnsi="Arial" w:cs="Arial"/>
          <w:b/>
          <w:sz w:val="28"/>
          <w:szCs w:val="28"/>
        </w:rPr>
      </w:pPr>
    </w:p>
    <w:p w14:paraId="3F5F1D9F" w14:textId="77777777" w:rsidR="00791AD8" w:rsidRDefault="00791AD8" w:rsidP="00791AD8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 xml:space="preserve">  Non-Resident Facility Licensure FAQs</w:t>
      </w:r>
    </w:p>
    <w:p w14:paraId="3F003507" w14:textId="77777777" w:rsidR="00791AD8" w:rsidRPr="0051267E" w:rsidRDefault="00791AD8" w:rsidP="00791AD8">
      <w:pPr>
        <w:rPr>
          <w:rFonts w:ascii="Arial" w:hAnsi="Arial" w:cs="Arial"/>
          <w:b/>
          <w:szCs w:val="24"/>
        </w:rPr>
      </w:pPr>
    </w:p>
    <w:p w14:paraId="2A872DAD" w14:textId="77777777" w:rsidR="00791AD8" w:rsidRPr="005B4D2B" w:rsidRDefault="00791AD8" w:rsidP="00791AD8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Does</w:t>
      </w:r>
      <w:r w:rsidRPr="005B4D2B">
        <w:rPr>
          <w:rFonts w:ascii="Arial" w:hAnsi="Arial" w:cs="Arial"/>
          <w:b/>
          <w:szCs w:val="24"/>
        </w:rPr>
        <w:t xml:space="preserve"> the </w:t>
      </w:r>
      <w:r w:rsidRPr="00380E2C">
        <w:rPr>
          <w:rFonts w:ascii="Arial" w:hAnsi="Arial" w:cs="Arial"/>
          <w:b/>
          <w:szCs w:val="24"/>
          <w:u w:val="single"/>
        </w:rPr>
        <w:t>pharmacist-in-charge</w:t>
      </w:r>
      <w:r w:rsidRPr="005B4D2B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(PIC) </w:t>
      </w:r>
      <w:r w:rsidRPr="005B4D2B">
        <w:rPr>
          <w:rFonts w:ascii="Arial" w:hAnsi="Arial" w:cs="Arial"/>
          <w:b/>
          <w:szCs w:val="24"/>
        </w:rPr>
        <w:t>need a Massachusetts pharmacist license?</w:t>
      </w:r>
    </w:p>
    <w:p w14:paraId="1EF01C8B" w14:textId="75C44A02" w:rsidR="00791AD8" w:rsidRDefault="00791AD8" w:rsidP="00791AD8">
      <w:pPr>
        <w:spacing w:line="276" w:lineRule="auto"/>
        <w:ind w:left="720"/>
        <w:jc w:val="both"/>
        <w:rPr>
          <w:rFonts w:ascii="Aptos" w:hAnsi="Aptos"/>
          <w:color w:val="000000"/>
          <w:szCs w:val="24"/>
        </w:rPr>
      </w:pPr>
      <w:r w:rsidRPr="00937A1A">
        <w:rPr>
          <w:rFonts w:ascii="Arial" w:hAnsi="Arial" w:cs="Arial"/>
          <w:bCs/>
          <w:i/>
          <w:iCs/>
          <w:szCs w:val="24"/>
        </w:rPr>
        <w:t>At least one pharmacist at each non-resident pharmacy must hold a Massachusetts pharmacist license. (This pharmacist does not have to be the store's pharmacist</w:t>
      </w:r>
      <w:r w:rsidR="00394B8E">
        <w:rPr>
          <w:rFonts w:ascii="Arial" w:hAnsi="Arial" w:cs="Arial"/>
          <w:bCs/>
          <w:i/>
          <w:iCs/>
          <w:szCs w:val="24"/>
        </w:rPr>
        <w:t>-</w:t>
      </w:r>
      <w:r w:rsidRPr="00937A1A">
        <w:rPr>
          <w:rFonts w:ascii="Arial" w:hAnsi="Arial" w:cs="Arial"/>
          <w:bCs/>
          <w:i/>
          <w:iCs/>
          <w:szCs w:val="24"/>
        </w:rPr>
        <w:t>in</w:t>
      </w:r>
      <w:r w:rsidR="00394B8E">
        <w:rPr>
          <w:rFonts w:ascii="Arial" w:hAnsi="Arial" w:cs="Arial"/>
          <w:bCs/>
          <w:i/>
          <w:iCs/>
          <w:szCs w:val="24"/>
        </w:rPr>
        <w:t>-</w:t>
      </w:r>
      <w:r w:rsidRPr="00937A1A">
        <w:rPr>
          <w:rFonts w:ascii="Arial" w:hAnsi="Arial" w:cs="Arial"/>
          <w:bCs/>
          <w:i/>
          <w:iCs/>
          <w:szCs w:val="24"/>
        </w:rPr>
        <w:t>charge.)</w:t>
      </w:r>
      <w:r>
        <w:rPr>
          <w:rFonts w:ascii="Arial" w:hAnsi="Arial" w:cs="Arial"/>
          <w:bCs/>
          <w:i/>
          <w:iCs/>
          <w:szCs w:val="24"/>
        </w:rPr>
        <w:t xml:space="preserve"> This “</w:t>
      </w:r>
      <w:r w:rsidRPr="00870D2A">
        <w:rPr>
          <w:rFonts w:ascii="Arial" w:hAnsi="Arial" w:cs="Arial"/>
          <w:bCs/>
          <w:i/>
          <w:iCs/>
          <w:szCs w:val="24"/>
        </w:rPr>
        <w:t>Designated Pharmacist-in-Charge</w:t>
      </w:r>
      <w:r>
        <w:rPr>
          <w:rFonts w:ascii="Arial" w:hAnsi="Arial" w:cs="Arial"/>
          <w:bCs/>
          <w:i/>
          <w:iCs/>
          <w:szCs w:val="24"/>
        </w:rPr>
        <w:t xml:space="preserve">” is </w:t>
      </w:r>
      <w:r w:rsidRPr="007B1132">
        <w:rPr>
          <w:rFonts w:ascii="Arial" w:hAnsi="Arial" w:cs="Arial"/>
          <w:bCs/>
          <w:i/>
          <w:iCs/>
          <w:szCs w:val="24"/>
        </w:rPr>
        <w:t>responsible for assuring non-resident pharmacy compliance with all Massachusetts laws and regulations pert</w:t>
      </w:r>
      <w:r>
        <w:rPr>
          <w:rFonts w:ascii="Arial" w:hAnsi="Arial" w:cs="Arial"/>
          <w:bCs/>
          <w:i/>
          <w:iCs/>
          <w:szCs w:val="24"/>
        </w:rPr>
        <w:t>aining</w:t>
      </w:r>
      <w:r w:rsidRPr="007B1132">
        <w:rPr>
          <w:rFonts w:ascii="Arial" w:hAnsi="Arial" w:cs="Arial"/>
          <w:bCs/>
          <w:i/>
          <w:iCs/>
          <w:szCs w:val="24"/>
        </w:rPr>
        <w:t xml:space="preserve"> to the practice of pharmacy.</w:t>
      </w:r>
      <w:r>
        <w:rPr>
          <w:rFonts w:ascii="Arial" w:hAnsi="Arial" w:cs="Arial"/>
          <w:bCs/>
          <w:i/>
          <w:iCs/>
          <w:szCs w:val="24"/>
        </w:rPr>
        <w:t xml:space="preserve"> It is recommended to have more than one Massachusetts licensed pharmacist </w:t>
      </w:r>
      <w:proofErr w:type="gramStart"/>
      <w:r>
        <w:rPr>
          <w:rFonts w:ascii="Arial" w:hAnsi="Arial" w:cs="Arial"/>
          <w:bCs/>
          <w:i/>
          <w:iCs/>
          <w:szCs w:val="24"/>
        </w:rPr>
        <w:t>in the event that</w:t>
      </w:r>
      <w:proofErr w:type="gramEnd"/>
      <w:r>
        <w:rPr>
          <w:rFonts w:ascii="Arial" w:hAnsi="Arial" w:cs="Arial"/>
          <w:bCs/>
          <w:i/>
          <w:iCs/>
          <w:szCs w:val="24"/>
        </w:rPr>
        <w:t xml:space="preserve"> the </w:t>
      </w:r>
      <w:r w:rsidRPr="00253DA6">
        <w:rPr>
          <w:rFonts w:ascii="Arial" w:hAnsi="Arial" w:cs="Arial"/>
          <w:bCs/>
          <w:i/>
          <w:iCs/>
          <w:szCs w:val="24"/>
        </w:rPr>
        <w:t>Designated Pharmacist-in-Charge</w:t>
      </w:r>
      <w:r>
        <w:rPr>
          <w:rFonts w:ascii="Arial" w:hAnsi="Arial" w:cs="Arial"/>
          <w:bCs/>
          <w:i/>
          <w:iCs/>
          <w:szCs w:val="24"/>
        </w:rPr>
        <w:t xml:space="preserve"> is no longer able to continue in this capacity.</w:t>
      </w:r>
      <w:r w:rsidRPr="00937A1A">
        <w:rPr>
          <w:rFonts w:ascii="Aptos" w:hAnsi="Aptos"/>
          <w:color w:val="000000"/>
          <w:szCs w:val="24"/>
        </w:rPr>
        <w:t xml:space="preserve"> </w:t>
      </w:r>
    </w:p>
    <w:p w14:paraId="7C83BA0A" w14:textId="77777777" w:rsidR="00791AD8" w:rsidRPr="00937A1A" w:rsidRDefault="00791AD8" w:rsidP="00791AD8">
      <w:pPr>
        <w:spacing w:line="276" w:lineRule="auto"/>
        <w:ind w:left="720"/>
        <w:jc w:val="both"/>
        <w:rPr>
          <w:rFonts w:ascii="Arial" w:hAnsi="Arial" w:cs="Arial"/>
          <w:bCs/>
          <w:i/>
          <w:iCs/>
          <w:szCs w:val="24"/>
        </w:rPr>
      </w:pPr>
    </w:p>
    <w:p w14:paraId="6484FEA7" w14:textId="15E6CE1B" w:rsidR="00791AD8" w:rsidRPr="00E321A8" w:rsidRDefault="00791AD8" w:rsidP="00791AD8">
      <w:pPr>
        <w:spacing w:line="276" w:lineRule="auto"/>
        <w:ind w:left="720"/>
        <w:jc w:val="both"/>
        <w:rPr>
          <w:rFonts w:ascii="Arial" w:hAnsi="Arial" w:cs="Arial"/>
          <w:bCs/>
          <w:i/>
          <w:iCs/>
          <w:szCs w:val="24"/>
          <w:u w:val="single"/>
        </w:rPr>
      </w:pPr>
      <w:r w:rsidRPr="00394B8E">
        <w:rPr>
          <w:rFonts w:ascii="Arial" w:hAnsi="Arial" w:cs="Arial"/>
          <w:bCs/>
          <w:i/>
          <w:iCs/>
          <w:szCs w:val="24"/>
        </w:rPr>
        <w:t xml:space="preserve">Applications and instructions </w:t>
      </w:r>
      <w:r w:rsidR="00911CF3">
        <w:rPr>
          <w:rFonts w:ascii="Arial" w:hAnsi="Arial" w:cs="Arial"/>
          <w:bCs/>
          <w:i/>
          <w:iCs/>
          <w:szCs w:val="24"/>
        </w:rPr>
        <w:t xml:space="preserve">for pharmacist licensure </w:t>
      </w:r>
      <w:r w:rsidRPr="00394B8E">
        <w:rPr>
          <w:rFonts w:ascii="Arial" w:hAnsi="Arial" w:cs="Arial"/>
          <w:bCs/>
          <w:i/>
          <w:iCs/>
          <w:szCs w:val="24"/>
        </w:rPr>
        <w:t>can be found </w:t>
      </w:r>
      <w:hyperlink r:id="rId16" w:tgtFrame="_blank" w:tooltip="https://www.mass.gov/how-to/apply-for-a-pharmacist-license" w:history="1">
        <w:r w:rsidRPr="00394B8E">
          <w:rPr>
            <w:rStyle w:val="Hyperlink"/>
            <w:rFonts w:ascii="Arial" w:hAnsi="Arial" w:cs="Arial"/>
            <w:bCs/>
            <w:i/>
            <w:iCs/>
            <w:szCs w:val="24"/>
          </w:rPr>
          <w:t>here</w:t>
        </w:r>
      </w:hyperlink>
      <w:r w:rsidRPr="00394B8E">
        <w:rPr>
          <w:rFonts w:ascii="Arial" w:hAnsi="Arial" w:cs="Arial"/>
          <w:bCs/>
          <w:i/>
          <w:iCs/>
          <w:szCs w:val="24"/>
        </w:rPr>
        <w:t>.</w:t>
      </w:r>
      <w:r w:rsidR="00911CF3">
        <w:rPr>
          <w:rFonts w:ascii="Arial" w:hAnsi="Arial" w:cs="Arial"/>
          <w:bCs/>
          <w:i/>
          <w:iCs/>
          <w:szCs w:val="24"/>
        </w:rPr>
        <w:t xml:space="preserve"> Be aware that the process can take 30-60 days.</w:t>
      </w:r>
    </w:p>
    <w:p w14:paraId="5D2A3198" w14:textId="77777777" w:rsidR="00791AD8" w:rsidRPr="000C3510" w:rsidRDefault="00791AD8" w:rsidP="00791AD8">
      <w:pPr>
        <w:spacing w:line="276" w:lineRule="auto"/>
        <w:jc w:val="both"/>
        <w:rPr>
          <w:rFonts w:ascii="Arial" w:hAnsi="Arial" w:cs="Arial"/>
          <w:bCs/>
          <w:i/>
          <w:iCs/>
          <w:szCs w:val="24"/>
        </w:rPr>
      </w:pPr>
    </w:p>
    <w:p w14:paraId="48B6E860" w14:textId="77777777" w:rsidR="00466EB9" w:rsidRPr="00803B0F" w:rsidRDefault="00466EB9" w:rsidP="00466EB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803B0F">
        <w:rPr>
          <w:rFonts w:ascii="Arial" w:hAnsi="Arial" w:cs="Arial"/>
          <w:b/>
          <w:szCs w:val="24"/>
        </w:rPr>
        <w:t>Will a</w:t>
      </w:r>
      <w:r>
        <w:rPr>
          <w:rFonts w:ascii="Arial" w:hAnsi="Arial" w:cs="Arial"/>
          <w:b/>
          <w:szCs w:val="24"/>
        </w:rPr>
        <w:t xml:space="preserve">n </w:t>
      </w:r>
      <w:r w:rsidRPr="00380E2C">
        <w:rPr>
          <w:rFonts w:ascii="Arial" w:hAnsi="Arial" w:cs="Arial"/>
          <w:b/>
          <w:szCs w:val="24"/>
          <w:u w:val="single"/>
        </w:rPr>
        <w:t>inspection</w:t>
      </w:r>
      <w:r w:rsidRPr="00803B0F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of my pharmacy </w:t>
      </w:r>
      <w:r w:rsidRPr="00803B0F">
        <w:rPr>
          <w:rFonts w:ascii="Arial" w:hAnsi="Arial" w:cs="Arial"/>
          <w:b/>
          <w:szCs w:val="24"/>
        </w:rPr>
        <w:t>be required</w:t>
      </w:r>
      <w:r>
        <w:rPr>
          <w:rFonts w:ascii="Arial" w:hAnsi="Arial" w:cs="Arial"/>
          <w:b/>
          <w:szCs w:val="24"/>
        </w:rPr>
        <w:t xml:space="preserve"> for licensure</w:t>
      </w:r>
      <w:r w:rsidRPr="00803B0F">
        <w:rPr>
          <w:rFonts w:ascii="Arial" w:hAnsi="Arial" w:cs="Arial"/>
          <w:b/>
          <w:szCs w:val="24"/>
        </w:rPr>
        <w:t>?</w:t>
      </w:r>
    </w:p>
    <w:p w14:paraId="2BFD95A6" w14:textId="77777777" w:rsidR="00466EB9" w:rsidRDefault="00466EB9" w:rsidP="00466EB9">
      <w:pPr>
        <w:spacing w:line="276" w:lineRule="auto"/>
        <w:ind w:left="360" w:firstLine="360"/>
        <w:jc w:val="both"/>
        <w:rPr>
          <w:rFonts w:ascii="Arial" w:hAnsi="Arial" w:cs="Arial"/>
          <w:bCs/>
          <w:i/>
          <w:iCs/>
          <w:szCs w:val="24"/>
        </w:rPr>
      </w:pPr>
      <w:r w:rsidRPr="00803B0F">
        <w:rPr>
          <w:rFonts w:ascii="Arial" w:hAnsi="Arial" w:cs="Arial"/>
          <w:bCs/>
          <w:i/>
          <w:iCs/>
          <w:szCs w:val="24"/>
        </w:rPr>
        <w:t xml:space="preserve">Yes. </w:t>
      </w:r>
      <w:r>
        <w:rPr>
          <w:rFonts w:ascii="Arial" w:hAnsi="Arial" w:cs="Arial"/>
          <w:bCs/>
          <w:i/>
          <w:iCs/>
          <w:szCs w:val="24"/>
        </w:rPr>
        <w:t>See pages 3-5 for acceptable inspections.</w:t>
      </w:r>
    </w:p>
    <w:p w14:paraId="3A62D4ED" w14:textId="77777777" w:rsidR="00466EB9" w:rsidRPr="00803B0F" w:rsidRDefault="00466EB9" w:rsidP="00466EB9">
      <w:pPr>
        <w:spacing w:line="276" w:lineRule="auto"/>
        <w:ind w:left="360" w:firstLine="360"/>
        <w:jc w:val="both"/>
        <w:rPr>
          <w:rFonts w:ascii="Arial" w:hAnsi="Arial" w:cs="Arial"/>
          <w:bCs/>
          <w:i/>
          <w:iCs/>
          <w:szCs w:val="24"/>
        </w:rPr>
      </w:pPr>
    </w:p>
    <w:p w14:paraId="7C8F56D8" w14:textId="77777777" w:rsidR="00466EB9" w:rsidRPr="00870D2A" w:rsidRDefault="00466EB9" w:rsidP="00466EB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870D2A">
        <w:rPr>
          <w:rFonts w:ascii="Arial" w:hAnsi="Arial" w:cs="Arial"/>
          <w:b/>
          <w:szCs w:val="24"/>
        </w:rPr>
        <w:t xml:space="preserve">What does a non-resident pharmacy have to </w:t>
      </w:r>
      <w:r w:rsidRPr="00380E2C">
        <w:rPr>
          <w:rFonts w:ascii="Arial" w:hAnsi="Arial" w:cs="Arial"/>
          <w:b/>
          <w:szCs w:val="24"/>
          <w:u w:val="single"/>
        </w:rPr>
        <w:t>report</w:t>
      </w:r>
      <w:r w:rsidRPr="00870D2A">
        <w:rPr>
          <w:rFonts w:ascii="Arial" w:hAnsi="Arial" w:cs="Arial"/>
          <w:b/>
          <w:szCs w:val="24"/>
        </w:rPr>
        <w:t>?</w:t>
      </w:r>
    </w:p>
    <w:p w14:paraId="22039900" w14:textId="49FD3670" w:rsidR="00466EB9" w:rsidRDefault="00394B8E" w:rsidP="00466EB9">
      <w:pPr>
        <w:spacing w:line="276" w:lineRule="auto"/>
        <w:ind w:left="720"/>
        <w:jc w:val="both"/>
        <w:rPr>
          <w:rFonts w:ascii="Arial" w:hAnsi="Arial" w:cs="Arial"/>
          <w:bCs/>
          <w:i/>
          <w:iCs/>
          <w:szCs w:val="24"/>
        </w:rPr>
      </w:pPr>
      <w:r>
        <w:rPr>
          <w:rFonts w:ascii="Arial" w:hAnsi="Arial" w:cs="Arial"/>
          <w:bCs/>
          <w:i/>
          <w:iCs/>
          <w:szCs w:val="24"/>
        </w:rPr>
        <w:t>I</w:t>
      </w:r>
      <w:r w:rsidR="00466EB9" w:rsidRPr="00870D2A">
        <w:rPr>
          <w:rFonts w:ascii="Arial" w:hAnsi="Arial" w:cs="Arial"/>
          <w:bCs/>
          <w:i/>
          <w:iCs/>
          <w:szCs w:val="24"/>
        </w:rPr>
        <w:t xml:space="preserve">nformation for Schedules II - V and gabapentin </w:t>
      </w:r>
      <w:r w:rsidR="00466EB9">
        <w:rPr>
          <w:rFonts w:ascii="Arial" w:hAnsi="Arial" w:cs="Arial"/>
          <w:bCs/>
          <w:i/>
          <w:iCs/>
          <w:szCs w:val="24"/>
        </w:rPr>
        <w:t xml:space="preserve">prescriptions that are dispensed into Massachusetts </w:t>
      </w:r>
      <w:r w:rsidR="00466EB9" w:rsidRPr="00870D2A">
        <w:rPr>
          <w:rFonts w:ascii="Arial" w:hAnsi="Arial" w:cs="Arial"/>
          <w:bCs/>
          <w:i/>
          <w:iCs/>
          <w:szCs w:val="24"/>
        </w:rPr>
        <w:t xml:space="preserve">must be reported to the </w:t>
      </w:r>
      <w:hyperlink r:id="rId17" w:history="1">
        <w:r w:rsidR="00466EB9" w:rsidRPr="004C0B61">
          <w:rPr>
            <w:rStyle w:val="Hyperlink"/>
            <w:rFonts w:ascii="Arial" w:hAnsi="Arial" w:cs="Arial"/>
            <w:bCs/>
            <w:i/>
            <w:iCs/>
            <w:szCs w:val="24"/>
          </w:rPr>
          <w:t>Prescription Monitoring Program (PMP)</w:t>
        </w:r>
      </w:hyperlink>
      <w:r w:rsidR="00466EB9">
        <w:rPr>
          <w:rFonts w:ascii="Arial" w:hAnsi="Arial" w:cs="Arial"/>
          <w:bCs/>
          <w:i/>
          <w:iCs/>
          <w:szCs w:val="24"/>
        </w:rPr>
        <w:t xml:space="preserve">. </w:t>
      </w:r>
      <w:r w:rsidR="00911CF3">
        <w:rPr>
          <w:rFonts w:ascii="Arial" w:hAnsi="Arial" w:cs="Arial"/>
          <w:bCs/>
          <w:i/>
          <w:iCs/>
          <w:szCs w:val="24"/>
        </w:rPr>
        <w:t>Other</w:t>
      </w:r>
      <w:r>
        <w:rPr>
          <w:rFonts w:ascii="Arial" w:hAnsi="Arial" w:cs="Arial"/>
          <w:bCs/>
          <w:i/>
          <w:iCs/>
          <w:szCs w:val="24"/>
        </w:rPr>
        <w:t xml:space="preserve"> reporting requirements will be in effect upon licensure and can be found </w:t>
      </w:r>
      <w:hyperlink r:id="rId18" w:history="1">
        <w:r w:rsidRPr="00394B8E">
          <w:rPr>
            <w:rStyle w:val="Hyperlink"/>
            <w:rFonts w:ascii="Arial" w:hAnsi="Arial" w:cs="Arial"/>
            <w:bCs/>
            <w:i/>
            <w:iCs/>
            <w:szCs w:val="24"/>
          </w:rPr>
          <w:t>here</w:t>
        </w:r>
      </w:hyperlink>
      <w:r>
        <w:rPr>
          <w:rFonts w:ascii="Arial" w:hAnsi="Arial" w:cs="Arial"/>
          <w:bCs/>
          <w:i/>
          <w:iCs/>
          <w:szCs w:val="24"/>
        </w:rPr>
        <w:t>.</w:t>
      </w:r>
    </w:p>
    <w:p w14:paraId="041EBFEF" w14:textId="77777777" w:rsidR="00466EB9" w:rsidRDefault="00466EB9" w:rsidP="00466EB9">
      <w:pPr>
        <w:spacing w:line="276" w:lineRule="auto"/>
        <w:ind w:left="720"/>
        <w:jc w:val="both"/>
        <w:rPr>
          <w:rFonts w:ascii="Arial" w:hAnsi="Arial" w:cs="Arial"/>
          <w:bCs/>
          <w:szCs w:val="24"/>
        </w:rPr>
      </w:pPr>
    </w:p>
    <w:p w14:paraId="36BD87C2" w14:textId="77777777" w:rsidR="00791AD8" w:rsidRPr="000B5CDA" w:rsidRDefault="00791AD8" w:rsidP="00791AD8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0B5CDA">
        <w:rPr>
          <w:rFonts w:ascii="Arial" w:hAnsi="Arial" w:cs="Arial"/>
          <w:b/>
          <w:szCs w:val="24"/>
        </w:rPr>
        <w:t xml:space="preserve">Will non-resident licensure be offered for </w:t>
      </w:r>
      <w:r w:rsidRPr="000A4908">
        <w:rPr>
          <w:rFonts w:ascii="Arial" w:hAnsi="Arial" w:cs="Arial"/>
          <w:b/>
          <w:szCs w:val="24"/>
          <w:u w:val="single"/>
        </w:rPr>
        <w:t>non-dispensing pharmacies,</w:t>
      </w:r>
      <w:r>
        <w:rPr>
          <w:rFonts w:ascii="Arial" w:hAnsi="Arial" w:cs="Arial"/>
          <w:b/>
          <w:szCs w:val="24"/>
        </w:rPr>
        <w:t xml:space="preserve"> </w:t>
      </w:r>
      <w:r w:rsidRPr="001D09DE">
        <w:rPr>
          <w:rFonts w:ascii="Arial" w:hAnsi="Arial" w:cs="Arial"/>
          <w:b/>
          <w:szCs w:val="24"/>
          <w:u w:val="single"/>
        </w:rPr>
        <w:t>wholesalers, distributors, 3PLs, or manufacturers</w:t>
      </w:r>
      <w:r w:rsidRPr="000B5CDA">
        <w:rPr>
          <w:rFonts w:ascii="Arial" w:hAnsi="Arial" w:cs="Arial"/>
          <w:b/>
          <w:szCs w:val="24"/>
        </w:rPr>
        <w:t>?</w:t>
      </w:r>
    </w:p>
    <w:p w14:paraId="200DFAC4" w14:textId="77777777" w:rsidR="00791AD8" w:rsidRDefault="00791AD8" w:rsidP="00791AD8">
      <w:pPr>
        <w:spacing w:line="276" w:lineRule="auto"/>
        <w:ind w:firstLine="720"/>
        <w:jc w:val="both"/>
        <w:rPr>
          <w:rFonts w:ascii="Arial" w:hAnsi="Arial" w:cs="Arial"/>
          <w:bCs/>
          <w:i/>
          <w:iCs/>
          <w:szCs w:val="24"/>
        </w:rPr>
      </w:pPr>
      <w:r w:rsidRPr="000B5CDA">
        <w:rPr>
          <w:rFonts w:ascii="Arial" w:hAnsi="Arial" w:cs="Arial"/>
          <w:bCs/>
          <w:i/>
          <w:iCs/>
          <w:szCs w:val="24"/>
        </w:rPr>
        <w:t xml:space="preserve">The Board has no plans to offer non-resident licensure </w:t>
      </w:r>
      <w:r>
        <w:rPr>
          <w:rFonts w:ascii="Arial" w:hAnsi="Arial" w:cs="Arial"/>
          <w:bCs/>
          <w:i/>
          <w:iCs/>
          <w:szCs w:val="24"/>
        </w:rPr>
        <w:t>for</w:t>
      </w:r>
      <w:r w:rsidRPr="000B5CDA">
        <w:rPr>
          <w:rFonts w:ascii="Arial" w:hAnsi="Arial" w:cs="Arial"/>
          <w:bCs/>
          <w:i/>
          <w:iCs/>
          <w:szCs w:val="24"/>
        </w:rPr>
        <w:t xml:space="preserve"> these facilities. </w:t>
      </w:r>
    </w:p>
    <w:p w14:paraId="5359EA26" w14:textId="77777777" w:rsidR="00791AD8" w:rsidRDefault="00791AD8" w:rsidP="00791AD8">
      <w:pPr>
        <w:spacing w:line="276" w:lineRule="auto"/>
        <w:ind w:firstLine="720"/>
        <w:jc w:val="both"/>
        <w:rPr>
          <w:rFonts w:ascii="Arial" w:hAnsi="Arial" w:cs="Arial"/>
          <w:bCs/>
          <w:i/>
          <w:iCs/>
          <w:szCs w:val="24"/>
        </w:rPr>
      </w:pPr>
    </w:p>
    <w:p w14:paraId="3B788F71" w14:textId="77777777" w:rsidR="00791AD8" w:rsidRPr="000B5CDA" w:rsidRDefault="00791AD8" w:rsidP="00791AD8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0B5CDA">
        <w:rPr>
          <w:rFonts w:ascii="Arial" w:hAnsi="Arial" w:cs="Arial"/>
          <w:b/>
          <w:szCs w:val="24"/>
        </w:rPr>
        <w:t xml:space="preserve">Is non-resident </w:t>
      </w:r>
      <w:r>
        <w:rPr>
          <w:rFonts w:ascii="Arial" w:hAnsi="Arial" w:cs="Arial"/>
          <w:b/>
          <w:szCs w:val="24"/>
        </w:rPr>
        <w:t>registration</w:t>
      </w:r>
      <w:r w:rsidRPr="000B5CDA">
        <w:rPr>
          <w:rFonts w:ascii="Arial" w:hAnsi="Arial" w:cs="Arial"/>
          <w:b/>
          <w:szCs w:val="24"/>
        </w:rPr>
        <w:t xml:space="preserve"> offered for </w:t>
      </w:r>
      <w:r w:rsidRPr="001D09DE">
        <w:rPr>
          <w:rFonts w:ascii="Arial" w:hAnsi="Arial" w:cs="Arial"/>
          <w:b/>
          <w:szCs w:val="24"/>
          <w:u w:val="single"/>
        </w:rPr>
        <w:t>503B outsourcing facilities</w:t>
      </w:r>
      <w:r w:rsidRPr="000B5CDA">
        <w:rPr>
          <w:rFonts w:ascii="Arial" w:hAnsi="Arial" w:cs="Arial"/>
          <w:b/>
          <w:szCs w:val="24"/>
        </w:rPr>
        <w:t>?</w:t>
      </w:r>
    </w:p>
    <w:p w14:paraId="6C249AF7" w14:textId="541EBD1C" w:rsidR="00791AD8" w:rsidRPr="00354129" w:rsidRDefault="00791AD8" w:rsidP="00466EB9">
      <w:pPr>
        <w:spacing w:line="276" w:lineRule="auto"/>
        <w:ind w:left="360" w:firstLine="360"/>
        <w:jc w:val="both"/>
        <w:rPr>
          <w:b/>
        </w:rPr>
      </w:pPr>
      <w:r w:rsidRPr="00F23BB8">
        <w:rPr>
          <w:rFonts w:ascii="Arial" w:hAnsi="Arial" w:cs="Arial"/>
          <w:bCs/>
          <w:i/>
          <w:iCs/>
          <w:szCs w:val="24"/>
        </w:rPr>
        <w:t xml:space="preserve">Yes. </w:t>
      </w:r>
      <w:r>
        <w:rPr>
          <w:rFonts w:ascii="Arial" w:hAnsi="Arial" w:cs="Arial"/>
          <w:bCs/>
          <w:i/>
          <w:iCs/>
          <w:szCs w:val="24"/>
        </w:rPr>
        <w:t xml:space="preserve">See </w:t>
      </w:r>
      <w:hyperlink r:id="rId19" w:history="1">
        <w:r w:rsidRPr="00EF4FAC">
          <w:rPr>
            <w:rStyle w:val="Hyperlink"/>
            <w:rFonts w:ascii="Arial" w:hAnsi="Arial" w:cs="Arial"/>
            <w:bCs/>
            <w:i/>
            <w:iCs/>
            <w:szCs w:val="24"/>
          </w:rPr>
          <w:t>regulatory information</w:t>
        </w:r>
      </w:hyperlink>
      <w:r w:rsidRPr="00F23BB8">
        <w:rPr>
          <w:rFonts w:ascii="Arial" w:hAnsi="Arial" w:cs="Arial"/>
          <w:bCs/>
          <w:i/>
          <w:iCs/>
          <w:szCs w:val="24"/>
        </w:rPr>
        <w:t xml:space="preserve"> </w:t>
      </w:r>
      <w:r>
        <w:rPr>
          <w:rFonts w:ascii="Arial" w:hAnsi="Arial" w:cs="Arial"/>
          <w:bCs/>
          <w:i/>
          <w:iCs/>
          <w:szCs w:val="24"/>
        </w:rPr>
        <w:t xml:space="preserve">and </w:t>
      </w:r>
      <w:hyperlink r:id="rId20" w:history="1">
        <w:r w:rsidRPr="00EF4FAC">
          <w:rPr>
            <w:rStyle w:val="Hyperlink"/>
            <w:rFonts w:ascii="Arial" w:hAnsi="Arial" w:cs="Arial"/>
            <w:bCs/>
            <w:i/>
            <w:iCs/>
            <w:szCs w:val="24"/>
          </w:rPr>
          <w:t>application details</w:t>
        </w:r>
      </w:hyperlink>
      <w:r>
        <w:rPr>
          <w:rFonts w:ascii="Arial" w:hAnsi="Arial" w:cs="Arial"/>
          <w:bCs/>
          <w:i/>
          <w:iCs/>
          <w:szCs w:val="24"/>
        </w:rPr>
        <w:t>.</w:t>
      </w:r>
      <w:r>
        <w:br w:type="page"/>
      </w:r>
    </w:p>
    <w:p w14:paraId="5359E705" w14:textId="77777777" w:rsidR="00791AD8" w:rsidRPr="004700C7" w:rsidRDefault="00791AD8" w:rsidP="00791AD8">
      <w:pPr>
        <w:framePr w:w="6926" w:hSpace="187" w:wrap="notBeside" w:vAnchor="page" w:hAnchor="page" w:x="2358" w:y="78"/>
        <w:jc w:val="center"/>
        <w:rPr>
          <w:rFonts w:ascii="Arial" w:hAnsi="Arial"/>
          <w:sz w:val="36"/>
        </w:rPr>
      </w:pPr>
    </w:p>
    <w:p w14:paraId="3B009D3C" w14:textId="77777777" w:rsidR="00791AD8" w:rsidRPr="004700C7" w:rsidRDefault="00791AD8" w:rsidP="00791AD8">
      <w:pPr>
        <w:framePr w:w="6926" w:hSpace="187" w:wrap="notBeside" w:vAnchor="page" w:hAnchor="page" w:x="2358" w:y="78"/>
        <w:jc w:val="center"/>
        <w:rPr>
          <w:rFonts w:ascii="Arial" w:hAnsi="Arial"/>
          <w:sz w:val="36"/>
        </w:rPr>
      </w:pPr>
      <w:r w:rsidRPr="004700C7">
        <w:rPr>
          <w:rFonts w:ascii="Arial" w:hAnsi="Arial"/>
          <w:sz w:val="36"/>
        </w:rPr>
        <w:t>The Commonwealth of Massachusetts</w:t>
      </w:r>
    </w:p>
    <w:p w14:paraId="219CC849" w14:textId="77777777" w:rsidR="00791AD8" w:rsidRPr="004700C7" w:rsidRDefault="00791AD8" w:rsidP="00791AD8">
      <w:pPr>
        <w:framePr w:w="6926" w:hSpace="187" w:wrap="notBeside" w:vAnchor="page" w:hAnchor="page" w:x="2358" w:y="78"/>
        <w:jc w:val="center"/>
        <w:rPr>
          <w:rFonts w:ascii="Arial" w:hAnsi="Arial"/>
          <w:sz w:val="28"/>
        </w:rPr>
      </w:pPr>
      <w:r w:rsidRPr="004700C7">
        <w:rPr>
          <w:rFonts w:ascii="Arial" w:hAnsi="Arial"/>
          <w:sz w:val="28"/>
        </w:rPr>
        <w:t>Executive Office of Health and Human Services</w:t>
      </w:r>
    </w:p>
    <w:p w14:paraId="16BC68EC" w14:textId="77777777" w:rsidR="00791AD8" w:rsidRPr="004700C7" w:rsidRDefault="00791AD8" w:rsidP="00791AD8">
      <w:pPr>
        <w:framePr w:w="6926" w:hSpace="187" w:wrap="notBeside" w:vAnchor="page" w:hAnchor="page" w:x="2358" w:y="78"/>
        <w:jc w:val="center"/>
        <w:rPr>
          <w:rFonts w:ascii="Arial" w:hAnsi="Arial"/>
          <w:sz w:val="28"/>
        </w:rPr>
      </w:pPr>
      <w:r w:rsidRPr="004700C7">
        <w:rPr>
          <w:rFonts w:ascii="Arial" w:hAnsi="Arial"/>
          <w:sz w:val="28"/>
        </w:rPr>
        <w:t>Department of Public Health</w:t>
      </w:r>
    </w:p>
    <w:p w14:paraId="5511D563" w14:textId="77777777" w:rsidR="00791AD8" w:rsidRPr="004700C7" w:rsidRDefault="00791AD8" w:rsidP="00791AD8">
      <w:pPr>
        <w:framePr w:w="6926" w:hSpace="187" w:wrap="notBeside" w:vAnchor="page" w:hAnchor="page" w:x="2358" w:y="78"/>
        <w:jc w:val="center"/>
        <w:rPr>
          <w:rFonts w:ascii="Arial" w:hAnsi="Arial"/>
          <w:sz w:val="28"/>
        </w:rPr>
      </w:pPr>
      <w:r w:rsidRPr="004700C7">
        <w:rPr>
          <w:rFonts w:ascii="Arial" w:hAnsi="Arial"/>
          <w:sz w:val="28"/>
        </w:rPr>
        <w:t>Bureau of Health Professions Licensure</w:t>
      </w:r>
    </w:p>
    <w:p w14:paraId="283424E3" w14:textId="77777777" w:rsidR="00791AD8" w:rsidRDefault="00791AD8" w:rsidP="00791AD8">
      <w:pPr>
        <w:framePr w:w="6926" w:hSpace="187" w:wrap="notBeside" w:vAnchor="page" w:hAnchor="page" w:x="2358" w:y="78"/>
        <w:jc w:val="center"/>
        <w:rPr>
          <w:rFonts w:ascii="Arial" w:hAnsi="Arial"/>
          <w:sz w:val="28"/>
        </w:rPr>
      </w:pPr>
      <w:r w:rsidRPr="0040659A">
        <w:rPr>
          <w:rFonts w:ascii="Arial" w:hAnsi="Arial"/>
          <w:sz w:val="28"/>
        </w:rPr>
        <w:t>250 Washington Street, Boston, MA 02108-4619</w:t>
      </w:r>
    </w:p>
    <w:p w14:paraId="7377DDD8" w14:textId="77777777" w:rsidR="00791AD8" w:rsidRPr="004700C7" w:rsidRDefault="00791AD8" w:rsidP="00791AD8">
      <w:pPr>
        <w:framePr w:w="6926" w:hSpace="187" w:wrap="notBeside" w:vAnchor="page" w:hAnchor="page" w:x="2358" w:y="78"/>
        <w:jc w:val="center"/>
        <w:rPr>
          <w:rFonts w:ascii="Arial" w:hAnsi="Arial"/>
          <w:sz w:val="28"/>
        </w:rPr>
      </w:pPr>
    </w:p>
    <w:p w14:paraId="5886AF50" w14:textId="0801258F" w:rsidR="00791AD8" w:rsidRPr="004700C7" w:rsidRDefault="00791AD8" w:rsidP="00791AD8">
      <w:pPr>
        <w:framePr w:w="6926" w:hSpace="187" w:wrap="notBeside" w:vAnchor="page" w:hAnchor="page" w:x="2358" w:y="78"/>
        <w:jc w:val="center"/>
        <w:rPr>
          <w:rFonts w:ascii="Arial" w:hAnsi="Arial" w:cs="Arial"/>
          <w:sz w:val="18"/>
          <w:szCs w:val="18"/>
        </w:rPr>
      </w:pPr>
      <w:r w:rsidRPr="004700C7">
        <w:rPr>
          <w:rFonts w:ascii="Arial" w:hAnsi="Arial" w:cs="Arial"/>
          <w:sz w:val="18"/>
          <w:szCs w:val="18"/>
        </w:rPr>
        <w:t xml:space="preserve">Tel: </w:t>
      </w:r>
      <w:r w:rsidR="00F145A7" w:rsidRPr="00F145A7">
        <w:rPr>
          <w:rFonts w:ascii="Arial" w:hAnsi="Arial" w:cs="Arial"/>
          <w:sz w:val="18"/>
          <w:szCs w:val="18"/>
        </w:rPr>
        <w:t>(617) 973-0960</w:t>
      </w:r>
    </w:p>
    <w:p w14:paraId="4200760A" w14:textId="779426D3" w:rsidR="00791AD8" w:rsidRPr="004700C7" w:rsidRDefault="00791AD8" w:rsidP="00791AD8">
      <w:pPr>
        <w:framePr w:w="6926" w:hSpace="187" w:wrap="notBeside" w:vAnchor="page" w:hAnchor="page" w:x="2358" w:y="78"/>
        <w:jc w:val="center"/>
        <w:rPr>
          <w:rFonts w:ascii="Arial" w:hAnsi="Arial" w:cs="Arial"/>
          <w:sz w:val="18"/>
          <w:szCs w:val="18"/>
          <w:lang w:val="fr-FR"/>
        </w:rPr>
      </w:pPr>
      <w:proofErr w:type="gramStart"/>
      <w:r w:rsidRPr="004700C7">
        <w:rPr>
          <w:rFonts w:ascii="Arial" w:hAnsi="Arial" w:cs="Arial"/>
          <w:sz w:val="18"/>
          <w:szCs w:val="18"/>
          <w:lang w:val="fr-FR"/>
        </w:rPr>
        <w:t>TTY:</w:t>
      </w:r>
      <w:proofErr w:type="gramEnd"/>
      <w:r w:rsidRPr="004700C7">
        <w:rPr>
          <w:rFonts w:ascii="Arial" w:hAnsi="Arial" w:cs="Arial"/>
          <w:sz w:val="18"/>
          <w:szCs w:val="18"/>
          <w:lang w:val="fr-FR"/>
        </w:rPr>
        <w:t xml:space="preserve"> </w:t>
      </w:r>
      <w:r w:rsidR="00F145A7" w:rsidRPr="00F145A7">
        <w:rPr>
          <w:rFonts w:ascii="Arial" w:hAnsi="Arial" w:cs="Arial"/>
          <w:sz w:val="18"/>
          <w:szCs w:val="18"/>
          <w:lang w:val="fr-FR"/>
        </w:rPr>
        <w:t>(617) 973-0960</w:t>
      </w:r>
    </w:p>
    <w:p w14:paraId="26BD3FA4" w14:textId="77777777" w:rsidR="00791AD8" w:rsidRPr="004700C7" w:rsidRDefault="00791AD8" w:rsidP="00791AD8">
      <w:pPr>
        <w:framePr w:w="6926" w:hSpace="187" w:wrap="notBeside" w:vAnchor="page" w:hAnchor="page" w:x="2358" w:y="78"/>
        <w:jc w:val="center"/>
        <w:rPr>
          <w:rFonts w:ascii="Arial" w:hAnsi="Arial" w:cs="Arial"/>
          <w:sz w:val="18"/>
          <w:szCs w:val="18"/>
          <w:lang w:val="fr-FR"/>
        </w:rPr>
      </w:pPr>
      <w:hyperlink r:id="rId21" w:history="1">
        <w:r w:rsidRPr="004700C7">
          <w:rPr>
            <w:rFonts w:ascii="Arial" w:hAnsi="Arial" w:cs="Arial"/>
            <w:color w:val="0000FF"/>
            <w:sz w:val="18"/>
            <w:szCs w:val="18"/>
            <w:u w:val="single"/>
            <w:lang w:val="fr-FR"/>
          </w:rPr>
          <w:t>www.mass.gov</w:t>
        </w:r>
        <w:r w:rsidRPr="004700C7">
          <w:rPr>
            <w:rFonts w:ascii="Arial" w:hAnsi="Arial" w:cs="Arial"/>
            <w:color w:val="0000FF"/>
            <w:sz w:val="18"/>
            <w:szCs w:val="18"/>
            <w:u w:val="single"/>
            <w:lang w:val="fr-FR"/>
          </w:rPr>
          <w:t>/</w:t>
        </w:r>
        <w:r w:rsidRPr="004700C7">
          <w:rPr>
            <w:rFonts w:ascii="Arial" w:hAnsi="Arial" w:cs="Arial"/>
            <w:color w:val="0000FF"/>
            <w:sz w:val="18"/>
            <w:szCs w:val="18"/>
            <w:u w:val="single"/>
            <w:lang w:val="fr-FR"/>
          </w:rPr>
          <w:t>dph/boards</w:t>
        </w:r>
      </w:hyperlink>
    </w:p>
    <w:p w14:paraId="453F4088" w14:textId="77777777" w:rsidR="00791AD8" w:rsidRPr="004700C7" w:rsidRDefault="00791AD8" w:rsidP="00791AD8">
      <w:pPr>
        <w:framePr w:w="6926" w:hSpace="187" w:wrap="notBeside" w:vAnchor="page" w:hAnchor="page" w:x="2358" w:y="78"/>
        <w:jc w:val="center"/>
        <w:rPr>
          <w:rFonts w:ascii="Arial" w:hAnsi="Arial"/>
          <w:sz w:val="28"/>
        </w:rPr>
      </w:pPr>
    </w:p>
    <w:p w14:paraId="269B85F6" w14:textId="77777777" w:rsidR="00791AD8" w:rsidRDefault="00791AD8" w:rsidP="00791AD8">
      <w:pPr>
        <w:framePr w:w="1927" w:hSpace="180" w:wrap="auto" w:vAnchor="text" w:hAnchor="page" w:x="312" w:y="-4346"/>
        <w:ind w:left="180"/>
        <w:rPr>
          <w:rFonts w:ascii="LinePrinter" w:hAnsi="LinePrinter"/>
          <w:noProof/>
        </w:rPr>
      </w:pPr>
    </w:p>
    <w:p w14:paraId="376EFF11" w14:textId="06621E0A" w:rsidR="00791AD8" w:rsidRDefault="00791AD8" w:rsidP="00791AD8">
      <w:pPr>
        <w:framePr w:w="1927" w:hSpace="180" w:wrap="auto" w:vAnchor="text" w:hAnchor="page" w:x="312" w:y="-4346"/>
        <w:ind w:left="180"/>
        <w:rPr>
          <w:rFonts w:ascii="LinePrinter" w:hAnsi="LinePrinter"/>
          <w:noProof/>
        </w:rPr>
      </w:pPr>
      <w:r w:rsidRPr="00803B0F">
        <w:rPr>
          <w:rFonts w:ascii="LinePrinter" w:hAnsi="LinePrinter"/>
          <w:noProof/>
        </w:rPr>
        <w:drawing>
          <wp:inline distT="0" distB="0" distL="0" distR="0" wp14:anchorId="7979E838" wp14:editId="14FE99E2">
            <wp:extent cx="811530" cy="1115060"/>
            <wp:effectExtent l="0" t="0" r="7620" b="8890"/>
            <wp:docPr id="770574503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574503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111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BFAB4" w14:textId="77777777" w:rsidR="00791AD8" w:rsidRPr="004700C7" w:rsidRDefault="00791AD8" w:rsidP="00791AD8">
      <w:pPr>
        <w:framePr w:w="1927" w:hSpace="180" w:wrap="auto" w:vAnchor="text" w:hAnchor="page" w:x="312" w:y="-4346"/>
        <w:ind w:left="180"/>
        <w:rPr>
          <w:rFonts w:ascii="LinePrinter" w:hAnsi="LinePrinter"/>
        </w:rPr>
      </w:pPr>
    </w:p>
    <w:p w14:paraId="700DA8D3" w14:textId="77777777" w:rsidR="00791AD8" w:rsidRPr="004700C7" w:rsidRDefault="00791AD8" w:rsidP="00791AD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</w:t>
      </w:r>
      <w:r w:rsidRPr="004700C7">
        <w:rPr>
          <w:rFonts w:ascii="Arial" w:hAnsi="Arial" w:cs="Arial"/>
          <w:b/>
          <w:sz w:val="28"/>
          <w:szCs w:val="28"/>
        </w:rPr>
        <w:t>Board of Registration in Pharmacy</w:t>
      </w:r>
    </w:p>
    <w:p w14:paraId="571293E6" w14:textId="77777777" w:rsidR="00791AD8" w:rsidRPr="004700C7" w:rsidRDefault="00791AD8" w:rsidP="00791AD8">
      <w:pPr>
        <w:ind w:left="1440" w:firstLine="720"/>
        <w:rPr>
          <w:rFonts w:ascii="Arial" w:hAnsi="Arial" w:cs="Arial"/>
          <w:b/>
          <w:sz w:val="28"/>
          <w:szCs w:val="28"/>
        </w:rPr>
      </w:pPr>
    </w:p>
    <w:p w14:paraId="7EC0B219" w14:textId="77777777" w:rsidR="00791AD8" w:rsidRPr="007F43B9" w:rsidRDefault="00791AD8" w:rsidP="00791AD8">
      <w:pPr>
        <w:ind w:left="7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</w:t>
      </w:r>
      <w:r w:rsidRPr="000A58CB">
        <w:rPr>
          <w:rFonts w:ascii="Arial" w:hAnsi="Arial" w:cs="Arial"/>
          <w:b/>
          <w:szCs w:val="24"/>
        </w:rPr>
        <w:t>Non-Resident Pharmacy Inspection Requirements</w:t>
      </w:r>
    </w:p>
    <w:p w14:paraId="417D573A" w14:textId="77777777" w:rsidR="00791AD8" w:rsidRDefault="00791AD8" w:rsidP="00791AD8">
      <w:pPr>
        <w:ind w:left="1080"/>
        <w:rPr>
          <w:rFonts w:ascii="Arial" w:hAnsi="Arial" w:cs="Arial"/>
          <w:b/>
          <w:szCs w:val="24"/>
        </w:rPr>
      </w:pPr>
    </w:p>
    <w:p w14:paraId="00882683" w14:textId="77777777" w:rsidR="00791AD8" w:rsidRPr="000A58CB" w:rsidRDefault="00791AD8" w:rsidP="00791AD8">
      <w:pPr>
        <w:spacing w:after="24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0A58CB">
        <w:rPr>
          <w:rFonts w:ascii="Arial" w:eastAsia="Calibri" w:hAnsi="Arial" w:cs="Arial"/>
          <w:sz w:val="22"/>
          <w:szCs w:val="22"/>
        </w:rPr>
        <w:t xml:space="preserve">The Massachusetts Board of Registration in Pharmacy (Board) adopts these requirements for non-resident pharmacy inspections as summarized below. </w:t>
      </w:r>
      <w:r>
        <w:rPr>
          <w:rFonts w:ascii="Arial" w:eastAsia="Calibri" w:hAnsi="Arial" w:cs="Arial"/>
          <w:sz w:val="22"/>
          <w:szCs w:val="22"/>
        </w:rPr>
        <w:t xml:space="preserve">Both the inspection form and a </w:t>
      </w:r>
      <w:r w:rsidRPr="000B538A">
        <w:rPr>
          <w:rFonts w:ascii="Arial" w:eastAsia="Calibri" w:hAnsi="Arial" w:cs="Arial"/>
          <w:sz w:val="22"/>
          <w:szCs w:val="22"/>
          <w:u w:val="single"/>
        </w:rPr>
        <w:t>separate</w:t>
      </w:r>
      <w:r>
        <w:rPr>
          <w:rFonts w:ascii="Arial" w:eastAsia="Calibri" w:hAnsi="Arial" w:cs="Arial"/>
          <w:sz w:val="22"/>
          <w:szCs w:val="22"/>
        </w:rPr>
        <w:t xml:space="preserve"> plan of correction (if applicable) must be provided.</w:t>
      </w:r>
    </w:p>
    <w:p w14:paraId="023A2C49" w14:textId="77777777" w:rsidR="00791AD8" w:rsidRPr="000A58CB" w:rsidRDefault="00791AD8" w:rsidP="00791AD8">
      <w:pPr>
        <w:spacing w:after="24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0A58CB">
        <w:rPr>
          <w:rFonts w:ascii="Arial" w:eastAsia="Calibri" w:hAnsi="Arial" w:cs="Arial"/>
          <w:sz w:val="22"/>
          <w:szCs w:val="22"/>
        </w:rPr>
        <w:t>A “</w:t>
      </w:r>
      <w:r w:rsidRPr="00466EB9">
        <w:rPr>
          <w:rFonts w:ascii="Arial" w:eastAsia="Calibri" w:hAnsi="Arial" w:cs="Arial"/>
          <w:b/>
          <w:bCs/>
          <w:sz w:val="22"/>
          <w:szCs w:val="22"/>
        </w:rPr>
        <w:t>satisfactory inspection</w:t>
      </w:r>
      <w:r w:rsidRPr="000A58CB">
        <w:rPr>
          <w:rFonts w:ascii="Arial" w:eastAsia="Calibri" w:hAnsi="Arial" w:cs="Arial"/>
          <w:sz w:val="22"/>
          <w:szCs w:val="22"/>
        </w:rPr>
        <w:t xml:space="preserve">” for non-resident pharmacies is defined as an on-site, Board-approved pharmacy inspection </w:t>
      </w:r>
      <w:r>
        <w:rPr>
          <w:rFonts w:ascii="Arial" w:eastAsia="Calibri" w:hAnsi="Arial" w:cs="Arial"/>
          <w:sz w:val="22"/>
          <w:szCs w:val="22"/>
        </w:rPr>
        <w:t xml:space="preserve">(as </w:t>
      </w:r>
      <w:r w:rsidRPr="00724153">
        <w:rPr>
          <w:rFonts w:ascii="Arial" w:eastAsia="Calibri" w:hAnsi="Arial" w:cs="Arial"/>
          <w:sz w:val="22"/>
          <w:szCs w:val="22"/>
        </w:rPr>
        <w:t>outlined in the chart below</w:t>
      </w:r>
      <w:r>
        <w:rPr>
          <w:rFonts w:ascii="Arial" w:eastAsia="Calibri" w:hAnsi="Arial" w:cs="Arial"/>
          <w:sz w:val="22"/>
          <w:szCs w:val="22"/>
        </w:rPr>
        <w:t>)</w:t>
      </w:r>
      <w:r w:rsidRPr="00724153">
        <w:rPr>
          <w:rFonts w:ascii="Arial" w:eastAsia="Calibri" w:hAnsi="Arial" w:cs="Arial"/>
          <w:sz w:val="22"/>
          <w:szCs w:val="22"/>
        </w:rPr>
        <w:t xml:space="preserve"> </w:t>
      </w:r>
      <w:r w:rsidRPr="000A58CB">
        <w:rPr>
          <w:rFonts w:ascii="Arial" w:eastAsia="Calibri" w:hAnsi="Arial" w:cs="Arial"/>
          <w:sz w:val="22"/>
          <w:szCs w:val="22"/>
        </w:rPr>
        <w:t>revealing substantial compliance with required standards, provided that any identified deficiencies do not have an impact on patient safety and there is a documented plan of correction.</w:t>
      </w:r>
    </w:p>
    <w:p w14:paraId="0CC1A4F2" w14:textId="77777777" w:rsidR="00791AD8" w:rsidRDefault="00791AD8" w:rsidP="00791AD8">
      <w:pPr>
        <w:spacing w:after="24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0A58CB">
        <w:rPr>
          <w:rFonts w:ascii="Arial" w:eastAsia="Calibri" w:hAnsi="Arial" w:cs="Arial"/>
          <w:sz w:val="22"/>
          <w:szCs w:val="22"/>
        </w:rPr>
        <w:t>A “</w:t>
      </w:r>
      <w:r w:rsidRPr="00466EB9">
        <w:rPr>
          <w:rFonts w:ascii="Arial" w:eastAsia="Calibri" w:hAnsi="Arial" w:cs="Arial"/>
          <w:b/>
          <w:bCs/>
          <w:sz w:val="22"/>
          <w:szCs w:val="22"/>
        </w:rPr>
        <w:t>plan of correction</w:t>
      </w:r>
      <w:r w:rsidRPr="000A58CB">
        <w:rPr>
          <w:rFonts w:ascii="Arial" w:eastAsia="Calibri" w:hAnsi="Arial" w:cs="Arial"/>
          <w:sz w:val="22"/>
          <w:szCs w:val="22"/>
        </w:rPr>
        <w:t xml:space="preserve">” </w:t>
      </w:r>
      <w:r>
        <w:rPr>
          <w:rFonts w:ascii="Arial" w:eastAsia="Calibri" w:hAnsi="Arial" w:cs="Arial"/>
          <w:sz w:val="22"/>
          <w:szCs w:val="22"/>
        </w:rPr>
        <w:t xml:space="preserve">for any identified deficiencies </w:t>
      </w:r>
      <w:r w:rsidRPr="000A58CB">
        <w:rPr>
          <w:rFonts w:ascii="Arial" w:eastAsia="Calibri" w:hAnsi="Arial" w:cs="Arial"/>
          <w:sz w:val="22"/>
          <w:szCs w:val="22"/>
        </w:rPr>
        <w:t xml:space="preserve">must be developed by the non-resident pharmacy and include the regulatory violation, observation / explanation of the deficiency, correction plan, date corrected, on-going compliance plan, and </w:t>
      </w:r>
      <w:r>
        <w:rPr>
          <w:rFonts w:ascii="Arial" w:eastAsia="Calibri" w:hAnsi="Arial" w:cs="Arial"/>
          <w:sz w:val="22"/>
          <w:szCs w:val="22"/>
        </w:rPr>
        <w:t xml:space="preserve">Massachusetts </w:t>
      </w:r>
      <w:r w:rsidRPr="000A58CB">
        <w:rPr>
          <w:rFonts w:ascii="Arial" w:eastAsia="Calibri" w:hAnsi="Arial" w:cs="Arial"/>
          <w:sz w:val="22"/>
          <w:szCs w:val="22"/>
        </w:rPr>
        <w:t xml:space="preserve">license number of the designated pharmacist-in-charge.  </w:t>
      </w:r>
    </w:p>
    <w:p w14:paraId="7BE18E45" w14:textId="77777777" w:rsidR="00791AD8" w:rsidRDefault="00791AD8" w:rsidP="00791AD8">
      <w:p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DB0D9D">
        <w:rPr>
          <w:rFonts w:ascii="Arial" w:eastAsia="Calibri" w:hAnsi="Arial" w:cs="Arial"/>
          <w:b/>
          <w:bCs/>
          <w:sz w:val="22"/>
          <w:szCs w:val="22"/>
        </w:rPr>
        <w:t>There are two current “Board-approved inspectors” that may provide Board-approved pharmacy inspections:</w:t>
      </w:r>
    </w:p>
    <w:p w14:paraId="171BE108" w14:textId="77777777" w:rsidR="00791AD8" w:rsidRDefault="00791AD8" w:rsidP="00791AD8">
      <w:p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</w:p>
    <w:p w14:paraId="2394A2EF" w14:textId="77777777" w:rsidR="00791AD8" w:rsidRPr="001D231D" w:rsidRDefault="00791AD8" w:rsidP="00791AD8">
      <w:p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1D231D">
        <w:rPr>
          <w:rFonts w:ascii="Arial" w:eastAsia="Calibri" w:hAnsi="Arial" w:cs="Arial"/>
          <w:sz w:val="22"/>
          <w:szCs w:val="22"/>
        </w:rPr>
        <w:t>Gates Healthcare Associates, Inc.</w:t>
      </w:r>
      <w:r>
        <w:rPr>
          <w:rFonts w:ascii="Arial" w:eastAsia="Calibri" w:hAnsi="Arial" w:cs="Arial"/>
          <w:sz w:val="22"/>
          <w:szCs w:val="22"/>
        </w:rPr>
        <w:tab/>
      </w:r>
      <w:r w:rsidRPr="001D231D">
        <w:rPr>
          <w:rFonts w:ascii="Arial" w:eastAsia="Calibri" w:hAnsi="Arial" w:cs="Arial"/>
          <w:sz w:val="22"/>
          <w:szCs w:val="22"/>
        </w:rPr>
        <w:t xml:space="preserve">National Association of Boards of Pharmacy </w:t>
      </w:r>
      <w:r>
        <w:rPr>
          <w:rFonts w:ascii="Arial" w:eastAsia="Calibri" w:hAnsi="Arial" w:cs="Arial"/>
          <w:sz w:val="22"/>
          <w:szCs w:val="22"/>
        </w:rPr>
        <w:t>(NABP®)</w:t>
      </w:r>
    </w:p>
    <w:p w14:paraId="183B790D" w14:textId="77777777" w:rsidR="00791AD8" w:rsidRDefault="00791AD8" w:rsidP="00791AD8">
      <w:p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hyperlink r:id="rId23" w:history="1">
        <w:r w:rsidRPr="00722A2A">
          <w:rPr>
            <w:rStyle w:val="Hyperlink"/>
            <w:rFonts w:ascii="Arial" w:eastAsia="Calibri" w:hAnsi="Arial" w:cs="Arial"/>
            <w:sz w:val="22"/>
            <w:szCs w:val="22"/>
          </w:rPr>
          <w:t>ernie.gates@gatesconsult.com</w:t>
        </w:r>
      </w:hyperlink>
      <w:r>
        <w:rPr>
          <w:rFonts w:ascii="Arial" w:eastAsia="Calibri" w:hAnsi="Arial" w:cs="Arial"/>
          <w:sz w:val="22"/>
          <w:szCs w:val="22"/>
        </w:rPr>
        <w:tab/>
      </w:r>
      <w:hyperlink r:id="rId24" w:history="1">
        <w:r w:rsidRPr="00722A2A">
          <w:rPr>
            <w:rStyle w:val="Hyperlink"/>
            <w:rFonts w:ascii="Arial" w:eastAsia="Calibri" w:hAnsi="Arial" w:cs="Arial"/>
            <w:sz w:val="22"/>
            <w:szCs w:val="22"/>
          </w:rPr>
          <w:t>inspections@nabp.pharmacy</w:t>
        </w:r>
      </w:hyperlink>
    </w:p>
    <w:p w14:paraId="3C9FB37A" w14:textId="77777777" w:rsidR="00791AD8" w:rsidRPr="001D231D" w:rsidRDefault="00791AD8" w:rsidP="00791AD8">
      <w:p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1D231D">
        <w:rPr>
          <w:rFonts w:ascii="Arial" w:eastAsia="Calibri" w:hAnsi="Arial" w:cs="Arial"/>
          <w:sz w:val="22"/>
          <w:szCs w:val="22"/>
        </w:rPr>
        <w:t>1 Meeting House Square</w:t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r w:rsidRPr="001D231D">
        <w:rPr>
          <w:rFonts w:ascii="Arial" w:eastAsia="Calibri" w:hAnsi="Arial" w:cs="Arial"/>
          <w:sz w:val="22"/>
          <w:szCs w:val="22"/>
        </w:rPr>
        <w:t xml:space="preserve">1600 </w:t>
      </w:r>
      <w:proofErr w:type="spellStart"/>
      <w:r w:rsidRPr="001D231D">
        <w:rPr>
          <w:rFonts w:ascii="Arial" w:eastAsia="Calibri" w:hAnsi="Arial" w:cs="Arial"/>
          <w:sz w:val="22"/>
          <w:szCs w:val="22"/>
        </w:rPr>
        <w:t>Feehanville</w:t>
      </w:r>
      <w:proofErr w:type="spellEnd"/>
      <w:r w:rsidRPr="001D231D">
        <w:rPr>
          <w:rFonts w:ascii="Arial" w:eastAsia="Calibri" w:hAnsi="Arial" w:cs="Arial"/>
          <w:sz w:val="22"/>
          <w:szCs w:val="22"/>
        </w:rPr>
        <w:t xml:space="preserve"> Drive</w:t>
      </w:r>
    </w:p>
    <w:p w14:paraId="55B51B4C" w14:textId="77777777" w:rsidR="00791AD8" w:rsidRDefault="00791AD8" w:rsidP="00791AD8">
      <w:p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1D231D">
        <w:rPr>
          <w:rFonts w:ascii="Arial" w:eastAsia="Calibri" w:hAnsi="Arial" w:cs="Arial"/>
          <w:sz w:val="22"/>
          <w:szCs w:val="22"/>
        </w:rPr>
        <w:t>Middleton, MA 01949</w:t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r w:rsidRPr="001D231D">
        <w:rPr>
          <w:rFonts w:ascii="Arial" w:eastAsia="Calibri" w:hAnsi="Arial" w:cs="Arial"/>
          <w:sz w:val="22"/>
          <w:szCs w:val="22"/>
        </w:rPr>
        <w:t>Mount Prospect, IL 60056-6014</w:t>
      </w:r>
    </w:p>
    <w:p w14:paraId="1FE5137E" w14:textId="77777777" w:rsidR="00791AD8" w:rsidRDefault="00791AD8" w:rsidP="00791AD8">
      <w:p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A665DC">
        <w:rPr>
          <w:rFonts w:ascii="Arial" w:eastAsia="Calibri" w:hAnsi="Arial" w:cs="Arial"/>
          <w:sz w:val="22"/>
          <w:szCs w:val="22"/>
        </w:rPr>
        <w:t>Phone: 978-646-0091</w:t>
      </w:r>
    </w:p>
    <w:p w14:paraId="7E461B83" w14:textId="77777777" w:rsidR="009F7E66" w:rsidRPr="009F7E66" w:rsidRDefault="009F7E66" w:rsidP="009F7E66">
      <w:pPr>
        <w:spacing w:line="259" w:lineRule="auto"/>
        <w:jc w:val="both"/>
        <w:rPr>
          <w:rFonts w:eastAsia="Calibri"/>
          <w:szCs w:val="24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3971"/>
        <w:gridCol w:w="3972"/>
      </w:tblGrid>
      <w:tr w:rsidR="009F7E66" w:rsidRPr="009F7E66" w14:paraId="78CA52BE" w14:textId="77777777" w:rsidTr="00CE6C91">
        <w:trPr>
          <w:trHeight w:val="647"/>
        </w:trPr>
        <w:tc>
          <w:tcPr>
            <w:tcW w:w="1795" w:type="dxa"/>
            <w:shd w:val="clear" w:color="auto" w:fill="EEECE1"/>
          </w:tcPr>
          <w:p w14:paraId="5B55DCF0" w14:textId="77777777" w:rsidR="009F7E66" w:rsidRPr="009F7E66" w:rsidRDefault="009F7E66" w:rsidP="009F7E66">
            <w:pPr>
              <w:jc w:val="center"/>
              <w:rPr>
                <w:rFonts w:eastAsia="Calibri"/>
                <w:b/>
                <w:szCs w:val="24"/>
              </w:rPr>
            </w:pPr>
            <w:r w:rsidRPr="009F7E66">
              <w:rPr>
                <w:rFonts w:eastAsia="Calibri"/>
                <w:b/>
                <w:szCs w:val="24"/>
              </w:rPr>
              <w:t>Massachusetts License Type</w:t>
            </w:r>
          </w:p>
        </w:tc>
        <w:tc>
          <w:tcPr>
            <w:tcW w:w="3971" w:type="dxa"/>
            <w:shd w:val="clear" w:color="auto" w:fill="EEECE1"/>
          </w:tcPr>
          <w:p w14:paraId="0809CD24" w14:textId="77777777" w:rsidR="009F7E66" w:rsidRPr="009F7E66" w:rsidRDefault="009F7E66" w:rsidP="009F7E66">
            <w:pPr>
              <w:jc w:val="center"/>
              <w:rPr>
                <w:rFonts w:eastAsia="Calibri"/>
                <w:b/>
                <w:szCs w:val="24"/>
              </w:rPr>
            </w:pPr>
          </w:p>
          <w:p w14:paraId="7B0F8B68" w14:textId="77777777" w:rsidR="009F7E66" w:rsidRPr="009F7E66" w:rsidRDefault="009F7E66" w:rsidP="009F7E66">
            <w:pPr>
              <w:jc w:val="center"/>
              <w:rPr>
                <w:rFonts w:eastAsia="Calibri"/>
                <w:b/>
                <w:szCs w:val="24"/>
              </w:rPr>
            </w:pPr>
            <w:r w:rsidRPr="009F7E66">
              <w:rPr>
                <w:rFonts w:eastAsia="Calibri"/>
                <w:b/>
                <w:szCs w:val="24"/>
              </w:rPr>
              <w:t>Initial Licensure</w:t>
            </w:r>
          </w:p>
        </w:tc>
        <w:tc>
          <w:tcPr>
            <w:tcW w:w="3972" w:type="dxa"/>
            <w:shd w:val="clear" w:color="auto" w:fill="EEECE1"/>
          </w:tcPr>
          <w:p w14:paraId="1E6410DD" w14:textId="77777777" w:rsidR="009F7E66" w:rsidRPr="009F7E66" w:rsidRDefault="009F7E66" w:rsidP="009F7E66">
            <w:pPr>
              <w:jc w:val="center"/>
              <w:rPr>
                <w:rFonts w:eastAsia="Calibri"/>
                <w:b/>
                <w:szCs w:val="24"/>
              </w:rPr>
            </w:pPr>
          </w:p>
          <w:p w14:paraId="7FE7C054" w14:textId="77777777" w:rsidR="009F7E66" w:rsidRPr="009F7E66" w:rsidRDefault="009F7E66" w:rsidP="009F7E66">
            <w:pPr>
              <w:jc w:val="center"/>
              <w:rPr>
                <w:rFonts w:eastAsia="Calibri"/>
                <w:b/>
                <w:szCs w:val="24"/>
              </w:rPr>
            </w:pPr>
            <w:r w:rsidRPr="009F7E66">
              <w:rPr>
                <w:rFonts w:eastAsia="Calibri"/>
                <w:b/>
                <w:szCs w:val="24"/>
              </w:rPr>
              <w:t>Renewal</w:t>
            </w:r>
          </w:p>
        </w:tc>
      </w:tr>
      <w:tr w:rsidR="009F7E66" w:rsidRPr="009F7E66" w14:paraId="5BED6978" w14:textId="77777777" w:rsidTr="00CE6C91">
        <w:tc>
          <w:tcPr>
            <w:tcW w:w="1795" w:type="dxa"/>
            <w:shd w:val="clear" w:color="auto" w:fill="auto"/>
          </w:tcPr>
          <w:p w14:paraId="04D54986" w14:textId="77777777" w:rsidR="009F7E66" w:rsidRPr="009F7E66" w:rsidRDefault="009F7E66" w:rsidP="009F7E66">
            <w:pPr>
              <w:rPr>
                <w:rFonts w:eastAsia="Calibri"/>
                <w:b/>
                <w:bCs/>
                <w:szCs w:val="24"/>
              </w:rPr>
            </w:pPr>
          </w:p>
          <w:p w14:paraId="05724EF5" w14:textId="77777777" w:rsidR="009F7E66" w:rsidRPr="009F7E66" w:rsidRDefault="009F7E66" w:rsidP="009F7E66">
            <w:pPr>
              <w:rPr>
                <w:rFonts w:eastAsia="Calibri"/>
                <w:b/>
                <w:bCs/>
                <w:szCs w:val="24"/>
              </w:rPr>
            </w:pPr>
            <w:r w:rsidRPr="009F7E66">
              <w:rPr>
                <w:rFonts w:eastAsia="Calibri"/>
                <w:b/>
                <w:bCs/>
                <w:szCs w:val="24"/>
              </w:rPr>
              <w:t xml:space="preserve">Retail Pharmacy </w:t>
            </w:r>
          </w:p>
          <w:p w14:paraId="0D4BC61A" w14:textId="77777777" w:rsidR="009F7E66" w:rsidRPr="009F7E66" w:rsidRDefault="009F7E66" w:rsidP="009F7E66">
            <w:pPr>
              <w:rPr>
                <w:rFonts w:eastAsia="Calibri"/>
                <w:b/>
                <w:bCs/>
                <w:szCs w:val="24"/>
              </w:rPr>
            </w:pPr>
          </w:p>
          <w:p w14:paraId="2EFB96A8" w14:textId="77777777" w:rsidR="009F7E66" w:rsidRPr="009F7E66" w:rsidRDefault="009F7E66" w:rsidP="009F7E66">
            <w:pPr>
              <w:rPr>
                <w:rFonts w:eastAsia="Calibri"/>
                <w:b/>
                <w:bCs/>
                <w:szCs w:val="24"/>
              </w:rPr>
            </w:pPr>
          </w:p>
          <w:p w14:paraId="04CF8240" w14:textId="77777777" w:rsidR="009F7E66" w:rsidRPr="009F7E66" w:rsidRDefault="009F7E66" w:rsidP="009F7E66">
            <w:pPr>
              <w:rPr>
                <w:rFonts w:eastAsia="Calibri"/>
                <w:b/>
                <w:bCs/>
                <w:szCs w:val="24"/>
              </w:rPr>
            </w:pPr>
          </w:p>
          <w:p w14:paraId="27C49536" w14:textId="77777777" w:rsidR="009F7E66" w:rsidRPr="009F7E66" w:rsidRDefault="009F7E66" w:rsidP="009F7E66">
            <w:pPr>
              <w:rPr>
                <w:rFonts w:eastAsia="Calibri"/>
                <w:b/>
                <w:bCs/>
                <w:szCs w:val="24"/>
              </w:rPr>
            </w:pPr>
          </w:p>
        </w:tc>
        <w:tc>
          <w:tcPr>
            <w:tcW w:w="3971" w:type="dxa"/>
            <w:shd w:val="clear" w:color="auto" w:fill="auto"/>
          </w:tcPr>
          <w:p w14:paraId="3B9D08CB" w14:textId="77777777" w:rsidR="009F7E66" w:rsidRPr="009F7E66" w:rsidRDefault="009F7E66" w:rsidP="009F7E66">
            <w:pPr>
              <w:rPr>
                <w:rFonts w:eastAsia="Calibri"/>
                <w:szCs w:val="24"/>
              </w:rPr>
            </w:pPr>
          </w:p>
          <w:p w14:paraId="126714DD" w14:textId="77777777" w:rsidR="009F7E66" w:rsidRPr="009F7E66" w:rsidRDefault="009F7E66" w:rsidP="009F7E66">
            <w:pPr>
              <w:rPr>
                <w:rFonts w:eastAsia="Calibri"/>
                <w:szCs w:val="24"/>
              </w:rPr>
            </w:pPr>
            <w:r w:rsidRPr="009F7E66">
              <w:rPr>
                <w:rFonts w:eastAsia="Calibri"/>
                <w:szCs w:val="24"/>
              </w:rPr>
              <w:t xml:space="preserve">Most recent inspection report conducted within two (2) years of the application submission date.  </w:t>
            </w:r>
          </w:p>
          <w:p w14:paraId="17980FD8" w14:textId="77777777" w:rsidR="009F7E66" w:rsidRPr="009F7E66" w:rsidRDefault="009F7E66" w:rsidP="009F7E66">
            <w:pPr>
              <w:rPr>
                <w:rFonts w:eastAsia="Calibri"/>
                <w:szCs w:val="24"/>
              </w:rPr>
            </w:pPr>
          </w:p>
          <w:p w14:paraId="3FA495BB" w14:textId="77777777" w:rsidR="009F7E66" w:rsidRPr="009F7E66" w:rsidRDefault="009F7E66" w:rsidP="009F7E66">
            <w:pPr>
              <w:rPr>
                <w:rFonts w:eastAsia="Calibri"/>
                <w:szCs w:val="24"/>
              </w:rPr>
            </w:pPr>
            <w:r w:rsidRPr="009F7E66">
              <w:rPr>
                <w:rFonts w:eastAsia="Calibri"/>
                <w:szCs w:val="24"/>
              </w:rPr>
              <w:t>Acceptable inspections include:</w:t>
            </w:r>
          </w:p>
          <w:p w14:paraId="2810EC9E" w14:textId="77777777" w:rsidR="009F7E66" w:rsidRPr="009F7E66" w:rsidRDefault="009F7E66" w:rsidP="009F7E66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eastAsia="Calibri"/>
                <w:szCs w:val="24"/>
                <w:u w:val="single"/>
              </w:rPr>
            </w:pPr>
            <w:r w:rsidRPr="009F7E66">
              <w:rPr>
                <w:rFonts w:eastAsia="Calibri"/>
                <w:szCs w:val="24"/>
              </w:rPr>
              <w:t xml:space="preserve">An inspection conducted by a resident state inspector utilizing </w:t>
            </w:r>
            <w:r w:rsidRPr="009F7E66">
              <w:rPr>
                <w:rFonts w:eastAsia="Calibri"/>
                <w:szCs w:val="24"/>
              </w:rPr>
              <w:lastRenderedPageBreak/>
              <w:t>the NABP Universal Inspection Form, General Pharmacy Inspection; or</w:t>
            </w:r>
          </w:p>
          <w:p w14:paraId="2C524064" w14:textId="77777777" w:rsidR="009F7E66" w:rsidRPr="009F7E66" w:rsidRDefault="009F7E66" w:rsidP="009F7E66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eastAsia="Calibri"/>
                <w:szCs w:val="24"/>
              </w:rPr>
            </w:pPr>
            <w:r w:rsidRPr="009F7E66">
              <w:rPr>
                <w:rFonts w:eastAsia="Calibri"/>
                <w:szCs w:val="24"/>
              </w:rPr>
              <w:t>An inspection conducted by a resident state inspector utilizing that state’s general pharmacy compliance inspection form; or</w:t>
            </w:r>
          </w:p>
          <w:p w14:paraId="6A7D11BE" w14:textId="77777777" w:rsidR="009F7E66" w:rsidRPr="009F7E66" w:rsidRDefault="009F7E66" w:rsidP="009F7E66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eastAsia="Calibri"/>
                <w:szCs w:val="24"/>
              </w:rPr>
            </w:pPr>
            <w:r w:rsidRPr="009F7E66">
              <w:rPr>
                <w:rFonts w:eastAsia="Calibri"/>
                <w:szCs w:val="24"/>
              </w:rPr>
              <w:t>An inspection conducted by a Massachusetts Board-approved inspector (see above) utilizing their approved general pharmacy compliance inspection form.</w:t>
            </w:r>
          </w:p>
        </w:tc>
        <w:tc>
          <w:tcPr>
            <w:tcW w:w="3972" w:type="dxa"/>
            <w:shd w:val="clear" w:color="auto" w:fill="auto"/>
          </w:tcPr>
          <w:p w14:paraId="5B1EA8EC" w14:textId="77777777" w:rsidR="009F7E66" w:rsidRPr="009F7E66" w:rsidRDefault="009F7E66" w:rsidP="009F7E66">
            <w:pPr>
              <w:rPr>
                <w:rFonts w:eastAsia="Calibri"/>
                <w:szCs w:val="24"/>
              </w:rPr>
            </w:pPr>
          </w:p>
          <w:p w14:paraId="42434C16" w14:textId="77777777" w:rsidR="009F7E66" w:rsidRPr="009F7E66" w:rsidRDefault="009F7E66" w:rsidP="009F7E66">
            <w:pPr>
              <w:rPr>
                <w:rFonts w:eastAsia="Calibri"/>
                <w:szCs w:val="24"/>
              </w:rPr>
            </w:pPr>
            <w:r w:rsidRPr="009F7E66">
              <w:rPr>
                <w:rFonts w:eastAsia="Calibri"/>
                <w:szCs w:val="24"/>
              </w:rPr>
              <w:t xml:space="preserve">In connection with an application to renew a non-resident Retail Pharmacy license, a licensee shall submit copies of all reports or correspondence pertaining to all inspections by any state or federal agency, or any entity inspecting on behalf of a state or </w:t>
            </w:r>
            <w:r w:rsidRPr="009F7E66">
              <w:rPr>
                <w:rFonts w:eastAsia="Calibri"/>
                <w:szCs w:val="24"/>
              </w:rPr>
              <w:lastRenderedPageBreak/>
              <w:t>federal agency, occurring within the pending licensing period.</w:t>
            </w:r>
          </w:p>
          <w:p w14:paraId="2ACAC67A" w14:textId="77777777" w:rsidR="009F7E66" w:rsidRPr="009F7E66" w:rsidRDefault="009F7E66" w:rsidP="009F7E66">
            <w:pPr>
              <w:rPr>
                <w:rFonts w:eastAsia="Calibri"/>
                <w:szCs w:val="24"/>
              </w:rPr>
            </w:pPr>
          </w:p>
          <w:p w14:paraId="402D1208" w14:textId="77777777" w:rsidR="009F7E66" w:rsidRPr="009F7E66" w:rsidRDefault="009F7E66" w:rsidP="009F7E66">
            <w:pPr>
              <w:rPr>
                <w:rFonts w:eastAsia="Calibri"/>
                <w:szCs w:val="24"/>
              </w:rPr>
            </w:pPr>
          </w:p>
          <w:p w14:paraId="1C19A356" w14:textId="77777777" w:rsidR="009F7E66" w:rsidRPr="009F7E66" w:rsidRDefault="009F7E66" w:rsidP="009F7E66">
            <w:pPr>
              <w:rPr>
                <w:rFonts w:eastAsia="Calibri"/>
                <w:szCs w:val="24"/>
              </w:rPr>
            </w:pPr>
          </w:p>
          <w:p w14:paraId="1E9BD956" w14:textId="77777777" w:rsidR="009F7E66" w:rsidRPr="009F7E66" w:rsidRDefault="009F7E66" w:rsidP="009F7E66">
            <w:pPr>
              <w:rPr>
                <w:rFonts w:eastAsia="Calibri"/>
                <w:szCs w:val="24"/>
              </w:rPr>
            </w:pPr>
          </w:p>
        </w:tc>
      </w:tr>
      <w:tr w:rsidR="009F7E66" w:rsidRPr="009F7E66" w14:paraId="3AB1F699" w14:textId="77777777" w:rsidTr="00CE6C91">
        <w:tc>
          <w:tcPr>
            <w:tcW w:w="1795" w:type="dxa"/>
            <w:shd w:val="clear" w:color="auto" w:fill="auto"/>
          </w:tcPr>
          <w:p w14:paraId="3DF40765" w14:textId="77777777" w:rsidR="009F7E66" w:rsidRPr="009F7E66" w:rsidRDefault="009F7E66" w:rsidP="009F7E66">
            <w:pPr>
              <w:rPr>
                <w:rFonts w:eastAsia="Calibri"/>
                <w:b/>
                <w:bCs/>
                <w:szCs w:val="24"/>
              </w:rPr>
            </w:pPr>
          </w:p>
          <w:p w14:paraId="55CC8F9F" w14:textId="77777777" w:rsidR="009F7E66" w:rsidRPr="009F7E66" w:rsidRDefault="009F7E66" w:rsidP="009F7E66">
            <w:pPr>
              <w:rPr>
                <w:rFonts w:eastAsia="Calibri"/>
                <w:b/>
                <w:bCs/>
                <w:szCs w:val="24"/>
              </w:rPr>
            </w:pPr>
            <w:r w:rsidRPr="009F7E66">
              <w:rPr>
                <w:rFonts w:eastAsia="Calibri"/>
                <w:b/>
                <w:bCs/>
                <w:szCs w:val="24"/>
              </w:rPr>
              <w:t>Non-Resident Complex Non-Sterile Compounding</w:t>
            </w:r>
          </w:p>
        </w:tc>
        <w:tc>
          <w:tcPr>
            <w:tcW w:w="3971" w:type="dxa"/>
            <w:shd w:val="clear" w:color="auto" w:fill="auto"/>
          </w:tcPr>
          <w:p w14:paraId="23AEB01D" w14:textId="77777777" w:rsidR="009F7E66" w:rsidRPr="009F7E66" w:rsidRDefault="009F7E66" w:rsidP="009F7E66">
            <w:pPr>
              <w:rPr>
                <w:rFonts w:eastAsia="Calibri"/>
                <w:szCs w:val="24"/>
              </w:rPr>
            </w:pPr>
          </w:p>
          <w:p w14:paraId="7FA70AD8" w14:textId="77777777" w:rsidR="009F7E66" w:rsidRPr="009F7E66" w:rsidRDefault="009F7E66" w:rsidP="009F7E66">
            <w:pPr>
              <w:rPr>
                <w:rFonts w:eastAsia="Calibri"/>
                <w:szCs w:val="24"/>
              </w:rPr>
            </w:pPr>
            <w:r w:rsidRPr="009F7E66">
              <w:rPr>
                <w:rFonts w:eastAsia="Calibri"/>
                <w:szCs w:val="24"/>
              </w:rPr>
              <w:t>Most recent inspection report conducted within one (1) year of the application submission date. Inspection of USP &lt;800&gt; standards must also occur if the pharmacy is engaged in the compounding of hazardous (HD) drugs. </w:t>
            </w:r>
          </w:p>
          <w:p w14:paraId="4657F728" w14:textId="77777777" w:rsidR="009F7E66" w:rsidRPr="009F7E66" w:rsidRDefault="009F7E66" w:rsidP="009F7E66">
            <w:pPr>
              <w:rPr>
                <w:rFonts w:eastAsia="Calibri"/>
                <w:szCs w:val="24"/>
              </w:rPr>
            </w:pPr>
          </w:p>
          <w:p w14:paraId="37B18895" w14:textId="77777777" w:rsidR="009F7E66" w:rsidRPr="009F7E66" w:rsidRDefault="009F7E66" w:rsidP="009F7E66">
            <w:pPr>
              <w:rPr>
                <w:rFonts w:eastAsia="Calibri"/>
                <w:szCs w:val="24"/>
              </w:rPr>
            </w:pPr>
            <w:r w:rsidRPr="009F7E66">
              <w:rPr>
                <w:rFonts w:eastAsia="Calibri"/>
                <w:szCs w:val="24"/>
              </w:rPr>
              <w:t>Acceptable inspections include:</w:t>
            </w:r>
          </w:p>
          <w:p w14:paraId="30D187CF" w14:textId="77777777" w:rsidR="009F7E66" w:rsidRPr="009F7E66" w:rsidRDefault="009F7E66" w:rsidP="009F7E66">
            <w:pPr>
              <w:numPr>
                <w:ilvl w:val="0"/>
                <w:numId w:val="7"/>
              </w:numPr>
              <w:spacing w:after="200" w:line="276" w:lineRule="auto"/>
              <w:rPr>
                <w:rFonts w:eastAsia="Calibri"/>
                <w:szCs w:val="24"/>
              </w:rPr>
            </w:pPr>
            <w:r w:rsidRPr="009F7E66">
              <w:rPr>
                <w:rFonts w:eastAsia="Calibri"/>
                <w:szCs w:val="24"/>
              </w:rPr>
              <w:t xml:space="preserve">A satisfactory inspection conducted by a resident state inspector utilizing the NABP Universal Inspection Forms: Nonsterile Compounding Inspection for USP &lt;795&gt;, and Hazardous Drugs - Handling in Health Care Settings USP &lt;800&gt; inspection form, if applicable; </w:t>
            </w:r>
            <w:proofErr w:type="gramStart"/>
            <w:r w:rsidRPr="009F7E66">
              <w:rPr>
                <w:rFonts w:eastAsia="Calibri"/>
                <w:szCs w:val="24"/>
              </w:rPr>
              <w:t>or;</w:t>
            </w:r>
            <w:proofErr w:type="gramEnd"/>
          </w:p>
          <w:p w14:paraId="7153D535" w14:textId="77777777" w:rsidR="009F7E66" w:rsidRPr="009F7E66" w:rsidRDefault="009F7E66" w:rsidP="009F7E66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eastAsia="Calibri"/>
                <w:szCs w:val="24"/>
              </w:rPr>
            </w:pPr>
            <w:r w:rsidRPr="009F7E66">
              <w:rPr>
                <w:rFonts w:eastAsia="Calibri"/>
                <w:szCs w:val="24"/>
              </w:rPr>
              <w:t>A satisfactory inspection conducted by a Massachusetts Board-approved inspector (see above) utilizing their approved nonsterile compounding inspection form and USP &lt;800&gt; inspection form, if applicable.</w:t>
            </w:r>
          </w:p>
          <w:p w14:paraId="38273742" w14:textId="77777777" w:rsidR="009F7E66" w:rsidRPr="009F7E66" w:rsidRDefault="009F7E66" w:rsidP="009F7E66">
            <w:pPr>
              <w:contextualSpacing/>
              <w:rPr>
                <w:rFonts w:eastAsia="Calibri"/>
                <w:szCs w:val="24"/>
              </w:rPr>
            </w:pPr>
          </w:p>
          <w:p w14:paraId="6507856D" w14:textId="1A4E1E3C" w:rsidR="009F7E66" w:rsidRPr="009F7E66" w:rsidRDefault="009F7E66" w:rsidP="009F7E66">
            <w:pPr>
              <w:contextualSpacing/>
              <w:rPr>
                <w:rFonts w:eastAsia="Calibri"/>
                <w:szCs w:val="24"/>
              </w:rPr>
            </w:pPr>
            <w:r w:rsidRPr="009F7E66">
              <w:rPr>
                <w:rFonts w:eastAsia="Calibri"/>
                <w:szCs w:val="24"/>
              </w:rPr>
              <w:t>* a Non-Resident Retail Pharmacy inspection is also required</w:t>
            </w:r>
          </w:p>
        </w:tc>
        <w:tc>
          <w:tcPr>
            <w:tcW w:w="3972" w:type="dxa"/>
            <w:shd w:val="clear" w:color="auto" w:fill="auto"/>
          </w:tcPr>
          <w:p w14:paraId="6C968647" w14:textId="77777777" w:rsidR="009F7E66" w:rsidRPr="009F7E66" w:rsidRDefault="009F7E66" w:rsidP="009F7E66">
            <w:pPr>
              <w:rPr>
                <w:rFonts w:eastAsia="Calibri"/>
                <w:szCs w:val="24"/>
              </w:rPr>
            </w:pPr>
          </w:p>
          <w:p w14:paraId="65AA5045" w14:textId="77777777" w:rsidR="009F7E66" w:rsidRPr="009F7E66" w:rsidRDefault="009F7E66" w:rsidP="009F7E66">
            <w:pPr>
              <w:rPr>
                <w:rFonts w:eastAsia="Calibri"/>
                <w:szCs w:val="24"/>
              </w:rPr>
            </w:pPr>
            <w:r w:rsidRPr="009F7E66">
              <w:rPr>
                <w:rFonts w:eastAsia="Calibri"/>
                <w:szCs w:val="24"/>
              </w:rPr>
              <w:t>Most recent inspection report conducted within one (1) year of the renewal application submission date. Inspection of USP &lt;800&gt; standards must also occur if the pharmacy is engaged in the compounding of hazardous (HD) drugs.</w:t>
            </w:r>
          </w:p>
          <w:p w14:paraId="51D65848" w14:textId="77777777" w:rsidR="009F7E66" w:rsidRPr="009F7E66" w:rsidRDefault="009F7E66" w:rsidP="009F7E66">
            <w:pPr>
              <w:rPr>
                <w:rFonts w:eastAsia="Calibri"/>
                <w:szCs w:val="24"/>
              </w:rPr>
            </w:pPr>
          </w:p>
          <w:p w14:paraId="2705AD9B" w14:textId="77777777" w:rsidR="009F7E66" w:rsidRPr="009F7E66" w:rsidRDefault="009F7E66" w:rsidP="009F7E66">
            <w:pPr>
              <w:rPr>
                <w:rFonts w:eastAsia="Calibri"/>
                <w:szCs w:val="24"/>
              </w:rPr>
            </w:pPr>
            <w:r w:rsidRPr="009F7E66">
              <w:rPr>
                <w:rFonts w:eastAsia="Calibri"/>
                <w:szCs w:val="24"/>
              </w:rPr>
              <w:t>Acceptable inspections include:</w:t>
            </w:r>
          </w:p>
          <w:p w14:paraId="1FE1D8EB" w14:textId="77777777" w:rsidR="009F7E66" w:rsidRPr="009F7E66" w:rsidRDefault="009F7E66" w:rsidP="009F7E66">
            <w:pPr>
              <w:numPr>
                <w:ilvl w:val="0"/>
                <w:numId w:val="8"/>
              </w:numPr>
              <w:spacing w:after="200" w:line="276" w:lineRule="auto"/>
              <w:contextualSpacing/>
              <w:rPr>
                <w:rFonts w:eastAsia="Calibri"/>
                <w:szCs w:val="24"/>
              </w:rPr>
            </w:pPr>
            <w:r w:rsidRPr="009F7E66">
              <w:rPr>
                <w:rFonts w:eastAsia="Calibri"/>
                <w:szCs w:val="24"/>
              </w:rPr>
              <w:t>A satisfactory inspection conducted by a resident state inspector utilizing the NABP Universal Inspection Forms: Nonsterile Compounding Inspection for USP &lt;795&gt;, and Hazardous Drugs - Handling in Health Care Settings USP &lt;800&gt; inspection form, if applicable; or</w:t>
            </w:r>
          </w:p>
          <w:p w14:paraId="364B7F65" w14:textId="77777777" w:rsidR="009F7E66" w:rsidRPr="009F7E66" w:rsidRDefault="009F7E66" w:rsidP="009F7E66">
            <w:pPr>
              <w:numPr>
                <w:ilvl w:val="0"/>
                <w:numId w:val="8"/>
              </w:numPr>
              <w:spacing w:after="200" w:line="276" w:lineRule="auto"/>
              <w:contextualSpacing/>
              <w:rPr>
                <w:rFonts w:eastAsia="Calibri"/>
                <w:szCs w:val="24"/>
              </w:rPr>
            </w:pPr>
            <w:r w:rsidRPr="009F7E66">
              <w:rPr>
                <w:rFonts w:eastAsia="Calibri"/>
                <w:szCs w:val="24"/>
              </w:rPr>
              <w:t xml:space="preserve"> A satisfactory inspection conducted by a Massachusetts Board-approved inspector (see above) utilizing their approved nonsterile compounding inspection form</w:t>
            </w:r>
            <w:r w:rsidRPr="009F7E66">
              <w:rPr>
                <w:szCs w:val="24"/>
              </w:rPr>
              <w:t xml:space="preserve"> </w:t>
            </w:r>
            <w:r w:rsidRPr="009F7E66">
              <w:rPr>
                <w:rFonts w:eastAsia="Calibri"/>
                <w:szCs w:val="24"/>
              </w:rPr>
              <w:t>and USP &lt;800&gt; inspection form, if applicable.</w:t>
            </w:r>
          </w:p>
          <w:p w14:paraId="09631F3C" w14:textId="77777777" w:rsidR="009F7E66" w:rsidRPr="009F7E66" w:rsidRDefault="009F7E66" w:rsidP="009F7E66">
            <w:pPr>
              <w:ind w:left="360"/>
              <w:contextualSpacing/>
              <w:rPr>
                <w:rFonts w:eastAsia="Calibri"/>
                <w:szCs w:val="24"/>
              </w:rPr>
            </w:pPr>
          </w:p>
        </w:tc>
      </w:tr>
      <w:tr w:rsidR="009F7E66" w:rsidRPr="009F7E66" w14:paraId="76B7AE7F" w14:textId="77777777" w:rsidTr="00CE6C91">
        <w:tc>
          <w:tcPr>
            <w:tcW w:w="1795" w:type="dxa"/>
            <w:shd w:val="clear" w:color="auto" w:fill="auto"/>
          </w:tcPr>
          <w:p w14:paraId="584E0F17" w14:textId="77777777" w:rsidR="009F7E66" w:rsidRPr="009F7E66" w:rsidRDefault="009F7E66" w:rsidP="009F7E66">
            <w:pPr>
              <w:rPr>
                <w:rFonts w:eastAsia="Calibri"/>
                <w:b/>
                <w:bCs/>
                <w:szCs w:val="24"/>
              </w:rPr>
            </w:pPr>
          </w:p>
          <w:p w14:paraId="45A5D872" w14:textId="77777777" w:rsidR="009F7E66" w:rsidRPr="009F7E66" w:rsidRDefault="009F7E66" w:rsidP="009F7E66">
            <w:pPr>
              <w:rPr>
                <w:rFonts w:eastAsia="Calibri"/>
                <w:b/>
                <w:bCs/>
                <w:szCs w:val="24"/>
              </w:rPr>
            </w:pPr>
            <w:r w:rsidRPr="009F7E66">
              <w:rPr>
                <w:rFonts w:eastAsia="Calibri"/>
                <w:b/>
                <w:bCs/>
                <w:szCs w:val="24"/>
              </w:rPr>
              <w:t>Non-Resident Sterile Compounding</w:t>
            </w:r>
          </w:p>
          <w:p w14:paraId="066D6742" w14:textId="77777777" w:rsidR="009F7E66" w:rsidRPr="009F7E66" w:rsidRDefault="009F7E66" w:rsidP="009F7E66">
            <w:pPr>
              <w:rPr>
                <w:rFonts w:eastAsia="Calibri"/>
                <w:b/>
                <w:bCs/>
                <w:szCs w:val="24"/>
              </w:rPr>
            </w:pPr>
          </w:p>
          <w:p w14:paraId="2E1EFA49" w14:textId="77777777" w:rsidR="009F7E66" w:rsidRPr="009F7E66" w:rsidRDefault="009F7E66" w:rsidP="009F7E66">
            <w:pPr>
              <w:rPr>
                <w:rFonts w:eastAsia="Calibri"/>
                <w:szCs w:val="24"/>
              </w:rPr>
            </w:pPr>
          </w:p>
          <w:p w14:paraId="75749BE8" w14:textId="77777777" w:rsidR="009F7E66" w:rsidRPr="009F7E66" w:rsidRDefault="009F7E66" w:rsidP="009F7E66">
            <w:pPr>
              <w:rPr>
                <w:rFonts w:eastAsia="Calibri"/>
                <w:szCs w:val="24"/>
              </w:rPr>
            </w:pPr>
          </w:p>
          <w:p w14:paraId="158E07DF" w14:textId="77777777" w:rsidR="009F7E66" w:rsidRPr="009F7E66" w:rsidRDefault="009F7E66" w:rsidP="009F7E66">
            <w:pPr>
              <w:rPr>
                <w:rFonts w:eastAsia="Calibri"/>
                <w:b/>
                <w:bCs/>
                <w:szCs w:val="24"/>
              </w:rPr>
            </w:pPr>
          </w:p>
        </w:tc>
        <w:tc>
          <w:tcPr>
            <w:tcW w:w="3971" w:type="dxa"/>
            <w:shd w:val="clear" w:color="auto" w:fill="auto"/>
          </w:tcPr>
          <w:p w14:paraId="04D0C1C5" w14:textId="77777777" w:rsidR="009F7E66" w:rsidRPr="009F7E66" w:rsidRDefault="009F7E66" w:rsidP="009F7E66">
            <w:pPr>
              <w:rPr>
                <w:rFonts w:eastAsia="Calibri"/>
                <w:szCs w:val="24"/>
              </w:rPr>
            </w:pPr>
          </w:p>
          <w:p w14:paraId="57A6482E" w14:textId="77777777" w:rsidR="009F7E66" w:rsidRPr="009F7E66" w:rsidRDefault="009F7E66" w:rsidP="009F7E66">
            <w:pPr>
              <w:rPr>
                <w:rFonts w:eastAsia="Calibri"/>
                <w:szCs w:val="24"/>
              </w:rPr>
            </w:pPr>
            <w:r w:rsidRPr="009F7E66">
              <w:rPr>
                <w:rFonts w:eastAsia="Calibri"/>
                <w:szCs w:val="24"/>
              </w:rPr>
              <w:t>Most recent inspection report conducted within one (1) year of the application submission date. Inspection of USP &lt;800&gt; standards must also occur if the pharmacy is engaged in the compounding of hazardous (HD) drugs.</w:t>
            </w:r>
          </w:p>
          <w:p w14:paraId="212BED98" w14:textId="77777777" w:rsidR="009F7E66" w:rsidRPr="009F7E66" w:rsidRDefault="009F7E66" w:rsidP="009F7E66">
            <w:pPr>
              <w:rPr>
                <w:rFonts w:eastAsia="Calibri"/>
                <w:szCs w:val="24"/>
              </w:rPr>
            </w:pPr>
          </w:p>
          <w:p w14:paraId="2D46B4BD" w14:textId="77777777" w:rsidR="009F7E66" w:rsidRPr="009F7E66" w:rsidRDefault="009F7E66" w:rsidP="009F7E66">
            <w:pPr>
              <w:rPr>
                <w:rFonts w:eastAsia="Calibri"/>
                <w:szCs w:val="24"/>
              </w:rPr>
            </w:pPr>
            <w:r w:rsidRPr="009F7E66">
              <w:rPr>
                <w:rFonts w:eastAsia="Calibri"/>
                <w:szCs w:val="24"/>
              </w:rPr>
              <w:t>Acceptable inspections include:</w:t>
            </w:r>
          </w:p>
          <w:p w14:paraId="0C908C4F" w14:textId="77777777" w:rsidR="009F7E66" w:rsidRPr="009F7E66" w:rsidRDefault="009F7E66" w:rsidP="009F7E66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eastAsia="Calibri"/>
                <w:szCs w:val="24"/>
              </w:rPr>
            </w:pPr>
            <w:r w:rsidRPr="009F7E66">
              <w:rPr>
                <w:rFonts w:eastAsia="Calibri"/>
                <w:szCs w:val="24"/>
              </w:rPr>
              <w:t>If the state is part of NABP’s Multistate Pharmacy Inspection Blueprint Program, a satisfactory inspection conducted by a resident state inspector utilizing:</w:t>
            </w:r>
          </w:p>
          <w:p w14:paraId="2063576B" w14:textId="77777777" w:rsidR="009F7E66" w:rsidRPr="009F7E66" w:rsidRDefault="009F7E66" w:rsidP="009F7E66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eastAsia="Calibri"/>
                <w:szCs w:val="24"/>
              </w:rPr>
            </w:pPr>
            <w:r w:rsidRPr="009F7E66">
              <w:rPr>
                <w:rFonts w:eastAsia="Calibri"/>
                <w:szCs w:val="24"/>
              </w:rPr>
              <w:t>NABP’s Universal Inspection Forms:</w:t>
            </w:r>
            <w:r w:rsidRPr="009F7E66">
              <w:rPr>
                <w:szCs w:val="24"/>
              </w:rPr>
              <w:t xml:space="preserve"> </w:t>
            </w:r>
            <w:r w:rsidRPr="009F7E66">
              <w:rPr>
                <w:rFonts w:eastAsia="Calibri"/>
                <w:szCs w:val="24"/>
              </w:rPr>
              <w:t>Inspection for USP &lt;797&gt;, and Hazardous Drugs – Handling in Health Care Settings USP &lt;800&gt; inspection form, if applicable; or</w:t>
            </w:r>
          </w:p>
          <w:p w14:paraId="1E1D5780" w14:textId="77777777" w:rsidR="009F7E66" w:rsidRPr="009F7E66" w:rsidRDefault="009F7E66" w:rsidP="009F7E66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eastAsia="Calibri"/>
                <w:szCs w:val="24"/>
              </w:rPr>
            </w:pPr>
            <w:r w:rsidRPr="009F7E66">
              <w:rPr>
                <w:rFonts w:eastAsia="Calibri"/>
                <w:szCs w:val="24"/>
              </w:rPr>
              <w:t>The state’s NABP-approved sterile compounding inspection form,</w:t>
            </w:r>
            <w:r w:rsidRPr="009F7E66">
              <w:rPr>
                <w:szCs w:val="24"/>
              </w:rPr>
              <w:t xml:space="preserve"> </w:t>
            </w:r>
            <w:r w:rsidRPr="009F7E66">
              <w:rPr>
                <w:rFonts w:eastAsia="Calibri"/>
                <w:szCs w:val="24"/>
              </w:rPr>
              <w:t>and USP &lt;800&gt; inspection form, if applicable; or</w:t>
            </w:r>
          </w:p>
          <w:p w14:paraId="66B282BE" w14:textId="77777777" w:rsidR="009F7E66" w:rsidRPr="009F7E66" w:rsidRDefault="009F7E66" w:rsidP="009F7E66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eastAsia="Calibri"/>
                <w:szCs w:val="24"/>
              </w:rPr>
            </w:pPr>
            <w:r w:rsidRPr="009F7E66">
              <w:rPr>
                <w:rFonts w:eastAsia="Calibri"/>
                <w:szCs w:val="24"/>
              </w:rPr>
              <w:t>A satisfactory inspection conducted by a Massachusetts Board-approved inspector (see above) utilizing their approved sterile compounding inspection form</w:t>
            </w:r>
            <w:r w:rsidRPr="009F7E66">
              <w:rPr>
                <w:szCs w:val="24"/>
              </w:rPr>
              <w:t xml:space="preserve"> </w:t>
            </w:r>
            <w:r w:rsidRPr="009F7E66">
              <w:rPr>
                <w:rFonts w:eastAsia="Calibri"/>
                <w:szCs w:val="24"/>
              </w:rPr>
              <w:t>and USP &lt;800&gt; inspection form, if applicable.</w:t>
            </w:r>
          </w:p>
          <w:p w14:paraId="694EAA88" w14:textId="77777777" w:rsidR="009F7E66" w:rsidRPr="009F7E66" w:rsidRDefault="009F7E66" w:rsidP="009F7E66">
            <w:pPr>
              <w:contextualSpacing/>
              <w:rPr>
                <w:rFonts w:eastAsia="Calibri"/>
                <w:szCs w:val="24"/>
              </w:rPr>
            </w:pPr>
          </w:p>
          <w:p w14:paraId="09F118BF" w14:textId="77777777" w:rsidR="009F7E66" w:rsidRPr="009F7E66" w:rsidRDefault="009F7E66" w:rsidP="009F7E66">
            <w:pPr>
              <w:contextualSpacing/>
              <w:rPr>
                <w:rFonts w:eastAsia="Calibri"/>
                <w:szCs w:val="24"/>
              </w:rPr>
            </w:pPr>
            <w:r w:rsidRPr="009F7E66">
              <w:rPr>
                <w:rFonts w:eastAsia="Calibri"/>
                <w:szCs w:val="24"/>
              </w:rPr>
              <w:t>* a Non-Resident Retail Pharmacy inspection is also required</w:t>
            </w:r>
          </w:p>
          <w:p w14:paraId="014F1C1A" w14:textId="77777777" w:rsidR="009F7E66" w:rsidRPr="009F7E66" w:rsidRDefault="009F7E66" w:rsidP="009F7E66">
            <w:pPr>
              <w:ind w:left="360"/>
              <w:contextualSpacing/>
              <w:rPr>
                <w:rFonts w:eastAsia="Calibri"/>
                <w:szCs w:val="24"/>
              </w:rPr>
            </w:pPr>
          </w:p>
        </w:tc>
        <w:tc>
          <w:tcPr>
            <w:tcW w:w="3972" w:type="dxa"/>
            <w:shd w:val="clear" w:color="auto" w:fill="auto"/>
          </w:tcPr>
          <w:p w14:paraId="52F5B436" w14:textId="77777777" w:rsidR="009F7E66" w:rsidRPr="009F7E66" w:rsidRDefault="009F7E66" w:rsidP="009F7E66">
            <w:pPr>
              <w:rPr>
                <w:rFonts w:eastAsia="Calibri"/>
                <w:szCs w:val="24"/>
              </w:rPr>
            </w:pPr>
          </w:p>
          <w:p w14:paraId="370F603F" w14:textId="77777777" w:rsidR="009F7E66" w:rsidRPr="009F7E66" w:rsidRDefault="009F7E66" w:rsidP="009F7E66">
            <w:pPr>
              <w:rPr>
                <w:rFonts w:eastAsia="Calibri"/>
                <w:szCs w:val="24"/>
              </w:rPr>
            </w:pPr>
            <w:r w:rsidRPr="009F7E66">
              <w:rPr>
                <w:rFonts w:eastAsia="Calibri"/>
                <w:szCs w:val="24"/>
              </w:rPr>
              <w:t>Most recent inspection report conducted within one (1) year of the renewal application submission date. Inspection of USP &lt;800&gt; standards must also occur if the pharmacy is engaged in the compounding of hazardous (HD) drugs.</w:t>
            </w:r>
          </w:p>
          <w:p w14:paraId="63EC3404" w14:textId="77777777" w:rsidR="009F7E66" w:rsidRPr="009F7E66" w:rsidRDefault="009F7E66" w:rsidP="009F7E66">
            <w:pPr>
              <w:rPr>
                <w:rFonts w:eastAsia="Calibri"/>
                <w:szCs w:val="24"/>
              </w:rPr>
            </w:pPr>
          </w:p>
          <w:p w14:paraId="77946334" w14:textId="77777777" w:rsidR="009F7E66" w:rsidRPr="009F7E66" w:rsidRDefault="009F7E66" w:rsidP="009F7E66">
            <w:pPr>
              <w:rPr>
                <w:rFonts w:eastAsia="Calibri"/>
                <w:szCs w:val="24"/>
              </w:rPr>
            </w:pPr>
            <w:r w:rsidRPr="009F7E66">
              <w:rPr>
                <w:rFonts w:eastAsia="Calibri"/>
                <w:szCs w:val="24"/>
              </w:rPr>
              <w:t>Acceptable inspections include:</w:t>
            </w:r>
          </w:p>
          <w:p w14:paraId="12AEB55C" w14:textId="77777777" w:rsidR="009F7E66" w:rsidRPr="009F7E66" w:rsidRDefault="009F7E66" w:rsidP="009F7E66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eastAsia="Calibri"/>
                <w:szCs w:val="24"/>
              </w:rPr>
            </w:pPr>
            <w:r w:rsidRPr="009F7E66">
              <w:rPr>
                <w:rFonts w:eastAsia="Calibri"/>
                <w:szCs w:val="24"/>
              </w:rPr>
              <w:t>If the state is part of NABP’s Multistate Pharmacy Inspection Blueprint Program, a satisfactory inspection conducted by a resident state inspector utilizing:</w:t>
            </w:r>
          </w:p>
          <w:p w14:paraId="53703A73" w14:textId="77777777" w:rsidR="009F7E66" w:rsidRPr="009F7E66" w:rsidRDefault="009F7E66" w:rsidP="009F7E66">
            <w:pPr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eastAsia="Calibri"/>
                <w:szCs w:val="24"/>
              </w:rPr>
            </w:pPr>
            <w:r w:rsidRPr="009F7E66">
              <w:rPr>
                <w:rFonts w:eastAsia="Calibri"/>
                <w:szCs w:val="24"/>
              </w:rPr>
              <w:t>NABP’s Universal Inspection Forms: Inspection for USP &lt;797&gt;, and Hazardous Drugs - Handling in Health Care Settings USP &lt;800&gt; inspection form, if applicable; or</w:t>
            </w:r>
          </w:p>
          <w:p w14:paraId="137F382E" w14:textId="77777777" w:rsidR="009F7E66" w:rsidRPr="009F7E66" w:rsidRDefault="009F7E66" w:rsidP="009F7E66">
            <w:pPr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eastAsia="Calibri"/>
                <w:szCs w:val="24"/>
              </w:rPr>
            </w:pPr>
            <w:r w:rsidRPr="009F7E66">
              <w:rPr>
                <w:rFonts w:eastAsia="Calibri"/>
                <w:szCs w:val="24"/>
              </w:rPr>
              <w:t>The state’s NABP-approved sterile compounding inspection form,</w:t>
            </w:r>
            <w:r w:rsidRPr="009F7E66">
              <w:rPr>
                <w:szCs w:val="24"/>
              </w:rPr>
              <w:t xml:space="preserve"> </w:t>
            </w:r>
            <w:r w:rsidRPr="009F7E66">
              <w:rPr>
                <w:rFonts w:eastAsia="Calibri"/>
                <w:szCs w:val="24"/>
              </w:rPr>
              <w:t>and USP &lt;800&gt; inspection form, if applicable; or</w:t>
            </w:r>
          </w:p>
          <w:p w14:paraId="129AED7E" w14:textId="77777777" w:rsidR="009F7E66" w:rsidRPr="009F7E66" w:rsidRDefault="009F7E66" w:rsidP="009F7E66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eastAsia="Calibri"/>
                <w:szCs w:val="24"/>
              </w:rPr>
            </w:pPr>
            <w:r w:rsidRPr="009F7E66">
              <w:rPr>
                <w:rFonts w:eastAsia="Calibri"/>
                <w:szCs w:val="24"/>
              </w:rPr>
              <w:t>A satisfactory inspection conducted by a Massachusetts Board-approved inspector (see above) utilizing their approved sterile compounding inspection form</w:t>
            </w:r>
            <w:r w:rsidRPr="009F7E66">
              <w:rPr>
                <w:szCs w:val="24"/>
              </w:rPr>
              <w:t xml:space="preserve"> </w:t>
            </w:r>
            <w:r w:rsidRPr="009F7E66">
              <w:rPr>
                <w:rFonts w:eastAsia="Calibri"/>
                <w:szCs w:val="24"/>
              </w:rPr>
              <w:t>and USP &lt;800&gt; inspection form, if applicable.</w:t>
            </w:r>
          </w:p>
          <w:p w14:paraId="5C95B7C3" w14:textId="77777777" w:rsidR="009F7E66" w:rsidRPr="009F7E66" w:rsidRDefault="009F7E66" w:rsidP="009F7E66">
            <w:pPr>
              <w:ind w:left="360"/>
              <w:contextualSpacing/>
              <w:rPr>
                <w:rFonts w:eastAsia="Calibri"/>
                <w:szCs w:val="24"/>
              </w:rPr>
            </w:pPr>
          </w:p>
        </w:tc>
      </w:tr>
    </w:tbl>
    <w:p w14:paraId="7FAE253C" w14:textId="77777777" w:rsidR="009F7E66" w:rsidRPr="009F7E66" w:rsidRDefault="009F7E66" w:rsidP="009F7E66">
      <w:pPr>
        <w:rPr>
          <w:rFonts w:eastAsia="Calibri"/>
          <w:szCs w:val="24"/>
        </w:rPr>
      </w:pPr>
    </w:p>
    <w:p w14:paraId="43105218" w14:textId="77777777" w:rsidR="009F7E66" w:rsidRPr="009F7E66" w:rsidRDefault="009F7E66" w:rsidP="009F7E66">
      <w:pPr>
        <w:spacing w:line="276" w:lineRule="auto"/>
        <w:rPr>
          <w:rFonts w:eastAsia="Calibri"/>
          <w:b/>
          <w:szCs w:val="24"/>
        </w:rPr>
      </w:pPr>
    </w:p>
    <w:p w14:paraId="642A325E" w14:textId="77777777" w:rsidR="009F7E66" w:rsidRPr="009F7E66" w:rsidRDefault="009F7E66" w:rsidP="009F7E66">
      <w:pPr>
        <w:spacing w:after="200" w:line="276" w:lineRule="auto"/>
        <w:rPr>
          <w:rFonts w:eastAsia="Calibri"/>
          <w:szCs w:val="24"/>
        </w:rPr>
      </w:pPr>
    </w:p>
    <w:p w14:paraId="52E7C4BB" w14:textId="77777777" w:rsidR="00791AD8" w:rsidRPr="009908FF" w:rsidRDefault="00791AD8" w:rsidP="009F7E66">
      <w:pPr>
        <w:spacing w:line="259" w:lineRule="auto"/>
        <w:jc w:val="both"/>
      </w:pPr>
    </w:p>
    <w:sectPr w:rsidR="00791AD8" w:rsidRPr="009908FF">
      <w:footerReference w:type="default" r:id="rId25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5B227" w14:textId="77777777" w:rsidR="00497691" w:rsidRDefault="00497691" w:rsidP="00497691">
      <w:r>
        <w:separator/>
      </w:r>
    </w:p>
  </w:endnote>
  <w:endnote w:type="continuationSeparator" w:id="0">
    <w:p w14:paraId="33BF0646" w14:textId="77777777" w:rsidR="00497691" w:rsidRDefault="00497691" w:rsidP="00497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348654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169563" w14:textId="77777777" w:rsidR="00394B8E" w:rsidRPr="00394B8E" w:rsidRDefault="00394B8E">
            <w:pPr>
              <w:pStyle w:val="Footer"/>
              <w:jc w:val="right"/>
              <w:rPr>
                <w:rFonts w:ascii="Arial" w:hAnsi="Arial" w:cs="Arial"/>
              </w:rPr>
            </w:pPr>
          </w:p>
          <w:p w14:paraId="2927C9C8" w14:textId="1063D3C3" w:rsidR="00394B8E" w:rsidRPr="00394B8E" w:rsidRDefault="00394B8E">
            <w:pPr>
              <w:pStyle w:val="Footer"/>
              <w:jc w:val="right"/>
              <w:rPr>
                <w:rFonts w:ascii="Arial" w:hAnsi="Arial" w:cs="Arial"/>
              </w:rPr>
            </w:pPr>
            <w:r w:rsidRPr="00394B8E">
              <w:rPr>
                <w:rFonts w:ascii="Arial" w:hAnsi="Arial" w:cs="Arial"/>
              </w:rPr>
              <w:tab/>
            </w:r>
            <w:r w:rsidRPr="00394B8E">
              <w:rPr>
                <w:rFonts w:ascii="Arial" w:hAnsi="Arial" w:cs="Arial"/>
              </w:rPr>
              <w:tab/>
              <w:t xml:space="preserve">Page </w:t>
            </w:r>
            <w:r w:rsidRPr="00394B8E">
              <w:rPr>
                <w:rFonts w:ascii="Arial" w:hAnsi="Arial" w:cs="Arial"/>
                <w:b/>
                <w:bCs/>
                <w:szCs w:val="24"/>
              </w:rPr>
              <w:fldChar w:fldCharType="begin"/>
            </w:r>
            <w:r w:rsidRPr="00394B8E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394B8E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Pr="00394B8E">
              <w:rPr>
                <w:rFonts w:ascii="Arial" w:hAnsi="Arial" w:cs="Arial"/>
                <w:b/>
                <w:bCs/>
                <w:noProof/>
              </w:rPr>
              <w:t>2</w:t>
            </w:r>
            <w:r w:rsidRPr="00394B8E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  <w:r w:rsidRPr="00394B8E">
              <w:rPr>
                <w:rFonts w:ascii="Arial" w:hAnsi="Arial" w:cs="Arial"/>
              </w:rPr>
              <w:t xml:space="preserve"> of </w:t>
            </w:r>
            <w:r w:rsidRPr="00394B8E">
              <w:rPr>
                <w:rFonts w:ascii="Arial" w:hAnsi="Arial" w:cs="Arial"/>
                <w:b/>
                <w:bCs/>
                <w:szCs w:val="24"/>
              </w:rPr>
              <w:fldChar w:fldCharType="begin"/>
            </w:r>
            <w:r w:rsidRPr="00394B8E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394B8E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Pr="00394B8E">
              <w:rPr>
                <w:rFonts w:ascii="Arial" w:hAnsi="Arial" w:cs="Arial"/>
                <w:b/>
                <w:bCs/>
                <w:noProof/>
              </w:rPr>
              <w:t>2</w:t>
            </w:r>
            <w:r w:rsidRPr="00394B8E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AC4AFAF" w14:textId="77777777" w:rsidR="00497691" w:rsidRDefault="004976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53E71" w14:textId="77777777" w:rsidR="00497691" w:rsidRDefault="00497691" w:rsidP="00497691">
      <w:r>
        <w:separator/>
      </w:r>
    </w:p>
  </w:footnote>
  <w:footnote w:type="continuationSeparator" w:id="0">
    <w:p w14:paraId="7DA06603" w14:textId="77777777" w:rsidR="00497691" w:rsidRDefault="00497691" w:rsidP="00497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35547"/>
    <w:multiLevelType w:val="hybridMultilevel"/>
    <w:tmpl w:val="F4A87662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772EF"/>
    <w:multiLevelType w:val="hybridMultilevel"/>
    <w:tmpl w:val="C4EC13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262C59"/>
    <w:multiLevelType w:val="hybridMultilevel"/>
    <w:tmpl w:val="F9A24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E1E05"/>
    <w:multiLevelType w:val="hybridMultilevel"/>
    <w:tmpl w:val="A41EACA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E857DC"/>
    <w:multiLevelType w:val="hybridMultilevel"/>
    <w:tmpl w:val="A41EACA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0771AB"/>
    <w:multiLevelType w:val="hybridMultilevel"/>
    <w:tmpl w:val="E616897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7A3F3B"/>
    <w:multiLevelType w:val="hybridMultilevel"/>
    <w:tmpl w:val="F90A93B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F029B1"/>
    <w:multiLevelType w:val="multilevel"/>
    <w:tmpl w:val="7AD8193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284849455">
    <w:abstractNumId w:val="1"/>
  </w:num>
  <w:num w:numId="2" w16cid:durableId="1791243710">
    <w:abstractNumId w:val="7"/>
  </w:num>
  <w:num w:numId="3" w16cid:durableId="1791820318">
    <w:abstractNumId w:val="6"/>
  </w:num>
  <w:num w:numId="4" w16cid:durableId="1485975611">
    <w:abstractNumId w:val="5"/>
  </w:num>
  <w:num w:numId="5" w16cid:durableId="183449460">
    <w:abstractNumId w:val="0"/>
  </w:num>
  <w:num w:numId="6" w16cid:durableId="149373495">
    <w:abstractNumId w:val="2"/>
  </w:num>
  <w:num w:numId="7" w16cid:durableId="1541893738">
    <w:abstractNumId w:val="3"/>
  </w:num>
  <w:num w:numId="8" w16cid:durableId="6431201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16681"/>
    <w:rsid w:val="00033154"/>
    <w:rsid w:val="00042048"/>
    <w:rsid w:val="00050820"/>
    <w:rsid w:val="000537DA"/>
    <w:rsid w:val="000A1DE1"/>
    <w:rsid w:val="000B7D96"/>
    <w:rsid w:val="000F315B"/>
    <w:rsid w:val="001125C0"/>
    <w:rsid w:val="0015268B"/>
    <w:rsid w:val="00177C77"/>
    <w:rsid w:val="001B6693"/>
    <w:rsid w:val="001C62EC"/>
    <w:rsid w:val="0021698C"/>
    <w:rsid w:val="00260D54"/>
    <w:rsid w:val="00276957"/>
    <w:rsid w:val="00276DCC"/>
    <w:rsid w:val="002A132F"/>
    <w:rsid w:val="002B53E2"/>
    <w:rsid w:val="002D1C21"/>
    <w:rsid w:val="00301022"/>
    <w:rsid w:val="00375EAD"/>
    <w:rsid w:val="00385812"/>
    <w:rsid w:val="00392D0B"/>
    <w:rsid w:val="00394B8E"/>
    <w:rsid w:val="003A7AFC"/>
    <w:rsid w:val="003C60EF"/>
    <w:rsid w:val="00455C61"/>
    <w:rsid w:val="00466EB9"/>
    <w:rsid w:val="004813AC"/>
    <w:rsid w:val="00497691"/>
    <w:rsid w:val="004B37A0"/>
    <w:rsid w:val="004B5CFB"/>
    <w:rsid w:val="004D6B39"/>
    <w:rsid w:val="004E0C3F"/>
    <w:rsid w:val="00512956"/>
    <w:rsid w:val="00530145"/>
    <w:rsid w:val="005448AA"/>
    <w:rsid w:val="006436E7"/>
    <w:rsid w:val="006D06D9"/>
    <w:rsid w:val="006D77A6"/>
    <w:rsid w:val="00702109"/>
    <w:rsid w:val="0072610D"/>
    <w:rsid w:val="00757006"/>
    <w:rsid w:val="00791AD8"/>
    <w:rsid w:val="007B3F4B"/>
    <w:rsid w:val="007B7347"/>
    <w:rsid w:val="007D10F3"/>
    <w:rsid w:val="007F3CDB"/>
    <w:rsid w:val="00874BE1"/>
    <w:rsid w:val="0087702A"/>
    <w:rsid w:val="00911CF3"/>
    <w:rsid w:val="009730E5"/>
    <w:rsid w:val="009908FF"/>
    <w:rsid w:val="00995505"/>
    <w:rsid w:val="009C4428"/>
    <w:rsid w:val="009D48CD"/>
    <w:rsid w:val="009F7E66"/>
    <w:rsid w:val="00A65101"/>
    <w:rsid w:val="00A94C2A"/>
    <w:rsid w:val="00AF48FA"/>
    <w:rsid w:val="00B403BF"/>
    <w:rsid w:val="00B608D9"/>
    <w:rsid w:val="00BA4055"/>
    <w:rsid w:val="00BA7FB6"/>
    <w:rsid w:val="00BB20F5"/>
    <w:rsid w:val="00BC5A6C"/>
    <w:rsid w:val="00BF1BDF"/>
    <w:rsid w:val="00C20BFE"/>
    <w:rsid w:val="00C46D29"/>
    <w:rsid w:val="00C50768"/>
    <w:rsid w:val="00CC1778"/>
    <w:rsid w:val="00CE575B"/>
    <w:rsid w:val="00CF3DE8"/>
    <w:rsid w:val="00D0493F"/>
    <w:rsid w:val="00D56F91"/>
    <w:rsid w:val="00D8671C"/>
    <w:rsid w:val="00D91390"/>
    <w:rsid w:val="00DA57C3"/>
    <w:rsid w:val="00DC1364"/>
    <w:rsid w:val="00DC3855"/>
    <w:rsid w:val="00E242A8"/>
    <w:rsid w:val="00E274B8"/>
    <w:rsid w:val="00E4095F"/>
    <w:rsid w:val="00E72707"/>
    <w:rsid w:val="00F0586E"/>
    <w:rsid w:val="00F059B3"/>
    <w:rsid w:val="00F145A7"/>
    <w:rsid w:val="00F43932"/>
    <w:rsid w:val="00F52B6C"/>
    <w:rsid w:val="00FA575E"/>
    <w:rsid w:val="00FC6B42"/>
    <w:rsid w:val="00FE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059B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059B3"/>
  </w:style>
  <w:style w:type="character" w:styleId="CommentReference">
    <w:name w:val="annotation reference"/>
    <w:unhideWhenUsed/>
    <w:rsid w:val="00F059B3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436E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4976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97691"/>
    <w:rPr>
      <w:sz w:val="24"/>
    </w:rPr>
  </w:style>
  <w:style w:type="paragraph" w:styleId="Footer">
    <w:name w:val="footer"/>
    <w:basedOn w:val="Normal"/>
    <w:link w:val="FooterChar"/>
    <w:uiPriority w:val="99"/>
    <w:rsid w:val="004976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691"/>
    <w:rPr>
      <w:sz w:val="24"/>
    </w:rPr>
  </w:style>
  <w:style w:type="character" w:styleId="FollowedHyperlink">
    <w:name w:val="FollowedHyperlink"/>
    <w:basedOn w:val="DefaultParagraphFont"/>
    <w:rsid w:val="00791A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ss.gov/doc/2023-07-non-sterile-compounding-pdf/download" TargetMode="External"/><Relationship Id="rId18" Type="http://schemas.openxmlformats.org/officeDocument/2006/relationships/hyperlink" Target="https://www.mass.gov/doc/reporting-requirement-overview-pdf/download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www.mass.gov/dph/boards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mass.gov/how-to/apply-for-a-pharmacy-license" TargetMode="External"/><Relationship Id="rId17" Type="http://schemas.openxmlformats.org/officeDocument/2006/relationships/hyperlink" Target="https://www.mass.gov/info-details/pharmacy-reporting-and-data-submission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ass.gov/how-to/apply-for-a-pharmacist-license" TargetMode="External"/><Relationship Id="rId20" Type="http://schemas.openxmlformats.org/officeDocument/2006/relationships/hyperlink" Target="https://www.mass.gov/how-to/apply-for-an-outsourcing-registratio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inspections@nabp.pharmac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mass.gov/dph/boards" TargetMode="External"/><Relationship Id="rId23" Type="http://schemas.openxmlformats.org/officeDocument/2006/relationships/hyperlink" Target="mailto:ernie.gates@gatesconsult.com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mass.gov/doc/247-cmr-21-registration-of-outsourcing-facilities/download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harmacy.Admin@mass.gov" TargetMode="External"/><Relationship Id="rId22" Type="http://schemas.openxmlformats.org/officeDocument/2006/relationships/image" Target="media/image2.png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4.xml><?xml version="1.0" encoding="utf-8"?>
<ds:datastoreItem xmlns:ds="http://schemas.openxmlformats.org/officeDocument/2006/customXml" ds:itemID="{C2BAF45D-90F2-49EF-86DC-5862552DF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35</TotalTime>
  <Pages>5</Pages>
  <Words>1302</Words>
  <Characters>9088</Characters>
  <Application>Microsoft Office Word</Application>
  <DocSecurity>0</DocSecurity>
  <Lines>75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10370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Chan, Michelle (DPH)</cp:lastModifiedBy>
  <cp:revision>7</cp:revision>
  <cp:lastPrinted>2015-01-29T14:50:00Z</cp:lastPrinted>
  <dcterms:created xsi:type="dcterms:W3CDTF">2024-11-19T19:05:00Z</dcterms:created>
  <dcterms:modified xsi:type="dcterms:W3CDTF">2025-02-13T17:43:00Z</dcterms:modified>
</cp:coreProperties>
</file>