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1229" w14:textId="0D9F60C5" w:rsidR="00DC54FA" w:rsidRPr="00423443" w:rsidRDefault="00DC54FA" w:rsidP="09E3705E">
      <w:pPr>
        <w:pStyle w:val="Heading2"/>
        <w:keepNext w:val="0"/>
        <w:keepLines w:val="0"/>
        <w:spacing w:after="0" w:line="240" w:lineRule="auto"/>
        <w:rPr>
          <w:rFonts w:asciiTheme="minorHAnsi" w:eastAsiaTheme="minorEastAsia" w:hAnsiTheme="minorHAnsi" w:cstheme="minorBidi"/>
          <w:i/>
          <w:iCs/>
        </w:rPr>
      </w:pPr>
      <w:bookmarkStart w:id="0" w:name="_Toc181159054"/>
      <w:r w:rsidRPr="00423443">
        <w:rPr>
          <w:rFonts w:asciiTheme="minorHAnsi" w:eastAsiaTheme="minorEastAsia" w:hAnsiTheme="minorHAnsi" w:cstheme="minorBidi"/>
        </w:rPr>
        <w:t>Non</w:t>
      </w:r>
      <w:r w:rsidR="00057DFC" w:rsidRPr="00423443">
        <w:rPr>
          <w:rFonts w:asciiTheme="minorHAnsi" w:eastAsiaTheme="minorEastAsia" w:hAnsiTheme="minorHAnsi" w:cstheme="minorBidi"/>
        </w:rPr>
        <w:t>c</w:t>
      </w:r>
      <w:r w:rsidRPr="00423443">
        <w:rPr>
          <w:rFonts w:asciiTheme="minorHAnsi" w:eastAsiaTheme="minorEastAsia" w:hAnsiTheme="minorHAnsi" w:cstheme="minorBidi"/>
        </w:rPr>
        <w:t>ompliance Identification</w:t>
      </w:r>
      <w:bookmarkEnd w:id="0"/>
    </w:p>
    <w:p w14:paraId="6797A10D" w14:textId="0AB76459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3341D">
        <w:rPr>
          <w:rStyle w:val="normaltextrun"/>
          <w:rFonts w:ascii="Calibri" w:eastAsiaTheme="majorEastAsia" w:hAnsi="Calibri" w:cs="Calibri"/>
          <w:b/>
          <w:color w:val="000000" w:themeColor="text1"/>
        </w:rPr>
        <w:t>Purpose</w:t>
      </w:r>
      <w:r w:rsidR="4ECF3537" w:rsidRPr="00B3341D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:</w:t>
      </w:r>
      <w:r w:rsidR="00B3341D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Using established methods (e.g., database reviews, </w:t>
      </w:r>
      <w:r w:rsidR="00A63090" w:rsidRPr="5CD7AEF5">
        <w:rPr>
          <w:rStyle w:val="normaltextrun"/>
          <w:rFonts w:ascii="Calibri" w:eastAsiaTheme="majorEastAsia" w:hAnsi="Calibri" w:cs="Calibri"/>
          <w:color w:val="000000" w:themeColor="text1"/>
        </w:rPr>
        <w:t>cyclical monitoring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, self-assessments, data quality reports</w:t>
      </w:r>
      <w:r w:rsidR="007B1DE2" w:rsidRPr="5CD7AEF5">
        <w:rPr>
          <w:rStyle w:val="normaltextrun"/>
          <w:rFonts w:ascii="Calibri" w:eastAsiaTheme="majorEastAsia" w:hAnsi="Calibri" w:cs="Calibri"/>
          <w:color w:val="000000" w:themeColor="text1"/>
        </w:rPr>
        <w:t>,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 and fiscal monitoring) the EI Division reviews programs for compliance with federal and state indicators and other priority areas identified to improve child and family outcomes and results.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3F0A6C54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7F478C33" w14:textId="37EC1300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1"/>
          <w:szCs w:val="21"/>
        </w:rPr>
      </w:pPr>
      <w:r w:rsidRPr="00B3341D">
        <w:rPr>
          <w:rStyle w:val="eop"/>
          <w:rFonts w:ascii="Calibri" w:eastAsiaTheme="majorEastAsia" w:hAnsi="Calibri" w:cs="Calibri"/>
          <w:b/>
          <w:color w:val="000000" w:themeColor="text1"/>
        </w:rPr>
        <w:t>Scope</w:t>
      </w:r>
      <w:r w:rsidR="01738F01" w:rsidRPr="5CD7AEF5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>:</w:t>
      </w:r>
      <w:r w:rsidR="00B3341D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 xml:space="preserve"> 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The intended audience of this process is EI division staff, EI</w:t>
      </w:r>
      <w:r w:rsidR="007B1DE2" w:rsidRPr="5CD7AEF5">
        <w:rPr>
          <w:rStyle w:val="eop"/>
          <w:rFonts w:ascii="Calibri" w:eastAsiaTheme="majorEastAsia" w:hAnsi="Calibri" w:cs="Calibri"/>
          <w:color w:val="000000" w:themeColor="text1"/>
        </w:rPr>
        <w:t>S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 vendor and program staff, </w:t>
      </w:r>
      <w:r w:rsidR="000B7234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SSP </w:t>
      </w:r>
      <w:r w:rsidR="004D2ECC" w:rsidRPr="5CD7AEF5">
        <w:rPr>
          <w:rStyle w:val="eop"/>
          <w:rFonts w:ascii="Calibri" w:eastAsiaTheme="majorEastAsia" w:hAnsi="Calibri" w:cs="Calibri"/>
          <w:color w:val="000000" w:themeColor="text1"/>
        </w:rPr>
        <w:t>p</w:t>
      </w:r>
      <w:r w:rsidR="000B7234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rogram </w:t>
      </w:r>
      <w:r w:rsidR="00F94C65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director </w:t>
      </w:r>
      <w:r w:rsidR="000B7234" w:rsidRPr="5CD7AEF5">
        <w:rPr>
          <w:rStyle w:val="eop"/>
          <w:rFonts w:ascii="Calibri" w:eastAsiaTheme="majorEastAsia" w:hAnsi="Calibri" w:cs="Calibri"/>
          <w:color w:val="000000" w:themeColor="text1"/>
        </w:rPr>
        <w:t xml:space="preserve">and staff 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and other key representatives.</w:t>
      </w:r>
    </w:p>
    <w:p w14:paraId="76DA897E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112113FC" w14:textId="3A7105AF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1"/>
          <w:szCs w:val="21"/>
        </w:rPr>
      </w:pPr>
      <w:r w:rsidRPr="00B3341D">
        <w:rPr>
          <w:rStyle w:val="eop"/>
          <w:rFonts w:ascii="Calibri" w:eastAsiaTheme="majorEastAsia" w:hAnsi="Calibri" w:cs="Calibri"/>
          <w:b/>
          <w:color w:val="000000" w:themeColor="text1"/>
        </w:rPr>
        <w:t>Prerequisites</w:t>
      </w:r>
      <w:r w:rsidR="34E5890E" w:rsidRPr="5CD7AEF5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>:</w:t>
      </w:r>
      <w:r w:rsidR="00B3341D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 xml:space="preserve"> 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Data from monitoring methods, previously identified noncompliance for vendor or program, reason for delay guidance document.</w:t>
      </w:r>
    </w:p>
    <w:p w14:paraId="3D085ED9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u w:val="single"/>
        </w:rPr>
      </w:pPr>
    </w:p>
    <w:p w14:paraId="052B7C6F" w14:textId="32FE2665" w:rsidR="00DC54FA" w:rsidRPr="00B3341D" w:rsidRDefault="00DC54FA" w:rsidP="09E3705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9E3705E">
        <w:rPr>
          <w:rFonts w:ascii="Calibri" w:hAnsi="Calibri" w:cs="Calibri"/>
          <w:b/>
          <w:bCs/>
        </w:rPr>
        <w:t>Procedure</w:t>
      </w:r>
      <w:r w:rsidR="42D314C1" w:rsidRPr="09E3705E">
        <w:rPr>
          <w:rFonts w:ascii="Calibri" w:hAnsi="Calibri" w:cs="Calibri"/>
          <w:b/>
          <w:bCs/>
        </w:rPr>
        <w:t>:</w:t>
      </w:r>
      <w:r w:rsidRPr="09E3705E">
        <w:rPr>
          <w:rFonts w:ascii="Calibri" w:hAnsi="Calibri" w:cs="Calibri"/>
          <w:b/>
          <w:bCs/>
        </w:rPr>
        <w:t xml:space="preserve"> </w:t>
      </w:r>
    </w:p>
    <w:p w14:paraId="7C0533F2" w14:textId="7E0AA6B6" w:rsidR="00DC54FA" w:rsidRPr="00A41C59" w:rsidRDefault="00DC54FA" w:rsidP="09E3705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>Data Verification and Correction</w:t>
      </w:r>
      <w:r w:rsidR="65AA0810" w:rsidRPr="09E3705E">
        <w:rPr>
          <w:rFonts w:ascii="Roboto" w:eastAsia="Roboto" w:hAnsi="Roboto" w:cs="Roboto"/>
          <w:color w:val="5E5E5E"/>
          <w:sz w:val="21"/>
          <w:szCs w:val="21"/>
        </w:rPr>
        <w:t>—</w:t>
      </w:r>
      <w:r w:rsidR="73994437" w:rsidRPr="09E3705E">
        <w:rPr>
          <w:rStyle w:val="normaltextrun"/>
          <w:rFonts w:ascii="Calibri" w:eastAsiaTheme="majorEastAsia" w:hAnsi="Calibri" w:cs="Calibri"/>
          <w:color w:val="000000" w:themeColor="text1"/>
        </w:rPr>
        <w:t>p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 xml:space="preserve">rior to </w:t>
      </w:r>
      <w:r w:rsidR="253363BA" w:rsidRPr="09E3705E">
        <w:rPr>
          <w:rStyle w:val="normaltextrun"/>
          <w:rFonts w:ascii="Calibri" w:eastAsiaTheme="majorEastAsia" w:hAnsi="Calibri" w:cs="Calibri"/>
          <w:color w:val="000000" w:themeColor="text1"/>
        </w:rPr>
        <w:t>i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 xml:space="preserve">ssuing a </w:t>
      </w:r>
      <w:r w:rsidR="329E4857" w:rsidRPr="09E3705E">
        <w:rPr>
          <w:rStyle w:val="normaltextrun"/>
          <w:rFonts w:ascii="Calibri" w:eastAsiaTheme="majorEastAsia" w:hAnsi="Calibri" w:cs="Calibri"/>
          <w:color w:val="000000" w:themeColor="text1"/>
        </w:rPr>
        <w:t>f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 xml:space="preserve">inding or </w:t>
      </w:r>
      <w:r w:rsidR="2242948C" w:rsidRPr="09E3705E">
        <w:rPr>
          <w:rStyle w:val="normaltextrun"/>
          <w:rFonts w:ascii="Calibri" w:eastAsiaTheme="majorEastAsia" w:hAnsi="Calibri" w:cs="Calibri"/>
          <w:color w:val="000000" w:themeColor="text1"/>
        </w:rPr>
        <w:t>d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 xml:space="preserve">ecision </w:t>
      </w:r>
      <w:r w:rsidR="67577D17" w:rsidRPr="09E3705E">
        <w:rPr>
          <w:rStyle w:val="normaltextrun"/>
          <w:rFonts w:ascii="Calibri" w:eastAsiaTheme="majorEastAsia" w:hAnsi="Calibri" w:cs="Calibri"/>
          <w:color w:val="000000" w:themeColor="text1"/>
        </w:rPr>
        <w:t>m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>aking:</w:t>
      </w:r>
      <w:r w:rsidRPr="09E3705E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6EA6BCBA" w14:textId="5E66A736" w:rsidR="00DC54FA" w:rsidRPr="008B2D4F" w:rsidRDefault="00DC54FA" w:rsidP="09E37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>Verification follow up with program must be done within 30 days of identification of noncompliance to verify accuracy of data, add missing data, and submit documented reasons for delay.</w:t>
      </w:r>
      <w:r w:rsidRPr="09E3705E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0DA3287B" w14:textId="269C6F28" w:rsidR="00DC54FA" w:rsidRPr="00A41C59" w:rsidRDefault="00DC54FA" w:rsidP="09E37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9E3705E">
        <w:rPr>
          <w:rStyle w:val="eop"/>
          <w:rFonts w:ascii="Calibri" w:eastAsiaTheme="majorEastAsia" w:hAnsi="Calibri" w:cs="Calibri"/>
          <w:color w:val="000000" w:themeColor="text1"/>
        </w:rPr>
        <w:t>For any data corrections</w:t>
      </w:r>
      <w:r w:rsidR="7F00D870" w:rsidRPr="09E3705E">
        <w:rPr>
          <w:rStyle w:val="eop"/>
          <w:rFonts w:ascii="Calibri" w:eastAsiaTheme="majorEastAsia" w:hAnsi="Calibri" w:cs="Calibri"/>
          <w:color w:val="000000" w:themeColor="text1"/>
        </w:rPr>
        <w:t>:</w:t>
      </w:r>
      <w:r w:rsidR="76307741" w:rsidRPr="09E3705E">
        <w:rPr>
          <w:rStyle w:val="eop"/>
          <w:rFonts w:ascii="Calibri" w:eastAsiaTheme="majorEastAsia" w:hAnsi="Calibri" w:cs="Calibri"/>
          <w:color w:val="000000" w:themeColor="text1"/>
        </w:rPr>
        <w:t xml:space="preserve"> </w:t>
      </w:r>
      <w:r w:rsidRPr="09E3705E">
        <w:rPr>
          <w:rStyle w:val="eop"/>
          <w:rFonts w:ascii="Calibri" w:eastAsiaTheme="majorEastAsia" w:hAnsi="Calibri" w:cs="Calibri"/>
          <w:color w:val="000000" w:themeColor="text1"/>
        </w:rPr>
        <w:t>EIS programs must submit an EICS help desk ticket with correct data using the indicator template provided</w:t>
      </w:r>
      <w:r w:rsidR="008B759E" w:rsidRPr="09E3705E">
        <w:rPr>
          <w:rStyle w:val="eop"/>
          <w:rFonts w:ascii="Calibri" w:eastAsiaTheme="majorEastAsia" w:hAnsi="Calibri" w:cs="Calibri"/>
          <w:color w:val="000000" w:themeColor="text1"/>
        </w:rPr>
        <w:t>.</w:t>
      </w:r>
    </w:p>
    <w:p w14:paraId="503BA003" w14:textId="1D295858" w:rsidR="008B759E" w:rsidRPr="00E518DE" w:rsidRDefault="00DC54FA" w:rsidP="00BB7D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If necessary, obtain clarification on reasons for delay</w:t>
      </w:r>
      <w:r w:rsidR="008B759E" w:rsidRPr="5CD7AEF5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4DEA6770" w14:textId="4E091B90" w:rsidR="00DC54FA" w:rsidRPr="005021C5" w:rsidRDefault="00DC54FA" w:rsidP="00BB7DD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Request clarification to assist in root cause analysis if necessary</w:t>
      </w:r>
      <w:r w:rsidR="008B759E" w:rsidRPr="5CD7AEF5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348F0150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3B066AB1" w14:textId="49F5CF26" w:rsidR="00DC54FA" w:rsidRDefault="00DC54FA" w:rsidP="09E3705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Determination</w:t>
      </w:r>
      <w:r w:rsidR="20B43F9B"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:</w:t>
      </w:r>
    </w:p>
    <w:p w14:paraId="7B8C4981" w14:textId="328C608C" w:rsidR="00DC54FA" w:rsidRPr="00A41C59" w:rsidRDefault="00DC54FA" w:rsidP="09E3705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 w:themeColor="text1"/>
        </w:rPr>
      </w:pP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Following </w:t>
      </w:r>
      <w:r w:rsidR="0E23E80C" w:rsidRPr="00423443">
        <w:rPr>
          <w:rStyle w:val="normaltextrun"/>
          <w:rFonts w:ascii="Calibri" w:eastAsiaTheme="majorEastAsia" w:hAnsi="Calibri" w:cs="Calibri"/>
          <w:color w:val="000000" w:themeColor="text1"/>
        </w:rPr>
        <w:t>c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larification and </w:t>
      </w:r>
      <w:r w:rsidR="4FEBA37C" w:rsidRPr="00423443">
        <w:rPr>
          <w:rStyle w:val="normaltextrun"/>
          <w:rFonts w:ascii="Calibri" w:eastAsiaTheme="majorEastAsia" w:hAnsi="Calibri" w:cs="Calibri"/>
          <w:color w:val="000000" w:themeColor="text1"/>
        </w:rPr>
        <w:t>d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ata </w:t>
      </w:r>
      <w:r w:rsidR="387A726B" w:rsidRPr="00423443">
        <w:rPr>
          <w:rStyle w:val="normaltextrun"/>
          <w:rFonts w:ascii="Calibri" w:eastAsiaTheme="majorEastAsia" w:hAnsi="Calibri" w:cs="Calibri"/>
          <w:color w:val="000000" w:themeColor="text1"/>
        </w:rPr>
        <w:t>v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erification, </w:t>
      </w:r>
      <w:r w:rsidR="0EC6EE80" w:rsidRPr="00423443">
        <w:rPr>
          <w:rStyle w:val="normaltextrun"/>
          <w:rFonts w:ascii="Calibri" w:eastAsiaTheme="majorEastAsia" w:hAnsi="Calibri" w:cs="Calibri"/>
          <w:color w:val="000000" w:themeColor="text1"/>
        </w:rPr>
        <w:t>d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>etermine</w:t>
      </w:r>
      <w:r w:rsidR="7DBD33A0"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 if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 Non-Compliance </w:t>
      </w:r>
      <w:r w:rsidR="6F16257F" w:rsidRPr="00423443">
        <w:rPr>
          <w:rStyle w:val="normaltextrun"/>
          <w:rFonts w:ascii="Calibri" w:eastAsiaTheme="majorEastAsia" w:hAnsi="Calibri" w:cs="Calibri"/>
          <w:color w:val="000000" w:themeColor="text1"/>
        </w:rPr>
        <w:t>o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>ccur</w:t>
      </w:r>
      <w:r w:rsidR="22A95DF4" w:rsidRPr="00423443">
        <w:rPr>
          <w:rStyle w:val="normaltextrun"/>
          <w:rFonts w:ascii="Calibri" w:eastAsiaTheme="majorEastAsia" w:hAnsi="Calibri" w:cs="Calibri"/>
          <w:color w:val="000000" w:themeColor="text1"/>
        </w:rPr>
        <w:t>red</w:t>
      </w:r>
      <w:r w:rsidRPr="00423443">
        <w:rPr>
          <w:rStyle w:val="normaltextrun"/>
          <w:rFonts w:ascii="Calibri" w:eastAsiaTheme="majorEastAsia" w:hAnsi="Calibri" w:cs="Calibri"/>
          <w:color w:val="000000" w:themeColor="text1"/>
        </w:rPr>
        <w:t xml:space="preserve"> and at what level:</w:t>
      </w:r>
    </w:p>
    <w:p w14:paraId="4FECD904" w14:textId="23299989" w:rsidR="00DC54FA" w:rsidRPr="00DC4DC3" w:rsidRDefault="00DC54FA" w:rsidP="00BB7D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Verify for each child specific noncompliance whether it has been corrected</w:t>
      </w:r>
      <w:r w:rsidR="00D1660A" w:rsidRPr="5CD7AEF5">
        <w:rPr>
          <w:rStyle w:val="normaltextrun"/>
          <w:rFonts w:ascii="Calibri" w:eastAsiaTheme="majorEastAsia" w:hAnsi="Calibri" w:cs="Calibri"/>
          <w:color w:val="000000" w:themeColor="text1"/>
        </w:rPr>
        <w:t>: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 </w:t>
      </w:r>
    </w:p>
    <w:p w14:paraId="4C4E601E" w14:textId="77777777" w:rsidR="00DC54FA" w:rsidRPr="00DC4DC3" w:rsidRDefault="00DC54FA" w:rsidP="00BB7DD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Received services although late</w:t>
      </w:r>
    </w:p>
    <w:p w14:paraId="75CA4DCA" w14:textId="77777777" w:rsidR="00DC54FA" w:rsidRPr="00A41C59" w:rsidRDefault="00DC54FA" w:rsidP="00BB7DD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Out of jurisdiction</w:t>
      </w:r>
    </w:p>
    <w:p w14:paraId="6D1737FD" w14:textId="05723AA8" w:rsidR="00DC54FA" w:rsidRPr="00A41C59" w:rsidRDefault="00DC54FA" w:rsidP="00BB7D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If corrected: Review a sample of updated program data demonstrating 100% compliance with statutory or regulatory requirement (</w:t>
      </w:r>
      <w:r w:rsidRPr="00B3341D">
        <w:rPr>
          <w:rStyle w:val="normaltextrun"/>
          <w:rFonts w:ascii="Calibri" w:eastAsiaTheme="majorEastAsia" w:hAnsi="Calibri" w:cs="Calibri"/>
          <w:b/>
          <w:color w:val="000000" w:themeColor="text1"/>
        </w:rPr>
        <w:t>follow verification of correction process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)</w:t>
      </w:r>
      <w:r w:rsidR="001A52D5" w:rsidRPr="5CD7AEF5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2ECBDD9F" w14:textId="6193A400" w:rsidR="00DC54FA" w:rsidRPr="006276E8" w:rsidRDefault="00DC54FA" w:rsidP="00BB7D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If both the child level noncompliance and updated program data are corrected, maintain written documentation of the verification of correction and document prefinding correction (</w:t>
      </w:r>
      <w:r w:rsidR="00D1660A" w:rsidRPr="5CD7AEF5">
        <w:rPr>
          <w:rStyle w:val="normaltextrun"/>
          <w:rFonts w:ascii="Calibri" w:eastAsiaTheme="majorEastAsia" w:hAnsi="Calibri" w:cs="Calibri"/>
          <w:color w:val="000000" w:themeColor="text1"/>
        </w:rPr>
        <w:t>n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oncompliance data base and noncompliance prefinding correction letter)</w:t>
      </w:r>
      <w:r w:rsidR="00D1660A" w:rsidRPr="5CD7AEF5">
        <w:rPr>
          <w:rStyle w:val="normaltextrun"/>
          <w:rFonts w:ascii="Calibri" w:eastAsiaTheme="majorEastAsia" w:hAnsi="Calibri" w:cs="Calibri"/>
          <w:color w:val="000000" w:themeColor="text1"/>
        </w:rPr>
        <w:t>.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 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5E01E837" w14:textId="4A74874D" w:rsidR="00DC54FA" w:rsidRPr="00A41C59" w:rsidRDefault="00DC54FA" w:rsidP="00BB7D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If there is child level noncompliance and it is not corrected OR any of the updated sample for the applicatory requirement are not compliant a finding of noncompliance must be made</w:t>
      </w:r>
      <w:r w:rsidR="00D1660A" w:rsidRPr="5CD7AEF5">
        <w:rPr>
          <w:rStyle w:val="eop"/>
          <w:rFonts w:ascii="Calibri" w:eastAsiaTheme="majorEastAsia" w:hAnsi="Calibri" w:cs="Calibri"/>
          <w:color w:val="000000" w:themeColor="text1"/>
        </w:rPr>
        <w:t>.</w:t>
      </w:r>
    </w:p>
    <w:p w14:paraId="0A365C74" w14:textId="77777777" w:rsidR="00DC54FA" w:rsidRPr="00A41C59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628572C7" w14:textId="6BFD8407" w:rsidR="00DC54FA" w:rsidRPr="00A41C59" w:rsidRDefault="00DC54FA" w:rsidP="09E3705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For </w:t>
      </w:r>
      <w:r w:rsidR="4EC05D78"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i</w:t>
      </w:r>
      <w:r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dentified Non-Compliance that is not corrected</w:t>
      </w:r>
      <w:r w:rsidR="524E9609" w:rsidRPr="09E3705E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:</w:t>
      </w:r>
      <w:r w:rsidRPr="09E3705E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41C51194" w14:textId="78B2AB90" w:rsidR="00DC54FA" w:rsidRPr="00DC4DC3" w:rsidRDefault="00DC54FA" w:rsidP="09E370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inorEastAsia" w:hAnsi="Calibri" w:cs="Calibri"/>
          <w:sz w:val="21"/>
          <w:szCs w:val="21"/>
        </w:rPr>
      </w:pPr>
      <w:r w:rsidRPr="09E3705E">
        <w:rPr>
          <w:rStyle w:val="normaltextrun"/>
          <w:rFonts w:ascii="Calibri" w:eastAsiaTheme="majorEastAsia" w:hAnsi="Calibri" w:cs="Calibri"/>
          <w:color w:val="0D0D0D" w:themeColor="text1" w:themeTint="F2"/>
        </w:rPr>
        <w:t xml:space="preserve">      </w:t>
      </w:r>
      <w:r w:rsidRPr="09E3705E">
        <w:rPr>
          <w:rStyle w:val="eop"/>
          <w:rFonts w:ascii="Calibri" w:eastAsiaTheme="majorEastAsia" w:hAnsi="Calibri" w:cs="Calibri"/>
          <w:color w:val="000000" w:themeColor="text1"/>
        </w:rPr>
        <w:t xml:space="preserve">1. 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>Determine the level of noncompliance</w:t>
      </w:r>
      <w:r w:rsidR="00D1660A" w:rsidRPr="09E3705E">
        <w:rPr>
          <w:rStyle w:val="normaltextrun"/>
          <w:rFonts w:ascii="Calibri" w:eastAsiaTheme="majorEastAsia" w:hAnsi="Calibri" w:cs="Calibri"/>
          <w:color w:val="000000" w:themeColor="text1"/>
        </w:rPr>
        <w:t>:</w:t>
      </w:r>
      <w:r w:rsidRPr="09E3705E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</w:p>
    <w:p w14:paraId="40402B8A" w14:textId="664FEAA6" w:rsidR="00DC54FA" w:rsidRPr="00A41C59" w:rsidRDefault="00DC54FA" w:rsidP="00B3341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Includes determining both where and how much the noncompliance is occurring and determining whether the noncompliance is part of a systemic problem</w:t>
      </w:r>
    </w:p>
    <w:p w14:paraId="78D31FA0" w14:textId="2647D825" w:rsidR="00DC54FA" w:rsidRPr="00475B89" w:rsidRDefault="00DC54FA" w:rsidP="00B3341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In reviewing the data</w:t>
      </w:r>
      <w:r w:rsidRPr="5CD7AEF5">
        <w:rPr>
          <w:rStyle w:val="spellingerror"/>
          <w:color w:val="000000" w:themeColor="text1"/>
        </w:rPr>
        <w:t xml:space="preserve"> 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determine for each EIS program if the noncompliance is occurring in one or more staff member</w:t>
      </w:r>
    </w:p>
    <w:p w14:paraId="56713CCD" w14:textId="3B0B567D" w:rsidR="00DC54FA" w:rsidRPr="00067EBB" w:rsidRDefault="00DC54FA" w:rsidP="00B3341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lastRenderedPageBreak/>
        <w:t xml:space="preserve">Determine if the noncompliance is occurring with only one or with several children and families. </w:t>
      </w:r>
    </w:p>
    <w:p w14:paraId="51367218" w14:textId="0F25E42D" w:rsidR="00DC54FA" w:rsidRPr="00256858" w:rsidRDefault="00DC54FA" w:rsidP="00B3341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Look for patterns of noncompliance across service coordinators, geographic regions, or specific populations of families</w:t>
      </w:r>
    </w:p>
    <w:p w14:paraId="30C3D298" w14:textId="77777777" w:rsidR="00DC54FA" w:rsidRPr="007B2549" w:rsidRDefault="00DC54FA" w:rsidP="00B3341D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</w:p>
    <w:tbl>
      <w:tblPr>
        <w:tblStyle w:val="TableGrid"/>
        <w:tblW w:w="9653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518"/>
        <w:gridCol w:w="3138"/>
        <w:gridCol w:w="3997"/>
      </w:tblGrid>
      <w:tr w:rsidR="00DC54FA" w:rsidRPr="00A41C59" w14:paraId="0DC9045F" w14:textId="77777777" w:rsidTr="00423443">
        <w:trPr>
          <w:trHeight w:val="300"/>
        </w:trPr>
        <w:tc>
          <w:tcPr>
            <w:tcW w:w="2518" w:type="dxa"/>
            <w:shd w:val="clear" w:color="auto" w:fill="DEEAF6" w:themeFill="accent5" w:themeFillTint="33"/>
          </w:tcPr>
          <w:p w14:paraId="19FF5DA9" w14:textId="75125B53" w:rsidR="00DC54FA" w:rsidRPr="00A41C59" w:rsidRDefault="00DC54FA" w:rsidP="00B334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A41C59">
              <w:rPr>
                <w:rStyle w:val="normaltextrun"/>
                <w:rFonts w:ascii="Calibri" w:eastAsiaTheme="majorEastAsia" w:hAnsi="Calibri" w:cs="Calibri"/>
                <w:b/>
                <w:bCs/>
              </w:rPr>
              <w:t xml:space="preserve">Extent of </w:t>
            </w:r>
          </w:p>
          <w:p w14:paraId="6372DCD2" w14:textId="796CB503" w:rsidR="00DC54FA" w:rsidRPr="00A41C59" w:rsidRDefault="00DC54FA" w:rsidP="5CD7AE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2E74B5" w:themeColor="accent5" w:themeShade="BF"/>
              </w:rPr>
            </w:pPr>
            <w:r w:rsidRPr="00A41C59">
              <w:rPr>
                <w:rStyle w:val="normaltextrun"/>
                <w:rFonts w:ascii="Calibri" w:eastAsiaTheme="majorEastAsia" w:hAnsi="Calibri" w:cs="Calibri"/>
                <w:b/>
                <w:bCs/>
              </w:rPr>
              <w:t>Non</w:t>
            </w:r>
            <w:r w:rsidR="75C34578" w:rsidRPr="5CD7AEF5">
              <w:rPr>
                <w:rStyle w:val="normaltextrun"/>
                <w:rFonts w:ascii="Calibri" w:eastAsiaTheme="majorEastAsia" w:hAnsi="Calibri" w:cs="Calibri"/>
                <w:b/>
                <w:bCs/>
              </w:rPr>
              <w:t>-</w:t>
            </w:r>
            <w:r w:rsidRPr="00A41C59">
              <w:rPr>
                <w:rStyle w:val="normaltextrun"/>
                <w:rFonts w:ascii="Calibri" w:eastAsiaTheme="majorEastAsia" w:hAnsi="Calibri" w:cs="Calibri"/>
                <w:b/>
                <w:bCs/>
              </w:rPr>
              <w:t>compliance</w:t>
            </w:r>
          </w:p>
        </w:tc>
        <w:tc>
          <w:tcPr>
            <w:tcW w:w="3138" w:type="dxa"/>
            <w:shd w:val="clear" w:color="auto" w:fill="DEEAF6" w:themeFill="accent5" w:themeFillTint="33"/>
          </w:tcPr>
          <w:p w14:paraId="488E48B1" w14:textId="77777777" w:rsidR="00DC54FA" w:rsidRPr="00A41C59" w:rsidRDefault="00DC54FA" w:rsidP="00B334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2E74B5" w:themeColor="accent5" w:themeShade="BF"/>
              </w:rPr>
            </w:pPr>
            <w:r w:rsidRPr="00B3341D">
              <w:rPr>
                <w:rFonts w:ascii="Calibri" w:hAnsi="Calibri" w:cs="Calibri"/>
                <w:b/>
              </w:rPr>
              <w:t>Possible Evidence</w:t>
            </w:r>
          </w:p>
        </w:tc>
        <w:tc>
          <w:tcPr>
            <w:tcW w:w="3997" w:type="dxa"/>
            <w:shd w:val="clear" w:color="auto" w:fill="DEEAF6" w:themeFill="accent5" w:themeFillTint="33"/>
          </w:tcPr>
          <w:p w14:paraId="1587976E" w14:textId="77777777" w:rsidR="00DC54FA" w:rsidRPr="00A41C59" w:rsidRDefault="00DC54FA" w:rsidP="00B334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2E74B5" w:themeColor="accent5" w:themeShade="BF"/>
              </w:rPr>
            </w:pPr>
            <w:r w:rsidRPr="00B3341D">
              <w:rPr>
                <w:rFonts w:ascii="Calibri" w:hAnsi="Calibri" w:cs="Calibri"/>
                <w:b/>
              </w:rPr>
              <w:t>Possible Corrective Actions</w:t>
            </w:r>
          </w:p>
        </w:tc>
      </w:tr>
      <w:tr w:rsidR="00DC54FA" w:rsidRPr="00A41C59" w14:paraId="63E9B36B" w14:textId="77777777" w:rsidTr="00423443">
        <w:trPr>
          <w:trHeight w:val="300"/>
        </w:trPr>
        <w:tc>
          <w:tcPr>
            <w:tcW w:w="2518" w:type="dxa"/>
            <w:vMerge w:val="restart"/>
          </w:tcPr>
          <w:p w14:paraId="73B966D5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A41C59">
              <w:rPr>
                <w:rFonts w:ascii="Calibri" w:hAnsi="Calibri" w:cs="Calibri"/>
                <w:b/>
                <w:bCs/>
              </w:rPr>
              <w:t>Isolated:</w:t>
            </w:r>
          </w:p>
        </w:tc>
        <w:tc>
          <w:tcPr>
            <w:tcW w:w="3138" w:type="dxa"/>
          </w:tcPr>
          <w:p w14:paraId="2AAAEDAB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An isolated incident is specific and due to an individual isolated 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D0D0D" w:themeColor="text1" w:themeTint="F2"/>
              </w:rPr>
              <w:t>factor 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 </w:t>
            </w: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      </w:t>
            </w: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</w:tc>
        <w:tc>
          <w:tcPr>
            <w:tcW w:w="3997" w:type="dxa"/>
            <w:vMerge w:val="restart"/>
          </w:tcPr>
          <w:p w14:paraId="7A6C8F5C" w14:textId="22E9D58C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D0D0D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Correction of child specific noncompliance</w:t>
            </w: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  <w:p w14:paraId="31C4BF3F" w14:textId="3FAB09E2" w:rsidR="00DC54FA" w:rsidRPr="00A41C59" w:rsidRDefault="00DC54FA" w:rsidP="00B334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D0D0D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Submission of documentation that correction occurred (corrective verification process)</w:t>
            </w: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</w:tc>
      </w:tr>
      <w:tr w:rsidR="00DC54FA" w:rsidRPr="00A41C59" w14:paraId="3300E998" w14:textId="77777777" w:rsidTr="00423443">
        <w:trPr>
          <w:trHeight w:val="300"/>
        </w:trPr>
        <w:tc>
          <w:tcPr>
            <w:tcW w:w="2518" w:type="dxa"/>
            <w:vMerge/>
          </w:tcPr>
          <w:p w14:paraId="1795006B" w14:textId="77777777" w:rsidR="00DC54FA" w:rsidRPr="00A41C59" w:rsidRDefault="00DC54F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138" w:type="dxa"/>
          </w:tcPr>
          <w:p w14:paraId="4A3DB59A" w14:textId="7EAEFC60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Is identified in a data review to be across only one or a small </w:t>
            </w:r>
            <w:r w:rsidR="00EF73FD"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number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of children and only one staff member</w:t>
            </w:r>
          </w:p>
        </w:tc>
        <w:tc>
          <w:tcPr>
            <w:tcW w:w="3997" w:type="dxa"/>
            <w:vMerge/>
          </w:tcPr>
          <w:p w14:paraId="3C6CBFA5" w14:textId="77777777" w:rsidR="00DC54FA" w:rsidRPr="00A41C59" w:rsidRDefault="00DC54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</w:p>
        </w:tc>
      </w:tr>
      <w:tr w:rsidR="00DC54FA" w:rsidRPr="00A41C59" w14:paraId="67118697" w14:textId="77777777" w:rsidTr="00423443">
        <w:trPr>
          <w:trHeight w:val="1817"/>
        </w:trPr>
        <w:tc>
          <w:tcPr>
            <w:tcW w:w="2518" w:type="dxa"/>
            <w:vMerge/>
          </w:tcPr>
          <w:p w14:paraId="450E3F17" w14:textId="77777777" w:rsidR="00DC54FA" w:rsidRPr="00A41C59" w:rsidRDefault="00DC54F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138" w:type="dxa"/>
          </w:tcPr>
          <w:p w14:paraId="4E972B26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It has been corrected within 3 months since the date of non-compliance, through processes developed and implemented at the program or agency.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D0D0D" w:themeColor="text1" w:themeTint="F2"/>
              </w:rPr>
              <w:t> 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Training has been provided on these processes to all staff. </w:t>
            </w:r>
          </w:p>
        </w:tc>
        <w:tc>
          <w:tcPr>
            <w:tcW w:w="3997" w:type="dxa"/>
          </w:tcPr>
          <w:p w14:paraId="185F29D2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D0D0D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TA/Training and supervision from COS Specialist</w:t>
            </w: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  <w:p w14:paraId="15D42F0A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D0D0D"/>
              </w:rPr>
            </w:pP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OR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</w:t>
            </w:r>
          </w:p>
          <w:p w14:paraId="081D4CA2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Quality Improvement Plan </w:t>
            </w:r>
          </w:p>
        </w:tc>
      </w:tr>
      <w:tr w:rsidR="00DC54FA" w:rsidRPr="00A41C59" w14:paraId="09F0ADB6" w14:textId="77777777" w:rsidTr="00423443">
        <w:trPr>
          <w:trHeight w:val="300"/>
        </w:trPr>
        <w:tc>
          <w:tcPr>
            <w:tcW w:w="2518" w:type="dxa"/>
            <w:vMerge w:val="restart"/>
          </w:tcPr>
          <w:p w14:paraId="1588BBCA" w14:textId="33EE4A06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  <w:t>Systemic:</w:t>
            </w:r>
          </w:p>
        </w:tc>
        <w:tc>
          <w:tcPr>
            <w:tcW w:w="3138" w:type="dxa"/>
          </w:tcPr>
          <w:p w14:paraId="399900A9" w14:textId="7FB21D45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Noncompliance is inherent in overall systems, rather than due to a specific, individual, isolated factor.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D0D0D" w:themeColor="text1" w:themeTint="F2"/>
              </w:rPr>
              <w:t> 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 </w:t>
            </w: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</w:tc>
        <w:tc>
          <w:tcPr>
            <w:tcW w:w="3997" w:type="dxa"/>
            <w:vMerge w:val="restart"/>
          </w:tcPr>
          <w:p w14:paraId="3DBB29CA" w14:textId="6F19CFDB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D0D0D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Correction of child-specific noncompliance</w:t>
            </w:r>
            <w:r w:rsidRPr="5CD7AEF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     </w:t>
            </w:r>
          </w:p>
          <w:p w14:paraId="503EEE6B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D0D0D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AND </w:t>
            </w:r>
          </w:p>
          <w:p w14:paraId="194D5604" w14:textId="77777777" w:rsidR="00DC54FA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D0D0D" w:themeColor="text1" w:themeTint="F2"/>
              </w:rPr>
            </w:pPr>
            <w:r w:rsidRPr="00A41C59">
              <w:rPr>
                <w:rStyle w:val="normaltextrun"/>
                <w:rFonts w:ascii="Calibri" w:eastAsiaTheme="majorEastAsia" w:hAnsi="Calibri" w:cs="Calibri"/>
                <w:color w:val="0D0D0D" w:themeColor="text1" w:themeTint="F2"/>
              </w:rPr>
              <w:t xml:space="preserve">Formal written Corrective Action Plan (CAP) </w:t>
            </w:r>
          </w:p>
          <w:p w14:paraId="46E99472" w14:textId="77777777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D0D0D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D0D0D" w:themeColor="text1" w:themeTint="F2"/>
              </w:rPr>
              <w:t>Root Cause Analysis to identify underlying issues at program contributing to noncompliance</w:t>
            </w:r>
          </w:p>
        </w:tc>
      </w:tr>
      <w:tr w:rsidR="00DC54FA" w:rsidRPr="00A41C59" w14:paraId="4C1A6C67" w14:textId="77777777" w:rsidTr="00423443">
        <w:trPr>
          <w:trHeight w:val="586"/>
        </w:trPr>
        <w:tc>
          <w:tcPr>
            <w:tcW w:w="2518" w:type="dxa"/>
            <w:vMerge/>
          </w:tcPr>
          <w:p w14:paraId="7144DFDA" w14:textId="77777777" w:rsidR="00DC54FA" w:rsidRPr="00A41C59" w:rsidRDefault="00DC54FA">
            <w:pPr>
              <w:pStyle w:val="paragraph"/>
              <w:spacing w:before="0" w:after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14:paraId="7A4CABFF" w14:textId="7A92BF98" w:rsidR="00DC54FA" w:rsidRPr="00A41C59" w:rsidRDefault="00DC54FA" w:rsidP="00BB7D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Is identified in a data review to be across </w:t>
            </w:r>
            <w:r w:rsidR="0000733A"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many</w:t>
            </w:r>
            <w:r w:rsidRPr="5CD7AEF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children across multiple quarters of review, or multiple staff in the program</w:t>
            </w:r>
          </w:p>
        </w:tc>
        <w:tc>
          <w:tcPr>
            <w:tcW w:w="3997" w:type="dxa"/>
            <w:vMerge/>
          </w:tcPr>
          <w:p w14:paraId="6A6F54F0" w14:textId="77777777" w:rsidR="00DC54FA" w:rsidRPr="00A41C59" w:rsidRDefault="00DC54F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Calibri" w:eastAsiaTheme="majorEastAsia" w:hAnsi="Calibri" w:cs="Calibri"/>
                <w:color w:val="0D0D0D"/>
              </w:rPr>
            </w:pPr>
          </w:p>
        </w:tc>
      </w:tr>
    </w:tbl>
    <w:p w14:paraId="2CBD96DE" w14:textId="77777777" w:rsidR="00DC54FA" w:rsidRDefault="00DC54FA" w:rsidP="00BB7DD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eastAsiaTheme="majorEastAsia" w:hAnsi="Calibri" w:cs="Calibri"/>
          <w:color w:val="0D0D0D"/>
          <w:sz w:val="21"/>
          <w:szCs w:val="21"/>
        </w:rPr>
      </w:pPr>
    </w:p>
    <w:p w14:paraId="00518843" w14:textId="77777777" w:rsidR="00DC54FA" w:rsidRDefault="00DC54FA" w:rsidP="00BB7D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D0D0D"/>
        </w:rPr>
      </w:pPr>
      <w:r w:rsidRPr="5CD7AEF5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Notify the EIS program in writing of the noncompliance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</w:p>
    <w:p w14:paraId="52E51C00" w14:textId="5A691E1D" w:rsidR="00DC54FA" w:rsidRPr="00063D4A" w:rsidRDefault="00DC54FA" w:rsidP="00B3341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D0D0D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1. Notify the EIS program as soon as possible but no later than 90 days after the state concludes that the EIS program is noncompliant 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76C359FA" w14:textId="13650632" w:rsidR="5CD7AEF5" w:rsidRDefault="5CD7AEF5" w:rsidP="5CD7AEF5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  <w:color w:val="0D0D0D" w:themeColor="text1" w:themeTint="F2"/>
        </w:rPr>
      </w:pPr>
    </w:p>
    <w:p w14:paraId="3A70058B" w14:textId="77976AFE" w:rsidR="00DC54FA" w:rsidRDefault="00DC54FA" w:rsidP="00BB7D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a. Written notification must include:   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769169AE" w14:textId="77777777" w:rsidR="00DC54FA" w:rsidRPr="003625F2" w:rsidRDefault="00DC54FA" w:rsidP="00BB7D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A description of the identified noncompliance</w:t>
      </w:r>
    </w:p>
    <w:p w14:paraId="43901D4A" w14:textId="74E04FDB" w:rsidR="00DC54FA" w:rsidRPr="003625F2" w:rsidRDefault="00DC54FA" w:rsidP="00BB7D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The statutory or regulatory IDEA requirement(s) with which the LEA or EIS program or provider is in noncompliance</w:t>
      </w:r>
    </w:p>
    <w:p w14:paraId="0AC07B13" w14:textId="77777777" w:rsidR="00DC54FA" w:rsidRPr="003625F2" w:rsidRDefault="00DC54FA" w:rsidP="00BB7D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A description of the quantitative and/or qualitative data (i.e., information, supporting the State’s conclusion that there is noncompliance)</w:t>
      </w:r>
    </w:p>
    <w:p w14:paraId="153E3D8E" w14:textId="77777777" w:rsidR="00DC54FA" w:rsidRPr="003625F2" w:rsidRDefault="00DC54FA" w:rsidP="00BB7D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lastRenderedPageBreak/>
        <w:t>A statement that the noncompliance must be corrected as soon as possible, and in no case later than one year from the date of the State’s written notification of noncompliance</w:t>
      </w:r>
    </w:p>
    <w:p w14:paraId="0FCC262A" w14:textId="77777777" w:rsidR="00DC54FA" w:rsidRPr="0073417A" w:rsidRDefault="00DC54FA" w:rsidP="00BB7D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 xml:space="preserve">Any required corrective action(s); </w:t>
      </w:r>
    </w:p>
    <w:p w14:paraId="25E0C7DD" w14:textId="77777777" w:rsidR="00DC54FA" w:rsidRDefault="00DC54FA" w:rsidP="00BB7D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D7AEF5">
        <w:rPr>
          <w:rFonts w:ascii="Calibri" w:eastAsiaTheme="majorEastAsia" w:hAnsi="Calibri" w:cs="Calibri"/>
          <w:color w:val="000000" w:themeColor="text1"/>
        </w:rPr>
        <w:t>A timeline for submission of a corrective action plan or evidence of correction.</w:t>
      </w:r>
      <w:r w:rsidRPr="5CD7AEF5">
        <w:rPr>
          <w:rStyle w:val="normaltextrun"/>
          <w:rFonts w:ascii="Calibri" w:eastAsiaTheme="majorEastAsia" w:hAnsi="Calibri" w:cs="Calibri"/>
          <w:color w:val="000000" w:themeColor="text1"/>
        </w:rPr>
        <w:t> </w:t>
      </w:r>
      <w:r w:rsidRPr="5CD7AEF5">
        <w:rPr>
          <w:rStyle w:val="eop"/>
          <w:rFonts w:ascii="Calibri" w:eastAsiaTheme="majorEastAsia" w:hAnsi="Calibri" w:cs="Calibri"/>
          <w:color w:val="000000" w:themeColor="text1"/>
        </w:rPr>
        <w:t> </w:t>
      </w:r>
    </w:p>
    <w:p w14:paraId="52B0B565" w14:textId="77777777" w:rsidR="0052127F" w:rsidRDefault="0052127F" w:rsidP="00B3341D">
      <w:pPr>
        <w:spacing w:after="0" w:line="240" w:lineRule="auto"/>
      </w:pPr>
    </w:p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3132"/>
    <w:multiLevelType w:val="hybridMultilevel"/>
    <w:tmpl w:val="EFBA4A7E"/>
    <w:lvl w:ilvl="0" w:tplc="9118AF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8C12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2823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0E9A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5A24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3465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2C0C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7A9C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56E70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C57AA"/>
    <w:multiLevelType w:val="hybridMultilevel"/>
    <w:tmpl w:val="8E40BAB0"/>
    <w:lvl w:ilvl="0" w:tplc="4426C4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EA44D97A">
      <w:start w:val="1"/>
      <w:numFmt w:val="lowerLetter"/>
      <w:lvlText w:val="%2."/>
      <w:lvlJc w:val="left"/>
      <w:pPr>
        <w:ind w:left="1260" w:hanging="360"/>
      </w:pPr>
    </w:lvl>
    <w:lvl w:ilvl="2" w:tplc="B0B6B5DE" w:tentative="1">
      <w:start w:val="1"/>
      <w:numFmt w:val="lowerRoman"/>
      <w:lvlText w:val="%3."/>
      <w:lvlJc w:val="right"/>
      <w:pPr>
        <w:ind w:left="2160" w:hanging="180"/>
      </w:pPr>
    </w:lvl>
    <w:lvl w:ilvl="3" w:tplc="8FD8FBA6" w:tentative="1">
      <w:start w:val="1"/>
      <w:numFmt w:val="decimal"/>
      <w:lvlText w:val="%4."/>
      <w:lvlJc w:val="left"/>
      <w:pPr>
        <w:ind w:left="2880" w:hanging="360"/>
      </w:pPr>
    </w:lvl>
    <w:lvl w:ilvl="4" w:tplc="CCA690EC" w:tentative="1">
      <w:start w:val="1"/>
      <w:numFmt w:val="lowerLetter"/>
      <w:lvlText w:val="%5."/>
      <w:lvlJc w:val="left"/>
      <w:pPr>
        <w:ind w:left="3600" w:hanging="360"/>
      </w:pPr>
    </w:lvl>
    <w:lvl w:ilvl="5" w:tplc="29702D1C" w:tentative="1">
      <w:start w:val="1"/>
      <w:numFmt w:val="lowerRoman"/>
      <w:lvlText w:val="%6."/>
      <w:lvlJc w:val="right"/>
      <w:pPr>
        <w:ind w:left="4320" w:hanging="180"/>
      </w:pPr>
    </w:lvl>
    <w:lvl w:ilvl="6" w:tplc="F6ACDCA8" w:tentative="1">
      <w:start w:val="1"/>
      <w:numFmt w:val="decimal"/>
      <w:lvlText w:val="%7."/>
      <w:lvlJc w:val="left"/>
      <w:pPr>
        <w:ind w:left="5040" w:hanging="360"/>
      </w:pPr>
    </w:lvl>
    <w:lvl w:ilvl="7" w:tplc="92EE5D04" w:tentative="1">
      <w:start w:val="1"/>
      <w:numFmt w:val="lowerLetter"/>
      <w:lvlText w:val="%8."/>
      <w:lvlJc w:val="left"/>
      <w:pPr>
        <w:ind w:left="5760" w:hanging="360"/>
      </w:pPr>
    </w:lvl>
    <w:lvl w:ilvl="8" w:tplc="D9D6A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2DBF"/>
    <w:multiLevelType w:val="hybridMultilevel"/>
    <w:tmpl w:val="062C2296"/>
    <w:lvl w:ilvl="0" w:tplc="1C0E88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3E410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D27D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CC4D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4A9A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E3289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AEF7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201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F697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2DFCB5"/>
    <w:multiLevelType w:val="hybridMultilevel"/>
    <w:tmpl w:val="8D28B02E"/>
    <w:lvl w:ilvl="0" w:tplc="69C64FCC">
      <w:start w:val="1"/>
      <w:numFmt w:val="lowerLetter"/>
      <w:lvlText w:val="%1."/>
      <w:lvlJc w:val="left"/>
      <w:pPr>
        <w:ind w:left="720" w:hanging="360"/>
      </w:pPr>
    </w:lvl>
    <w:lvl w:ilvl="1" w:tplc="AB60F9DE">
      <w:start w:val="1"/>
      <w:numFmt w:val="lowerLetter"/>
      <w:lvlText w:val="%2."/>
      <w:lvlJc w:val="left"/>
      <w:pPr>
        <w:ind w:left="1440" w:hanging="360"/>
      </w:pPr>
    </w:lvl>
    <w:lvl w:ilvl="2" w:tplc="4F386DB8">
      <w:start w:val="1"/>
      <w:numFmt w:val="lowerRoman"/>
      <w:lvlText w:val="%3."/>
      <w:lvlJc w:val="right"/>
      <w:pPr>
        <w:ind w:left="2160" w:hanging="180"/>
      </w:pPr>
    </w:lvl>
    <w:lvl w:ilvl="3" w:tplc="A31E63AE">
      <w:start w:val="1"/>
      <w:numFmt w:val="decimal"/>
      <w:lvlText w:val="%4."/>
      <w:lvlJc w:val="left"/>
      <w:pPr>
        <w:ind w:left="2880" w:hanging="360"/>
      </w:pPr>
    </w:lvl>
    <w:lvl w:ilvl="4" w:tplc="7D1E689E">
      <w:start w:val="1"/>
      <w:numFmt w:val="lowerLetter"/>
      <w:lvlText w:val="%5."/>
      <w:lvlJc w:val="left"/>
      <w:pPr>
        <w:ind w:left="3600" w:hanging="360"/>
      </w:pPr>
    </w:lvl>
    <w:lvl w:ilvl="5" w:tplc="15F6C69E">
      <w:start w:val="1"/>
      <w:numFmt w:val="lowerRoman"/>
      <w:lvlText w:val="%6."/>
      <w:lvlJc w:val="right"/>
      <w:pPr>
        <w:ind w:left="4320" w:hanging="180"/>
      </w:pPr>
    </w:lvl>
    <w:lvl w:ilvl="6" w:tplc="53403DC2">
      <w:start w:val="1"/>
      <w:numFmt w:val="decimal"/>
      <w:lvlText w:val="%7."/>
      <w:lvlJc w:val="left"/>
      <w:pPr>
        <w:ind w:left="5040" w:hanging="360"/>
      </w:pPr>
    </w:lvl>
    <w:lvl w:ilvl="7" w:tplc="BEC62EF0">
      <w:start w:val="1"/>
      <w:numFmt w:val="lowerLetter"/>
      <w:lvlText w:val="%8."/>
      <w:lvlJc w:val="left"/>
      <w:pPr>
        <w:ind w:left="5760" w:hanging="360"/>
      </w:pPr>
    </w:lvl>
    <w:lvl w:ilvl="8" w:tplc="1004D708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6952">
    <w:abstractNumId w:val="2"/>
  </w:num>
  <w:num w:numId="2" w16cid:durableId="2083795634">
    <w:abstractNumId w:val="1"/>
  </w:num>
  <w:num w:numId="3" w16cid:durableId="1978950316">
    <w:abstractNumId w:val="0"/>
  </w:num>
  <w:num w:numId="4" w16cid:durableId="40017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4FA"/>
    <w:rsid w:val="0000733A"/>
    <w:rsid w:val="00057DFC"/>
    <w:rsid w:val="000830D2"/>
    <w:rsid w:val="000B7234"/>
    <w:rsid w:val="000D6D19"/>
    <w:rsid w:val="001A52D5"/>
    <w:rsid w:val="001B2837"/>
    <w:rsid w:val="001F6312"/>
    <w:rsid w:val="00423443"/>
    <w:rsid w:val="004D2ECC"/>
    <w:rsid w:val="004D3E98"/>
    <w:rsid w:val="005021C5"/>
    <w:rsid w:val="0052127F"/>
    <w:rsid w:val="005B7C30"/>
    <w:rsid w:val="00655DEA"/>
    <w:rsid w:val="006B675A"/>
    <w:rsid w:val="007B1DE2"/>
    <w:rsid w:val="008147FC"/>
    <w:rsid w:val="008B759E"/>
    <w:rsid w:val="009743BC"/>
    <w:rsid w:val="009A14F0"/>
    <w:rsid w:val="00A04AA8"/>
    <w:rsid w:val="00A63090"/>
    <w:rsid w:val="00AE715A"/>
    <w:rsid w:val="00B3341D"/>
    <w:rsid w:val="00B93266"/>
    <w:rsid w:val="00BB7DDD"/>
    <w:rsid w:val="00CB0851"/>
    <w:rsid w:val="00CE5407"/>
    <w:rsid w:val="00D1660A"/>
    <w:rsid w:val="00DC54FA"/>
    <w:rsid w:val="00E518DE"/>
    <w:rsid w:val="00EF73FD"/>
    <w:rsid w:val="00F94C65"/>
    <w:rsid w:val="00F95D93"/>
    <w:rsid w:val="01738F01"/>
    <w:rsid w:val="01DDC187"/>
    <w:rsid w:val="034518EE"/>
    <w:rsid w:val="03B2B3C5"/>
    <w:rsid w:val="0561BC67"/>
    <w:rsid w:val="097773A9"/>
    <w:rsid w:val="09E3705E"/>
    <w:rsid w:val="0E23E80C"/>
    <w:rsid w:val="0EC6EE80"/>
    <w:rsid w:val="0F277079"/>
    <w:rsid w:val="20B43F9B"/>
    <w:rsid w:val="2242948C"/>
    <w:rsid w:val="22A95DF4"/>
    <w:rsid w:val="253363BA"/>
    <w:rsid w:val="329E4857"/>
    <w:rsid w:val="34E5890E"/>
    <w:rsid w:val="387A726B"/>
    <w:rsid w:val="3BCE2609"/>
    <w:rsid w:val="42D314C1"/>
    <w:rsid w:val="4EC05D78"/>
    <w:rsid w:val="4ECF3537"/>
    <w:rsid w:val="4FEBA37C"/>
    <w:rsid w:val="524E9609"/>
    <w:rsid w:val="589D78F3"/>
    <w:rsid w:val="5CD7AEF5"/>
    <w:rsid w:val="61A79B81"/>
    <w:rsid w:val="63E1BDFA"/>
    <w:rsid w:val="65AA0810"/>
    <w:rsid w:val="67577D17"/>
    <w:rsid w:val="6F16257F"/>
    <w:rsid w:val="73330BD0"/>
    <w:rsid w:val="73994437"/>
    <w:rsid w:val="75C34578"/>
    <w:rsid w:val="75D57EE9"/>
    <w:rsid w:val="76307741"/>
    <w:rsid w:val="776C9731"/>
    <w:rsid w:val="7D0A43CC"/>
    <w:rsid w:val="7DBD33A0"/>
    <w:rsid w:val="7F00D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BB57"/>
  <w15:chartTrackingRefBased/>
  <w15:docId w15:val="{1B3F6102-1A73-4265-B0EC-C7F1788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F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CD7AEF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b/>
      <w:bCs/>
      <w:color w:val="1F4E79" w:themeColor="accent5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DC5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54FA"/>
    <w:rPr>
      <w:rFonts w:asciiTheme="majorHAnsi" w:eastAsiaTheme="majorEastAsia" w:hAnsiTheme="majorHAnsi" w:cstheme="majorBidi"/>
      <w:b/>
      <w:bCs/>
      <w:color w:val="1F4E79" w:themeColor="accent5" w:themeShade="80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4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4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4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4F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DC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C54FA"/>
  </w:style>
  <w:style w:type="character" w:customStyle="1" w:styleId="eop">
    <w:name w:val="eop"/>
    <w:basedOn w:val="DefaultParagraphFont"/>
    <w:rsid w:val="00DC54FA"/>
  </w:style>
  <w:style w:type="table" w:styleId="TableGrid">
    <w:name w:val="Table Grid"/>
    <w:basedOn w:val="TableNormal"/>
    <w:uiPriority w:val="39"/>
    <w:rsid w:val="00DC54F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DC54FA"/>
  </w:style>
  <w:style w:type="paragraph" w:styleId="Revision">
    <w:name w:val="Revision"/>
    <w:hidden/>
    <w:uiPriority w:val="99"/>
    <w:semiHidden/>
    <w:rsid w:val="007B1DE2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f585cda5f68478c85772a40e51703f67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e1410639e3dacc3639984fbb6068a12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37DB9F-8EC7-4677-AC14-BD4EE318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473DB-8D81-4C4B-9F26-FA5C063EE9FF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ED4754AD-CCD2-4615-B301-DC634E6D7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Aynsley Chaneco</cp:lastModifiedBy>
  <cp:revision>28</cp:revision>
  <dcterms:created xsi:type="dcterms:W3CDTF">2024-10-30T14:13:00Z</dcterms:created>
  <dcterms:modified xsi:type="dcterms:W3CDTF">2024-12-02T19:46:00Z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