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D1CD" w14:textId="3EE23C51" w:rsidR="00313AC5" w:rsidRPr="006B17F5" w:rsidRDefault="00313AC5" w:rsidP="00313AC5">
      <w:pPr>
        <w:rPr>
          <w:sz w:val="22"/>
          <w:szCs w:val="22"/>
        </w:rPr>
      </w:pPr>
      <w:r w:rsidRPr="006B17F5">
        <w:rPr>
          <w:sz w:val="22"/>
          <w:szCs w:val="22"/>
        </w:rPr>
        <w:t>Section</w:t>
      </w:r>
    </w:p>
    <w:p w14:paraId="0830CB24" w14:textId="77777777" w:rsidR="00A4036B" w:rsidRPr="006B17F5" w:rsidRDefault="00A4036B" w:rsidP="00313AC5">
      <w:pPr>
        <w:rPr>
          <w:sz w:val="22"/>
          <w:szCs w:val="22"/>
        </w:rPr>
      </w:pPr>
    </w:p>
    <w:p w14:paraId="61889D22" w14:textId="77777777" w:rsidR="00313AC5" w:rsidRPr="006B17F5" w:rsidRDefault="003B332D" w:rsidP="00313AC5">
      <w:pPr>
        <w:rPr>
          <w:sz w:val="22"/>
          <w:szCs w:val="22"/>
        </w:rPr>
      </w:pPr>
      <w:r w:rsidRPr="006B17F5">
        <w:rPr>
          <w:sz w:val="22"/>
          <w:szCs w:val="22"/>
        </w:rPr>
        <w:t>324</w:t>
      </w:r>
      <w:r w:rsidR="00313AC5" w:rsidRPr="006B17F5">
        <w:rPr>
          <w:sz w:val="22"/>
          <w:szCs w:val="22"/>
        </w:rPr>
        <w:t>.01:   General Provisions</w:t>
      </w:r>
    </w:p>
    <w:p w14:paraId="5100FE43" w14:textId="77777777" w:rsidR="00313AC5" w:rsidRPr="006B17F5" w:rsidRDefault="003B332D" w:rsidP="00313AC5">
      <w:pPr>
        <w:rPr>
          <w:sz w:val="22"/>
          <w:szCs w:val="22"/>
        </w:rPr>
      </w:pPr>
      <w:r w:rsidRPr="006B17F5">
        <w:rPr>
          <w:sz w:val="22"/>
          <w:szCs w:val="22"/>
        </w:rPr>
        <w:t>324</w:t>
      </w:r>
      <w:r w:rsidR="00313AC5" w:rsidRPr="006B17F5">
        <w:rPr>
          <w:sz w:val="22"/>
          <w:szCs w:val="22"/>
        </w:rPr>
        <w:t>.02:   General Definitions</w:t>
      </w:r>
    </w:p>
    <w:p w14:paraId="2E27332C" w14:textId="77777777" w:rsidR="009D774C" w:rsidRPr="006B17F5" w:rsidRDefault="003B332D" w:rsidP="00313AC5">
      <w:pPr>
        <w:rPr>
          <w:sz w:val="22"/>
          <w:szCs w:val="22"/>
        </w:rPr>
      </w:pPr>
      <w:r w:rsidRPr="006B17F5">
        <w:rPr>
          <w:sz w:val="22"/>
          <w:szCs w:val="22"/>
        </w:rPr>
        <w:t>324</w:t>
      </w:r>
      <w:r w:rsidR="009D774C" w:rsidRPr="006B17F5">
        <w:rPr>
          <w:sz w:val="22"/>
          <w:szCs w:val="22"/>
        </w:rPr>
        <w:t>.03:   Sources and Uses of Fund</w:t>
      </w:r>
    </w:p>
    <w:p w14:paraId="30E2E8DD" w14:textId="6BD52F5E" w:rsidR="00601A69" w:rsidRPr="006B17F5" w:rsidRDefault="003B332D" w:rsidP="00B23F35">
      <w:pPr>
        <w:ind w:left="821" w:hanging="821"/>
        <w:rPr>
          <w:sz w:val="22"/>
          <w:szCs w:val="22"/>
        </w:rPr>
      </w:pPr>
      <w:r w:rsidRPr="006B17F5">
        <w:rPr>
          <w:sz w:val="22"/>
          <w:szCs w:val="22"/>
        </w:rPr>
        <w:t>324</w:t>
      </w:r>
      <w:r w:rsidR="009D774C" w:rsidRPr="006B17F5">
        <w:rPr>
          <w:sz w:val="22"/>
          <w:szCs w:val="22"/>
        </w:rPr>
        <w:t>.04</w:t>
      </w:r>
      <w:r w:rsidR="00313AC5" w:rsidRPr="006B17F5">
        <w:rPr>
          <w:sz w:val="22"/>
          <w:szCs w:val="22"/>
        </w:rPr>
        <w:t>:  </w:t>
      </w:r>
      <w:r w:rsidR="009D774C" w:rsidRPr="006B17F5">
        <w:rPr>
          <w:sz w:val="22"/>
          <w:szCs w:val="22"/>
        </w:rPr>
        <w:t xml:space="preserve"> </w:t>
      </w:r>
      <w:r w:rsidR="00601A69" w:rsidRPr="006B17F5">
        <w:rPr>
          <w:rStyle w:val="Style11ptUnderline"/>
          <w:szCs w:val="22"/>
          <w:u w:val="none"/>
        </w:rPr>
        <w:t xml:space="preserve">Nonpublic </w:t>
      </w:r>
      <w:r w:rsidR="008D7897" w:rsidRPr="006B17F5">
        <w:rPr>
          <w:rStyle w:val="Style11ptUnderline"/>
          <w:szCs w:val="22"/>
          <w:u w:val="none"/>
        </w:rPr>
        <w:t>Ambulance Provider</w:t>
      </w:r>
      <w:r w:rsidR="00601A69" w:rsidRPr="006B17F5">
        <w:rPr>
          <w:rStyle w:val="Style11ptUnderline"/>
          <w:szCs w:val="22"/>
          <w:u w:val="none"/>
        </w:rPr>
        <w:t xml:space="preserve">’s Liability </w:t>
      </w:r>
      <w:r w:rsidR="00CC1824" w:rsidRPr="006B17F5">
        <w:rPr>
          <w:rStyle w:val="Style11ptUnderline"/>
          <w:szCs w:val="22"/>
          <w:u w:val="none"/>
        </w:rPr>
        <w:t xml:space="preserve">and Payment </w:t>
      </w:r>
      <w:r w:rsidR="00601A69" w:rsidRPr="006B17F5">
        <w:rPr>
          <w:rStyle w:val="Style11ptUnderline"/>
          <w:szCs w:val="22"/>
          <w:u w:val="none"/>
        </w:rPr>
        <w:t xml:space="preserve">to the </w:t>
      </w:r>
      <w:r w:rsidR="00601A69" w:rsidRPr="006B17F5">
        <w:rPr>
          <w:sz w:val="22"/>
          <w:szCs w:val="22"/>
        </w:rPr>
        <w:t>Nonpublic Ambulance Service Reimbursement</w:t>
      </w:r>
      <w:r w:rsidR="00157B4F" w:rsidRPr="006B17F5">
        <w:rPr>
          <w:sz w:val="22"/>
          <w:szCs w:val="22"/>
        </w:rPr>
        <w:t xml:space="preserve"> </w:t>
      </w:r>
      <w:r w:rsidR="00601A69" w:rsidRPr="006B17F5">
        <w:rPr>
          <w:sz w:val="22"/>
          <w:szCs w:val="22"/>
        </w:rPr>
        <w:t>Trust Fund</w:t>
      </w:r>
    </w:p>
    <w:p w14:paraId="0C0C43E0" w14:textId="11B9EFB0" w:rsidR="00313AC5" w:rsidRPr="006B17F5" w:rsidRDefault="003B332D" w:rsidP="009D774C">
      <w:pPr>
        <w:rPr>
          <w:sz w:val="22"/>
          <w:szCs w:val="22"/>
        </w:rPr>
      </w:pPr>
      <w:r w:rsidRPr="006B17F5">
        <w:rPr>
          <w:sz w:val="22"/>
          <w:szCs w:val="22"/>
        </w:rPr>
        <w:t>324</w:t>
      </w:r>
      <w:r w:rsidR="00974BB1" w:rsidRPr="006B17F5">
        <w:rPr>
          <w:sz w:val="22"/>
          <w:szCs w:val="22"/>
        </w:rPr>
        <w:t>.0</w:t>
      </w:r>
      <w:r w:rsidR="009B1AAA" w:rsidRPr="006B17F5">
        <w:rPr>
          <w:sz w:val="22"/>
          <w:szCs w:val="22"/>
        </w:rPr>
        <w:t>5</w:t>
      </w:r>
      <w:r w:rsidR="00974BB1" w:rsidRPr="006B17F5">
        <w:rPr>
          <w:sz w:val="22"/>
          <w:szCs w:val="22"/>
        </w:rPr>
        <w:t xml:space="preserve">:   </w:t>
      </w:r>
      <w:r w:rsidR="0005377F" w:rsidRPr="006B17F5">
        <w:rPr>
          <w:sz w:val="22"/>
          <w:szCs w:val="22"/>
        </w:rPr>
        <w:t xml:space="preserve">Filing and </w:t>
      </w:r>
      <w:r w:rsidR="00974BB1" w:rsidRPr="006B17F5">
        <w:rPr>
          <w:sz w:val="22"/>
          <w:szCs w:val="22"/>
        </w:rPr>
        <w:t>Reporting Requirements</w:t>
      </w:r>
      <w:r w:rsidR="00313AC5" w:rsidRPr="006B17F5">
        <w:rPr>
          <w:sz w:val="22"/>
          <w:szCs w:val="22"/>
        </w:rPr>
        <w:t> </w:t>
      </w:r>
    </w:p>
    <w:p w14:paraId="4D9496D4" w14:textId="77777777" w:rsidR="00313AC5" w:rsidRPr="006B17F5" w:rsidRDefault="003B332D" w:rsidP="00313AC5">
      <w:pPr>
        <w:rPr>
          <w:sz w:val="22"/>
          <w:szCs w:val="22"/>
        </w:rPr>
      </w:pPr>
      <w:r w:rsidRPr="006B17F5">
        <w:rPr>
          <w:sz w:val="22"/>
          <w:szCs w:val="22"/>
        </w:rPr>
        <w:t>324</w:t>
      </w:r>
      <w:r w:rsidR="00974BB1" w:rsidRPr="006B17F5">
        <w:rPr>
          <w:sz w:val="22"/>
          <w:szCs w:val="22"/>
        </w:rPr>
        <w:t>.0</w:t>
      </w:r>
      <w:r w:rsidR="009B1AAA" w:rsidRPr="006B17F5">
        <w:rPr>
          <w:sz w:val="22"/>
          <w:szCs w:val="22"/>
        </w:rPr>
        <w:t>6</w:t>
      </w:r>
      <w:r w:rsidR="00313AC5" w:rsidRPr="006B17F5">
        <w:rPr>
          <w:sz w:val="22"/>
          <w:szCs w:val="22"/>
        </w:rPr>
        <w:t>:   </w:t>
      </w:r>
      <w:r w:rsidR="004B7C96" w:rsidRPr="006B17F5">
        <w:rPr>
          <w:sz w:val="22"/>
          <w:szCs w:val="22"/>
        </w:rPr>
        <w:t>Noncompliance</w:t>
      </w:r>
    </w:p>
    <w:p w14:paraId="586B3488" w14:textId="77777777" w:rsidR="004B7C96" w:rsidRPr="006B17F5" w:rsidRDefault="003B332D" w:rsidP="00313AC5">
      <w:pPr>
        <w:rPr>
          <w:sz w:val="22"/>
          <w:szCs w:val="22"/>
        </w:rPr>
      </w:pPr>
      <w:r w:rsidRPr="006B17F5">
        <w:rPr>
          <w:sz w:val="22"/>
          <w:szCs w:val="22"/>
        </w:rPr>
        <w:t>324</w:t>
      </w:r>
      <w:r w:rsidR="004B7C96" w:rsidRPr="006B17F5">
        <w:rPr>
          <w:sz w:val="22"/>
          <w:szCs w:val="22"/>
        </w:rPr>
        <w:t>.0</w:t>
      </w:r>
      <w:r w:rsidR="009B1AAA" w:rsidRPr="006B17F5">
        <w:rPr>
          <w:sz w:val="22"/>
          <w:szCs w:val="22"/>
        </w:rPr>
        <w:t>7</w:t>
      </w:r>
      <w:r w:rsidR="004B7C96" w:rsidRPr="006B17F5">
        <w:rPr>
          <w:sz w:val="22"/>
          <w:szCs w:val="22"/>
        </w:rPr>
        <w:t>:   Severability</w:t>
      </w:r>
    </w:p>
    <w:p w14:paraId="23CB265E" w14:textId="77777777" w:rsidR="00313AC5" w:rsidRPr="006B17F5" w:rsidRDefault="00313AC5" w:rsidP="00313AC5">
      <w:pPr>
        <w:rPr>
          <w:sz w:val="22"/>
          <w:szCs w:val="22"/>
        </w:rPr>
      </w:pPr>
    </w:p>
    <w:p w14:paraId="438B9946" w14:textId="4C483BE8" w:rsidR="00313AC5" w:rsidRPr="006B17F5" w:rsidRDefault="003B332D" w:rsidP="00387BBA">
      <w:pPr>
        <w:rPr>
          <w:sz w:val="22"/>
          <w:szCs w:val="22"/>
        </w:rPr>
      </w:pPr>
      <w:r w:rsidRPr="006B17F5">
        <w:rPr>
          <w:sz w:val="22"/>
          <w:szCs w:val="22"/>
          <w:u w:val="single"/>
        </w:rPr>
        <w:t>324</w:t>
      </w:r>
      <w:r w:rsidR="00313AC5" w:rsidRPr="006B17F5">
        <w:rPr>
          <w:sz w:val="22"/>
          <w:szCs w:val="22"/>
          <w:u w:val="single"/>
        </w:rPr>
        <w:t>.01:  General Provisions</w:t>
      </w:r>
    </w:p>
    <w:p w14:paraId="5D83E3F3" w14:textId="77777777" w:rsidR="00313AC5" w:rsidRPr="006B17F5" w:rsidRDefault="00313AC5" w:rsidP="00313AC5">
      <w:pPr>
        <w:rPr>
          <w:sz w:val="22"/>
          <w:szCs w:val="22"/>
        </w:rPr>
      </w:pPr>
    </w:p>
    <w:p w14:paraId="27CCD318" w14:textId="4591FA36" w:rsidR="00313AC5" w:rsidRPr="006B17F5" w:rsidRDefault="00313AC5" w:rsidP="0005377F">
      <w:pPr>
        <w:ind w:left="720"/>
        <w:rPr>
          <w:sz w:val="22"/>
          <w:szCs w:val="22"/>
        </w:rPr>
      </w:pPr>
      <w:r w:rsidRPr="006B17F5">
        <w:rPr>
          <w:sz w:val="22"/>
          <w:szCs w:val="22"/>
        </w:rPr>
        <w:t>(1)</w:t>
      </w:r>
      <w:r w:rsidR="00440AFE" w:rsidRPr="006B17F5">
        <w:rPr>
          <w:sz w:val="22"/>
          <w:szCs w:val="22"/>
        </w:rPr>
        <w:t xml:space="preserve"> </w:t>
      </w:r>
      <w:r w:rsidRPr="006B17F5">
        <w:rPr>
          <w:sz w:val="22"/>
          <w:szCs w:val="22"/>
        </w:rPr>
        <w:t> </w:t>
      </w:r>
      <w:r w:rsidRPr="006B17F5">
        <w:rPr>
          <w:sz w:val="22"/>
          <w:szCs w:val="22"/>
          <w:u w:val="single"/>
        </w:rPr>
        <w:t>Scope and Purpose</w:t>
      </w:r>
      <w:r w:rsidRPr="006B17F5">
        <w:rPr>
          <w:sz w:val="22"/>
          <w:szCs w:val="22"/>
        </w:rPr>
        <w:t xml:space="preserve">.  101 CMR </w:t>
      </w:r>
      <w:r w:rsidR="003B332D" w:rsidRPr="006B17F5">
        <w:rPr>
          <w:sz w:val="22"/>
          <w:szCs w:val="22"/>
        </w:rPr>
        <w:t>324</w:t>
      </w:r>
      <w:r w:rsidR="00DF3DA3" w:rsidRPr="006B17F5">
        <w:rPr>
          <w:sz w:val="22"/>
          <w:szCs w:val="22"/>
        </w:rPr>
        <w:t>.00 govern</w:t>
      </w:r>
      <w:r w:rsidRPr="006B17F5">
        <w:rPr>
          <w:sz w:val="22"/>
          <w:szCs w:val="22"/>
        </w:rPr>
        <w:t xml:space="preserve">s the </w:t>
      </w:r>
      <w:r w:rsidR="00D1168F" w:rsidRPr="006B17F5">
        <w:rPr>
          <w:sz w:val="22"/>
          <w:szCs w:val="22"/>
        </w:rPr>
        <w:t xml:space="preserve">Nonpublic </w:t>
      </w:r>
      <w:r w:rsidR="008D7897" w:rsidRPr="006B17F5">
        <w:rPr>
          <w:sz w:val="22"/>
          <w:szCs w:val="22"/>
        </w:rPr>
        <w:t xml:space="preserve">Ambulance </w:t>
      </w:r>
      <w:r w:rsidR="00157B4F" w:rsidRPr="006B17F5">
        <w:rPr>
          <w:sz w:val="22"/>
          <w:szCs w:val="22"/>
        </w:rPr>
        <w:t xml:space="preserve">Service </w:t>
      </w:r>
      <w:r w:rsidR="00D1168F" w:rsidRPr="006B17F5">
        <w:rPr>
          <w:sz w:val="22"/>
          <w:szCs w:val="22"/>
        </w:rPr>
        <w:t>Reimbursement Trust Fund</w:t>
      </w:r>
      <w:r w:rsidRPr="006B17F5">
        <w:rPr>
          <w:sz w:val="22"/>
          <w:szCs w:val="22"/>
        </w:rPr>
        <w:t xml:space="preserve"> </w:t>
      </w:r>
      <w:r w:rsidR="00157B4F" w:rsidRPr="006B17F5">
        <w:rPr>
          <w:sz w:val="22"/>
          <w:szCs w:val="22"/>
        </w:rPr>
        <w:t xml:space="preserve">assessment </w:t>
      </w:r>
      <w:r w:rsidRPr="006B17F5">
        <w:rPr>
          <w:sz w:val="22"/>
          <w:szCs w:val="22"/>
        </w:rPr>
        <w:t>and funding</w:t>
      </w:r>
      <w:r w:rsidR="00157B4F" w:rsidRPr="006B17F5">
        <w:rPr>
          <w:sz w:val="22"/>
          <w:szCs w:val="22"/>
        </w:rPr>
        <w:t xml:space="preserve">.  </w:t>
      </w:r>
    </w:p>
    <w:p w14:paraId="77CB162F" w14:textId="77777777" w:rsidR="00313AC5" w:rsidRPr="006B17F5" w:rsidRDefault="00313AC5" w:rsidP="00313AC5">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451EFA71" w14:textId="708EA874" w:rsidR="00313AC5" w:rsidRPr="006B17F5" w:rsidRDefault="00313AC5" w:rsidP="005C5A98">
      <w:pPr>
        <w:suppressAutoHyphens/>
        <w:ind w:left="720"/>
        <w:rPr>
          <w:sz w:val="22"/>
          <w:szCs w:val="22"/>
        </w:rPr>
      </w:pPr>
      <w:r w:rsidRPr="006B17F5">
        <w:rPr>
          <w:sz w:val="22"/>
          <w:szCs w:val="22"/>
        </w:rPr>
        <w:t>(</w:t>
      </w:r>
      <w:r w:rsidR="00731C12" w:rsidRPr="006B17F5">
        <w:rPr>
          <w:sz w:val="22"/>
          <w:szCs w:val="22"/>
        </w:rPr>
        <w:t>2</w:t>
      </w:r>
      <w:r w:rsidRPr="006B17F5">
        <w:rPr>
          <w:sz w:val="22"/>
          <w:szCs w:val="22"/>
        </w:rPr>
        <w:t>)</w:t>
      </w:r>
      <w:r w:rsidR="00440AFE" w:rsidRPr="006B17F5">
        <w:rPr>
          <w:sz w:val="22"/>
          <w:szCs w:val="22"/>
        </w:rPr>
        <w:t xml:space="preserve"> </w:t>
      </w:r>
      <w:r w:rsidRPr="006B17F5">
        <w:rPr>
          <w:sz w:val="22"/>
          <w:szCs w:val="22"/>
        </w:rPr>
        <w:t> </w:t>
      </w:r>
      <w:r w:rsidRPr="006B17F5">
        <w:rPr>
          <w:sz w:val="22"/>
          <w:szCs w:val="22"/>
          <w:u w:val="single"/>
        </w:rPr>
        <w:t>Administrative Bulletins</w:t>
      </w:r>
      <w:r w:rsidRPr="006B17F5">
        <w:rPr>
          <w:sz w:val="22"/>
          <w:szCs w:val="22"/>
        </w:rPr>
        <w:t xml:space="preserve">.  EOHHS may issue administrative bulletins to clarify its policy on and understanding of substantive provisions of 101 CMR </w:t>
      </w:r>
      <w:r w:rsidR="003B332D" w:rsidRPr="006B17F5">
        <w:rPr>
          <w:sz w:val="22"/>
          <w:szCs w:val="22"/>
        </w:rPr>
        <w:t>324</w:t>
      </w:r>
      <w:r w:rsidRPr="006B17F5">
        <w:rPr>
          <w:sz w:val="22"/>
          <w:szCs w:val="22"/>
        </w:rPr>
        <w:t>.00.</w:t>
      </w:r>
    </w:p>
    <w:p w14:paraId="507A9425" w14:textId="4A17E985" w:rsidR="00313AC5" w:rsidRPr="006B17F5" w:rsidRDefault="00313AC5" w:rsidP="00313AC5">
      <w:pPr>
        <w:ind w:left="720"/>
        <w:rPr>
          <w:sz w:val="22"/>
          <w:szCs w:val="22"/>
        </w:rPr>
      </w:pPr>
    </w:p>
    <w:p w14:paraId="126676C0" w14:textId="797F8097" w:rsidR="00813EA9" w:rsidRPr="006B17F5" w:rsidRDefault="00813EA9" w:rsidP="00313AC5">
      <w:pPr>
        <w:ind w:left="720"/>
        <w:rPr>
          <w:sz w:val="22"/>
          <w:szCs w:val="22"/>
        </w:rPr>
      </w:pPr>
      <w:r w:rsidRPr="006B17F5">
        <w:rPr>
          <w:sz w:val="22"/>
          <w:szCs w:val="22"/>
        </w:rPr>
        <w:t xml:space="preserve">(3) </w:t>
      </w:r>
      <w:r w:rsidR="009D5AC2" w:rsidRPr="006B17F5">
        <w:rPr>
          <w:sz w:val="22"/>
          <w:szCs w:val="22"/>
        </w:rPr>
        <w:t xml:space="preserve"> </w:t>
      </w:r>
      <w:r w:rsidR="008C55A5" w:rsidRPr="006B17F5">
        <w:rPr>
          <w:sz w:val="22"/>
          <w:szCs w:val="22"/>
          <w:u w:val="single"/>
        </w:rPr>
        <w:t xml:space="preserve">Applicable </w:t>
      </w:r>
      <w:r w:rsidR="00C9215B" w:rsidRPr="006B17F5">
        <w:rPr>
          <w:sz w:val="22"/>
          <w:szCs w:val="22"/>
          <w:u w:val="single"/>
        </w:rPr>
        <w:t>Assessment Period</w:t>
      </w:r>
      <w:r w:rsidRPr="006B17F5">
        <w:rPr>
          <w:sz w:val="22"/>
          <w:szCs w:val="22"/>
        </w:rPr>
        <w:t xml:space="preserve">. </w:t>
      </w:r>
      <w:r w:rsidR="009D5AC2" w:rsidRPr="006B17F5">
        <w:rPr>
          <w:sz w:val="22"/>
          <w:szCs w:val="22"/>
        </w:rPr>
        <w:t xml:space="preserve"> </w:t>
      </w:r>
      <w:r w:rsidRPr="006B17F5">
        <w:rPr>
          <w:sz w:val="22"/>
          <w:szCs w:val="22"/>
        </w:rPr>
        <w:t>Assessme</w:t>
      </w:r>
      <w:r w:rsidR="009D5AC2" w:rsidRPr="006B17F5">
        <w:rPr>
          <w:sz w:val="22"/>
          <w:szCs w:val="22"/>
        </w:rPr>
        <w:t>n</w:t>
      </w:r>
      <w:r w:rsidRPr="006B17F5">
        <w:rPr>
          <w:sz w:val="22"/>
          <w:szCs w:val="22"/>
        </w:rPr>
        <w:t xml:space="preserve">t described in 101 CMR 324.00 is </w:t>
      </w:r>
      <w:r w:rsidR="008C55A5" w:rsidRPr="006B17F5">
        <w:rPr>
          <w:sz w:val="22"/>
          <w:szCs w:val="22"/>
        </w:rPr>
        <w:t xml:space="preserve">applicable for </w:t>
      </w:r>
      <w:r w:rsidRPr="006B17F5">
        <w:rPr>
          <w:sz w:val="22"/>
          <w:szCs w:val="22"/>
        </w:rPr>
        <w:t>periods on or after July 1, 2021.</w:t>
      </w:r>
    </w:p>
    <w:p w14:paraId="0AB6D020" w14:textId="77777777" w:rsidR="00813EA9" w:rsidRPr="006B17F5" w:rsidRDefault="00813EA9" w:rsidP="00313AC5">
      <w:pPr>
        <w:ind w:left="720"/>
        <w:rPr>
          <w:sz w:val="22"/>
          <w:szCs w:val="22"/>
        </w:rPr>
      </w:pPr>
    </w:p>
    <w:p w14:paraId="09923A25" w14:textId="0A2F14C4" w:rsidR="00313AC5" w:rsidRPr="006B17F5" w:rsidRDefault="003B332D" w:rsidP="00313AC5">
      <w:pPr>
        <w:rPr>
          <w:sz w:val="22"/>
          <w:szCs w:val="22"/>
        </w:rPr>
      </w:pPr>
      <w:r w:rsidRPr="006B17F5">
        <w:rPr>
          <w:sz w:val="22"/>
          <w:szCs w:val="22"/>
          <w:u w:val="single"/>
        </w:rPr>
        <w:t>324</w:t>
      </w:r>
      <w:r w:rsidR="00313AC5" w:rsidRPr="006B17F5">
        <w:rPr>
          <w:sz w:val="22"/>
          <w:szCs w:val="22"/>
          <w:u w:val="single"/>
        </w:rPr>
        <w:t>.02:  General Definitions</w:t>
      </w:r>
    </w:p>
    <w:p w14:paraId="49CD43BB" w14:textId="77777777" w:rsidR="00313AC5" w:rsidRPr="006B17F5" w:rsidRDefault="00313AC5" w:rsidP="00313AC5">
      <w:pPr>
        <w:rPr>
          <w:sz w:val="22"/>
          <w:szCs w:val="22"/>
        </w:rPr>
      </w:pPr>
    </w:p>
    <w:p w14:paraId="62AC2FCD" w14:textId="6503E53A" w:rsidR="00313AC5" w:rsidRPr="006B17F5" w:rsidRDefault="00313AC5" w:rsidP="00440AFE">
      <w:pPr>
        <w:ind w:left="720" w:firstLine="360"/>
        <w:rPr>
          <w:sz w:val="22"/>
          <w:szCs w:val="22"/>
        </w:rPr>
      </w:pPr>
      <w:r w:rsidRPr="006B17F5">
        <w:rPr>
          <w:sz w:val="22"/>
          <w:szCs w:val="22"/>
        </w:rPr>
        <w:t xml:space="preserve">As used in 101 CMR </w:t>
      </w:r>
      <w:r w:rsidR="003B332D" w:rsidRPr="006B17F5">
        <w:rPr>
          <w:sz w:val="22"/>
          <w:szCs w:val="22"/>
        </w:rPr>
        <w:t>324</w:t>
      </w:r>
      <w:r w:rsidRPr="006B17F5">
        <w:rPr>
          <w:sz w:val="22"/>
          <w:szCs w:val="22"/>
        </w:rPr>
        <w:t>.00, terms have the meaning</w:t>
      </w:r>
      <w:r w:rsidR="006D690E" w:rsidRPr="006B17F5">
        <w:rPr>
          <w:sz w:val="22"/>
          <w:szCs w:val="22"/>
        </w:rPr>
        <w:t>s</w:t>
      </w:r>
      <w:r w:rsidRPr="006B17F5">
        <w:rPr>
          <w:sz w:val="22"/>
          <w:szCs w:val="22"/>
        </w:rPr>
        <w:t xml:space="preserve"> set forth in 101 CMR </w:t>
      </w:r>
      <w:r w:rsidR="003B332D" w:rsidRPr="006B17F5">
        <w:rPr>
          <w:sz w:val="22"/>
          <w:szCs w:val="22"/>
        </w:rPr>
        <w:t>324</w:t>
      </w:r>
      <w:r w:rsidRPr="006B17F5">
        <w:rPr>
          <w:sz w:val="22"/>
          <w:szCs w:val="22"/>
        </w:rPr>
        <w:t>.02</w:t>
      </w:r>
      <w:r w:rsidR="00CC713C" w:rsidRPr="006B17F5">
        <w:rPr>
          <w:sz w:val="22"/>
          <w:szCs w:val="22"/>
        </w:rPr>
        <w:t>, except where the context clearly indicates otherwise</w:t>
      </w:r>
      <w:r w:rsidRPr="006B17F5">
        <w:rPr>
          <w:sz w:val="22"/>
          <w:szCs w:val="22"/>
        </w:rPr>
        <w:t>.</w:t>
      </w:r>
    </w:p>
    <w:p w14:paraId="02B2C7A2" w14:textId="77777777" w:rsidR="00A040E7" w:rsidRPr="006B17F5" w:rsidRDefault="00A040E7" w:rsidP="00A040E7">
      <w:pPr>
        <w:rPr>
          <w:sz w:val="22"/>
          <w:szCs w:val="22"/>
        </w:rPr>
      </w:pPr>
    </w:p>
    <w:p w14:paraId="1FA14481" w14:textId="617DCBCB" w:rsidR="007308B3" w:rsidRPr="006B17F5" w:rsidRDefault="007308B3" w:rsidP="007F2CFF">
      <w:pPr>
        <w:ind w:left="720"/>
        <w:rPr>
          <w:color w:val="333333"/>
          <w:sz w:val="22"/>
          <w:szCs w:val="22"/>
          <w:shd w:val="clear" w:color="auto" w:fill="FFFFFF"/>
        </w:rPr>
      </w:pPr>
      <w:r w:rsidRPr="006B17F5">
        <w:rPr>
          <w:color w:val="333333"/>
          <w:sz w:val="22"/>
          <w:szCs w:val="22"/>
          <w:u w:val="single"/>
          <w:shd w:val="clear" w:color="auto" w:fill="FFFFFF"/>
        </w:rPr>
        <w:t xml:space="preserve">Ambulance </w:t>
      </w:r>
      <w:r w:rsidR="00601A69" w:rsidRPr="006B17F5">
        <w:rPr>
          <w:color w:val="333333"/>
          <w:sz w:val="22"/>
          <w:szCs w:val="22"/>
          <w:u w:val="single"/>
          <w:shd w:val="clear" w:color="auto" w:fill="FFFFFF"/>
        </w:rPr>
        <w:t>S</w:t>
      </w:r>
      <w:r w:rsidRPr="006B17F5">
        <w:rPr>
          <w:color w:val="333333"/>
          <w:sz w:val="22"/>
          <w:szCs w:val="22"/>
          <w:u w:val="single"/>
          <w:shd w:val="clear" w:color="auto" w:fill="FFFFFF"/>
        </w:rPr>
        <w:t>ervice</w:t>
      </w:r>
      <w:r w:rsidRPr="006B17F5">
        <w:rPr>
          <w:color w:val="333333"/>
          <w:sz w:val="22"/>
          <w:szCs w:val="22"/>
          <w:shd w:val="clear" w:color="auto" w:fill="FFFFFF"/>
        </w:rPr>
        <w:t xml:space="preserve">.  </w:t>
      </w:r>
      <w:r w:rsidR="00536122" w:rsidRPr="006B17F5">
        <w:rPr>
          <w:color w:val="333333"/>
          <w:sz w:val="22"/>
          <w:szCs w:val="22"/>
          <w:shd w:val="clear" w:color="auto" w:fill="FFFFFF"/>
        </w:rPr>
        <w:t xml:space="preserve">Ambulance service </w:t>
      </w:r>
      <w:r w:rsidRPr="006B17F5">
        <w:rPr>
          <w:color w:val="333333"/>
          <w:sz w:val="22"/>
          <w:szCs w:val="22"/>
          <w:shd w:val="clear" w:color="auto" w:fill="FFFFFF"/>
        </w:rPr>
        <w:t xml:space="preserve">as defined in </w:t>
      </w:r>
      <w:r w:rsidR="00536122" w:rsidRPr="006B17F5">
        <w:rPr>
          <w:color w:val="333333"/>
          <w:sz w:val="22"/>
          <w:szCs w:val="22"/>
          <w:shd w:val="clear" w:color="auto" w:fill="FFFFFF"/>
        </w:rPr>
        <w:t>M.G.L. c.</w:t>
      </w:r>
      <w:r w:rsidRPr="006B17F5">
        <w:rPr>
          <w:color w:val="333333"/>
          <w:sz w:val="22"/>
          <w:szCs w:val="22"/>
          <w:shd w:val="clear" w:color="auto" w:fill="FFFFFF"/>
        </w:rPr>
        <w:t xml:space="preserve"> 111C</w:t>
      </w:r>
      <w:r w:rsidR="00536122" w:rsidRPr="006B17F5">
        <w:rPr>
          <w:color w:val="333333"/>
          <w:sz w:val="22"/>
          <w:szCs w:val="22"/>
          <w:shd w:val="clear" w:color="auto" w:fill="FFFFFF"/>
        </w:rPr>
        <w:t xml:space="preserve"> § 1</w:t>
      </w:r>
      <w:r w:rsidRPr="006B17F5">
        <w:rPr>
          <w:color w:val="333333"/>
          <w:sz w:val="22"/>
          <w:szCs w:val="22"/>
          <w:shd w:val="clear" w:color="auto" w:fill="FFFFFF"/>
        </w:rPr>
        <w:t>.</w:t>
      </w:r>
    </w:p>
    <w:p w14:paraId="08CDDA9E" w14:textId="77777777" w:rsidR="00A040E7" w:rsidRPr="006B17F5" w:rsidRDefault="00A040E7" w:rsidP="007F2CFF">
      <w:pPr>
        <w:ind w:left="720"/>
        <w:rPr>
          <w:sz w:val="22"/>
          <w:szCs w:val="22"/>
          <w:u w:val="single"/>
        </w:rPr>
      </w:pPr>
    </w:p>
    <w:p w14:paraId="5C488A08" w14:textId="5937EBFC" w:rsidR="003D79AA" w:rsidRPr="006B17F5" w:rsidRDefault="003D79AA" w:rsidP="005C5A98">
      <w:pPr>
        <w:ind w:left="720"/>
        <w:outlineLvl w:val="0"/>
        <w:rPr>
          <w:sz w:val="22"/>
          <w:szCs w:val="22"/>
        </w:rPr>
      </w:pPr>
      <w:r w:rsidRPr="006B17F5">
        <w:rPr>
          <w:sz w:val="22"/>
          <w:szCs w:val="22"/>
          <w:u w:val="single"/>
        </w:rPr>
        <w:t>Ambulance Service Cost Report</w:t>
      </w:r>
      <w:r w:rsidRPr="006B17F5">
        <w:rPr>
          <w:sz w:val="22"/>
          <w:szCs w:val="22"/>
        </w:rPr>
        <w:t xml:space="preserve">.  The Ambulance Service Report of Costs, Revenues, and Statistics reported to the Center pursuant to 957 CMR </w:t>
      </w:r>
      <w:r w:rsidR="008D7897" w:rsidRPr="006B17F5">
        <w:rPr>
          <w:sz w:val="22"/>
          <w:szCs w:val="22"/>
        </w:rPr>
        <w:t>6</w:t>
      </w:r>
      <w:r w:rsidRPr="006B17F5">
        <w:rPr>
          <w:sz w:val="22"/>
          <w:szCs w:val="22"/>
        </w:rPr>
        <w:t xml:space="preserve">.00:  </w:t>
      </w:r>
      <w:r w:rsidR="008D7897" w:rsidRPr="006B17F5">
        <w:rPr>
          <w:i/>
          <w:sz w:val="22"/>
          <w:szCs w:val="22"/>
        </w:rPr>
        <w:t>Cost</w:t>
      </w:r>
      <w:r w:rsidRPr="006B17F5">
        <w:rPr>
          <w:i/>
          <w:sz w:val="22"/>
          <w:szCs w:val="22"/>
        </w:rPr>
        <w:t xml:space="preserve"> Reporting Requirements.</w:t>
      </w:r>
      <w:r w:rsidRPr="006B17F5">
        <w:rPr>
          <w:sz w:val="22"/>
          <w:szCs w:val="22"/>
        </w:rPr>
        <w:t xml:space="preserve">  </w:t>
      </w:r>
    </w:p>
    <w:p w14:paraId="71100249" w14:textId="77777777" w:rsidR="005C5A98" w:rsidRPr="006B17F5" w:rsidRDefault="005C5A98" w:rsidP="003B2C2B">
      <w:pPr>
        <w:ind w:left="720"/>
        <w:outlineLvl w:val="0"/>
        <w:rPr>
          <w:sz w:val="22"/>
          <w:szCs w:val="22"/>
        </w:rPr>
      </w:pPr>
    </w:p>
    <w:p w14:paraId="0E964557" w14:textId="77777777" w:rsidR="00313AC5" w:rsidRPr="006B17F5" w:rsidRDefault="00313AC5" w:rsidP="007F2CFF">
      <w:pPr>
        <w:ind w:left="720"/>
        <w:rPr>
          <w:sz w:val="22"/>
          <w:szCs w:val="22"/>
        </w:rPr>
      </w:pPr>
      <w:r w:rsidRPr="006B17F5">
        <w:rPr>
          <w:sz w:val="22"/>
          <w:szCs w:val="22"/>
          <w:u w:val="single"/>
        </w:rPr>
        <w:t>Center</w:t>
      </w:r>
      <w:r w:rsidRPr="006B17F5">
        <w:rPr>
          <w:sz w:val="22"/>
          <w:szCs w:val="22"/>
        </w:rPr>
        <w:t>.  The Center for Health Information and Analysis established under M.G.L. c. 12C.</w:t>
      </w:r>
    </w:p>
    <w:p w14:paraId="35EEC5C4" w14:textId="77777777" w:rsidR="00313AC5" w:rsidRPr="006B17F5" w:rsidRDefault="00313AC5" w:rsidP="007F2CFF">
      <w:pPr>
        <w:ind w:left="720"/>
        <w:rPr>
          <w:sz w:val="22"/>
          <w:szCs w:val="22"/>
          <w:u w:val="single"/>
        </w:rPr>
      </w:pPr>
    </w:p>
    <w:p w14:paraId="2425BBA8" w14:textId="77777777" w:rsidR="008147FD" w:rsidRPr="006B17F5" w:rsidRDefault="00313AC5" w:rsidP="007F2CFF">
      <w:pPr>
        <w:ind w:left="720"/>
        <w:rPr>
          <w:sz w:val="22"/>
          <w:szCs w:val="22"/>
        </w:rPr>
      </w:pPr>
      <w:r w:rsidRPr="006B17F5">
        <w:rPr>
          <w:sz w:val="22"/>
          <w:szCs w:val="22"/>
          <w:u w:val="single"/>
        </w:rPr>
        <w:t>EOHHS</w:t>
      </w:r>
      <w:r w:rsidRPr="006B17F5">
        <w:rPr>
          <w:sz w:val="22"/>
          <w:szCs w:val="22"/>
        </w:rPr>
        <w:t>.  The Executive Office of Health and Human Services established under M.G.L. c. 6A.</w:t>
      </w:r>
    </w:p>
    <w:p w14:paraId="569CF27F" w14:textId="77777777" w:rsidR="00931AAD" w:rsidRPr="006B17F5" w:rsidRDefault="00931AAD" w:rsidP="007F2CFF">
      <w:pPr>
        <w:ind w:left="720"/>
        <w:rPr>
          <w:sz w:val="22"/>
          <w:szCs w:val="22"/>
        </w:rPr>
      </w:pPr>
    </w:p>
    <w:p w14:paraId="5E0FE380" w14:textId="77777777" w:rsidR="0098102E" w:rsidRPr="006B17F5" w:rsidRDefault="008147FD" w:rsidP="007F2CFF">
      <w:pPr>
        <w:ind w:left="720"/>
        <w:rPr>
          <w:sz w:val="22"/>
          <w:szCs w:val="22"/>
        </w:rPr>
      </w:pPr>
      <w:r w:rsidRPr="006B17F5">
        <w:rPr>
          <w:sz w:val="22"/>
          <w:szCs w:val="22"/>
          <w:u w:val="single"/>
        </w:rPr>
        <w:t>Gross</w:t>
      </w:r>
      <w:r w:rsidR="004A4163" w:rsidRPr="006B17F5">
        <w:rPr>
          <w:sz w:val="22"/>
          <w:szCs w:val="22"/>
          <w:u w:val="single"/>
        </w:rPr>
        <w:t xml:space="preserve"> Patient Service Revenue</w:t>
      </w:r>
      <w:r w:rsidR="00197B86" w:rsidRPr="006B17F5">
        <w:rPr>
          <w:sz w:val="22"/>
          <w:szCs w:val="22"/>
          <w:u w:val="single"/>
        </w:rPr>
        <w:t xml:space="preserve"> (GPSR)</w:t>
      </w:r>
      <w:r w:rsidR="004A4163" w:rsidRPr="006B17F5">
        <w:rPr>
          <w:sz w:val="22"/>
          <w:szCs w:val="22"/>
        </w:rPr>
        <w:t>.</w:t>
      </w:r>
      <w:r w:rsidR="00F21A4E" w:rsidRPr="006B17F5">
        <w:rPr>
          <w:sz w:val="22"/>
          <w:szCs w:val="22"/>
        </w:rPr>
        <w:t xml:space="preserve">  The total </w:t>
      </w:r>
      <w:r w:rsidR="00056105" w:rsidRPr="006B17F5">
        <w:rPr>
          <w:sz w:val="22"/>
          <w:szCs w:val="22"/>
        </w:rPr>
        <w:t xml:space="preserve">dollar amount </w:t>
      </w:r>
      <w:r w:rsidR="00D1168F" w:rsidRPr="006B17F5">
        <w:rPr>
          <w:sz w:val="22"/>
          <w:szCs w:val="22"/>
        </w:rPr>
        <w:t xml:space="preserve">of nonpublic ambulance charges for services </w:t>
      </w:r>
      <w:r w:rsidRPr="006B17F5">
        <w:rPr>
          <w:sz w:val="22"/>
          <w:szCs w:val="22"/>
        </w:rPr>
        <w:t xml:space="preserve">rendered in a </w:t>
      </w:r>
      <w:r w:rsidR="005B2E87" w:rsidRPr="006B17F5">
        <w:rPr>
          <w:sz w:val="22"/>
          <w:szCs w:val="22"/>
        </w:rPr>
        <w:t xml:space="preserve">provider’s </w:t>
      </w:r>
      <w:r w:rsidR="0076298D" w:rsidRPr="006B17F5">
        <w:rPr>
          <w:sz w:val="22"/>
          <w:szCs w:val="22"/>
        </w:rPr>
        <w:t>fiscal year</w:t>
      </w:r>
      <w:r w:rsidR="00FA4134" w:rsidRPr="006B17F5">
        <w:rPr>
          <w:sz w:val="22"/>
          <w:szCs w:val="22"/>
        </w:rPr>
        <w:t>.</w:t>
      </w:r>
      <w:r w:rsidR="00F21A4E" w:rsidRPr="006B17F5">
        <w:rPr>
          <w:sz w:val="22"/>
          <w:szCs w:val="22"/>
        </w:rPr>
        <w:t xml:space="preserve"> </w:t>
      </w:r>
    </w:p>
    <w:p w14:paraId="22979EE3" w14:textId="77777777" w:rsidR="0098102E" w:rsidRPr="006B17F5" w:rsidRDefault="0098102E" w:rsidP="007F2CFF">
      <w:pPr>
        <w:ind w:left="720"/>
        <w:rPr>
          <w:sz w:val="22"/>
          <w:szCs w:val="22"/>
        </w:rPr>
      </w:pPr>
    </w:p>
    <w:p w14:paraId="2DB727D5" w14:textId="757BF442" w:rsidR="003D79AA" w:rsidRPr="006B17F5" w:rsidRDefault="003D79AA" w:rsidP="003D79AA">
      <w:pPr>
        <w:ind w:left="720"/>
        <w:rPr>
          <w:color w:val="333333"/>
          <w:sz w:val="22"/>
          <w:szCs w:val="22"/>
          <w:shd w:val="clear" w:color="auto" w:fill="FFFFFF"/>
        </w:rPr>
      </w:pPr>
      <w:r w:rsidRPr="006B17F5">
        <w:rPr>
          <w:sz w:val="22"/>
          <w:szCs w:val="22"/>
          <w:u w:val="single"/>
        </w:rPr>
        <w:t xml:space="preserve">Nonpublic </w:t>
      </w:r>
      <w:r w:rsidR="008D7897" w:rsidRPr="006B17F5">
        <w:rPr>
          <w:sz w:val="22"/>
          <w:szCs w:val="22"/>
          <w:u w:val="single"/>
        </w:rPr>
        <w:t xml:space="preserve">Ambulance </w:t>
      </w:r>
      <w:r w:rsidR="00606F24" w:rsidRPr="006B17F5">
        <w:rPr>
          <w:sz w:val="22"/>
          <w:szCs w:val="22"/>
          <w:u w:val="single"/>
        </w:rPr>
        <w:t>P</w:t>
      </w:r>
      <w:r w:rsidR="008D7897" w:rsidRPr="006B17F5">
        <w:rPr>
          <w:sz w:val="22"/>
          <w:szCs w:val="22"/>
          <w:u w:val="single"/>
        </w:rPr>
        <w:t>rovider</w:t>
      </w:r>
      <w:r w:rsidRPr="006B17F5">
        <w:rPr>
          <w:sz w:val="22"/>
          <w:szCs w:val="22"/>
        </w:rPr>
        <w:t xml:space="preserve">.  </w:t>
      </w:r>
      <w:r w:rsidR="008D7897" w:rsidRPr="006B17F5">
        <w:rPr>
          <w:color w:val="333333"/>
          <w:sz w:val="22"/>
          <w:szCs w:val="22"/>
          <w:shd w:val="clear" w:color="auto" w:fill="FFFFFF"/>
        </w:rPr>
        <w:t>A</w:t>
      </w:r>
      <w:r w:rsidR="007308B3" w:rsidRPr="006B17F5">
        <w:rPr>
          <w:color w:val="333333"/>
          <w:sz w:val="22"/>
          <w:szCs w:val="22"/>
          <w:shd w:val="clear" w:color="auto" w:fill="FFFFFF"/>
        </w:rPr>
        <w:t xml:space="preserve">mbulance </w:t>
      </w:r>
      <w:r w:rsidR="008D7897" w:rsidRPr="006B17F5">
        <w:rPr>
          <w:color w:val="333333"/>
          <w:sz w:val="22"/>
          <w:szCs w:val="22"/>
          <w:shd w:val="clear" w:color="auto" w:fill="FFFFFF"/>
        </w:rPr>
        <w:t xml:space="preserve">provider licensed pursuant to </w:t>
      </w:r>
      <w:r w:rsidR="003323BA" w:rsidRPr="006B17F5">
        <w:rPr>
          <w:color w:val="333333"/>
          <w:sz w:val="22"/>
          <w:szCs w:val="22"/>
          <w:shd w:val="clear" w:color="auto" w:fill="FFFFFF"/>
        </w:rPr>
        <w:t>M.G.L. c. 111C</w:t>
      </w:r>
      <w:r w:rsidR="0081397A" w:rsidRPr="006B17F5">
        <w:rPr>
          <w:color w:val="333333"/>
          <w:sz w:val="22"/>
          <w:szCs w:val="22"/>
          <w:shd w:val="clear" w:color="auto" w:fill="FFFFFF"/>
        </w:rPr>
        <w:t>,</w:t>
      </w:r>
      <w:r w:rsidR="003323BA" w:rsidRPr="006B17F5">
        <w:rPr>
          <w:color w:val="333333"/>
          <w:sz w:val="22"/>
          <w:szCs w:val="22"/>
          <w:shd w:val="clear" w:color="auto" w:fill="FFFFFF"/>
        </w:rPr>
        <w:t xml:space="preserve"> § </w:t>
      </w:r>
      <w:r w:rsidR="008D7897" w:rsidRPr="006B17F5">
        <w:rPr>
          <w:color w:val="333333"/>
          <w:sz w:val="22"/>
          <w:szCs w:val="22"/>
          <w:shd w:val="clear" w:color="auto" w:fill="FFFFFF"/>
        </w:rPr>
        <w:t xml:space="preserve">6 that is not </w:t>
      </w:r>
      <w:r w:rsidR="007308B3" w:rsidRPr="006B17F5">
        <w:rPr>
          <w:color w:val="333333"/>
          <w:sz w:val="22"/>
          <w:szCs w:val="22"/>
          <w:shd w:val="clear" w:color="auto" w:fill="FFFFFF"/>
        </w:rPr>
        <w:t>a city or town, county, district</w:t>
      </w:r>
      <w:r w:rsidR="005C5A98" w:rsidRPr="006B17F5">
        <w:rPr>
          <w:color w:val="333333"/>
          <w:sz w:val="22"/>
          <w:szCs w:val="22"/>
          <w:shd w:val="clear" w:color="auto" w:fill="FFFFFF"/>
        </w:rPr>
        <w:t>,</w:t>
      </w:r>
      <w:r w:rsidR="007308B3" w:rsidRPr="006B17F5">
        <w:rPr>
          <w:color w:val="333333"/>
          <w:sz w:val="22"/>
          <w:szCs w:val="22"/>
          <w:shd w:val="clear" w:color="auto" w:fill="FFFFFF"/>
        </w:rPr>
        <w:t xml:space="preserve"> or other governmental body</w:t>
      </w:r>
      <w:r w:rsidR="008D7897" w:rsidRPr="006B17F5">
        <w:rPr>
          <w:color w:val="333333"/>
          <w:sz w:val="22"/>
          <w:szCs w:val="22"/>
          <w:shd w:val="clear" w:color="auto" w:fill="FFFFFF"/>
        </w:rPr>
        <w:t>.</w:t>
      </w:r>
    </w:p>
    <w:p w14:paraId="667FE726" w14:textId="77777777" w:rsidR="007308B3" w:rsidRPr="006B17F5" w:rsidRDefault="007308B3" w:rsidP="003D79AA">
      <w:pPr>
        <w:ind w:left="720"/>
        <w:rPr>
          <w:sz w:val="22"/>
          <w:szCs w:val="22"/>
        </w:rPr>
      </w:pPr>
    </w:p>
    <w:p w14:paraId="53D395AA" w14:textId="55F53B19" w:rsidR="00076CF3" w:rsidRPr="006B17F5" w:rsidRDefault="00076CF3" w:rsidP="003D79AA">
      <w:pPr>
        <w:ind w:left="720"/>
        <w:rPr>
          <w:sz w:val="22"/>
          <w:szCs w:val="22"/>
        </w:rPr>
      </w:pPr>
      <w:r w:rsidRPr="006B17F5">
        <w:rPr>
          <w:color w:val="333333"/>
          <w:sz w:val="22"/>
          <w:szCs w:val="22"/>
          <w:u w:val="single"/>
          <w:shd w:val="clear" w:color="auto" w:fill="FFFFFF"/>
        </w:rPr>
        <w:t xml:space="preserve">Nonpublic </w:t>
      </w:r>
      <w:r w:rsidR="00601A69" w:rsidRPr="006B17F5">
        <w:rPr>
          <w:color w:val="333333"/>
          <w:sz w:val="22"/>
          <w:szCs w:val="22"/>
          <w:u w:val="single"/>
          <w:shd w:val="clear" w:color="auto" w:fill="FFFFFF"/>
        </w:rPr>
        <w:t>Emergency Ambulance Assessed Charges</w:t>
      </w:r>
      <w:r w:rsidRPr="006B17F5">
        <w:rPr>
          <w:color w:val="333333"/>
          <w:sz w:val="22"/>
          <w:szCs w:val="22"/>
          <w:shd w:val="clear" w:color="auto" w:fill="FFFFFF"/>
        </w:rPr>
        <w:t xml:space="preserve">. </w:t>
      </w:r>
      <w:r w:rsidR="005C5A98" w:rsidRPr="006B17F5">
        <w:rPr>
          <w:color w:val="333333"/>
          <w:sz w:val="22"/>
          <w:szCs w:val="22"/>
          <w:shd w:val="clear" w:color="auto" w:fill="FFFFFF"/>
        </w:rPr>
        <w:t xml:space="preserve"> </w:t>
      </w:r>
      <w:r w:rsidR="00760891" w:rsidRPr="006B17F5">
        <w:rPr>
          <w:color w:val="333333"/>
          <w:sz w:val="22"/>
          <w:szCs w:val="22"/>
          <w:shd w:val="clear" w:color="auto" w:fill="FFFFFF"/>
        </w:rPr>
        <w:t>Massachusetts g</w:t>
      </w:r>
      <w:r w:rsidRPr="006B17F5">
        <w:rPr>
          <w:color w:val="333333"/>
          <w:sz w:val="22"/>
          <w:szCs w:val="22"/>
          <w:shd w:val="clear" w:color="auto" w:fill="FFFFFF"/>
        </w:rPr>
        <w:t xml:space="preserve">ross patient service revenue </w:t>
      </w:r>
      <w:r w:rsidR="00E148F6" w:rsidRPr="006B17F5">
        <w:rPr>
          <w:color w:val="333333"/>
          <w:sz w:val="22"/>
          <w:szCs w:val="22"/>
          <w:shd w:val="clear" w:color="auto" w:fill="FFFFFF"/>
        </w:rPr>
        <w:t>earned from</w:t>
      </w:r>
      <w:r w:rsidRPr="006B17F5">
        <w:rPr>
          <w:color w:val="333333"/>
          <w:sz w:val="22"/>
          <w:szCs w:val="22"/>
          <w:shd w:val="clear" w:color="auto" w:fill="FFFFFF"/>
        </w:rPr>
        <w:t xml:space="preserve"> all patients attributable to </w:t>
      </w:r>
      <w:r w:rsidR="00760891" w:rsidRPr="006B17F5">
        <w:rPr>
          <w:color w:val="333333"/>
          <w:sz w:val="22"/>
          <w:szCs w:val="22"/>
          <w:shd w:val="clear" w:color="auto" w:fill="FFFFFF"/>
        </w:rPr>
        <w:t xml:space="preserve">emergency </w:t>
      </w:r>
      <w:r w:rsidR="00845F78" w:rsidRPr="006B17F5">
        <w:rPr>
          <w:color w:val="333333"/>
          <w:sz w:val="22"/>
          <w:szCs w:val="22"/>
          <w:shd w:val="clear" w:color="auto" w:fill="FFFFFF"/>
        </w:rPr>
        <w:t xml:space="preserve">ground </w:t>
      </w:r>
      <w:r w:rsidR="00E148F6" w:rsidRPr="006B17F5">
        <w:rPr>
          <w:color w:val="333333"/>
          <w:sz w:val="22"/>
          <w:szCs w:val="22"/>
          <w:shd w:val="clear" w:color="auto" w:fill="FFFFFF"/>
        </w:rPr>
        <w:t xml:space="preserve">ambulance service, </w:t>
      </w:r>
      <w:r w:rsidR="005772B7" w:rsidRPr="006B17F5">
        <w:rPr>
          <w:color w:val="333333"/>
          <w:sz w:val="22"/>
          <w:szCs w:val="22"/>
          <w:shd w:val="clear" w:color="auto" w:fill="FFFFFF"/>
        </w:rPr>
        <w:t>less</w:t>
      </w:r>
      <w:r w:rsidR="00E148F6" w:rsidRPr="006B17F5">
        <w:rPr>
          <w:color w:val="333333"/>
          <w:sz w:val="22"/>
          <w:szCs w:val="22"/>
          <w:shd w:val="clear" w:color="auto" w:fill="FFFFFF"/>
        </w:rPr>
        <w:t xml:space="preserve"> bad debt, charity care</w:t>
      </w:r>
      <w:r w:rsidR="00B13F75" w:rsidRPr="006B17F5">
        <w:rPr>
          <w:color w:val="333333"/>
          <w:sz w:val="22"/>
          <w:szCs w:val="22"/>
          <w:shd w:val="clear" w:color="auto" w:fill="FFFFFF"/>
        </w:rPr>
        <w:t>,</w:t>
      </w:r>
      <w:r w:rsidR="00E148F6" w:rsidRPr="006B17F5">
        <w:rPr>
          <w:color w:val="333333"/>
          <w:sz w:val="22"/>
          <w:szCs w:val="22"/>
          <w:shd w:val="clear" w:color="auto" w:fill="FFFFFF"/>
        </w:rPr>
        <w:t xml:space="preserve"> or payer discounts</w:t>
      </w:r>
      <w:r w:rsidR="00C30C29" w:rsidRPr="006B17F5">
        <w:rPr>
          <w:color w:val="333333"/>
          <w:sz w:val="22"/>
          <w:szCs w:val="22"/>
          <w:shd w:val="clear" w:color="auto" w:fill="FFFFFF"/>
        </w:rPr>
        <w:t xml:space="preserve">. </w:t>
      </w:r>
      <w:r w:rsidR="00C30C29" w:rsidRPr="006B17F5">
        <w:rPr>
          <w:sz w:val="22"/>
          <w:szCs w:val="22"/>
        </w:rPr>
        <w:t xml:space="preserve">For each </w:t>
      </w:r>
      <w:r w:rsidR="005B2E87" w:rsidRPr="006B17F5">
        <w:rPr>
          <w:sz w:val="22"/>
          <w:szCs w:val="22"/>
        </w:rPr>
        <w:t>provider’s fiscal year</w:t>
      </w:r>
      <w:r w:rsidR="00C30C29" w:rsidRPr="006B17F5">
        <w:rPr>
          <w:sz w:val="22"/>
          <w:szCs w:val="22"/>
        </w:rPr>
        <w:t>, assessed charges are determined using data reported in a</w:t>
      </w:r>
      <w:r w:rsidR="008D7897" w:rsidRPr="006B17F5">
        <w:rPr>
          <w:sz w:val="22"/>
          <w:szCs w:val="22"/>
        </w:rPr>
        <w:t>n</w:t>
      </w:r>
      <w:r w:rsidR="00C30C29" w:rsidRPr="006B17F5">
        <w:rPr>
          <w:sz w:val="22"/>
          <w:szCs w:val="22"/>
        </w:rPr>
        <w:t xml:space="preserve"> </w:t>
      </w:r>
      <w:r w:rsidR="008D7897" w:rsidRPr="006B17F5">
        <w:rPr>
          <w:sz w:val="22"/>
          <w:szCs w:val="22"/>
        </w:rPr>
        <w:t>ambulance provider’</w:t>
      </w:r>
      <w:r w:rsidR="00C30C29" w:rsidRPr="006B17F5">
        <w:rPr>
          <w:sz w:val="22"/>
          <w:szCs w:val="22"/>
        </w:rPr>
        <w:t xml:space="preserve">s Cost Report for </w:t>
      </w:r>
      <w:r w:rsidR="00845F78" w:rsidRPr="006B17F5">
        <w:rPr>
          <w:sz w:val="22"/>
          <w:szCs w:val="22"/>
        </w:rPr>
        <w:t>that</w:t>
      </w:r>
      <w:r w:rsidR="00832857" w:rsidRPr="006B17F5">
        <w:rPr>
          <w:sz w:val="22"/>
          <w:szCs w:val="22"/>
        </w:rPr>
        <w:t xml:space="preserve"> </w:t>
      </w:r>
      <w:r w:rsidR="005B2E87" w:rsidRPr="006B17F5">
        <w:rPr>
          <w:sz w:val="22"/>
          <w:szCs w:val="22"/>
        </w:rPr>
        <w:t>fiscal year</w:t>
      </w:r>
      <w:r w:rsidR="0076298D" w:rsidRPr="006B17F5">
        <w:rPr>
          <w:sz w:val="22"/>
          <w:szCs w:val="22"/>
        </w:rPr>
        <w:t xml:space="preserve">, or if </w:t>
      </w:r>
      <w:r w:rsidR="0076298D" w:rsidRPr="006B17F5">
        <w:rPr>
          <w:sz w:val="22"/>
          <w:szCs w:val="22"/>
        </w:rPr>
        <w:lastRenderedPageBreak/>
        <w:t xml:space="preserve">that Cost Report is not submitted, using any alternative data available to EOHHS. </w:t>
      </w:r>
      <w:r w:rsidR="00760891" w:rsidRPr="006B17F5">
        <w:rPr>
          <w:sz w:val="22"/>
          <w:szCs w:val="22"/>
        </w:rPr>
        <w:t>EOHHS may reasonably calculate the portion of revenue attributable to emergency ground ambulance service, the allocation of bad debt, or any other element of the Nonpublic Emergency Ambulance Assessed Charges based on the data submitted by providers</w:t>
      </w:r>
      <w:r w:rsidR="00B1249D" w:rsidRPr="006B17F5">
        <w:rPr>
          <w:sz w:val="22"/>
          <w:szCs w:val="22"/>
        </w:rPr>
        <w:t xml:space="preserve"> or other data possessed by EOHHS</w:t>
      </w:r>
      <w:r w:rsidR="00760891" w:rsidRPr="006B17F5">
        <w:rPr>
          <w:sz w:val="22"/>
          <w:szCs w:val="22"/>
        </w:rPr>
        <w:t xml:space="preserve">.  </w:t>
      </w:r>
      <w:r w:rsidR="0076298D" w:rsidRPr="006B17F5">
        <w:rPr>
          <w:sz w:val="22"/>
          <w:szCs w:val="22"/>
        </w:rPr>
        <w:t xml:space="preserve"> </w:t>
      </w:r>
    </w:p>
    <w:p w14:paraId="77217412" w14:textId="77777777" w:rsidR="00076CF3" w:rsidRPr="006B17F5" w:rsidRDefault="00076CF3" w:rsidP="003D79AA">
      <w:pPr>
        <w:ind w:left="720"/>
        <w:rPr>
          <w:sz w:val="22"/>
          <w:szCs w:val="22"/>
        </w:rPr>
      </w:pPr>
    </w:p>
    <w:p w14:paraId="7BF3B909" w14:textId="2752D893" w:rsidR="00BA3851" w:rsidRPr="006B17F5" w:rsidRDefault="00CC713C" w:rsidP="007F2CFF">
      <w:pPr>
        <w:ind w:left="720"/>
        <w:rPr>
          <w:sz w:val="22"/>
          <w:szCs w:val="22"/>
        </w:rPr>
      </w:pPr>
      <w:r w:rsidRPr="006B17F5">
        <w:rPr>
          <w:sz w:val="22"/>
          <w:szCs w:val="22"/>
          <w:u w:val="single"/>
        </w:rPr>
        <w:t>Trust Fund</w:t>
      </w:r>
      <w:r w:rsidRPr="006B17F5">
        <w:rPr>
          <w:sz w:val="22"/>
          <w:szCs w:val="22"/>
        </w:rPr>
        <w:t xml:space="preserve">.  The </w:t>
      </w:r>
      <w:r w:rsidR="00D1168F" w:rsidRPr="006B17F5">
        <w:rPr>
          <w:sz w:val="22"/>
          <w:szCs w:val="22"/>
        </w:rPr>
        <w:t>Nonpublic Ambulance Service Reimbursement Trust Fund</w:t>
      </w:r>
      <w:r w:rsidRPr="006B17F5">
        <w:rPr>
          <w:sz w:val="22"/>
          <w:szCs w:val="22"/>
        </w:rPr>
        <w:t xml:space="preserve"> established under M.G.L. c. 29, §</w:t>
      </w:r>
      <w:r w:rsidR="00496095" w:rsidRPr="006B17F5">
        <w:rPr>
          <w:sz w:val="22"/>
          <w:szCs w:val="22"/>
        </w:rPr>
        <w:t xml:space="preserve"> </w:t>
      </w:r>
      <w:r w:rsidR="00D1168F" w:rsidRPr="006B17F5">
        <w:rPr>
          <w:sz w:val="22"/>
          <w:szCs w:val="22"/>
        </w:rPr>
        <w:t>2KKKKK</w:t>
      </w:r>
      <w:r w:rsidRPr="006B17F5">
        <w:rPr>
          <w:sz w:val="22"/>
          <w:szCs w:val="22"/>
        </w:rPr>
        <w:t xml:space="preserve">, to provide </w:t>
      </w:r>
      <w:r w:rsidR="00D1168F" w:rsidRPr="006B17F5">
        <w:rPr>
          <w:sz w:val="22"/>
          <w:szCs w:val="22"/>
        </w:rPr>
        <w:t>money to be expe</w:t>
      </w:r>
      <w:r w:rsidR="00625E33" w:rsidRPr="006B17F5">
        <w:rPr>
          <w:sz w:val="22"/>
          <w:szCs w:val="22"/>
        </w:rPr>
        <w:t>nded</w:t>
      </w:r>
      <w:r w:rsidR="00D1168F" w:rsidRPr="006B17F5">
        <w:rPr>
          <w:sz w:val="22"/>
          <w:szCs w:val="22"/>
        </w:rPr>
        <w:t xml:space="preserve"> for </w:t>
      </w:r>
      <w:r w:rsidR="006727E5" w:rsidRPr="006B17F5">
        <w:rPr>
          <w:sz w:val="22"/>
          <w:szCs w:val="22"/>
        </w:rPr>
        <w:t>Medicaid</w:t>
      </w:r>
      <w:r w:rsidR="00D1168F" w:rsidRPr="006B17F5">
        <w:rPr>
          <w:sz w:val="22"/>
          <w:szCs w:val="22"/>
        </w:rPr>
        <w:t xml:space="preserve"> payments </w:t>
      </w:r>
      <w:r w:rsidRPr="006B17F5">
        <w:rPr>
          <w:sz w:val="22"/>
          <w:szCs w:val="22"/>
        </w:rPr>
        <w:t xml:space="preserve">to </w:t>
      </w:r>
      <w:r w:rsidR="00E9326E" w:rsidRPr="006B17F5">
        <w:rPr>
          <w:sz w:val="22"/>
          <w:szCs w:val="22"/>
        </w:rPr>
        <w:t xml:space="preserve">nonpublic ambulance </w:t>
      </w:r>
      <w:r w:rsidR="008D7897" w:rsidRPr="006B17F5">
        <w:rPr>
          <w:sz w:val="22"/>
          <w:szCs w:val="22"/>
        </w:rPr>
        <w:t>providers</w:t>
      </w:r>
      <w:r w:rsidRPr="006B17F5">
        <w:rPr>
          <w:sz w:val="22"/>
          <w:szCs w:val="22"/>
        </w:rPr>
        <w:t xml:space="preserve">, as specified in 101 CMR </w:t>
      </w:r>
      <w:r w:rsidR="008D7897" w:rsidRPr="006B17F5">
        <w:rPr>
          <w:sz w:val="22"/>
          <w:szCs w:val="22"/>
        </w:rPr>
        <w:t>327</w:t>
      </w:r>
      <w:r w:rsidRPr="006B17F5">
        <w:rPr>
          <w:sz w:val="22"/>
          <w:szCs w:val="22"/>
        </w:rPr>
        <w:t>.</w:t>
      </w:r>
      <w:r w:rsidR="00C916D3" w:rsidRPr="006B17F5">
        <w:rPr>
          <w:sz w:val="22"/>
          <w:szCs w:val="22"/>
        </w:rPr>
        <w:t>0</w:t>
      </w:r>
      <w:r w:rsidR="003837A1" w:rsidRPr="006B17F5">
        <w:rPr>
          <w:sz w:val="22"/>
          <w:szCs w:val="22"/>
        </w:rPr>
        <w:t>0</w:t>
      </w:r>
      <w:r w:rsidR="00496095" w:rsidRPr="006B17F5">
        <w:rPr>
          <w:sz w:val="22"/>
          <w:szCs w:val="22"/>
        </w:rPr>
        <w:t xml:space="preserve">:  </w:t>
      </w:r>
      <w:r w:rsidR="00496095" w:rsidRPr="006B17F5">
        <w:rPr>
          <w:i/>
          <w:iCs/>
          <w:sz w:val="22"/>
          <w:szCs w:val="22"/>
        </w:rPr>
        <w:t>Rates of Payment for Ambulance and Wheelchair Services</w:t>
      </w:r>
      <w:r w:rsidRPr="006B17F5">
        <w:rPr>
          <w:sz w:val="22"/>
          <w:szCs w:val="22"/>
        </w:rPr>
        <w:t xml:space="preserve">. The Secretary of EOHHS, as trustee, </w:t>
      </w:r>
      <w:r w:rsidR="00C916D3" w:rsidRPr="006B17F5">
        <w:rPr>
          <w:sz w:val="22"/>
          <w:szCs w:val="22"/>
        </w:rPr>
        <w:t xml:space="preserve">will </w:t>
      </w:r>
      <w:r w:rsidRPr="006B17F5">
        <w:rPr>
          <w:sz w:val="22"/>
          <w:szCs w:val="22"/>
        </w:rPr>
        <w:t xml:space="preserve">administer the fund and </w:t>
      </w:r>
      <w:r w:rsidR="00C916D3" w:rsidRPr="006B17F5">
        <w:rPr>
          <w:sz w:val="22"/>
          <w:szCs w:val="22"/>
        </w:rPr>
        <w:t xml:space="preserve">will </w:t>
      </w:r>
      <w:r w:rsidRPr="006B17F5">
        <w:rPr>
          <w:sz w:val="22"/>
          <w:szCs w:val="22"/>
        </w:rPr>
        <w:t>make expenditures from the fund consistent with M.G.L. c. 29, §</w:t>
      </w:r>
      <w:r w:rsidR="00496095" w:rsidRPr="006B17F5">
        <w:rPr>
          <w:sz w:val="22"/>
          <w:szCs w:val="22"/>
        </w:rPr>
        <w:t xml:space="preserve"> </w:t>
      </w:r>
      <w:r w:rsidR="00D1168F" w:rsidRPr="006B17F5">
        <w:rPr>
          <w:sz w:val="22"/>
          <w:szCs w:val="22"/>
        </w:rPr>
        <w:t>2KKKKK</w:t>
      </w:r>
      <w:r w:rsidRPr="006B17F5">
        <w:rPr>
          <w:sz w:val="22"/>
          <w:szCs w:val="22"/>
        </w:rPr>
        <w:t>.</w:t>
      </w:r>
    </w:p>
    <w:p w14:paraId="48EEB11F" w14:textId="080DCB35" w:rsidR="00D44FFF" w:rsidRPr="006B17F5" w:rsidRDefault="00D44FFF" w:rsidP="007F2CFF">
      <w:pPr>
        <w:ind w:left="720"/>
        <w:rPr>
          <w:sz w:val="22"/>
          <w:szCs w:val="22"/>
        </w:rPr>
      </w:pPr>
    </w:p>
    <w:p w14:paraId="143954AC" w14:textId="328C2B54" w:rsidR="00D44FFF" w:rsidRPr="006B17F5" w:rsidRDefault="00D44FFF" w:rsidP="00D44FFF">
      <w:pPr>
        <w:ind w:left="720"/>
        <w:rPr>
          <w:sz w:val="22"/>
          <w:szCs w:val="22"/>
        </w:rPr>
      </w:pPr>
      <w:r w:rsidRPr="006B17F5">
        <w:rPr>
          <w:color w:val="333333"/>
          <w:sz w:val="22"/>
          <w:szCs w:val="22"/>
          <w:u w:val="single"/>
          <w:shd w:val="clear" w:color="auto" w:fill="FFFFFF"/>
        </w:rPr>
        <w:t>Uniform Assessment</w:t>
      </w:r>
      <w:r w:rsidRPr="006B17F5">
        <w:rPr>
          <w:color w:val="333333"/>
          <w:sz w:val="22"/>
          <w:szCs w:val="22"/>
          <w:shd w:val="clear" w:color="auto" w:fill="FFFFFF"/>
        </w:rPr>
        <w:t>.  The percentage of nonpublic emergency ambulance assessed charges set by EOHHS as described in 1</w:t>
      </w:r>
      <w:r w:rsidR="009332AC" w:rsidRPr="006B17F5">
        <w:rPr>
          <w:color w:val="333333"/>
          <w:sz w:val="22"/>
          <w:szCs w:val="22"/>
          <w:shd w:val="clear" w:color="auto" w:fill="FFFFFF"/>
        </w:rPr>
        <w:t>01</w:t>
      </w:r>
      <w:r w:rsidRPr="006B17F5">
        <w:rPr>
          <w:color w:val="333333"/>
          <w:sz w:val="22"/>
          <w:szCs w:val="22"/>
          <w:shd w:val="clear" w:color="auto" w:fill="FFFFFF"/>
        </w:rPr>
        <w:t xml:space="preserve"> CMR 324.04(1). </w:t>
      </w:r>
    </w:p>
    <w:p w14:paraId="500E94EA" w14:textId="77777777" w:rsidR="0073666B" w:rsidRPr="006B17F5" w:rsidRDefault="0073666B" w:rsidP="00313AC5">
      <w:pPr>
        <w:rPr>
          <w:sz w:val="22"/>
          <w:szCs w:val="22"/>
        </w:rPr>
      </w:pPr>
    </w:p>
    <w:p w14:paraId="5A73BE95" w14:textId="4B3C62BE" w:rsidR="00387BBA" w:rsidRPr="006B17F5" w:rsidRDefault="003B332D" w:rsidP="00387BBA">
      <w:pPr>
        <w:rPr>
          <w:sz w:val="22"/>
          <w:szCs w:val="22"/>
          <w:u w:val="single"/>
        </w:rPr>
      </w:pPr>
      <w:r w:rsidRPr="006B17F5">
        <w:rPr>
          <w:sz w:val="22"/>
          <w:szCs w:val="22"/>
          <w:u w:val="single"/>
        </w:rPr>
        <w:t>324</w:t>
      </w:r>
      <w:r w:rsidR="00313AC5" w:rsidRPr="006B17F5">
        <w:rPr>
          <w:sz w:val="22"/>
          <w:szCs w:val="22"/>
          <w:u w:val="single"/>
        </w:rPr>
        <w:t>.03:  </w:t>
      </w:r>
      <w:r w:rsidR="00974BB1" w:rsidRPr="006B17F5">
        <w:rPr>
          <w:sz w:val="22"/>
          <w:szCs w:val="22"/>
          <w:u w:val="single"/>
        </w:rPr>
        <w:t>Sources and Uses of Fund</w:t>
      </w:r>
    </w:p>
    <w:p w14:paraId="25633159" w14:textId="77777777" w:rsidR="00387BBA" w:rsidRPr="006B17F5" w:rsidRDefault="00387BBA" w:rsidP="00387BBA">
      <w:pPr>
        <w:rPr>
          <w:sz w:val="22"/>
          <w:szCs w:val="22"/>
          <w:u w:val="single"/>
        </w:rPr>
      </w:pPr>
    </w:p>
    <w:p w14:paraId="787DF86B" w14:textId="1B87EB8E" w:rsidR="00625E33" w:rsidRPr="006B17F5" w:rsidRDefault="00496095" w:rsidP="003B2C2B">
      <w:pPr>
        <w:ind w:left="720"/>
        <w:rPr>
          <w:color w:val="333333"/>
          <w:sz w:val="22"/>
          <w:szCs w:val="22"/>
          <w:shd w:val="clear" w:color="auto" w:fill="FFFFFF"/>
        </w:rPr>
      </w:pPr>
      <w:r w:rsidRPr="006B17F5">
        <w:rPr>
          <w:sz w:val="22"/>
          <w:szCs w:val="22"/>
        </w:rPr>
        <w:t xml:space="preserve">(1)  </w:t>
      </w:r>
      <w:r w:rsidR="00B614BB" w:rsidRPr="006B17F5">
        <w:rPr>
          <w:sz w:val="22"/>
          <w:szCs w:val="22"/>
          <w:u w:val="single"/>
        </w:rPr>
        <w:t>General</w:t>
      </w:r>
      <w:r w:rsidR="00B614BB" w:rsidRPr="006B17F5">
        <w:rPr>
          <w:sz w:val="22"/>
          <w:szCs w:val="22"/>
        </w:rPr>
        <w:t xml:space="preserve">.  </w:t>
      </w:r>
      <w:r w:rsidR="00974BB1" w:rsidRPr="006B17F5">
        <w:rPr>
          <w:sz w:val="22"/>
          <w:szCs w:val="22"/>
        </w:rPr>
        <w:t>The Trust Fund</w:t>
      </w:r>
      <w:r w:rsidR="00B614BB" w:rsidRPr="006B17F5">
        <w:rPr>
          <w:sz w:val="22"/>
          <w:szCs w:val="22"/>
        </w:rPr>
        <w:t xml:space="preserve"> </w:t>
      </w:r>
      <w:r w:rsidR="006227E4" w:rsidRPr="006B17F5">
        <w:rPr>
          <w:sz w:val="22"/>
          <w:szCs w:val="22"/>
        </w:rPr>
        <w:t>include</w:t>
      </w:r>
      <w:r w:rsidR="0005377F" w:rsidRPr="006B17F5">
        <w:rPr>
          <w:sz w:val="22"/>
          <w:szCs w:val="22"/>
        </w:rPr>
        <w:t>s</w:t>
      </w:r>
    </w:p>
    <w:p w14:paraId="13B0085A" w14:textId="235646A4" w:rsidR="00625E33" w:rsidRPr="006B17F5" w:rsidRDefault="00625E33" w:rsidP="00625E33">
      <w:pPr>
        <w:ind w:left="1095"/>
        <w:rPr>
          <w:color w:val="333333"/>
          <w:sz w:val="22"/>
          <w:szCs w:val="22"/>
          <w:shd w:val="clear" w:color="auto" w:fill="FFFFFF"/>
        </w:rPr>
      </w:pPr>
      <w:r w:rsidRPr="006B17F5">
        <w:rPr>
          <w:color w:val="333333"/>
          <w:sz w:val="22"/>
          <w:szCs w:val="22"/>
          <w:shd w:val="clear" w:color="auto" w:fill="FFFFFF"/>
        </w:rPr>
        <w:t>(a</w:t>
      </w:r>
      <w:r w:rsidR="006227E4" w:rsidRPr="006B17F5">
        <w:rPr>
          <w:color w:val="333333"/>
          <w:sz w:val="22"/>
          <w:szCs w:val="22"/>
          <w:shd w:val="clear" w:color="auto" w:fill="FFFFFF"/>
        </w:rPr>
        <w:t>)</w:t>
      </w:r>
      <w:r w:rsidRPr="006B17F5">
        <w:rPr>
          <w:color w:val="333333"/>
          <w:sz w:val="22"/>
          <w:szCs w:val="22"/>
          <w:shd w:val="clear" w:color="auto" w:fill="FFFFFF"/>
        </w:rPr>
        <w:t xml:space="preserve"> </w:t>
      </w:r>
      <w:r w:rsidR="00496095" w:rsidRPr="006B17F5">
        <w:rPr>
          <w:color w:val="333333"/>
          <w:sz w:val="22"/>
          <w:szCs w:val="22"/>
          <w:shd w:val="clear" w:color="auto" w:fill="FFFFFF"/>
        </w:rPr>
        <w:t xml:space="preserve"> </w:t>
      </w:r>
      <w:r w:rsidR="00366A49" w:rsidRPr="006B17F5">
        <w:rPr>
          <w:color w:val="333333"/>
          <w:sz w:val="22"/>
          <w:szCs w:val="22"/>
          <w:shd w:val="clear" w:color="auto" w:fill="FFFFFF"/>
        </w:rPr>
        <w:t xml:space="preserve">an amount equal to </w:t>
      </w:r>
      <w:r w:rsidRPr="006B17F5">
        <w:rPr>
          <w:color w:val="333333"/>
          <w:sz w:val="22"/>
          <w:szCs w:val="22"/>
          <w:shd w:val="clear" w:color="auto" w:fill="FFFFFF"/>
        </w:rPr>
        <w:t xml:space="preserve">all revenues generated from the funds collected pursuant to </w:t>
      </w:r>
      <w:r w:rsidR="003D79AA" w:rsidRPr="006B17F5">
        <w:rPr>
          <w:color w:val="333333"/>
          <w:sz w:val="22"/>
          <w:szCs w:val="22"/>
          <w:shd w:val="clear" w:color="auto" w:fill="FFFFFF"/>
        </w:rPr>
        <w:t xml:space="preserve">101 CMR </w:t>
      </w:r>
      <w:proofErr w:type="gramStart"/>
      <w:r w:rsidR="00C923C4" w:rsidRPr="006B17F5">
        <w:rPr>
          <w:color w:val="333333"/>
          <w:sz w:val="22"/>
          <w:szCs w:val="22"/>
          <w:shd w:val="clear" w:color="auto" w:fill="FFFFFF"/>
        </w:rPr>
        <w:t>324</w:t>
      </w:r>
      <w:r w:rsidR="003D79AA" w:rsidRPr="006B17F5">
        <w:rPr>
          <w:color w:val="333333"/>
          <w:sz w:val="22"/>
          <w:szCs w:val="22"/>
          <w:shd w:val="clear" w:color="auto" w:fill="FFFFFF"/>
        </w:rPr>
        <w:t>.00</w:t>
      </w:r>
      <w:r w:rsidR="00920FA6" w:rsidRPr="006B17F5">
        <w:rPr>
          <w:color w:val="333333"/>
          <w:sz w:val="22"/>
          <w:szCs w:val="22"/>
          <w:shd w:val="clear" w:color="auto" w:fill="FFFFFF"/>
        </w:rPr>
        <w:t>;</w:t>
      </w:r>
      <w:proofErr w:type="gramEnd"/>
    </w:p>
    <w:p w14:paraId="633D1253" w14:textId="3BE902FA" w:rsidR="00625E33" w:rsidRPr="006B17F5" w:rsidRDefault="00625E33" w:rsidP="00625E33">
      <w:pPr>
        <w:ind w:left="1095"/>
        <w:rPr>
          <w:color w:val="333333"/>
          <w:sz w:val="22"/>
          <w:szCs w:val="22"/>
          <w:shd w:val="clear" w:color="auto" w:fill="FFFFFF"/>
        </w:rPr>
      </w:pPr>
      <w:r w:rsidRPr="006B17F5">
        <w:rPr>
          <w:color w:val="333333"/>
          <w:sz w:val="22"/>
          <w:szCs w:val="22"/>
          <w:shd w:val="clear" w:color="auto" w:fill="FFFFFF"/>
        </w:rPr>
        <w:t xml:space="preserve">(b) </w:t>
      </w:r>
      <w:r w:rsidR="00496095" w:rsidRPr="006B17F5">
        <w:rPr>
          <w:color w:val="333333"/>
          <w:sz w:val="22"/>
          <w:szCs w:val="22"/>
          <w:shd w:val="clear" w:color="auto" w:fill="FFFFFF"/>
        </w:rPr>
        <w:t xml:space="preserve"> </w:t>
      </w:r>
      <w:r w:rsidRPr="006B17F5">
        <w:rPr>
          <w:color w:val="333333"/>
          <w:sz w:val="22"/>
          <w:szCs w:val="22"/>
          <w:shd w:val="clear" w:color="auto" w:fill="FFFFFF"/>
        </w:rPr>
        <w:t xml:space="preserve">an amount equal to any federal financial participation revenues claimed and received by the </w:t>
      </w:r>
      <w:r w:rsidR="00B13F75" w:rsidRPr="006B17F5">
        <w:rPr>
          <w:color w:val="333333"/>
          <w:sz w:val="22"/>
          <w:szCs w:val="22"/>
          <w:shd w:val="clear" w:color="auto" w:fill="FFFFFF"/>
        </w:rPr>
        <w:t>C</w:t>
      </w:r>
      <w:r w:rsidRPr="006B17F5">
        <w:rPr>
          <w:color w:val="333333"/>
          <w:sz w:val="22"/>
          <w:szCs w:val="22"/>
          <w:shd w:val="clear" w:color="auto" w:fill="FFFFFF"/>
        </w:rPr>
        <w:t xml:space="preserve">ommonwealth for eligible expenditures made from the </w:t>
      </w:r>
      <w:r w:rsidR="00FA4134" w:rsidRPr="006B17F5">
        <w:rPr>
          <w:color w:val="333333"/>
          <w:sz w:val="22"/>
          <w:szCs w:val="22"/>
          <w:shd w:val="clear" w:color="auto" w:fill="FFFFFF"/>
        </w:rPr>
        <w:t xml:space="preserve">Trust </w:t>
      </w:r>
      <w:proofErr w:type="gramStart"/>
      <w:r w:rsidR="00FA4134" w:rsidRPr="006B17F5">
        <w:rPr>
          <w:color w:val="333333"/>
          <w:sz w:val="22"/>
          <w:szCs w:val="22"/>
          <w:shd w:val="clear" w:color="auto" w:fill="FFFFFF"/>
        </w:rPr>
        <w:t>Fund</w:t>
      </w:r>
      <w:r w:rsidRPr="006B17F5">
        <w:rPr>
          <w:color w:val="333333"/>
          <w:sz w:val="22"/>
          <w:szCs w:val="22"/>
          <w:shd w:val="clear" w:color="auto" w:fill="FFFFFF"/>
        </w:rPr>
        <w:t>;</w:t>
      </w:r>
      <w:proofErr w:type="gramEnd"/>
      <w:r w:rsidRPr="006B17F5">
        <w:rPr>
          <w:color w:val="333333"/>
          <w:sz w:val="22"/>
          <w:szCs w:val="22"/>
          <w:shd w:val="clear" w:color="auto" w:fill="FFFFFF"/>
        </w:rPr>
        <w:t xml:space="preserve"> </w:t>
      </w:r>
    </w:p>
    <w:p w14:paraId="38F4EBBF" w14:textId="3718A1DC" w:rsidR="00625E33" w:rsidRPr="006B17F5" w:rsidRDefault="00625E33" w:rsidP="00625E33">
      <w:pPr>
        <w:ind w:left="1095"/>
        <w:rPr>
          <w:color w:val="333333"/>
          <w:sz w:val="22"/>
          <w:szCs w:val="22"/>
          <w:shd w:val="clear" w:color="auto" w:fill="FFFFFF"/>
        </w:rPr>
      </w:pPr>
      <w:r w:rsidRPr="006B17F5">
        <w:rPr>
          <w:color w:val="333333"/>
          <w:sz w:val="22"/>
          <w:szCs w:val="22"/>
          <w:shd w:val="clear" w:color="auto" w:fill="FFFFFF"/>
        </w:rPr>
        <w:t xml:space="preserve">(c) </w:t>
      </w:r>
      <w:r w:rsidR="00496095" w:rsidRPr="006B17F5">
        <w:rPr>
          <w:color w:val="333333"/>
          <w:sz w:val="22"/>
          <w:szCs w:val="22"/>
          <w:shd w:val="clear" w:color="auto" w:fill="FFFFFF"/>
        </w:rPr>
        <w:t xml:space="preserve"> </w:t>
      </w:r>
      <w:r w:rsidRPr="006B17F5">
        <w:rPr>
          <w:color w:val="333333"/>
          <w:sz w:val="22"/>
          <w:szCs w:val="22"/>
          <w:shd w:val="clear" w:color="auto" w:fill="FFFFFF"/>
        </w:rPr>
        <w:t xml:space="preserve">any revenue from appropriations or other money authorized by the general court and specifically designated to be credited to the </w:t>
      </w:r>
      <w:r w:rsidR="003D79AA" w:rsidRPr="006B17F5">
        <w:rPr>
          <w:color w:val="333333"/>
          <w:sz w:val="22"/>
          <w:szCs w:val="22"/>
          <w:shd w:val="clear" w:color="auto" w:fill="FFFFFF"/>
        </w:rPr>
        <w:t>T</w:t>
      </w:r>
      <w:r w:rsidRPr="006B17F5">
        <w:rPr>
          <w:color w:val="333333"/>
          <w:sz w:val="22"/>
          <w:szCs w:val="22"/>
          <w:shd w:val="clear" w:color="auto" w:fill="FFFFFF"/>
        </w:rPr>
        <w:t>rust Fund;</w:t>
      </w:r>
      <w:r w:rsidR="00823224" w:rsidRPr="006B17F5">
        <w:rPr>
          <w:color w:val="333333"/>
          <w:sz w:val="22"/>
          <w:szCs w:val="22"/>
          <w:shd w:val="clear" w:color="auto" w:fill="FFFFFF"/>
        </w:rPr>
        <w:t xml:space="preserve"> and</w:t>
      </w:r>
    </w:p>
    <w:p w14:paraId="2704BFF3" w14:textId="28BFB6A1" w:rsidR="00625E33" w:rsidRPr="006B17F5" w:rsidRDefault="00625E33" w:rsidP="003D79AA">
      <w:pPr>
        <w:ind w:left="1095"/>
        <w:rPr>
          <w:sz w:val="22"/>
          <w:szCs w:val="22"/>
        </w:rPr>
      </w:pPr>
      <w:r w:rsidRPr="006B17F5">
        <w:rPr>
          <w:color w:val="333333"/>
          <w:sz w:val="22"/>
          <w:szCs w:val="22"/>
          <w:shd w:val="clear" w:color="auto" w:fill="FFFFFF"/>
        </w:rPr>
        <w:t>(d</w:t>
      </w:r>
      <w:r w:rsidR="006227E4" w:rsidRPr="006B17F5">
        <w:rPr>
          <w:color w:val="333333"/>
          <w:sz w:val="22"/>
          <w:szCs w:val="22"/>
          <w:shd w:val="clear" w:color="auto" w:fill="FFFFFF"/>
        </w:rPr>
        <w:t>)</w:t>
      </w:r>
      <w:r w:rsidRPr="006B17F5">
        <w:rPr>
          <w:color w:val="333333"/>
          <w:sz w:val="22"/>
          <w:szCs w:val="22"/>
          <w:shd w:val="clear" w:color="auto" w:fill="FFFFFF"/>
        </w:rPr>
        <w:t xml:space="preserve"> </w:t>
      </w:r>
      <w:r w:rsidR="00496095" w:rsidRPr="006B17F5">
        <w:rPr>
          <w:color w:val="333333"/>
          <w:sz w:val="22"/>
          <w:szCs w:val="22"/>
          <w:shd w:val="clear" w:color="auto" w:fill="FFFFFF"/>
        </w:rPr>
        <w:t xml:space="preserve"> </w:t>
      </w:r>
      <w:r w:rsidRPr="006B17F5">
        <w:rPr>
          <w:color w:val="333333"/>
          <w:sz w:val="22"/>
          <w:szCs w:val="22"/>
          <w:shd w:val="clear" w:color="auto" w:fill="FFFFFF"/>
        </w:rPr>
        <w:t xml:space="preserve">interest earned on any money in the </w:t>
      </w:r>
      <w:r w:rsidR="003D79AA" w:rsidRPr="006B17F5">
        <w:rPr>
          <w:color w:val="333333"/>
          <w:sz w:val="22"/>
          <w:szCs w:val="22"/>
          <w:shd w:val="clear" w:color="auto" w:fill="FFFFFF"/>
        </w:rPr>
        <w:t>Trust Fund</w:t>
      </w:r>
      <w:r w:rsidR="00D97618" w:rsidRPr="006B17F5">
        <w:rPr>
          <w:color w:val="333333"/>
          <w:sz w:val="22"/>
          <w:szCs w:val="22"/>
          <w:shd w:val="clear" w:color="auto" w:fill="FFFFFF"/>
        </w:rPr>
        <w:t>.</w:t>
      </w:r>
    </w:p>
    <w:p w14:paraId="7C44A4A4" w14:textId="77777777" w:rsidR="00ED4F94" w:rsidRPr="006B17F5" w:rsidRDefault="00ED4F94" w:rsidP="00387BBA">
      <w:pPr>
        <w:ind w:left="1080"/>
        <w:rPr>
          <w:sz w:val="22"/>
          <w:szCs w:val="22"/>
        </w:rPr>
      </w:pPr>
    </w:p>
    <w:p w14:paraId="706D1FD6" w14:textId="130488B2" w:rsidR="00EA577C" w:rsidRPr="006B17F5" w:rsidRDefault="00496095" w:rsidP="003B2C2B">
      <w:pPr>
        <w:ind w:left="720"/>
        <w:rPr>
          <w:sz w:val="22"/>
          <w:szCs w:val="22"/>
        </w:rPr>
      </w:pPr>
      <w:r w:rsidRPr="006B17F5">
        <w:rPr>
          <w:sz w:val="22"/>
          <w:szCs w:val="22"/>
        </w:rPr>
        <w:t xml:space="preserve">(2)  </w:t>
      </w:r>
      <w:r w:rsidR="00AA0572" w:rsidRPr="006B17F5">
        <w:rPr>
          <w:sz w:val="22"/>
          <w:szCs w:val="22"/>
          <w:u w:val="single"/>
        </w:rPr>
        <w:t xml:space="preserve">Payment </w:t>
      </w:r>
      <w:r w:rsidRPr="006B17F5">
        <w:rPr>
          <w:sz w:val="22"/>
          <w:szCs w:val="22"/>
          <w:u w:val="single"/>
        </w:rPr>
        <w:t>t</w:t>
      </w:r>
      <w:r w:rsidR="004E778B" w:rsidRPr="006B17F5">
        <w:rPr>
          <w:sz w:val="22"/>
          <w:szCs w:val="22"/>
          <w:u w:val="single"/>
        </w:rPr>
        <w:t xml:space="preserve">o Nonpublic Ambulance </w:t>
      </w:r>
      <w:r w:rsidR="008D7897" w:rsidRPr="006B17F5">
        <w:rPr>
          <w:sz w:val="22"/>
          <w:szCs w:val="22"/>
          <w:u w:val="single"/>
        </w:rPr>
        <w:t>Providers</w:t>
      </w:r>
      <w:r w:rsidR="00AA0572" w:rsidRPr="006B17F5">
        <w:rPr>
          <w:sz w:val="22"/>
          <w:szCs w:val="22"/>
        </w:rPr>
        <w:t>.</w:t>
      </w:r>
      <w:r w:rsidR="00754028" w:rsidRPr="006B17F5">
        <w:rPr>
          <w:sz w:val="22"/>
          <w:szCs w:val="22"/>
        </w:rPr>
        <w:t xml:space="preserve"> </w:t>
      </w:r>
      <w:r w:rsidR="00B13F75" w:rsidRPr="006B17F5">
        <w:rPr>
          <w:sz w:val="22"/>
          <w:szCs w:val="22"/>
        </w:rPr>
        <w:t xml:space="preserve"> </w:t>
      </w:r>
      <w:r w:rsidR="005B2E87" w:rsidRPr="006B17F5">
        <w:rPr>
          <w:sz w:val="22"/>
          <w:szCs w:val="22"/>
        </w:rPr>
        <w:t xml:space="preserve">Each quarter, EOHHS </w:t>
      </w:r>
      <w:r w:rsidRPr="006B17F5">
        <w:rPr>
          <w:sz w:val="22"/>
          <w:szCs w:val="22"/>
        </w:rPr>
        <w:t>will</w:t>
      </w:r>
      <w:r w:rsidR="005B2E87" w:rsidRPr="006B17F5">
        <w:rPr>
          <w:sz w:val="22"/>
          <w:szCs w:val="22"/>
        </w:rPr>
        <w:t xml:space="preserve">, to the extent possible, expend all funding in the Trust Fund </w:t>
      </w:r>
      <w:r w:rsidR="006227E4" w:rsidRPr="006B17F5">
        <w:rPr>
          <w:sz w:val="22"/>
          <w:szCs w:val="22"/>
        </w:rPr>
        <w:t xml:space="preserve">for Medicaid payments to </w:t>
      </w:r>
      <w:r w:rsidR="00E9326E" w:rsidRPr="006B17F5">
        <w:rPr>
          <w:sz w:val="22"/>
          <w:szCs w:val="22"/>
        </w:rPr>
        <w:t xml:space="preserve">nonpublic ambulance </w:t>
      </w:r>
      <w:r w:rsidR="008D7897" w:rsidRPr="006B17F5">
        <w:rPr>
          <w:sz w:val="22"/>
          <w:szCs w:val="22"/>
        </w:rPr>
        <w:t xml:space="preserve">providers </w:t>
      </w:r>
      <w:r w:rsidR="00783A3E" w:rsidRPr="006B17F5">
        <w:rPr>
          <w:sz w:val="22"/>
          <w:szCs w:val="22"/>
        </w:rPr>
        <w:t xml:space="preserve">pursuant to 101 CMR </w:t>
      </w:r>
      <w:r w:rsidR="008D7897" w:rsidRPr="006B17F5">
        <w:rPr>
          <w:sz w:val="22"/>
          <w:szCs w:val="22"/>
        </w:rPr>
        <w:t>327</w:t>
      </w:r>
      <w:r w:rsidR="00EA577C" w:rsidRPr="006B17F5">
        <w:rPr>
          <w:sz w:val="22"/>
          <w:szCs w:val="22"/>
        </w:rPr>
        <w:t>.</w:t>
      </w:r>
      <w:r w:rsidR="00E46014" w:rsidRPr="006B17F5">
        <w:rPr>
          <w:sz w:val="22"/>
          <w:szCs w:val="22"/>
        </w:rPr>
        <w:t>0</w:t>
      </w:r>
      <w:r w:rsidR="005005F7" w:rsidRPr="006B17F5">
        <w:rPr>
          <w:sz w:val="22"/>
          <w:szCs w:val="22"/>
        </w:rPr>
        <w:t>5</w:t>
      </w:r>
      <w:r w:rsidRPr="006B17F5">
        <w:rPr>
          <w:sz w:val="22"/>
          <w:szCs w:val="22"/>
        </w:rPr>
        <w:t xml:space="preserve">: </w:t>
      </w:r>
      <w:r w:rsidR="00437641" w:rsidRPr="006B17F5">
        <w:rPr>
          <w:i/>
          <w:sz w:val="22"/>
          <w:szCs w:val="22"/>
        </w:rPr>
        <w:t>Nonpublic Ambulance Supplemental Payment Provisions</w:t>
      </w:r>
      <w:r w:rsidR="00EA577C" w:rsidRPr="006B17F5">
        <w:rPr>
          <w:sz w:val="22"/>
          <w:szCs w:val="22"/>
        </w:rPr>
        <w:t>.</w:t>
      </w:r>
      <w:r w:rsidR="006227E4" w:rsidRPr="006B17F5">
        <w:rPr>
          <w:sz w:val="22"/>
          <w:szCs w:val="22"/>
        </w:rPr>
        <w:t xml:space="preserve"> No expenditure </w:t>
      </w:r>
      <w:r w:rsidR="00920FA6" w:rsidRPr="006B17F5">
        <w:rPr>
          <w:sz w:val="22"/>
          <w:szCs w:val="22"/>
        </w:rPr>
        <w:t xml:space="preserve">will </w:t>
      </w:r>
      <w:r w:rsidR="006227E4" w:rsidRPr="006B17F5">
        <w:rPr>
          <w:sz w:val="22"/>
          <w:szCs w:val="22"/>
        </w:rPr>
        <w:t xml:space="preserve">be made from the Trust Fund </w:t>
      </w:r>
      <w:r w:rsidR="00920FA6" w:rsidRPr="006B17F5">
        <w:rPr>
          <w:sz w:val="22"/>
          <w:szCs w:val="22"/>
        </w:rPr>
        <w:t>that will</w:t>
      </w:r>
      <w:r w:rsidR="006227E4" w:rsidRPr="006B17F5">
        <w:rPr>
          <w:sz w:val="22"/>
          <w:szCs w:val="22"/>
        </w:rPr>
        <w:t xml:space="preserve"> cause the Trust Fund to be in </w:t>
      </w:r>
      <w:r w:rsidR="00485500" w:rsidRPr="006B17F5">
        <w:rPr>
          <w:sz w:val="22"/>
          <w:szCs w:val="22"/>
        </w:rPr>
        <w:t>deficit</w:t>
      </w:r>
      <w:r w:rsidR="006227E4" w:rsidRPr="006B17F5">
        <w:rPr>
          <w:sz w:val="22"/>
          <w:szCs w:val="22"/>
        </w:rPr>
        <w:t xml:space="preserve"> at the close of a fiscal year. </w:t>
      </w:r>
    </w:p>
    <w:p w14:paraId="256B431D" w14:textId="77777777" w:rsidR="007308B3" w:rsidRPr="006B17F5" w:rsidRDefault="007308B3" w:rsidP="00496095">
      <w:pPr>
        <w:rPr>
          <w:sz w:val="22"/>
          <w:szCs w:val="22"/>
        </w:rPr>
      </w:pPr>
    </w:p>
    <w:p w14:paraId="1EFA7871" w14:textId="081CC237" w:rsidR="00FA4134" w:rsidRPr="006B17F5" w:rsidRDefault="00496095" w:rsidP="003B2C2B">
      <w:pPr>
        <w:ind w:left="720"/>
        <w:rPr>
          <w:sz w:val="22"/>
          <w:szCs w:val="22"/>
        </w:rPr>
      </w:pPr>
      <w:r w:rsidRPr="006B17F5">
        <w:rPr>
          <w:sz w:val="22"/>
          <w:szCs w:val="22"/>
        </w:rPr>
        <w:t xml:space="preserve">(3)  </w:t>
      </w:r>
      <w:r w:rsidR="009F5D91" w:rsidRPr="006B17F5">
        <w:rPr>
          <w:sz w:val="22"/>
          <w:szCs w:val="22"/>
          <w:u w:val="single"/>
        </w:rPr>
        <w:t>Administrative</w:t>
      </w:r>
      <w:r w:rsidR="007308B3" w:rsidRPr="006B17F5">
        <w:rPr>
          <w:sz w:val="22"/>
          <w:szCs w:val="22"/>
          <w:u w:val="single"/>
        </w:rPr>
        <w:t xml:space="preserve"> </w:t>
      </w:r>
      <w:r w:rsidR="004E778B" w:rsidRPr="006B17F5">
        <w:rPr>
          <w:sz w:val="22"/>
          <w:szCs w:val="22"/>
          <w:u w:val="single"/>
        </w:rPr>
        <w:t>C</w:t>
      </w:r>
      <w:r w:rsidR="007308B3" w:rsidRPr="006B17F5">
        <w:rPr>
          <w:sz w:val="22"/>
          <w:szCs w:val="22"/>
          <w:u w:val="single"/>
        </w:rPr>
        <w:t>osts</w:t>
      </w:r>
      <w:r w:rsidR="007308B3" w:rsidRPr="006B17F5">
        <w:rPr>
          <w:sz w:val="22"/>
          <w:szCs w:val="22"/>
        </w:rPr>
        <w:t>.  $500,000 annually will be transferred to the EOHHS for its administrative costs</w:t>
      </w:r>
      <w:r w:rsidR="006727E5" w:rsidRPr="006B17F5">
        <w:rPr>
          <w:sz w:val="22"/>
          <w:szCs w:val="22"/>
        </w:rPr>
        <w:t xml:space="preserve">.  </w:t>
      </w:r>
    </w:p>
    <w:p w14:paraId="09EB56C7" w14:textId="77777777" w:rsidR="00FA4134" w:rsidRPr="006B17F5" w:rsidRDefault="00FA4134" w:rsidP="00FA4134">
      <w:pPr>
        <w:pStyle w:val="ListParagraph"/>
        <w:rPr>
          <w:sz w:val="22"/>
          <w:szCs w:val="22"/>
        </w:rPr>
      </w:pPr>
    </w:p>
    <w:p w14:paraId="246CCDF6" w14:textId="224C7FF2" w:rsidR="00673B5A" w:rsidRPr="006B17F5" w:rsidRDefault="00250F9E" w:rsidP="00673B5A">
      <w:pPr>
        <w:outlineLvl w:val="0"/>
        <w:rPr>
          <w:rStyle w:val="Style11ptUnderline"/>
          <w:szCs w:val="22"/>
        </w:rPr>
      </w:pPr>
      <w:r w:rsidRPr="006B17F5">
        <w:rPr>
          <w:rStyle w:val="Style11ptUnderline"/>
          <w:szCs w:val="22"/>
        </w:rPr>
        <w:t>324</w:t>
      </w:r>
      <w:r w:rsidR="00673B5A" w:rsidRPr="006B17F5">
        <w:rPr>
          <w:rStyle w:val="Style11ptUnderline"/>
          <w:szCs w:val="22"/>
        </w:rPr>
        <w:t>.04:  Non</w:t>
      </w:r>
      <w:r w:rsidR="0079792F" w:rsidRPr="006B17F5">
        <w:rPr>
          <w:rStyle w:val="Style11ptUnderline"/>
          <w:szCs w:val="22"/>
        </w:rPr>
        <w:t>public</w:t>
      </w:r>
      <w:r w:rsidR="00673B5A" w:rsidRPr="006B17F5">
        <w:rPr>
          <w:rStyle w:val="Style11ptUnderline"/>
          <w:szCs w:val="22"/>
        </w:rPr>
        <w:t xml:space="preserve"> Ambulance</w:t>
      </w:r>
      <w:r w:rsidR="008D7897" w:rsidRPr="006B17F5">
        <w:rPr>
          <w:rStyle w:val="Style11ptUnderline"/>
          <w:szCs w:val="22"/>
        </w:rPr>
        <w:t xml:space="preserve"> Provider’s</w:t>
      </w:r>
      <w:r w:rsidR="00673B5A" w:rsidRPr="006B17F5">
        <w:rPr>
          <w:rStyle w:val="Style11ptUnderline"/>
          <w:szCs w:val="22"/>
        </w:rPr>
        <w:t xml:space="preserve"> Liability </w:t>
      </w:r>
      <w:r w:rsidR="00CC1824" w:rsidRPr="006B17F5">
        <w:rPr>
          <w:rStyle w:val="Style11ptUnderline"/>
          <w:szCs w:val="22"/>
        </w:rPr>
        <w:t xml:space="preserve">and Payment </w:t>
      </w:r>
      <w:r w:rsidR="00673B5A" w:rsidRPr="006B17F5">
        <w:rPr>
          <w:rStyle w:val="Style11ptUnderline"/>
          <w:szCs w:val="22"/>
        </w:rPr>
        <w:t xml:space="preserve">to the </w:t>
      </w:r>
      <w:r w:rsidR="00673B5A" w:rsidRPr="006B17F5">
        <w:rPr>
          <w:sz w:val="22"/>
          <w:szCs w:val="22"/>
          <w:u w:val="single"/>
        </w:rPr>
        <w:t>Nonpublic Ambulance Service Reimbursement Trust Fund</w:t>
      </w:r>
    </w:p>
    <w:p w14:paraId="7D261CA6" w14:textId="77777777" w:rsidR="00673B5A" w:rsidRPr="006B17F5" w:rsidRDefault="00673B5A" w:rsidP="00673B5A">
      <w:pPr>
        <w:ind w:left="1440"/>
        <w:rPr>
          <w:sz w:val="22"/>
          <w:szCs w:val="22"/>
        </w:rPr>
      </w:pPr>
    </w:p>
    <w:p w14:paraId="3A25F4AE" w14:textId="5AD6B05F" w:rsidR="00E20203" w:rsidRPr="006B17F5" w:rsidRDefault="00496095" w:rsidP="003B2C2B">
      <w:pPr>
        <w:ind w:left="720"/>
        <w:rPr>
          <w:color w:val="333333"/>
          <w:sz w:val="22"/>
          <w:szCs w:val="22"/>
          <w:shd w:val="clear" w:color="auto" w:fill="FFFFFF"/>
        </w:rPr>
      </w:pPr>
      <w:r w:rsidRPr="006B17F5">
        <w:rPr>
          <w:color w:val="333333"/>
          <w:sz w:val="22"/>
          <w:szCs w:val="22"/>
          <w:shd w:val="clear" w:color="auto" w:fill="FFFFFF"/>
        </w:rPr>
        <w:t xml:space="preserve">(1)  </w:t>
      </w:r>
      <w:r w:rsidR="00106235" w:rsidRPr="006B17F5">
        <w:rPr>
          <w:color w:val="333333"/>
          <w:sz w:val="22"/>
          <w:szCs w:val="22"/>
          <w:u w:val="single"/>
          <w:shd w:val="clear" w:color="auto" w:fill="FFFFFF"/>
        </w:rPr>
        <w:t xml:space="preserve">Uniform </w:t>
      </w:r>
      <w:r w:rsidR="004E778B" w:rsidRPr="006B17F5">
        <w:rPr>
          <w:color w:val="333333"/>
          <w:sz w:val="22"/>
          <w:szCs w:val="22"/>
          <w:u w:val="single"/>
          <w:shd w:val="clear" w:color="auto" w:fill="FFFFFF"/>
        </w:rPr>
        <w:t>A</w:t>
      </w:r>
      <w:r w:rsidR="00106235" w:rsidRPr="006B17F5">
        <w:rPr>
          <w:color w:val="333333"/>
          <w:sz w:val="22"/>
          <w:szCs w:val="22"/>
          <w:u w:val="single"/>
          <w:shd w:val="clear" w:color="auto" w:fill="FFFFFF"/>
        </w:rPr>
        <w:t>ssessment</w:t>
      </w:r>
      <w:r w:rsidR="00106235" w:rsidRPr="006B17F5">
        <w:rPr>
          <w:color w:val="333333"/>
          <w:sz w:val="22"/>
          <w:szCs w:val="22"/>
          <w:shd w:val="clear" w:color="auto" w:fill="FFFFFF"/>
        </w:rPr>
        <w:t>.</w:t>
      </w:r>
      <w:r w:rsidR="009F5D91" w:rsidRPr="006B17F5">
        <w:rPr>
          <w:color w:val="333333"/>
          <w:sz w:val="22"/>
          <w:szCs w:val="22"/>
          <w:shd w:val="clear" w:color="auto" w:fill="FFFFFF"/>
        </w:rPr>
        <w:t xml:space="preserve">  </w:t>
      </w:r>
      <w:r w:rsidR="00E20203" w:rsidRPr="006B17F5">
        <w:rPr>
          <w:color w:val="333333"/>
          <w:sz w:val="22"/>
          <w:szCs w:val="22"/>
          <w:shd w:val="clear" w:color="auto" w:fill="FFFFFF"/>
        </w:rPr>
        <w:t xml:space="preserve">EOHHS </w:t>
      </w:r>
      <w:r w:rsidR="00920FA6" w:rsidRPr="006B17F5">
        <w:rPr>
          <w:color w:val="333333"/>
          <w:sz w:val="22"/>
          <w:szCs w:val="22"/>
          <w:shd w:val="clear" w:color="auto" w:fill="FFFFFF"/>
        </w:rPr>
        <w:t xml:space="preserve">will </w:t>
      </w:r>
      <w:r w:rsidR="00E20203" w:rsidRPr="006B17F5">
        <w:rPr>
          <w:color w:val="333333"/>
          <w:sz w:val="22"/>
          <w:szCs w:val="22"/>
          <w:shd w:val="clear" w:color="auto" w:fill="FFFFFF"/>
        </w:rPr>
        <w:t xml:space="preserve">annually set the </w:t>
      </w:r>
      <w:r w:rsidR="00106235" w:rsidRPr="006B17F5">
        <w:rPr>
          <w:color w:val="333333"/>
          <w:sz w:val="22"/>
          <w:szCs w:val="22"/>
          <w:shd w:val="clear" w:color="auto" w:fill="FFFFFF"/>
        </w:rPr>
        <w:t>uniform assessment</w:t>
      </w:r>
      <w:r w:rsidR="00E20203" w:rsidRPr="006B17F5">
        <w:rPr>
          <w:color w:val="333333"/>
          <w:sz w:val="22"/>
          <w:szCs w:val="22"/>
          <w:shd w:val="clear" w:color="auto" w:fill="FFFFFF"/>
        </w:rPr>
        <w:t xml:space="preserve"> </w:t>
      </w:r>
      <w:r w:rsidR="00106235" w:rsidRPr="006B17F5">
        <w:rPr>
          <w:color w:val="333333"/>
          <w:sz w:val="22"/>
          <w:szCs w:val="22"/>
          <w:shd w:val="clear" w:color="auto" w:fill="FFFFFF"/>
        </w:rPr>
        <w:t>at a percentage</w:t>
      </w:r>
      <w:r w:rsidR="00E20203" w:rsidRPr="006B17F5">
        <w:rPr>
          <w:color w:val="333333"/>
          <w:sz w:val="22"/>
          <w:szCs w:val="22"/>
          <w:shd w:val="clear" w:color="auto" w:fill="FFFFFF"/>
        </w:rPr>
        <w:t xml:space="preserve"> not less than </w:t>
      </w:r>
      <w:r w:rsidR="00823224" w:rsidRPr="006B17F5">
        <w:rPr>
          <w:color w:val="333333"/>
          <w:sz w:val="22"/>
          <w:szCs w:val="22"/>
          <w:shd w:val="clear" w:color="auto" w:fill="FFFFFF"/>
        </w:rPr>
        <w:t>0.25</w:t>
      </w:r>
      <w:r w:rsidR="00920FA6" w:rsidRPr="006B17F5">
        <w:rPr>
          <w:color w:val="333333"/>
          <w:sz w:val="22"/>
          <w:szCs w:val="22"/>
          <w:shd w:val="clear" w:color="auto" w:fill="FFFFFF"/>
        </w:rPr>
        <w:t xml:space="preserve">% </w:t>
      </w:r>
      <w:r w:rsidR="00E20203" w:rsidRPr="006B17F5">
        <w:rPr>
          <w:color w:val="333333"/>
          <w:sz w:val="22"/>
          <w:szCs w:val="22"/>
          <w:shd w:val="clear" w:color="auto" w:fill="FFFFFF"/>
        </w:rPr>
        <w:t>lower than the maximum limit for a provi</w:t>
      </w:r>
      <w:r w:rsidR="00366A49" w:rsidRPr="006B17F5">
        <w:rPr>
          <w:color w:val="333333"/>
          <w:sz w:val="22"/>
          <w:szCs w:val="22"/>
          <w:shd w:val="clear" w:color="auto" w:fill="FFFFFF"/>
        </w:rPr>
        <w:t>der assessment pursuant to 42 CFR</w:t>
      </w:r>
      <w:r w:rsidR="00E20203" w:rsidRPr="006B17F5">
        <w:rPr>
          <w:color w:val="333333"/>
          <w:sz w:val="22"/>
          <w:szCs w:val="22"/>
          <w:shd w:val="clear" w:color="auto" w:fill="FFFFFF"/>
        </w:rPr>
        <w:t xml:space="preserve"> 433.68(f), inclusive of an annual amount of $500,000; provided, that the annual amount of $500,000 </w:t>
      </w:r>
      <w:r w:rsidR="00920FA6" w:rsidRPr="006B17F5">
        <w:rPr>
          <w:color w:val="333333"/>
          <w:sz w:val="22"/>
          <w:szCs w:val="22"/>
          <w:shd w:val="clear" w:color="auto" w:fill="FFFFFF"/>
        </w:rPr>
        <w:t xml:space="preserve">will </w:t>
      </w:r>
      <w:r w:rsidR="00E20203" w:rsidRPr="006B17F5">
        <w:rPr>
          <w:color w:val="333333"/>
          <w:sz w:val="22"/>
          <w:szCs w:val="22"/>
          <w:shd w:val="clear" w:color="auto" w:fill="FFFFFF"/>
        </w:rPr>
        <w:t xml:space="preserve">be for administrative costs of EOHHS as </w:t>
      </w:r>
      <w:r w:rsidR="006727E5" w:rsidRPr="006B17F5">
        <w:rPr>
          <w:color w:val="333333"/>
          <w:sz w:val="22"/>
          <w:szCs w:val="22"/>
          <w:shd w:val="clear" w:color="auto" w:fill="FFFFFF"/>
        </w:rPr>
        <w:t>described</w:t>
      </w:r>
      <w:r w:rsidR="00E20203" w:rsidRPr="006B17F5">
        <w:rPr>
          <w:color w:val="333333"/>
          <w:sz w:val="22"/>
          <w:szCs w:val="22"/>
          <w:shd w:val="clear" w:color="auto" w:fill="FFFFFF"/>
        </w:rPr>
        <w:t xml:space="preserve"> in 101 CMR </w:t>
      </w:r>
      <w:r w:rsidR="003B332D" w:rsidRPr="006B17F5">
        <w:rPr>
          <w:color w:val="333333"/>
          <w:sz w:val="22"/>
          <w:szCs w:val="22"/>
          <w:shd w:val="clear" w:color="auto" w:fill="FFFFFF"/>
        </w:rPr>
        <w:t>324</w:t>
      </w:r>
      <w:r w:rsidR="00E20203" w:rsidRPr="006B17F5">
        <w:rPr>
          <w:color w:val="333333"/>
          <w:sz w:val="22"/>
          <w:szCs w:val="22"/>
          <w:shd w:val="clear" w:color="auto" w:fill="FFFFFF"/>
        </w:rPr>
        <w:t xml:space="preserve">.03(3). </w:t>
      </w:r>
      <w:r w:rsidR="00A040E7" w:rsidRPr="006B17F5">
        <w:rPr>
          <w:color w:val="333333"/>
          <w:sz w:val="22"/>
          <w:szCs w:val="22"/>
          <w:shd w:val="clear" w:color="auto" w:fill="FFFFFF"/>
        </w:rPr>
        <w:t xml:space="preserve">This </w:t>
      </w:r>
      <w:r w:rsidR="00106235" w:rsidRPr="006B17F5">
        <w:rPr>
          <w:color w:val="333333"/>
          <w:sz w:val="22"/>
          <w:szCs w:val="22"/>
          <w:shd w:val="clear" w:color="auto" w:fill="FFFFFF"/>
        </w:rPr>
        <w:t xml:space="preserve">percentage </w:t>
      </w:r>
      <w:r w:rsidR="004F5C3C" w:rsidRPr="006B17F5">
        <w:rPr>
          <w:color w:val="333333"/>
          <w:sz w:val="22"/>
          <w:szCs w:val="22"/>
          <w:shd w:val="clear" w:color="auto" w:fill="FFFFFF"/>
        </w:rPr>
        <w:t xml:space="preserve">will </w:t>
      </w:r>
      <w:r w:rsidR="00A040E7" w:rsidRPr="006B17F5">
        <w:rPr>
          <w:color w:val="333333"/>
          <w:sz w:val="22"/>
          <w:szCs w:val="22"/>
          <w:shd w:val="clear" w:color="auto" w:fill="FFFFFF"/>
        </w:rPr>
        <w:t xml:space="preserve">be listed </w:t>
      </w:r>
      <w:r w:rsidR="00CA1C53" w:rsidRPr="006B17F5">
        <w:rPr>
          <w:color w:val="333333"/>
          <w:sz w:val="22"/>
          <w:szCs w:val="22"/>
          <w:shd w:val="clear" w:color="auto" w:fill="FFFFFF"/>
        </w:rPr>
        <w:t>before October 1</w:t>
      </w:r>
      <w:r w:rsidR="00B527D9" w:rsidRPr="006B17F5">
        <w:rPr>
          <w:color w:val="333333"/>
          <w:sz w:val="22"/>
          <w:szCs w:val="22"/>
          <w:shd w:val="clear" w:color="auto" w:fill="FFFFFF"/>
          <w:vertAlign w:val="superscript"/>
        </w:rPr>
        <w:t>st</w:t>
      </w:r>
      <w:r w:rsidR="00CA1C53" w:rsidRPr="006B17F5">
        <w:rPr>
          <w:color w:val="333333"/>
          <w:sz w:val="22"/>
          <w:szCs w:val="22"/>
          <w:shd w:val="clear" w:color="auto" w:fill="FFFFFF"/>
        </w:rPr>
        <w:t xml:space="preserve"> </w:t>
      </w:r>
      <w:r w:rsidR="00A040E7" w:rsidRPr="006B17F5">
        <w:rPr>
          <w:color w:val="333333"/>
          <w:sz w:val="22"/>
          <w:szCs w:val="22"/>
          <w:shd w:val="clear" w:color="auto" w:fill="FFFFFF"/>
        </w:rPr>
        <w:t>of each year</w:t>
      </w:r>
      <w:r w:rsidR="004B6831" w:rsidRPr="006B17F5">
        <w:rPr>
          <w:color w:val="333333"/>
          <w:sz w:val="22"/>
          <w:szCs w:val="22"/>
          <w:shd w:val="clear" w:color="auto" w:fill="FFFFFF"/>
        </w:rPr>
        <w:t xml:space="preserve"> and </w:t>
      </w:r>
      <w:r w:rsidR="004F5C3C" w:rsidRPr="006B17F5">
        <w:rPr>
          <w:color w:val="333333"/>
          <w:sz w:val="22"/>
          <w:szCs w:val="22"/>
          <w:shd w:val="clear" w:color="auto" w:fill="FFFFFF"/>
        </w:rPr>
        <w:t xml:space="preserve">will </w:t>
      </w:r>
      <w:r w:rsidR="004B6831" w:rsidRPr="006B17F5">
        <w:rPr>
          <w:color w:val="333333"/>
          <w:sz w:val="22"/>
          <w:szCs w:val="22"/>
          <w:shd w:val="clear" w:color="auto" w:fill="FFFFFF"/>
        </w:rPr>
        <w:t xml:space="preserve">be set as a percentage of the nonpublic emergency ambulance assessed charges of </w:t>
      </w:r>
      <w:r w:rsidR="0079792F" w:rsidRPr="006B17F5">
        <w:rPr>
          <w:color w:val="333333"/>
          <w:sz w:val="22"/>
          <w:szCs w:val="22"/>
          <w:shd w:val="clear" w:color="auto" w:fill="FFFFFF"/>
        </w:rPr>
        <w:t>e</w:t>
      </w:r>
      <w:r w:rsidR="004B6831" w:rsidRPr="006B17F5">
        <w:rPr>
          <w:color w:val="333333"/>
          <w:sz w:val="22"/>
          <w:szCs w:val="22"/>
          <w:shd w:val="clear" w:color="auto" w:fill="FFFFFF"/>
        </w:rPr>
        <w:t xml:space="preserve">ach such nonpublic </w:t>
      </w:r>
      <w:r w:rsidR="008D7897" w:rsidRPr="006B17F5">
        <w:rPr>
          <w:color w:val="333333"/>
          <w:sz w:val="22"/>
          <w:szCs w:val="22"/>
          <w:shd w:val="clear" w:color="auto" w:fill="FFFFFF"/>
        </w:rPr>
        <w:t>ambulance provider</w:t>
      </w:r>
      <w:r w:rsidR="00106235" w:rsidRPr="006B17F5">
        <w:rPr>
          <w:color w:val="333333"/>
          <w:sz w:val="22"/>
          <w:szCs w:val="22"/>
          <w:shd w:val="clear" w:color="auto" w:fill="FFFFFF"/>
        </w:rPr>
        <w:t xml:space="preserve"> for </w:t>
      </w:r>
      <w:r w:rsidR="00832857" w:rsidRPr="006B17F5">
        <w:rPr>
          <w:color w:val="333333"/>
          <w:sz w:val="22"/>
          <w:szCs w:val="22"/>
          <w:shd w:val="clear" w:color="auto" w:fill="FFFFFF"/>
        </w:rPr>
        <w:t xml:space="preserve">its most recently completed </w:t>
      </w:r>
      <w:r w:rsidR="00106235" w:rsidRPr="006B17F5">
        <w:rPr>
          <w:color w:val="333333"/>
          <w:sz w:val="22"/>
          <w:szCs w:val="22"/>
          <w:shd w:val="clear" w:color="auto" w:fill="FFFFFF"/>
        </w:rPr>
        <w:t>fiscal year</w:t>
      </w:r>
      <w:r w:rsidR="00E503E7" w:rsidRPr="006B17F5">
        <w:rPr>
          <w:color w:val="333333"/>
          <w:sz w:val="22"/>
          <w:szCs w:val="22"/>
          <w:shd w:val="clear" w:color="auto" w:fill="FFFFFF"/>
        </w:rPr>
        <w:t xml:space="preserve"> (unless EOHHS determines that the most recent fiscal year does not accurately represent typical total operating revenue for the nonpublic ambulance provider because of exceptional circumstances, in which case EOHHS may use nonpublic </w:t>
      </w:r>
      <w:r w:rsidR="00E503E7" w:rsidRPr="006B17F5">
        <w:rPr>
          <w:color w:val="333333"/>
          <w:sz w:val="22"/>
          <w:szCs w:val="22"/>
          <w:shd w:val="clear" w:color="auto" w:fill="FFFFFF"/>
        </w:rPr>
        <w:lastRenderedPageBreak/>
        <w:t>emergency ambulance assessed charges from an earlier completed fiscal year)</w:t>
      </w:r>
      <w:r w:rsidR="004B6831" w:rsidRPr="006B17F5">
        <w:rPr>
          <w:color w:val="333333"/>
          <w:sz w:val="22"/>
          <w:szCs w:val="22"/>
          <w:shd w:val="clear" w:color="auto" w:fill="FFFFFF"/>
        </w:rPr>
        <w:t>.</w:t>
      </w:r>
      <w:r w:rsidR="00366A49" w:rsidRPr="006B17F5">
        <w:rPr>
          <w:color w:val="333333"/>
          <w:sz w:val="22"/>
          <w:szCs w:val="22"/>
          <w:shd w:val="clear" w:color="auto" w:fill="FFFFFF"/>
        </w:rPr>
        <w:t xml:space="preserve"> </w:t>
      </w:r>
      <w:r w:rsidR="00366A49" w:rsidRPr="006B17F5">
        <w:rPr>
          <w:sz w:val="22"/>
          <w:szCs w:val="22"/>
        </w:rPr>
        <w:t xml:space="preserve">Such uniform assessment will not be implemented unless and until EOHHS receives notice of approval from the Centers for Medicare &amp; Medicaid Services </w:t>
      </w:r>
      <w:r w:rsidR="00F24E40" w:rsidRPr="006B17F5">
        <w:rPr>
          <w:sz w:val="22"/>
          <w:szCs w:val="22"/>
        </w:rPr>
        <w:t xml:space="preserve">of federal financial participation </w:t>
      </w:r>
      <w:r w:rsidR="00366A49" w:rsidRPr="006B17F5">
        <w:rPr>
          <w:sz w:val="22"/>
          <w:szCs w:val="22"/>
        </w:rPr>
        <w:t xml:space="preserve">for expenditures </w:t>
      </w:r>
      <w:r w:rsidR="00D339B2" w:rsidRPr="006B17F5">
        <w:rPr>
          <w:sz w:val="22"/>
          <w:szCs w:val="22"/>
        </w:rPr>
        <w:t>related to the assessment</w:t>
      </w:r>
      <w:r w:rsidR="00BA62B1" w:rsidRPr="006B17F5">
        <w:rPr>
          <w:sz w:val="22"/>
          <w:szCs w:val="22"/>
        </w:rPr>
        <w:t>.</w:t>
      </w:r>
      <w:r w:rsidR="00F24E40" w:rsidRPr="006B17F5">
        <w:rPr>
          <w:sz w:val="22"/>
          <w:szCs w:val="22"/>
        </w:rPr>
        <w:t xml:space="preserve"> U</w:t>
      </w:r>
      <w:r w:rsidR="00003DAE" w:rsidRPr="006B17F5">
        <w:rPr>
          <w:sz w:val="22"/>
          <w:szCs w:val="22"/>
        </w:rPr>
        <w:t>pon receiving such approval, EOHHS may implement the assessment for the quarter beginning July 1, 2021</w:t>
      </w:r>
      <w:r w:rsidR="00032411" w:rsidRPr="006B17F5">
        <w:rPr>
          <w:sz w:val="22"/>
          <w:szCs w:val="22"/>
        </w:rPr>
        <w:t>,</w:t>
      </w:r>
      <w:r w:rsidR="00003DAE" w:rsidRPr="006B17F5">
        <w:rPr>
          <w:sz w:val="22"/>
          <w:szCs w:val="22"/>
        </w:rPr>
        <w:t xml:space="preserve"> </w:t>
      </w:r>
      <w:r w:rsidR="00F24E40" w:rsidRPr="006B17F5">
        <w:rPr>
          <w:sz w:val="22"/>
          <w:szCs w:val="22"/>
        </w:rPr>
        <w:t xml:space="preserve">and </w:t>
      </w:r>
      <w:r w:rsidR="00BA62B1" w:rsidRPr="006B17F5">
        <w:rPr>
          <w:sz w:val="22"/>
          <w:szCs w:val="22"/>
        </w:rPr>
        <w:t xml:space="preserve">later </w:t>
      </w:r>
      <w:r w:rsidR="00003DAE" w:rsidRPr="006B17F5">
        <w:rPr>
          <w:sz w:val="22"/>
          <w:szCs w:val="22"/>
        </w:rPr>
        <w:t>as described in 101 CMR 324.04 (4)(c</w:t>
      </w:r>
      <w:proofErr w:type="gramStart"/>
      <w:r w:rsidR="00003DAE" w:rsidRPr="006B17F5">
        <w:rPr>
          <w:sz w:val="22"/>
          <w:szCs w:val="22"/>
        </w:rPr>
        <w:t>)</w:t>
      </w:r>
      <w:r w:rsidR="00C8160E" w:rsidRPr="006B17F5">
        <w:rPr>
          <w:sz w:val="22"/>
          <w:szCs w:val="22"/>
        </w:rPr>
        <w:t>,</w:t>
      </w:r>
      <w:r w:rsidR="00BA62B1" w:rsidRPr="006B17F5">
        <w:rPr>
          <w:sz w:val="22"/>
          <w:szCs w:val="22"/>
        </w:rPr>
        <w:t xml:space="preserve"> and</w:t>
      </w:r>
      <w:proofErr w:type="gramEnd"/>
      <w:r w:rsidR="00BA62B1" w:rsidRPr="006B17F5">
        <w:rPr>
          <w:sz w:val="22"/>
          <w:szCs w:val="22"/>
        </w:rPr>
        <w:t xml:space="preserve"> require </w:t>
      </w:r>
      <w:r w:rsidR="00F24E40" w:rsidRPr="006B17F5">
        <w:rPr>
          <w:sz w:val="22"/>
          <w:szCs w:val="22"/>
        </w:rPr>
        <w:t>payment within 45 days</w:t>
      </w:r>
      <w:r w:rsidR="00451C7C" w:rsidRPr="006B17F5">
        <w:rPr>
          <w:sz w:val="22"/>
          <w:szCs w:val="22"/>
        </w:rPr>
        <w:t xml:space="preserve"> </w:t>
      </w:r>
      <w:bookmarkStart w:id="0" w:name="_Hlk106983250"/>
      <w:r w:rsidR="00451C7C" w:rsidRPr="006B17F5">
        <w:rPr>
          <w:sz w:val="22"/>
          <w:szCs w:val="22"/>
        </w:rPr>
        <w:t>(or such additional period designated by EOHHS by administrative bulletin or other written guidance)</w:t>
      </w:r>
      <w:r w:rsidR="00F24E40" w:rsidRPr="006B17F5">
        <w:rPr>
          <w:sz w:val="22"/>
          <w:szCs w:val="22"/>
        </w:rPr>
        <w:t xml:space="preserve"> </w:t>
      </w:r>
      <w:bookmarkEnd w:id="0"/>
      <w:r w:rsidR="00F24E40" w:rsidRPr="006B17F5">
        <w:rPr>
          <w:sz w:val="22"/>
          <w:szCs w:val="22"/>
        </w:rPr>
        <w:t>of such approval</w:t>
      </w:r>
      <w:r w:rsidR="00C8160E" w:rsidRPr="006B17F5">
        <w:rPr>
          <w:sz w:val="22"/>
          <w:szCs w:val="22"/>
        </w:rPr>
        <w:t xml:space="preserve"> or the end of the relevant quarter, whichever comes later</w:t>
      </w:r>
      <w:r w:rsidR="00366A49" w:rsidRPr="006B17F5">
        <w:rPr>
          <w:sz w:val="22"/>
          <w:szCs w:val="22"/>
        </w:rPr>
        <w:t>.</w:t>
      </w:r>
    </w:p>
    <w:p w14:paraId="5D289219" w14:textId="77777777" w:rsidR="00A125B4" w:rsidRPr="006B17F5" w:rsidRDefault="00A125B4" w:rsidP="00606F24">
      <w:pPr>
        <w:ind w:left="720"/>
        <w:rPr>
          <w:color w:val="333333"/>
          <w:sz w:val="22"/>
          <w:szCs w:val="22"/>
          <w:shd w:val="clear" w:color="auto" w:fill="FFFFFF"/>
        </w:rPr>
      </w:pPr>
    </w:p>
    <w:p w14:paraId="7879AF95" w14:textId="482E9528" w:rsidR="00124981" w:rsidRPr="006B17F5" w:rsidRDefault="00496095" w:rsidP="003B2C2B">
      <w:pPr>
        <w:ind w:left="720"/>
        <w:rPr>
          <w:color w:val="333333"/>
          <w:sz w:val="22"/>
          <w:szCs w:val="22"/>
          <w:shd w:val="clear" w:color="auto" w:fill="FFFFFF"/>
        </w:rPr>
      </w:pPr>
      <w:r w:rsidRPr="006B17F5">
        <w:rPr>
          <w:color w:val="333333"/>
          <w:sz w:val="22"/>
          <w:szCs w:val="22"/>
          <w:shd w:val="clear" w:color="auto" w:fill="FFFFFF"/>
        </w:rPr>
        <w:t xml:space="preserve">(2)  </w:t>
      </w:r>
      <w:r w:rsidR="00124981" w:rsidRPr="006B17F5">
        <w:rPr>
          <w:color w:val="333333"/>
          <w:sz w:val="22"/>
          <w:szCs w:val="22"/>
          <w:u w:val="single"/>
          <w:shd w:val="clear" w:color="auto" w:fill="FFFFFF"/>
        </w:rPr>
        <w:t xml:space="preserve">Applicability of </w:t>
      </w:r>
      <w:r w:rsidR="004E778B" w:rsidRPr="006B17F5">
        <w:rPr>
          <w:color w:val="333333"/>
          <w:sz w:val="22"/>
          <w:szCs w:val="22"/>
          <w:u w:val="single"/>
          <w:shd w:val="clear" w:color="auto" w:fill="FFFFFF"/>
        </w:rPr>
        <w:t>A</w:t>
      </w:r>
      <w:r w:rsidR="00124981" w:rsidRPr="006B17F5">
        <w:rPr>
          <w:color w:val="333333"/>
          <w:sz w:val="22"/>
          <w:szCs w:val="22"/>
          <w:u w:val="single"/>
          <w:shd w:val="clear" w:color="auto" w:fill="FFFFFF"/>
        </w:rPr>
        <w:t>ssessment</w:t>
      </w:r>
      <w:r w:rsidR="00124981" w:rsidRPr="006B17F5">
        <w:rPr>
          <w:color w:val="333333"/>
          <w:sz w:val="22"/>
          <w:szCs w:val="22"/>
          <w:shd w:val="clear" w:color="auto" w:fill="FFFFFF"/>
        </w:rPr>
        <w:t>.</w:t>
      </w:r>
      <w:r w:rsidR="00920FA6" w:rsidRPr="006B17F5">
        <w:rPr>
          <w:color w:val="333333"/>
          <w:sz w:val="22"/>
          <w:szCs w:val="22"/>
          <w:shd w:val="clear" w:color="auto" w:fill="FFFFFF"/>
        </w:rPr>
        <w:t xml:space="preserve"> </w:t>
      </w:r>
      <w:r w:rsidR="00124981" w:rsidRPr="006B17F5">
        <w:rPr>
          <w:color w:val="333333"/>
          <w:sz w:val="22"/>
          <w:szCs w:val="22"/>
          <w:shd w:val="clear" w:color="auto" w:fill="FFFFFF"/>
        </w:rPr>
        <w:t xml:space="preserve"> All nonpublic </w:t>
      </w:r>
      <w:r w:rsidR="008D7897" w:rsidRPr="006B17F5">
        <w:rPr>
          <w:color w:val="333333"/>
          <w:sz w:val="22"/>
          <w:szCs w:val="22"/>
          <w:shd w:val="clear" w:color="auto" w:fill="FFFFFF"/>
        </w:rPr>
        <w:t>ambulance provider</w:t>
      </w:r>
      <w:r w:rsidR="00124981" w:rsidRPr="006B17F5">
        <w:rPr>
          <w:color w:val="333333"/>
          <w:sz w:val="22"/>
          <w:szCs w:val="22"/>
          <w:shd w:val="clear" w:color="auto" w:fill="FFFFFF"/>
        </w:rPr>
        <w:t xml:space="preserve">s, regardless of payment model, </w:t>
      </w:r>
      <w:r w:rsidR="004F5C3C" w:rsidRPr="006B17F5">
        <w:rPr>
          <w:color w:val="333333"/>
          <w:sz w:val="22"/>
          <w:szCs w:val="22"/>
          <w:shd w:val="clear" w:color="auto" w:fill="FFFFFF"/>
        </w:rPr>
        <w:t>are</w:t>
      </w:r>
      <w:r w:rsidR="00124981" w:rsidRPr="006B17F5">
        <w:rPr>
          <w:color w:val="333333"/>
          <w:sz w:val="22"/>
          <w:szCs w:val="22"/>
          <w:shd w:val="clear" w:color="auto" w:fill="FFFFFF"/>
        </w:rPr>
        <w:t xml:space="preserve"> subject to the uniform assessment including, but not limited to, those nonpublic </w:t>
      </w:r>
      <w:r w:rsidR="008D7897" w:rsidRPr="006B17F5">
        <w:rPr>
          <w:color w:val="333333"/>
          <w:sz w:val="22"/>
          <w:szCs w:val="22"/>
          <w:shd w:val="clear" w:color="auto" w:fill="FFFFFF"/>
        </w:rPr>
        <w:t>ambulance provider</w:t>
      </w:r>
      <w:r w:rsidR="00124981" w:rsidRPr="006B17F5">
        <w:rPr>
          <w:color w:val="333333"/>
          <w:sz w:val="22"/>
          <w:szCs w:val="22"/>
          <w:shd w:val="clear" w:color="auto" w:fill="FFFFFF"/>
        </w:rPr>
        <w:t xml:space="preserve">s in fee-for-service and managed care arrangements. A nonpublic </w:t>
      </w:r>
      <w:r w:rsidR="008D7897" w:rsidRPr="006B17F5">
        <w:rPr>
          <w:color w:val="333333"/>
          <w:sz w:val="22"/>
          <w:szCs w:val="22"/>
          <w:shd w:val="clear" w:color="auto" w:fill="FFFFFF"/>
        </w:rPr>
        <w:t>ambulance provider</w:t>
      </w:r>
      <w:r w:rsidR="00124981" w:rsidRPr="006B17F5">
        <w:rPr>
          <w:color w:val="333333"/>
          <w:sz w:val="22"/>
          <w:szCs w:val="22"/>
          <w:shd w:val="clear" w:color="auto" w:fill="FFFFFF"/>
        </w:rPr>
        <w:t xml:space="preserve">’s liability to the fund </w:t>
      </w:r>
      <w:r w:rsidR="00920FA6" w:rsidRPr="006B17F5">
        <w:rPr>
          <w:color w:val="333333"/>
          <w:sz w:val="22"/>
          <w:szCs w:val="22"/>
          <w:shd w:val="clear" w:color="auto" w:fill="FFFFFF"/>
        </w:rPr>
        <w:t>will</w:t>
      </w:r>
      <w:r w:rsidR="00124981" w:rsidRPr="006B17F5">
        <w:rPr>
          <w:color w:val="333333"/>
          <w:sz w:val="22"/>
          <w:szCs w:val="22"/>
          <w:shd w:val="clear" w:color="auto" w:fill="FFFFFF"/>
        </w:rPr>
        <w:t>, in the case of a transfer of ownership</w:t>
      </w:r>
      <w:r w:rsidR="004E778B" w:rsidRPr="006B17F5">
        <w:rPr>
          <w:color w:val="333333"/>
          <w:sz w:val="22"/>
          <w:szCs w:val="22"/>
          <w:shd w:val="clear" w:color="auto" w:fill="FFFFFF"/>
        </w:rPr>
        <w:t xml:space="preserve"> or other change in control</w:t>
      </w:r>
      <w:r w:rsidR="00124981" w:rsidRPr="006B17F5">
        <w:rPr>
          <w:color w:val="333333"/>
          <w:sz w:val="22"/>
          <w:szCs w:val="22"/>
          <w:shd w:val="clear" w:color="auto" w:fill="FFFFFF"/>
        </w:rPr>
        <w:t xml:space="preserve">, be assumed by the successor in interest to the nonpublic </w:t>
      </w:r>
      <w:r w:rsidR="008D7897" w:rsidRPr="006B17F5">
        <w:rPr>
          <w:color w:val="333333"/>
          <w:sz w:val="22"/>
          <w:szCs w:val="22"/>
          <w:shd w:val="clear" w:color="auto" w:fill="FFFFFF"/>
        </w:rPr>
        <w:t>ambulance provider</w:t>
      </w:r>
      <w:r w:rsidR="00832857" w:rsidRPr="006B17F5">
        <w:rPr>
          <w:color w:val="333333"/>
          <w:sz w:val="22"/>
          <w:szCs w:val="22"/>
          <w:shd w:val="clear" w:color="auto" w:fill="FFFFFF"/>
        </w:rPr>
        <w:t xml:space="preserve"> or any provider under common interest</w:t>
      </w:r>
      <w:r w:rsidR="00124981" w:rsidRPr="006B17F5">
        <w:rPr>
          <w:color w:val="333333"/>
          <w:sz w:val="22"/>
          <w:szCs w:val="22"/>
          <w:shd w:val="clear" w:color="auto" w:fill="FFFFFF"/>
        </w:rPr>
        <w:t>.</w:t>
      </w:r>
    </w:p>
    <w:p w14:paraId="6F51D38C" w14:textId="77777777" w:rsidR="008E2F16" w:rsidRPr="006B17F5" w:rsidRDefault="008E2F16" w:rsidP="003B2C2B">
      <w:pPr>
        <w:pStyle w:val="ListParagraph"/>
        <w:ind w:left="0"/>
        <w:rPr>
          <w:color w:val="333333"/>
          <w:sz w:val="22"/>
          <w:szCs w:val="22"/>
          <w:shd w:val="clear" w:color="auto" w:fill="FFFFFF"/>
        </w:rPr>
      </w:pPr>
    </w:p>
    <w:p w14:paraId="3DBD9C6C" w14:textId="755684C9" w:rsidR="008E2F16" w:rsidRPr="006B17F5" w:rsidRDefault="00496095" w:rsidP="00F96A81">
      <w:pPr>
        <w:ind w:left="720"/>
        <w:rPr>
          <w:shd w:val="clear" w:color="auto" w:fill="FFFFFF"/>
        </w:rPr>
      </w:pPr>
      <w:r w:rsidRPr="006B17F5">
        <w:rPr>
          <w:color w:val="333333"/>
          <w:sz w:val="22"/>
          <w:szCs w:val="22"/>
          <w:shd w:val="clear" w:color="auto" w:fill="FFFFFF"/>
        </w:rPr>
        <w:t xml:space="preserve">(3)  </w:t>
      </w:r>
      <w:r w:rsidR="008E2F16" w:rsidRPr="006B17F5">
        <w:rPr>
          <w:color w:val="333333"/>
          <w:sz w:val="22"/>
          <w:szCs w:val="22"/>
          <w:u w:val="single"/>
          <w:shd w:val="clear" w:color="auto" w:fill="FFFFFF"/>
        </w:rPr>
        <w:t>Reporting of</w:t>
      </w:r>
      <w:r w:rsidR="008E2F16" w:rsidRPr="006B17F5">
        <w:rPr>
          <w:color w:val="333333"/>
          <w:sz w:val="22"/>
          <w:szCs w:val="22"/>
          <w:shd w:val="clear" w:color="auto" w:fill="FFFFFF"/>
        </w:rPr>
        <w:t xml:space="preserve"> </w:t>
      </w:r>
      <w:r w:rsidR="008E2F16" w:rsidRPr="006B17F5">
        <w:rPr>
          <w:color w:val="333333"/>
          <w:sz w:val="22"/>
          <w:szCs w:val="22"/>
          <w:u w:val="single"/>
          <w:shd w:val="clear" w:color="auto" w:fill="FFFFFF"/>
        </w:rPr>
        <w:t>Nonpublic Emergency Ambulance Assessed Charges</w:t>
      </w:r>
      <w:r w:rsidRPr="006B17F5">
        <w:rPr>
          <w:color w:val="333333"/>
          <w:sz w:val="22"/>
          <w:szCs w:val="22"/>
          <w:u w:val="single"/>
          <w:shd w:val="clear" w:color="auto" w:fill="FFFFFF"/>
        </w:rPr>
        <w:t>.</w:t>
      </w:r>
    </w:p>
    <w:p w14:paraId="1F19FEC6" w14:textId="5730CFEC" w:rsidR="008E2F16" w:rsidRPr="006B17F5" w:rsidRDefault="00496095" w:rsidP="00823224">
      <w:pPr>
        <w:ind w:left="1080"/>
        <w:rPr>
          <w:color w:val="333333"/>
          <w:sz w:val="22"/>
          <w:szCs w:val="22"/>
          <w:shd w:val="clear" w:color="auto" w:fill="FFFFFF"/>
        </w:rPr>
      </w:pPr>
      <w:r w:rsidRPr="006B17F5">
        <w:rPr>
          <w:color w:val="333333"/>
          <w:sz w:val="22"/>
          <w:szCs w:val="22"/>
          <w:shd w:val="clear" w:color="auto" w:fill="FFFFFF"/>
        </w:rPr>
        <w:t xml:space="preserve">(a)  </w:t>
      </w:r>
      <w:r w:rsidR="008E2F16" w:rsidRPr="006B17F5">
        <w:rPr>
          <w:color w:val="333333"/>
          <w:sz w:val="22"/>
          <w:szCs w:val="22"/>
          <w:shd w:val="clear" w:color="auto" w:fill="FFFFFF"/>
        </w:rPr>
        <w:t xml:space="preserve">Each </w:t>
      </w:r>
      <w:r w:rsidR="008E2F16" w:rsidRPr="006B17F5">
        <w:rPr>
          <w:sz w:val="22"/>
          <w:szCs w:val="22"/>
        </w:rPr>
        <w:t xml:space="preserve">nonpublic </w:t>
      </w:r>
      <w:r w:rsidR="008D7897" w:rsidRPr="006B17F5">
        <w:rPr>
          <w:sz w:val="22"/>
          <w:szCs w:val="22"/>
        </w:rPr>
        <w:t>ambulance provider</w:t>
      </w:r>
      <w:r w:rsidR="008E2F16" w:rsidRPr="006B17F5">
        <w:rPr>
          <w:sz w:val="22"/>
          <w:szCs w:val="22"/>
        </w:rPr>
        <w:t xml:space="preserve"> is required to report its nonp</w:t>
      </w:r>
      <w:r w:rsidR="00E55DA3" w:rsidRPr="006B17F5">
        <w:rPr>
          <w:sz w:val="22"/>
          <w:szCs w:val="22"/>
        </w:rPr>
        <w:t>u</w:t>
      </w:r>
      <w:r w:rsidR="008E2F16" w:rsidRPr="006B17F5">
        <w:rPr>
          <w:sz w:val="22"/>
          <w:szCs w:val="22"/>
        </w:rPr>
        <w:t>blic emergency ambulance assessed charges each year.</w:t>
      </w:r>
      <w:r w:rsidR="005A557C" w:rsidRPr="006B17F5">
        <w:rPr>
          <w:sz w:val="22"/>
          <w:szCs w:val="22"/>
        </w:rPr>
        <w:t xml:space="preserve"> Such reporting </w:t>
      </w:r>
      <w:r w:rsidR="004F5C3C" w:rsidRPr="006B17F5">
        <w:rPr>
          <w:sz w:val="22"/>
          <w:szCs w:val="22"/>
        </w:rPr>
        <w:t xml:space="preserve">will </w:t>
      </w:r>
      <w:r w:rsidR="005A557C" w:rsidRPr="006B17F5">
        <w:rPr>
          <w:sz w:val="22"/>
          <w:szCs w:val="22"/>
        </w:rPr>
        <w:t>be completed through the filing of the Ambulance Cost Report with the Center, subject to all requirements under 957 CMR 6.00</w:t>
      </w:r>
      <w:r w:rsidR="0005377F" w:rsidRPr="006B17F5">
        <w:rPr>
          <w:sz w:val="22"/>
          <w:szCs w:val="22"/>
        </w:rPr>
        <w:t xml:space="preserve">:  </w:t>
      </w:r>
      <w:r w:rsidR="0005377F" w:rsidRPr="006B17F5">
        <w:rPr>
          <w:i/>
          <w:iCs/>
          <w:sz w:val="22"/>
          <w:szCs w:val="22"/>
        </w:rPr>
        <w:t>Cost Reporting Requirements</w:t>
      </w:r>
      <w:r w:rsidR="00482D63" w:rsidRPr="006B17F5">
        <w:rPr>
          <w:iCs/>
          <w:sz w:val="22"/>
          <w:szCs w:val="22"/>
        </w:rPr>
        <w:t xml:space="preserve"> and using </w:t>
      </w:r>
      <w:r w:rsidR="00003DAE" w:rsidRPr="006B17F5">
        <w:rPr>
          <w:iCs/>
          <w:sz w:val="22"/>
          <w:szCs w:val="22"/>
        </w:rPr>
        <w:t>the total operating revenue for basic life and advanced life service of Schedule E of the Ambulance Cost Reports</w:t>
      </w:r>
      <w:r w:rsidR="00994A68" w:rsidRPr="006B17F5">
        <w:rPr>
          <w:sz w:val="22"/>
          <w:szCs w:val="22"/>
        </w:rPr>
        <w:t xml:space="preserve">, or through an alternative </w:t>
      </w:r>
      <w:r w:rsidR="00482D63" w:rsidRPr="006B17F5">
        <w:rPr>
          <w:sz w:val="22"/>
          <w:szCs w:val="22"/>
        </w:rPr>
        <w:t xml:space="preserve">reporting </w:t>
      </w:r>
      <w:r w:rsidR="00994A68" w:rsidRPr="006B17F5">
        <w:rPr>
          <w:sz w:val="22"/>
          <w:szCs w:val="22"/>
        </w:rPr>
        <w:t>method de</w:t>
      </w:r>
      <w:r w:rsidR="00482D63" w:rsidRPr="006B17F5">
        <w:rPr>
          <w:sz w:val="22"/>
          <w:szCs w:val="22"/>
        </w:rPr>
        <w:t xml:space="preserve">signated </w:t>
      </w:r>
      <w:r w:rsidR="00994A68" w:rsidRPr="006B17F5">
        <w:rPr>
          <w:sz w:val="22"/>
          <w:szCs w:val="22"/>
        </w:rPr>
        <w:t>by EOHHS via administrative bulletin or other written issuance</w:t>
      </w:r>
      <w:r w:rsidR="005A557C" w:rsidRPr="006B17F5">
        <w:rPr>
          <w:sz w:val="22"/>
          <w:szCs w:val="22"/>
        </w:rPr>
        <w:t>.</w:t>
      </w:r>
    </w:p>
    <w:p w14:paraId="434FB2F8" w14:textId="6143F9A7" w:rsidR="008E2F16" w:rsidRPr="006B17F5" w:rsidRDefault="00496095" w:rsidP="003B2C2B">
      <w:pPr>
        <w:ind w:left="1080"/>
        <w:rPr>
          <w:color w:val="333333"/>
          <w:sz w:val="22"/>
          <w:szCs w:val="22"/>
          <w:shd w:val="clear" w:color="auto" w:fill="FFFFFF"/>
        </w:rPr>
      </w:pPr>
      <w:r w:rsidRPr="006B17F5">
        <w:rPr>
          <w:color w:val="333333"/>
          <w:sz w:val="22"/>
          <w:szCs w:val="22"/>
          <w:shd w:val="clear" w:color="auto" w:fill="FFFFFF"/>
        </w:rPr>
        <w:t xml:space="preserve">(b)  </w:t>
      </w:r>
      <w:r w:rsidR="008E2F16" w:rsidRPr="006B17F5">
        <w:rPr>
          <w:color w:val="333333"/>
          <w:sz w:val="22"/>
          <w:szCs w:val="22"/>
          <w:shd w:val="clear" w:color="auto" w:fill="FFFFFF"/>
        </w:rPr>
        <w:t>If a nonpublic ambulance provider fails to report nonpublic emergency ambulance assessed charges, or, if in the determination of EOHHS</w:t>
      </w:r>
      <w:r w:rsidR="00C3411B" w:rsidRPr="006B17F5">
        <w:rPr>
          <w:color w:val="333333"/>
          <w:sz w:val="22"/>
          <w:szCs w:val="22"/>
          <w:shd w:val="clear" w:color="auto" w:fill="FFFFFF"/>
        </w:rPr>
        <w:t>,</w:t>
      </w:r>
      <w:r w:rsidR="008E2F16" w:rsidRPr="006B17F5">
        <w:rPr>
          <w:color w:val="333333"/>
          <w:sz w:val="22"/>
          <w:szCs w:val="22"/>
          <w:shd w:val="clear" w:color="auto" w:fill="FFFFFF"/>
        </w:rPr>
        <w:t xml:space="preserve"> the nonpublic ambulance provider has improperly reported its nonpublic emergency ambulance assessed charges</w:t>
      </w:r>
      <w:r w:rsidR="00003DAE" w:rsidRPr="006B17F5">
        <w:rPr>
          <w:color w:val="333333"/>
          <w:sz w:val="22"/>
          <w:szCs w:val="22"/>
          <w:shd w:val="clear" w:color="auto" w:fill="FFFFFF"/>
        </w:rPr>
        <w:t xml:space="preserve"> or the assessed charges do not accurately represent typical total operating revenue for the nonpublic ambulance provider because of exceptional circumstances</w:t>
      </w:r>
      <w:r w:rsidR="008E2F16" w:rsidRPr="006B17F5">
        <w:rPr>
          <w:color w:val="333333"/>
          <w:sz w:val="22"/>
          <w:szCs w:val="22"/>
          <w:shd w:val="clear" w:color="auto" w:fill="FFFFFF"/>
        </w:rPr>
        <w:t xml:space="preserve">, EOHHS may calculate such amounts based on data within its possession or audit the nonpublic ambulance provider. If EOHHS determines through its review that a nonpublic ambulance assessed charges were materially different than reported, EOHHS may require a payment adjustment. Payment adjustments are subject to interest penalties and late fees, pursuant to 101 CMR </w:t>
      </w:r>
      <w:r w:rsidR="003B332D" w:rsidRPr="006B17F5">
        <w:rPr>
          <w:color w:val="333333"/>
          <w:sz w:val="22"/>
          <w:szCs w:val="22"/>
          <w:shd w:val="clear" w:color="auto" w:fill="FFFFFF"/>
        </w:rPr>
        <w:t>324</w:t>
      </w:r>
      <w:r w:rsidR="008E2F16" w:rsidRPr="006B17F5">
        <w:rPr>
          <w:color w:val="333333"/>
          <w:sz w:val="22"/>
          <w:szCs w:val="22"/>
          <w:shd w:val="clear" w:color="auto" w:fill="FFFFFF"/>
        </w:rPr>
        <w:t>.0</w:t>
      </w:r>
      <w:r w:rsidR="005772B7" w:rsidRPr="006B17F5">
        <w:rPr>
          <w:color w:val="333333"/>
          <w:sz w:val="22"/>
          <w:szCs w:val="22"/>
          <w:shd w:val="clear" w:color="auto" w:fill="FFFFFF"/>
        </w:rPr>
        <w:t>6</w:t>
      </w:r>
      <w:r w:rsidR="008E2F16" w:rsidRPr="006B17F5">
        <w:rPr>
          <w:color w:val="333333"/>
          <w:sz w:val="22"/>
          <w:szCs w:val="22"/>
          <w:shd w:val="clear" w:color="auto" w:fill="FFFFFF"/>
        </w:rPr>
        <w:t>(1), from the date the original payment was owed to the Trust Fund.</w:t>
      </w:r>
    </w:p>
    <w:p w14:paraId="6391A10B" w14:textId="77777777" w:rsidR="008E2F16" w:rsidRPr="006B17F5" w:rsidRDefault="008E2F16" w:rsidP="00E55DA3">
      <w:pPr>
        <w:ind w:left="1800"/>
        <w:rPr>
          <w:color w:val="333333"/>
          <w:sz w:val="22"/>
          <w:szCs w:val="22"/>
          <w:shd w:val="clear" w:color="auto" w:fill="FFFFFF"/>
        </w:rPr>
      </w:pPr>
    </w:p>
    <w:p w14:paraId="69A16B54" w14:textId="05A7CA09" w:rsidR="00124981" w:rsidRPr="006B17F5" w:rsidRDefault="003B2C2B" w:rsidP="003B2C2B">
      <w:pPr>
        <w:ind w:left="720"/>
        <w:rPr>
          <w:sz w:val="22"/>
          <w:szCs w:val="22"/>
        </w:rPr>
      </w:pPr>
      <w:r w:rsidRPr="006B17F5">
        <w:rPr>
          <w:sz w:val="22"/>
          <w:szCs w:val="22"/>
        </w:rPr>
        <w:t xml:space="preserve">(4)  </w:t>
      </w:r>
      <w:r w:rsidR="008E7B4E" w:rsidRPr="006B17F5">
        <w:rPr>
          <w:sz w:val="22"/>
          <w:szCs w:val="22"/>
          <w:u w:val="single"/>
        </w:rPr>
        <w:t xml:space="preserve">Nonpublic </w:t>
      </w:r>
      <w:r w:rsidR="008D7897" w:rsidRPr="006B17F5">
        <w:rPr>
          <w:sz w:val="22"/>
          <w:szCs w:val="22"/>
          <w:u w:val="single"/>
        </w:rPr>
        <w:t>Ambulance Provider</w:t>
      </w:r>
      <w:r w:rsidR="004E778B" w:rsidRPr="006B17F5">
        <w:rPr>
          <w:sz w:val="22"/>
          <w:szCs w:val="22"/>
          <w:u w:val="single"/>
        </w:rPr>
        <w:t xml:space="preserve"> Liability Calculation</w:t>
      </w:r>
      <w:r w:rsidR="008E7B4E" w:rsidRPr="006B17F5">
        <w:rPr>
          <w:sz w:val="22"/>
          <w:szCs w:val="22"/>
        </w:rPr>
        <w:t>.</w:t>
      </w:r>
      <w:r w:rsidR="00F47394" w:rsidRPr="006B17F5">
        <w:rPr>
          <w:sz w:val="22"/>
          <w:szCs w:val="22"/>
        </w:rPr>
        <w:t xml:space="preserve"> </w:t>
      </w:r>
    </w:p>
    <w:p w14:paraId="709F7664" w14:textId="7E514ADE" w:rsidR="008E7B4E" w:rsidRPr="006B17F5" w:rsidRDefault="00496095" w:rsidP="003B2C2B">
      <w:pPr>
        <w:ind w:left="1080"/>
        <w:rPr>
          <w:sz w:val="22"/>
          <w:szCs w:val="22"/>
        </w:rPr>
      </w:pPr>
      <w:r w:rsidRPr="006B17F5">
        <w:rPr>
          <w:sz w:val="22"/>
          <w:szCs w:val="22"/>
        </w:rPr>
        <w:t xml:space="preserve">(a)  </w:t>
      </w:r>
      <w:r w:rsidR="004B6831" w:rsidRPr="006B17F5">
        <w:rPr>
          <w:sz w:val="22"/>
          <w:szCs w:val="22"/>
        </w:rPr>
        <w:t xml:space="preserve">Each nonpublic </w:t>
      </w:r>
      <w:r w:rsidR="008D7897" w:rsidRPr="006B17F5">
        <w:rPr>
          <w:sz w:val="22"/>
          <w:szCs w:val="22"/>
        </w:rPr>
        <w:t>ambulance provider</w:t>
      </w:r>
      <w:r w:rsidR="004B6831" w:rsidRPr="006B17F5">
        <w:rPr>
          <w:sz w:val="22"/>
          <w:szCs w:val="22"/>
        </w:rPr>
        <w:t>’s gross liability to the Trust Fund</w:t>
      </w:r>
      <w:r w:rsidR="00377414" w:rsidRPr="006B17F5">
        <w:rPr>
          <w:sz w:val="22"/>
          <w:szCs w:val="22"/>
        </w:rPr>
        <w:t xml:space="preserve"> </w:t>
      </w:r>
      <w:r w:rsidR="004B6831" w:rsidRPr="006B17F5">
        <w:rPr>
          <w:sz w:val="22"/>
          <w:szCs w:val="22"/>
        </w:rPr>
        <w:t xml:space="preserve">is equal to the product of </w:t>
      </w:r>
    </w:p>
    <w:p w14:paraId="308DC45A" w14:textId="2DC86380" w:rsidR="008E7B4E" w:rsidRPr="006B17F5" w:rsidRDefault="004E2969" w:rsidP="003B2C2B">
      <w:pPr>
        <w:ind w:left="1440"/>
        <w:rPr>
          <w:color w:val="333333"/>
          <w:sz w:val="22"/>
          <w:szCs w:val="22"/>
          <w:shd w:val="clear" w:color="auto" w:fill="FFFFFF"/>
        </w:rPr>
      </w:pPr>
      <w:r w:rsidRPr="006B17F5">
        <w:rPr>
          <w:color w:val="333333"/>
          <w:sz w:val="22"/>
          <w:szCs w:val="22"/>
          <w:shd w:val="clear" w:color="auto" w:fill="FFFFFF"/>
        </w:rPr>
        <w:t xml:space="preserve">1.  </w:t>
      </w:r>
      <w:r w:rsidR="00920FA6" w:rsidRPr="006B17F5">
        <w:rPr>
          <w:color w:val="333333"/>
          <w:sz w:val="22"/>
          <w:szCs w:val="22"/>
          <w:shd w:val="clear" w:color="auto" w:fill="FFFFFF"/>
        </w:rPr>
        <w:t xml:space="preserve">the </w:t>
      </w:r>
      <w:r w:rsidR="00F47394" w:rsidRPr="006B17F5">
        <w:rPr>
          <w:color w:val="333333"/>
          <w:sz w:val="22"/>
          <w:szCs w:val="22"/>
          <w:shd w:val="clear" w:color="auto" w:fill="FFFFFF"/>
        </w:rPr>
        <w:t xml:space="preserve">amount of </w:t>
      </w:r>
      <w:r w:rsidR="003975C3" w:rsidRPr="006B17F5">
        <w:rPr>
          <w:color w:val="333333"/>
          <w:sz w:val="22"/>
          <w:szCs w:val="22"/>
          <w:shd w:val="clear" w:color="auto" w:fill="FFFFFF"/>
        </w:rPr>
        <w:t xml:space="preserve">nonpublic emergency ambulance assessed charges </w:t>
      </w:r>
      <w:r w:rsidR="00377414" w:rsidRPr="006B17F5">
        <w:rPr>
          <w:color w:val="333333"/>
          <w:sz w:val="22"/>
          <w:szCs w:val="22"/>
          <w:shd w:val="clear" w:color="auto" w:fill="FFFFFF"/>
        </w:rPr>
        <w:t xml:space="preserve">in </w:t>
      </w:r>
      <w:r w:rsidR="0076298D" w:rsidRPr="006B17F5">
        <w:rPr>
          <w:color w:val="333333"/>
          <w:sz w:val="22"/>
          <w:szCs w:val="22"/>
          <w:shd w:val="clear" w:color="auto" w:fill="FFFFFF"/>
        </w:rPr>
        <w:t xml:space="preserve">the </w:t>
      </w:r>
      <w:r w:rsidR="00671E75" w:rsidRPr="006B17F5">
        <w:rPr>
          <w:color w:val="333333"/>
          <w:sz w:val="22"/>
          <w:szCs w:val="22"/>
          <w:shd w:val="clear" w:color="auto" w:fill="FFFFFF"/>
        </w:rPr>
        <w:t xml:space="preserve">nonpublic </w:t>
      </w:r>
      <w:r w:rsidR="008D7897" w:rsidRPr="006B17F5">
        <w:rPr>
          <w:color w:val="333333"/>
          <w:sz w:val="22"/>
          <w:szCs w:val="22"/>
          <w:shd w:val="clear" w:color="auto" w:fill="FFFFFF"/>
        </w:rPr>
        <w:t>ambulance provider</w:t>
      </w:r>
      <w:r w:rsidR="00671E75" w:rsidRPr="006B17F5">
        <w:rPr>
          <w:color w:val="333333"/>
          <w:sz w:val="22"/>
          <w:szCs w:val="22"/>
          <w:shd w:val="clear" w:color="auto" w:fill="FFFFFF"/>
        </w:rPr>
        <w:t xml:space="preserve">’s </w:t>
      </w:r>
      <w:r w:rsidR="0076298D" w:rsidRPr="006B17F5">
        <w:rPr>
          <w:color w:val="333333"/>
          <w:sz w:val="22"/>
          <w:szCs w:val="22"/>
          <w:shd w:val="clear" w:color="auto" w:fill="FFFFFF"/>
        </w:rPr>
        <w:t>most recent fiscal year</w:t>
      </w:r>
      <w:r w:rsidR="00377414" w:rsidRPr="006B17F5">
        <w:rPr>
          <w:color w:val="333333"/>
          <w:sz w:val="22"/>
          <w:szCs w:val="22"/>
          <w:shd w:val="clear" w:color="auto" w:fill="FFFFFF"/>
        </w:rPr>
        <w:t xml:space="preserve"> </w:t>
      </w:r>
      <w:r w:rsidR="0076298D" w:rsidRPr="006B17F5">
        <w:rPr>
          <w:color w:val="333333"/>
          <w:sz w:val="22"/>
          <w:szCs w:val="22"/>
          <w:shd w:val="clear" w:color="auto" w:fill="FFFFFF"/>
        </w:rPr>
        <w:t xml:space="preserve">as reported on the </w:t>
      </w:r>
      <w:r w:rsidR="0076298D" w:rsidRPr="006B17F5">
        <w:rPr>
          <w:sz w:val="22"/>
          <w:szCs w:val="22"/>
        </w:rPr>
        <w:t xml:space="preserve">Ambulance Service Cost Report, or </w:t>
      </w:r>
      <w:r w:rsidR="00E434EA" w:rsidRPr="006B17F5">
        <w:rPr>
          <w:sz w:val="22"/>
          <w:szCs w:val="22"/>
        </w:rPr>
        <w:t>as otherwise determined by EOHHS</w:t>
      </w:r>
      <w:r w:rsidR="00E55DA3" w:rsidRPr="006B17F5">
        <w:rPr>
          <w:sz w:val="22"/>
          <w:szCs w:val="22"/>
        </w:rPr>
        <w:t xml:space="preserve"> as described in </w:t>
      </w:r>
      <w:r w:rsidRPr="006B17F5">
        <w:rPr>
          <w:sz w:val="22"/>
          <w:szCs w:val="22"/>
        </w:rPr>
        <w:t>1</w:t>
      </w:r>
      <w:r w:rsidR="009332AC" w:rsidRPr="006B17F5">
        <w:rPr>
          <w:sz w:val="22"/>
          <w:szCs w:val="22"/>
        </w:rPr>
        <w:t>01</w:t>
      </w:r>
      <w:r w:rsidRPr="006B17F5">
        <w:rPr>
          <w:sz w:val="22"/>
          <w:szCs w:val="22"/>
        </w:rPr>
        <w:t xml:space="preserve"> CMR </w:t>
      </w:r>
      <w:r w:rsidR="00C923C4" w:rsidRPr="006B17F5">
        <w:rPr>
          <w:sz w:val="22"/>
          <w:szCs w:val="22"/>
        </w:rPr>
        <w:t>324</w:t>
      </w:r>
      <w:r w:rsidR="00E55DA3" w:rsidRPr="006B17F5">
        <w:rPr>
          <w:sz w:val="22"/>
          <w:szCs w:val="22"/>
        </w:rPr>
        <w:t>.04</w:t>
      </w:r>
      <w:r w:rsidR="000744E4" w:rsidRPr="006B17F5">
        <w:rPr>
          <w:sz w:val="22"/>
          <w:szCs w:val="22"/>
        </w:rPr>
        <w:t xml:space="preserve">(1) and </w:t>
      </w:r>
      <w:r w:rsidR="00E55DA3" w:rsidRPr="006B17F5">
        <w:rPr>
          <w:sz w:val="22"/>
          <w:szCs w:val="22"/>
        </w:rPr>
        <w:t>(3)</w:t>
      </w:r>
      <w:r w:rsidR="00377414" w:rsidRPr="006B17F5">
        <w:rPr>
          <w:color w:val="333333"/>
          <w:sz w:val="22"/>
          <w:szCs w:val="22"/>
          <w:shd w:val="clear" w:color="auto" w:fill="FFFFFF"/>
        </w:rPr>
        <w:t>;</w:t>
      </w:r>
      <w:r w:rsidR="00F47394" w:rsidRPr="006B17F5">
        <w:rPr>
          <w:color w:val="333333"/>
          <w:sz w:val="22"/>
          <w:szCs w:val="22"/>
          <w:shd w:val="clear" w:color="auto" w:fill="FFFFFF"/>
        </w:rPr>
        <w:t xml:space="preserve"> </w:t>
      </w:r>
      <w:r w:rsidR="004B6831" w:rsidRPr="006B17F5">
        <w:rPr>
          <w:sz w:val="22"/>
          <w:szCs w:val="22"/>
        </w:rPr>
        <w:t>and</w:t>
      </w:r>
    </w:p>
    <w:p w14:paraId="49B28B6F" w14:textId="72B08CBB" w:rsidR="004B6831" w:rsidRPr="006B17F5" w:rsidRDefault="004E2969" w:rsidP="003B2C2B">
      <w:pPr>
        <w:ind w:left="1440"/>
        <w:rPr>
          <w:color w:val="333333"/>
          <w:sz w:val="22"/>
          <w:szCs w:val="22"/>
          <w:shd w:val="clear" w:color="auto" w:fill="FFFFFF"/>
        </w:rPr>
      </w:pPr>
      <w:r w:rsidRPr="006B17F5">
        <w:rPr>
          <w:sz w:val="22"/>
          <w:szCs w:val="22"/>
        </w:rPr>
        <w:t xml:space="preserve">2.  </w:t>
      </w:r>
      <w:r w:rsidR="004B6831" w:rsidRPr="006B17F5">
        <w:rPr>
          <w:sz w:val="22"/>
          <w:szCs w:val="22"/>
        </w:rPr>
        <w:t xml:space="preserve">the </w:t>
      </w:r>
      <w:r w:rsidR="00F47394" w:rsidRPr="006B17F5">
        <w:rPr>
          <w:color w:val="333333"/>
          <w:sz w:val="22"/>
          <w:szCs w:val="22"/>
          <w:shd w:val="clear" w:color="auto" w:fill="FFFFFF"/>
        </w:rPr>
        <w:t>uniform assessment</w:t>
      </w:r>
      <w:r w:rsidR="00395A40" w:rsidRPr="006B17F5">
        <w:rPr>
          <w:color w:val="333333"/>
          <w:sz w:val="22"/>
          <w:szCs w:val="22"/>
          <w:shd w:val="clear" w:color="auto" w:fill="FFFFFF"/>
        </w:rPr>
        <w:t>.</w:t>
      </w:r>
    </w:p>
    <w:p w14:paraId="3EB8CA81" w14:textId="77777777" w:rsidR="00B23F35" w:rsidRDefault="00B23F35" w:rsidP="003B2C2B">
      <w:pPr>
        <w:ind w:left="1080"/>
        <w:rPr>
          <w:sz w:val="22"/>
          <w:szCs w:val="22"/>
        </w:rPr>
      </w:pPr>
      <w:r>
        <w:rPr>
          <w:sz w:val="22"/>
          <w:szCs w:val="22"/>
        </w:rPr>
        <w:br w:type="page"/>
      </w:r>
    </w:p>
    <w:p w14:paraId="619BF9E3" w14:textId="47FC8CF7" w:rsidR="008D70DC" w:rsidRPr="006B17F5" w:rsidRDefault="004E2969" w:rsidP="003B2C2B">
      <w:pPr>
        <w:ind w:left="1080"/>
        <w:rPr>
          <w:sz w:val="22"/>
          <w:szCs w:val="22"/>
        </w:rPr>
      </w:pPr>
      <w:r w:rsidRPr="006B17F5">
        <w:rPr>
          <w:sz w:val="22"/>
          <w:szCs w:val="22"/>
        </w:rPr>
        <w:lastRenderedPageBreak/>
        <w:t xml:space="preserve">(b)  </w:t>
      </w:r>
      <w:r w:rsidR="00845F78" w:rsidRPr="006B17F5">
        <w:rPr>
          <w:sz w:val="22"/>
          <w:szCs w:val="22"/>
        </w:rPr>
        <w:t xml:space="preserve">For each provider who has submitted its revenue to </w:t>
      </w:r>
      <w:r w:rsidR="00F807EB" w:rsidRPr="006B17F5">
        <w:rPr>
          <w:sz w:val="22"/>
          <w:szCs w:val="22"/>
        </w:rPr>
        <w:t xml:space="preserve">the Center or </w:t>
      </w:r>
      <w:r w:rsidR="00845F78" w:rsidRPr="006B17F5">
        <w:rPr>
          <w:sz w:val="22"/>
          <w:szCs w:val="22"/>
        </w:rPr>
        <w:t>EOHHS by September 20</w:t>
      </w:r>
      <w:r w:rsidR="00220605" w:rsidRPr="006B17F5">
        <w:rPr>
          <w:sz w:val="22"/>
          <w:szCs w:val="22"/>
          <w:vertAlign w:val="superscript"/>
        </w:rPr>
        <w:t>th</w:t>
      </w:r>
      <w:r w:rsidR="00220605" w:rsidRPr="006B17F5">
        <w:rPr>
          <w:sz w:val="22"/>
          <w:szCs w:val="22"/>
        </w:rPr>
        <w:t xml:space="preserve"> </w:t>
      </w:r>
      <w:r w:rsidR="00B523B9" w:rsidRPr="006B17F5">
        <w:rPr>
          <w:sz w:val="22"/>
          <w:szCs w:val="22"/>
        </w:rPr>
        <w:t>of each year</w:t>
      </w:r>
      <w:r w:rsidR="00845F78" w:rsidRPr="006B17F5">
        <w:rPr>
          <w:sz w:val="22"/>
          <w:szCs w:val="22"/>
        </w:rPr>
        <w:t xml:space="preserve">, </w:t>
      </w:r>
      <w:r w:rsidR="008D70DC" w:rsidRPr="006B17F5">
        <w:rPr>
          <w:sz w:val="22"/>
          <w:szCs w:val="22"/>
        </w:rPr>
        <w:t xml:space="preserve">EOHHS </w:t>
      </w:r>
      <w:r w:rsidR="003B2C2B" w:rsidRPr="006B17F5">
        <w:rPr>
          <w:sz w:val="22"/>
          <w:szCs w:val="22"/>
        </w:rPr>
        <w:t xml:space="preserve">will </w:t>
      </w:r>
      <w:r w:rsidR="008D70DC" w:rsidRPr="006B17F5">
        <w:rPr>
          <w:sz w:val="22"/>
          <w:szCs w:val="22"/>
        </w:rPr>
        <w:t xml:space="preserve">notify </w:t>
      </w:r>
      <w:r w:rsidR="00845F78" w:rsidRPr="006B17F5">
        <w:rPr>
          <w:sz w:val="22"/>
          <w:szCs w:val="22"/>
        </w:rPr>
        <w:t xml:space="preserve">the </w:t>
      </w:r>
      <w:r w:rsidR="008D70DC" w:rsidRPr="006B17F5">
        <w:rPr>
          <w:sz w:val="22"/>
          <w:szCs w:val="22"/>
        </w:rPr>
        <w:t xml:space="preserve">nonpublic </w:t>
      </w:r>
      <w:r w:rsidR="008D7897" w:rsidRPr="006B17F5">
        <w:rPr>
          <w:sz w:val="22"/>
          <w:szCs w:val="22"/>
        </w:rPr>
        <w:t>ambulance provider</w:t>
      </w:r>
      <w:r w:rsidR="008D70DC" w:rsidRPr="006B17F5">
        <w:rPr>
          <w:sz w:val="22"/>
          <w:szCs w:val="22"/>
        </w:rPr>
        <w:t xml:space="preserve"> of its</w:t>
      </w:r>
      <w:r w:rsidR="00E55DA3" w:rsidRPr="006B17F5">
        <w:rPr>
          <w:sz w:val="22"/>
          <w:szCs w:val="22"/>
        </w:rPr>
        <w:t xml:space="preserve"> </w:t>
      </w:r>
      <w:r w:rsidR="008D70DC" w:rsidRPr="006B17F5">
        <w:rPr>
          <w:sz w:val="22"/>
          <w:szCs w:val="22"/>
        </w:rPr>
        <w:t>gross l</w:t>
      </w:r>
      <w:r w:rsidR="009A5919" w:rsidRPr="006B17F5">
        <w:rPr>
          <w:sz w:val="22"/>
          <w:szCs w:val="22"/>
        </w:rPr>
        <w:t>i</w:t>
      </w:r>
      <w:r w:rsidR="008D70DC" w:rsidRPr="006B17F5">
        <w:rPr>
          <w:sz w:val="22"/>
          <w:szCs w:val="22"/>
        </w:rPr>
        <w:t xml:space="preserve">ability to the Trust Fund </w:t>
      </w:r>
      <w:r w:rsidR="006D13F8" w:rsidRPr="006B17F5">
        <w:rPr>
          <w:sz w:val="22"/>
          <w:szCs w:val="22"/>
        </w:rPr>
        <w:t>by September 30</w:t>
      </w:r>
      <w:r w:rsidR="00B527D9" w:rsidRPr="006B17F5">
        <w:rPr>
          <w:sz w:val="22"/>
          <w:szCs w:val="22"/>
          <w:vertAlign w:val="superscript"/>
        </w:rPr>
        <w:t>th</w:t>
      </w:r>
      <w:r w:rsidR="00E55DA3" w:rsidRPr="006B17F5">
        <w:rPr>
          <w:sz w:val="22"/>
          <w:szCs w:val="22"/>
        </w:rPr>
        <w:t>, split into quarterly payments</w:t>
      </w:r>
      <w:r w:rsidR="008D70DC" w:rsidRPr="006B17F5">
        <w:rPr>
          <w:sz w:val="22"/>
          <w:szCs w:val="22"/>
        </w:rPr>
        <w:t xml:space="preserve">. </w:t>
      </w:r>
      <w:r w:rsidR="00845F78" w:rsidRPr="006B17F5">
        <w:rPr>
          <w:sz w:val="22"/>
          <w:szCs w:val="22"/>
        </w:rPr>
        <w:t xml:space="preserve">EOHHS </w:t>
      </w:r>
      <w:r w:rsidR="00F12788" w:rsidRPr="006B17F5">
        <w:rPr>
          <w:sz w:val="22"/>
          <w:szCs w:val="22"/>
        </w:rPr>
        <w:t>will</w:t>
      </w:r>
      <w:r w:rsidR="00845F78" w:rsidRPr="006B17F5">
        <w:rPr>
          <w:sz w:val="22"/>
          <w:szCs w:val="22"/>
        </w:rPr>
        <w:t xml:space="preserve"> update each nonpublic ambulance service’s liability to the Trust Fund as updated information becomes available.</w:t>
      </w:r>
    </w:p>
    <w:p w14:paraId="37CE6E21" w14:textId="148AA14A" w:rsidR="00C30C29" w:rsidRPr="006B17F5" w:rsidRDefault="004E2969" w:rsidP="003B2C2B">
      <w:pPr>
        <w:ind w:left="1080"/>
        <w:rPr>
          <w:sz w:val="22"/>
          <w:szCs w:val="22"/>
        </w:rPr>
      </w:pPr>
      <w:r w:rsidRPr="006B17F5">
        <w:rPr>
          <w:sz w:val="22"/>
          <w:szCs w:val="22"/>
        </w:rPr>
        <w:t xml:space="preserve">(c)  </w:t>
      </w:r>
      <w:r w:rsidR="00D97618" w:rsidRPr="006B17F5">
        <w:rPr>
          <w:sz w:val="22"/>
          <w:szCs w:val="22"/>
        </w:rPr>
        <w:t xml:space="preserve">Liability will begin for the quarter beginning </w:t>
      </w:r>
      <w:r w:rsidR="006D13F8" w:rsidRPr="006B17F5">
        <w:rPr>
          <w:sz w:val="22"/>
          <w:szCs w:val="22"/>
        </w:rPr>
        <w:t>July 1</w:t>
      </w:r>
      <w:r w:rsidR="00D97618" w:rsidRPr="006B17F5">
        <w:rPr>
          <w:sz w:val="22"/>
          <w:szCs w:val="22"/>
        </w:rPr>
        <w:t>, 2021.</w:t>
      </w:r>
    </w:p>
    <w:p w14:paraId="0563BAB7" w14:textId="77777777" w:rsidR="006D13F8" w:rsidRPr="006B17F5" w:rsidRDefault="006D13F8" w:rsidP="006D13F8">
      <w:pPr>
        <w:ind w:left="1080"/>
        <w:rPr>
          <w:sz w:val="22"/>
          <w:szCs w:val="22"/>
        </w:rPr>
      </w:pPr>
    </w:p>
    <w:p w14:paraId="58F7E17A" w14:textId="162CADDD" w:rsidR="004D188C" w:rsidRPr="006B17F5" w:rsidRDefault="004E2969" w:rsidP="00B13F75">
      <w:pPr>
        <w:ind w:left="720"/>
        <w:rPr>
          <w:color w:val="333333"/>
          <w:sz w:val="22"/>
          <w:szCs w:val="22"/>
          <w:shd w:val="clear" w:color="auto" w:fill="FFFFFF"/>
        </w:rPr>
      </w:pPr>
      <w:r w:rsidRPr="006B17F5">
        <w:rPr>
          <w:color w:val="333333"/>
          <w:sz w:val="22"/>
          <w:szCs w:val="22"/>
          <w:shd w:val="clear" w:color="auto" w:fill="FFFFFF"/>
        </w:rPr>
        <w:t>(</w:t>
      </w:r>
      <w:r w:rsidR="00B523B9" w:rsidRPr="006B17F5">
        <w:rPr>
          <w:color w:val="333333"/>
          <w:sz w:val="22"/>
          <w:szCs w:val="22"/>
          <w:shd w:val="clear" w:color="auto" w:fill="FFFFFF"/>
        </w:rPr>
        <w:t>5</w:t>
      </w:r>
      <w:r w:rsidRPr="006B17F5">
        <w:rPr>
          <w:color w:val="333333"/>
          <w:sz w:val="22"/>
          <w:szCs w:val="22"/>
          <w:shd w:val="clear" w:color="auto" w:fill="FFFFFF"/>
        </w:rPr>
        <w:t xml:space="preserve">)  </w:t>
      </w:r>
      <w:r w:rsidR="001B1021" w:rsidRPr="006B17F5">
        <w:rPr>
          <w:color w:val="333333"/>
          <w:sz w:val="22"/>
          <w:szCs w:val="22"/>
          <w:u w:val="single"/>
          <w:shd w:val="clear" w:color="auto" w:fill="FFFFFF"/>
        </w:rPr>
        <w:t>Paymen</w:t>
      </w:r>
      <w:r w:rsidR="004D188C" w:rsidRPr="006B17F5">
        <w:rPr>
          <w:color w:val="333333"/>
          <w:sz w:val="22"/>
          <w:szCs w:val="22"/>
          <w:u w:val="single"/>
          <w:shd w:val="clear" w:color="auto" w:fill="FFFFFF"/>
        </w:rPr>
        <w:t>t</w:t>
      </w:r>
      <w:r w:rsidR="00485500" w:rsidRPr="006B17F5">
        <w:rPr>
          <w:color w:val="333333"/>
          <w:sz w:val="22"/>
          <w:szCs w:val="22"/>
          <w:shd w:val="clear" w:color="auto" w:fill="FFFFFF"/>
        </w:rPr>
        <w:t xml:space="preserve">. </w:t>
      </w:r>
      <w:r w:rsidR="00B13F75" w:rsidRPr="006B17F5">
        <w:rPr>
          <w:color w:val="333333"/>
          <w:sz w:val="22"/>
          <w:szCs w:val="22"/>
          <w:shd w:val="clear" w:color="auto" w:fill="FFFFFF"/>
        </w:rPr>
        <w:t xml:space="preserve"> </w:t>
      </w:r>
      <w:r w:rsidR="00AB5CCD" w:rsidRPr="006B17F5">
        <w:rPr>
          <w:color w:val="333333"/>
          <w:sz w:val="22"/>
          <w:szCs w:val="22"/>
          <w:shd w:val="clear" w:color="auto" w:fill="FFFFFF"/>
        </w:rPr>
        <w:t>U</w:t>
      </w:r>
      <w:r w:rsidR="00AB5CCD" w:rsidRPr="006B17F5">
        <w:rPr>
          <w:sz w:val="22"/>
          <w:szCs w:val="22"/>
        </w:rPr>
        <w:t xml:space="preserve">pon implementation of the uniform assessment </w:t>
      </w:r>
      <w:r w:rsidR="00C8160E" w:rsidRPr="006B17F5">
        <w:rPr>
          <w:sz w:val="22"/>
          <w:szCs w:val="22"/>
        </w:rPr>
        <w:t>consistent with the requirements of</w:t>
      </w:r>
      <w:r w:rsidR="00AB5CCD" w:rsidRPr="006B17F5">
        <w:rPr>
          <w:sz w:val="22"/>
          <w:szCs w:val="22"/>
        </w:rPr>
        <w:t xml:space="preserve"> 101 CMR 324.04(1)</w:t>
      </w:r>
      <w:r w:rsidR="00AB5CCD" w:rsidRPr="006B17F5">
        <w:rPr>
          <w:color w:val="333333"/>
          <w:sz w:val="22"/>
          <w:szCs w:val="22"/>
          <w:shd w:val="clear" w:color="auto" w:fill="FFFFFF"/>
        </w:rPr>
        <w:t>, e</w:t>
      </w:r>
      <w:r w:rsidR="00124981" w:rsidRPr="006B17F5">
        <w:rPr>
          <w:color w:val="333333"/>
          <w:sz w:val="22"/>
          <w:szCs w:val="22"/>
          <w:shd w:val="clear" w:color="auto" w:fill="FFFFFF"/>
        </w:rPr>
        <w:t xml:space="preserve">ach nonpublic </w:t>
      </w:r>
      <w:r w:rsidR="008D7897" w:rsidRPr="006B17F5">
        <w:rPr>
          <w:color w:val="333333"/>
          <w:sz w:val="22"/>
          <w:szCs w:val="22"/>
          <w:shd w:val="clear" w:color="auto" w:fill="FFFFFF"/>
        </w:rPr>
        <w:t>ambulance provider</w:t>
      </w:r>
      <w:r w:rsidR="00124981" w:rsidRPr="006B17F5">
        <w:rPr>
          <w:color w:val="333333"/>
          <w:sz w:val="22"/>
          <w:szCs w:val="22"/>
          <w:shd w:val="clear" w:color="auto" w:fill="FFFFFF"/>
        </w:rPr>
        <w:t xml:space="preserve"> must pay its </w:t>
      </w:r>
      <w:r w:rsidR="005A557C" w:rsidRPr="006B17F5">
        <w:rPr>
          <w:color w:val="333333"/>
          <w:sz w:val="22"/>
          <w:szCs w:val="22"/>
          <w:shd w:val="clear" w:color="auto" w:fill="FFFFFF"/>
        </w:rPr>
        <w:t xml:space="preserve">quarterly </w:t>
      </w:r>
      <w:r w:rsidR="00124981" w:rsidRPr="006B17F5">
        <w:rPr>
          <w:color w:val="333333"/>
          <w:sz w:val="22"/>
          <w:szCs w:val="22"/>
          <w:shd w:val="clear" w:color="auto" w:fill="FFFFFF"/>
        </w:rPr>
        <w:t>gross liability to</w:t>
      </w:r>
      <w:r w:rsidR="0076301D" w:rsidRPr="006B17F5">
        <w:rPr>
          <w:color w:val="333333"/>
          <w:sz w:val="22"/>
          <w:szCs w:val="22"/>
          <w:shd w:val="clear" w:color="auto" w:fill="FFFFFF"/>
        </w:rPr>
        <w:t xml:space="preserve"> </w:t>
      </w:r>
      <w:r w:rsidR="00124981" w:rsidRPr="006B17F5">
        <w:rPr>
          <w:color w:val="333333"/>
          <w:sz w:val="22"/>
          <w:szCs w:val="22"/>
          <w:shd w:val="clear" w:color="auto" w:fill="FFFFFF"/>
        </w:rPr>
        <w:t>t</w:t>
      </w:r>
      <w:r w:rsidR="0076301D" w:rsidRPr="006B17F5">
        <w:rPr>
          <w:color w:val="333333"/>
          <w:sz w:val="22"/>
          <w:szCs w:val="22"/>
          <w:shd w:val="clear" w:color="auto" w:fill="FFFFFF"/>
        </w:rPr>
        <w:t xml:space="preserve">he </w:t>
      </w:r>
      <w:r w:rsidR="00124981" w:rsidRPr="006B17F5">
        <w:rPr>
          <w:color w:val="333333"/>
          <w:sz w:val="22"/>
          <w:szCs w:val="22"/>
          <w:shd w:val="clear" w:color="auto" w:fill="FFFFFF"/>
        </w:rPr>
        <w:t xml:space="preserve">Trust Fund within </w:t>
      </w:r>
      <w:r w:rsidR="00413ED4" w:rsidRPr="006B17F5">
        <w:rPr>
          <w:color w:val="333333"/>
          <w:sz w:val="22"/>
          <w:szCs w:val="22"/>
          <w:shd w:val="clear" w:color="auto" w:fill="FFFFFF"/>
        </w:rPr>
        <w:t>45</w:t>
      </w:r>
      <w:r w:rsidR="00124981" w:rsidRPr="006B17F5">
        <w:rPr>
          <w:color w:val="333333"/>
          <w:sz w:val="22"/>
          <w:szCs w:val="22"/>
          <w:shd w:val="clear" w:color="auto" w:fill="FFFFFF"/>
        </w:rPr>
        <w:t xml:space="preserve"> </w:t>
      </w:r>
      <w:r w:rsidR="00485500" w:rsidRPr="006B17F5">
        <w:rPr>
          <w:color w:val="333333"/>
          <w:sz w:val="22"/>
          <w:szCs w:val="22"/>
          <w:shd w:val="clear" w:color="auto" w:fill="FFFFFF"/>
        </w:rPr>
        <w:t xml:space="preserve">days </w:t>
      </w:r>
      <w:r w:rsidR="00451C7C" w:rsidRPr="006B17F5">
        <w:rPr>
          <w:sz w:val="22"/>
          <w:szCs w:val="22"/>
        </w:rPr>
        <w:t xml:space="preserve">(or such additional period designated by EOHHS by administrative bulletin or other written guidance) </w:t>
      </w:r>
      <w:r w:rsidR="00485500" w:rsidRPr="006B17F5">
        <w:rPr>
          <w:color w:val="333333"/>
          <w:sz w:val="22"/>
          <w:szCs w:val="22"/>
          <w:shd w:val="clear" w:color="auto" w:fill="FFFFFF"/>
        </w:rPr>
        <w:t>of the</w:t>
      </w:r>
      <w:r w:rsidR="006D13F8" w:rsidRPr="006B17F5">
        <w:rPr>
          <w:color w:val="333333"/>
          <w:sz w:val="22"/>
          <w:szCs w:val="22"/>
          <w:shd w:val="clear" w:color="auto" w:fill="FFFFFF"/>
        </w:rPr>
        <w:t xml:space="preserve"> end</w:t>
      </w:r>
      <w:r w:rsidR="00E41F25" w:rsidRPr="006B17F5">
        <w:rPr>
          <w:color w:val="333333"/>
          <w:sz w:val="22"/>
          <w:szCs w:val="22"/>
          <w:shd w:val="clear" w:color="auto" w:fill="FFFFFF"/>
        </w:rPr>
        <w:t xml:space="preserve"> of each </w:t>
      </w:r>
      <w:r w:rsidR="00D339B2" w:rsidRPr="006B17F5">
        <w:rPr>
          <w:color w:val="333333"/>
          <w:sz w:val="22"/>
          <w:szCs w:val="22"/>
          <w:shd w:val="clear" w:color="auto" w:fill="FFFFFF"/>
        </w:rPr>
        <w:t xml:space="preserve">calendar </w:t>
      </w:r>
      <w:r w:rsidR="00E41F25" w:rsidRPr="006B17F5">
        <w:rPr>
          <w:color w:val="333333"/>
          <w:sz w:val="22"/>
          <w:szCs w:val="22"/>
          <w:shd w:val="clear" w:color="auto" w:fill="FFFFFF"/>
        </w:rPr>
        <w:t>quarter, starting with the quarter</w:t>
      </w:r>
      <w:r w:rsidR="006D13F8" w:rsidRPr="006B17F5">
        <w:rPr>
          <w:sz w:val="22"/>
          <w:szCs w:val="22"/>
        </w:rPr>
        <w:t xml:space="preserve"> beginning July 1, 2021</w:t>
      </w:r>
      <w:r w:rsidR="00C8160E" w:rsidRPr="006B17F5">
        <w:rPr>
          <w:sz w:val="22"/>
          <w:szCs w:val="22"/>
        </w:rPr>
        <w:t>.</w:t>
      </w:r>
      <w:r w:rsidR="00AB5CCD" w:rsidRPr="006B17F5">
        <w:rPr>
          <w:sz w:val="22"/>
          <w:szCs w:val="22"/>
        </w:rPr>
        <w:t xml:space="preserve"> </w:t>
      </w:r>
      <w:r w:rsidR="009D3711" w:rsidRPr="006B17F5">
        <w:rPr>
          <w:color w:val="333333"/>
          <w:sz w:val="22"/>
          <w:szCs w:val="22"/>
          <w:shd w:val="clear" w:color="auto" w:fill="FFFFFF"/>
        </w:rPr>
        <w:t>The nonpublic ambulance provider may adjust the amount owed for any over- or under-payments in a previous perio</w:t>
      </w:r>
      <w:r w:rsidR="00124981" w:rsidRPr="006B17F5">
        <w:rPr>
          <w:color w:val="333333"/>
          <w:sz w:val="22"/>
          <w:szCs w:val="22"/>
          <w:shd w:val="clear" w:color="auto" w:fill="FFFFFF"/>
        </w:rPr>
        <w:t>d.</w:t>
      </w:r>
    </w:p>
    <w:p w14:paraId="3891ECB9" w14:textId="77777777" w:rsidR="001571D7" w:rsidRPr="006B17F5" w:rsidRDefault="001571D7" w:rsidP="00313AC5">
      <w:pPr>
        <w:rPr>
          <w:sz w:val="22"/>
          <w:szCs w:val="22"/>
          <w:u w:val="single"/>
        </w:rPr>
      </w:pPr>
    </w:p>
    <w:p w14:paraId="51334228" w14:textId="0A9D3307" w:rsidR="00974BB1" w:rsidRPr="006B17F5" w:rsidRDefault="003B332D" w:rsidP="00313AC5">
      <w:pPr>
        <w:rPr>
          <w:sz w:val="22"/>
          <w:szCs w:val="22"/>
          <w:u w:val="single"/>
        </w:rPr>
      </w:pPr>
      <w:r w:rsidRPr="006B17F5">
        <w:rPr>
          <w:sz w:val="22"/>
          <w:szCs w:val="22"/>
          <w:u w:val="single"/>
        </w:rPr>
        <w:t>324</w:t>
      </w:r>
      <w:r w:rsidR="00974BB1" w:rsidRPr="006B17F5">
        <w:rPr>
          <w:sz w:val="22"/>
          <w:szCs w:val="22"/>
          <w:u w:val="single"/>
        </w:rPr>
        <w:t>.0</w:t>
      </w:r>
      <w:r w:rsidR="003953D8" w:rsidRPr="006B17F5">
        <w:rPr>
          <w:sz w:val="22"/>
          <w:szCs w:val="22"/>
          <w:u w:val="single"/>
        </w:rPr>
        <w:t>5</w:t>
      </w:r>
      <w:r w:rsidR="00974BB1" w:rsidRPr="006B17F5">
        <w:rPr>
          <w:sz w:val="22"/>
          <w:szCs w:val="22"/>
          <w:u w:val="single"/>
        </w:rPr>
        <w:t xml:space="preserve">:  </w:t>
      </w:r>
      <w:r w:rsidR="00B13065" w:rsidRPr="006B17F5">
        <w:rPr>
          <w:sz w:val="22"/>
          <w:szCs w:val="22"/>
          <w:u w:val="single"/>
        </w:rPr>
        <w:t xml:space="preserve">Filing and </w:t>
      </w:r>
      <w:r w:rsidR="00974BB1" w:rsidRPr="006B17F5">
        <w:rPr>
          <w:sz w:val="22"/>
          <w:szCs w:val="22"/>
          <w:u w:val="single"/>
        </w:rPr>
        <w:t>Reporting Requirements</w:t>
      </w:r>
    </w:p>
    <w:p w14:paraId="60A7706C" w14:textId="77777777" w:rsidR="004E2969" w:rsidRPr="006B17F5" w:rsidRDefault="004E2969" w:rsidP="00313AC5">
      <w:pPr>
        <w:rPr>
          <w:sz w:val="22"/>
          <w:szCs w:val="22"/>
          <w:u w:val="single"/>
        </w:rPr>
      </w:pPr>
    </w:p>
    <w:p w14:paraId="171E541B" w14:textId="2C08DB78" w:rsidR="00F66E80" w:rsidRPr="006B17F5" w:rsidRDefault="00A16BC6" w:rsidP="004E2969">
      <w:pPr>
        <w:ind w:left="720"/>
        <w:rPr>
          <w:sz w:val="22"/>
          <w:szCs w:val="22"/>
        </w:rPr>
      </w:pPr>
      <w:r w:rsidRPr="006B17F5">
        <w:rPr>
          <w:sz w:val="22"/>
          <w:szCs w:val="22"/>
        </w:rPr>
        <w:t>(</w:t>
      </w:r>
      <w:r w:rsidR="00693C65" w:rsidRPr="006B17F5">
        <w:rPr>
          <w:sz w:val="22"/>
          <w:szCs w:val="22"/>
        </w:rPr>
        <w:t>1</w:t>
      </w:r>
      <w:r w:rsidR="004E2969" w:rsidRPr="006B17F5">
        <w:rPr>
          <w:sz w:val="22"/>
          <w:szCs w:val="22"/>
        </w:rPr>
        <w:t xml:space="preserve">)  </w:t>
      </w:r>
      <w:r w:rsidR="00F66E80" w:rsidRPr="006B17F5">
        <w:rPr>
          <w:sz w:val="22"/>
          <w:szCs w:val="22"/>
          <w:u w:val="single"/>
        </w:rPr>
        <w:t>Accurate Data</w:t>
      </w:r>
      <w:r w:rsidR="00F66E80" w:rsidRPr="006B17F5">
        <w:rPr>
          <w:sz w:val="22"/>
          <w:szCs w:val="22"/>
        </w:rPr>
        <w:t xml:space="preserve">.  All reports, schedules, additional information, books, and records that are filed or made available to EOHHS </w:t>
      </w:r>
      <w:r w:rsidR="00D156DB" w:rsidRPr="006B17F5">
        <w:rPr>
          <w:sz w:val="22"/>
          <w:szCs w:val="22"/>
        </w:rPr>
        <w:t xml:space="preserve">must </w:t>
      </w:r>
      <w:r w:rsidR="00F66E80" w:rsidRPr="006B17F5">
        <w:rPr>
          <w:sz w:val="22"/>
          <w:szCs w:val="22"/>
        </w:rPr>
        <w:t>be certified under pains and penalties of perjury as true, correct, and accur</w:t>
      </w:r>
      <w:r w:rsidR="0004350F" w:rsidRPr="006B17F5">
        <w:rPr>
          <w:sz w:val="22"/>
          <w:szCs w:val="22"/>
        </w:rPr>
        <w:t xml:space="preserve">ate by the </w:t>
      </w:r>
      <w:r w:rsidR="00EC5748" w:rsidRPr="006B17F5">
        <w:rPr>
          <w:sz w:val="22"/>
          <w:szCs w:val="22"/>
        </w:rPr>
        <w:t xml:space="preserve">chief </w:t>
      </w:r>
      <w:r w:rsidR="003B2C2B" w:rsidRPr="006B17F5">
        <w:rPr>
          <w:sz w:val="22"/>
          <w:szCs w:val="22"/>
        </w:rPr>
        <w:t>e</w:t>
      </w:r>
      <w:r w:rsidR="0004350F" w:rsidRPr="006B17F5">
        <w:rPr>
          <w:sz w:val="22"/>
          <w:szCs w:val="22"/>
        </w:rPr>
        <w:t>xecutive</w:t>
      </w:r>
      <w:r w:rsidR="00EC5748" w:rsidRPr="006B17F5">
        <w:rPr>
          <w:sz w:val="22"/>
          <w:szCs w:val="22"/>
        </w:rPr>
        <w:t xml:space="preserve"> officer, president,</w:t>
      </w:r>
      <w:r w:rsidR="0004350F" w:rsidRPr="006B17F5">
        <w:rPr>
          <w:sz w:val="22"/>
          <w:szCs w:val="22"/>
        </w:rPr>
        <w:t xml:space="preserve"> or</w:t>
      </w:r>
      <w:r w:rsidR="00F66E80" w:rsidRPr="006B17F5">
        <w:rPr>
          <w:sz w:val="22"/>
          <w:szCs w:val="22"/>
        </w:rPr>
        <w:t xml:space="preserve"> </w:t>
      </w:r>
      <w:r w:rsidR="003B2C2B" w:rsidRPr="006B17F5">
        <w:rPr>
          <w:sz w:val="22"/>
          <w:szCs w:val="22"/>
        </w:rPr>
        <w:t>c</w:t>
      </w:r>
      <w:r w:rsidR="00F66E80" w:rsidRPr="006B17F5">
        <w:rPr>
          <w:sz w:val="22"/>
          <w:szCs w:val="22"/>
        </w:rPr>
        <w:t xml:space="preserve">hief </w:t>
      </w:r>
      <w:r w:rsidR="003B2C2B" w:rsidRPr="006B17F5">
        <w:rPr>
          <w:sz w:val="22"/>
          <w:szCs w:val="22"/>
        </w:rPr>
        <w:t>f</w:t>
      </w:r>
      <w:r w:rsidR="00F66E80" w:rsidRPr="006B17F5">
        <w:rPr>
          <w:sz w:val="22"/>
          <w:szCs w:val="22"/>
        </w:rPr>
        <w:t xml:space="preserve">inancial </w:t>
      </w:r>
      <w:r w:rsidR="003B2C2B" w:rsidRPr="006B17F5">
        <w:rPr>
          <w:sz w:val="22"/>
          <w:szCs w:val="22"/>
        </w:rPr>
        <w:t>o</w:t>
      </w:r>
      <w:r w:rsidR="00F66E80" w:rsidRPr="006B17F5">
        <w:rPr>
          <w:sz w:val="22"/>
          <w:szCs w:val="22"/>
        </w:rPr>
        <w:t xml:space="preserve">fficer of the eligible </w:t>
      </w:r>
      <w:r w:rsidR="00E9326E" w:rsidRPr="006B17F5">
        <w:rPr>
          <w:sz w:val="22"/>
          <w:szCs w:val="22"/>
        </w:rPr>
        <w:t xml:space="preserve">nonpublic </w:t>
      </w:r>
      <w:r w:rsidR="008D7897" w:rsidRPr="006B17F5">
        <w:rPr>
          <w:sz w:val="22"/>
          <w:szCs w:val="22"/>
        </w:rPr>
        <w:t>ambulance provider</w:t>
      </w:r>
      <w:r w:rsidR="00E9326E" w:rsidRPr="006B17F5">
        <w:rPr>
          <w:sz w:val="22"/>
          <w:szCs w:val="22"/>
        </w:rPr>
        <w:t>.</w:t>
      </w:r>
    </w:p>
    <w:p w14:paraId="62BDF26D" w14:textId="77777777" w:rsidR="004E2969" w:rsidRPr="006B17F5" w:rsidRDefault="004E2969" w:rsidP="005C5A98">
      <w:pPr>
        <w:ind w:left="720"/>
        <w:rPr>
          <w:sz w:val="22"/>
          <w:szCs w:val="22"/>
        </w:rPr>
      </w:pPr>
    </w:p>
    <w:p w14:paraId="018D43F6" w14:textId="3DFF2083" w:rsidR="003D2883" w:rsidRPr="006B17F5" w:rsidRDefault="00A16BC6" w:rsidP="005C5A98">
      <w:pPr>
        <w:ind w:left="720"/>
        <w:rPr>
          <w:sz w:val="22"/>
          <w:szCs w:val="22"/>
        </w:rPr>
      </w:pPr>
      <w:r w:rsidRPr="006B17F5">
        <w:rPr>
          <w:sz w:val="22"/>
          <w:szCs w:val="22"/>
        </w:rPr>
        <w:t>(</w:t>
      </w:r>
      <w:r w:rsidR="00693C65" w:rsidRPr="006B17F5">
        <w:rPr>
          <w:sz w:val="22"/>
          <w:szCs w:val="22"/>
        </w:rPr>
        <w:t>2</w:t>
      </w:r>
      <w:r w:rsidR="004E2969" w:rsidRPr="006B17F5">
        <w:rPr>
          <w:sz w:val="22"/>
          <w:szCs w:val="22"/>
        </w:rPr>
        <w:t xml:space="preserve">)  </w:t>
      </w:r>
      <w:r w:rsidR="00F66E80" w:rsidRPr="006B17F5">
        <w:rPr>
          <w:sz w:val="22"/>
          <w:szCs w:val="22"/>
          <w:u w:val="single"/>
        </w:rPr>
        <w:t>Examination of Records</w:t>
      </w:r>
      <w:r w:rsidR="00F66E80" w:rsidRPr="006B17F5">
        <w:rPr>
          <w:sz w:val="22"/>
          <w:szCs w:val="22"/>
        </w:rPr>
        <w:t xml:space="preserve">.  Each eligible </w:t>
      </w:r>
      <w:r w:rsidR="00E9326E" w:rsidRPr="006B17F5">
        <w:rPr>
          <w:sz w:val="22"/>
          <w:szCs w:val="22"/>
        </w:rPr>
        <w:t xml:space="preserve">nonpublic </w:t>
      </w:r>
      <w:r w:rsidR="008D7897" w:rsidRPr="006B17F5">
        <w:rPr>
          <w:sz w:val="22"/>
          <w:szCs w:val="22"/>
        </w:rPr>
        <w:t>ambulance provider</w:t>
      </w:r>
      <w:r w:rsidR="00387BBA" w:rsidRPr="006B17F5">
        <w:rPr>
          <w:sz w:val="22"/>
          <w:szCs w:val="22"/>
        </w:rPr>
        <w:t xml:space="preserve"> </w:t>
      </w:r>
      <w:r w:rsidR="00F66E80" w:rsidRPr="006B17F5">
        <w:rPr>
          <w:sz w:val="22"/>
          <w:szCs w:val="22"/>
        </w:rPr>
        <w:t xml:space="preserve">must make available </w:t>
      </w:r>
      <w:r w:rsidR="003D2883" w:rsidRPr="006B17F5">
        <w:rPr>
          <w:sz w:val="22"/>
          <w:szCs w:val="22"/>
        </w:rPr>
        <w:t>all records relating to its operation and all records relating to a holding company or any entity in which there may be a common ownership or interrelated directorate upon request of EOHHS for examination.</w:t>
      </w:r>
    </w:p>
    <w:p w14:paraId="38949AA9" w14:textId="77777777" w:rsidR="004E2969" w:rsidRPr="006B17F5" w:rsidRDefault="004E2969" w:rsidP="005C5A98">
      <w:pPr>
        <w:ind w:left="720"/>
        <w:rPr>
          <w:sz w:val="22"/>
          <w:szCs w:val="22"/>
        </w:rPr>
      </w:pPr>
    </w:p>
    <w:p w14:paraId="2374F808" w14:textId="4AE9D3D6" w:rsidR="00F66E80" w:rsidRPr="006B17F5" w:rsidRDefault="00A16BC6" w:rsidP="005C5A98">
      <w:pPr>
        <w:ind w:left="720"/>
        <w:rPr>
          <w:sz w:val="22"/>
          <w:szCs w:val="22"/>
        </w:rPr>
      </w:pPr>
      <w:r w:rsidRPr="006B17F5">
        <w:rPr>
          <w:sz w:val="22"/>
          <w:szCs w:val="22"/>
        </w:rPr>
        <w:t>(</w:t>
      </w:r>
      <w:r w:rsidR="00693C65" w:rsidRPr="006B17F5">
        <w:rPr>
          <w:sz w:val="22"/>
          <w:szCs w:val="22"/>
        </w:rPr>
        <w:t>3</w:t>
      </w:r>
      <w:r w:rsidR="004E2969" w:rsidRPr="006B17F5">
        <w:rPr>
          <w:sz w:val="22"/>
          <w:szCs w:val="22"/>
        </w:rPr>
        <w:t>)</w:t>
      </w:r>
      <w:r w:rsidR="00D81FBD" w:rsidRPr="006B17F5">
        <w:rPr>
          <w:sz w:val="22"/>
          <w:szCs w:val="22"/>
        </w:rPr>
        <w:t xml:space="preserve"> </w:t>
      </w:r>
      <w:r w:rsidR="004E2969" w:rsidRPr="006B17F5">
        <w:rPr>
          <w:sz w:val="22"/>
          <w:szCs w:val="22"/>
        </w:rPr>
        <w:t xml:space="preserve"> </w:t>
      </w:r>
      <w:r w:rsidR="003D2883" w:rsidRPr="006B17F5">
        <w:rPr>
          <w:sz w:val="22"/>
          <w:szCs w:val="22"/>
          <w:u w:val="single"/>
        </w:rPr>
        <w:t>Field Audits</w:t>
      </w:r>
      <w:r w:rsidR="003D2883" w:rsidRPr="006B17F5">
        <w:rPr>
          <w:sz w:val="22"/>
          <w:szCs w:val="22"/>
        </w:rPr>
        <w:t>.  EOHHS</w:t>
      </w:r>
      <w:r w:rsidR="00D32B2E" w:rsidRPr="006B17F5">
        <w:rPr>
          <w:sz w:val="22"/>
          <w:szCs w:val="22"/>
        </w:rPr>
        <w:t xml:space="preserve"> or its designee</w:t>
      </w:r>
      <w:r w:rsidR="003D2883" w:rsidRPr="006B17F5">
        <w:rPr>
          <w:sz w:val="22"/>
          <w:szCs w:val="22"/>
        </w:rPr>
        <w:t xml:space="preserve"> may conduct field audits</w:t>
      </w:r>
      <w:r w:rsidR="00D32B2E" w:rsidRPr="006B17F5">
        <w:rPr>
          <w:sz w:val="22"/>
          <w:szCs w:val="22"/>
        </w:rPr>
        <w:t xml:space="preserve"> of eligible </w:t>
      </w:r>
      <w:r w:rsidR="00E9326E" w:rsidRPr="006B17F5">
        <w:rPr>
          <w:sz w:val="22"/>
          <w:szCs w:val="22"/>
        </w:rPr>
        <w:t xml:space="preserve">nonpublic </w:t>
      </w:r>
      <w:r w:rsidR="008D7897" w:rsidRPr="006B17F5">
        <w:rPr>
          <w:sz w:val="22"/>
          <w:szCs w:val="22"/>
        </w:rPr>
        <w:t>ambulance provider</w:t>
      </w:r>
      <w:r w:rsidR="00387BBA" w:rsidRPr="006B17F5">
        <w:rPr>
          <w:sz w:val="22"/>
          <w:szCs w:val="22"/>
        </w:rPr>
        <w:t xml:space="preserve">s </w:t>
      </w:r>
      <w:r w:rsidR="00D32B2E" w:rsidRPr="006B17F5">
        <w:rPr>
          <w:sz w:val="22"/>
          <w:szCs w:val="22"/>
        </w:rPr>
        <w:t xml:space="preserve">to verify compliance with any aspect of 101 CMR </w:t>
      </w:r>
      <w:r w:rsidR="003B332D" w:rsidRPr="006B17F5">
        <w:rPr>
          <w:sz w:val="22"/>
          <w:szCs w:val="22"/>
        </w:rPr>
        <w:t>324</w:t>
      </w:r>
      <w:r w:rsidR="003D2883" w:rsidRPr="006B17F5">
        <w:rPr>
          <w:sz w:val="22"/>
          <w:szCs w:val="22"/>
        </w:rPr>
        <w:t>.</w:t>
      </w:r>
      <w:r w:rsidR="006203A8" w:rsidRPr="006B17F5">
        <w:rPr>
          <w:sz w:val="22"/>
          <w:szCs w:val="22"/>
        </w:rPr>
        <w:t>00.</w:t>
      </w:r>
      <w:r w:rsidR="003D2883" w:rsidRPr="006B17F5">
        <w:rPr>
          <w:sz w:val="22"/>
          <w:szCs w:val="22"/>
        </w:rPr>
        <w:t xml:space="preserve">  </w:t>
      </w:r>
    </w:p>
    <w:p w14:paraId="595BFF35" w14:textId="77777777" w:rsidR="00ED4F94" w:rsidRPr="006B17F5" w:rsidRDefault="00ED4F94" w:rsidP="00A16BC6">
      <w:pPr>
        <w:ind w:left="1080"/>
        <w:rPr>
          <w:sz w:val="22"/>
          <w:szCs w:val="22"/>
          <w:u w:val="single"/>
        </w:rPr>
      </w:pPr>
    </w:p>
    <w:p w14:paraId="79FD23E5" w14:textId="4B16AA63" w:rsidR="00392A39" w:rsidRPr="006B17F5" w:rsidRDefault="003B332D" w:rsidP="00392A39">
      <w:pPr>
        <w:rPr>
          <w:sz w:val="22"/>
          <w:szCs w:val="22"/>
        </w:rPr>
      </w:pPr>
      <w:r w:rsidRPr="006B17F5">
        <w:rPr>
          <w:sz w:val="22"/>
          <w:szCs w:val="22"/>
          <w:u w:val="single"/>
        </w:rPr>
        <w:t>324</w:t>
      </w:r>
      <w:r w:rsidR="00392A39" w:rsidRPr="006B17F5">
        <w:rPr>
          <w:sz w:val="22"/>
          <w:szCs w:val="22"/>
          <w:u w:val="single"/>
        </w:rPr>
        <w:t>.0</w:t>
      </w:r>
      <w:r w:rsidR="003953D8" w:rsidRPr="006B17F5">
        <w:rPr>
          <w:sz w:val="22"/>
          <w:szCs w:val="22"/>
          <w:u w:val="single"/>
        </w:rPr>
        <w:t>6</w:t>
      </w:r>
      <w:r w:rsidR="00392A39" w:rsidRPr="006B17F5">
        <w:rPr>
          <w:sz w:val="22"/>
          <w:szCs w:val="22"/>
          <w:u w:val="single"/>
        </w:rPr>
        <w:t>:  Noncompliance</w:t>
      </w:r>
    </w:p>
    <w:p w14:paraId="7F56F7D5" w14:textId="77777777" w:rsidR="00392A39" w:rsidRPr="006B17F5" w:rsidRDefault="00392A39" w:rsidP="00313AC5">
      <w:pPr>
        <w:rPr>
          <w:sz w:val="22"/>
          <w:szCs w:val="22"/>
        </w:rPr>
      </w:pPr>
    </w:p>
    <w:p w14:paraId="466E9918" w14:textId="69B93E3F" w:rsidR="001E4D7E" w:rsidRPr="006B17F5" w:rsidRDefault="004E2969" w:rsidP="003B2C2B">
      <w:pPr>
        <w:ind w:left="720"/>
        <w:rPr>
          <w:color w:val="333333"/>
          <w:sz w:val="22"/>
          <w:szCs w:val="22"/>
          <w:u w:val="single"/>
          <w:shd w:val="clear" w:color="auto" w:fill="FFFFFF"/>
        </w:rPr>
      </w:pPr>
      <w:r w:rsidRPr="006B17F5">
        <w:rPr>
          <w:color w:val="333333"/>
          <w:sz w:val="22"/>
          <w:szCs w:val="22"/>
          <w:shd w:val="clear" w:color="auto" w:fill="FFFFFF"/>
        </w:rPr>
        <w:t xml:space="preserve">(1)  </w:t>
      </w:r>
      <w:r w:rsidR="006727E5" w:rsidRPr="006B17F5">
        <w:rPr>
          <w:color w:val="333333"/>
          <w:sz w:val="22"/>
          <w:szCs w:val="22"/>
          <w:u w:val="single"/>
          <w:shd w:val="clear" w:color="auto" w:fill="FFFFFF"/>
        </w:rPr>
        <w:t xml:space="preserve">Penalty for </w:t>
      </w:r>
      <w:r w:rsidR="004E778B" w:rsidRPr="006B17F5">
        <w:rPr>
          <w:color w:val="333333"/>
          <w:sz w:val="22"/>
          <w:szCs w:val="22"/>
          <w:u w:val="single"/>
          <w:shd w:val="clear" w:color="auto" w:fill="FFFFFF"/>
        </w:rPr>
        <w:t>N</w:t>
      </w:r>
      <w:r w:rsidR="006727E5" w:rsidRPr="006B17F5">
        <w:rPr>
          <w:color w:val="333333"/>
          <w:sz w:val="22"/>
          <w:szCs w:val="22"/>
          <w:u w:val="single"/>
          <w:shd w:val="clear" w:color="auto" w:fill="FFFFFF"/>
        </w:rPr>
        <w:t>on</w:t>
      </w:r>
      <w:r w:rsidR="00E74AFA" w:rsidRPr="006B17F5">
        <w:rPr>
          <w:color w:val="333333"/>
          <w:sz w:val="22"/>
          <w:szCs w:val="22"/>
          <w:u w:val="single"/>
          <w:shd w:val="clear" w:color="auto" w:fill="FFFFFF"/>
        </w:rPr>
        <w:t>payment</w:t>
      </w:r>
      <w:r w:rsidR="0010305D" w:rsidRPr="006B17F5">
        <w:rPr>
          <w:color w:val="333333"/>
          <w:sz w:val="22"/>
          <w:szCs w:val="22"/>
          <w:shd w:val="clear" w:color="auto" w:fill="FFFFFF"/>
        </w:rPr>
        <w:t>.</w:t>
      </w:r>
      <w:r w:rsidR="001E4D7E" w:rsidRPr="006B17F5">
        <w:rPr>
          <w:color w:val="333333"/>
          <w:sz w:val="22"/>
          <w:szCs w:val="22"/>
          <w:shd w:val="clear" w:color="auto" w:fill="FFFFFF"/>
        </w:rPr>
        <w:t xml:space="preserve">  If a nonpublic </w:t>
      </w:r>
      <w:r w:rsidR="008D7897" w:rsidRPr="006B17F5">
        <w:rPr>
          <w:color w:val="333333"/>
          <w:sz w:val="22"/>
          <w:szCs w:val="22"/>
          <w:shd w:val="clear" w:color="auto" w:fill="FFFFFF"/>
        </w:rPr>
        <w:t>ambulance provider</w:t>
      </w:r>
      <w:r w:rsidR="001E4D7E" w:rsidRPr="006B17F5">
        <w:rPr>
          <w:color w:val="333333"/>
          <w:sz w:val="22"/>
          <w:szCs w:val="22"/>
          <w:shd w:val="clear" w:color="auto" w:fill="FFFFFF"/>
        </w:rPr>
        <w:t xml:space="preserve"> does not pay the amount </w:t>
      </w:r>
      <w:r w:rsidR="0010305D" w:rsidRPr="006B17F5">
        <w:rPr>
          <w:color w:val="333333"/>
          <w:sz w:val="22"/>
          <w:szCs w:val="22"/>
          <w:shd w:val="clear" w:color="auto" w:fill="FFFFFF"/>
        </w:rPr>
        <w:t xml:space="preserve">required </w:t>
      </w:r>
      <w:r w:rsidR="001E4D7E" w:rsidRPr="006B17F5">
        <w:rPr>
          <w:color w:val="333333"/>
          <w:sz w:val="22"/>
          <w:szCs w:val="22"/>
          <w:shd w:val="clear" w:color="auto" w:fill="FFFFFF"/>
        </w:rPr>
        <w:t xml:space="preserve">pursuant to 101 CMR </w:t>
      </w:r>
      <w:r w:rsidR="00C923C4" w:rsidRPr="006B17F5">
        <w:rPr>
          <w:color w:val="333333"/>
          <w:sz w:val="22"/>
          <w:szCs w:val="22"/>
          <w:shd w:val="clear" w:color="auto" w:fill="FFFFFF"/>
        </w:rPr>
        <w:t>324</w:t>
      </w:r>
      <w:r w:rsidR="006727E5" w:rsidRPr="006B17F5">
        <w:rPr>
          <w:color w:val="333333"/>
          <w:sz w:val="22"/>
          <w:szCs w:val="22"/>
          <w:shd w:val="clear" w:color="auto" w:fill="FFFFFF"/>
        </w:rPr>
        <w:t>.</w:t>
      </w:r>
      <w:r w:rsidR="001E4D7E" w:rsidRPr="006B17F5">
        <w:rPr>
          <w:color w:val="333333"/>
          <w:sz w:val="22"/>
          <w:szCs w:val="22"/>
          <w:shd w:val="clear" w:color="auto" w:fill="FFFFFF"/>
        </w:rPr>
        <w:t>0</w:t>
      </w:r>
      <w:r w:rsidR="00E74AFA" w:rsidRPr="006B17F5">
        <w:rPr>
          <w:color w:val="333333"/>
          <w:sz w:val="22"/>
          <w:szCs w:val="22"/>
          <w:shd w:val="clear" w:color="auto" w:fill="FFFFFF"/>
        </w:rPr>
        <w:t>4</w:t>
      </w:r>
      <w:r w:rsidR="006727E5" w:rsidRPr="006B17F5">
        <w:rPr>
          <w:color w:val="333333"/>
          <w:sz w:val="22"/>
          <w:szCs w:val="22"/>
          <w:shd w:val="clear" w:color="auto" w:fill="FFFFFF"/>
        </w:rPr>
        <w:t xml:space="preserve">, </w:t>
      </w:r>
      <w:r w:rsidR="001E4D7E" w:rsidRPr="006B17F5">
        <w:rPr>
          <w:color w:val="333333"/>
          <w:sz w:val="22"/>
          <w:szCs w:val="22"/>
          <w:shd w:val="clear" w:color="auto" w:fill="FFFFFF"/>
        </w:rPr>
        <w:t xml:space="preserve">or a specified portion thereof, by the due date established by EOHHS, EOHHS may assess up to a 3% penalty on the outstanding balance. EOHHS will calculate the penalty on the outstanding balance as of the due date. EOHHS may assess up to an additional 3% penalty against the outstanding balance and prior penalties for each month that a nonpublic </w:t>
      </w:r>
      <w:r w:rsidR="008D7897" w:rsidRPr="006B17F5">
        <w:rPr>
          <w:color w:val="333333"/>
          <w:sz w:val="22"/>
          <w:szCs w:val="22"/>
          <w:shd w:val="clear" w:color="auto" w:fill="FFFFFF"/>
        </w:rPr>
        <w:t>ambulance provider</w:t>
      </w:r>
      <w:r w:rsidR="001E4D7E" w:rsidRPr="006B17F5">
        <w:rPr>
          <w:color w:val="333333"/>
          <w:sz w:val="22"/>
          <w:szCs w:val="22"/>
          <w:shd w:val="clear" w:color="auto" w:fill="FFFFFF"/>
        </w:rPr>
        <w:t xml:space="preserve"> remains delinquent. EOHHS will credit partial payments from delinquent nonpublic </w:t>
      </w:r>
      <w:r w:rsidR="008D7897" w:rsidRPr="006B17F5">
        <w:rPr>
          <w:color w:val="333333"/>
          <w:sz w:val="22"/>
          <w:szCs w:val="22"/>
          <w:shd w:val="clear" w:color="auto" w:fill="FFFFFF"/>
        </w:rPr>
        <w:t>ambulance provider</w:t>
      </w:r>
      <w:r w:rsidR="001E4D7E" w:rsidRPr="006B17F5">
        <w:rPr>
          <w:color w:val="333333"/>
          <w:sz w:val="22"/>
          <w:szCs w:val="22"/>
          <w:shd w:val="clear" w:color="auto" w:fill="FFFFFF"/>
        </w:rPr>
        <w:t>s to the current outstanding liability. If any amount remains from the partial payment, EOHHS will then credit such amount to the penalty amount.</w:t>
      </w:r>
      <w:r w:rsidR="001E4D7E" w:rsidRPr="006B17F5">
        <w:rPr>
          <w:color w:val="333333"/>
          <w:sz w:val="22"/>
          <w:szCs w:val="22"/>
          <w:u w:val="single"/>
          <w:shd w:val="clear" w:color="auto" w:fill="FFFFFF"/>
        </w:rPr>
        <w:t xml:space="preserve">  </w:t>
      </w:r>
    </w:p>
    <w:p w14:paraId="1BF40B28" w14:textId="77777777" w:rsidR="00693C65" w:rsidRPr="006B17F5" w:rsidRDefault="00693C65" w:rsidP="004E2969">
      <w:pPr>
        <w:ind w:left="720"/>
        <w:rPr>
          <w:color w:val="333333"/>
          <w:sz w:val="22"/>
          <w:szCs w:val="22"/>
          <w:u w:val="single"/>
          <w:shd w:val="clear" w:color="auto" w:fill="FFFFFF"/>
        </w:rPr>
      </w:pPr>
    </w:p>
    <w:p w14:paraId="7C5CC469" w14:textId="58398A98" w:rsidR="00693C65" w:rsidRPr="006B17F5" w:rsidRDefault="004E2969" w:rsidP="003B2C2B">
      <w:pPr>
        <w:ind w:left="720"/>
        <w:rPr>
          <w:color w:val="333333"/>
          <w:sz w:val="22"/>
          <w:szCs w:val="22"/>
          <w:shd w:val="clear" w:color="auto" w:fill="FFFFFF"/>
        </w:rPr>
      </w:pPr>
      <w:r w:rsidRPr="006B17F5">
        <w:rPr>
          <w:color w:val="333333"/>
          <w:sz w:val="22"/>
          <w:szCs w:val="22"/>
          <w:shd w:val="clear" w:color="auto" w:fill="FFFFFF"/>
        </w:rPr>
        <w:t xml:space="preserve">(2)  </w:t>
      </w:r>
      <w:r w:rsidR="00693C65" w:rsidRPr="006B17F5">
        <w:rPr>
          <w:color w:val="333333"/>
          <w:sz w:val="22"/>
          <w:szCs w:val="22"/>
          <w:u w:val="single"/>
          <w:shd w:val="clear" w:color="auto" w:fill="FFFFFF"/>
        </w:rPr>
        <w:t xml:space="preserve">Penalty for Failure to </w:t>
      </w:r>
      <w:r w:rsidR="00F807EB" w:rsidRPr="006B17F5">
        <w:rPr>
          <w:color w:val="333333"/>
          <w:sz w:val="22"/>
          <w:szCs w:val="22"/>
          <w:u w:val="single"/>
          <w:shd w:val="clear" w:color="auto" w:fill="FFFFFF"/>
        </w:rPr>
        <w:t>Report Nonpublic Emergency Ambulance Assessed Charges</w:t>
      </w:r>
      <w:r w:rsidR="0005377F" w:rsidRPr="006B17F5">
        <w:rPr>
          <w:color w:val="333333"/>
          <w:sz w:val="22"/>
          <w:szCs w:val="22"/>
          <w:shd w:val="clear" w:color="auto" w:fill="FFFFFF"/>
        </w:rPr>
        <w:t>.</w:t>
      </w:r>
      <w:r w:rsidR="00693C65" w:rsidRPr="006B17F5">
        <w:rPr>
          <w:color w:val="333333"/>
          <w:sz w:val="22"/>
          <w:szCs w:val="22"/>
          <w:shd w:val="clear" w:color="auto" w:fill="FFFFFF"/>
        </w:rPr>
        <w:t xml:space="preserve"> </w:t>
      </w:r>
      <w:r w:rsidR="0005377F" w:rsidRPr="006B17F5">
        <w:rPr>
          <w:color w:val="333333"/>
          <w:sz w:val="22"/>
          <w:szCs w:val="22"/>
          <w:shd w:val="clear" w:color="auto" w:fill="FFFFFF"/>
        </w:rPr>
        <w:t xml:space="preserve"> </w:t>
      </w:r>
      <w:r w:rsidR="00693C65" w:rsidRPr="006B17F5">
        <w:rPr>
          <w:color w:val="333333"/>
          <w:sz w:val="22"/>
          <w:szCs w:val="22"/>
          <w:shd w:val="clear" w:color="auto" w:fill="FFFFFF"/>
        </w:rPr>
        <w:t xml:space="preserve">If a nonpublic ambulance provider fails to </w:t>
      </w:r>
      <w:r w:rsidR="00F807EB" w:rsidRPr="006B17F5">
        <w:rPr>
          <w:color w:val="333333"/>
          <w:sz w:val="22"/>
          <w:szCs w:val="22"/>
          <w:shd w:val="clear" w:color="auto" w:fill="FFFFFF"/>
        </w:rPr>
        <w:t xml:space="preserve">report nonpublic emergency ambulance assessed charges </w:t>
      </w:r>
      <w:r w:rsidR="00693C65" w:rsidRPr="006B17F5">
        <w:rPr>
          <w:color w:val="333333"/>
          <w:sz w:val="22"/>
          <w:szCs w:val="22"/>
          <w:shd w:val="clear" w:color="auto" w:fill="FFFFFF"/>
        </w:rPr>
        <w:t xml:space="preserve">as required under 101 CMR </w:t>
      </w:r>
      <w:r w:rsidR="00693C65" w:rsidRPr="006B17F5">
        <w:rPr>
          <w:rStyle w:val="Style11ptUnderline"/>
          <w:szCs w:val="22"/>
          <w:u w:val="none"/>
        </w:rPr>
        <w:t>324.04(</w:t>
      </w:r>
      <w:r w:rsidR="00F807EB" w:rsidRPr="006B17F5">
        <w:rPr>
          <w:rStyle w:val="Style11ptUnderline"/>
          <w:szCs w:val="22"/>
          <w:u w:val="none"/>
        </w:rPr>
        <w:t>3</w:t>
      </w:r>
      <w:r w:rsidR="00693C65" w:rsidRPr="006B17F5">
        <w:rPr>
          <w:rStyle w:val="Style11ptUnderline"/>
          <w:szCs w:val="22"/>
          <w:u w:val="none"/>
        </w:rPr>
        <w:t>)</w:t>
      </w:r>
      <w:r w:rsidR="00F807EB" w:rsidRPr="006B17F5">
        <w:rPr>
          <w:rStyle w:val="Style11ptUnderline"/>
          <w:szCs w:val="22"/>
          <w:u w:val="none"/>
        </w:rPr>
        <w:t>(a)</w:t>
      </w:r>
      <w:r w:rsidR="00693C65" w:rsidRPr="006B17F5">
        <w:rPr>
          <w:rStyle w:val="Style11ptUnderline"/>
          <w:szCs w:val="22"/>
          <w:u w:val="none"/>
        </w:rPr>
        <w:t xml:space="preserve">, EOHHS may assess </w:t>
      </w:r>
      <w:r w:rsidR="0081397A" w:rsidRPr="006B17F5">
        <w:rPr>
          <w:rStyle w:val="Style11ptUnderline"/>
          <w:szCs w:val="22"/>
          <w:u w:val="none"/>
        </w:rPr>
        <w:t xml:space="preserve">penalties consistent with 101 CMR 327.06: </w:t>
      </w:r>
      <w:r w:rsidR="0081397A" w:rsidRPr="006B17F5">
        <w:rPr>
          <w:rStyle w:val="Style11ptUnderline"/>
          <w:i/>
          <w:szCs w:val="22"/>
          <w:u w:val="none"/>
        </w:rPr>
        <w:t>Reporting and Registration Requirements</w:t>
      </w:r>
      <w:r w:rsidR="00693C65" w:rsidRPr="006B17F5">
        <w:rPr>
          <w:rStyle w:val="Style11ptUnderline"/>
          <w:szCs w:val="22"/>
          <w:u w:val="none"/>
        </w:rPr>
        <w:t xml:space="preserve">. </w:t>
      </w:r>
    </w:p>
    <w:p w14:paraId="0DE7E9E8" w14:textId="77777777" w:rsidR="00E74AFA" w:rsidRPr="006B17F5" w:rsidRDefault="00E74AFA" w:rsidP="003B2C2B">
      <w:pPr>
        <w:rPr>
          <w:color w:val="333333"/>
          <w:sz w:val="22"/>
          <w:szCs w:val="22"/>
          <w:u w:val="single"/>
          <w:shd w:val="clear" w:color="auto" w:fill="FFFFFF"/>
        </w:rPr>
      </w:pPr>
    </w:p>
    <w:p w14:paraId="15052334" w14:textId="50D28865" w:rsidR="001E4D7E" w:rsidRPr="006B17F5" w:rsidRDefault="004E2969" w:rsidP="003B2C2B">
      <w:pPr>
        <w:ind w:left="720"/>
        <w:rPr>
          <w:color w:val="333333"/>
          <w:sz w:val="22"/>
          <w:szCs w:val="22"/>
          <w:shd w:val="clear" w:color="auto" w:fill="FFFFFF"/>
        </w:rPr>
      </w:pPr>
      <w:r w:rsidRPr="006B17F5">
        <w:rPr>
          <w:color w:val="333333"/>
          <w:sz w:val="22"/>
          <w:szCs w:val="22"/>
          <w:shd w:val="clear" w:color="auto" w:fill="FFFFFF"/>
        </w:rPr>
        <w:lastRenderedPageBreak/>
        <w:t xml:space="preserve">(3)  </w:t>
      </w:r>
      <w:r w:rsidR="0010305D" w:rsidRPr="006B17F5">
        <w:rPr>
          <w:color w:val="333333"/>
          <w:sz w:val="22"/>
          <w:szCs w:val="22"/>
          <w:u w:val="single"/>
          <w:shd w:val="clear" w:color="auto" w:fill="FFFFFF"/>
        </w:rPr>
        <w:t xml:space="preserve">Penalty </w:t>
      </w:r>
      <w:r w:rsidR="004E778B" w:rsidRPr="006B17F5">
        <w:rPr>
          <w:color w:val="333333"/>
          <w:sz w:val="22"/>
          <w:szCs w:val="22"/>
          <w:u w:val="single"/>
          <w:shd w:val="clear" w:color="auto" w:fill="FFFFFF"/>
        </w:rPr>
        <w:t>A</w:t>
      </w:r>
      <w:r w:rsidR="0010305D" w:rsidRPr="006B17F5">
        <w:rPr>
          <w:color w:val="333333"/>
          <w:sz w:val="22"/>
          <w:szCs w:val="22"/>
          <w:u w:val="single"/>
          <w:shd w:val="clear" w:color="auto" w:fill="FFFFFF"/>
        </w:rPr>
        <w:t xml:space="preserve">mount </w:t>
      </w:r>
      <w:r w:rsidR="004E778B" w:rsidRPr="006B17F5">
        <w:rPr>
          <w:color w:val="333333"/>
          <w:sz w:val="22"/>
          <w:szCs w:val="22"/>
          <w:u w:val="single"/>
          <w:shd w:val="clear" w:color="auto" w:fill="FFFFFF"/>
        </w:rPr>
        <w:t>D</w:t>
      </w:r>
      <w:r w:rsidR="0010305D" w:rsidRPr="006B17F5">
        <w:rPr>
          <w:color w:val="333333"/>
          <w:sz w:val="22"/>
          <w:szCs w:val="22"/>
          <w:u w:val="single"/>
          <w:shd w:val="clear" w:color="auto" w:fill="FFFFFF"/>
        </w:rPr>
        <w:t>etermination</w:t>
      </w:r>
      <w:r w:rsidR="0010305D" w:rsidRPr="006B17F5">
        <w:rPr>
          <w:color w:val="333333"/>
          <w:sz w:val="22"/>
          <w:szCs w:val="22"/>
          <w:shd w:val="clear" w:color="auto" w:fill="FFFFFF"/>
        </w:rPr>
        <w:t xml:space="preserve">. </w:t>
      </w:r>
      <w:r w:rsidR="001E4D7E" w:rsidRPr="006B17F5">
        <w:rPr>
          <w:color w:val="333333"/>
          <w:sz w:val="22"/>
          <w:szCs w:val="22"/>
          <w:shd w:val="clear" w:color="auto" w:fill="FFFFFF"/>
        </w:rPr>
        <w:t xml:space="preserve"> In determining the penalty amount, EOHHS may consider factors including, but not be limited to, the nonpublic </w:t>
      </w:r>
      <w:r w:rsidR="008D7897" w:rsidRPr="006B17F5">
        <w:rPr>
          <w:color w:val="333333"/>
          <w:sz w:val="22"/>
          <w:szCs w:val="22"/>
          <w:shd w:val="clear" w:color="auto" w:fill="FFFFFF"/>
        </w:rPr>
        <w:t>ambulance provider</w:t>
      </w:r>
      <w:r w:rsidR="001E4D7E" w:rsidRPr="006B17F5">
        <w:rPr>
          <w:color w:val="333333"/>
          <w:sz w:val="22"/>
          <w:szCs w:val="22"/>
          <w:shd w:val="clear" w:color="auto" w:fill="FFFFFF"/>
        </w:rPr>
        <w:t xml:space="preserve">’s payment history, financial situation, </w:t>
      </w:r>
      <w:r w:rsidR="003953D8" w:rsidRPr="006B17F5">
        <w:rPr>
          <w:color w:val="333333"/>
          <w:sz w:val="22"/>
          <w:szCs w:val="22"/>
          <w:shd w:val="clear" w:color="auto" w:fill="FFFFFF"/>
        </w:rPr>
        <w:t xml:space="preserve">and </w:t>
      </w:r>
      <w:r w:rsidR="001E4D7E" w:rsidRPr="006B17F5">
        <w:rPr>
          <w:color w:val="333333"/>
          <w:sz w:val="22"/>
          <w:szCs w:val="22"/>
          <w:shd w:val="clear" w:color="auto" w:fill="FFFFFF"/>
        </w:rPr>
        <w:t>relative share of the payments.</w:t>
      </w:r>
    </w:p>
    <w:p w14:paraId="01244508" w14:textId="77777777" w:rsidR="00E74AFA" w:rsidRPr="006B17F5" w:rsidRDefault="00E74AFA" w:rsidP="004E2969">
      <w:pPr>
        <w:pStyle w:val="ListParagraph"/>
        <w:rPr>
          <w:color w:val="333333"/>
          <w:sz w:val="22"/>
          <w:szCs w:val="22"/>
          <w:shd w:val="clear" w:color="auto" w:fill="FFFFFF"/>
        </w:rPr>
      </w:pPr>
    </w:p>
    <w:p w14:paraId="6778EDCA" w14:textId="429278B3" w:rsidR="006727E5" w:rsidRPr="006B17F5" w:rsidRDefault="004E2969" w:rsidP="003B2C2B">
      <w:pPr>
        <w:ind w:left="720"/>
        <w:rPr>
          <w:color w:val="333333"/>
          <w:sz w:val="22"/>
          <w:szCs w:val="22"/>
          <w:shd w:val="clear" w:color="auto" w:fill="FFFFFF"/>
        </w:rPr>
      </w:pPr>
      <w:bookmarkStart w:id="1" w:name="_Hlk73710484"/>
      <w:r w:rsidRPr="006B17F5">
        <w:rPr>
          <w:color w:val="333333"/>
          <w:sz w:val="22"/>
          <w:szCs w:val="22"/>
          <w:shd w:val="clear" w:color="auto" w:fill="FFFFFF"/>
        </w:rPr>
        <w:t xml:space="preserve">(4)  </w:t>
      </w:r>
      <w:r w:rsidR="006727E5" w:rsidRPr="006B17F5">
        <w:rPr>
          <w:color w:val="333333"/>
          <w:sz w:val="22"/>
          <w:szCs w:val="22"/>
          <w:u w:val="single"/>
          <w:shd w:val="clear" w:color="auto" w:fill="FFFFFF"/>
        </w:rPr>
        <w:t xml:space="preserve">Reduction in </w:t>
      </w:r>
      <w:r w:rsidR="0010305D" w:rsidRPr="006B17F5">
        <w:rPr>
          <w:color w:val="333333"/>
          <w:sz w:val="22"/>
          <w:szCs w:val="22"/>
          <w:u w:val="single"/>
          <w:shd w:val="clear" w:color="auto" w:fill="FFFFFF"/>
        </w:rPr>
        <w:t>Payment</w:t>
      </w:r>
      <w:r w:rsidR="0010305D" w:rsidRPr="006B17F5">
        <w:rPr>
          <w:color w:val="333333"/>
          <w:sz w:val="22"/>
          <w:szCs w:val="22"/>
          <w:shd w:val="clear" w:color="auto" w:fill="FFFFFF"/>
        </w:rPr>
        <w:t>.</w:t>
      </w:r>
      <w:r w:rsidR="006727E5" w:rsidRPr="006B17F5">
        <w:rPr>
          <w:color w:val="333333"/>
          <w:sz w:val="22"/>
          <w:szCs w:val="22"/>
          <w:shd w:val="clear" w:color="auto" w:fill="FFFFFF"/>
        </w:rPr>
        <w:t xml:space="preserve"> </w:t>
      </w:r>
      <w:r w:rsidR="00DF193C" w:rsidRPr="006B17F5">
        <w:rPr>
          <w:color w:val="333333"/>
          <w:sz w:val="22"/>
          <w:szCs w:val="22"/>
          <w:shd w:val="clear" w:color="auto" w:fill="FFFFFF"/>
        </w:rPr>
        <w:t xml:space="preserve"> </w:t>
      </w:r>
      <w:r w:rsidR="006727E5" w:rsidRPr="006B17F5">
        <w:rPr>
          <w:color w:val="333333"/>
          <w:sz w:val="22"/>
          <w:szCs w:val="22"/>
          <w:shd w:val="clear" w:color="auto" w:fill="FFFFFF"/>
        </w:rPr>
        <w:t>EOHHS may deny, reduce, or withhold payment</w:t>
      </w:r>
      <w:r w:rsidR="002E71D4" w:rsidRPr="006B17F5">
        <w:rPr>
          <w:color w:val="333333"/>
          <w:sz w:val="22"/>
          <w:szCs w:val="22"/>
          <w:shd w:val="clear" w:color="auto" w:fill="FFFFFF"/>
        </w:rPr>
        <w:t xml:space="preserve">s that would otherwise be made </w:t>
      </w:r>
      <w:r w:rsidR="006727E5" w:rsidRPr="006B17F5">
        <w:rPr>
          <w:color w:val="333333"/>
          <w:sz w:val="22"/>
          <w:szCs w:val="22"/>
          <w:shd w:val="clear" w:color="auto" w:fill="FFFFFF"/>
        </w:rPr>
        <w:t xml:space="preserve">to an eligible nonpublic </w:t>
      </w:r>
      <w:r w:rsidR="008D7897" w:rsidRPr="006B17F5">
        <w:rPr>
          <w:color w:val="333333"/>
          <w:sz w:val="22"/>
          <w:szCs w:val="22"/>
          <w:shd w:val="clear" w:color="auto" w:fill="FFFFFF"/>
        </w:rPr>
        <w:t>ambulance provider</w:t>
      </w:r>
      <w:r w:rsidR="002E71D4" w:rsidRPr="006B17F5">
        <w:rPr>
          <w:color w:val="333333"/>
          <w:sz w:val="22"/>
          <w:szCs w:val="22"/>
          <w:shd w:val="clear" w:color="auto" w:fill="FFFFFF"/>
        </w:rPr>
        <w:t xml:space="preserve"> pursuant to 101 CMR 327.00</w:t>
      </w:r>
      <w:r w:rsidR="00B527D9" w:rsidRPr="006B17F5">
        <w:rPr>
          <w:color w:val="333333"/>
          <w:sz w:val="22"/>
          <w:szCs w:val="22"/>
          <w:shd w:val="clear" w:color="auto" w:fill="FFFFFF"/>
        </w:rPr>
        <w:t xml:space="preserve">: </w:t>
      </w:r>
      <w:r w:rsidR="00B527D9" w:rsidRPr="006B17F5">
        <w:rPr>
          <w:i/>
          <w:iCs/>
          <w:color w:val="333333"/>
          <w:sz w:val="22"/>
          <w:szCs w:val="22"/>
          <w:shd w:val="clear" w:color="auto" w:fill="FFFFFF"/>
        </w:rPr>
        <w:t>Rates of Payment for Ambulance and Wheelchair Van Services</w:t>
      </w:r>
      <w:r w:rsidR="002E71D4" w:rsidRPr="006B17F5">
        <w:rPr>
          <w:color w:val="333333"/>
          <w:sz w:val="22"/>
          <w:szCs w:val="22"/>
          <w:shd w:val="clear" w:color="auto" w:fill="FFFFFF"/>
        </w:rPr>
        <w:t xml:space="preserve"> if that nonpublic </w:t>
      </w:r>
      <w:r w:rsidR="008D7897" w:rsidRPr="006B17F5">
        <w:rPr>
          <w:color w:val="333333"/>
          <w:sz w:val="22"/>
          <w:szCs w:val="22"/>
          <w:shd w:val="clear" w:color="auto" w:fill="FFFFFF"/>
        </w:rPr>
        <w:t>ambulance provider</w:t>
      </w:r>
      <w:r w:rsidR="006727E5" w:rsidRPr="006B17F5">
        <w:rPr>
          <w:color w:val="333333"/>
          <w:sz w:val="22"/>
          <w:szCs w:val="22"/>
          <w:shd w:val="clear" w:color="auto" w:fill="FFFFFF"/>
        </w:rPr>
        <w:t xml:space="preserve"> fails to </w:t>
      </w:r>
      <w:r w:rsidR="002E71D4" w:rsidRPr="006B17F5">
        <w:rPr>
          <w:color w:val="333333"/>
          <w:sz w:val="22"/>
          <w:szCs w:val="22"/>
          <w:shd w:val="clear" w:color="auto" w:fill="FFFFFF"/>
        </w:rPr>
        <w:t>make full payment under 101 CMR</w:t>
      </w:r>
      <w:r w:rsidR="00CC1824" w:rsidRPr="006B17F5">
        <w:rPr>
          <w:color w:val="333333"/>
          <w:sz w:val="22"/>
          <w:szCs w:val="22"/>
          <w:shd w:val="clear" w:color="auto" w:fill="FFFFFF"/>
        </w:rPr>
        <w:t xml:space="preserve"> 324</w:t>
      </w:r>
      <w:r w:rsidR="002E71D4" w:rsidRPr="006B17F5">
        <w:rPr>
          <w:color w:val="333333"/>
          <w:sz w:val="22"/>
          <w:szCs w:val="22"/>
          <w:shd w:val="clear" w:color="auto" w:fill="FFFFFF"/>
        </w:rPr>
        <w:t>.0</w:t>
      </w:r>
      <w:r w:rsidR="00CC1824" w:rsidRPr="006B17F5">
        <w:rPr>
          <w:color w:val="333333"/>
          <w:sz w:val="22"/>
          <w:szCs w:val="22"/>
          <w:shd w:val="clear" w:color="auto" w:fill="FFFFFF"/>
        </w:rPr>
        <w:t>4</w:t>
      </w:r>
      <w:r w:rsidR="002E71D4" w:rsidRPr="006B17F5">
        <w:rPr>
          <w:color w:val="333333"/>
          <w:sz w:val="22"/>
          <w:szCs w:val="22"/>
          <w:shd w:val="clear" w:color="auto" w:fill="FFFFFF"/>
        </w:rPr>
        <w:t xml:space="preserve"> or is assessed penalties under 101 CMR</w:t>
      </w:r>
      <w:r w:rsidR="003B332D" w:rsidRPr="006B17F5">
        <w:rPr>
          <w:color w:val="333333"/>
          <w:sz w:val="22"/>
          <w:szCs w:val="22"/>
          <w:shd w:val="clear" w:color="auto" w:fill="FFFFFF"/>
        </w:rPr>
        <w:t xml:space="preserve"> 324</w:t>
      </w:r>
      <w:r w:rsidR="002E71D4" w:rsidRPr="006B17F5">
        <w:rPr>
          <w:color w:val="333333"/>
          <w:sz w:val="22"/>
          <w:szCs w:val="22"/>
          <w:shd w:val="clear" w:color="auto" w:fill="FFFFFF"/>
        </w:rPr>
        <w:t>.06</w:t>
      </w:r>
      <w:r w:rsidR="00040754" w:rsidRPr="006B17F5">
        <w:rPr>
          <w:color w:val="333333"/>
          <w:sz w:val="22"/>
          <w:szCs w:val="22"/>
          <w:shd w:val="clear" w:color="auto" w:fill="FFFFFF"/>
        </w:rPr>
        <w:t>(1)</w:t>
      </w:r>
      <w:r w:rsidR="002E71D4" w:rsidRPr="006B17F5">
        <w:rPr>
          <w:color w:val="333333"/>
          <w:sz w:val="22"/>
          <w:szCs w:val="22"/>
          <w:shd w:val="clear" w:color="auto" w:fill="FFFFFF"/>
        </w:rPr>
        <w:t xml:space="preserve">. </w:t>
      </w:r>
      <w:r w:rsidR="006727E5" w:rsidRPr="006B17F5">
        <w:rPr>
          <w:color w:val="333333"/>
          <w:sz w:val="22"/>
          <w:szCs w:val="22"/>
          <w:shd w:val="clear" w:color="auto" w:fill="FFFFFF"/>
        </w:rPr>
        <w:t xml:space="preserve">EOHHS will notify the nonpublic </w:t>
      </w:r>
      <w:r w:rsidR="008D7897" w:rsidRPr="006B17F5">
        <w:rPr>
          <w:color w:val="333333"/>
          <w:sz w:val="22"/>
          <w:szCs w:val="22"/>
          <w:shd w:val="clear" w:color="auto" w:fill="FFFFFF"/>
        </w:rPr>
        <w:t>ambulance provider</w:t>
      </w:r>
      <w:r w:rsidR="006727E5" w:rsidRPr="006B17F5">
        <w:rPr>
          <w:color w:val="333333"/>
          <w:sz w:val="22"/>
          <w:szCs w:val="22"/>
          <w:shd w:val="clear" w:color="auto" w:fill="FFFFFF"/>
        </w:rPr>
        <w:t xml:space="preserve"> of its intention to deny, reduce, or withhold payment.</w:t>
      </w:r>
    </w:p>
    <w:p w14:paraId="25474CD5" w14:textId="77777777" w:rsidR="00693C65" w:rsidRPr="006B17F5" w:rsidRDefault="00693C65" w:rsidP="004E2969">
      <w:pPr>
        <w:pStyle w:val="ListParagraph"/>
        <w:rPr>
          <w:color w:val="333333"/>
          <w:sz w:val="22"/>
          <w:szCs w:val="22"/>
          <w:shd w:val="clear" w:color="auto" w:fill="FFFFFF"/>
        </w:rPr>
      </w:pPr>
    </w:p>
    <w:p w14:paraId="362452C6" w14:textId="18BF8F06" w:rsidR="00693C65" w:rsidRPr="006B17F5" w:rsidRDefault="004E2969" w:rsidP="005C5A98">
      <w:pPr>
        <w:ind w:left="720"/>
        <w:rPr>
          <w:color w:val="333333"/>
          <w:sz w:val="22"/>
          <w:szCs w:val="22"/>
          <w:shd w:val="clear" w:color="auto" w:fill="FFFFFF"/>
        </w:rPr>
      </w:pPr>
      <w:r w:rsidRPr="006B17F5">
        <w:rPr>
          <w:color w:val="333333"/>
          <w:sz w:val="22"/>
          <w:szCs w:val="22"/>
          <w:shd w:val="clear" w:color="auto" w:fill="FFFFFF"/>
        </w:rPr>
        <w:t xml:space="preserve">(5)  </w:t>
      </w:r>
      <w:r w:rsidR="00693C65" w:rsidRPr="006B17F5">
        <w:rPr>
          <w:color w:val="333333"/>
          <w:sz w:val="22"/>
          <w:szCs w:val="22"/>
          <w:u w:val="single"/>
          <w:shd w:val="clear" w:color="auto" w:fill="FFFFFF"/>
        </w:rPr>
        <w:t xml:space="preserve">Successors in Interests or Providers </w:t>
      </w:r>
      <w:r w:rsidR="00B527D9" w:rsidRPr="006B17F5">
        <w:rPr>
          <w:color w:val="333333"/>
          <w:sz w:val="22"/>
          <w:szCs w:val="22"/>
          <w:u w:val="single"/>
          <w:shd w:val="clear" w:color="auto" w:fill="FFFFFF"/>
        </w:rPr>
        <w:t>u</w:t>
      </w:r>
      <w:r w:rsidR="00693C65" w:rsidRPr="006B17F5">
        <w:rPr>
          <w:color w:val="333333"/>
          <w:sz w:val="22"/>
          <w:szCs w:val="22"/>
          <w:u w:val="single"/>
          <w:shd w:val="clear" w:color="auto" w:fill="FFFFFF"/>
        </w:rPr>
        <w:t>nder Common Control</w:t>
      </w:r>
      <w:r w:rsidR="0005377F" w:rsidRPr="006B17F5">
        <w:rPr>
          <w:color w:val="333333"/>
          <w:sz w:val="22"/>
          <w:szCs w:val="22"/>
          <w:shd w:val="clear" w:color="auto" w:fill="FFFFFF"/>
        </w:rPr>
        <w:t xml:space="preserve">. </w:t>
      </w:r>
      <w:r w:rsidR="00693C65" w:rsidRPr="006B17F5">
        <w:rPr>
          <w:color w:val="333333"/>
          <w:sz w:val="22"/>
          <w:szCs w:val="22"/>
          <w:shd w:val="clear" w:color="auto" w:fill="FFFFFF"/>
        </w:rPr>
        <w:t xml:space="preserve"> EOHHS may apply all penalties and reductions in payments to successor in interest to the nonpublic ambulance provider or any provider under common interest.</w:t>
      </w:r>
    </w:p>
    <w:bookmarkEnd w:id="1"/>
    <w:p w14:paraId="2A884DBF" w14:textId="77777777" w:rsidR="006727E5" w:rsidRPr="006B17F5" w:rsidRDefault="006727E5" w:rsidP="001E4D7E">
      <w:pPr>
        <w:ind w:left="1080"/>
        <w:rPr>
          <w:sz w:val="22"/>
          <w:szCs w:val="22"/>
        </w:rPr>
      </w:pPr>
    </w:p>
    <w:p w14:paraId="4A1B6DBB" w14:textId="15CF8587" w:rsidR="00313AC5" w:rsidRPr="006B17F5" w:rsidRDefault="003B332D" w:rsidP="00313AC5">
      <w:pPr>
        <w:rPr>
          <w:sz w:val="22"/>
          <w:szCs w:val="22"/>
        </w:rPr>
      </w:pPr>
      <w:r w:rsidRPr="006B17F5">
        <w:rPr>
          <w:sz w:val="22"/>
          <w:szCs w:val="22"/>
          <w:u w:val="single"/>
        </w:rPr>
        <w:t>324</w:t>
      </w:r>
      <w:r w:rsidR="00313AC5" w:rsidRPr="006B17F5">
        <w:rPr>
          <w:sz w:val="22"/>
          <w:szCs w:val="22"/>
          <w:u w:val="single"/>
        </w:rPr>
        <w:t>.0</w:t>
      </w:r>
      <w:r w:rsidR="00040754" w:rsidRPr="006B17F5">
        <w:rPr>
          <w:sz w:val="22"/>
          <w:szCs w:val="22"/>
          <w:u w:val="single"/>
        </w:rPr>
        <w:t>7</w:t>
      </w:r>
      <w:r w:rsidR="00313AC5" w:rsidRPr="006B17F5">
        <w:rPr>
          <w:sz w:val="22"/>
          <w:szCs w:val="22"/>
          <w:u w:val="single"/>
        </w:rPr>
        <w:t xml:space="preserve">:  Severability </w:t>
      </w:r>
    </w:p>
    <w:p w14:paraId="194D7481" w14:textId="77777777" w:rsidR="00313AC5" w:rsidRPr="006B17F5" w:rsidRDefault="00313AC5" w:rsidP="00313AC5">
      <w:pPr>
        <w:rPr>
          <w:sz w:val="22"/>
          <w:szCs w:val="22"/>
        </w:rPr>
      </w:pPr>
    </w:p>
    <w:p w14:paraId="4B7B3CF9" w14:textId="55425865" w:rsidR="00313AC5" w:rsidRPr="006B17F5" w:rsidRDefault="00313AC5" w:rsidP="00440AFE">
      <w:pPr>
        <w:ind w:left="720" w:firstLine="360"/>
        <w:rPr>
          <w:sz w:val="22"/>
          <w:szCs w:val="22"/>
        </w:rPr>
      </w:pPr>
      <w:r w:rsidRPr="006B17F5">
        <w:rPr>
          <w:sz w:val="22"/>
          <w:szCs w:val="22"/>
        </w:rPr>
        <w:t xml:space="preserve">The provisions of </w:t>
      </w:r>
      <w:r w:rsidR="009A6A5A" w:rsidRPr="006B17F5">
        <w:rPr>
          <w:sz w:val="22"/>
          <w:szCs w:val="22"/>
        </w:rPr>
        <w:t xml:space="preserve">101 CMR </w:t>
      </w:r>
      <w:r w:rsidR="003B332D" w:rsidRPr="006B17F5">
        <w:rPr>
          <w:sz w:val="22"/>
          <w:szCs w:val="22"/>
        </w:rPr>
        <w:t>324</w:t>
      </w:r>
      <w:r w:rsidRPr="006B17F5">
        <w:rPr>
          <w:sz w:val="22"/>
          <w:szCs w:val="22"/>
        </w:rPr>
        <w:t xml:space="preserve">.00 are </w:t>
      </w:r>
      <w:r w:rsidR="009A6A5A" w:rsidRPr="006B17F5">
        <w:rPr>
          <w:sz w:val="22"/>
          <w:szCs w:val="22"/>
        </w:rPr>
        <w:t>severable. I</w:t>
      </w:r>
      <w:r w:rsidRPr="006B17F5">
        <w:rPr>
          <w:sz w:val="22"/>
          <w:szCs w:val="22"/>
        </w:rPr>
        <w:t xml:space="preserve">f any provision of </w:t>
      </w:r>
      <w:r w:rsidR="009A6A5A" w:rsidRPr="006B17F5">
        <w:rPr>
          <w:sz w:val="22"/>
          <w:szCs w:val="22"/>
        </w:rPr>
        <w:t xml:space="preserve">101 CMR </w:t>
      </w:r>
      <w:r w:rsidR="003B332D" w:rsidRPr="006B17F5">
        <w:rPr>
          <w:sz w:val="22"/>
          <w:szCs w:val="22"/>
        </w:rPr>
        <w:t>324</w:t>
      </w:r>
      <w:r w:rsidRPr="006B17F5">
        <w:rPr>
          <w:sz w:val="22"/>
          <w:szCs w:val="22"/>
        </w:rPr>
        <w:t xml:space="preserve">.00 or </w:t>
      </w:r>
      <w:r w:rsidR="009A6A5A" w:rsidRPr="006B17F5">
        <w:rPr>
          <w:sz w:val="22"/>
          <w:szCs w:val="22"/>
        </w:rPr>
        <w:t xml:space="preserve">the </w:t>
      </w:r>
      <w:r w:rsidRPr="006B17F5">
        <w:rPr>
          <w:sz w:val="22"/>
          <w:szCs w:val="22"/>
        </w:rPr>
        <w:t xml:space="preserve">application of such provision </w:t>
      </w:r>
      <w:r w:rsidR="009A6A5A" w:rsidRPr="006B17F5">
        <w:rPr>
          <w:sz w:val="22"/>
          <w:szCs w:val="22"/>
        </w:rPr>
        <w:t xml:space="preserve">of 101 CMR </w:t>
      </w:r>
      <w:r w:rsidR="003B332D" w:rsidRPr="006B17F5">
        <w:rPr>
          <w:sz w:val="22"/>
          <w:szCs w:val="22"/>
        </w:rPr>
        <w:t>324</w:t>
      </w:r>
      <w:r w:rsidR="009A6A5A" w:rsidRPr="006B17F5">
        <w:rPr>
          <w:sz w:val="22"/>
          <w:szCs w:val="22"/>
        </w:rPr>
        <w:t xml:space="preserve">.00 is held invalid or </w:t>
      </w:r>
      <w:r w:rsidR="003172C9" w:rsidRPr="006B17F5">
        <w:rPr>
          <w:sz w:val="22"/>
          <w:szCs w:val="22"/>
        </w:rPr>
        <w:t>unconstitutional, such determination</w:t>
      </w:r>
      <w:r w:rsidR="009A6A5A" w:rsidRPr="006B17F5">
        <w:rPr>
          <w:sz w:val="22"/>
          <w:szCs w:val="22"/>
        </w:rPr>
        <w:t xml:space="preserve"> will not be construed to affect the validity or constitutionality of any other provision of 101 CMR </w:t>
      </w:r>
      <w:r w:rsidR="003B332D" w:rsidRPr="006B17F5">
        <w:rPr>
          <w:sz w:val="22"/>
          <w:szCs w:val="22"/>
        </w:rPr>
        <w:t>324</w:t>
      </w:r>
      <w:r w:rsidR="009A6A5A" w:rsidRPr="006B17F5">
        <w:rPr>
          <w:sz w:val="22"/>
          <w:szCs w:val="22"/>
        </w:rPr>
        <w:t xml:space="preserve">.00 or the application of any other provision.  </w:t>
      </w:r>
      <w:r w:rsidRPr="006B17F5">
        <w:rPr>
          <w:sz w:val="22"/>
          <w:szCs w:val="22"/>
        </w:rPr>
        <w:t xml:space="preserve"> </w:t>
      </w:r>
    </w:p>
    <w:p w14:paraId="51DEFA91" w14:textId="77777777" w:rsidR="00313AC5" w:rsidRPr="006B17F5" w:rsidRDefault="00313AC5" w:rsidP="00313AC5">
      <w:pPr>
        <w:rPr>
          <w:sz w:val="22"/>
          <w:szCs w:val="22"/>
        </w:rPr>
      </w:pPr>
    </w:p>
    <w:p w14:paraId="723F6BE8" w14:textId="77777777" w:rsidR="00313AC5" w:rsidRPr="006B17F5" w:rsidRDefault="00313AC5" w:rsidP="00313AC5">
      <w:pPr>
        <w:rPr>
          <w:sz w:val="22"/>
          <w:szCs w:val="22"/>
        </w:rPr>
      </w:pPr>
    </w:p>
    <w:p w14:paraId="061B9E51" w14:textId="77777777" w:rsidR="00313AC5" w:rsidRPr="006B17F5" w:rsidRDefault="00313AC5" w:rsidP="00313AC5">
      <w:pPr>
        <w:rPr>
          <w:sz w:val="22"/>
          <w:szCs w:val="22"/>
        </w:rPr>
      </w:pPr>
      <w:r w:rsidRPr="006B17F5">
        <w:rPr>
          <w:sz w:val="22"/>
          <w:szCs w:val="22"/>
        </w:rPr>
        <w:t>REGULATORY AUTHORITY</w:t>
      </w:r>
    </w:p>
    <w:p w14:paraId="6C9546CA" w14:textId="77777777" w:rsidR="00313AC5" w:rsidRPr="006B17F5" w:rsidRDefault="00313AC5" w:rsidP="00313AC5">
      <w:pPr>
        <w:rPr>
          <w:sz w:val="22"/>
          <w:szCs w:val="22"/>
        </w:rPr>
      </w:pPr>
    </w:p>
    <w:p w14:paraId="466FFE9E" w14:textId="5F27E4D5" w:rsidR="00313AC5" w:rsidRPr="00CC1824" w:rsidRDefault="00313AC5" w:rsidP="003B2C2B">
      <w:pPr>
        <w:ind w:left="720"/>
        <w:rPr>
          <w:sz w:val="22"/>
          <w:szCs w:val="22"/>
        </w:rPr>
      </w:pPr>
      <w:r w:rsidRPr="006B17F5">
        <w:rPr>
          <w:sz w:val="22"/>
          <w:szCs w:val="22"/>
        </w:rPr>
        <w:t xml:space="preserve">101 CMR </w:t>
      </w:r>
      <w:r w:rsidR="003B332D" w:rsidRPr="006B17F5">
        <w:rPr>
          <w:sz w:val="22"/>
          <w:szCs w:val="22"/>
        </w:rPr>
        <w:t>324</w:t>
      </w:r>
      <w:r w:rsidRPr="006B17F5">
        <w:rPr>
          <w:sz w:val="22"/>
          <w:szCs w:val="22"/>
        </w:rPr>
        <w:t xml:space="preserve">.00:   M.G.L. c. </w:t>
      </w:r>
      <w:r w:rsidR="00C416C8" w:rsidRPr="006B17F5">
        <w:rPr>
          <w:sz w:val="22"/>
          <w:szCs w:val="22"/>
        </w:rPr>
        <w:t>29</w:t>
      </w:r>
      <w:r w:rsidR="00832857" w:rsidRPr="006B17F5">
        <w:rPr>
          <w:sz w:val="22"/>
          <w:szCs w:val="22"/>
        </w:rPr>
        <w:t>, §</w:t>
      </w:r>
      <w:r w:rsidR="004E2969" w:rsidRPr="006B17F5">
        <w:rPr>
          <w:sz w:val="22"/>
          <w:szCs w:val="22"/>
        </w:rPr>
        <w:t xml:space="preserve"> </w:t>
      </w:r>
      <w:r w:rsidR="00832857" w:rsidRPr="006B17F5">
        <w:rPr>
          <w:sz w:val="22"/>
          <w:szCs w:val="22"/>
        </w:rPr>
        <w:t>2KKK</w:t>
      </w:r>
      <w:r w:rsidR="0015460A" w:rsidRPr="006B17F5">
        <w:rPr>
          <w:sz w:val="22"/>
          <w:szCs w:val="22"/>
        </w:rPr>
        <w:t>K</w:t>
      </w:r>
      <w:r w:rsidR="00832857" w:rsidRPr="006B17F5">
        <w:rPr>
          <w:sz w:val="22"/>
          <w:szCs w:val="22"/>
        </w:rPr>
        <w:t>K</w:t>
      </w:r>
      <w:r w:rsidR="004E778B" w:rsidRPr="006B17F5">
        <w:rPr>
          <w:sz w:val="22"/>
          <w:szCs w:val="22"/>
        </w:rPr>
        <w:t>; M.G.</w:t>
      </w:r>
      <w:r w:rsidR="00832857" w:rsidRPr="006B17F5">
        <w:rPr>
          <w:sz w:val="22"/>
          <w:szCs w:val="22"/>
        </w:rPr>
        <w:t>L</w:t>
      </w:r>
      <w:r w:rsidR="004E778B" w:rsidRPr="006B17F5">
        <w:rPr>
          <w:sz w:val="22"/>
          <w:szCs w:val="22"/>
        </w:rPr>
        <w:t>. c. 118E</w:t>
      </w:r>
      <w:r w:rsidR="00832857" w:rsidRPr="006B17F5">
        <w:rPr>
          <w:sz w:val="22"/>
          <w:szCs w:val="22"/>
        </w:rPr>
        <w:t>, § 67A</w:t>
      </w:r>
      <w:r w:rsidR="005772B7" w:rsidRPr="006B17F5">
        <w:rPr>
          <w:sz w:val="22"/>
          <w:szCs w:val="22"/>
        </w:rPr>
        <w:t>.</w:t>
      </w:r>
    </w:p>
    <w:sectPr w:rsidR="00313AC5" w:rsidRPr="00CC18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6DB5" w14:textId="77777777" w:rsidR="00412C19" w:rsidRDefault="00412C19" w:rsidP="00313AC5">
      <w:r>
        <w:separator/>
      </w:r>
    </w:p>
  </w:endnote>
  <w:endnote w:type="continuationSeparator" w:id="0">
    <w:p w14:paraId="741F69EE" w14:textId="77777777" w:rsidR="00412C19" w:rsidRDefault="00412C19" w:rsidP="0031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029" w14:textId="77777777" w:rsidR="00E078F1" w:rsidRDefault="00E078F1">
    <w:pPr>
      <w:pStyle w:val="Footer"/>
      <w:jc w:val="center"/>
    </w:pPr>
    <w:r>
      <w:fldChar w:fldCharType="begin"/>
    </w:r>
    <w:r>
      <w:instrText xml:space="preserve"> PAGE   \* MERGEFORMAT </w:instrText>
    </w:r>
    <w:r>
      <w:fldChar w:fldCharType="separate"/>
    </w:r>
    <w:r w:rsidR="006933DB">
      <w:rPr>
        <w:noProof/>
      </w:rPr>
      <w:t>1</w:t>
    </w:r>
    <w:r>
      <w:rPr>
        <w:noProof/>
      </w:rPr>
      <w:fldChar w:fldCharType="end"/>
    </w:r>
  </w:p>
  <w:p w14:paraId="4E76603D" w14:textId="77777777" w:rsidR="00E078F1" w:rsidRDefault="00E0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1363" w14:textId="77777777" w:rsidR="00412C19" w:rsidRDefault="00412C19" w:rsidP="00313AC5">
      <w:r>
        <w:separator/>
      </w:r>
    </w:p>
  </w:footnote>
  <w:footnote w:type="continuationSeparator" w:id="0">
    <w:p w14:paraId="48CEED67" w14:textId="77777777" w:rsidR="00412C19" w:rsidRDefault="00412C19" w:rsidP="0031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B110" w14:textId="39F9C7E2" w:rsidR="00C916D3" w:rsidRPr="00D44FFF" w:rsidRDefault="007D441C" w:rsidP="00E078F1">
    <w:pPr>
      <w:spacing w:line="240" w:lineRule="exact"/>
      <w:jc w:val="right"/>
      <w:rPr>
        <w:sz w:val="22"/>
        <w:szCs w:val="22"/>
      </w:rPr>
    </w:pPr>
    <w:r>
      <w:rPr>
        <w:sz w:val="22"/>
        <w:szCs w:val="22"/>
      </w:rPr>
      <w:t xml:space="preserve">Final </w:t>
    </w:r>
    <w:r w:rsidR="00C916D3" w:rsidRPr="00D44FFF">
      <w:rPr>
        <w:sz w:val="22"/>
        <w:szCs w:val="22"/>
      </w:rPr>
      <w:t>Adoption</w:t>
    </w:r>
  </w:p>
  <w:p w14:paraId="0FF67F27" w14:textId="75E8DAF9" w:rsidR="0005377F" w:rsidRPr="00D44FFF" w:rsidRDefault="009D5AC2" w:rsidP="00E078F1">
    <w:pPr>
      <w:spacing w:line="240" w:lineRule="exact"/>
      <w:jc w:val="right"/>
      <w:rPr>
        <w:sz w:val="22"/>
        <w:szCs w:val="22"/>
      </w:rPr>
    </w:pPr>
    <w:r>
      <w:rPr>
        <w:sz w:val="22"/>
        <w:szCs w:val="22"/>
      </w:rPr>
      <w:t xml:space="preserve">Date published in </w:t>
    </w:r>
    <w:r w:rsidRPr="00C9215B">
      <w:rPr>
        <w:iCs/>
        <w:sz w:val="22"/>
        <w:szCs w:val="22"/>
      </w:rPr>
      <w:t xml:space="preserve">Mass. Register: </w:t>
    </w:r>
    <w:r>
      <w:rPr>
        <w:sz w:val="22"/>
        <w:szCs w:val="22"/>
      </w:rPr>
      <w:t xml:space="preserve"> </w:t>
    </w:r>
    <w:r w:rsidR="004C1F2B">
      <w:rPr>
        <w:sz w:val="22"/>
        <w:szCs w:val="22"/>
      </w:rPr>
      <w:t>January 6, 2023</w:t>
    </w:r>
  </w:p>
  <w:p w14:paraId="127CA1EF" w14:textId="77777777" w:rsidR="00E078F1" w:rsidRDefault="00E078F1" w:rsidP="00313AC5">
    <w:pPr>
      <w:spacing w:line="240" w:lineRule="exact"/>
      <w:jc w:val="center"/>
    </w:pPr>
  </w:p>
  <w:p w14:paraId="525D0F9C" w14:textId="0B1DF01D" w:rsidR="00313AC5" w:rsidRPr="00823224" w:rsidRDefault="00313AC5" w:rsidP="00313AC5">
    <w:pPr>
      <w:spacing w:line="240" w:lineRule="exact"/>
      <w:jc w:val="center"/>
      <w:rPr>
        <w:sz w:val="22"/>
        <w:szCs w:val="22"/>
      </w:rPr>
    </w:pPr>
    <w:r w:rsidRPr="00823224">
      <w:rPr>
        <w:sz w:val="22"/>
        <w:szCs w:val="22"/>
      </w:rPr>
      <w:t>101 CMR:  EXECUTIVE OFFICE OF HEALTH AND HUMAN SERVICES</w:t>
    </w:r>
  </w:p>
  <w:p w14:paraId="572CBFF1" w14:textId="6942C394" w:rsidR="00313AC5" w:rsidRPr="00823224" w:rsidRDefault="00313AC5" w:rsidP="00313AC5">
    <w:pPr>
      <w:spacing w:line="240" w:lineRule="exact"/>
      <w:jc w:val="center"/>
      <w:rPr>
        <w:sz w:val="22"/>
        <w:szCs w:val="22"/>
      </w:rPr>
    </w:pPr>
  </w:p>
  <w:p w14:paraId="3F6940D5" w14:textId="7926201B" w:rsidR="00313AC5" w:rsidRPr="00823224" w:rsidRDefault="00313AC5" w:rsidP="00751D8A">
    <w:pPr>
      <w:spacing w:line="240" w:lineRule="exact"/>
      <w:ind w:left="720" w:hanging="720"/>
      <w:jc w:val="center"/>
      <w:rPr>
        <w:sz w:val="22"/>
        <w:szCs w:val="22"/>
      </w:rPr>
    </w:pPr>
    <w:r w:rsidRPr="00823224">
      <w:rPr>
        <w:sz w:val="22"/>
        <w:szCs w:val="22"/>
      </w:rPr>
      <w:t xml:space="preserve">101 CMR </w:t>
    </w:r>
    <w:r w:rsidR="003B332D" w:rsidRPr="00823224">
      <w:rPr>
        <w:sz w:val="22"/>
        <w:szCs w:val="22"/>
      </w:rPr>
      <w:t>324</w:t>
    </w:r>
    <w:r w:rsidRPr="00823224">
      <w:rPr>
        <w:sz w:val="22"/>
        <w:szCs w:val="22"/>
      </w:rPr>
      <w:t xml:space="preserve">.00:   </w:t>
    </w:r>
    <w:r w:rsidR="00D1168F" w:rsidRPr="00823224">
      <w:rPr>
        <w:sz w:val="22"/>
        <w:szCs w:val="22"/>
      </w:rPr>
      <w:t xml:space="preserve">NONPUBLIC AMBULANCE SERVICE REIMBURSEMENT </w:t>
    </w:r>
    <w:r w:rsidR="00751D8A">
      <w:rPr>
        <w:sz w:val="22"/>
        <w:szCs w:val="22"/>
      </w:rPr>
      <w:br/>
    </w:r>
    <w:r w:rsidR="00D1168F" w:rsidRPr="00823224">
      <w:rPr>
        <w:sz w:val="22"/>
        <w:szCs w:val="22"/>
      </w:rPr>
      <w:t>TRUST FUND</w:t>
    </w:r>
    <w:r w:rsidR="00751D8A">
      <w:rPr>
        <w:sz w:val="22"/>
        <w:szCs w:val="22"/>
      </w:rPr>
      <w:t xml:space="preserve"> </w:t>
    </w:r>
    <w:r w:rsidR="00C923C4" w:rsidRPr="00823224">
      <w:rPr>
        <w:sz w:val="22"/>
        <w:szCs w:val="22"/>
      </w:rPr>
      <w:t xml:space="preserve">ASSESSMENT </w:t>
    </w:r>
    <w:r w:rsidR="00E078F1" w:rsidRPr="00823224">
      <w:rPr>
        <w:sz w:val="22"/>
        <w:szCs w:val="22"/>
      </w:rPr>
      <w:t>AND FUNDING</w:t>
    </w:r>
  </w:p>
  <w:p w14:paraId="43E9091D" w14:textId="77777777" w:rsidR="00313AC5" w:rsidRDefault="00313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7164"/>
    <w:multiLevelType w:val="hybridMultilevel"/>
    <w:tmpl w:val="F348AAB2"/>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1AEAA80">
      <w:start w:val="2"/>
      <w:numFmt w:val="lowerRoman"/>
      <w:lvlText w:val="(%4)"/>
      <w:lvlJc w:val="left"/>
      <w:pPr>
        <w:tabs>
          <w:tab w:val="num" w:pos="3420"/>
        </w:tabs>
        <w:ind w:left="3420" w:hanging="72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3957C6F"/>
    <w:multiLevelType w:val="hybridMultilevel"/>
    <w:tmpl w:val="155E0A3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361F4"/>
    <w:multiLevelType w:val="hybridMultilevel"/>
    <w:tmpl w:val="4A9A7F86"/>
    <w:lvl w:ilvl="0" w:tplc="1E027552">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D76378"/>
    <w:multiLevelType w:val="hybridMultilevel"/>
    <w:tmpl w:val="68BC70B0"/>
    <w:lvl w:ilvl="0" w:tplc="A3B289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19E"/>
    <w:multiLevelType w:val="hybridMultilevel"/>
    <w:tmpl w:val="33E2C5B0"/>
    <w:lvl w:ilvl="0" w:tplc="BD168D2E">
      <w:start w:val="1"/>
      <w:numFmt w:val="decimal"/>
      <w:lvlText w:val="(%1)"/>
      <w:lvlJc w:val="left"/>
      <w:pPr>
        <w:ind w:left="720" w:hanging="360"/>
      </w:pPr>
      <w:rPr>
        <w:rFonts w:hint="default"/>
      </w:rPr>
    </w:lvl>
    <w:lvl w:ilvl="1" w:tplc="755CD7DA">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D1C48"/>
    <w:multiLevelType w:val="hybridMultilevel"/>
    <w:tmpl w:val="3996A746"/>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D493A"/>
    <w:multiLevelType w:val="hybridMultilevel"/>
    <w:tmpl w:val="74486130"/>
    <w:lvl w:ilvl="0" w:tplc="2B748BBE">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39106B"/>
    <w:multiLevelType w:val="hybridMultilevel"/>
    <w:tmpl w:val="8F043720"/>
    <w:lvl w:ilvl="0" w:tplc="06D69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95F18"/>
    <w:multiLevelType w:val="hybridMultilevel"/>
    <w:tmpl w:val="AD16B548"/>
    <w:lvl w:ilvl="0" w:tplc="04090019">
      <w:start w:val="1"/>
      <w:numFmt w:val="lowerLetter"/>
      <w:lvlText w:val="%1."/>
      <w:lvlJc w:val="left"/>
      <w:pPr>
        <w:ind w:left="180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DB0E0F"/>
    <w:multiLevelType w:val="hybridMultilevel"/>
    <w:tmpl w:val="90C8D96A"/>
    <w:lvl w:ilvl="0" w:tplc="9C304A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6B61E9"/>
    <w:multiLevelType w:val="hybridMultilevel"/>
    <w:tmpl w:val="F35A4C2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3E8F40F2"/>
    <w:multiLevelType w:val="hybridMultilevel"/>
    <w:tmpl w:val="33E2C5B0"/>
    <w:lvl w:ilvl="0" w:tplc="BD168D2E">
      <w:start w:val="1"/>
      <w:numFmt w:val="decimal"/>
      <w:lvlText w:val="(%1)"/>
      <w:lvlJc w:val="left"/>
      <w:pPr>
        <w:ind w:left="720" w:hanging="360"/>
      </w:pPr>
      <w:rPr>
        <w:rFonts w:hint="default"/>
      </w:rPr>
    </w:lvl>
    <w:lvl w:ilvl="1" w:tplc="755CD7DA">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C0E12"/>
    <w:multiLevelType w:val="hybridMultilevel"/>
    <w:tmpl w:val="6B1EC73A"/>
    <w:lvl w:ilvl="0" w:tplc="14B255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33AFD"/>
    <w:multiLevelType w:val="hybridMultilevel"/>
    <w:tmpl w:val="8552169E"/>
    <w:lvl w:ilvl="0" w:tplc="D05AC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E87EC4"/>
    <w:multiLevelType w:val="hybridMultilevel"/>
    <w:tmpl w:val="21063062"/>
    <w:lvl w:ilvl="0" w:tplc="438CC204">
      <w:start w:val="1"/>
      <w:numFmt w:val="decimal"/>
      <w:lvlText w:val="(%1)"/>
      <w:lvlJc w:val="left"/>
      <w:pPr>
        <w:ind w:left="1080" w:hanging="360"/>
      </w:pPr>
      <w:rPr>
        <w:rFonts w:hint="default"/>
      </w:rPr>
    </w:lvl>
    <w:lvl w:ilvl="1" w:tplc="678E43DA">
      <w:start w:val="1"/>
      <w:numFmt w:val="lowerLetter"/>
      <w:lvlText w:val="(%2)"/>
      <w:lvlJc w:val="left"/>
      <w:pPr>
        <w:ind w:left="1800" w:hanging="360"/>
      </w:pPr>
      <w:rPr>
        <w:rFonts w:ascii="Times New Roman" w:eastAsia="Times New Roman" w:hAnsi="Times New Roman" w:cs="Times New Roman"/>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002EB9"/>
    <w:multiLevelType w:val="hybridMultilevel"/>
    <w:tmpl w:val="073A9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F14F4"/>
    <w:multiLevelType w:val="hybridMultilevel"/>
    <w:tmpl w:val="BC5CB2C6"/>
    <w:lvl w:ilvl="0" w:tplc="50B0DE82">
      <w:start w:val="1"/>
      <w:numFmt w:val="decimal"/>
      <w:lvlText w:val="(%1)"/>
      <w:lvlJc w:val="left"/>
      <w:pPr>
        <w:ind w:left="1095" w:hanging="375"/>
      </w:pPr>
      <w:rPr>
        <w:rFonts w:ascii="Times New Roman" w:hAnsi="Times New Roman" w:cs="Times New Roman"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966066"/>
    <w:multiLevelType w:val="hybridMultilevel"/>
    <w:tmpl w:val="4E7C7688"/>
    <w:lvl w:ilvl="0" w:tplc="0AA26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B0079F"/>
    <w:multiLevelType w:val="hybridMultilevel"/>
    <w:tmpl w:val="8D5A34F4"/>
    <w:lvl w:ilvl="0" w:tplc="290C2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2E4E1B"/>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07586"/>
    <w:multiLevelType w:val="hybridMultilevel"/>
    <w:tmpl w:val="40B82B4A"/>
    <w:lvl w:ilvl="0" w:tplc="A2AC4E2C">
      <w:start w:val="1"/>
      <w:numFmt w:val="decimal"/>
      <w:lvlText w:val="(%1)"/>
      <w:lvlJc w:val="left"/>
      <w:pPr>
        <w:ind w:left="720" w:hanging="360"/>
      </w:pPr>
      <w:rPr>
        <w:rFonts w:hint="default"/>
      </w:rPr>
    </w:lvl>
    <w:lvl w:ilvl="1" w:tplc="A3B28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A2F70"/>
    <w:multiLevelType w:val="hybridMultilevel"/>
    <w:tmpl w:val="70444800"/>
    <w:lvl w:ilvl="0" w:tplc="8DFC752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714383"/>
    <w:multiLevelType w:val="hybridMultilevel"/>
    <w:tmpl w:val="C8AE4616"/>
    <w:lvl w:ilvl="0" w:tplc="4C06FB0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99D7A3D"/>
    <w:multiLevelType w:val="hybridMultilevel"/>
    <w:tmpl w:val="F05E0076"/>
    <w:lvl w:ilvl="0" w:tplc="BD168D2E">
      <w:start w:val="1"/>
      <w:numFmt w:val="decimal"/>
      <w:lvlText w:val="(%1)"/>
      <w:lvlJc w:val="left"/>
      <w:pPr>
        <w:ind w:left="1440" w:hanging="360"/>
      </w:pPr>
      <w:rPr>
        <w:rFonts w:hint="default"/>
      </w:rPr>
    </w:lvl>
    <w:lvl w:ilvl="1" w:tplc="E9A640D2">
      <w:start w:val="1"/>
      <w:numFmt w:val="lowerRoman"/>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EA1250"/>
    <w:multiLevelType w:val="hybridMultilevel"/>
    <w:tmpl w:val="5DA6026E"/>
    <w:lvl w:ilvl="0" w:tplc="6D6AD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8"/>
  </w:num>
  <w:num w:numId="5">
    <w:abstractNumId w:val="9"/>
  </w:num>
  <w:num w:numId="6">
    <w:abstractNumId w:val="16"/>
  </w:num>
  <w:num w:numId="7">
    <w:abstractNumId w:val="11"/>
  </w:num>
  <w:num w:numId="8">
    <w:abstractNumId w:val="26"/>
  </w:num>
  <w:num w:numId="9">
    <w:abstractNumId w:val="15"/>
  </w:num>
  <w:num w:numId="10">
    <w:abstractNumId w:val="22"/>
  </w:num>
  <w:num w:numId="11">
    <w:abstractNumId w:val="20"/>
  </w:num>
  <w:num w:numId="12">
    <w:abstractNumId w:val="19"/>
  </w:num>
  <w:num w:numId="13">
    <w:abstractNumId w:val="3"/>
  </w:num>
  <w:num w:numId="14">
    <w:abstractNumId w:val="23"/>
  </w:num>
  <w:num w:numId="15">
    <w:abstractNumId w:val="18"/>
  </w:num>
  <w:num w:numId="16">
    <w:abstractNumId w:val="17"/>
  </w:num>
  <w:num w:numId="17">
    <w:abstractNumId w:val="13"/>
  </w:num>
  <w:num w:numId="18">
    <w:abstractNumId w:val="25"/>
  </w:num>
  <w:num w:numId="19">
    <w:abstractNumId w:val="10"/>
  </w:num>
  <w:num w:numId="20">
    <w:abstractNumId w:val="6"/>
  </w:num>
  <w:num w:numId="21">
    <w:abstractNumId w:val="2"/>
  </w:num>
  <w:num w:numId="22">
    <w:abstractNumId w:val="5"/>
  </w:num>
  <w:num w:numId="23">
    <w:abstractNumId w:val="1"/>
  </w:num>
  <w:num w:numId="24">
    <w:abstractNumId w:val="24"/>
  </w:num>
  <w:num w:numId="25">
    <w:abstractNumId w:val="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C5"/>
    <w:rsid w:val="00003DAE"/>
    <w:rsid w:val="00004756"/>
    <w:rsid w:val="000145BB"/>
    <w:rsid w:val="000158B6"/>
    <w:rsid w:val="00017C95"/>
    <w:rsid w:val="00024558"/>
    <w:rsid w:val="000315DD"/>
    <w:rsid w:val="00032323"/>
    <w:rsid w:val="00032411"/>
    <w:rsid w:val="00032C7B"/>
    <w:rsid w:val="00037DAB"/>
    <w:rsid w:val="00040754"/>
    <w:rsid w:val="0004350F"/>
    <w:rsid w:val="0004368C"/>
    <w:rsid w:val="0004650E"/>
    <w:rsid w:val="0005377F"/>
    <w:rsid w:val="00054C70"/>
    <w:rsid w:val="00055CB3"/>
    <w:rsid w:val="00056105"/>
    <w:rsid w:val="0005783C"/>
    <w:rsid w:val="000610AE"/>
    <w:rsid w:val="000648D4"/>
    <w:rsid w:val="00071EED"/>
    <w:rsid w:val="000735F9"/>
    <w:rsid w:val="000744E4"/>
    <w:rsid w:val="00075A6A"/>
    <w:rsid w:val="00076CF3"/>
    <w:rsid w:val="0008091F"/>
    <w:rsid w:val="000A1B10"/>
    <w:rsid w:val="000A406C"/>
    <w:rsid w:val="000C62FB"/>
    <w:rsid w:val="000C6754"/>
    <w:rsid w:val="000D2B10"/>
    <w:rsid w:val="000D2C66"/>
    <w:rsid w:val="000D659B"/>
    <w:rsid w:val="000E04C9"/>
    <w:rsid w:val="000E06C6"/>
    <w:rsid w:val="000E1984"/>
    <w:rsid w:val="000E22D8"/>
    <w:rsid w:val="000E50EF"/>
    <w:rsid w:val="000F253F"/>
    <w:rsid w:val="0010305D"/>
    <w:rsid w:val="00106235"/>
    <w:rsid w:val="00112855"/>
    <w:rsid w:val="00124981"/>
    <w:rsid w:val="00134A6E"/>
    <w:rsid w:val="0015460A"/>
    <w:rsid w:val="001571D7"/>
    <w:rsid w:val="00157B40"/>
    <w:rsid w:val="00157B4F"/>
    <w:rsid w:val="00161575"/>
    <w:rsid w:val="00172B7F"/>
    <w:rsid w:val="00174FAB"/>
    <w:rsid w:val="0018089D"/>
    <w:rsid w:val="00181DC7"/>
    <w:rsid w:val="00193B00"/>
    <w:rsid w:val="001949C8"/>
    <w:rsid w:val="00196A99"/>
    <w:rsid w:val="00197B86"/>
    <w:rsid w:val="001A21B8"/>
    <w:rsid w:val="001A5BDD"/>
    <w:rsid w:val="001B1021"/>
    <w:rsid w:val="001B2BAB"/>
    <w:rsid w:val="001C7B97"/>
    <w:rsid w:val="001D5108"/>
    <w:rsid w:val="001E2C0D"/>
    <w:rsid w:val="001E4D7E"/>
    <w:rsid w:val="001F63CC"/>
    <w:rsid w:val="001F67CC"/>
    <w:rsid w:val="00202A72"/>
    <w:rsid w:val="00220605"/>
    <w:rsid w:val="0022148F"/>
    <w:rsid w:val="00223C4D"/>
    <w:rsid w:val="002428AC"/>
    <w:rsid w:val="00246101"/>
    <w:rsid w:val="00250F9E"/>
    <w:rsid w:val="002528B2"/>
    <w:rsid w:val="00254F1B"/>
    <w:rsid w:val="002607EC"/>
    <w:rsid w:val="00266F08"/>
    <w:rsid w:val="00273E30"/>
    <w:rsid w:val="002761FC"/>
    <w:rsid w:val="0028094E"/>
    <w:rsid w:val="00281217"/>
    <w:rsid w:val="002822D5"/>
    <w:rsid w:val="00285527"/>
    <w:rsid w:val="0029185B"/>
    <w:rsid w:val="002A1888"/>
    <w:rsid w:val="002B2509"/>
    <w:rsid w:val="002B33C8"/>
    <w:rsid w:val="002B7D13"/>
    <w:rsid w:val="002C0D1F"/>
    <w:rsid w:val="002C707B"/>
    <w:rsid w:val="002D0BED"/>
    <w:rsid w:val="002E0686"/>
    <w:rsid w:val="002E1240"/>
    <w:rsid w:val="002E71D4"/>
    <w:rsid w:val="00300A23"/>
    <w:rsid w:val="00304191"/>
    <w:rsid w:val="00304535"/>
    <w:rsid w:val="00304D9F"/>
    <w:rsid w:val="003063A1"/>
    <w:rsid w:val="00311863"/>
    <w:rsid w:val="00313AC5"/>
    <w:rsid w:val="003172C9"/>
    <w:rsid w:val="00317932"/>
    <w:rsid w:val="003323BA"/>
    <w:rsid w:val="00341280"/>
    <w:rsid w:val="003516C4"/>
    <w:rsid w:val="0035290A"/>
    <w:rsid w:val="00356533"/>
    <w:rsid w:val="00356A13"/>
    <w:rsid w:val="00357351"/>
    <w:rsid w:val="00364830"/>
    <w:rsid w:val="00366A49"/>
    <w:rsid w:val="00376B50"/>
    <w:rsid w:val="00377414"/>
    <w:rsid w:val="0038017E"/>
    <w:rsid w:val="00381052"/>
    <w:rsid w:val="003837A1"/>
    <w:rsid w:val="00387BBA"/>
    <w:rsid w:val="003921EF"/>
    <w:rsid w:val="00392A39"/>
    <w:rsid w:val="00393B08"/>
    <w:rsid w:val="003953D8"/>
    <w:rsid w:val="00395A40"/>
    <w:rsid w:val="003975C3"/>
    <w:rsid w:val="003A2B2C"/>
    <w:rsid w:val="003B2C2B"/>
    <w:rsid w:val="003B332D"/>
    <w:rsid w:val="003B3BCC"/>
    <w:rsid w:val="003C42B7"/>
    <w:rsid w:val="003C627B"/>
    <w:rsid w:val="003D19F6"/>
    <w:rsid w:val="003D2883"/>
    <w:rsid w:val="003D79AA"/>
    <w:rsid w:val="003E2B3A"/>
    <w:rsid w:val="003F2BFC"/>
    <w:rsid w:val="003F4D27"/>
    <w:rsid w:val="00401CB0"/>
    <w:rsid w:val="00403434"/>
    <w:rsid w:val="00404A72"/>
    <w:rsid w:val="00412C19"/>
    <w:rsid w:val="00413ED4"/>
    <w:rsid w:val="004147C1"/>
    <w:rsid w:val="004148DD"/>
    <w:rsid w:val="00420A71"/>
    <w:rsid w:val="0042504A"/>
    <w:rsid w:val="00432CA4"/>
    <w:rsid w:val="00435C72"/>
    <w:rsid w:val="00437641"/>
    <w:rsid w:val="00440AFE"/>
    <w:rsid w:val="00440E3C"/>
    <w:rsid w:val="0044464C"/>
    <w:rsid w:val="00444983"/>
    <w:rsid w:val="00451728"/>
    <w:rsid w:val="00451C7C"/>
    <w:rsid w:val="00455C17"/>
    <w:rsid w:val="00457E00"/>
    <w:rsid w:val="0046190B"/>
    <w:rsid w:val="00465D38"/>
    <w:rsid w:val="00470CF7"/>
    <w:rsid w:val="00474854"/>
    <w:rsid w:val="00482D63"/>
    <w:rsid w:val="00485292"/>
    <w:rsid w:val="00485500"/>
    <w:rsid w:val="00487E5A"/>
    <w:rsid w:val="00493E82"/>
    <w:rsid w:val="0049439E"/>
    <w:rsid w:val="00496095"/>
    <w:rsid w:val="004A4163"/>
    <w:rsid w:val="004A48E0"/>
    <w:rsid w:val="004A4BFC"/>
    <w:rsid w:val="004B14F0"/>
    <w:rsid w:val="004B2A61"/>
    <w:rsid w:val="004B6831"/>
    <w:rsid w:val="004B7C96"/>
    <w:rsid w:val="004C1F2B"/>
    <w:rsid w:val="004C497A"/>
    <w:rsid w:val="004C7645"/>
    <w:rsid w:val="004D188C"/>
    <w:rsid w:val="004D1F1E"/>
    <w:rsid w:val="004E2969"/>
    <w:rsid w:val="004E6F7F"/>
    <w:rsid w:val="004E778B"/>
    <w:rsid w:val="004F267A"/>
    <w:rsid w:val="004F5C3C"/>
    <w:rsid w:val="005005F7"/>
    <w:rsid w:val="005074CA"/>
    <w:rsid w:val="0051096C"/>
    <w:rsid w:val="00530DEA"/>
    <w:rsid w:val="00536122"/>
    <w:rsid w:val="0053663B"/>
    <w:rsid w:val="00536E1C"/>
    <w:rsid w:val="0053785A"/>
    <w:rsid w:val="00546FE2"/>
    <w:rsid w:val="00553A79"/>
    <w:rsid w:val="00563963"/>
    <w:rsid w:val="00567E64"/>
    <w:rsid w:val="005724B8"/>
    <w:rsid w:val="00572987"/>
    <w:rsid w:val="00573A2D"/>
    <w:rsid w:val="005772B7"/>
    <w:rsid w:val="00584E1F"/>
    <w:rsid w:val="00585AA0"/>
    <w:rsid w:val="005875F4"/>
    <w:rsid w:val="00595820"/>
    <w:rsid w:val="005A47B0"/>
    <w:rsid w:val="005A557C"/>
    <w:rsid w:val="005A5F59"/>
    <w:rsid w:val="005B2E87"/>
    <w:rsid w:val="005B3DFD"/>
    <w:rsid w:val="005B5A55"/>
    <w:rsid w:val="005B65D5"/>
    <w:rsid w:val="005C1B32"/>
    <w:rsid w:val="005C2C8A"/>
    <w:rsid w:val="005C5234"/>
    <w:rsid w:val="005C5A98"/>
    <w:rsid w:val="005C74AC"/>
    <w:rsid w:val="005E0B44"/>
    <w:rsid w:val="005E36E2"/>
    <w:rsid w:val="005F04F8"/>
    <w:rsid w:val="005F10AE"/>
    <w:rsid w:val="005F1873"/>
    <w:rsid w:val="005F270D"/>
    <w:rsid w:val="005F27A4"/>
    <w:rsid w:val="005F41BC"/>
    <w:rsid w:val="00600FEC"/>
    <w:rsid w:val="00601A69"/>
    <w:rsid w:val="00606F24"/>
    <w:rsid w:val="0060747B"/>
    <w:rsid w:val="00610863"/>
    <w:rsid w:val="00611900"/>
    <w:rsid w:val="006151B9"/>
    <w:rsid w:val="006203A8"/>
    <w:rsid w:val="006227E4"/>
    <w:rsid w:val="00625E33"/>
    <w:rsid w:val="00627E8B"/>
    <w:rsid w:val="00631BD7"/>
    <w:rsid w:val="00637FC6"/>
    <w:rsid w:val="00642527"/>
    <w:rsid w:val="00643FDB"/>
    <w:rsid w:val="006500DA"/>
    <w:rsid w:val="00662ECD"/>
    <w:rsid w:val="00666F6D"/>
    <w:rsid w:val="00671E75"/>
    <w:rsid w:val="006727E5"/>
    <w:rsid w:val="00673B5A"/>
    <w:rsid w:val="00675F62"/>
    <w:rsid w:val="00677762"/>
    <w:rsid w:val="00681115"/>
    <w:rsid w:val="006820D1"/>
    <w:rsid w:val="00685835"/>
    <w:rsid w:val="006933DB"/>
    <w:rsid w:val="00693C65"/>
    <w:rsid w:val="006B04B1"/>
    <w:rsid w:val="006B0AD4"/>
    <w:rsid w:val="006B17F5"/>
    <w:rsid w:val="006C4FDF"/>
    <w:rsid w:val="006D01C6"/>
    <w:rsid w:val="006D13F8"/>
    <w:rsid w:val="006D62AA"/>
    <w:rsid w:val="006D690E"/>
    <w:rsid w:val="006E05B2"/>
    <w:rsid w:val="006E76B8"/>
    <w:rsid w:val="006F4A3F"/>
    <w:rsid w:val="006F4C8F"/>
    <w:rsid w:val="006F5A25"/>
    <w:rsid w:val="00705B90"/>
    <w:rsid w:val="007107BA"/>
    <w:rsid w:val="00714333"/>
    <w:rsid w:val="00714552"/>
    <w:rsid w:val="007160AA"/>
    <w:rsid w:val="007308B3"/>
    <w:rsid w:val="00731C12"/>
    <w:rsid w:val="00734544"/>
    <w:rsid w:val="0073666B"/>
    <w:rsid w:val="007379C3"/>
    <w:rsid w:val="00751D8A"/>
    <w:rsid w:val="00754028"/>
    <w:rsid w:val="00754239"/>
    <w:rsid w:val="00754E91"/>
    <w:rsid w:val="00756A33"/>
    <w:rsid w:val="00757E21"/>
    <w:rsid w:val="00760891"/>
    <w:rsid w:val="0076298D"/>
    <w:rsid w:val="0076301D"/>
    <w:rsid w:val="0077253A"/>
    <w:rsid w:val="00783A2A"/>
    <w:rsid w:val="00783A3E"/>
    <w:rsid w:val="00784BF9"/>
    <w:rsid w:val="00786C66"/>
    <w:rsid w:val="0079792F"/>
    <w:rsid w:val="007A251E"/>
    <w:rsid w:val="007B2DA0"/>
    <w:rsid w:val="007B2F9C"/>
    <w:rsid w:val="007B6223"/>
    <w:rsid w:val="007B63A3"/>
    <w:rsid w:val="007B780E"/>
    <w:rsid w:val="007C2024"/>
    <w:rsid w:val="007D1B8A"/>
    <w:rsid w:val="007D441C"/>
    <w:rsid w:val="007E3EB0"/>
    <w:rsid w:val="007E3EE5"/>
    <w:rsid w:val="007F1875"/>
    <w:rsid w:val="007F2CFF"/>
    <w:rsid w:val="007F45FD"/>
    <w:rsid w:val="00811421"/>
    <w:rsid w:val="0081397A"/>
    <w:rsid w:val="00813EA9"/>
    <w:rsid w:val="008147FD"/>
    <w:rsid w:val="00814B24"/>
    <w:rsid w:val="00816AF6"/>
    <w:rsid w:val="00823224"/>
    <w:rsid w:val="0082489B"/>
    <w:rsid w:val="00830094"/>
    <w:rsid w:val="00832857"/>
    <w:rsid w:val="00832FF4"/>
    <w:rsid w:val="00833376"/>
    <w:rsid w:val="008336C8"/>
    <w:rsid w:val="00844FD3"/>
    <w:rsid w:val="00845F78"/>
    <w:rsid w:val="00853947"/>
    <w:rsid w:val="00856629"/>
    <w:rsid w:val="00861B68"/>
    <w:rsid w:val="008678D7"/>
    <w:rsid w:val="00867D7B"/>
    <w:rsid w:val="0087137A"/>
    <w:rsid w:val="0087788C"/>
    <w:rsid w:val="00883313"/>
    <w:rsid w:val="00884A3B"/>
    <w:rsid w:val="008A0B1B"/>
    <w:rsid w:val="008B132A"/>
    <w:rsid w:val="008B3D5A"/>
    <w:rsid w:val="008B76A2"/>
    <w:rsid w:val="008C3945"/>
    <w:rsid w:val="008C55A5"/>
    <w:rsid w:val="008C68C7"/>
    <w:rsid w:val="008D1127"/>
    <w:rsid w:val="008D38D0"/>
    <w:rsid w:val="008D70DC"/>
    <w:rsid w:val="008D7897"/>
    <w:rsid w:val="008D7CBB"/>
    <w:rsid w:val="008E216E"/>
    <w:rsid w:val="008E2F16"/>
    <w:rsid w:val="008E3B16"/>
    <w:rsid w:val="008E59EB"/>
    <w:rsid w:val="008E7B4E"/>
    <w:rsid w:val="0090090C"/>
    <w:rsid w:val="009023AF"/>
    <w:rsid w:val="00910021"/>
    <w:rsid w:val="00910435"/>
    <w:rsid w:val="00911771"/>
    <w:rsid w:val="00912CB1"/>
    <w:rsid w:val="00920FA6"/>
    <w:rsid w:val="009226C6"/>
    <w:rsid w:val="00926FFD"/>
    <w:rsid w:val="00930DBD"/>
    <w:rsid w:val="00931AAD"/>
    <w:rsid w:val="009332AC"/>
    <w:rsid w:val="00942B14"/>
    <w:rsid w:val="00945DE5"/>
    <w:rsid w:val="00946C70"/>
    <w:rsid w:val="00946C83"/>
    <w:rsid w:val="009521D0"/>
    <w:rsid w:val="00953CE6"/>
    <w:rsid w:val="00954409"/>
    <w:rsid w:val="009577D3"/>
    <w:rsid w:val="00971BF5"/>
    <w:rsid w:val="00972B8F"/>
    <w:rsid w:val="00973828"/>
    <w:rsid w:val="00974BB1"/>
    <w:rsid w:val="0098102E"/>
    <w:rsid w:val="00981516"/>
    <w:rsid w:val="009858F0"/>
    <w:rsid w:val="00987571"/>
    <w:rsid w:val="00994A68"/>
    <w:rsid w:val="00997864"/>
    <w:rsid w:val="009A5919"/>
    <w:rsid w:val="009A6A5A"/>
    <w:rsid w:val="009B1AAA"/>
    <w:rsid w:val="009C5DBF"/>
    <w:rsid w:val="009D0BBD"/>
    <w:rsid w:val="009D3711"/>
    <w:rsid w:val="009D5AC2"/>
    <w:rsid w:val="009D61D3"/>
    <w:rsid w:val="009D774C"/>
    <w:rsid w:val="009E10A9"/>
    <w:rsid w:val="009E17C8"/>
    <w:rsid w:val="009E5B13"/>
    <w:rsid w:val="009F5D91"/>
    <w:rsid w:val="00A009B5"/>
    <w:rsid w:val="00A040E7"/>
    <w:rsid w:val="00A07792"/>
    <w:rsid w:val="00A110AB"/>
    <w:rsid w:val="00A125B4"/>
    <w:rsid w:val="00A1594E"/>
    <w:rsid w:val="00A16BC6"/>
    <w:rsid w:val="00A24FA6"/>
    <w:rsid w:val="00A251FB"/>
    <w:rsid w:val="00A26342"/>
    <w:rsid w:val="00A4036B"/>
    <w:rsid w:val="00A4049B"/>
    <w:rsid w:val="00A41E68"/>
    <w:rsid w:val="00A43AAF"/>
    <w:rsid w:val="00A4747A"/>
    <w:rsid w:val="00A54EEF"/>
    <w:rsid w:val="00A625BB"/>
    <w:rsid w:val="00A672A1"/>
    <w:rsid w:val="00A71B2E"/>
    <w:rsid w:val="00A7357C"/>
    <w:rsid w:val="00A77155"/>
    <w:rsid w:val="00A87193"/>
    <w:rsid w:val="00A93A1E"/>
    <w:rsid w:val="00AA0572"/>
    <w:rsid w:val="00AA0A38"/>
    <w:rsid w:val="00AA4016"/>
    <w:rsid w:val="00AA5513"/>
    <w:rsid w:val="00AB2CC2"/>
    <w:rsid w:val="00AB5CCD"/>
    <w:rsid w:val="00AC3843"/>
    <w:rsid w:val="00AC445F"/>
    <w:rsid w:val="00AC44DC"/>
    <w:rsid w:val="00AC47BC"/>
    <w:rsid w:val="00AC5F86"/>
    <w:rsid w:val="00AC7283"/>
    <w:rsid w:val="00AD027A"/>
    <w:rsid w:val="00AD673C"/>
    <w:rsid w:val="00AE647E"/>
    <w:rsid w:val="00AF06DA"/>
    <w:rsid w:val="00AF31DB"/>
    <w:rsid w:val="00AF40EC"/>
    <w:rsid w:val="00AF41D0"/>
    <w:rsid w:val="00B004D0"/>
    <w:rsid w:val="00B033D9"/>
    <w:rsid w:val="00B04D62"/>
    <w:rsid w:val="00B05658"/>
    <w:rsid w:val="00B11517"/>
    <w:rsid w:val="00B1249D"/>
    <w:rsid w:val="00B13065"/>
    <w:rsid w:val="00B13F75"/>
    <w:rsid w:val="00B14901"/>
    <w:rsid w:val="00B20607"/>
    <w:rsid w:val="00B23F35"/>
    <w:rsid w:val="00B41BC8"/>
    <w:rsid w:val="00B42D7A"/>
    <w:rsid w:val="00B43FB6"/>
    <w:rsid w:val="00B523B9"/>
    <w:rsid w:val="00B527D9"/>
    <w:rsid w:val="00B57686"/>
    <w:rsid w:val="00B57BE2"/>
    <w:rsid w:val="00B614BB"/>
    <w:rsid w:val="00B62FD0"/>
    <w:rsid w:val="00B65FAC"/>
    <w:rsid w:val="00B70175"/>
    <w:rsid w:val="00B71B34"/>
    <w:rsid w:val="00B76805"/>
    <w:rsid w:val="00B83BE6"/>
    <w:rsid w:val="00B91502"/>
    <w:rsid w:val="00B92B7C"/>
    <w:rsid w:val="00B977B3"/>
    <w:rsid w:val="00B97A3F"/>
    <w:rsid w:val="00BA290B"/>
    <w:rsid w:val="00BA3851"/>
    <w:rsid w:val="00BA62B1"/>
    <w:rsid w:val="00BA74FA"/>
    <w:rsid w:val="00BB36DB"/>
    <w:rsid w:val="00BB6F38"/>
    <w:rsid w:val="00BC26AA"/>
    <w:rsid w:val="00BC748B"/>
    <w:rsid w:val="00BD1F4E"/>
    <w:rsid w:val="00BD258C"/>
    <w:rsid w:val="00BD2877"/>
    <w:rsid w:val="00BD3C04"/>
    <w:rsid w:val="00BD40D0"/>
    <w:rsid w:val="00BD7ED1"/>
    <w:rsid w:val="00BE5ABB"/>
    <w:rsid w:val="00BE6356"/>
    <w:rsid w:val="00BE6880"/>
    <w:rsid w:val="00BE6BCB"/>
    <w:rsid w:val="00BF04E5"/>
    <w:rsid w:val="00BF0725"/>
    <w:rsid w:val="00BF61C2"/>
    <w:rsid w:val="00C00AA7"/>
    <w:rsid w:val="00C0457E"/>
    <w:rsid w:val="00C048A8"/>
    <w:rsid w:val="00C1098D"/>
    <w:rsid w:val="00C121E0"/>
    <w:rsid w:val="00C24D1F"/>
    <w:rsid w:val="00C26A23"/>
    <w:rsid w:val="00C30C29"/>
    <w:rsid w:val="00C3411B"/>
    <w:rsid w:val="00C37108"/>
    <w:rsid w:val="00C413DC"/>
    <w:rsid w:val="00C41576"/>
    <w:rsid w:val="00C416C8"/>
    <w:rsid w:val="00C450CE"/>
    <w:rsid w:val="00C46500"/>
    <w:rsid w:val="00C46A8D"/>
    <w:rsid w:val="00C5224D"/>
    <w:rsid w:val="00C57CA4"/>
    <w:rsid w:val="00C61E08"/>
    <w:rsid w:val="00C72200"/>
    <w:rsid w:val="00C72A71"/>
    <w:rsid w:val="00C76254"/>
    <w:rsid w:val="00C8160E"/>
    <w:rsid w:val="00C916D3"/>
    <w:rsid w:val="00C9215B"/>
    <w:rsid w:val="00C923C4"/>
    <w:rsid w:val="00CA07D0"/>
    <w:rsid w:val="00CA1C53"/>
    <w:rsid w:val="00CA6A7E"/>
    <w:rsid w:val="00CB0FED"/>
    <w:rsid w:val="00CB38F3"/>
    <w:rsid w:val="00CB5859"/>
    <w:rsid w:val="00CB7883"/>
    <w:rsid w:val="00CC1824"/>
    <w:rsid w:val="00CC59CD"/>
    <w:rsid w:val="00CC713C"/>
    <w:rsid w:val="00CD0DBE"/>
    <w:rsid w:val="00CD3C1C"/>
    <w:rsid w:val="00CD3DAC"/>
    <w:rsid w:val="00CD622C"/>
    <w:rsid w:val="00CD63A5"/>
    <w:rsid w:val="00CE0C26"/>
    <w:rsid w:val="00CE1828"/>
    <w:rsid w:val="00D10127"/>
    <w:rsid w:val="00D1168F"/>
    <w:rsid w:val="00D13014"/>
    <w:rsid w:val="00D156DB"/>
    <w:rsid w:val="00D16751"/>
    <w:rsid w:val="00D232F6"/>
    <w:rsid w:val="00D31E6F"/>
    <w:rsid w:val="00D32B2E"/>
    <w:rsid w:val="00D338DD"/>
    <w:rsid w:val="00D339B2"/>
    <w:rsid w:val="00D34A42"/>
    <w:rsid w:val="00D35E3B"/>
    <w:rsid w:val="00D44FFF"/>
    <w:rsid w:val="00D45175"/>
    <w:rsid w:val="00D52C4B"/>
    <w:rsid w:val="00D55B53"/>
    <w:rsid w:val="00D6057A"/>
    <w:rsid w:val="00D6441E"/>
    <w:rsid w:val="00D6667B"/>
    <w:rsid w:val="00D7171B"/>
    <w:rsid w:val="00D81FBD"/>
    <w:rsid w:val="00D837F3"/>
    <w:rsid w:val="00D97618"/>
    <w:rsid w:val="00DA71C3"/>
    <w:rsid w:val="00DB05F9"/>
    <w:rsid w:val="00DB32B5"/>
    <w:rsid w:val="00DB46A1"/>
    <w:rsid w:val="00DD04E6"/>
    <w:rsid w:val="00DF193C"/>
    <w:rsid w:val="00DF3DA3"/>
    <w:rsid w:val="00DF634E"/>
    <w:rsid w:val="00E010EC"/>
    <w:rsid w:val="00E02329"/>
    <w:rsid w:val="00E06CBD"/>
    <w:rsid w:val="00E070C3"/>
    <w:rsid w:val="00E078F1"/>
    <w:rsid w:val="00E111FC"/>
    <w:rsid w:val="00E129EA"/>
    <w:rsid w:val="00E1331D"/>
    <w:rsid w:val="00E148F6"/>
    <w:rsid w:val="00E14A02"/>
    <w:rsid w:val="00E20203"/>
    <w:rsid w:val="00E40BC3"/>
    <w:rsid w:val="00E40F0C"/>
    <w:rsid w:val="00E41F25"/>
    <w:rsid w:val="00E42ADD"/>
    <w:rsid w:val="00E434EA"/>
    <w:rsid w:val="00E44C1E"/>
    <w:rsid w:val="00E45CD7"/>
    <w:rsid w:val="00E46014"/>
    <w:rsid w:val="00E503E7"/>
    <w:rsid w:val="00E524FE"/>
    <w:rsid w:val="00E55DA3"/>
    <w:rsid w:val="00E56459"/>
    <w:rsid w:val="00E56E7C"/>
    <w:rsid w:val="00E66ECD"/>
    <w:rsid w:val="00E73AD5"/>
    <w:rsid w:val="00E74AFA"/>
    <w:rsid w:val="00E87488"/>
    <w:rsid w:val="00E90B6B"/>
    <w:rsid w:val="00E9326E"/>
    <w:rsid w:val="00E96003"/>
    <w:rsid w:val="00EA4D3D"/>
    <w:rsid w:val="00EA577C"/>
    <w:rsid w:val="00EA780C"/>
    <w:rsid w:val="00EB004B"/>
    <w:rsid w:val="00EB1D57"/>
    <w:rsid w:val="00EB6FBD"/>
    <w:rsid w:val="00EC17BE"/>
    <w:rsid w:val="00EC4438"/>
    <w:rsid w:val="00EC5748"/>
    <w:rsid w:val="00EC6C53"/>
    <w:rsid w:val="00ED0AB0"/>
    <w:rsid w:val="00ED3214"/>
    <w:rsid w:val="00ED4F94"/>
    <w:rsid w:val="00EE461D"/>
    <w:rsid w:val="00EE547A"/>
    <w:rsid w:val="00EE7A65"/>
    <w:rsid w:val="00EF0527"/>
    <w:rsid w:val="00EF2DBD"/>
    <w:rsid w:val="00EF5B28"/>
    <w:rsid w:val="00EF7867"/>
    <w:rsid w:val="00EF7F61"/>
    <w:rsid w:val="00F031C0"/>
    <w:rsid w:val="00F12788"/>
    <w:rsid w:val="00F14FEC"/>
    <w:rsid w:val="00F1718F"/>
    <w:rsid w:val="00F21A4E"/>
    <w:rsid w:val="00F21D8C"/>
    <w:rsid w:val="00F24E40"/>
    <w:rsid w:val="00F272BB"/>
    <w:rsid w:val="00F27DEA"/>
    <w:rsid w:val="00F3644D"/>
    <w:rsid w:val="00F36996"/>
    <w:rsid w:val="00F41EC5"/>
    <w:rsid w:val="00F42206"/>
    <w:rsid w:val="00F42245"/>
    <w:rsid w:val="00F46E7C"/>
    <w:rsid w:val="00F47394"/>
    <w:rsid w:val="00F53B08"/>
    <w:rsid w:val="00F54AFF"/>
    <w:rsid w:val="00F66E80"/>
    <w:rsid w:val="00F670D5"/>
    <w:rsid w:val="00F73C87"/>
    <w:rsid w:val="00F73F76"/>
    <w:rsid w:val="00F74087"/>
    <w:rsid w:val="00F75DAE"/>
    <w:rsid w:val="00F764D3"/>
    <w:rsid w:val="00F807EB"/>
    <w:rsid w:val="00F93D9B"/>
    <w:rsid w:val="00F94E30"/>
    <w:rsid w:val="00F96A81"/>
    <w:rsid w:val="00FA4134"/>
    <w:rsid w:val="00FA4B19"/>
    <w:rsid w:val="00FA5CA2"/>
    <w:rsid w:val="00FB28B5"/>
    <w:rsid w:val="00FC0F9F"/>
    <w:rsid w:val="00FC73D6"/>
    <w:rsid w:val="00FC7B5A"/>
    <w:rsid w:val="00FD3950"/>
    <w:rsid w:val="00FE3B35"/>
    <w:rsid w:val="00FE46F7"/>
    <w:rsid w:val="00FF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90301"/>
  <w15:docId w15:val="{27CD8FA2-C38B-4B5C-89F7-5A72C99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4B"/>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13AC5"/>
    <w:pPr>
      <w:tabs>
        <w:tab w:val="left" w:pos="994"/>
        <w:tab w:val="left" w:pos="1320"/>
        <w:tab w:val="left" w:pos="1698"/>
        <w:tab w:val="left" w:pos="2076"/>
        <w:tab w:val="left" w:pos="2454"/>
      </w:tabs>
      <w:suppressAutoHyphens/>
      <w:ind w:left="994"/>
    </w:pPr>
    <w:rPr>
      <w:rFonts w:ascii="Times" w:hAnsi="Times" w:cs="Times"/>
      <w:sz w:val="22"/>
      <w:szCs w:val="22"/>
    </w:rPr>
  </w:style>
  <w:style w:type="paragraph" w:styleId="Header">
    <w:name w:val="header"/>
    <w:basedOn w:val="Normal"/>
    <w:link w:val="HeaderChar"/>
    <w:uiPriority w:val="99"/>
    <w:unhideWhenUsed/>
    <w:rsid w:val="00313AC5"/>
    <w:pPr>
      <w:tabs>
        <w:tab w:val="center" w:pos="4680"/>
        <w:tab w:val="right" w:pos="9360"/>
      </w:tabs>
    </w:pPr>
  </w:style>
  <w:style w:type="character" w:customStyle="1" w:styleId="HeaderChar">
    <w:name w:val="Header Char"/>
    <w:link w:val="Header"/>
    <w:uiPriority w:val="99"/>
    <w:rsid w:val="00313AC5"/>
    <w:rPr>
      <w:rFonts w:eastAsia="Times New Roman"/>
    </w:rPr>
  </w:style>
  <w:style w:type="paragraph" w:styleId="Footer">
    <w:name w:val="footer"/>
    <w:basedOn w:val="Normal"/>
    <w:link w:val="FooterChar"/>
    <w:uiPriority w:val="99"/>
    <w:unhideWhenUsed/>
    <w:rsid w:val="00313AC5"/>
    <w:pPr>
      <w:tabs>
        <w:tab w:val="center" w:pos="4680"/>
        <w:tab w:val="right" w:pos="9360"/>
      </w:tabs>
    </w:pPr>
  </w:style>
  <w:style w:type="character" w:customStyle="1" w:styleId="FooterChar">
    <w:name w:val="Footer Char"/>
    <w:link w:val="Footer"/>
    <w:uiPriority w:val="99"/>
    <w:rsid w:val="00313AC5"/>
    <w:rPr>
      <w:rFonts w:eastAsia="Times New Roman"/>
    </w:rPr>
  </w:style>
  <w:style w:type="paragraph" w:styleId="BalloonText">
    <w:name w:val="Balloon Text"/>
    <w:basedOn w:val="Normal"/>
    <w:link w:val="BalloonTextChar"/>
    <w:uiPriority w:val="99"/>
    <w:semiHidden/>
    <w:unhideWhenUsed/>
    <w:rsid w:val="00313AC5"/>
    <w:rPr>
      <w:rFonts w:ascii="Tahoma" w:hAnsi="Tahoma" w:cs="Tahoma"/>
      <w:sz w:val="16"/>
      <w:szCs w:val="16"/>
    </w:rPr>
  </w:style>
  <w:style w:type="character" w:customStyle="1" w:styleId="BalloonTextChar">
    <w:name w:val="Balloon Text Char"/>
    <w:link w:val="BalloonText"/>
    <w:uiPriority w:val="99"/>
    <w:semiHidden/>
    <w:rsid w:val="00313AC5"/>
    <w:rPr>
      <w:rFonts w:ascii="Tahoma" w:eastAsia="Times New Roman" w:hAnsi="Tahoma" w:cs="Tahoma"/>
      <w:sz w:val="16"/>
      <w:szCs w:val="16"/>
    </w:rPr>
  </w:style>
  <w:style w:type="paragraph" w:styleId="ListParagraph">
    <w:name w:val="List Paragraph"/>
    <w:basedOn w:val="Normal"/>
    <w:uiPriority w:val="1"/>
    <w:qFormat/>
    <w:rsid w:val="00B614BB"/>
    <w:pPr>
      <w:ind w:left="720"/>
    </w:pPr>
  </w:style>
  <w:style w:type="character" w:styleId="CommentReference">
    <w:name w:val="annotation reference"/>
    <w:uiPriority w:val="99"/>
    <w:semiHidden/>
    <w:unhideWhenUsed/>
    <w:rsid w:val="001B2BAB"/>
    <w:rPr>
      <w:sz w:val="16"/>
      <w:szCs w:val="16"/>
    </w:rPr>
  </w:style>
  <w:style w:type="paragraph" w:styleId="CommentText">
    <w:name w:val="annotation text"/>
    <w:basedOn w:val="Normal"/>
    <w:link w:val="CommentTextChar"/>
    <w:uiPriority w:val="99"/>
    <w:semiHidden/>
    <w:unhideWhenUsed/>
    <w:rsid w:val="001B2BAB"/>
  </w:style>
  <w:style w:type="character" w:customStyle="1" w:styleId="CommentTextChar">
    <w:name w:val="Comment Text Char"/>
    <w:link w:val="CommentText"/>
    <w:uiPriority w:val="99"/>
    <w:semiHidden/>
    <w:rsid w:val="001B2BAB"/>
    <w:rPr>
      <w:rFonts w:eastAsia="Times New Roman"/>
    </w:rPr>
  </w:style>
  <w:style w:type="paragraph" w:styleId="CommentSubject">
    <w:name w:val="annotation subject"/>
    <w:basedOn w:val="CommentText"/>
    <w:next w:val="CommentText"/>
    <w:link w:val="CommentSubjectChar"/>
    <w:uiPriority w:val="99"/>
    <w:semiHidden/>
    <w:unhideWhenUsed/>
    <w:rsid w:val="001B2BAB"/>
    <w:rPr>
      <w:b/>
      <w:bCs/>
    </w:rPr>
  </w:style>
  <w:style w:type="character" w:customStyle="1" w:styleId="CommentSubjectChar">
    <w:name w:val="Comment Subject Char"/>
    <w:link w:val="CommentSubject"/>
    <w:uiPriority w:val="99"/>
    <w:semiHidden/>
    <w:rsid w:val="001B2BAB"/>
    <w:rPr>
      <w:rFonts w:eastAsia="Times New Roman"/>
      <w:b/>
      <w:bCs/>
    </w:rPr>
  </w:style>
  <w:style w:type="paragraph" w:styleId="Revision">
    <w:name w:val="Revision"/>
    <w:hidden/>
    <w:uiPriority w:val="99"/>
    <w:semiHidden/>
    <w:rsid w:val="00C416C8"/>
    <w:rPr>
      <w:rFonts w:eastAsia="Times New Roman"/>
    </w:rPr>
  </w:style>
  <w:style w:type="character" w:customStyle="1" w:styleId="Style11ptUnderline">
    <w:name w:val="Style 11 pt Underline"/>
    <w:qFormat/>
    <w:rsid w:val="00673B5A"/>
    <w:rPr>
      <w:sz w:val="22"/>
      <w:u w:val="single"/>
    </w:rPr>
  </w:style>
  <w:style w:type="paragraph" w:styleId="BodyText">
    <w:name w:val="Body Text"/>
    <w:basedOn w:val="Normal"/>
    <w:link w:val="BodyTextChar"/>
    <w:uiPriority w:val="1"/>
    <w:semiHidden/>
    <w:unhideWhenUsed/>
    <w:qFormat/>
    <w:rsid w:val="008C3945"/>
    <w:pPr>
      <w:widowControl w:val="0"/>
      <w:autoSpaceDE w:val="0"/>
      <w:autoSpaceDN w:val="0"/>
    </w:pPr>
    <w:rPr>
      <w:rFonts w:ascii="Arial" w:eastAsia="Arial" w:hAnsi="Arial" w:cs="Arial"/>
      <w:sz w:val="14"/>
      <w:szCs w:val="14"/>
      <w:lang w:bidi="en-US"/>
    </w:rPr>
  </w:style>
  <w:style w:type="character" w:customStyle="1" w:styleId="BodyTextChar">
    <w:name w:val="Body Text Char"/>
    <w:link w:val="BodyText"/>
    <w:uiPriority w:val="1"/>
    <w:semiHidden/>
    <w:rsid w:val="008C3945"/>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8083">
      <w:bodyDiv w:val="1"/>
      <w:marLeft w:val="0"/>
      <w:marRight w:val="0"/>
      <w:marTop w:val="0"/>
      <w:marBottom w:val="0"/>
      <w:divBdr>
        <w:top w:val="none" w:sz="0" w:space="0" w:color="auto"/>
        <w:left w:val="none" w:sz="0" w:space="0" w:color="auto"/>
        <w:bottom w:val="none" w:sz="0" w:space="0" w:color="auto"/>
        <w:right w:val="none" w:sz="0" w:space="0" w:color="auto"/>
      </w:divBdr>
    </w:div>
    <w:div w:id="8353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495E-E60A-4F8A-9050-C47E8348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RLee</dc:creator>
  <cp:lastModifiedBy>Sousa, Pam (EHS)</cp:lastModifiedBy>
  <cp:revision>2</cp:revision>
  <cp:lastPrinted>2022-12-22T13:43:00Z</cp:lastPrinted>
  <dcterms:created xsi:type="dcterms:W3CDTF">2023-01-06T18:40:00Z</dcterms:created>
  <dcterms:modified xsi:type="dcterms:W3CDTF">2023-01-06T18:40:00Z</dcterms:modified>
</cp:coreProperties>
</file>