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D16" w:rsidRDefault="005D4D16" w:rsidP="005D4D16">
      <w:pPr>
        <w:spacing w:before="108" w:line="237" w:lineRule="auto"/>
        <w:ind w:left="109"/>
        <w:rPr>
          <w:rFonts w:ascii="Segoe UI Semibold" w:hAnsi="Segoe UI Semibold"/>
          <w:b/>
          <w:sz w:val="25"/>
        </w:rPr>
      </w:pPr>
      <w:r>
        <w:rPr>
          <w:rFonts w:ascii="Segoe UI Semibold" w:hAnsi="Segoe UI Semibold"/>
          <w:b/>
          <w:color w:val="32312F"/>
          <w:sz w:val="25"/>
        </w:rPr>
        <w:t>re: NASRCC Comments On DoN - Mass General Brigham Inc. – Multisite - 21012113-AS Application Independent Cost Analysis</w:t>
      </w:r>
    </w:p>
    <w:p w:rsidR="005D4D16" w:rsidRDefault="005D4D16" w:rsidP="005D4D16">
      <w:pPr>
        <w:pStyle w:val="BodyText"/>
        <w:spacing w:before="175"/>
        <w:ind w:left="109"/>
        <w:rPr>
          <w:rFonts w:ascii="Segoe UI"/>
        </w:rPr>
      </w:pPr>
      <w:hyperlink r:id="rId6">
        <w:r>
          <w:rPr>
            <w:rFonts w:ascii="Segoe UI"/>
          </w:rPr>
          <w:t>Joe O'Brien &lt;joeobrien@nasrcc.org&gt;</w:t>
        </w:r>
      </w:hyperlink>
    </w:p>
    <w:p w:rsidR="005D4D16" w:rsidRDefault="005D4D16" w:rsidP="005D4D16">
      <w:pPr>
        <w:spacing w:before="45"/>
        <w:ind w:left="109"/>
        <w:rPr>
          <w:rFonts w:ascii="Segoe UI"/>
          <w:sz w:val="18"/>
        </w:rPr>
      </w:pPr>
      <w:r>
        <w:rPr>
          <w:rFonts w:ascii="Segoe UI"/>
          <w:color w:val="605D5C"/>
          <w:sz w:val="18"/>
        </w:rPr>
        <w:t>Thu 1/27/2022 2:59 PM</w:t>
      </w:r>
    </w:p>
    <w:p w:rsidR="005D4D16" w:rsidRDefault="005D4D16" w:rsidP="005D4D16">
      <w:pPr>
        <w:spacing w:before="76"/>
        <w:ind w:left="109"/>
        <w:rPr>
          <w:rFonts w:ascii="Segoe UI Semibold"/>
          <w:b/>
          <w:sz w:val="18"/>
        </w:rPr>
      </w:pPr>
      <w:r>
        <w:rPr>
          <w:rFonts w:ascii="Segoe UI"/>
          <w:sz w:val="18"/>
        </w:rPr>
        <w:t xml:space="preserve">To: </w:t>
      </w:r>
      <w:r>
        <w:rPr>
          <w:rFonts w:ascii="Segoe UI Semibold"/>
          <w:b/>
          <w:sz w:val="18"/>
        </w:rPr>
        <w:t>DPH-DL - DoN Pr</w:t>
      </w:r>
      <w:hyperlink r:id="rId7">
        <w:r>
          <w:rPr>
            <w:rFonts w:ascii="Segoe UI Semibold"/>
            <w:b/>
            <w:sz w:val="18"/>
          </w:rPr>
          <w:t>ogram &lt;DPH.DON@MassMail.State.MA.US&gt;</w:t>
        </w:r>
      </w:hyperlink>
    </w:p>
    <w:p w:rsidR="005D4D16" w:rsidRDefault="005D4D16" w:rsidP="005D4D16">
      <w:pPr>
        <w:spacing w:before="61"/>
        <w:ind w:left="109"/>
        <w:rPr>
          <w:rFonts w:ascii="Segoe UI"/>
          <w:sz w:val="18"/>
        </w:rPr>
      </w:pPr>
      <w:r>
        <w:rPr>
          <w:rFonts w:ascii="Segoe UI"/>
          <w:sz w:val="18"/>
        </w:rPr>
        <w:t>Cc: Szent-G</w:t>
      </w:r>
      <w:hyperlink r:id="rId8">
        <w:r>
          <w:rPr>
            <w:rFonts w:ascii="Segoe UI"/>
            <w:sz w:val="18"/>
          </w:rPr>
          <w:t>yorgyi, Lara (DPH) &lt;Lara.Szent-G</w:t>
        </w:r>
      </w:hyperlink>
      <w:hyperlink r:id="rId9">
        <w:r>
          <w:rPr>
            <w:rFonts w:ascii="Segoe UI"/>
            <w:sz w:val="18"/>
          </w:rPr>
          <w:t>yorgyi@mass.gov&gt;</w:t>
        </w:r>
      </w:hyperlink>
    </w:p>
    <w:p w:rsidR="005D4D16" w:rsidRDefault="005D4D16" w:rsidP="005D4D16">
      <w:pPr>
        <w:spacing w:before="153" w:line="285" w:lineRule="auto"/>
        <w:ind w:left="154" w:right="9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p w:rsidR="005D4D16" w:rsidRDefault="005D4D16" w:rsidP="005D4D16">
      <w:pPr>
        <w:pStyle w:val="BodyText"/>
        <w:spacing w:before="5"/>
        <w:ind w:left="109"/>
      </w:pPr>
      <w:r>
        <w:rPr>
          <w:color w:val="201F1D"/>
        </w:rPr>
        <w:t>January 27, 2022</w:t>
      </w:r>
    </w:p>
    <w:p w:rsidR="005D4D16" w:rsidRDefault="005D4D16" w:rsidP="005D4D16">
      <w:pPr>
        <w:pStyle w:val="BodyText"/>
        <w:spacing w:before="3"/>
        <w:rPr>
          <w:sz w:val="23"/>
        </w:rPr>
      </w:pPr>
    </w:p>
    <w:p w:rsidR="005D4D16" w:rsidRDefault="005D4D16" w:rsidP="005D4D16">
      <w:pPr>
        <w:pStyle w:val="BodyText"/>
        <w:spacing w:line="232" w:lineRule="auto"/>
        <w:ind w:left="109" w:right="6901"/>
      </w:pPr>
      <w:r>
        <w:rPr>
          <w:color w:val="201F1D"/>
        </w:rPr>
        <w:t>Lara Szent-Gyorgyi, MPA Department of Public Health Determination of Need Program 67 Forest Street</w:t>
      </w:r>
    </w:p>
    <w:p w:rsidR="005D4D16" w:rsidRDefault="005D4D16" w:rsidP="005D4D16">
      <w:pPr>
        <w:pStyle w:val="BodyText"/>
        <w:spacing w:line="289" w:lineRule="exact"/>
        <w:ind w:left="109"/>
      </w:pPr>
      <w:r>
        <w:rPr>
          <w:color w:val="201F1D"/>
        </w:rPr>
        <w:t>Marlborough, MA 01752</w:t>
      </w:r>
    </w:p>
    <w:p w:rsidR="005D4D16" w:rsidRDefault="005D4D16" w:rsidP="005D4D16">
      <w:pPr>
        <w:pStyle w:val="BodyText"/>
        <w:spacing w:before="8"/>
        <w:rPr>
          <w:sz w:val="15"/>
        </w:rPr>
      </w:pPr>
    </w:p>
    <w:p w:rsidR="005D4D16" w:rsidRDefault="005D4D16" w:rsidP="005D4D16">
      <w:pPr>
        <w:rPr>
          <w:sz w:val="15"/>
        </w:rPr>
        <w:sectPr w:rsidR="005D4D16" w:rsidSect="005D4D16">
          <w:headerReference w:type="even" r:id="rId10"/>
          <w:headerReference w:type="default" r:id="rId11"/>
          <w:footerReference w:type="even" r:id="rId12"/>
          <w:footerReference w:type="default" r:id="rId13"/>
          <w:headerReference w:type="first" r:id="rId14"/>
          <w:footerReference w:type="first" r:id="rId15"/>
          <w:pgSz w:w="12240" w:h="15840"/>
          <w:pgMar w:top="540" w:right="880" w:bottom="480" w:left="980" w:header="274" w:footer="285" w:gutter="0"/>
          <w:pgNumType w:start="1"/>
          <w:cols w:space="720"/>
        </w:sectPr>
      </w:pPr>
    </w:p>
    <w:p w:rsidR="005D4D16" w:rsidRDefault="005D4D16" w:rsidP="005D4D16">
      <w:pPr>
        <w:pStyle w:val="BodyText"/>
        <w:spacing w:before="86"/>
        <w:ind w:left="109"/>
      </w:pPr>
      <w:r>
        <w:rPr>
          <w:color w:val="201F1D"/>
          <w:spacing w:val="-2"/>
        </w:rPr>
        <w:t>Re:</w:t>
      </w:r>
    </w:p>
    <w:p w:rsidR="005D4D16" w:rsidRDefault="005D4D16" w:rsidP="005D4D16">
      <w:pPr>
        <w:pStyle w:val="BodyText"/>
        <w:spacing w:before="93" w:line="232" w:lineRule="auto"/>
        <w:ind w:left="29" w:right="1605" w:firstLine="38"/>
      </w:pPr>
      <w:r>
        <w:br w:type="column"/>
      </w:r>
      <w:r>
        <w:rPr>
          <w:color w:val="201F1D"/>
          <w:spacing w:val="-148"/>
          <w:u w:val="single" w:color="201F1D"/>
        </w:rPr>
        <w:t>D</w:t>
      </w:r>
      <w:r>
        <w:rPr>
          <w:color w:val="201F1D"/>
          <w:spacing w:val="96"/>
        </w:rPr>
        <w:t xml:space="preserve"> </w:t>
      </w:r>
      <w:r>
        <w:rPr>
          <w:color w:val="201F1D"/>
          <w:u w:val="single" w:color="201F1D"/>
        </w:rPr>
        <w:t>oN - Mass General Br</w:t>
      </w:r>
      <w:r>
        <w:rPr>
          <w:color w:val="201F1D"/>
        </w:rPr>
        <w:t>ig</w:t>
      </w:r>
      <w:r>
        <w:rPr>
          <w:color w:val="201F1D"/>
          <w:u w:val="single" w:color="201F1D"/>
        </w:rPr>
        <w:t xml:space="preserve">ham Inc. – Multisite - 21012113-AS Application </w:t>
      </w:r>
      <w:r>
        <w:rPr>
          <w:color w:val="201F1D"/>
          <w:spacing w:val="-3"/>
          <w:u w:val="single" w:color="201F1D"/>
        </w:rPr>
        <w:t>Independent</w:t>
      </w:r>
      <w:r>
        <w:rPr>
          <w:color w:val="201F1D"/>
          <w:spacing w:val="-3"/>
        </w:rPr>
        <w:t xml:space="preserve"> </w:t>
      </w:r>
      <w:r>
        <w:rPr>
          <w:color w:val="201F1D"/>
          <w:spacing w:val="-128"/>
          <w:u w:val="single" w:color="201F1D"/>
        </w:rPr>
        <w:t>C</w:t>
      </w:r>
      <w:r>
        <w:rPr>
          <w:color w:val="201F1D"/>
          <w:spacing w:val="76"/>
        </w:rPr>
        <w:t xml:space="preserve"> </w:t>
      </w:r>
      <w:r>
        <w:rPr>
          <w:color w:val="201F1D"/>
          <w:u w:val="single" w:color="201F1D"/>
        </w:rPr>
        <w:t>ost-Anal</w:t>
      </w:r>
      <w:r>
        <w:rPr>
          <w:color w:val="201F1D"/>
        </w:rPr>
        <w:t>ysis Comment</w:t>
      </w:r>
    </w:p>
    <w:p w:rsidR="005D4D16" w:rsidRDefault="005D4D16" w:rsidP="005D4D16">
      <w:pPr>
        <w:spacing w:line="232" w:lineRule="auto"/>
        <w:sectPr w:rsidR="005D4D16">
          <w:type w:val="continuous"/>
          <w:pgSz w:w="12240" w:h="15840"/>
          <w:pgMar w:top="540" w:right="880" w:bottom="480" w:left="980" w:header="720" w:footer="720" w:gutter="0"/>
          <w:cols w:num="2" w:space="720" w:equalWidth="0">
            <w:col w:w="420" w:space="40"/>
            <w:col w:w="9920"/>
          </w:cols>
        </w:sectPr>
      </w:pPr>
    </w:p>
    <w:p w:rsidR="005D4D16" w:rsidRDefault="005D4D16" w:rsidP="005D4D16">
      <w:pPr>
        <w:pStyle w:val="BodyText"/>
        <w:spacing w:before="8"/>
        <w:rPr>
          <w:sz w:val="18"/>
        </w:rPr>
      </w:pPr>
    </w:p>
    <w:p w:rsidR="005D4D16" w:rsidRDefault="005D4D16" w:rsidP="005D4D16">
      <w:pPr>
        <w:pStyle w:val="BodyText"/>
        <w:spacing w:before="52"/>
        <w:ind w:left="109"/>
      </w:pPr>
      <w:r>
        <w:rPr>
          <w:color w:val="201F1D"/>
        </w:rPr>
        <w:t>Dear Ms. Szent-Gyorgyi:</w:t>
      </w:r>
    </w:p>
    <w:p w:rsidR="005D4D16" w:rsidRDefault="005D4D16" w:rsidP="005D4D16">
      <w:pPr>
        <w:pStyle w:val="BodyText"/>
        <w:spacing w:before="3"/>
        <w:rPr>
          <w:sz w:val="23"/>
        </w:rPr>
      </w:pPr>
    </w:p>
    <w:p w:rsidR="005D4D16" w:rsidRDefault="005D4D16" w:rsidP="005D4D16">
      <w:pPr>
        <w:pStyle w:val="BodyText"/>
        <w:spacing w:line="232" w:lineRule="auto"/>
        <w:ind w:left="109" w:right="103"/>
        <w:jc w:val="both"/>
      </w:pPr>
      <w:r>
        <w:rPr>
          <w:color w:val="201F1D"/>
        </w:rPr>
        <w:t xml:space="preserve">On behalf of the North Atlantic States Regional Council of Carpenters (“NASRCC”), </w:t>
      </w:r>
      <w:r>
        <w:rPr>
          <w:color w:val="201F1D"/>
          <w:spacing w:val="-8"/>
        </w:rPr>
        <w:t xml:space="preserve">Ten </w:t>
      </w:r>
      <w:r>
        <w:rPr>
          <w:color w:val="201F1D"/>
          <w:spacing w:val="-4"/>
        </w:rPr>
        <w:t xml:space="preserve">Taxpayer </w:t>
      </w:r>
      <w:r>
        <w:rPr>
          <w:color w:val="201F1D"/>
        </w:rPr>
        <w:t>Group, I write to comment on the Determination of Need Application ﬁled by Mass General Brigham Incorporated</w:t>
      </w:r>
      <w:r>
        <w:rPr>
          <w:color w:val="201F1D"/>
          <w:spacing w:val="-4"/>
        </w:rPr>
        <w:t xml:space="preserve"> </w:t>
      </w:r>
      <w:r>
        <w:rPr>
          <w:color w:val="201F1D"/>
        </w:rPr>
        <w:t>(“MGB”)</w:t>
      </w:r>
      <w:r>
        <w:rPr>
          <w:color w:val="201F1D"/>
          <w:spacing w:val="-4"/>
        </w:rPr>
        <w:t xml:space="preserve"> </w:t>
      </w:r>
      <w:r>
        <w:rPr>
          <w:color w:val="201F1D"/>
        </w:rPr>
        <w:t>that</w:t>
      </w:r>
      <w:r>
        <w:rPr>
          <w:color w:val="201F1D"/>
          <w:spacing w:val="-3"/>
        </w:rPr>
        <w:t xml:space="preserve"> </w:t>
      </w:r>
      <w:r>
        <w:rPr>
          <w:color w:val="201F1D"/>
        </w:rPr>
        <w:t>proposes</w:t>
      </w:r>
      <w:r>
        <w:rPr>
          <w:color w:val="201F1D"/>
          <w:spacing w:val="-4"/>
        </w:rPr>
        <w:t xml:space="preserve"> </w:t>
      </w:r>
      <w:r>
        <w:rPr>
          <w:color w:val="201F1D"/>
        </w:rPr>
        <w:t>the</w:t>
      </w:r>
      <w:r>
        <w:rPr>
          <w:color w:val="201F1D"/>
          <w:spacing w:val="-3"/>
        </w:rPr>
        <w:t xml:space="preserve"> </w:t>
      </w:r>
      <w:r>
        <w:rPr>
          <w:color w:val="201F1D"/>
        </w:rPr>
        <w:t>construction</w:t>
      </w:r>
      <w:r>
        <w:rPr>
          <w:color w:val="201F1D"/>
          <w:spacing w:val="-4"/>
        </w:rPr>
        <w:t xml:space="preserve"> </w:t>
      </w:r>
      <w:r>
        <w:rPr>
          <w:color w:val="201F1D"/>
        </w:rPr>
        <w:t>of</w:t>
      </w:r>
      <w:r>
        <w:rPr>
          <w:color w:val="201F1D"/>
          <w:spacing w:val="-3"/>
        </w:rPr>
        <w:t xml:space="preserve"> </w:t>
      </w:r>
      <w:r>
        <w:rPr>
          <w:color w:val="201F1D"/>
        </w:rPr>
        <w:t>three</w:t>
      </w:r>
      <w:r>
        <w:rPr>
          <w:color w:val="201F1D"/>
          <w:spacing w:val="-4"/>
        </w:rPr>
        <w:t xml:space="preserve"> </w:t>
      </w:r>
      <w:r>
        <w:rPr>
          <w:color w:val="201F1D"/>
        </w:rPr>
        <w:t>ambulatory</w:t>
      </w:r>
      <w:r>
        <w:rPr>
          <w:color w:val="201F1D"/>
          <w:spacing w:val="-3"/>
        </w:rPr>
        <w:t xml:space="preserve"> </w:t>
      </w:r>
      <w:r>
        <w:rPr>
          <w:color w:val="201F1D"/>
        </w:rPr>
        <w:t>care</w:t>
      </w:r>
      <w:r>
        <w:rPr>
          <w:color w:val="201F1D"/>
          <w:spacing w:val="-4"/>
        </w:rPr>
        <w:t xml:space="preserve"> </w:t>
      </w:r>
      <w:r>
        <w:rPr>
          <w:color w:val="201F1D"/>
        </w:rPr>
        <w:t>centers</w:t>
      </w:r>
      <w:r>
        <w:rPr>
          <w:color w:val="201F1D"/>
          <w:spacing w:val="-3"/>
        </w:rPr>
        <w:t xml:space="preserve"> </w:t>
      </w:r>
      <w:r>
        <w:rPr>
          <w:color w:val="201F1D"/>
        </w:rPr>
        <w:t>in</w:t>
      </w:r>
      <w:r>
        <w:rPr>
          <w:color w:val="201F1D"/>
          <w:spacing w:val="-4"/>
        </w:rPr>
        <w:t xml:space="preserve"> </w:t>
      </w:r>
      <w:r>
        <w:rPr>
          <w:color w:val="201F1D"/>
        </w:rPr>
        <w:t xml:space="preserve">Westborough, Westwood, and Woburn (the “Proposed Ambulatory Care Centers”), and the Independent Cost Analysis (“ICA”) obtained by the Department of Public Health related to this project. </w:t>
      </w:r>
      <w:r>
        <w:rPr>
          <w:color w:val="201F1D"/>
          <w:spacing w:val="-5"/>
        </w:rPr>
        <w:t xml:space="preserve">We </w:t>
      </w:r>
      <w:r>
        <w:rPr>
          <w:color w:val="201F1D"/>
        </w:rPr>
        <w:t xml:space="preserve">are supporting this project because we believe it will improve access and care for our members who live close to these proposed facilities and will also create hundreds of jobs that provide </w:t>
      </w:r>
      <w:r>
        <w:rPr>
          <w:color w:val="201F1D"/>
          <w:spacing w:val="-3"/>
        </w:rPr>
        <w:t xml:space="preserve">workers </w:t>
      </w:r>
      <w:r>
        <w:rPr>
          <w:color w:val="201F1D"/>
        </w:rPr>
        <w:t>with living wages, healthcare, and</w:t>
      </w:r>
      <w:r>
        <w:rPr>
          <w:color w:val="201F1D"/>
          <w:spacing w:val="-1"/>
        </w:rPr>
        <w:t xml:space="preserve"> </w:t>
      </w:r>
      <w:r>
        <w:rPr>
          <w:color w:val="201F1D"/>
        </w:rPr>
        <w:t>pensions.</w:t>
      </w:r>
    </w:p>
    <w:p w:rsidR="005D4D16" w:rsidRDefault="005D4D16" w:rsidP="005D4D16">
      <w:pPr>
        <w:pStyle w:val="BodyText"/>
        <w:spacing w:before="10"/>
        <w:rPr>
          <w:sz w:val="23"/>
        </w:rPr>
      </w:pPr>
    </w:p>
    <w:p w:rsidR="005D4D16" w:rsidRDefault="005D4D16" w:rsidP="005D4D16">
      <w:pPr>
        <w:pStyle w:val="BodyText"/>
        <w:spacing w:before="1" w:line="232" w:lineRule="auto"/>
        <w:ind w:left="109" w:right="101"/>
        <w:jc w:val="both"/>
      </w:pPr>
      <w:r>
        <w:rPr>
          <w:color w:val="201F1D"/>
        </w:rPr>
        <w:t>As a union that spends more than $170 million dollars a year to provide health care to our member, we were pleased to see that the Independent Cost Analysis (“ICA”) concluded the project would be consistent with the health care cost containment goals of the State of Massachusetts.</w:t>
      </w:r>
    </w:p>
    <w:p w:rsidR="005D4D16" w:rsidRDefault="005D4D16" w:rsidP="005D4D16">
      <w:pPr>
        <w:pStyle w:val="BodyText"/>
        <w:spacing w:before="6"/>
        <w:rPr>
          <w:sz w:val="23"/>
        </w:rPr>
      </w:pPr>
    </w:p>
    <w:p w:rsidR="005D4D16" w:rsidRDefault="005D4D16" w:rsidP="005D4D16">
      <w:pPr>
        <w:pStyle w:val="BodyText"/>
        <w:spacing w:line="232" w:lineRule="auto"/>
        <w:ind w:left="109" w:right="98"/>
        <w:jc w:val="both"/>
      </w:pPr>
      <w:r>
        <w:rPr>
          <w:color w:val="201F1D"/>
        </w:rPr>
        <w:t>The ICA also concluded that the proposed project will likely result in modest savings for the 227,000 existing MGB patients who live in the communities surrounding the Proposed Ambulatory Care Centers. Currently, these patients may have to travel signiﬁcant distances at great inconvenience and expense to get high quality care at an MGB hospital or other MGB location. The proposed Ambulatory Care Centers will make care available closer to home at a lower cost. Moreover, the ICA concluded that the proposed project will not increase MGB’s bargaining power with commercial health insurance companies.</w:t>
      </w:r>
    </w:p>
    <w:p w:rsidR="005D4D16" w:rsidRDefault="005D4D16" w:rsidP="005D4D16">
      <w:pPr>
        <w:pStyle w:val="BodyText"/>
        <w:spacing w:before="9"/>
        <w:rPr>
          <w:sz w:val="23"/>
        </w:rPr>
      </w:pPr>
    </w:p>
    <w:p w:rsidR="005D4D16" w:rsidRDefault="005D4D16" w:rsidP="005D4D16">
      <w:pPr>
        <w:pStyle w:val="BodyText"/>
        <w:spacing w:line="232" w:lineRule="auto"/>
        <w:ind w:left="109" w:right="108"/>
        <w:jc w:val="both"/>
      </w:pPr>
      <w:r>
        <w:rPr>
          <w:color w:val="201F1D"/>
        </w:rPr>
        <w:t>In conclusion, we want to reiterate our continued support and urge the Department of Public Health to approve this critically needed project.</w:t>
      </w:r>
    </w:p>
    <w:p w:rsidR="005D4D16" w:rsidRDefault="005D4D16" w:rsidP="005D4D16">
      <w:pPr>
        <w:pStyle w:val="BodyText"/>
        <w:spacing w:before="11"/>
        <w:rPr>
          <w:sz w:val="22"/>
        </w:rPr>
      </w:pPr>
    </w:p>
    <w:p w:rsidR="005D4D16" w:rsidRDefault="005D4D16" w:rsidP="005D4D16">
      <w:pPr>
        <w:pStyle w:val="BodyText"/>
        <w:spacing w:before="1"/>
        <w:ind w:left="109"/>
      </w:pPr>
      <w:r>
        <w:rPr>
          <w:color w:val="201F1D"/>
        </w:rPr>
        <w:t>Sincerely,</w:t>
      </w:r>
    </w:p>
    <w:p w:rsidR="005D4D16" w:rsidRDefault="005D4D16" w:rsidP="005D4D16">
      <w:pPr>
        <w:pStyle w:val="BodyText"/>
        <w:spacing w:before="9"/>
        <w:rPr>
          <w:sz w:val="21"/>
        </w:rPr>
      </w:pPr>
    </w:p>
    <w:p w:rsidR="005D4D16" w:rsidRDefault="005D4D16" w:rsidP="005D4D16">
      <w:pPr>
        <w:ind w:left="109"/>
        <w:rPr>
          <w:b/>
          <w:i/>
        </w:rPr>
      </w:pPr>
      <w:r>
        <w:rPr>
          <w:b/>
          <w:i/>
          <w:color w:val="823C0A"/>
        </w:rPr>
        <w:t>Joe O’Brien|Political and Legislative Director</w:t>
      </w:r>
    </w:p>
    <w:p w:rsidR="005D4D16" w:rsidRDefault="005D4D16" w:rsidP="005D4D16">
      <w:pPr>
        <w:sectPr w:rsidR="005D4D16">
          <w:type w:val="continuous"/>
          <w:pgSz w:w="12240" w:h="15840"/>
          <w:pgMar w:top="540" w:right="880" w:bottom="480" w:left="980" w:header="720" w:footer="720" w:gutter="0"/>
          <w:cols w:space="720"/>
        </w:sectPr>
      </w:pPr>
    </w:p>
    <w:p w:rsidR="005D4D16" w:rsidRDefault="005D4D16" w:rsidP="005D4D16">
      <w:pPr>
        <w:spacing w:before="49"/>
        <w:ind w:left="109"/>
        <w:rPr>
          <w:b/>
          <w:i/>
          <w:sz w:val="20"/>
        </w:rPr>
      </w:pPr>
      <w:r>
        <w:rPr>
          <w:b/>
          <w:i/>
          <w:color w:val="201F1D"/>
          <w:sz w:val="20"/>
        </w:rPr>
        <w:lastRenderedPageBreak/>
        <w:t>North Atlantic States Regional Council of Carpenters</w:t>
      </w:r>
    </w:p>
    <w:p w:rsidR="005D4D16" w:rsidRDefault="005D4D16" w:rsidP="005D4D16">
      <w:pPr>
        <w:spacing w:before="45"/>
        <w:ind w:left="109"/>
        <w:rPr>
          <w:sz w:val="18"/>
        </w:rPr>
      </w:pPr>
      <w:r>
        <w:rPr>
          <w:color w:val="201F1D"/>
          <w:sz w:val="18"/>
        </w:rPr>
        <w:t>750 Dorchester Ave | Boston, MA 02125</w:t>
      </w:r>
    </w:p>
    <w:p w:rsidR="005D4D16" w:rsidRDefault="005D4D16" w:rsidP="005D4D16">
      <w:pPr>
        <w:spacing w:before="50"/>
        <w:ind w:left="109"/>
        <w:rPr>
          <w:sz w:val="18"/>
        </w:rPr>
      </w:pPr>
      <w:r>
        <w:rPr>
          <w:color w:val="201F1D"/>
          <w:sz w:val="18"/>
        </w:rPr>
        <w:t xml:space="preserve">(508) 335-8768 | </w:t>
      </w:r>
      <w:hyperlink r:id="rId16">
        <w:r>
          <w:rPr>
            <w:color w:val="0462C1"/>
            <w:sz w:val="18"/>
          </w:rPr>
          <w:t>j</w:t>
        </w:r>
        <w:r>
          <w:rPr>
            <w:color w:val="0462C1"/>
            <w:sz w:val="18"/>
            <w:u w:val="single" w:color="0000ED"/>
          </w:rPr>
          <w:t>oeobrien@nasrcc.org</w:t>
        </w:r>
      </w:hyperlink>
    </w:p>
    <w:p w:rsidR="005D4D16" w:rsidRDefault="00DB22D9" w:rsidP="005D4D16">
      <w:pPr>
        <w:pStyle w:val="BodyText"/>
        <w:spacing w:before="11"/>
        <w:rPr>
          <w:sz w:val="19"/>
        </w:rPr>
      </w:pPr>
      <w:r>
        <w:rPr>
          <w:noProof/>
          <w:sz w:val="19"/>
        </w:rPr>
        <w:drawing>
          <wp:inline distT="0" distB="0" distL="0" distR="0">
            <wp:extent cx="1943100" cy="438150"/>
            <wp:effectExtent l="0" t="0" r="0" b="0"/>
            <wp:docPr id="2" name="Picture 4" descr="North Atlantic States Regional Council of Carpenters logo" title="North Atlantic States Regional Council of Carp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19"/>
        </w:rPr>
        <w:drawing>
          <wp:inline distT="0" distB="0" distL="0" distR="0">
            <wp:extent cx="476250" cy="485775"/>
            <wp:effectExtent l="0" t="0" r="0" b="9525"/>
            <wp:docPr id="3" name="Picture 5" descr="Facebook icon" title="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Start w:id="0" w:name="_GoBack"/>
      <w:r>
        <w:rPr>
          <w:noProof/>
          <w:sz w:val="19"/>
        </w:rPr>
        <w:drawing>
          <wp:inline distT="0" distB="0" distL="0" distR="0">
            <wp:extent cx="1371600" cy="457200"/>
            <wp:effectExtent l="0" t="0" r="0" b="0"/>
            <wp:docPr id="4" name="Picture 6" descr="Instagram, Twitter, and YouTube icons" title="Instagram, Twitter, and YouTub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End w:id="0"/>
    </w:p>
    <w:p w:rsidR="00CE74F8" w:rsidRDefault="00CE74F8"/>
    <w:sectPr w:rsidR="00CE74F8">
      <w:pgSz w:w="12240" w:h="15840"/>
      <w:pgMar w:top="540" w:right="880" w:bottom="480" w:left="9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D16" w:rsidRDefault="005D4D16" w:rsidP="005D4D16">
      <w:r>
        <w:separator/>
      </w:r>
    </w:p>
  </w:endnote>
  <w:endnote w:type="continuationSeparator" w:id="0">
    <w:p w:rsidR="005D4D16" w:rsidRDefault="005D4D16" w:rsidP="005D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16" w:rsidRDefault="005D4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A3" w:rsidRDefault="00B4750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16" w:rsidRDefault="005D4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D16" w:rsidRDefault="005D4D16" w:rsidP="005D4D16">
      <w:r>
        <w:separator/>
      </w:r>
    </w:p>
  </w:footnote>
  <w:footnote w:type="continuationSeparator" w:id="0">
    <w:p w:rsidR="005D4D16" w:rsidRDefault="005D4D16" w:rsidP="005D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16" w:rsidRDefault="005D4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A3" w:rsidRDefault="00B4750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16" w:rsidRDefault="005D4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16"/>
    <w:rsid w:val="005D4D16"/>
    <w:rsid w:val="00697192"/>
    <w:rsid w:val="00CE74F8"/>
    <w:rsid w:val="00DB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3284BB3"/>
  <w15:chartTrackingRefBased/>
  <w15:docId w15:val="{CC113A01-B500-4B85-B38A-5180D61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5D4D1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4D16"/>
    <w:rPr>
      <w:sz w:val="24"/>
      <w:szCs w:val="24"/>
    </w:rPr>
  </w:style>
  <w:style w:type="character" w:customStyle="1" w:styleId="BodyTextChar">
    <w:name w:val="Body Text Char"/>
    <w:basedOn w:val="DefaultParagraphFont"/>
    <w:link w:val="BodyText"/>
    <w:uiPriority w:val="1"/>
    <w:rsid w:val="005D4D16"/>
    <w:rPr>
      <w:rFonts w:ascii="Calibri" w:eastAsia="Calibri" w:hAnsi="Calibri" w:cs="Calibri"/>
      <w:sz w:val="24"/>
      <w:szCs w:val="24"/>
    </w:rPr>
  </w:style>
  <w:style w:type="paragraph" w:styleId="Header">
    <w:name w:val="header"/>
    <w:basedOn w:val="Normal"/>
    <w:link w:val="HeaderChar"/>
    <w:uiPriority w:val="99"/>
    <w:unhideWhenUsed/>
    <w:rsid w:val="005D4D16"/>
    <w:pPr>
      <w:tabs>
        <w:tab w:val="center" w:pos="4680"/>
        <w:tab w:val="right" w:pos="9360"/>
      </w:tabs>
    </w:pPr>
  </w:style>
  <w:style w:type="character" w:customStyle="1" w:styleId="HeaderChar">
    <w:name w:val="Header Char"/>
    <w:basedOn w:val="DefaultParagraphFont"/>
    <w:link w:val="Header"/>
    <w:uiPriority w:val="99"/>
    <w:rsid w:val="005D4D16"/>
    <w:rPr>
      <w:rFonts w:ascii="Calibri" w:eastAsia="Calibri" w:hAnsi="Calibri" w:cs="Calibri"/>
    </w:rPr>
  </w:style>
  <w:style w:type="paragraph" w:styleId="Footer">
    <w:name w:val="footer"/>
    <w:basedOn w:val="Normal"/>
    <w:link w:val="FooterChar"/>
    <w:uiPriority w:val="99"/>
    <w:unhideWhenUsed/>
    <w:rsid w:val="005D4D16"/>
    <w:pPr>
      <w:tabs>
        <w:tab w:val="center" w:pos="4680"/>
        <w:tab w:val="right" w:pos="9360"/>
      </w:tabs>
    </w:pPr>
  </w:style>
  <w:style w:type="character" w:customStyle="1" w:styleId="FooterChar">
    <w:name w:val="Footer Char"/>
    <w:basedOn w:val="DefaultParagraphFont"/>
    <w:link w:val="Footer"/>
    <w:uiPriority w:val="99"/>
    <w:rsid w:val="005D4D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Szent-Gyorgyi@mass.gov" TargetMode="Externa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DPH.DON@MassMail.State.MA.US" TargetMode="Externa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mailto:joeobrien@nasrcc.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oeobrien@nasrcc.or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yorgyi@mas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2022-01-31T20:32:00Z</dcterms:created>
  <dcterms:modified xsi:type="dcterms:W3CDTF">2022-01-31T20:39:00Z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