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B5EBD" w14:textId="77777777" w:rsidR="00B707B7" w:rsidRPr="001D2881" w:rsidRDefault="00B707B7" w:rsidP="00B707B7">
      <w:pPr>
        <w:jc w:val="both"/>
      </w:pPr>
      <w:bookmarkStart w:id="0" w:name="_GoBack"/>
      <w:bookmarkEnd w:id="0"/>
    </w:p>
    <w:p w14:paraId="737E73EA" w14:textId="77777777" w:rsidR="00B707B7" w:rsidRPr="001D2881" w:rsidRDefault="00B707B7" w:rsidP="00B707B7">
      <w:pPr>
        <w:jc w:val="both"/>
      </w:pPr>
    </w:p>
    <w:p w14:paraId="5531D091" w14:textId="77777777" w:rsidR="00B707B7" w:rsidRPr="001D2881" w:rsidRDefault="00B707B7" w:rsidP="00B707B7">
      <w:pPr>
        <w:jc w:val="both"/>
      </w:pPr>
    </w:p>
    <w:p w14:paraId="731B2E8D" w14:textId="77777777" w:rsidR="00B707B7" w:rsidRPr="001D2881" w:rsidRDefault="00B707B7" w:rsidP="00B707B7">
      <w:pPr>
        <w:jc w:val="both"/>
      </w:pPr>
    </w:p>
    <w:p w14:paraId="74D5DC4B" w14:textId="77777777" w:rsidR="00B707B7" w:rsidRPr="001D2881" w:rsidRDefault="00B707B7" w:rsidP="00B707B7">
      <w:pPr>
        <w:jc w:val="both"/>
      </w:pPr>
    </w:p>
    <w:p w14:paraId="4B7119DD" w14:textId="77777777" w:rsidR="00B707B7" w:rsidRPr="001D2881" w:rsidRDefault="00B707B7" w:rsidP="00B707B7">
      <w:pPr>
        <w:tabs>
          <w:tab w:val="center" w:pos="4680"/>
        </w:tabs>
        <w:jc w:val="both"/>
        <w:rPr>
          <w:b/>
          <w:bCs/>
          <w:sz w:val="36"/>
          <w:szCs w:val="36"/>
        </w:rPr>
      </w:pPr>
      <w:r w:rsidRPr="001D2881">
        <w:rPr>
          <w:sz w:val="36"/>
          <w:szCs w:val="36"/>
        </w:rPr>
        <w:tab/>
      </w:r>
      <w:r w:rsidRPr="001D2881">
        <w:rPr>
          <w:b/>
          <w:bCs/>
          <w:sz w:val="36"/>
          <w:szCs w:val="36"/>
        </w:rPr>
        <w:t>PUBLIC DISCLOSURE</w:t>
      </w:r>
    </w:p>
    <w:p w14:paraId="4CFA0D6C" w14:textId="77777777" w:rsidR="00B707B7" w:rsidRPr="001D2881" w:rsidRDefault="00B707B7" w:rsidP="00B707B7">
      <w:pPr>
        <w:jc w:val="both"/>
      </w:pPr>
    </w:p>
    <w:p w14:paraId="2FE1D5C8" w14:textId="77777777" w:rsidR="00B707B7" w:rsidRPr="001D2881" w:rsidRDefault="00B707B7" w:rsidP="00B707B7">
      <w:pPr>
        <w:jc w:val="both"/>
      </w:pPr>
    </w:p>
    <w:p w14:paraId="05D32291" w14:textId="77777777" w:rsidR="00B707B7" w:rsidRPr="001D2881" w:rsidRDefault="00B707B7" w:rsidP="00B707B7">
      <w:pPr>
        <w:jc w:val="both"/>
      </w:pPr>
    </w:p>
    <w:p w14:paraId="0FE1BE0A" w14:textId="77777777" w:rsidR="00B707B7" w:rsidRPr="001D2881" w:rsidRDefault="00B707B7" w:rsidP="00B707B7">
      <w:pPr>
        <w:jc w:val="both"/>
      </w:pPr>
    </w:p>
    <w:p w14:paraId="6244434C" w14:textId="77777777" w:rsidR="00B707B7" w:rsidRPr="001D2881" w:rsidRDefault="00B707B7" w:rsidP="00B707B7">
      <w:pPr>
        <w:tabs>
          <w:tab w:val="center" w:pos="4680"/>
        </w:tabs>
        <w:jc w:val="both"/>
      </w:pPr>
      <w:r w:rsidRPr="001D2881">
        <w:rPr>
          <w:sz w:val="36"/>
          <w:szCs w:val="36"/>
        </w:rPr>
        <w:tab/>
      </w:r>
      <w:r w:rsidRPr="00BC45CE">
        <w:t>November 2, 2020</w:t>
      </w:r>
    </w:p>
    <w:p w14:paraId="6FD6A741" w14:textId="77777777" w:rsidR="00B707B7" w:rsidRPr="001D2881" w:rsidRDefault="00B707B7" w:rsidP="00B707B7">
      <w:pPr>
        <w:jc w:val="both"/>
      </w:pPr>
    </w:p>
    <w:p w14:paraId="18DB50FE" w14:textId="77777777" w:rsidR="00B707B7" w:rsidRPr="001D2881" w:rsidRDefault="00B707B7" w:rsidP="00B707B7">
      <w:pPr>
        <w:jc w:val="both"/>
      </w:pPr>
    </w:p>
    <w:p w14:paraId="30BED4CD" w14:textId="77777777" w:rsidR="00B707B7" w:rsidRPr="001D2881" w:rsidRDefault="00B707B7" w:rsidP="00B707B7">
      <w:pPr>
        <w:jc w:val="both"/>
      </w:pPr>
    </w:p>
    <w:p w14:paraId="23F67C9D" w14:textId="77777777" w:rsidR="00B707B7" w:rsidRPr="001D2881" w:rsidRDefault="00B707B7" w:rsidP="00B707B7">
      <w:pPr>
        <w:jc w:val="both"/>
      </w:pPr>
    </w:p>
    <w:p w14:paraId="42175918" w14:textId="77777777" w:rsidR="00B707B7" w:rsidRPr="001D2881" w:rsidRDefault="00B707B7" w:rsidP="00B707B7">
      <w:pPr>
        <w:tabs>
          <w:tab w:val="center" w:pos="4680"/>
        </w:tabs>
        <w:jc w:val="both"/>
        <w:rPr>
          <w:b/>
          <w:bCs/>
          <w:sz w:val="36"/>
          <w:szCs w:val="36"/>
        </w:rPr>
      </w:pPr>
      <w:r w:rsidRPr="001D2881">
        <w:tab/>
      </w:r>
      <w:r w:rsidRPr="001D2881">
        <w:rPr>
          <w:b/>
          <w:bCs/>
          <w:sz w:val="36"/>
          <w:szCs w:val="36"/>
        </w:rPr>
        <w:t>COMMUNITY REINVESTMENT ACT</w:t>
      </w:r>
    </w:p>
    <w:p w14:paraId="14C1C131" w14:textId="77777777" w:rsidR="00B707B7" w:rsidRPr="001D2881" w:rsidRDefault="00B707B7" w:rsidP="00B707B7">
      <w:pPr>
        <w:tabs>
          <w:tab w:val="center" w:pos="4680"/>
        </w:tabs>
        <w:jc w:val="both"/>
        <w:rPr>
          <w:sz w:val="36"/>
          <w:szCs w:val="36"/>
        </w:rPr>
      </w:pPr>
      <w:r w:rsidRPr="001D2881">
        <w:rPr>
          <w:b/>
          <w:bCs/>
          <w:sz w:val="36"/>
          <w:szCs w:val="36"/>
        </w:rPr>
        <w:tab/>
        <w:t>PERFORMANCE EVALUATION</w:t>
      </w:r>
    </w:p>
    <w:p w14:paraId="681D359D" w14:textId="77777777" w:rsidR="00B707B7" w:rsidRPr="001D2881" w:rsidRDefault="00B707B7" w:rsidP="00B707B7"/>
    <w:p w14:paraId="439EA672" w14:textId="77777777" w:rsidR="00B707B7" w:rsidRPr="001D2881" w:rsidRDefault="00B707B7" w:rsidP="00B707B7">
      <w:pPr>
        <w:tabs>
          <w:tab w:val="center" w:pos="4680"/>
        </w:tabs>
      </w:pPr>
    </w:p>
    <w:p w14:paraId="38643829" w14:textId="77777777" w:rsidR="00B707B7" w:rsidRPr="001D2881" w:rsidRDefault="00B707B7" w:rsidP="00B707B7"/>
    <w:p w14:paraId="77CB4114" w14:textId="77777777" w:rsidR="00B707B7" w:rsidRPr="001D2881" w:rsidRDefault="00B707B7" w:rsidP="00B707B7">
      <w:pPr>
        <w:tabs>
          <w:tab w:val="center" w:pos="4680"/>
        </w:tabs>
        <w:jc w:val="both"/>
      </w:pPr>
      <w:r w:rsidRPr="001D2881">
        <w:rPr>
          <w:b/>
          <w:bCs/>
        </w:rPr>
        <w:tab/>
      </w:r>
      <w:r w:rsidRPr="001D2881">
        <w:t>North Easton Savings Bank</w:t>
      </w:r>
    </w:p>
    <w:p w14:paraId="4B8C8158" w14:textId="77777777" w:rsidR="00B707B7" w:rsidRPr="001D2881" w:rsidRDefault="00B707B7" w:rsidP="00B707B7">
      <w:pPr>
        <w:tabs>
          <w:tab w:val="center" w:pos="4680"/>
        </w:tabs>
        <w:jc w:val="both"/>
      </w:pPr>
      <w:r w:rsidRPr="001D2881">
        <w:tab/>
        <w:t xml:space="preserve">Certificate Number:  </w:t>
      </w:r>
      <w:r w:rsidRPr="00BC45CE">
        <w:t>90259</w:t>
      </w:r>
    </w:p>
    <w:p w14:paraId="684AE828" w14:textId="77777777" w:rsidR="00B707B7" w:rsidRPr="001D2881" w:rsidRDefault="00B707B7" w:rsidP="00B707B7">
      <w:pPr>
        <w:jc w:val="both"/>
      </w:pPr>
    </w:p>
    <w:p w14:paraId="1CB9228C" w14:textId="77777777" w:rsidR="00B707B7" w:rsidRPr="001D2881" w:rsidRDefault="00B707B7" w:rsidP="00B707B7">
      <w:pPr>
        <w:tabs>
          <w:tab w:val="center" w:pos="4680"/>
        </w:tabs>
        <w:jc w:val="center"/>
      </w:pPr>
      <w:r w:rsidRPr="001D2881">
        <w:t>20 Eastman Street</w:t>
      </w:r>
    </w:p>
    <w:p w14:paraId="056F0A70" w14:textId="333710CC" w:rsidR="00B707B7" w:rsidRPr="001D2881" w:rsidRDefault="00B707B7" w:rsidP="00B707B7">
      <w:pPr>
        <w:tabs>
          <w:tab w:val="left" w:pos="5175"/>
        </w:tabs>
        <w:jc w:val="center"/>
      </w:pPr>
      <w:r w:rsidRPr="001D2881">
        <w:t xml:space="preserve">South Easton, </w:t>
      </w:r>
      <w:r w:rsidR="00D76C29">
        <w:t>Massachusetts</w:t>
      </w:r>
      <w:r w:rsidR="00D76C29" w:rsidRPr="001D2881">
        <w:t xml:space="preserve"> </w:t>
      </w:r>
      <w:r w:rsidRPr="001D2881">
        <w:t>02375</w:t>
      </w:r>
    </w:p>
    <w:p w14:paraId="0FF0194C" w14:textId="77777777" w:rsidR="00B707B7" w:rsidRPr="001D2881" w:rsidRDefault="00B707B7" w:rsidP="00B707B7">
      <w:pPr>
        <w:tabs>
          <w:tab w:val="center" w:pos="4680"/>
        </w:tabs>
      </w:pPr>
    </w:p>
    <w:p w14:paraId="09072B57" w14:textId="77777777" w:rsidR="00B707B7" w:rsidRPr="001D2881" w:rsidRDefault="00B707B7" w:rsidP="00B707B7">
      <w:pPr>
        <w:tabs>
          <w:tab w:val="center" w:pos="4680"/>
        </w:tabs>
      </w:pPr>
    </w:p>
    <w:p w14:paraId="73165AF4" w14:textId="77777777" w:rsidR="00B707B7" w:rsidRPr="001D2881" w:rsidRDefault="00B707B7" w:rsidP="00B707B7">
      <w:pPr>
        <w:tabs>
          <w:tab w:val="center" w:pos="4680"/>
        </w:tabs>
      </w:pPr>
    </w:p>
    <w:p w14:paraId="3BAC453E" w14:textId="77777777" w:rsidR="00B707B7" w:rsidRPr="001D2881" w:rsidRDefault="00B707B7" w:rsidP="00B707B7">
      <w:pPr>
        <w:tabs>
          <w:tab w:val="center" w:pos="4680"/>
        </w:tabs>
      </w:pPr>
    </w:p>
    <w:tbl>
      <w:tblPr>
        <w:tblW w:w="0" w:type="auto"/>
        <w:tblLayout w:type="fixed"/>
        <w:tblLook w:val="01E0" w:firstRow="1" w:lastRow="1" w:firstColumn="1" w:lastColumn="1" w:noHBand="0" w:noVBand="0"/>
      </w:tblPr>
      <w:tblGrid>
        <w:gridCol w:w="4552"/>
        <w:gridCol w:w="4553"/>
      </w:tblGrid>
      <w:tr w:rsidR="00B707B7" w:rsidRPr="001D2881" w14:paraId="249BBA33" w14:textId="77777777" w:rsidTr="00E444B1">
        <w:trPr>
          <w:cantSplit/>
        </w:trPr>
        <w:tc>
          <w:tcPr>
            <w:tcW w:w="4552" w:type="dxa"/>
            <w:hideMark/>
          </w:tcPr>
          <w:p w14:paraId="5AE92613" w14:textId="77777777" w:rsidR="00B707B7" w:rsidRPr="001D2881" w:rsidRDefault="00B707B7" w:rsidP="00E444B1">
            <w:pPr>
              <w:tabs>
                <w:tab w:val="left" w:pos="360"/>
                <w:tab w:val="left" w:pos="840"/>
                <w:tab w:val="left" w:pos="6720"/>
              </w:tabs>
              <w:suppressAutoHyphens/>
              <w:jc w:val="center"/>
              <w:rPr>
                <w:spacing w:val="-3"/>
              </w:rPr>
            </w:pPr>
            <w:r w:rsidRPr="001D2881">
              <w:rPr>
                <w:spacing w:val="-3"/>
              </w:rPr>
              <w:t>Division of Banks</w:t>
            </w:r>
          </w:p>
        </w:tc>
        <w:tc>
          <w:tcPr>
            <w:tcW w:w="4553" w:type="dxa"/>
            <w:hideMark/>
          </w:tcPr>
          <w:p w14:paraId="3D669CD7" w14:textId="77777777" w:rsidR="00B707B7" w:rsidRPr="001D2881" w:rsidRDefault="00B707B7" w:rsidP="00E444B1">
            <w:pPr>
              <w:tabs>
                <w:tab w:val="left" w:pos="360"/>
                <w:tab w:val="left" w:pos="840"/>
                <w:tab w:val="left" w:pos="6720"/>
              </w:tabs>
              <w:suppressAutoHyphens/>
              <w:jc w:val="center"/>
              <w:rPr>
                <w:spacing w:val="-3"/>
              </w:rPr>
            </w:pPr>
            <w:r w:rsidRPr="001D2881">
              <w:rPr>
                <w:spacing w:val="-3"/>
              </w:rPr>
              <w:t>Federal Deposit Insurance Corporation</w:t>
            </w:r>
          </w:p>
        </w:tc>
      </w:tr>
      <w:tr w:rsidR="00B707B7" w:rsidRPr="001D2881" w14:paraId="7B2B572F" w14:textId="77777777" w:rsidTr="00E444B1">
        <w:trPr>
          <w:cantSplit/>
        </w:trPr>
        <w:tc>
          <w:tcPr>
            <w:tcW w:w="4552" w:type="dxa"/>
            <w:hideMark/>
          </w:tcPr>
          <w:p w14:paraId="0543050E" w14:textId="77777777" w:rsidR="00B707B7" w:rsidRPr="001D2881" w:rsidRDefault="00B707B7" w:rsidP="00E444B1">
            <w:pPr>
              <w:tabs>
                <w:tab w:val="left" w:pos="360"/>
                <w:tab w:val="left" w:pos="840"/>
                <w:tab w:val="left" w:pos="6720"/>
              </w:tabs>
              <w:suppressAutoHyphens/>
              <w:jc w:val="center"/>
              <w:rPr>
                <w:spacing w:val="-3"/>
              </w:rPr>
            </w:pPr>
            <w:r w:rsidRPr="001D2881">
              <w:rPr>
                <w:spacing w:val="-3"/>
              </w:rPr>
              <w:t>1000 Washington Street, 10</w:t>
            </w:r>
            <w:r w:rsidRPr="001D2881">
              <w:rPr>
                <w:spacing w:val="-3"/>
                <w:vertAlign w:val="superscript"/>
              </w:rPr>
              <w:t>th</w:t>
            </w:r>
            <w:r w:rsidRPr="001D2881">
              <w:rPr>
                <w:spacing w:val="-3"/>
              </w:rPr>
              <w:t xml:space="preserve"> Floor</w:t>
            </w:r>
          </w:p>
        </w:tc>
        <w:tc>
          <w:tcPr>
            <w:tcW w:w="4553" w:type="dxa"/>
            <w:hideMark/>
          </w:tcPr>
          <w:p w14:paraId="7725AB58" w14:textId="77777777" w:rsidR="00B707B7" w:rsidRPr="001D2881" w:rsidRDefault="00B707B7" w:rsidP="00E444B1">
            <w:pPr>
              <w:tabs>
                <w:tab w:val="left" w:pos="360"/>
                <w:tab w:val="left" w:pos="840"/>
                <w:tab w:val="left" w:pos="6720"/>
              </w:tabs>
              <w:suppressAutoHyphens/>
              <w:jc w:val="center"/>
              <w:rPr>
                <w:spacing w:val="-3"/>
              </w:rPr>
            </w:pPr>
            <w:r w:rsidRPr="001D2881">
              <w:rPr>
                <w:spacing w:val="-3"/>
              </w:rPr>
              <w:t>350 Fifth Avenue, Suite 1200</w:t>
            </w:r>
          </w:p>
        </w:tc>
      </w:tr>
      <w:tr w:rsidR="00B707B7" w:rsidRPr="001D2881" w14:paraId="229960CF" w14:textId="77777777" w:rsidTr="00E444B1">
        <w:trPr>
          <w:cantSplit/>
        </w:trPr>
        <w:tc>
          <w:tcPr>
            <w:tcW w:w="4552" w:type="dxa"/>
            <w:hideMark/>
          </w:tcPr>
          <w:p w14:paraId="48BCAEF8" w14:textId="77777777" w:rsidR="00B707B7" w:rsidRPr="001D2881" w:rsidRDefault="00B707B7" w:rsidP="00E444B1">
            <w:pPr>
              <w:tabs>
                <w:tab w:val="left" w:pos="360"/>
                <w:tab w:val="left" w:pos="840"/>
                <w:tab w:val="left" w:pos="6720"/>
              </w:tabs>
              <w:suppressAutoHyphens/>
              <w:jc w:val="center"/>
              <w:rPr>
                <w:spacing w:val="-3"/>
              </w:rPr>
            </w:pPr>
            <w:r w:rsidRPr="001D2881">
              <w:rPr>
                <w:spacing w:val="-3"/>
              </w:rPr>
              <w:t>Boston, Massachusetts 02118</w:t>
            </w:r>
          </w:p>
        </w:tc>
        <w:tc>
          <w:tcPr>
            <w:tcW w:w="4553" w:type="dxa"/>
            <w:hideMark/>
          </w:tcPr>
          <w:p w14:paraId="0991348B" w14:textId="77777777" w:rsidR="00B707B7" w:rsidRPr="001D2881" w:rsidRDefault="00B707B7" w:rsidP="00E444B1">
            <w:pPr>
              <w:tabs>
                <w:tab w:val="left" w:pos="360"/>
                <w:tab w:val="left" w:pos="840"/>
                <w:tab w:val="left" w:pos="6720"/>
              </w:tabs>
              <w:suppressAutoHyphens/>
              <w:jc w:val="center"/>
              <w:rPr>
                <w:spacing w:val="-3"/>
              </w:rPr>
            </w:pPr>
            <w:r w:rsidRPr="001D2881">
              <w:rPr>
                <w:spacing w:val="-3"/>
              </w:rPr>
              <w:t>New York, New York 10118</w:t>
            </w:r>
          </w:p>
        </w:tc>
      </w:tr>
    </w:tbl>
    <w:p w14:paraId="7123B465" w14:textId="77777777" w:rsidR="00B707B7" w:rsidRPr="001D2881" w:rsidRDefault="00B707B7" w:rsidP="00B707B7">
      <w:pPr>
        <w:tabs>
          <w:tab w:val="left" w:pos="-1440"/>
          <w:tab w:val="left" w:pos="3920"/>
        </w:tabs>
        <w:ind w:left="1440" w:hanging="1440"/>
      </w:pPr>
      <w:r w:rsidRPr="001D2881">
        <w:tab/>
      </w:r>
      <w:r w:rsidRPr="001D2881">
        <w:tab/>
      </w:r>
    </w:p>
    <w:p w14:paraId="01CC86AC" w14:textId="77777777" w:rsidR="00B707B7" w:rsidRPr="001D2881" w:rsidRDefault="00B707B7" w:rsidP="00B707B7">
      <w:pPr>
        <w:tabs>
          <w:tab w:val="left" w:pos="-1440"/>
        </w:tabs>
        <w:ind w:left="1440" w:hanging="1440"/>
      </w:pPr>
    </w:p>
    <w:p w14:paraId="1E573141" w14:textId="77777777" w:rsidR="00B707B7" w:rsidRPr="001D2881" w:rsidRDefault="00B707B7" w:rsidP="00B707B7">
      <w:pPr>
        <w:tabs>
          <w:tab w:val="left" w:pos="-1440"/>
        </w:tabs>
        <w:ind w:left="1440" w:hanging="1440"/>
      </w:pPr>
    </w:p>
    <w:p w14:paraId="12094A02" w14:textId="77777777" w:rsidR="00B707B7" w:rsidRPr="001D2881" w:rsidRDefault="00B707B7" w:rsidP="00B707B7">
      <w:pPr>
        <w:tabs>
          <w:tab w:val="left" w:pos="-1440"/>
        </w:tabs>
        <w:ind w:left="1440" w:hanging="1440"/>
      </w:pPr>
    </w:p>
    <w:p w14:paraId="0968EC79" w14:textId="77777777" w:rsidR="00B707B7" w:rsidRPr="001D2881" w:rsidRDefault="00B707B7" w:rsidP="00B707B7">
      <w:pPr>
        <w:tabs>
          <w:tab w:val="left" w:pos="-1440"/>
        </w:tabs>
        <w:ind w:left="1440" w:hanging="1440"/>
      </w:pPr>
    </w:p>
    <w:p w14:paraId="194484D9" w14:textId="77777777" w:rsidR="00B707B7" w:rsidRPr="001D2881" w:rsidRDefault="00B707B7" w:rsidP="00B707B7">
      <w:pPr>
        <w:jc w:val="both"/>
        <w:rPr>
          <w:b/>
          <w:bCs/>
          <w:sz w:val="28"/>
          <w:szCs w:val="28"/>
        </w:rPr>
      </w:pPr>
      <w:r w:rsidRPr="001D2881">
        <w:t>This document is an evaluation of this institution’s record of meeting the credit needs of its entire community, including low- and moderate-income neighborhoods, consistent with safe and sound operation of the institution.</w:t>
      </w:r>
      <w:r w:rsidRPr="001D2881">
        <w:rPr>
          <w:i/>
          <w:iCs/>
        </w:rPr>
        <w:t xml:space="preserve">  </w:t>
      </w:r>
      <w:r w:rsidRPr="001D2881">
        <w:t>This evaluation is not, nor should it be construed as, an assessment of the financial condition of this institution.  The rating assigned to this institution does not represent an analysis, conclusion, or opinion of the federal financial supervisory agency concerning the safety and soundness of this financial institution.</w:t>
      </w:r>
      <w:r w:rsidRPr="001D2881">
        <w:rPr>
          <w:b/>
          <w:bCs/>
          <w:sz w:val="28"/>
          <w:szCs w:val="28"/>
        </w:rPr>
        <w:br w:type="page"/>
      </w:r>
    </w:p>
    <w:sdt>
      <w:sdtPr>
        <w:rPr>
          <w:rFonts w:ascii="Times New Roman" w:eastAsia="Times New Roman" w:hAnsi="Times New Roman" w:cs="Times New Roman"/>
          <w:b w:val="0"/>
          <w:bCs w:val="0"/>
          <w:color w:val="auto"/>
          <w:sz w:val="24"/>
          <w:szCs w:val="24"/>
          <w:lang w:eastAsia="en-US"/>
        </w:rPr>
        <w:id w:val="1888448591"/>
        <w:docPartObj>
          <w:docPartGallery w:val="Table of Contents"/>
          <w:docPartUnique/>
        </w:docPartObj>
      </w:sdtPr>
      <w:sdtEndPr>
        <w:rPr>
          <w:noProof/>
        </w:rPr>
      </w:sdtEndPr>
      <w:sdtContent>
        <w:p w14:paraId="74A936B8" w14:textId="77777777" w:rsidR="00B707B7" w:rsidRPr="001D2881" w:rsidRDefault="00B707B7" w:rsidP="00B707B7">
          <w:pPr>
            <w:pStyle w:val="TOCHeading"/>
            <w:jc w:val="center"/>
            <w:rPr>
              <w:rFonts w:ascii="Times New Roman" w:hAnsi="Times New Roman" w:cs="Times New Roman"/>
              <w:color w:val="auto"/>
            </w:rPr>
          </w:pPr>
          <w:r w:rsidRPr="001D2881">
            <w:rPr>
              <w:rFonts w:ascii="Times New Roman" w:hAnsi="Times New Roman" w:cs="Times New Roman"/>
              <w:color w:val="auto"/>
            </w:rPr>
            <w:t>TABLE OF CONTENTS</w:t>
          </w:r>
        </w:p>
        <w:p w14:paraId="1AA53266" w14:textId="77777777" w:rsidR="00B707B7" w:rsidRPr="001D2881" w:rsidRDefault="00B707B7" w:rsidP="00B707B7">
          <w:pPr>
            <w:rPr>
              <w:lang w:eastAsia="ja-JP"/>
            </w:rPr>
          </w:pPr>
        </w:p>
        <w:p w14:paraId="4E8B28C7" w14:textId="70C4A5E1" w:rsidR="00B707B7" w:rsidRDefault="00B707B7" w:rsidP="00B707B7">
          <w:pPr>
            <w:pStyle w:val="TOC1"/>
            <w:tabs>
              <w:tab w:val="right" w:leader="dot" w:pos="9350"/>
            </w:tabs>
            <w:rPr>
              <w:rFonts w:asciiTheme="minorHAnsi" w:eastAsiaTheme="minorEastAsia" w:hAnsiTheme="minorHAnsi" w:cstheme="minorBidi"/>
              <w:noProof/>
              <w:sz w:val="22"/>
              <w:szCs w:val="22"/>
            </w:rPr>
          </w:pPr>
          <w:r w:rsidRPr="001D2881">
            <w:fldChar w:fldCharType="begin"/>
          </w:r>
          <w:r w:rsidRPr="001D2881">
            <w:instrText xml:space="preserve"> TOC \o "1-3" \h \z \u </w:instrText>
          </w:r>
          <w:r w:rsidRPr="001D2881">
            <w:fldChar w:fldCharType="separate"/>
          </w:r>
          <w:hyperlink w:anchor="_Toc62129958" w:history="1">
            <w:r w:rsidRPr="00BA5B15">
              <w:rPr>
                <w:rStyle w:val="Hyperlink"/>
                <w:noProof/>
              </w:rPr>
              <w:t>INSTITUTION RATING</w:t>
            </w:r>
            <w:r>
              <w:rPr>
                <w:noProof/>
                <w:webHidden/>
              </w:rPr>
              <w:tab/>
            </w:r>
            <w:r>
              <w:rPr>
                <w:noProof/>
                <w:webHidden/>
              </w:rPr>
              <w:fldChar w:fldCharType="begin"/>
            </w:r>
            <w:r>
              <w:rPr>
                <w:noProof/>
                <w:webHidden/>
              </w:rPr>
              <w:instrText xml:space="preserve"> PAGEREF _Toc62129958 \h </w:instrText>
            </w:r>
            <w:r>
              <w:rPr>
                <w:noProof/>
                <w:webHidden/>
              </w:rPr>
            </w:r>
            <w:r>
              <w:rPr>
                <w:noProof/>
                <w:webHidden/>
              </w:rPr>
              <w:fldChar w:fldCharType="separate"/>
            </w:r>
            <w:r w:rsidR="00340FDF">
              <w:rPr>
                <w:noProof/>
                <w:webHidden/>
              </w:rPr>
              <w:t>1</w:t>
            </w:r>
            <w:r>
              <w:rPr>
                <w:noProof/>
                <w:webHidden/>
              </w:rPr>
              <w:fldChar w:fldCharType="end"/>
            </w:r>
          </w:hyperlink>
        </w:p>
        <w:p w14:paraId="4BA83D33" w14:textId="2E7D2454" w:rsidR="00B707B7" w:rsidRDefault="00340FDF" w:rsidP="00B707B7">
          <w:pPr>
            <w:pStyle w:val="TOC1"/>
            <w:tabs>
              <w:tab w:val="right" w:leader="dot" w:pos="9350"/>
            </w:tabs>
            <w:rPr>
              <w:rFonts w:asciiTheme="minorHAnsi" w:eastAsiaTheme="minorEastAsia" w:hAnsiTheme="minorHAnsi" w:cstheme="minorBidi"/>
              <w:noProof/>
              <w:sz w:val="22"/>
              <w:szCs w:val="22"/>
            </w:rPr>
          </w:pPr>
          <w:hyperlink w:anchor="_Toc62129959" w:history="1">
            <w:r w:rsidR="00B707B7" w:rsidRPr="00BA5B15">
              <w:rPr>
                <w:rStyle w:val="Hyperlink"/>
                <w:noProof/>
              </w:rPr>
              <w:t>SCOPE OF EVALUATION</w:t>
            </w:r>
            <w:r w:rsidR="00B707B7">
              <w:rPr>
                <w:noProof/>
                <w:webHidden/>
              </w:rPr>
              <w:tab/>
            </w:r>
            <w:r w:rsidR="00B707B7">
              <w:rPr>
                <w:noProof/>
                <w:webHidden/>
              </w:rPr>
              <w:fldChar w:fldCharType="begin"/>
            </w:r>
            <w:r w:rsidR="00B707B7">
              <w:rPr>
                <w:noProof/>
                <w:webHidden/>
              </w:rPr>
              <w:instrText xml:space="preserve"> PAGEREF _Toc62129959 \h </w:instrText>
            </w:r>
            <w:r w:rsidR="00B707B7">
              <w:rPr>
                <w:noProof/>
                <w:webHidden/>
              </w:rPr>
            </w:r>
            <w:r w:rsidR="00B707B7">
              <w:rPr>
                <w:noProof/>
                <w:webHidden/>
              </w:rPr>
              <w:fldChar w:fldCharType="separate"/>
            </w:r>
            <w:r>
              <w:rPr>
                <w:noProof/>
                <w:webHidden/>
              </w:rPr>
              <w:t>2</w:t>
            </w:r>
            <w:r w:rsidR="00B707B7">
              <w:rPr>
                <w:noProof/>
                <w:webHidden/>
              </w:rPr>
              <w:fldChar w:fldCharType="end"/>
            </w:r>
          </w:hyperlink>
        </w:p>
        <w:p w14:paraId="10409E61" w14:textId="78FE720A" w:rsidR="00B707B7" w:rsidRDefault="00340FDF" w:rsidP="00B707B7">
          <w:pPr>
            <w:pStyle w:val="TOC1"/>
            <w:tabs>
              <w:tab w:val="right" w:leader="dot" w:pos="9350"/>
            </w:tabs>
            <w:rPr>
              <w:rFonts w:asciiTheme="minorHAnsi" w:eastAsiaTheme="minorEastAsia" w:hAnsiTheme="minorHAnsi" w:cstheme="minorBidi"/>
              <w:noProof/>
              <w:sz w:val="22"/>
              <w:szCs w:val="22"/>
            </w:rPr>
          </w:pPr>
          <w:hyperlink w:anchor="_Toc62129960" w:history="1">
            <w:r w:rsidR="00B707B7" w:rsidRPr="00BA5B15">
              <w:rPr>
                <w:rStyle w:val="Hyperlink"/>
                <w:noProof/>
              </w:rPr>
              <w:t>DESCRIPTION OF INSTITUTION</w:t>
            </w:r>
            <w:r w:rsidR="00B707B7">
              <w:rPr>
                <w:noProof/>
                <w:webHidden/>
              </w:rPr>
              <w:tab/>
            </w:r>
            <w:r w:rsidR="00B707B7">
              <w:rPr>
                <w:noProof/>
                <w:webHidden/>
              </w:rPr>
              <w:fldChar w:fldCharType="begin"/>
            </w:r>
            <w:r w:rsidR="00B707B7">
              <w:rPr>
                <w:noProof/>
                <w:webHidden/>
              </w:rPr>
              <w:instrText xml:space="preserve"> PAGEREF _Toc62129960 \h </w:instrText>
            </w:r>
            <w:r w:rsidR="00B707B7">
              <w:rPr>
                <w:noProof/>
                <w:webHidden/>
              </w:rPr>
            </w:r>
            <w:r w:rsidR="00B707B7">
              <w:rPr>
                <w:noProof/>
                <w:webHidden/>
              </w:rPr>
              <w:fldChar w:fldCharType="separate"/>
            </w:r>
            <w:r>
              <w:rPr>
                <w:noProof/>
                <w:webHidden/>
              </w:rPr>
              <w:t>4</w:t>
            </w:r>
            <w:r w:rsidR="00B707B7">
              <w:rPr>
                <w:noProof/>
                <w:webHidden/>
              </w:rPr>
              <w:fldChar w:fldCharType="end"/>
            </w:r>
          </w:hyperlink>
        </w:p>
        <w:p w14:paraId="1A08A258" w14:textId="7CA45ADA" w:rsidR="00B707B7" w:rsidRDefault="00340FDF" w:rsidP="00B707B7">
          <w:pPr>
            <w:pStyle w:val="TOC1"/>
            <w:tabs>
              <w:tab w:val="right" w:leader="dot" w:pos="9350"/>
            </w:tabs>
            <w:rPr>
              <w:rFonts w:asciiTheme="minorHAnsi" w:eastAsiaTheme="minorEastAsia" w:hAnsiTheme="minorHAnsi" w:cstheme="minorBidi"/>
              <w:noProof/>
              <w:sz w:val="22"/>
              <w:szCs w:val="22"/>
            </w:rPr>
          </w:pPr>
          <w:hyperlink w:anchor="_Toc62129961" w:history="1">
            <w:r w:rsidR="00B707B7" w:rsidRPr="00BA5B15">
              <w:rPr>
                <w:rStyle w:val="Hyperlink"/>
                <w:noProof/>
              </w:rPr>
              <w:t>DESCRIPTION OF ASSESSMENT AREA</w:t>
            </w:r>
            <w:r w:rsidR="00B707B7">
              <w:rPr>
                <w:noProof/>
                <w:webHidden/>
              </w:rPr>
              <w:tab/>
            </w:r>
            <w:r w:rsidR="00B707B7">
              <w:rPr>
                <w:noProof/>
                <w:webHidden/>
              </w:rPr>
              <w:fldChar w:fldCharType="begin"/>
            </w:r>
            <w:r w:rsidR="00B707B7">
              <w:rPr>
                <w:noProof/>
                <w:webHidden/>
              </w:rPr>
              <w:instrText xml:space="preserve"> PAGEREF _Toc62129961 \h </w:instrText>
            </w:r>
            <w:r w:rsidR="00B707B7">
              <w:rPr>
                <w:noProof/>
                <w:webHidden/>
              </w:rPr>
            </w:r>
            <w:r w:rsidR="00B707B7">
              <w:rPr>
                <w:noProof/>
                <w:webHidden/>
              </w:rPr>
              <w:fldChar w:fldCharType="separate"/>
            </w:r>
            <w:r>
              <w:rPr>
                <w:noProof/>
                <w:webHidden/>
              </w:rPr>
              <w:t>6</w:t>
            </w:r>
            <w:r w:rsidR="00B707B7">
              <w:rPr>
                <w:noProof/>
                <w:webHidden/>
              </w:rPr>
              <w:fldChar w:fldCharType="end"/>
            </w:r>
          </w:hyperlink>
        </w:p>
        <w:p w14:paraId="5848B8CC" w14:textId="1841E9E1" w:rsidR="00B707B7" w:rsidRDefault="00340FDF" w:rsidP="00B707B7">
          <w:pPr>
            <w:pStyle w:val="TOC1"/>
            <w:tabs>
              <w:tab w:val="right" w:leader="dot" w:pos="9350"/>
            </w:tabs>
            <w:rPr>
              <w:rFonts w:asciiTheme="minorHAnsi" w:eastAsiaTheme="minorEastAsia" w:hAnsiTheme="minorHAnsi" w:cstheme="minorBidi"/>
              <w:noProof/>
              <w:sz w:val="22"/>
              <w:szCs w:val="22"/>
            </w:rPr>
          </w:pPr>
          <w:hyperlink w:anchor="_Toc62129962" w:history="1">
            <w:r w:rsidR="00B707B7" w:rsidRPr="00BA5B15">
              <w:rPr>
                <w:rStyle w:val="Hyperlink"/>
                <w:noProof/>
              </w:rPr>
              <w:t>CONCLUSIONS ON PERFORMANCE CRITERIA</w:t>
            </w:r>
            <w:r w:rsidR="00B707B7">
              <w:rPr>
                <w:noProof/>
                <w:webHidden/>
              </w:rPr>
              <w:tab/>
            </w:r>
            <w:r w:rsidR="00B707B7">
              <w:rPr>
                <w:noProof/>
                <w:webHidden/>
              </w:rPr>
              <w:fldChar w:fldCharType="begin"/>
            </w:r>
            <w:r w:rsidR="00B707B7">
              <w:rPr>
                <w:noProof/>
                <w:webHidden/>
              </w:rPr>
              <w:instrText xml:space="preserve"> PAGEREF _Toc62129962 \h </w:instrText>
            </w:r>
            <w:r w:rsidR="00B707B7">
              <w:rPr>
                <w:noProof/>
                <w:webHidden/>
              </w:rPr>
            </w:r>
            <w:r w:rsidR="00B707B7">
              <w:rPr>
                <w:noProof/>
                <w:webHidden/>
              </w:rPr>
              <w:fldChar w:fldCharType="separate"/>
            </w:r>
            <w:r>
              <w:rPr>
                <w:noProof/>
                <w:webHidden/>
              </w:rPr>
              <w:t>11</w:t>
            </w:r>
            <w:r w:rsidR="00B707B7">
              <w:rPr>
                <w:noProof/>
                <w:webHidden/>
              </w:rPr>
              <w:fldChar w:fldCharType="end"/>
            </w:r>
          </w:hyperlink>
        </w:p>
        <w:p w14:paraId="78E6581A" w14:textId="6E7E52C6" w:rsidR="00B707B7" w:rsidRDefault="00340FDF" w:rsidP="00B707B7">
          <w:pPr>
            <w:pStyle w:val="TOC1"/>
            <w:tabs>
              <w:tab w:val="right" w:leader="dot" w:pos="9350"/>
            </w:tabs>
            <w:rPr>
              <w:rFonts w:asciiTheme="minorHAnsi" w:eastAsiaTheme="minorEastAsia" w:hAnsiTheme="minorHAnsi" w:cstheme="minorBidi"/>
              <w:noProof/>
              <w:sz w:val="22"/>
              <w:szCs w:val="22"/>
            </w:rPr>
          </w:pPr>
          <w:hyperlink w:anchor="_Toc62129963" w:history="1">
            <w:r w:rsidR="00B707B7" w:rsidRPr="00BA5B15">
              <w:rPr>
                <w:rStyle w:val="Hyperlink"/>
                <w:noProof/>
              </w:rPr>
              <w:t>DIVISION OF BANKS FAIR LENDING POLICIES AND PROCEDURES</w:t>
            </w:r>
            <w:r w:rsidR="00B707B7">
              <w:rPr>
                <w:noProof/>
                <w:webHidden/>
              </w:rPr>
              <w:tab/>
            </w:r>
            <w:r w:rsidR="00B707B7">
              <w:rPr>
                <w:noProof/>
                <w:webHidden/>
              </w:rPr>
              <w:fldChar w:fldCharType="begin"/>
            </w:r>
            <w:r w:rsidR="00B707B7">
              <w:rPr>
                <w:noProof/>
                <w:webHidden/>
              </w:rPr>
              <w:instrText xml:space="preserve"> PAGEREF _Toc62129963 \h </w:instrText>
            </w:r>
            <w:r w:rsidR="00B707B7">
              <w:rPr>
                <w:noProof/>
                <w:webHidden/>
              </w:rPr>
            </w:r>
            <w:r w:rsidR="00B707B7">
              <w:rPr>
                <w:noProof/>
                <w:webHidden/>
              </w:rPr>
              <w:fldChar w:fldCharType="separate"/>
            </w:r>
            <w:r>
              <w:rPr>
                <w:noProof/>
                <w:webHidden/>
              </w:rPr>
              <w:t>21</w:t>
            </w:r>
            <w:r w:rsidR="00B707B7">
              <w:rPr>
                <w:noProof/>
                <w:webHidden/>
              </w:rPr>
              <w:fldChar w:fldCharType="end"/>
            </w:r>
          </w:hyperlink>
        </w:p>
        <w:p w14:paraId="37CED029" w14:textId="7F2C3B08" w:rsidR="00B707B7" w:rsidRDefault="00340FDF" w:rsidP="00B707B7">
          <w:pPr>
            <w:pStyle w:val="TOC1"/>
            <w:tabs>
              <w:tab w:val="right" w:leader="dot" w:pos="9350"/>
            </w:tabs>
            <w:rPr>
              <w:rFonts w:asciiTheme="minorHAnsi" w:eastAsiaTheme="minorEastAsia" w:hAnsiTheme="minorHAnsi" w:cstheme="minorBidi"/>
              <w:noProof/>
              <w:sz w:val="22"/>
              <w:szCs w:val="22"/>
            </w:rPr>
          </w:pPr>
          <w:hyperlink w:anchor="_Toc62129964" w:history="1">
            <w:r w:rsidR="00B707B7" w:rsidRPr="00BA5B15">
              <w:rPr>
                <w:rStyle w:val="Hyperlink"/>
                <w:noProof/>
              </w:rPr>
              <w:t>GLOSSARY</w:t>
            </w:r>
            <w:r w:rsidR="00B707B7">
              <w:rPr>
                <w:noProof/>
                <w:webHidden/>
              </w:rPr>
              <w:tab/>
            </w:r>
            <w:r w:rsidR="00B707B7">
              <w:rPr>
                <w:noProof/>
                <w:webHidden/>
              </w:rPr>
              <w:fldChar w:fldCharType="begin"/>
            </w:r>
            <w:r w:rsidR="00B707B7">
              <w:rPr>
                <w:noProof/>
                <w:webHidden/>
              </w:rPr>
              <w:instrText xml:space="preserve"> PAGEREF _Toc62129964 \h </w:instrText>
            </w:r>
            <w:r w:rsidR="00B707B7">
              <w:rPr>
                <w:noProof/>
                <w:webHidden/>
              </w:rPr>
            </w:r>
            <w:r w:rsidR="00B707B7">
              <w:rPr>
                <w:noProof/>
                <w:webHidden/>
              </w:rPr>
              <w:fldChar w:fldCharType="separate"/>
            </w:r>
            <w:r>
              <w:rPr>
                <w:noProof/>
                <w:webHidden/>
              </w:rPr>
              <w:t>23</w:t>
            </w:r>
            <w:r w:rsidR="00B707B7">
              <w:rPr>
                <w:noProof/>
                <w:webHidden/>
              </w:rPr>
              <w:fldChar w:fldCharType="end"/>
            </w:r>
          </w:hyperlink>
        </w:p>
        <w:p w14:paraId="14149255" w14:textId="77777777" w:rsidR="00B707B7" w:rsidRPr="001D2881" w:rsidRDefault="00B707B7" w:rsidP="00B707B7">
          <w:pPr>
            <w:sectPr w:rsidR="00B707B7" w:rsidRPr="001D288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sidRPr="001D2881">
            <w:fldChar w:fldCharType="end"/>
          </w:r>
        </w:p>
      </w:sdtContent>
    </w:sdt>
    <w:p w14:paraId="743E8DC2" w14:textId="77777777" w:rsidR="00B707B7" w:rsidRPr="001D2881" w:rsidRDefault="00B707B7" w:rsidP="00B707B7">
      <w:pPr>
        <w:pStyle w:val="Heading1"/>
      </w:pPr>
      <w:bookmarkStart w:id="1" w:name="_Toc62129958"/>
      <w:r w:rsidRPr="001D2881">
        <w:lastRenderedPageBreak/>
        <w:t>INSTITUTION RATING</w:t>
      </w:r>
      <w:bookmarkEnd w:id="1"/>
    </w:p>
    <w:p w14:paraId="1ED1453D" w14:textId="77777777" w:rsidR="00B707B7" w:rsidRPr="001D2881" w:rsidRDefault="00B707B7" w:rsidP="00B707B7">
      <w:pPr>
        <w:rPr>
          <w:i/>
          <w:iCs/>
        </w:rPr>
      </w:pPr>
    </w:p>
    <w:p w14:paraId="5D59EF14" w14:textId="77777777" w:rsidR="00B707B7" w:rsidRPr="001D2881" w:rsidRDefault="00B707B7" w:rsidP="00B707B7">
      <w:r w:rsidRPr="001D2881">
        <w:rPr>
          <w:b/>
          <w:bCs/>
        </w:rPr>
        <w:t xml:space="preserve">INSTITUTION’S CRA RATING:  </w:t>
      </w:r>
      <w:r w:rsidRPr="001D2881">
        <w:t>This institution is rated</w:t>
      </w:r>
      <w:r w:rsidRPr="001D2881">
        <w:rPr>
          <w:b/>
          <w:bCs/>
        </w:rPr>
        <w:t xml:space="preserve"> </w:t>
      </w:r>
      <w:sdt>
        <w:sdtPr>
          <w:rPr>
            <w:rStyle w:val="Style1"/>
          </w:rPr>
          <w:alias w:val="CRA Ratings"/>
          <w:tag w:val="CRA Ratings"/>
          <w:id w:val="1613856217"/>
          <w:dropDownList>
            <w:listItem w:displayText="Select a Rating" w:value="Select a Rating"/>
            <w:listItem w:displayText="Outstanding" w:value="Outstanding"/>
            <w:listItem w:displayText="Satisfactory" w:value="Satisfactory"/>
            <w:listItem w:displayText="Needs to Improve" w:value="Needs to Improve"/>
            <w:listItem w:displayText="Substantial Noncompliance" w:value="Substantial Noncompliance"/>
          </w:dropDownList>
        </w:sdtPr>
        <w:sdtEndPr>
          <w:rPr>
            <w:rStyle w:val="DefaultParagraphFont"/>
            <w:b w:val="0"/>
            <w:bCs/>
            <w:u w:val="none"/>
          </w:rPr>
        </w:sdtEndPr>
        <w:sdtContent>
          <w:r w:rsidRPr="001D2881">
            <w:rPr>
              <w:rStyle w:val="Style1"/>
            </w:rPr>
            <w:t>Satisfactory</w:t>
          </w:r>
        </w:sdtContent>
      </w:sdt>
      <w:r w:rsidRPr="001D2881">
        <w:rPr>
          <w:b/>
          <w:bCs/>
        </w:rPr>
        <w:t xml:space="preserve">.  </w:t>
      </w:r>
    </w:p>
    <w:p w14:paraId="5E35BBC3" w14:textId="77777777" w:rsidR="00B707B7" w:rsidRPr="001D2881" w:rsidRDefault="00B707B7" w:rsidP="00B707B7">
      <w:pPr>
        <w:rPr>
          <w:snapToGrid w:val="0"/>
        </w:rPr>
      </w:pPr>
    </w:p>
    <w:p w14:paraId="4E711E73" w14:textId="77777777" w:rsidR="00B707B7" w:rsidRPr="001D2881" w:rsidRDefault="00B707B7" w:rsidP="00B707B7">
      <w:r w:rsidRPr="001D2881">
        <w:t xml:space="preserve">An institution in this group </w:t>
      </w:r>
      <w:sdt>
        <w:sdtPr>
          <w:alias w:val="Ratings Descriptions"/>
          <w:tag w:val="Ratings Descriptions"/>
          <w:id w:val="-272709703"/>
          <w:dropDownList>
            <w:listItem w:displayText="*Select a Rating Description*" w:value="*Select a Rating Description*"/>
            <w:listItem w:displayText="has an outstanding record of helping to meet the credit needs of its assessment area, including low- and moderate-income neighborhoods, in a manner consistent with its resources and capabilities." w:value="has an outstanding record of helping to meet the credit needs of its assessment area, including low- and moderate-income neighborhoods, in a manner consistent with its resources and capabilities."/>
            <w:listItem w:displayText="has a satisfactory record of helping to meet the credit needs of its assessment area, including low- and moderate-income neighborhoods, in a manner consistent with its resources and capabilities. " w:value="has a satisfactory record of helping to meet the credit needs of its assessment area, including low- and moderate-income neighborhoods, in a manner consistent with its resources and capabilities. "/>
            <w:listItem w:displayText="needs to improve its overall record of helping to meet the credit needs of its assessment area, including low- and moderate-income neighborhoods, in a manner consistent with its resources and capabilities. " w:value="needs to improve its overall record of helping to meet the credit needs of its assessment area, including low- and moderate-income neighborhoods, in a manner consistent with its resources and capabilities. "/>
            <w:listItem w:displayText="has a substantially deficient record of helping to meet the credit needs of its assessment area, including low- and moderate-income neighborhoods, in a manner consistent with its resources and capabilities." w:value="has a substantially deficient record of helping to meet the credit needs of its assessment area, including low- and moderate-income neighborhoods, in a manner consistent with its resources and capabilities."/>
          </w:dropDownList>
        </w:sdtPr>
        <w:sdtEndPr/>
        <w:sdtContent>
          <w:r w:rsidRPr="001D2881">
            <w:t xml:space="preserve">has a satisfactory record of helping to meet the credit needs of its assessment area, including low- and moderate-income neighborhoods, in a manner consistent with its resources and capabilities. </w:t>
          </w:r>
        </w:sdtContent>
      </w:sdt>
    </w:p>
    <w:p w14:paraId="64AA1038" w14:textId="77777777" w:rsidR="00B707B7" w:rsidRPr="001D2881" w:rsidRDefault="00B707B7" w:rsidP="00B707B7">
      <w:pPr>
        <w:rPr>
          <w:snapToGrid w:val="0"/>
        </w:rPr>
      </w:pPr>
    </w:p>
    <w:p w14:paraId="6B3D2A81" w14:textId="77777777" w:rsidR="00B707B7" w:rsidRPr="001D2881" w:rsidRDefault="00B707B7" w:rsidP="00B707B7">
      <w:pPr>
        <w:rPr>
          <w:b/>
          <w:bCs/>
        </w:rPr>
      </w:pPr>
      <w:r w:rsidRPr="001D2881">
        <w:rPr>
          <w:b/>
          <w:bCs/>
        </w:rPr>
        <w:t xml:space="preserve">The Lending Test is rated </w:t>
      </w:r>
      <w:sdt>
        <w:sdtPr>
          <w:rPr>
            <w:rStyle w:val="Style1"/>
          </w:rPr>
          <w:alias w:val="CRA Ratings"/>
          <w:tag w:val="CRA Ratings"/>
          <w:id w:val="-719592010"/>
          <w:dropDownList>
            <w:listItem w:displayText="Select a Rating" w:value="Select a Rating"/>
            <w:listItem w:displayText="Outstanding" w:value="Outstanding"/>
            <w:listItem w:displayText="Satisfactory" w:value="Satisfactory"/>
            <w:listItem w:displayText="Needs to Improve" w:value="Needs to Improve"/>
            <w:listItem w:displayText="Substantial Noncompliance" w:value="Substantial Noncompliance"/>
          </w:dropDownList>
        </w:sdtPr>
        <w:sdtEndPr>
          <w:rPr>
            <w:rStyle w:val="DefaultParagraphFont"/>
            <w:b w:val="0"/>
            <w:bCs/>
            <w:u w:val="none"/>
          </w:rPr>
        </w:sdtEndPr>
        <w:sdtContent>
          <w:r w:rsidRPr="001D2881">
            <w:rPr>
              <w:rStyle w:val="Style1"/>
            </w:rPr>
            <w:t>Satisfactory</w:t>
          </w:r>
        </w:sdtContent>
      </w:sdt>
      <w:r w:rsidRPr="001D2881">
        <w:rPr>
          <w:b/>
          <w:bCs/>
        </w:rPr>
        <w:t>.</w:t>
      </w:r>
    </w:p>
    <w:p w14:paraId="249481DD" w14:textId="77777777" w:rsidR="00B707B7" w:rsidRPr="001D2881" w:rsidRDefault="00B707B7" w:rsidP="00B707B7">
      <w:pPr>
        <w:rPr>
          <w:snapToGrid w:val="0"/>
        </w:rPr>
      </w:pPr>
    </w:p>
    <w:p w14:paraId="7046BD72" w14:textId="25CB2AAD" w:rsidR="00B707B7" w:rsidRPr="001D2881" w:rsidRDefault="00B707B7" w:rsidP="00B707B7">
      <w:pPr>
        <w:pStyle w:val="ListParagraph"/>
        <w:numPr>
          <w:ilvl w:val="0"/>
          <w:numId w:val="23"/>
        </w:numPr>
      </w:pPr>
      <w:r w:rsidRPr="001D2881">
        <w:t xml:space="preserve">The </w:t>
      </w:r>
      <w:r w:rsidR="00FB528E">
        <w:t xml:space="preserve">bank’s </w:t>
      </w:r>
      <w:r w:rsidRPr="001D2881">
        <w:t>loan-to-deposit (LTD) ratio is reasonable given the institution's size, financial condition, and assessment area credit needs.</w:t>
      </w:r>
    </w:p>
    <w:p w14:paraId="64DEA729" w14:textId="77777777" w:rsidR="00B707B7" w:rsidRPr="001D2881" w:rsidRDefault="00B707B7" w:rsidP="00B707B7"/>
    <w:p w14:paraId="4CBFCDB3" w14:textId="77777777" w:rsidR="00B707B7" w:rsidRPr="001D2881" w:rsidRDefault="00B707B7" w:rsidP="00B707B7">
      <w:pPr>
        <w:pStyle w:val="ListParagraph"/>
        <w:numPr>
          <w:ilvl w:val="0"/>
          <w:numId w:val="23"/>
        </w:numPr>
      </w:pPr>
      <w:r w:rsidRPr="001D2881">
        <w:t>The bank made a majority of its home mortgage loans and small business loans in its assessment area.</w:t>
      </w:r>
    </w:p>
    <w:p w14:paraId="754324E4" w14:textId="77777777" w:rsidR="00B707B7" w:rsidRPr="001D2881" w:rsidRDefault="00B707B7" w:rsidP="00B707B7"/>
    <w:p w14:paraId="2BEB2901" w14:textId="77777777" w:rsidR="00B707B7" w:rsidRPr="001D2881" w:rsidRDefault="00B707B7" w:rsidP="00B707B7">
      <w:pPr>
        <w:pStyle w:val="ListParagraph"/>
        <w:numPr>
          <w:ilvl w:val="0"/>
          <w:numId w:val="23"/>
        </w:numPr>
      </w:pPr>
      <w:r w:rsidRPr="001D2881">
        <w:t>The geographic distribution of loans reflects reasonable dispersion throughout its assessment area.</w:t>
      </w:r>
    </w:p>
    <w:p w14:paraId="7790CDAC" w14:textId="77777777" w:rsidR="00B707B7" w:rsidRPr="001D2881" w:rsidRDefault="00B707B7" w:rsidP="00B707B7"/>
    <w:p w14:paraId="092F362D" w14:textId="77777777" w:rsidR="00B707B7" w:rsidRPr="001D2881" w:rsidRDefault="00B707B7" w:rsidP="00B707B7">
      <w:pPr>
        <w:pStyle w:val="ListParagraph"/>
        <w:numPr>
          <w:ilvl w:val="0"/>
          <w:numId w:val="23"/>
        </w:numPr>
      </w:pPr>
      <w:r w:rsidRPr="001D2881">
        <w:t>The distribution of borrowers reflects reasonable penetration among individuals of different income levels and businesses of different sizes.</w:t>
      </w:r>
    </w:p>
    <w:p w14:paraId="733E0508" w14:textId="77777777" w:rsidR="00B707B7" w:rsidRPr="001D2881" w:rsidRDefault="00B707B7" w:rsidP="00B707B7"/>
    <w:p w14:paraId="2D53F5F3" w14:textId="77777777" w:rsidR="00B707B7" w:rsidRPr="001D2881" w:rsidRDefault="00B707B7" w:rsidP="00B707B7">
      <w:pPr>
        <w:pStyle w:val="ListParagraph"/>
        <w:numPr>
          <w:ilvl w:val="0"/>
          <w:numId w:val="23"/>
        </w:numPr>
        <w:rPr>
          <w:snapToGrid w:val="0"/>
        </w:rPr>
      </w:pPr>
      <w:r w:rsidRPr="001D2881">
        <w:t xml:space="preserve">The bank did not receive any CRA-related complaints since the previous evaluation; therefore, this factor did not affect the Lending </w:t>
      </w:r>
      <w:r>
        <w:t>T</w:t>
      </w:r>
      <w:r w:rsidRPr="001D2881">
        <w:t>est rating.</w:t>
      </w:r>
    </w:p>
    <w:p w14:paraId="090F3071" w14:textId="77777777" w:rsidR="00B707B7" w:rsidRPr="001D2881" w:rsidRDefault="00B707B7" w:rsidP="00B707B7">
      <w:pPr>
        <w:rPr>
          <w:snapToGrid w:val="0"/>
        </w:rPr>
      </w:pPr>
    </w:p>
    <w:p w14:paraId="26C20544" w14:textId="77777777" w:rsidR="00B707B7" w:rsidRPr="001D2881" w:rsidRDefault="00B707B7" w:rsidP="00B707B7">
      <w:r w:rsidRPr="001D2881">
        <w:rPr>
          <w:b/>
          <w:bCs/>
        </w:rPr>
        <w:t xml:space="preserve">The Community Development Test is rated </w:t>
      </w:r>
      <w:sdt>
        <w:sdtPr>
          <w:rPr>
            <w:rStyle w:val="Style1"/>
          </w:rPr>
          <w:alias w:val="CRA Ratings"/>
          <w:tag w:val="CRA Ratings"/>
          <w:id w:val="-1435511735"/>
          <w:dropDownList>
            <w:listItem w:displayText="Select a Rating" w:value="Select a Rating"/>
            <w:listItem w:displayText="Outstanding" w:value="Outstanding"/>
            <w:listItem w:displayText="Satisfactory" w:value="Satisfactory"/>
            <w:listItem w:displayText="Needs to Improve" w:value="Needs to Improve"/>
            <w:listItem w:displayText="Substantial Noncompliance" w:value="Substantial Noncompliance"/>
          </w:dropDownList>
        </w:sdtPr>
        <w:sdtEndPr>
          <w:rPr>
            <w:rStyle w:val="DefaultParagraphFont"/>
            <w:b w:val="0"/>
            <w:bCs/>
            <w:u w:val="none"/>
          </w:rPr>
        </w:sdtEndPr>
        <w:sdtContent>
          <w:r w:rsidRPr="001D2881">
            <w:rPr>
              <w:rStyle w:val="Style1"/>
            </w:rPr>
            <w:t>Satisfactory</w:t>
          </w:r>
        </w:sdtContent>
      </w:sdt>
      <w:r w:rsidRPr="001D2881">
        <w:rPr>
          <w:b/>
          <w:bCs/>
        </w:rPr>
        <w:t>.</w:t>
      </w:r>
    </w:p>
    <w:p w14:paraId="7C50CD9A" w14:textId="77777777" w:rsidR="00B707B7" w:rsidRPr="001D2881" w:rsidRDefault="00B707B7" w:rsidP="00B707B7"/>
    <w:p w14:paraId="42EC8D39" w14:textId="77777777" w:rsidR="00B707B7" w:rsidRPr="001D2881" w:rsidRDefault="00B707B7" w:rsidP="00B707B7">
      <w:pPr>
        <w:numPr>
          <w:ilvl w:val="0"/>
          <w:numId w:val="24"/>
        </w:numPr>
        <w:ind w:left="720"/>
        <w:rPr>
          <w:snapToGrid w:val="0"/>
        </w:rPr>
      </w:pPr>
      <w:r w:rsidRPr="001D2881">
        <w:rPr>
          <w:bCs/>
          <w:snapToGrid w:val="0"/>
        </w:rPr>
        <w:t>The institution demonstrated adequate responsiveness to the community development needs of its assessment area through community development loans, qualified investments, and community development services, as appropriate.  Examiners considered the institution’s capacity and the need and availability of such opportunities for community development in the assessment area.</w:t>
      </w:r>
    </w:p>
    <w:p w14:paraId="07F29C5A" w14:textId="77777777" w:rsidR="00B707B7" w:rsidRPr="001D2881" w:rsidRDefault="00B707B7" w:rsidP="00B707B7">
      <w:pPr>
        <w:rPr>
          <w:bCs/>
          <w:spacing w:val="-3"/>
          <w:sz w:val="28"/>
          <w:szCs w:val="28"/>
        </w:rPr>
      </w:pPr>
    </w:p>
    <w:p w14:paraId="0164D79B" w14:textId="77777777" w:rsidR="00B707B7" w:rsidRPr="001D2881" w:rsidRDefault="00B707B7" w:rsidP="00B707B7">
      <w:pPr>
        <w:rPr>
          <w:b/>
        </w:rPr>
      </w:pPr>
      <w:r w:rsidRPr="001D2881">
        <w:rPr>
          <w:b/>
        </w:rPr>
        <w:br w:type="page"/>
      </w:r>
    </w:p>
    <w:p w14:paraId="14AFFD8C" w14:textId="77777777" w:rsidR="00B707B7" w:rsidRPr="001D2881" w:rsidRDefault="00B707B7" w:rsidP="00B707B7">
      <w:pPr>
        <w:pStyle w:val="Heading1"/>
      </w:pPr>
      <w:bookmarkStart w:id="2" w:name="_Toc62129959"/>
      <w:r w:rsidRPr="001D2881">
        <w:lastRenderedPageBreak/>
        <w:t>SCOPE OF EVALUATION</w:t>
      </w:r>
      <w:bookmarkEnd w:id="2"/>
    </w:p>
    <w:p w14:paraId="3E9EAC18" w14:textId="77777777" w:rsidR="00B707B7" w:rsidRPr="001D2881" w:rsidRDefault="00B707B7" w:rsidP="00B707B7">
      <w:pPr>
        <w:pStyle w:val="Heading1"/>
        <w:jc w:val="left"/>
        <w:rPr>
          <w:b w:val="0"/>
          <w:sz w:val="24"/>
          <w:szCs w:val="24"/>
        </w:rPr>
      </w:pPr>
    </w:p>
    <w:p w14:paraId="683CD797" w14:textId="77777777" w:rsidR="00B707B7" w:rsidRPr="001D2881" w:rsidRDefault="00B707B7" w:rsidP="00B707B7">
      <w:pPr>
        <w:tabs>
          <w:tab w:val="left" w:pos="1260"/>
        </w:tabs>
        <w:rPr>
          <w:b/>
          <w:bCs/>
          <w:iCs/>
          <w:u w:val="single"/>
        </w:rPr>
      </w:pPr>
      <w:r w:rsidRPr="001D2881">
        <w:rPr>
          <w:b/>
          <w:bCs/>
          <w:iCs/>
          <w:u w:val="single"/>
        </w:rPr>
        <w:t>General Information</w:t>
      </w:r>
    </w:p>
    <w:p w14:paraId="0127AD4D" w14:textId="77777777" w:rsidR="00B707B7" w:rsidRPr="001D2881" w:rsidRDefault="00B707B7" w:rsidP="00B707B7">
      <w:pPr>
        <w:contextualSpacing/>
      </w:pPr>
    </w:p>
    <w:p w14:paraId="6A301699" w14:textId="1F8D984D" w:rsidR="00B707B7" w:rsidRPr="001D2881" w:rsidRDefault="00B707B7" w:rsidP="00B707B7">
      <w:pPr>
        <w:contextualSpacing/>
      </w:pPr>
      <w:r w:rsidRPr="001D2881">
        <w:t xml:space="preserve">This evaluation, conducted jointly by the FDIC and the </w:t>
      </w:r>
      <w:r>
        <w:t>Commonwealth of Massachusetts Division of Banks (</w:t>
      </w:r>
      <w:r w:rsidRPr="001D2881">
        <w:t>Division</w:t>
      </w:r>
      <w:r>
        <w:t>)</w:t>
      </w:r>
      <w:r w:rsidRPr="001D2881">
        <w:t xml:space="preserve">, assesses North Easton Savings Bank’s CRA performance from the prior evaluation, dated November 13, 2017, through the current evaluation, dated November 2, 2020.  Examiners used </w:t>
      </w:r>
      <w:r w:rsidR="00513367">
        <w:t xml:space="preserve">the </w:t>
      </w:r>
      <w:r w:rsidR="00513367" w:rsidRPr="00513367">
        <w:t>Federal Financial Institutions Examination Council</w:t>
      </w:r>
      <w:r w:rsidR="00851EBC">
        <w:t>’s</w:t>
      </w:r>
      <w:r w:rsidR="00513367" w:rsidRPr="00513367">
        <w:t xml:space="preserve"> (FFIEC) </w:t>
      </w:r>
      <w:r w:rsidRPr="001D2881">
        <w:t xml:space="preserve">Intermediate Small </w:t>
      </w:r>
      <w:r>
        <w:t>Bank</w:t>
      </w:r>
      <w:r w:rsidRPr="001D2881">
        <w:t xml:space="preserve"> </w:t>
      </w:r>
      <w:r>
        <w:t xml:space="preserve">(ISB) </w:t>
      </w:r>
      <w:r w:rsidRPr="001D2881">
        <w:t xml:space="preserve">Examination Procedures, consisting of the Small Bank Lending Test and </w:t>
      </w:r>
      <w:r w:rsidR="00FB528E">
        <w:t xml:space="preserve">the </w:t>
      </w:r>
      <w:r w:rsidRPr="001D2881">
        <w:t xml:space="preserve">Community Development Test, to evaluate the bank’s CRA performance. </w:t>
      </w:r>
    </w:p>
    <w:p w14:paraId="51DFCB31" w14:textId="77777777" w:rsidR="00B707B7" w:rsidRPr="001D2881" w:rsidRDefault="00B707B7" w:rsidP="00B707B7">
      <w:pPr>
        <w:contextualSpacing/>
      </w:pPr>
    </w:p>
    <w:p w14:paraId="1182F36A" w14:textId="77777777" w:rsidR="00B707B7" w:rsidRPr="001D2881" w:rsidRDefault="00B707B7" w:rsidP="00B707B7">
      <w:pPr>
        <w:pStyle w:val="Default"/>
        <w:rPr>
          <w:color w:val="auto"/>
        </w:rPr>
      </w:pPr>
      <w:r w:rsidRPr="001D2881">
        <w:rPr>
          <w:color w:val="auto"/>
        </w:rPr>
        <w:t xml:space="preserve">The Lending Test considered the institution’s performance according to the following criteria. </w:t>
      </w:r>
    </w:p>
    <w:p w14:paraId="67C0F076" w14:textId="77777777" w:rsidR="00B707B7" w:rsidRPr="001D2881" w:rsidRDefault="00B707B7" w:rsidP="00B707B7">
      <w:pPr>
        <w:pStyle w:val="Default"/>
        <w:rPr>
          <w:color w:val="auto"/>
        </w:rPr>
      </w:pPr>
    </w:p>
    <w:p w14:paraId="6FD5DF97" w14:textId="77777777" w:rsidR="00B707B7" w:rsidRPr="001D2881" w:rsidRDefault="00B707B7" w:rsidP="00B707B7">
      <w:pPr>
        <w:pStyle w:val="Default"/>
        <w:numPr>
          <w:ilvl w:val="0"/>
          <w:numId w:val="18"/>
        </w:numPr>
        <w:rPr>
          <w:color w:val="auto"/>
        </w:rPr>
      </w:pPr>
      <w:r w:rsidRPr="001D2881">
        <w:rPr>
          <w:color w:val="auto"/>
        </w:rPr>
        <w:t xml:space="preserve">Loan-to-deposit ratio </w:t>
      </w:r>
    </w:p>
    <w:p w14:paraId="7AEFA64D" w14:textId="77777777" w:rsidR="00B707B7" w:rsidRPr="001D2881" w:rsidRDefault="00B707B7" w:rsidP="00B707B7">
      <w:pPr>
        <w:pStyle w:val="Default"/>
        <w:numPr>
          <w:ilvl w:val="0"/>
          <w:numId w:val="18"/>
        </w:numPr>
        <w:rPr>
          <w:color w:val="auto"/>
        </w:rPr>
      </w:pPr>
      <w:r w:rsidRPr="001D2881">
        <w:rPr>
          <w:color w:val="auto"/>
        </w:rPr>
        <w:t xml:space="preserve">Assessment area concentration </w:t>
      </w:r>
    </w:p>
    <w:p w14:paraId="56CBE151" w14:textId="77777777" w:rsidR="00B707B7" w:rsidRPr="001D2881" w:rsidRDefault="00B707B7" w:rsidP="00B707B7">
      <w:pPr>
        <w:pStyle w:val="Default"/>
        <w:numPr>
          <w:ilvl w:val="0"/>
          <w:numId w:val="18"/>
        </w:numPr>
        <w:rPr>
          <w:color w:val="auto"/>
        </w:rPr>
      </w:pPr>
      <w:r w:rsidRPr="001D2881">
        <w:rPr>
          <w:color w:val="auto"/>
        </w:rPr>
        <w:t xml:space="preserve">Geographic distribution </w:t>
      </w:r>
    </w:p>
    <w:p w14:paraId="668FB851" w14:textId="77777777" w:rsidR="00B707B7" w:rsidRPr="001D2881" w:rsidRDefault="00B707B7" w:rsidP="00B707B7">
      <w:pPr>
        <w:pStyle w:val="Default"/>
        <w:numPr>
          <w:ilvl w:val="0"/>
          <w:numId w:val="18"/>
        </w:numPr>
        <w:rPr>
          <w:color w:val="auto"/>
        </w:rPr>
      </w:pPr>
      <w:r w:rsidRPr="001D2881">
        <w:rPr>
          <w:color w:val="auto"/>
        </w:rPr>
        <w:t xml:space="preserve">Borrower profile </w:t>
      </w:r>
    </w:p>
    <w:p w14:paraId="329ED7BD" w14:textId="77777777" w:rsidR="00B707B7" w:rsidRPr="001D2881" w:rsidRDefault="00B707B7" w:rsidP="00B707B7">
      <w:pPr>
        <w:pStyle w:val="Default"/>
        <w:numPr>
          <w:ilvl w:val="0"/>
          <w:numId w:val="18"/>
        </w:numPr>
        <w:rPr>
          <w:color w:val="auto"/>
        </w:rPr>
      </w:pPr>
      <w:r w:rsidRPr="001D2881">
        <w:rPr>
          <w:color w:val="auto"/>
        </w:rPr>
        <w:t xml:space="preserve">Response to CRA-related complaints </w:t>
      </w:r>
    </w:p>
    <w:p w14:paraId="12C73F1C" w14:textId="77777777" w:rsidR="00B707B7" w:rsidRPr="001D2881" w:rsidRDefault="00B707B7" w:rsidP="00B707B7">
      <w:pPr>
        <w:pStyle w:val="Default"/>
        <w:rPr>
          <w:color w:val="auto"/>
        </w:rPr>
      </w:pPr>
    </w:p>
    <w:p w14:paraId="00CCD9A9" w14:textId="77777777" w:rsidR="00B707B7" w:rsidRPr="001D2881" w:rsidRDefault="00B707B7" w:rsidP="00B707B7">
      <w:pPr>
        <w:pStyle w:val="Default"/>
        <w:rPr>
          <w:color w:val="auto"/>
        </w:rPr>
      </w:pPr>
      <w:r w:rsidRPr="001D2881">
        <w:rPr>
          <w:color w:val="auto"/>
        </w:rPr>
        <w:t xml:space="preserve">The Community Development Test considered the following factors. </w:t>
      </w:r>
    </w:p>
    <w:p w14:paraId="4DC6DC9E" w14:textId="77777777" w:rsidR="00B707B7" w:rsidRPr="001D2881" w:rsidRDefault="00B707B7" w:rsidP="00B707B7">
      <w:pPr>
        <w:pStyle w:val="Default"/>
        <w:rPr>
          <w:color w:val="auto"/>
        </w:rPr>
      </w:pPr>
    </w:p>
    <w:p w14:paraId="610A8A64" w14:textId="77777777" w:rsidR="00B707B7" w:rsidRPr="001D2881" w:rsidRDefault="00B707B7" w:rsidP="00B707B7">
      <w:pPr>
        <w:pStyle w:val="Default"/>
        <w:numPr>
          <w:ilvl w:val="0"/>
          <w:numId w:val="18"/>
        </w:numPr>
        <w:rPr>
          <w:color w:val="auto"/>
        </w:rPr>
      </w:pPr>
      <w:r w:rsidRPr="001D2881">
        <w:rPr>
          <w:color w:val="auto"/>
        </w:rPr>
        <w:t>Number and dollar amount of community development loans, qualified investments and community development services</w:t>
      </w:r>
    </w:p>
    <w:p w14:paraId="6C6C0055" w14:textId="77777777" w:rsidR="00B707B7" w:rsidRPr="001D2881" w:rsidRDefault="00B707B7" w:rsidP="00B707B7">
      <w:pPr>
        <w:pStyle w:val="Default"/>
        <w:numPr>
          <w:ilvl w:val="0"/>
          <w:numId w:val="18"/>
        </w:numPr>
        <w:rPr>
          <w:color w:val="auto"/>
        </w:rPr>
      </w:pPr>
      <w:r w:rsidRPr="001D2881">
        <w:rPr>
          <w:color w:val="auto"/>
        </w:rPr>
        <w:t>The responsiveness of such activities to the community development needs of the assessment area</w:t>
      </w:r>
    </w:p>
    <w:p w14:paraId="0655AD33" w14:textId="77777777" w:rsidR="00B707B7" w:rsidRPr="001D2881" w:rsidRDefault="00B707B7" w:rsidP="00B707B7">
      <w:pPr>
        <w:pStyle w:val="Default"/>
        <w:rPr>
          <w:color w:val="auto"/>
        </w:rPr>
      </w:pPr>
    </w:p>
    <w:p w14:paraId="1FE23BCC" w14:textId="77777777" w:rsidR="00B707B7" w:rsidRPr="001D2881" w:rsidRDefault="00B707B7" w:rsidP="00B707B7">
      <w:pPr>
        <w:pStyle w:val="Default"/>
        <w:rPr>
          <w:color w:val="auto"/>
        </w:rPr>
      </w:pPr>
      <w:r w:rsidRPr="001D2881">
        <w:rPr>
          <w:color w:val="auto"/>
        </w:rPr>
        <w:t>Banks must achieve at least a Satisfactory rating under each test to obtain an overall Satisfactory rating.  This evaluation does not include any lending activity performed by affiliates.</w:t>
      </w:r>
    </w:p>
    <w:p w14:paraId="451CB26A" w14:textId="77777777" w:rsidR="00B707B7" w:rsidRPr="001D2881" w:rsidRDefault="00B707B7" w:rsidP="00B707B7">
      <w:pPr>
        <w:tabs>
          <w:tab w:val="left" w:pos="1260"/>
        </w:tabs>
        <w:rPr>
          <w:bCs/>
          <w:iCs/>
        </w:rPr>
      </w:pPr>
    </w:p>
    <w:p w14:paraId="78F553E9" w14:textId="77777777" w:rsidR="00B707B7" w:rsidRPr="001D2881" w:rsidRDefault="00B707B7" w:rsidP="00B707B7">
      <w:pPr>
        <w:tabs>
          <w:tab w:val="left" w:pos="1260"/>
        </w:tabs>
        <w:rPr>
          <w:b/>
          <w:bCs/>
          <w:iCs/>
          <w:u w:val="single"/>
        </w:rPr>
      </w:pPr>
      <w:r w:rsidRPr="001D2881">
        <w:rPr>
          <w:b/>
          <w:bCs/>
          <w:iCs/>
          <w:u w:val="single"/>
        </w:rPr>
        <w:t>Activities Reviewed</w:t>
      </w:r>
    </w:p>
    <w:p w14:paraId="76A115D1" w14:textId="77777777" w:rsidR="00B707B7" w:rsidRPr="001D2881" w:rsidRDefault="00B707B7" w:rsidP="00B707B7">
      <w:pPr>
        <w:tabs>
          <w:tab w:val="left" w:pos="1260"/>
        </w:tabs>
      </w:pPr>
    </w:p>
    <w:p w14:paraId="46F3B188" w14:textId="265F9645" w:rsidR="00B707B7" w:rsidRDefault="00B707B7" w:rsidP="00B707B7">
      <w:r w:rsidRPr="001D2881">
        <w:rPr>
          <w:bCs/>
          <w:iCs/>
        </w:rPr>
        <w:t xml:space="preserve">As part of the Lending Test, examiners considered home mortgage and small business loans based on the bank’s business strategy and the number and dollar volume of loan originations during the evaluation period.  </w:t>
      </w:r>
      <w:r w:rsidRPr="001D2881">
        <w:t xml:space="preserve">Examiners did not consider small farm or consumer lending within the scope of the evaluation due to the nominal percentage of </w:t>
      </w:r>
      <w:r w:rsidR="00BA7915">
        <w:t xml:space="preserve">small </w:t>
      </w:r>
      <w:r w:rsidRPr="001D2881">
        <w:t>farm and consu</w:t>
      </w:r>
      <w:r w:rsidR="00851EBC">
        <w:t>mer loans in the bank’s l</w:t>
      </w:r>
      <w:r w:rsidRPr="001D2881">
        <w:t xml:space="preserve">oan portfolio.  </w:t>
      </w:r>
      <w:r w:rsidRPr="001D2881">
        <w:rPr>
          <w:bCs/>
          <w:iCs/>
        </w:rPr>
        <w:t xml:space="preserve">The bank’s volume of home mortgage loans exceeded its volume of small business loans.  Therefore, examiners </w:t>
      </w:r>
      <w:r w:rsidR="00BA7915">
        <w:rPr>
          <w:bCs/>
          <w:iCs/>
        </w:rPr>
        <w:t>weighed</w:t>
      </w:r>
      <w:r w:rsidR="00C7286D">
        <w:rPr>
          <w:bCs/>
          <w:iCs/>
        </w:rPr>
        <w:t xml:space="preserve"> </w:t>
      </w:r>
      <w:r w:rsidRPr="001D2881">
        <w:rPr>
          <w:bCs/>
          <w:iCs/>
        </w:rPr>
        <w:t>home mortgage lending performance</w:t>
      </w:r>
      <w:r w:rsidR="00BA7915">
        <w:rPr>
          <w:bCs/>
          <w:iCs/>
        </w:rPr>
        <w:t xml:space="preserve"> higher</w:t>
      </w:r>
      <w:r w:rsidRPr="001D2881">
        <w:rPr>
          <w:bCs/>
          <w:iCs/>
        </w:rPr>
        <w:t xml:space="preserve"> </w:t>
      </w:r>
      <w:r w:rsidR="00152F25">
        <w:rPr>
          <w:bCs/>
          <w:iCs/>
        </w:rPr>
        <w:t>when</w:t>
      </w:r>
      <w:r w:rsidR="00BA7915">
        <w:rPr>
          <w:bCs/>
          <w:iCs/>
        </w:rPr>
        <w:t xml:space="preserve"> determining</w:t>
      </w:r>
      <w:r w:rsidRPr="001D2881">
        <w:rPr>
          <w:bCs/>
          <w:iCs/>
        </w:rPr>
        <w:t xml:space="preserve"> overall conclusions.  </w:t>
      </w:r>
    </w:p>
    <w:p w14:paraId="21470013" w14:textId="77777777" w:rsidR="00FB528E" w:rsidRPr="001D2881" w:rsidRDefault="00FB528E" w:rsidP="00B707B7">
      <w:pPr>
        <w:rPr>
          <w:snapToGrid w:val="0"/>
          <w:szCs w:val="28"/>
          <w:lang w:eastAsia="x-none"/>
        </w:rPr>
      </w:pPr>
    </w:p>
    <w:p w14:paraId="0DEE9776" w14:textId="3BED4B4C" w:rsidR="00B707B7" w:rsidRPr="00BC45CE" w:rsidRDefault="00B707B7" w:rsidP="00B707B7">
      <w:pPr>
        <w:pStyle w:val="CommentText"/>
        <w:rPr>
          <w:snapToGrid w:val="0"/>
          <w:sz w:val="24"/>
        </w:rPr>
      </w:pPr>
      <w:r w:rsidRPr="0017376C">
        <w:rPr>
          <w:snapToGrid w:val="0"/>
          <w:sz w:val="24"/>
          <w:szCs w:val="24"/>
          <w:lang w:eastAsia="x-none"/>
        </w:rPr>
        <w:t xml:space="preserve">Examiners analyzed home mortgage lending reported on the </w:t>
      </w:r>
      <w:r w:rsidR="00C36C16">
        <w:rPr>
          <w:snapToGrid w:val="0"/>
          <w:sz w:val="24"/>
          <w:szCs w:val="24"/>
          <w:lang w:eastAsia="x-none"/>
        </w:rPr>
        <w:t xml:space="preserve">bank’s </w:t>
      </w:r>
      <w:r w:rsidRPr="0017376C">
        <w:rPr>
          <w:snapToGrid w:val="0"/>
          <w:sz w:val="24"/>
          <w:szCs w:val="24"/>
          <w:lang w:eastAsia="x-none"/>
        </w:rPr>
        <w:t>2017</w:t>
      </w:r>
      <w:r w:rsidR="00F85BE4">
        <w:rPr>
          <w:snapToGrid w:val="0"/>
          <w:sz w:val="24"/>
          <w:szCs w:val="24"/>
          <w:lang w:eastAsia="x-none"/>
        </w:rPr>
        <w:t xml:space="preserve">, 2018, and </w:t>
      </w:r>
      <w:r w:rsidRPr="0017376C">
        <w:rPr>
          <w:snapToGrid w:val="0"/>
          <w:sz w:val="24"/>
          <w:szCs w:val="24"/>
          <w:lang w:eastAsia="x-none"/>
        </w:rPr>
        <w:t>2019 H</w:t>
      </w:r>
      <w:r w:rsidR="00FB528E">
        <w:rPr>
          <w:snapToGrid w:val="0"/>
          <w:sz w:val="24"/>
          <w:szCs w:val="24"/>
          <w:lang w:eastAsia="x-none"/>
        </w:rPr>
        <w:t xml:space="preserve">ome </w:t>
      </w:r>
      <w:r w:rsidRPr="0017376C">
        <w:rPr>
          <w:snapToGrid w:val="0"/>
          <w:sz w:val="24"/>
          <w:szCs w:val="24"/>
          <w:lang w:eastAsia="x-none"/>
        </w:rPr>
        <w:t>M</w:t>
      </w:r>
      <w:r w:rsidR="00FB528E">
        <w:rPr>
          <w:snapToGrid w:val="0"/>
          <w:sz w:val="24"/>
          <w:szCs w:val="24"/>
          <w:lang w:eastAsia="x-none"/>
        </w:rPr>
        <w:t xml:space="preserve">ortgage </w:t>
      </w:r>
      <w:r w:rsidRPr="0017376C">
        <w:rPr>
          <w:snapToGrid w:val="0"/>
          <w:sz w:val="24"/>
          <w:szCs w:val="24"/>
          <w:lang w:eastAsia="x-none"/>
        </w:rPr>
        <w:t>D</w:t>
      </w:r>
      <w:r w:rsidR="00FB528E">
        <w:rPr>
          <w:snapToGrid w:val="0"/>
          <w:sz w:val="24"/>
          <w:szCs w:val="24"/>
          <w:lang w:eastAsia="x-none"/>
        </w:rPr>
        <w:t xml:space="preserve">isclosure </w:t>
      </w:r>
      <w:r w:rsidRPr="0017376C">
        <w:rPr>
          <w:snapToGrid w:val="0"/>
          <w:sz w:val="24"/>
          <w:szCs w:val="24"/>
          <w:lang w:eastAsia="x-none"/>
        </w:rPr>
        <w:t>A</w:t>
      </w:r>
      <w:r w:rsidR="00FB528E">
        <w:rPr>
          <w:snapToGrid w:val="0"/>
          <w:sz w:val="24"/>
          <w:szCs w:val="24"/>
          <w:lang w:eastAsia="x-none"/>
        </w:rPr>
        <w:t>ct (HMDA)</w:t>
      </w:r>
      <w:r w:rsidRPr="0017376C">
        <w:rPr>
          <w:snapToGrid w:val="0"/>
          <w:sz w:val="24"/>
          <w:szCs w:val="24"/>
          <w:lang w:eastAsia="x-none"/>
        </w:rPr>
        <w:t xml:space="preserve"> </w:t>
      </w:r>
      <w:r w:rsidR="00C36C16">
        <w:rPr>
          <w:snapToGrid w:val="0"/>
          <w:sz w:val="24"/>
          <w:szCs w:val="24"/>
          <w:lang w:eastAsia="x-none"/>
        </w:rPr>
        <w:t>loan application register</w:t>
      </w:r>
      <w:r w:rsidRPr="0017376C">
        <w:rPr>
          <w:snapToGrid w:val="0"/>
          <w:sz w:val="24"/>
          <w:szCs w:val="24"/>
          <w:lang w:eastAsia="x-none"/>
        </w:rPr>
        <w:t xml:space="preserve">s as part of the Lending Test.  The bank reported 213 loans totaling $73.0 million in 2017, 146 loans totaling $46.9 million in 2018, and 414 loans totaling $116.6 million in 2019.  Examiners compared the bank’s lending activity to aggregate lending data </w:t>
      </w:r>
      <w:r w:rsidR="00152F25" w:rsidRPr="00152F25">
        <w:rPr>
          <w:snapToGrid w:val="0"/>
          <w:sz w:val="24"/>
          <w:szCs w:val="24"/>
          <w:lang w:eastAsia="x-none"/>
        </w:rPr>
        <w:t>for each year reviewed, respectively</w:t>
      </w:r>
      <w:r w:rsidR="00152F25">
        <w:rPr>
          <w:snapToGrid w:val="0"/>
          <w:sz w:val="24"/>
          <w:szCs w:val="24"/>
          <w:lang w:eastAsia="x-none"/>
        </w:rPr>
        <w:t xml:space="preserve">, </w:t>
      </w:r>
      <w:r w:rsidRPr="0017376C">
        <w:rPr>
          <w:snapToGrid w:val="0"/>
          <w:sz w:val="24"/>
          <w:szCs w:val="24"/>
          <w:lang w:eastAsia="x-none"/>
        </w:rPr>
        <w:t xml:space="preserve">and demographic data from the 2015 American Community Survey (ACS).  </w:t>
      </w:r>
      <w:r w:rsidR="00E3573E">
        <w:rPr>
          <w:snapToGrid w:val="0"/>
          <w:sz w:val="24"/>
          <w:szCs w:val="24"/>
          <w:lang w:eastAsia="x-none"/>
        </w:rPr>
        <w:t xml:space="preserve">The bank’s lending performance in 2017 was consistent with its 2018 lending performance.  As a result, </w:t>
      </w:r>
      <w:r w:rsidR="00E3573E">
        <w:rPr>
          <w:sz w:val="24"/>
          <w:szCs w:val="24"/>
        </w:rPr>
        <w:t>t</w:t>
      </w:r>
      <w:r w:rsidRPr="0017376C">
        <w:rPr>
          <w:sz w:val="24"/>
          <w:szCs w:val="24"/>
        </w:rPr>
        <w:t xml:space="preserve">his evaluation only presents </w:t>
      </w:r>
      <w:r w:rsidR="00BA7915">
        <w:rPr>
          <w:sz w:val="24"/>
          <w:szCs w:val="24"/>
        </w:rPr>
        <w:t xml:space="preserve">the bank’s </w:t>
      </w:r>
      <w:r w:rsidRPr="0017376C">
        <w:rPr>
          <w:sz w:val="24"/>
          <w:szCs w:val="24"/>
        </w:rPr>
        <w:t xml:space="preserve">2018 and 2019 lending </w:t>
      </w:r>
      <w:r w:rsidRPr="00BC45CE">
        <w:rPr>
          <w:sz w:val="24"/>
          <w:szCs w:val="24"/>
        </w:rPr>
        <w:lastRenderedPageBreak/>
        <w:t xml:space="preserve">performance under the Geographic Distribution and Borrower Profile criteria.  A merger in 2019 notably changed the bank’s </w:t>
      </w:r>
      <w:r w:rsidR="00C36C16">
        <w:rPr>
          <w:sz w:val="24"/>
          <w:szCs w:val="24"/>
        </w:rPr>
        <w:t>lending composition</w:t>
      </w:r>
      <w:r w:rsidRPr="00BC45CE">
        <w:rPr>
          <w:sz w:val="24"/>
          <w:szCs w:val="24"/>
        </w:rPr>
        <w:t xml:space="preserve">, leading to a substantial increase in home mortgage loan originations.  Examiners emphasized 2019 performance when determining conclusions since it is the most recent year of </w:t>
      </w:r>
      <w:r w:rsidR="00152F25">
        <w:rPr>
          <w:sz w:val="24"/>
          <w:szCs w:val="24"/>
        </w:rPr>
        <w:t>available aggregate data</w:t>
      </w:r>
      <w:r w:rsidRPr="00BC45CE">
        <w:rPr>
          <w:sz w:val="24"/>
          <w:szCs w:val="24"/>
        </w:rPr>
        <w:t>.</w:t>
      </w:r>
      <w:r>
        <w:rPr>
          <w:sz w:val="24"/>
          <w:szCs w:val="24"/>
        </w:rPr>
        <w:t xml:space="preserve">  </w:t>
      </w:r>
      <w:r w:rsidR="00FB528E" w:rsidRPr="00FB528E">
        <w:rPr>
          <w:snapToGrid w:val="0"/>
          <w:sz w:val="24"/>
        </w:rPr>
        <w:t xml:space="preserve">Although the evaluation presents the number and dollar volume of loans, examiners emphasized performance by number of loans.  The number of loans is a better indicator of the number of </w:t>
      </w:r>
      <w:r w:rsidR="00152F25">
        <w:rPr>
          <w:snapToGrid w:val="0"/>
          <w:sz w:val="24"/>
        </w:rPr>
        <w:t xml:space="preserve">individuals and </w:t>
      </w:r>
      <w:r w:rsidR="00FB528E" w:rsidRPr="00FB528E">
        <w:rPr>
          <w:snapToGrid w:val="0"/>
          <w:sz w:val="24"/>
        </w:rPr>
        <w:t xml:space="preserve">businesses served.  </w:t>
      </w:r>
    </w:p>
    <w:p w14:paraId="1535304F" w14:textId="77777777" w:rsidR="00B707B7" w:rsidRPr="001D2881" w:rsidRDefault="00B707B7" w:rsidP="00B707B7">
      <w:pPr>
        <w:rPr>
          <w:snapToGrid w:val="0"/>
          <w:szCs w:val="28"/>
          <w:lang w:eastAsia="x-none"/>
        </w:rPr>
      </w:pPr>
    </w:p>
    <w:p w14:paraId="348B0125" w14:textId="77777777" w:rsidR="00B707B7" w:rsidRPr="001D2881" w:rsidRDefault="00B707B7" w:rsidP="00B707B7">
      <w:pPr>
        <w:rPr>
          <w:snapToGrid w:val="0"/>
          <w:szCs w:val="28"/>
          <w:lang w:eastAsia="x-none"/>
        </w:rPr>
      </w:pPr>
      <w:r w:rsidRPr="001D2881">
        <w:rPr>
          <w:snapToGrid w:val="0"/>
          <w:szCs w:val="28"/>
          <w:lang w:eastAsia="x-none"/>
        </w:rPr>
        <w:t xml:space="preserve">Due to </w:t>
      </w:r>
      <w:r>
        <w:rPr>
          <w:snapToGrid w:val="0"/>
          <w:szCs w:val="28"/>
          <w:lang w:eastAsia="x-none"/>
        </w:rPr>
        <w:t xml:space="preserve">its </w:t>
      </w:r>
      <w:r w:rsidRPr="001D2881">
        <w:rPr>
          <w:snapToGrid w:val="0"/>
          <w:szCs w:val="28"/>
          <w:lang w:eastAsia="x-none"/>
        </w:rPr>
        <w:t xml:space="preserve">asset size, the bank is not required to collect or report small business </w:t>
      </w:r>
      <w:r>
        <w:rPr>
          <w:snapToGrid w:val="0"/>
          <w:szCs w:val="28"/>
          <w:lang w:eastAsia="x-none"/>
        </w:rPr>
        <w:t xml:space="preserve">loan </w:t>
      </w:r>
      <w:r w:rsidRPr="001D2881">
        <w:rPr>
          <w:snapToGrid w:val="0"/>
          <w:szCs w:val="28"/>
          <w:lang w:eastAsia="x-none"/>
        </w:rPr>
        <w:t>data</w:t>
      </w:r>
      <w:r>
        <w:rPr>
          <w:snapToGrid w:val="0"/>
          <w:szCs w:val="28"/>
          <w:lang w:eastAsia="x-none"/>
        </w:rPr>
        <w:t>,</w:t>
      </w:r>
      <w:r w:rsidRPr="001D2881">
        <w:rPr>
          <w:snapToGrid w:val="0"/>
          <w:szCs w:val="28"/>
          <w:lang w:eastAsia="x-none"/>
        </w:rPr>
        <w:t xml:space="preserve"> nor did </w:t>
      </w:r>
      <w:r>
        <w:rPr>
          <w:snapToGrid w:val="0"/>
          <w:szCs w:val="28"/>
          <w:lang w:eastAsia="x-none"/>
        </w:rPr>
        <w:t>it</w:t>
      </w:r>
      <w:r w:rsidRPr="001D2881">
        <w:rPr>
          <w:snapToGrid w:val="0"/>
          <w:szCs w:val="28"/>
          <w:lang w:eastAsia="x-none"/>
        </w:rPr>
        <w:t xml:space="preserve"> choose do to so.  </w:t>
      </w:r>
      <w:r>
        <w:rPr>
          <w:snapToGrid w:val="0"/>
          <w:szCs w:val="28"/>
          <w:lang w:eastAsia="x-none"/>
        </w:rPr>
        <w:t xml:space="preserve">Accordingly, examiners selected a sample of small business loans from the most recent full calendar year in order to determine lending performance for this product type.  </w:t>
      </w:r>
      <w:r w:rsidRPr="001D2881">
        <w:rPr>
          <w:snapToGrid w:val="0"/>
          <w:szCs w:val="28"/>
          <w:lang w:eastAsia="x-none"/>
        </w:rPr>
        <w:t>The bank originated 38 small business loans totaling $7.0 million in 2019</w:t>
      </w:r>
      <w:r>
        <w:rPr>
          <w:snapToGrid w:val="0"/>
          <w:szCs w:val="28"/>
          <w:lang w:eastAsia="x-none"/>
        </w:rPr>
        <w:t>, and e</w:t>
      </w:r>
      <w:r w:rsidRPr="001D2881">
        <w:rPr>
          <w:snapToGrid w:val="0"/>
          <w:szCs w:val="28"/>
          <w:lang w:eastAsia="x-none"/>
        </w:rPr>
        <w:t xml:space="preserve">xaminers analyzed and presented a sample of 30 </w:t>
      </w:r>
      <w:r>
        <w:rPr>
          <w:snapToGrid w:val="0"/>
          <w:szCs w:val="28"/>
          <w:lang w:eastAsia="x-none"/>
        </w:rPr>
        <w:t>of those</w:t>
      </w:r>
      <w:r w:rsidRPr="001D2881">
        <w:rPr>
          <w:snapToGrid w:val="0"/>
          <w:szCs w:val="28"/>
          <w:lang w:eastAsia="x-none"/>
        </w:rPr>
        <w:t xml:space="preserve"> loans totaling $5.0 million.  Examiners compared the bank’s small business lending activity to D&amp;B data.</w:t>
      </w:r>
    </w:p>
    <w:p w14:paraId="53B7B5FE" w14:textId="77777777" w:rsidR="00B707B7" w:rsidRPr="001D2881" w:rsidRDefault="00B707B7" w:rsidP="00B707B7">
      <w:pPr>
        <w:rPr>
          <w:snapToGrid w:val="0"/>
          <w:szCs w:val="28"/>
          <w:lang w:eastAsia="x-none"/>
        </w:rPr>
      </w:pPr>
    </w:p>
    <w:p w14:paraId="49CDAB0A" w14:textId="77777777" w:rsidR="00B707B7" w:rsidRPr="001D2881" w:rsidRDefault="00B707B7" w:rsidP="00B707B7">
      <w:pPr>
        <w:rPr>
          <w:bCs/>
          <w:iCs/>
        </w:rPr>
      </w:pPr>
      <w:r w:rsidRPr="001D2881">
        <w:rPr>
          <w:bCs/>
          <w:iCs/>
        </w:rPr>
        <w:t xml:space="preserve">As part of the Community Development Test, examiners </w:t>
      </w:r>
      <w:r w:rsidRPr="001D2881">
        <w:t>considered the number and dollar amount of qualified community development loans, investments, and services throughout the evaluation period</w:t>
      </w:r>
      <w:r>
        <w:t>, which spans from the prior evaluation date of November 13, 2017, through the current evaluation date of November 2, 2020</w:t>
      </w:r>
      <w:r w:rsidRPr="001D2881">
        <w:t xml:space="preserve">.  </w:t>
      </w:r>
    </w:p>
    <w:p w14:paraId="72276955" w14:textId="77777777" w:rsidR="00B707B7" w:rsidRPr="001D2881" w:rsidRDefault="00B707B7" w:rsidP="00B707B7">
      <w:pPr>
        <w:rPr>
          <w:b/>
          <w:sz w:val="28"/>
          <w:szCs w:val="28"/>
        </w:rPr>
      </w:pPr>
    </w:p>
    <w:p w14:paraId="6D00E5C0" w14:textId="77777777" w:rsidR="00B707B7" w:rsidRDefault="00B707B7" w:rsidP="00B707B7">
      <w:pPr>
        <w:rPr>
          <w:b/>
          <w:bCs/>
          <w:spacing w:val="-3"/>
          <w:sz w:val="28"/>
          <w:szCs w:val="20"/>
        </w:rPr>
      </w:pPr>
      <w:r>
        <w:br w:type="page"/>
      </w:r>
    </w:p>
    <w:p w14:paraId="567AEAF6" w14:textId="77777777" w:rsidR="00B707B7" w:rsidRPr="001D2881" w:rsidRDefault="00B707B7" w:rsidP="00B707B7">
      <w:pPr>
        <w:pStyle w:val="Heading1"/>
        <w:rPr>
          <w:sz w:val="24"/>
          <w:szCs w:val="24"/>
        </w:rPr>
      </w:pPr>
      <w:bookmarkStart w:id="3" w:name="_Toc62129960"/>
      <w:r w:rsidRPr="001D2881">
        <w:lastRenderedPageBreak/>
        <w:t>DESCRIPTION OF INSTITUTION</w:t>
      </w:r>
      <w:bookmarkEnd w:id="3"/>
    </w:p>
    <w:p w14:paraId="4494D514" w14:textId="77777777" w:rsidR="00B707B7" w:rsidRPr="001D2881" w:rsidRDefault="00B707B7" w:rsidP="00B707B7">
      <w:pPr>
        <w:tabs>
          <w:tab w:val="center" w:pos="4680"/>
        </w:tabs>
        <w:rPr>
          <w:bCs/>
          <w:spacing w:val="-4"/>
        </w:rPr>
      </w:pPr>
    </w:p>
    <w:p w14:paraId="1CBF47D2" w14:textId="77777777" w:rsidR="00B707B7" w:rsidRPr="001D2881" w:rsidRDefault="00B707B7" w:rsidP="00B707B7">
      <w:pPr>
        <w:rPr>
          <w:b/>
          <w:bCs/>
          <w:iCs/>
          <w:u w:val="single"/>
        </w:rPr>
      </w:pPr>
      <w:r w:rsidRPr="001D2881">
        <w:rPr>
          <w:b/>
          <w:bCs/>
          <w:iCs/>
          <w:u w:val="single"/>
        </w:rPr>
        <w:t>Background</w:t>
      </w:r>
    </w:p>
    <w:p w14:paraId="7132F7D0" w14:textId="77777777" w:rsidR="00B707B7" w:rsidRPr="001D2881" w:rsidRDefault="00B707B7" w:rsidP="00B707B7">
      <w:pPr>
        <w:rPr>
          <w:bCs/>
          <w:iCs/>
        </w:rPr>
      </w:pPr>
    </w:p>
    <w:p w14:paraId="4B59CD10" w14:textId="0E2FD476" w:rsidR="00B707B7" w:rsidRPr="001D2881" w:rsidRDefault="00B707B7" w:rsidP="00B707B7">
      <w:pPr>
        <w:rPr>
          <w:bCs/>
          <w:iCs/>
        </w:rPr>
      </w:pPr>
      <w:r w:rsidRPr="001D2881">
        <w:rPr>
          <w:bCs/>
          <w:iCs/>
        </w:rPr>
        <w:t xml:space="preserve">North Easton Savings Bank is a state-chartered, mutual savings bank headquartered </w:t>
      </w:r>
      <w:r>
        <w:rPr>
          <w:bCs/>
          <w:iCs/>
        </w:rPr>
        <w:t>in South Easton, Massachusetts</w:t>
      </w:r>
      <w:r w:rsidRPr="001D2881">
        <w:rPr>
          <w:bCs/>
          <w:iCs/>
        </w:rPr>
        <w:t xml:space="preserve">.  North Easton Savings Bank operates three wholly owned subsidiaries, </w:t>
      </w:r>
      <w:r>
        <w:rPr>
          <w:bCs/>
          <w:iCs/>
        </w:rPr>
        <w:t xml:space="preserve">none of which </w:t>
      </w:r>
      <w:r w:rsidR="00BA7915">
        <w:rPr>
          <w:bCs/>
          <w:iCs/>
        </w:rPr>
        <w:t>engages</w:t>
      </w:r>
      <w:r>
        <w:rPr>
          <w:bCs/>
          <w:iCs/>
        </w:rPr>
        <w:t xml:space="preserve"> in retail banking</w:t>
      </w:r>
      <w:r w:rsidRPr="001D2881">
        <w:rPr>
          <w:bCs/>
          <w:iCs/>
        </w:rPr>
        <w:t>.</w:t>
      </w:r>
      <w:r>
        <w:rPr>
          <w:bCs/>
          <w:iCs/>
        </w:rPr>
        <w:t xml:space="preserve">  </w:t>
      </w:r>
      <w:r w:rsidRPr="001D2881">
        <w:rPr>
          <w:bCs/>
          <w:iCs/>
        </w:rPr>
        <w:t>North Easton Savings Bank merged with Mutual Bank</w:t>
      </w:r>
      <w:r>
        <w:rPr>
          <w:bCs/>
          <w:iCs/>
        </w:rPr>
        <w:t xml:space="preserve"> of Whitman, Massachusetts</w:t>
      </w:r>
      <w:r w:rsidRPr="001D2881">
        <w:rPr>
          <w:bCs/>
          <w:iCs/>
        </w:rPr>
        <w:t>, a state</w:t>
      </w:r>
      <w:r>
        <w:rPr>
          <w:bCs/>
          <w:iCs/>
        </w:rPr>
        <w:t>-</w:t>
      </w:r>
      <w:r w:rsidRPr="001D2881">
        <w:rPr>
          <w:bCs/>
          <w:iCs/>
        </w:rPr>
        <w:t>chartered mutual bank</w:t>
      </w:r>
      <w:r>
        <w:rPr>
          <w:bCs/>
          <w:iCs/>
        </w:rPr>
        <w:t xml:space="preserve">, </w:t>
      </w:r>
      <w:r w:rsidRPr="001D2881">
        <w:rPr>
          <w:bCs/>
          <w:iCs/>
        </w:rPr>
        <w:t>effective April 29, 2019.</w:t>
      </w:r>
      <w:r>
        <w:rPr>
          <w:bCs/>
          <w:iCs/>
        </w:rPr>
        <w:t xml:space="preserve">  </w:t>
      </w:r>
      <w:r w:rsidRPr="001D2881">
        <w:rPr>
          <w:bCs/>
          <w:iCs/>
        </w:rPr>
        <w:t xml:space="preserve">  </w:t>
      </w:r>
    </w:p>
    <w:p w14:paraId="4F1CCB3C" w14:textId="77777777" w:rsidR="00B707B7" w:rsidRPr="001D2881" w:rsidRDefault="00B707B7" w:rsidP="00B707B7">
      <w:pPr>
        <w:rPr>
          <w:bCs/>
          <w:iCs/>
        </w:rPr>
      </w:pPr>
    </w:p>
    <w:p w14:paraId="1EAD9045" w14:textId="77777777" w:rsidR="00B707B7" w:rsidRPr="001D2881" w:rsidRDefault="00B707B7" w:rsidP="00B707B7">
      <w:pPr>
        <w:rPr>
          <w:bCs/>
          <w:iCs/>
        </w:rPr>
      </w:pPr>
      <w:r w:rsidRPr="001D2881">
        <w:rPr>
          <w:bCs/>
          <w:iCs/>
        </w:rPr>
        <w:t xml:space="preserve">The Division and the FDIC jointly conducted the prior CRA </w:t>
      </w:r>
      <w:r>
        <w:rPr>
          <w:bCs/>
          <w:iCs/>
        </w:rPr>
        <w:t xml:space="preserve">Performance </w:t>
      </w:r>
      <w:r w:rsidRPr="001D2881">
        <w:rPr>
          <w:bCs/>
          <w:iCs/>
        </w:rPr>
        <w:t>Evaluation using IS</w:t>
      </w:r>
      <w:r>
        <w:rPr>
          <w:bCs/>
          <w:iCs/>
        </w:rPr>
        <w:t>B</w:t>
      </w:r>
      <w:r w:rsidRPr="001D2881">
        <w:rPr>
          <w:bCs/>
          <w:iCs/>
        </w:rPr>
        <w:t xml:space="preserve"> Examination Procedures on November 13, 2017</w:t>
      </w:r>
      <w:r>
        <w:rPr>
          <w:bCs/>
          <w:iCs/>
        </w:rPr>
        <w:t xml:space="preserve">, and assigned a </w:t>
      </w:r>
      <w:r w:rsidRPr="001D2881">
        <w:rPr>
          <w:bCs/>
          <w:iCs/>
        </w:rPr>
        <w:t>“Satisfactory”</w:t>
      </w:r>
      <w:r>
        <w:rPr>
          <w:bCs/>
          <w:iCs/>
        </w:rPr>
        <w:t xml:space="preserve"> rating.</w:t>
      </w:r>
    </w:p>
    <w:p w14:paraId="038467E2" w14:textId="77777777" w:rsidR="00B707B7" w:rsidRPr="001D2881" w:rsidRDefault="00B707B7" w:rsidP="00B707B7">
      <w:pPr>
        <w:pStyle w:val="QuickFormat1"/>
        <w:jc w:val="left"/>
        <w:rPr>
          <w:b w:val="0"/>
          <w:bCs/>
          <w:i/>
          <w:color w:val="auto"/>
          <w:sz w:val="24"/>
          <w:szCs w:val="24"/>
        </w:rPr>
      </w:pPr>
    </w:p>
    <w:p w14:paraId="09920127" w14:textId="77777777" w:rsidR="00B707B7" w:rsidRPr="001D2881" w:rsidRDefault="00B707B7" w:rsidP="00B707B7">
      <w:pPr>
        <w:pStyle w:val="QuickFormat1"/>
        <w:jc w:val="left"/>
        <w:rPr>
          <w:iCs/>
          <w:color w:val="auto"/>
          <w:sz w:val="24"/>
          <w:szCs w:val="24"/>
          <w:u w:val="single"/>
        </w:rPr>
      </w:pPr>
      <w:r w:rsidRPr="001D2881">
        <w:rPr>
          <w:iCs/>
          <w:color w:val="auto"/>
          <w:sz w:val="24"/>
          <w:szCs w:val="24"/>
          <w:u w:val="single"/>
        </w:rPr>
        <w:t>Operations</w:t>
      </w:r>
    </w:p>
    <w:p w14:paraId="4142E38D" w14:textId="77777777" w:rsidR="00B707B7" w:rsidRPr="001D2881" w:rsidRDefault="00B707B7" w:rsidP="00B707B7">
      <w:pPr>
        <w:pStyle w:val="Default"/>
        <w:rPr>
          <w:color w:val="auto"/>
        </w:rPr>
      </w:pPr>
    </w:p>
    <w:p w14:paraId="3E205C68" w14:textId="4CEB7B27" w:rsidR="00B707B7" w:rsidRPr="001D2881" w:rsidRDefault="00E3573E" w:rsidP="00B707B7">
      <w:pPr>
        <w:pStyle w:val="Default"/>
        <w:rPr>
          <w:color w:val="auto"/>
        </w:rPr>
      </w:pPr>
      <w:r>
        <w:rPr>
          <w:color w:val="auto"/>
        </w:rPr>
        <w:t>The</w:t>
      </w:r>
      <w:r w:rsidRPr="00E3573E">
        <w:rPr>
          <w:color w:val="auto"/>
        </w:rPr>
        <w:t xml:space="preserve"> bank’s </w:t>
      </w:r>
      <w:r>
        <w:rPr>
          <w:color w:val="auto"/>
        </w:rPr>
        <w:t xml:space="preserve">main office is located </w:t>
      </w:r>
      <w:r w:rsidR="000C285E">
        <w:rPr>
          <w:color w:val="auto"/>
        </w:rPr>
        <w:t xml:space="preserve">in </w:t>
      </w:r>
      <w:r w:rsidRPr="00E3573E">
        <w:rPr>
          <w:color w:val="auto"/>
        </w:rPr>
        <w:t>South Easton</w:t>
      </w:r>
      <w:r>
        <w:rPr>
          <w:color w:val="auto"/>
        </w:rPr>
        <w:t>; however, it is not a full-service branch</w:t>
      </w:r>
      <w:r w:rsidRPr="00E3573E">
        <w:rPr>
          <w:color w:val="auto"/>
        </w:rPr>
        <w:t xml:space="preserve">.  </w:t>
      </w:r>
      <w:r w:rsidR="00B707B7" w:rsidRPr="001D2881">
        <w:rPr>
          <w:color w:val="auto"/>
        </w:rPr>
        <w:t xml:space="preserve">Through the merger with Mutual Bank, North Easton Savings Bank expanded its branch network from </w:t>
      </w:r>
      <w:r w:rsidR="000C285E">
        <w:rPr>
          <w:color w:val="auto"/>
        </w:rPr>
        <w:t xml:space="preserve">9 </w:t>
      </w:r>
      <w:r w:rsidR="00B707B7" w:rsidRPr="001D2881">
        <w:rPr>
          <w:color w:val="auto"/>
        </w:rPr>
        <w:t>full-service branches to</w:t>
      </w:r>
      <w:r w:rsidR="00B707B7">
        <w:rPr>
          <w:color w:val="auto"/>
        </w:rPr>
        <w:t xml:space="preserve"> </w:t>
      </w:r>
      <w:r w:rsidR="00B707B7" w:rsidRPr="001D2881">
        <w:rPr>
          <w:color w:val="auto"/>
        </w:rPr>
        <w:t>18 full-service branches</w:t>
      </w:r>
      <w:r>
        <w:rPr>
          <w:color w:val="auto"/>
        </w:rPr>
        <w:t xml:space="preserve">.  </w:t>
      </w:r>
      <w:r w:rsidR="00B707B7" w:rsidRPr="001D2881">
        <w:rPr>
          <w:color w:val="auto"/>
        </w:rPr>
        <w:t xml:space="preserve">The branches are located in Brockton (2), Carver (1), Easton (1), Halifax (1), Hanson (1), Mansfield (1), Middleboro (1), North Attleborough (1), North Easton (2), Norton (2), Plymouth (1), South Easton (2), and Whitman (2).  Each branch has an </w:t>
      </w:r>
      <w:r w:rsidR="007B13D3">
        <w:rPr>
          <w:color w:val="auto"/>
        </w:rPr>
        <w:t>automated teller machine (</w:t>
      </w:r>
      <w:r w:rsidR="00B707B7" w:rsidRPr="001D2881">
        <w:rPr>
          <w:color w:val="auto"/>
        </w:rPr>
        <w:t>ATM</w:t>
      </w:r>
      <w:r w:rsidR="007B13D3">
        <w:rPr>
          <w:color w:val="auto"/>
        </w:rPr>
        <w:t>)</w:t>
      </w:r>
      <w:r w:rsidR="00B707B7" w:rsidRPr="001D2881">
        <w:rPr>
          <w:color w:val="auto"/>
        </w:rPr>
        <w:t>, and there are additional stand</w:t>
      </w:r>
      <w:r w:rsidR="00B707B7">
        <w:rPr>
          <w:color w:val="auto"/>
        </w:rPr>
        <w:t>-</w:t>
      </w:r>
      <w:r w:rsidR="00B707B7" w:rsidRPr="001D2881">
        <w:rPr>
          <w:color w:val="auto"/>
        </w:rPr>
        <w:t xml:space="preserve">alone ATMs located in Brockton, East Bridgewater, Hanover, Wheaton College in Norton, and Raynham.  </w:t>
      </w:r>
      <w:r w:rsidR="00B707B7">
        <w:rPr>
          <w:color w:val="auto"/>
        </w:rPr>
        <w:t>All of the additional stand-alone ATMs accept deposits</w:t>
      </w:r>
      <w:r w:rsidR="00851EBC">
        <w:rPr>
          <w:color w:val="auto"/>
        </w:rPr>
        <w:t>,</w:t>
      </w:r>
      <w:r w:rsidR="00B707B7">
        <w:rPr>
          <w:color w:val="auto"/>
        </w:rPr>
        <w:t xml:space="preserve"> except the ATM in Norton.  </w:t>
      </w:r>
      <w:r w:rsidR="00B707B7" w:rsidRPr="001D2881">
        <w:rPr>
          <w:color w:val="auto"/>
        </w:rPr>
        <w:t xml:space="preserve">The bank has not closed any branches since the </w:t>
      </w:r>
      <w:r w:rsidR="00C36C16">
        <w:rPr>
          <w:color w:val="auto"/>
        </w:rPr>
        <w:t>previous</w:t>
      </w:r>
      <w:r w:rsidR="00B707B7" w:rsidRPr="001D2881">
        <w:rPr>
          <w:color w:val="auto"/>
        </w:rPr>
        <w:t xml:space="preserve"> evaluation.</w:t>
      </w:r>
    </w:p>
    <w:p w14:paraId="7A85E6DB" w14:textId="77777777" w:rsidR="00B707B7" w:rsidRPr="001D2881" w:rsidRDefault="00B707B7" w:rsidP="00B707B7">
      <w:pPr>
        <w:pStyle w:val="Default"/>
        <w:rPr>
          <w:color w:val="auto"/>
        </w:rPr>
      </w:pPr>
    </w:p>
    <w:p w14:paraId="7DF66108" w14:textId="07E413CD" w:rsidR="00B707B7" w:rsidRPr="001D2881" w:rsidRDefault="00B707B7" w:rsidP="00B707B7">
      <w:pPr>
        <w:pStyle w:val="Default"/>
        <w:rPr>
          <w:color w:val="auto"/>
        </w:rPr>
      </w:pPr>
      <w:r w:rsidRPr="001D2881">
        <w:rPr>
          <w:color w:val="auto"/>
        </w:rPr>
        <w:t xml:space="preserve">North Easton Savings Bank offers home mortgage loans, </w:t>
      </w:r>
      <w:r>
        <w:rPr>
          <w:color w:val="auto"/>
        </w:rPr>
        <w:t>home equity lines of credit (HELOCs)</w:t>
      </w:r>
      <w:r w:rsidRPr="001D2881">
        <w:rPr>
          <w:color w:val="auto"/>
        </w:rPr>
        <w:t>, home equity loans, home improvement loans, and personal loans.  Business loan</w:t>
      </w:r>
      <w:r>
        <w:rPr>
          <w:color w:val="auto"/>
        </w:rPr>
        <w:t xml:space="preserve">s </w:t>
      </w:r>
      <w:r w:rsidRPr="001D2881">
        <w:rPr>
          <w:color w:val="auto"/>
        </w:rPr>
        <w:t>include commercial real</w:t>
      </w:r>
      <w:r w:rsidR="000C285E">
        <w:rPr>
          <w:color w:val="auto"/>
        </w:rPr>
        <w:t xml:space="preserve"> estate loans, commercial lines and </w:t>
      </w:r>
      <w:r w:rsidRPr="001D2881">
        <w:rPr>
          <w:color w:val="auto"/>
        </w:rPr>
        <w:t>letters of credit, worki</w:t>
      </w:r>
      <w:r w:rsidR="000C285E">
        <w:rPr>
          <w:color w:val="auto"/>
        </w:rPr>
        <w:t xml:space="preserve">ng capital plans, and equipment and </w:t>
      </w:r>
      <w:r w:rsidRPr="001D2881">
        <w:rPr>
          <w:color w:val="auto"/>
        </w:rPr>
        <w:t xml:space="preserve">vehicle financing.  The institution provides a variety of deposit </w:t>
      </w:r>
      <w:r>
        <w:rPr>
          <w:color w:val="auto"/>
        </w:rPr>
        <w:t>product</w:t>
      </w:r>
      <w:r w:rsidRPr="001D2881">
        <w:rPr>
          <w:color w:val="auto"/>
        </w:rPr>
        <w:t xml:space="preserve">s that include </w:t>
      </w:r>
      <w:r>
        <w:rPr>
          <w:color w:val="auto"/>
        </w:rPr>
        <w:t xml:space="preserve">consumer </w:t>
      </w:r>
      <w:r w:rsidRPr="001D2881">
        <w:rPr>
          <w:color w:val="auto"/>
        </w:rPr>
        <w:t>checking</w:t>
      </w:r>
      <w:r>
        <w:rPr>
          <w:color w:val="auto"/>
        </w:rPr>
        <w:t xml:space="preserve"> and</w:t>
      </w:r>
      <w:r w:rsidRPr="001D2881">
        <w:rPr>
          <w:color w:val="auto"/>
        </w:rPr>
        <w:t xml:space="preserve"> savings</w:t>
      </w:r>
      <w:r>
        <w:rPr>
          <w:color w:val="auto"/>
        </w:rPr>
        <w:t xml:space="preserve"> accounts</w:t>
      </w:r>
      <w:r w:rsidRPr="001D2881">
        <w:rPr>
          <w:color w:val="auto"/>
        </w:rPr>
        <w:t>, commercial checking and savings</w:t>
      </w:r>
      <w:r w:rsidR="000C285E">
        <w:rPr>
          <w:color w:val="auto"/>
        </w:rPr>
        <w:t xml:space="preserve"> accounts</w:t>
      </w:r>
      <w:r w:rsidRPr="001D2881">
        <w:rPr>
          <w:color w:val="auto"/>
        </w:rPr>
        <w:t>, money market deposit accounts, certificates of deposit, and individual retirement accounts.  Additionally, the bank offers various account access services, such as online an</w:t>
      </w:r>
      <w:r w:rsidR="00BA7915">
        <w:rPr>
          <w:color w:val="auto"/>
        </w:rPr>
        <w:t>d mobile banking with bill pay</w:t>
      </w:r>
      <w:r w:rsidRPr="001D2881">
        <w:rPr>
          <w:color w:val="auto"/>
        </w:rPr>
        <w:t xml:space="preserve">. </w:t>
      </w:r>
    </w:p>
    <w:p w14:paraId="6FF56B50" w14:textId="77777777" w:rsidR="00B707B7" w:rsidRPr="001D2881" w:rsidRDefault="00B707B7" w:rsidP="00B707B7">
      <w:pPr>
        <w:pStyle w:val="QuickFormat1"/>
        <w:jc w:val="left"/>
        <w:rPr>
          <w:b w:val="0"/>
          <w:iCs/>
          <w:color w:val="auto"/>
          <w:sz w:val="24"/>
          <w:szCs w:val="24"/>
          <w:lang w:val="en-US"/>
        </w:rPr>
      </w:pPr>
    </w:p>
    <w:p w14:paraId="3522BC32" w14:textId="77777777" w:rsidR="00B707B7" w:rsidRPr="001D2881" w:rsidRDefault="00B707B7" w:rsidP="00B707B7">
      <w:pPr>
        <w:pStyle w:val="QuickFormat1"/>
        <w:jc w:val="left"/>
        <w:rPr>
          <w:iCs/>
          <w:color w:val="auto"/>
          <w:sz w:val="24"/>
          <w:szCs w:val="24"/>
          <w:u w:val="single"/>
          <w:lang w:val="en-US"/>
        </w:rPr>
      </w:pPr>
      <w:r w:rsidRPr="001D2881">
        <w:rPr>
          <w:iCs/>
          <w:color w:val="auto"/>
          <w:sz w:val="24"/>
          <w:szCs w:val="24"/>
          <w:u w:val="single"/>
        </w:rPr>
        <w:t>Ability and Capacity</w:t>
      </w:r>
    </w:p>
    <w:p w14:paraId="109AA5CE" w14:textId="77777777" w:rsidR="00B707B7" w:rsidRPr="001D2881" w:rsidRDefault="00B707B7" w:rsidP="00B707B7">
      <w:pPr>
        <w:tabs>
          <w:tab w:val="left" w:pos="1260"/>
        </w:tabs>
        <w:rPr>
          <w:iCs/>
        </w:rPr>
      </w:pPr>
    </w:p>
    <w:p w14:paraId="17D788EF" w14:textId="44CB6DB4" w:rsidR="00B707B7" w:rsidRPr="001D2881" w:rsidRDefault="00F85BE4" w:rsidP="00B707B7">
      <w:pPr>
        <w:rPr>
          <w:bCs/>
          <w:iCs/>
        </w:rPr>
      </w:pPr>
      <w:r>
        <w:rPr>
          <w:iCs/>
        </w:rPr>
        <w:t>A</w:t>
      </w:r>
      <w:r w:rsidR="00B707B7" w:rsidRPr="001D2881">
        <w:rPr>
          <w:iCs/>
        </w:rPr>
        <w:t xml:space="preserve">s of September 30, 2020, </w:t>
      </w:r>
      <w:r>
        <w:rPr>
          <w:iCs/>
        </w:rPr>
        <w:t>the bank had assets totaling</w:t>
      </w:r>
      <w:r w:rsidRPr="00F85BE4">
        <w:rPr>
          <w:iCs/>
        </w:rPr>
        <w:t xml:space="preserve"> $1.3 billion</w:t>
      </w:r>
      <w:r>
        <w:rPr>
          <w:iCs/>
        </w:rPr>
        <w:t>,</w:t>
      </w:r>
      <w:r w:rsidRPr="00F85BE4">
        <w:rPr>
          <w:iCs/>
        </w:rPr>
        <w:t xml:space="preserve"> </w:t>
      </w:r>
      <w:r w:rsidR="00B707B7">
        <w:rPr>
          <w:iCs/>
        </w:rPr>
        <w:t>t</w:t>
      </w:r>
      <w:r w:rsidR="00B707B7" w:rsidRPr="001D2881">
        <w:rPr>
          <w:iCs/>
        </w:rPr>
        <w:t>otal loans of $843.9 million represent</w:t>
      </w:r>
      <w:r w:rsidR="00B707B7">
        <w:rPr>
          <w:iCs/>
        </w:rPr>
        <w:t xml:space="preserve">ing </w:t>
      </w:r>
      <w:r w:rsidR="00B707B7" w:rsidRPr="001D2881">
        <w:rPr>
          <w:iCs/>
        </w:rPr>
        <w:t>67.4 percent of total assets</w:t>
      </w:r>
      <w:r>
        <w:rPr>
          <w:iCs/>
        </w:rPr>
        <w:t>, and total deposit of</w:t>
      </w:r>
      <w:r w:rsidR="00B707B7">
        <w:rPr>
          <w:iCs/>
        </w:rPr>
        <w:t xml:space="preserve"> $1.1 billion.  </w:t>
      </w:r>
      <w:r w:rsidR="00C36C16">
        <w:rPr>
          <w:iCs/>
        </w:rPr>
        <w:t>The bank’s t</w:t>
      </w:r>
      <w:r w:rsidR="00B707B7" w:rsidRPr="001D2881">
        <w:rPr>
          <w:iCs/>
        </w:rPr>
        <w:t xml:space="preserve">otal </w:t>
      </w:r>
      <w:r w:rsidR="00B707B7">
        <w:rPr>
          <w:iCs/>
        </w:rPr>
        <w:t xml:space="preserve">assets, </w:t>
      </w:r>
      <w:r w:rsidR="00B707B7" w:rsidRPr="001D2881">
        <w:rPr>
          <w:iCs/>
        </w:rPr>
        <w:t>loans</w:t>
      </w:r>
      <w:r w:rsidR="00B707B7">
        <w:rPr>
          <w:iCs/>
        </w:rPr>
        <w:t>,</w:t>
      </w:r>
      <w:r w:rsidR="00B707B7" w:rsidRPr="001D2881">
        <w:rPr>
          <w:iCs/>
        </w:rPr>
        <w:t xml:space="preserve"> and </w:t>
      </w:r>
      <w:r w:rsidR="00B707B7">
        <w:rPr>
          <w:iCs/>
        </w:rPr>
        <w:t>deposits more than doubled</w:t>
      </w:r>
      <w:r w:rsidR="00C36C16">
        <w:rPr>
          <w:iCs/>
        </w:rPr>
        <w:t xml:space="preserve"> p</w:t>
      </w:r>
      <w:r w:rsidR="00C36C16" w:rsidRPr="00C36C16">
        <w:rPr>
          <w:iCs/>
        </w:rPr>
        <w:t xml:space="preserve">rimarily </w:t>
      </w:r>
      <w:r w:rsidR="00C36C16">
        <w:rPr>
          <w:iCs/>
        </w:rPr>
        <w:t>due to the merger with Mutual Bank</w:t>
      </w:r>
      <w:r w:rsidR="00B707B7" w:rsidRPr="001D2881">
        <w:rPr>
          <w:iCs/>
        </w:rPr>
        <w:t xml:space="preserve">.  </w:t>
      </w:r>
      <w:r w:rsidR="00B707B7">
        <w:rPr>
          <w:iCs/>
        </w:rPr>
        <w:t>A</w:t>
      </w:r>
      <w:r w:rsidR="00B707B7" w:rsidRPr="001D2881">
        <w:rPr>
          <w:bCs/>
          <w:iCs/>
        </w:rPr>
        <w:t xml:space="preserve">s of March 31, 2019, Mutual Bank </w:t>
      </w:r>
      <w:r w:rsidR="00B707B7">
        <w:rPr>
          <w:bCs/>
          <w:iCs/>
        </w:rPr>
        <w:t>had</w:t>
      </w:r>
      <w:r w:rsidR="00B707B7" w:rsidRPr="001D2881">
        <w:rPr>
          <w:bCs/>
          <w:iCs/>
        </w:rPr>
        <w:t xml:space="preserve"> $523.6 million </w:t>
      </w:r>
      <w:r w:rsidR="000C285E">
        <w:rPr>
          <w:bCs/>
          <w:iCs/>
        </w:rPr>
        <w:t xml:space="preserve">in total assets, </w:t>
      </w:r>
      <w:r w:rsidR="00B707B7" w:rsidRPr="001D2881">
        <w:rPr>
          <w:bCs/>
          <w:iCs/>
        </w:rPr>
        <w:t xml:space="preserve">and North Easton Savings Bank </w:t>
      </w:r>
      <w:r w:rsidR="00B707B7">
        <w:rPr>
          <w:bCs/>
          <w:iCs/>
        </w:rPr>
        <w:t>ha</w:t>
      </w:r>
      <w:r w:rsidR="00B707B7" w:rsidRPr="001D2881">
        <w:rPr>
          <w:bCs/>
          <w:iCs/>
        </w:rPr>
        <w:t xml:space="preserve">d $565.7 million in </w:t>
      </w:r>
      <w:r w:rsidR="00B707B7">
        <w:rPr>
          <w:bCs/>
          <w:iCs/>
        </w:rPr>
        <w:t xml:space="preserve">total </w:t>
      </w:r>
      <w:r w:rsidR="00B707B7" w:rsidRPr="001D2881">
        <w:rPr>
          <w:bCs/>
          <w:iCs/>
        </w:rPr>
        <w:t xml:space="preserve">assets.  </w:t>
      </w:r>
    </w:p>
    <w:p w14:paraId="42ACFC09" w14:textId="77777777" w:rsidR="00B707B7" w:rsidRPr="001D2881" w:rsidRDefault="00B707B7" w:rsidP="00B707B7">
      <w:pPr>
        <w:tabs>
          <w:tab w:val="left" w:pos="1260"/>
        </w:tabs>
        <w:rPr>
          <w:iCs/>
          <w:highlight w:val="yellow"/>
        </w:rPr>
      </w:pPr>
    </w:p>
    <w:p w14:paraId="014DBC7D" w14:textId="4E624815" w:rsidR="00B707B7" w:rsidRPr="001D2881" w:rsidRDefault="00851EBC" w:rsidP="00B707B7">
      <w:pPr>
        <w:tabs>
          <w:tab w:val="left" w:pos="1260"/>
        </w:tabs>
        <w:rPr>
          <w:iCs/>
        </w:rPr>
      </w:pPr>
      <w:r w:rsidRPr="00851EBC">
        <w:rPr>
          <w:iCs/>
        </w:rPr>
        <w:t xml:space="preserve">Loans secured by 1-4 family residential properties decreased from 84.0 percent at the prior evaluation, to 59.5 percent as of September 30, 2020.  </w:t>
      </w:r>
      <w:r w:rsidR="00B707B7" w:rsidRPr="001D2881">
        <w:rPr>
          <w:iCs/>
        </w:rPr>
        <w:t xml:space="preserve">The </w:t>
      </w:r>
      <w:r w:rsidR="00B707B7">
        <w:rPr>
          <w:iCs/>
        </w:rPr>
        <w:t xml:space="preserve">bank’s </w:t>
      </w:r>
      <w:r w:rsidR="00B707B7" w:rsidRPr="001D2881">
        <w:rPr>
          <w:iCs/>
        </w:rPr>
        <w:t xml:space="preserve">loan portfolio </w:t>
      </w:r>
      <w:r w:rsidR="00B707B7">
        <w:rPr>
          <w:iCs/>
        </w:rPr>
        <w:t>of</w:t>
      </w:r>
      <w:r w:rsidR="00B707B7" w:rsidRPr="001D2881">
        <w:rPr>
          <w:iCs/>
        </w:rPr>
        <w:t xml:space="preserve"> commercial loans </w:t>
      </w:r>
      <w:r w:rsidR="00B707B7">
        <w:rPr>
          <w:iCs/>
        </w:rPr>
        <w:t>(</w:t>
      </w:r>
      <w:r w:rsidR="00B707B7" w:rsidRPr="001D2881">
        <w:rPr>
          <w:iCs/>
        </w:rPr>
        <w:t xml:space="preserve">loans secured by nonfarm nonresidential properties and </w:t>
      </w:r>
      <w:r w:rsidR="00B707B7">
        <w:rPr>
          <w:iCs/>
        </w:rPr>
        <w:t>commercial and industrial</w:t>
      </w:r>
      <w:r w:rsidR="00B707B7" w:rsidRPr="001D2881">
        <w:rPr>
          <w:iCs/>
        </w:rPr>
        <w:t xml:space="preserve"> loans</w:t>
      </w:r>
      <w:r>
        <w:rPr>
          <w:iCs/>
        </w:rPr>
        <w:t>), increased</w:t>
      </w:r>
      <w:r w:rsidR="00B707B7">
        <w:rPr>
          <w:iCs/>
        </w:rPr>
        <w:t xml:space="preserve"> from </w:t>
      </w:r>
      <w:r w:rsidR="00B707B7" w:rsidRPr="001D2881">
        <w:rPr>
          <w:iCs/>
        </w:rPr>
        <w:t>8.4 percent</w:t>
      </w:r>
      <w:r w:rsidR="00B707B7">
        <w:rPr>
          <w:iCs/>
        </w:rPr>
        <w:t xml:space="preserve"> at the </w:t>
      </w:r>
      <w:r>
        <w:rPr>
          <w:iCs/>
        </w:rPr>
        <w:t>prior</w:t>
      </w:r>
      <w:r w:rsidR="00B707B7">
        <w:rPr>
          <w:iCs/>
        </w:rPr>
        <w:t xml:space="preserve"> evaluation</w:t>
      </w:r>
      <w:r>
        <w:rPr>
          <w:iCs/>
        </w:rPr>
        <w:t>,</w:t>
      </w:r>
      <w:r w:rsidR="00B707B7">
        <w:rPr>
          <w:iCs/>
        </w:rPr>
        <w:t xml:space="preserve"> to </w:t>
      </w:r>
      <w:r w:rsidR="00B707B7" w:rsidRPr="001D2881">
        <w:rPr>
          <w:iCs/>
        </w:rPr>
        <w:t>28.8 percent</w:t>
      </w:r>
      <w:r w:rsidR="00B707B7">
        <w:rPr>
          <w:iCs/>
        </w:rPr>
        <w:t xml:space="preserve"> </w:t>
      </w:r>
      <w:r w:rsidRPr="00851EBC">
        <w:rPr>
          <w:iCs/>
        </w:rPr>
        <w:t xml:space="preserve">as of September 30, 2020.  </w:t>
      </w:r>
      <w:r w:rsidR="00E3573E">
        <w:rPr>
          <w:iCs/>
        </w:rPr>
        <w:t xml:space="preserve">The changes in the loan portfolio </w:t>
      </w:r>
      <w:r>
        <w:rPr>
          <w:iCs/>
        </w:rPr>
        <w:t>are</w:t>
      </w:r>
      <w:r w:rsidR="00E3573E">
        <w:rPr>
          <w:iCs/>
        </w:rPr>
        <w:t xml:space="preserve"> due to the merger.  </w:t>
      </w:r>
      <w:r w:rsidR="00B707B7" w:rsidRPr="001D2881">
        <w:rPr>
          <w:iCs/>
        </w:rPr>
        <w:t xml:space="preserve">The following table illustrates </w:t>
      </w:r>
      <w:r w:rsidR="00AD4219">
        <w:rPr>
          <w:iCs/>
        </w:rPr>
        <w:t>bank’s</w:t>
      </w:r>
      <w:r w:rsidR="00B707B7" w:rsidRPr="001D2881">
        <w:rPr>
          <w:iCs/>
        </w:rPr>
        <w:t xml:space="preserve"> loan portfolio</w:t>
      </w:r>
      <w:r w:rsidR="00AD4219">
        <w:rPr>
          <w:iCs/>
        </w:rPr>
        <w:t xml:space="preserve"> as of September 30, 2020</w:t>
      </w:r>
      <w:r w:rsidR="00B707B7" w:rsidRPr="001D2881">
        <w:rPr>
          <w:iCs/>
        </w:rPr>
        <w:t>.</w:t>
      </w:r>
    </w:p>
    <w:p w14:paraId="1E44CB5F" w14:textId="77777777" w:rsidR="00B707B7" w:rsidRPr="001D2881" w:rsidRDefault="00B707B7" w:rsidP="00B707B7">
      <w:pPr>
        <w:tabs>
          <w:tab w:val="left" w:pos="1260"/>
        </w:tabs>
        <w:rPr>
          <w:iCs/>
        </w:rPr>
      </w:pPr>
    </w:p>
    <w:tbl>
      <w:tblPr>
        <w:tblStyle w:val="TableGrid1"/>
        <w:tblW w:w="0" w:type="auto"/>
        <w:jc w:val="center"/>
        <w:tblLook w:val="04A0" w:firstRow="1" w:lastRow="0" w:firstColumn="1" w:lastColumn="0" w:noHBand="0" w:noVBand="1"/>
      </w:tblPr>
      <w:tblGrid>
        <w:gridCol w:w="5575"/>
        <w:gridCol w:w="1589"/>
        <w:gridCol w:w="1381"/>
      </w:tblGrid>
      <w:tr w:rsidR="00B707B7" w:rsidRPr="00DC7000" w14:paraId="7AA4EB8C" w14:textId="77777777" w:rsidTr="0037354D">
        <w:trPr>
          <w:trHeight w:val="290"/>
          <w:jc w:val="center"/>
        </w:trPr>
        <w:tc>
          <w:tcPr>
            <w:tcW w:w="8545" w:type="dxa"/>
            <w:gridSpan w:val="3"/>
            <w:noWrap/>
            <w:hideMark/>
          </w:tcPr>
          <w:p w14:paraId="503ACBAF" w14:textId="77777777" w:rsidR="00B707B7" w:rsidRPr="00DC7000" w:rsidRDefault="00B707B7" w:rsidP="00E444B1">
            <w:pPr>
              <w:keepNext/>
              <w:jc w:val="center"/>
              <w:rPr>
                <w:b/>
                <w:bCs/>
                <w:color w:val="000000"/>
                <w:sz w:val="20"/>
                <w:szCs w:val="20"/>
              </w:rPr>
            </w:pPr>
            <w:r w:rsidRPr="00DC7000">
              <w:rPr>
                <w:b/>
                <w:bCs/>
                <w:color w:val="000000"/>
                <w:sz w:val="20"/>
                <w:szCs w:val="20"/>
              </w:rPr>
              <w:t>Loan Portfolio Distribution as of 9/30/2020</w:t>
            </w:r>
          </w:p>
        </w:tc>
      </w:tr>
      <w:tr w:rsidR="00B707B7" w:rsidRPr="00DC7000" w14:paraId="753D25A2" w14:textId="77777777" w:rsidTr="0037354D">
        <w:trPr>
          <w:trHeight w:val="290"/>
          <w:jc w:val="center"/>
        </w:trPr>
        <w:tc>
          <w:tcPr>
            <w:tcW w:w="0" w:type="auto"/>
            <w:noWrap/>
            <w:hideMark/>
          </w:tcPr>
          <w:p w14:paraId="23ED62D5" w14:textId="77777777" w:rsidR="00B707B7" w:rsidRPr="00DC7000" w:rsidRDefault="00B707B7" w:rsidP="00E444B1">
            <w:pPr>
              <w:keepNext/>
              <w:rPr>
                <w:b/>
                <w:bCs/>
                <w:color w:val="000000"/>
                <w:sz w:val="20"/>
                <w:szCs w:val="20"/>
              </w:rPr>
            </w:pPr>
            <w:r w:rsidRPr="00DC7000">
              <w:rPr>
                <w:b/>
                <w:bCs/>
                <w:color w:val="000000"/>
                <w:sz w:val="20"/>
                <w:szCs w:val="20"/>
              </w:rPr>
              <w:t>Loan Category</w:t>
            </w:r>
          </w:p>
        </w:tc>
        <w:tc>
          <w:tcPr>
            <w:tcW w:w="0" w:type="auto"/>
            <w:noWrap/>
            <w:hideMark/>
          </w:tcPr>
          <w:p w14:paraId="64F53A5A" w14:textId="77777777" w:rsidR="00B707B7" w:rsidRPr="00DC7000" w:rsidRDefault="00B707B7" w:rsidP="00E444B1">
            <w:pPr>
              <w:keepNext/>
              <w:jc w:val="center"/>
              <w:rPr>
                <w:b/>
                <w:bCs/>
                <w:color w:val="000000"/>
                <w:sz w:val="20"/>
                <w:szCs w:val="20"/>
              </w:rPr>
            </w:pPr>
            <w:r w:rsidRPr="00DC7000">
              <w:rPr>
                <w:b/>
                <w:bCs/>
                <w:color w:val="000000"/>
                <w:sz w:val="20"/>
                <w:szCs w:val="20"/>
              </w:rPr>
              <w:t>$(000s)</w:t>
            </w:r>
          </w:p>
        </w:tc>
        <w:tc>
          <w:tcPr>
            <w:tcW w:w="1381" w:type="dxa"/>
            <w:noWrap/>
            <w:hideMark/>
          </w:tcPr>
          <w:p w14:paraId="2ECC78A5" w14:textId="77777777" w:rsidR="00B707B7" w:rsidRPr="00DC7000" w:rsidRDefault="00B707B7" w:rsidP="00E444B1">
            <w:pPr>
              <w:keepNext/>
              <w:jc w:val="center"/>
              <w:rPr>
                <w:b/>
                <w:bCs/>
                <w:color w:val="000000"/>
                <w:sz w:val="20"/>
                <w:szCs w:val="20"/>
              </w:rPr>
            </w:pPr>
            <w:r w:rsidRPr="00DC7000">
              <w:rPr>
                <w:b/>
                <w:bCs/>
                <w:color w:val="000000"/>
                <w:sz w:val="20"/>
                <w:szCs w:val="20"/>
              </w:rPr>
              <w:t>%</w:t>
            </w:r>
          </w:p>
        </w:tc>
      </w:tr>
      <w:tr w:rsidR="00B707B7" w:rsidRPr="00DC7000" w14:paraId="715D88B8" w14:textId="77777777" w:rsidTr="0037354D">
        <w:trPr>
          <w:trHeight w:val="290"/>
          <w:jc w:val="center"/>
        </w:trPr>
        <w:tc>
          <w:tcPr>
            <w:tcW w:w="5575" w:type="dxa"/>
            <w:noWrap/>
            <w:hideMark/>
          </w:tcPr>
          <w:p w14:paraId="45D9B3EF" w14:textId="77777777" w:rsidR="00B707B7" w:rsidRPr="00DC7000" w:rsidRDefault="00B707B7" w:rsidP="00E444B1">
            <w:pPr>
              <w:keepNext/>
              <w:rPr>
                <w:color w:val="000000"/>
                <w:sz w:val="20"/>
                <w:szCs w:val="20"/>
              </w:rPr>
            </w:pPr>
            <w:r w:rsidRPr="00DC7000">
              <w:rPr>
                <w:color w:val="000000"/>
                <w:sz w:val="20"/>
                <w:szCs w:val="20"/>
              </w:rPr>
              <w:t>Construction, Land Development, and Other Land Loans</w:t>
            </w:r>
          </w:p>
        </w:tc>
        <w:tc>
          <w:tcPr>
            <w:tcW w:w="1589" w:type="dxa"/>
            <w:noWrap/>
            <w:hideMark/>
          </w:tcPr>
          <w:p w14:paraId="4BD8A9DF" w14:textId="1336C06F" w:rsidR="00B707B7" w:rsidRPr="00DC7000" w:rsidRDefault="00B707B7" w:rsidP="0037354D">
            <w:pPr>
              <w:keepNext/>
              <w:jc w:val="center"/>
              <w:rPr>
                <w:color w:val="000000"/>
                <w:sz w:val="20"/>
                <w:szCs w:val="20"/>
              </w:rPr>
            </w:pPr>
            <w:r w:rsidRPr="00DC7000">
              <w:rPr>
                <w:color w:val="000000"/>
                <w:sz w:val="20"/>
                <w:szCs w:val="20"/>
              </w:rPr>
              <w:t>50,357</w:t>
            </w:r>
          </w:p>
        </w:tc>
        <w:tc>
          <w:tcPr>
            <w:tcW w:w="1381" w:type="dxa"/>
            <w:noWrap/>
            <w:hideMark/>
          </w:tcPr>
          <w:p w14:paraId="51F9A5E1" w14:textId="77777777" w:rsidR="00B707B7" w:rsidRPr="00DC7000" w:rsidRDefault="00B707B7" w:rsidP="0037354D">
            <w:pPr>
              <w:keepNext/>
              <w:jc w:val="center"/>
              <w:rPr>
                <w:color w:val="000000"/>
                <w:sz w:val="20"/>
                <w:szCs w:val="20"/>
              </w:rPr>
            </w:pPr>
            <w:r>
              <w:rPr>
                <w:color w:val="000000"/>
                <w:sz w:val="20"/>
                <w:szCs w:val="20"/>
              </w:rPr>
              <w:t>5.9</w:t>
            </w:r>
          </w:p>
        </w:tc>
      </w:tr>
      <w:tr w:rsidR="00B707B7" w:rsidRPr="00DC7000" w14:paraId="693A71C8" w14:textId="77777777" w:rsidTr="0037354D">
        <w:trPr>
          <w:trHeight w:val="290"/>
          <w:jc w:val="center"/>
        </w:trPr>
        <w:tc>
          <w:tcPr>
            <w:tcW w:w="5575" w:type="dxa"/>
            <w:noWrap/>
            <w:hideMark/>
          </w:tcPr>
          <w:p w14:paraId="2C52EED6" w14:textId="77777777" w:rsidR="00B707B7" w:rsidRPr="00DC7000" w:rsidRDefault="00B707B7" w:rsidP="00E444B1">
            <w:pPr>
              <w:keepNext/>
              <w:rPr>
                <w:color w:val="000000"/>
                <w:sz w:val="20"/>
                <w:szCs w:val="20"/>
              </w:rPr>
            </w:pPr>
            <w:r w:rsidRPr="00DC7000">
              <w:rPr>
                <w:color w:val="000000"/>
                <w:sz w:val="20"/>
                <w:szCs w:val="20"/>
              </w:rPr>
              <w:t>Secured by Farmland</w:t>
            </w:r>
          </w:p>
        </w:tc>
        <w:tc>
          <w:tcPr>
            <w:tcW w:w="1589" w:type="dxa"/>
            <w:noWrap/>
            <w:hideMark/>
          </w:tcPr>
          <w:p w14:paraId="04A1421E" w14:textId="3417A3A3" w:rsidR="00B707B7" w:rsidRPr="00DC7000" w:rsidRDefault="00D76C29" w:rsidP="0037354D">
            <w:pPr>
              <w:keepNext/>
              <w:jc w:val="center"/>
              <w:rPr>
                <w:color w:val="000000"/>
                <w:sz w:val="20"/>
                <w:szCs w:val="20"/>
              </w:rPr>
            </w:pPr>
            <w:r>
              <w:rPr>
                <w:color w:val="000000"/>
                <w:sz w:val="20"/>
                <w:szCs w:val="20"/>
              </w:rPr>
              <w:t>0</w:t>
            </w:r>
          </w:p>
        </w:tc>
        <w:tc>
          <w:tcPr>
            <w:tcW w:w="1381" w:type="dxa"/>
            <w:noWrap/>
            <w:hideMark/>
          </w:tcPr>
          <w:p w14:paraId="3972191E" w14:textId="77777777" w:rsidR="00B707B7" w:rsidRPr="00DC7000" w:rsidRDefault="00B707B7" w:rsidP="0037354D">
            <w:pPr>
              <w:keepNext/>
              <w:jc w:val="center"/>
              <w:rPr>
                <w:color w:val="000000"/>
                <w:sz w:val="20"/>
                <w:szCs w:val="20"/>
              </w:rPr>
            </w:pPr>
            <w:r>
              <w:rPr>
                <w:color w:val="000000"/>
                <w:sz w:val="20"/>
                <w:szCs w:val="20"/>
              </w:rPr>
              <w:t>0.0</w:t>
            </w:r>
          </w:p>
        </w:tc>
      </w:tr>
      <w:tr w:rsidR="00B707B7" w:rsidRPr="00DC7000" w14:paraId="3F3C7601" w14:textId="77777777" w:rsidTr="0037354D">
        <w:trPr>
          <w:trHeight w:val="290"/>
          <w:jc w:val="center"/>
        </w:trPr>
        <w:tc>
          <w:tcPr>
            <w:tcW w:w="5575" w:type="dxa"/>
            <w:noWrap/>
            <w:hideMark/>
          </w:tcPr>
          <w:p w14:paraId="022BF65A" w14:textId="77777777" w:rsidR="00B707B7" w:rsidRPr="00DC7000" w:rsidRDefault="00B707B7" w:rsidP="00E444B1">
            <w:pPr>
              <w:keepNext/>
              <w:rPr>
                <w:color w:val="000000"/>
                <w:sz w:val="20"/>
                <w:szCs w:val="20"/>
              </w:rPr>
            </w:pPr>
            <w:r w:rsidRPr="00DC7000">
              <w:rPr>
                <w:color w:val="000000"/>
                <w:sz w:val="20"/>
                <w:szCs w:val="20"/>
              </w:rPr>
              <w:t>Secured by 1-4 Family Residential Properties</w:t>
            </w:r>
          </w:p>
        </w:tc>
        <w:tc>
          <w:tcPr>
            <w:tcW w:w="1589" w:type="dxa"/>
            <w:noWrap/>
            <w:hideMark/>
          </w:tcPr>
          <w:p w14:paraId="6B96955D" w14:textId="7F321B25" w:rsidR="00B707B7" w:rsidRPr="00DC7000" w:rsidRDefault="00B707B7" w:rsidP="0037354D">
            <w:pPr>
              <w:keepNext/>
              <w:jc w:val="center"/>
              <w:rPr>
                <w:color w:val="000000"/>
                <w:sz w:val="20"/>
                <w:szCs w:val="20"/>
              </w:rPr>
            </w:pPr>
            <w:r w:rsidRPr="00DC7000">
              <w:rPr>
                <w:color w:val="000000"/>
                <w:sz w:val="20"/>
                <w:szCs w:val="20"/>
              </w:rPr>
              <w:t>504,450</w:t>
            </w:r>
          </w:p>
        </w:tc>
        <w:tc>
          <w:tcPr>
            <w:tcW w:w="1381" w:type="dxa"/>
            <w:noWrap/>
            <w:hideMark/>
          </w:tcPr>
          <w:p w14:paraId="0AECF33F" w14:textId="25CE26E2" w:rsidR="00B707B7" w:rsidRPr="00DC7000" w:rsidRDefault="00B707B7" w:rsidP="000C285E">
            <w:pPr>
              <w:keepNext/>
              <w:jc w:val="center"/>
              <w:rPr>
                <w:color w:val="000000"/>
                <w:sz w:val="20"/>
                <w:szCs w:val="20"/>
              </w:rPr>
            </w:pPr>
            <w:r>
              <w:rPr>
                <w:color w:val="000000"/>
                <w:sz w:val="20"/>
                <w:szCs w:val="20"/>
              </w:rPr>
              <w:t>59.</w:t>
            </w:r>
            <w:r w:rsidR="000C285E">
              <w:rPr>
                <w:color w:val="000000"/>
                <w:sz w:val="20"/>
                <w:szCs w:val="20"/>
              </w:rPr>
              <w:t>5</w:t>
            </w:r>
          </w:p>
        </w:tc>
      </w:tr>
      <w:tr w:rsidR="00B707B7" w:rsidRPr="00DC7000" w14:paraId="0F31D706" w14:textId="77777777" w:rsidTr="0037354D">
        <w:trPr>
          <w:trHeight w:val="290"/>
          <w:jc w:val="center"/>
        </w:trPr>
        <w:tc>
          <w:tcPr>
            <w:tcW w:w="5575" w:type="dxa"/>
            <w:noWrap/>
            <w:hideMark/>
          </w:tcPr>
          <w:p w14:paraId="0D87CE19" w14:textId="77777777" w:rsidR="00B707B7" w:rsidRPr="00DC7000" w:rsidRDefault="00B707B7" w:rsidP="00E444B1">
            <w:pPr>
              <w:keepNext/>
              <w:rPr>
                <w:color w:val="000000"/>
                <w:sz w:val="20"/>
                <w:szCs w:val="20"/>
              </w:rPr>
            </w:pPr>
            <w:r w:rsidRPr="00DC7000">
              <w:rPr>
                <w:color w:val="000000"/>
                <w:sz w:val="20"/>
                <w:szCs w:val="20"/>
              </w:rPr>
              <w:t>Secured by Multi-family (5 or more) Residential Properties</w:t>
            </w:r>
          </w:p>
        </w:tc>
        <w:tc>
          <w:tcPr>
            <w:tcW w:w="1589" w:type="dxa"/>
            <w:noWrap/>
            <w:hideMark/>
          </w:tcPr>
          <w:p w14:paraId="2DFA3E5E" w14:textId="31FB4700" w:rsidR="00B707B7" w:rsidRPr="00DC7000" w:rsidRDefault="00B707B7" w:rsidP="0037354D">
            <w:pPr>
              <w:keepNext/>
              <w:jc w:val="center"/>
              <w:rPr>
                <w:color w:val="000000"/>
                <w:sz w:val="20"/>
                <w:szCs w:val="20"/>
              </w:rPr>
            </w:pPr>
            <w:r w:rsidRPr="00DC7000">
              <w:rPr>
                <w:color w:val="000000"/>
                <w:sz w:val="20"/>
                <w:szCs w:val="20"/>
              </w:rPr>
              <w:t>21,377</w:t>
            </w:r>
          </w:p>
        </w:tc>
        <w:tc>
          <w:tcPr>
            <w:tcW w:w="1381" w:type="dxa"/>
            <w:noWrap/>
            <w:hideMark/>
          </w:tcPr>
          <w:p w14:paraId="74377935" w14:textId="77777777" w:rsidR="00B707B7" w:rsidRPr="00DC7000" w:rsidRDefault="00B707B7" w:rsidP="0037354D">
            <w:pPr>
              <w:keepNext/>
              <w:jc w:val="center"/>
              <w:rPr>
                <w:color w:val="000000"/>
                <w:sz w:val="20"/>
                <w:szCs w:val="20"/>
              </w:rPr>
            </w:pPr>
            <w:r>
              <w:rPr>
                <w:color w:val="000000"/>
                <w:sz w:val="20"/>
                <w:szCs w:val="20"/>
              </w:rPr>
              <w:t>2.5</w:t>
            </w:r>
          </w:p>
        </w:tc>
      </w:tr>
      <w:tr w:rsidR="00B707B7" w:rsidRPr="00DC7000" w14:paraId="4AC98968" w14:textId="77777777" w:rsidTr="0037354D">
        <w:trPr>
          <w:trHeight w:val="290"/>
          <w:jc w:val="center"/>
        </w:trPr>
        <w:tc>
          <w:tcPr>
            <w:tcW w:w="5575" w:type="dxa"/>
            <w:noWrap/>
            <w:hideMark/>
          </w:tcPr>
          <w:p w14:paraId="0612C2E5" w14:textId="77777777" w:rsidR="00B707B7" w:rsidRPr="00DC7000" w:rsidRDefault="00B707B7" w:rsidP="00E444B1">
            <w:pPr>
              <w:keepNext/>
              <w:rPr>
                <w:color w:val="000000"/>
                <w:sz w:val="20"/>
                <w:szCs w:val="20"/>
              </w:rPr>
            </w:pPr>
            <w:r w:rsidRPr="00DC7000">
              <w:rPr>
                <w:color w:val="000000"/>
                <w:sz w:val="20"/>
                <w:szCs w:val="20"/>
              </w:rPr>
              <w:t>Secured by Non-farm Non-Residential Properties</w:t>
            </w:r>
          </w:p>
        </w:tc>
        <w:tc>
          <w:tcPr>
            <w:tcW w:w="1589" w:type="dxa"/>
            <w:noWrap/>
            <w:hideMark/>
          </w:tcPr>
          <w:p w14:paraId="18CB8A22" w14:textId="1136C41E" w:rsidR="00B707B7" w:rsidRPr="00DC7000" w:rsidRDefault="00B707B7" w:rsidP="0037354D">
            <w:pPr>
              <w:keepNext/>
              <w:jc w:val="center"/>
              <w:rPr>
                <w:color w:val="000000"/>
                <w:sz w:val="20"/>
                <w:szCs w:val="20"/>
              </w:rPr>
            </w:pPr>
            <w:r w:rsidRPr="00DC7000">
              <w:rPr>
                <w:color w:val="000000"/>
                <w:sz w:val="20"/>
                <w:szCs w:val="20"/>
              </w:rPr>
              <w:t>153,023</w:t>
            </w:r>
          </w:p>
        </w:tc>
        <w:tc>
          <w:tcPr>
            <w:tcW w:w="1381" w:type="dxa"/>
            <w:noWrap/>
            <w:hideMark/>
          </w:tcPr>
          <w:p w14:paraId="537F0401" w14:textId="77777777" w:rsidR="00B707B7" w:rsidRPr="00DC7000" w:rsidRDefault="00B707B7" w:rsidP="0037354D">
            <w:pPr>
              <w:keepNext/>
              <w:jc w:val="center"/>
              <w:rPr>
                <w:color w:val="000000"/>
                <w:sz w:val="20"/>
                <w:szCs w:val="20"/>
              </w:rPr>
            </w:pPr>
            <w:r>
              <w:rPr>
                <w:color w:val="000000"/>
                <w:sz w:val="20"/>
                <w:szCs w:val="20"/>
              </w:rPr>
              <w:t>18.0</w:t>
            </w:r>
          </w:p>
        </w:tc>
      </w:tr>
      <w:tr w:rsidR="00B707B7" w:rsidRPr="00DC7000" w14:paraId="10DB2E94" w14:textId="77777777" w:rsidTr="0037354D">
        <w:trPr>
          <w:trHeight w:val="290"/>
          <w:jc w:val="center"/>
        </w:trPr>
        <w:tc>
          <w:tcPr>
            <w:tcW w:w="5575" w:type="dxa"/>
            <w:noWrap/>
            <w:hideMark/>
          </w:tcPr>
          <w:p w14:paraId="30A93BF7" w14:textId="77777777" w:rsidR="00B707B7" w:rsidRPr="00DC7000" w:rsidRDefault="00B707B7" w:rsidP="00E444B1">
            <w:pPr>
              <w:keepNext/>
              <w:rPr>
                <w:b/>
                <w:bCs/>
                <w:color w:val="000000"/>
                <w:sz w:val="20"/>
                <w:szCs w:val="20"/>
              </w:rPr>
            </w:pPr>
            <w:r w:rsidRPr="00DC7000">
              <w:rPr>
                <w:b/>
                <w:bCs/>
                <w:color w:val="000000"/>
                <w:sz w:val="20"/>
                <w:szCs w:val="20"/>
              </w:rPr>
              <w:t>Total Real Estate Loans</w:t>
            </w:r>
          </w:p>
        </w:tc>
        <w:tc>
          <w:tcPr>
            <w:tcW w:w="1589" w:type="dxa"/>
            <w:noWrap/>
            <w:hideMark/>
          </w:tcPr>
          <w:p w14:paraId="676E3CC2" w14:textId="2DED11DE" w:rsidR="00B707B7" w:rsidRPr="0037354D" w:rsidRDefault="00B707B7" w:rsidP="0037354D">
            <w:pPr>
              <w:keepNext/>
              <w:jc w:val="center"/>
              <w:rPr>
                <w:b/>
                <w:color w:val="000000"/>
                <w:sz w:val="20"/>
                <w:szCs w:val="20"/>
              </w:rPr>
            </w:pPr>
            <w:r w:rsidRPr="0037354D">
              <w:rPr>
                <w:b/>
                <w:color w:val="000000"/>
                <w:sz w:val="20"/>
                <w:szCs w:val="20"/>
              </w:rPr>
              <w:t>729,207</w:t>
            </w:r>
          </w:p>
        </w:tc>
        <w:tc>
          <w:tcPr>
            <w:tcW w:w="1381" w:type="dxa"/>
            <w:noWrap/>
            <w:hideMark/>
          </w:tcPr>
          <w:p w14:paraId="0B1DCA01" w14:textId="77777777" w:rsidR="00B707B7" w:rsidRPr="0037354D" w:rsidRDefault="00B707B7" w:rsidP="0037354D">
            <w:pPr>
              <w:keepNext/>
              <w:jc w:val="center"/>
              <w:rPr>
                <w:b/>
                <w:color w:val="000000"/>
                <w:sz w:val="20"/>
                <w:szCs w:val="20"/>
              </w:rPr>
            </w:pPr>
            <w:r w:rsidRPr="0037354D">
              <w:rPr>
                <w:b/>
                <w:color w:val="000000"/>
                <w:sz w:val="20"/>
                <w:szCs w:val="20"/>
              </w:rPr>
              <w:t>85.9</w:t>
            </w:r>
          </w:p>
        </w:tc>
      </w:tr>
      <w:tr w:rsidR="00B707B7" w:rsidRPr="00DC7000" w14:paraId="118EC1EB" w14:textId="77777777" w:rsidTr="0037354D">
        <w:trPr>
          <w:trHeight w:val="290"/>
          <w:jc w:val="center"/>
        </w:trPr>
        <w:tc>
          <w:tcPr>
            <w:tcW w:w="5575" w:type="dxa"/>
            <w:noWrap/>
            <w:hideMark/>
          </w:tcPr>
          <w:p w14:paraId="4396AFAB" w14:textId="77777777" w:rsidR="00B707B7" w:rsidRPr="00DC7000" w:rsidRDefault="00B707B7" w:rsidP="00E444B1">
            <w:pPr>
              <w:keepNext/>
              <w:rPr>
                <w:color w:val="000000"/>
                <w:sz w:val="20"/>
                <w:szCs w:val="20"/>
              </w:rPr>
            </w:pPr>
            <w:r w:rsidRPr="00DC7000">
              <w:rPr>
                <w:color w:val="000000"/>
                <w:sz w:val="20"/>
                <w:szCs w:val="20"/>
              </w:rPr>
              <w:t>Commercial and Industrial Loans</w:t>
            </w:r>
          </w:p>
        </w:tc>
        <w:tc>
          <w:tcPr>
            <w:tcW w:w="1589" w:type="dxa"/>
            <w:noWrap/>
            <w:hideMark/>
          </w:tcPr>
          <w:p w14:paraId="06DE0D0A" w14:textId="12078581" w:rsidR="00B707B7" w:rsidRPr="00DC7000" w:rsidRDefault="00B707B7" w:rsidP="0037354D">
            <w:pPr>
              <w:keepNext/>
              <w:jc w:val="center"/>
              <w:rPr>
                <w:color w:val="000000"/>
                <w:sz w:val="20"/>
                <w:szCs w:val="20"/>
              </w:rPr>
            </w:pPr>
            <w:r w:rsidRPr="00DC7000">
              <w:rPr>
                <w:color w:val="000000"/>
                <w:sz w:val="20"/>
                <w:szCs w:val="20"/>
              </w:rPr>
              <w:t>91,605</w:t>
            </w:r>
          </w:p>
        </w:tc>
        <w:tc>
          <w:tcPr>
            <w:tcW w:w="1381" w:type="dxa"/>
            <w:noWrap/>
            <w:hideMark/>
          </w:tcPr>
          <w:p w14:paraId="0FA6EAEA" w14:textId="77777777" w:rsidR="00B707B7" w:rsidRPr="00DC7000" w:rsidRDefault="00B707B7" w:rsidP="0037354D">
            <w:pPr>
              <w:keepNext/>
              <w:jc w:val="center"/>
              <w:rPr>
                <w:color w:val="000000"/>
                <w:sz w:val="20"/>
                <w:szCs w:val="20"/>
              </w:rPr>
            </w:pPr>
            <w:r>
              <w:rPr>
                <w:color w:val="000000"/>
                <w:sz w:val="20"/>
                <w:szCs w:val="20"/>
              </w:rPr>
              <w:t>10.8</w:t>
            </w:r>
          </w:p>
        </w:tc>
      </w:tr>
      <w:tr w:rsidR="00B707B7" w:rsidRPr="00DC7000" w14:paraId="00ECEC6D" w14:textId="77777777" w:rsidTr="0037354D">
        <w:trPr>
          <w:trHeight w:val="290"/>
          <w:jc w:val="center"/>
        </w:trPr>
        <w:tc>
          <w:tcPr>
            <w:tcW w:w="5575" w:type="dxa"/>
            <w:noWrap/>
            <w:hideMark/>
          </w:tcPr>
          <w:p w14:paraId="2CB1FC9C" w14:textId="77777777" w:rsidR="00B707B7" w:rsidRPr="00DC7000" w:rsidRDefault="00B707B7" w:rsidP="00E444B1">
            <w:pPr>
              <w:keepNext/>
              <w:rPr>
                <w:color w:val="000000"/>
                <w:sz w:val="20"/>
                <w:szCs w:val="20"/>
              </w:rPr>
            </w:pPr>
            <w:r w:rsidRPr="00DC7000">
              <w:rPr>
                <w:color w:val="000000"/>
                <w:sz w:val="20"/>
                <w:szCs w:val="20"/>
              </w:rPr>
              <w:t>Agricultural Production and Other Loans to Farmers</w:t>
            </w:r>
          </w:p>
        </w:tc>
        <w:tc>
          <w:tcPr>
            <w:tcW w:w="1589" w:type="dxa"/>
            <w:noWrap/>
            <w:hideMark/>
          </w:tcPr>
          <w:p w14:paraId="4334B4E7" w14:textId="09ED6914" w:rsidR="00B707B7" w:rsidRPr="00DC7000" w:rsidRDefault="00D76C29" w:rsidP="0037354D">
            <w:pPr>
              <w:keepNext/>
              <w:jc w:val="center"/>
              <w:rPr>
                <w:color w:val="000000"/>
                <w:sz w:val="20"/>
                <w:szCs w:val="20"/>
              </w:rPr>
            </w:pPr>
            <w:r>
              <w:rPr>
                <w:color w:val="000000"/>
                <w:sz w:val="20"/>
                <w:szCs w:val="20"/>
              </w:rPr>
              <w:t>0</w:t>
            </w:r>
          </w:p>
        </w:tc>
        <w:tc>
          <w:tcPr>
            <w:tcW w:w="1381" w:type="dxa"/>
            <w:noWrap/>
            <w:hideMark/>
          </w:tcPr>
          <w:p w14:paraId="580CDFA7" w14:textId="77777777" w:rsidR="00B707B7" w:rsidRPr="00DC7000" w:rsidRDefault="00B707B7" w:rsidP="0037354D">
            <w:pPr>
              <w:keepNext/>
              <w:jc w:val="center"/>
              <w:rPr>
                <w:color w:val="000000"/>
                <w:sz w:val="20"/>
                <w:szCs w:val="20"/>
              </w:rPr>
            </w:pPr>
            <w:r>
              <w:rPr>
                <w:color w:val="000000"/>
                <w:sz w:val="20"/>
                <w:szCs w:val="20"/>
              </w:rPr>
              <w:t>0.0</w:t>
            </w:r>
          </w:p>
        </w:tc>
      </w:tr>
      <w:tr w:rsidR="00B707B7" w:rsidRPr="00DC7000" w14:paraId="2900B301" w14:textId="77777777" w:rsidTr="0037354D">
        <w:trPr>
          <w:trHeight w:val="290"/>
          <w:jc w:val="center"/>
        </w:trPr>
        <w:tc>
          <w:tcPr>
            <w:tcW w:w="5575" w:type="dxa"/>
            <w:noWrap/>
            <w:hideMark/>
          </w:tcPr>
          <w:p w14:paraId="1C36D483" w14:textId="77777777" w:rsidR="00B707B7" w:rsidRPr="00DC7000" w:rsidRDefault="00B707B7" w:rsidP="00E444B1">
            <w:pPr>
              <w:keepNext/>
              <w:rPr>
                <w:color w:val="000000"/>
                <w:sz w:val="20"/>
                <w:szCs w:val="20"/>
              </w:rPr>
            </w:pPr>
            <w:r w:rsidRPr="00DC7000">
              <w:rPr>
                <w:color w:val="000000"/>
                <w:sz w:val="20"/>
                <w:szCs w:val="20"/>
              </w:rPr>
              <w:t>Consumer</w:t>
            </w:r>
          </w:p>
        </w:tc>
        <w:tc>
          <w:tcPr>
            <w:tcW w:w="1589" w:type="dxa"/>
            <w:noWrap/>
            <w:hideMark/>
          </w:tcPr>
          <w:p w14:paraId="7E8360EE" w14:textId="3F9B39AC" w:rsidR="00B707B7" w:rsidRPr="00DC7000" w:rsidRDefault="00B707B7" w:rsidP="0037354D">
            <w:pPr>
              <w:keepNext/>
              <w:jc w:val="center"/>
              <w:rPr>
                <w:color w:val="000000"/>
                <w:sz w:val="20"/>
                <w:szCs w:val="20"/>
              </w:rPr>
            </w:pPr>
            <w:r w:rsidRPr="00DC7000">
              <w:rPr>
                <w:color w:val="000000"/>
                <w:sz w:val="20"/>
                <w:szCs w:val="20"/>
              </w:rPr>
              <w:t>27,911</w:t>
            </w:r>
          </w:p>
        </w:tc>
        <w:tc>
          <w:tcPr>
            <w:tcW w:w="1381" w:type="dxa"/>
            <w:noWrap/>
            <w:hideMark/>
          </w:tcPr>
          <w:p w14:paraId="112A90C6" w14:textId="77777777" w:rsidR="00B707B7" w:rsidRPr="00DC7000" w:rsidRDefault="00B707B7" w:rsidP="0037354D">
            <w:pPr>
              <w:keepNext/>
              <w:jc w:val="center"/>
              <w:rPr>
                <w:color w:val="000000"/>
                <w:sz w:val="20"/>
                <w:szCs w:val="20"/>
              </w:rPr>
            </w:pPr>
            <w:r>
              <w:rPr>
                <w:color w:val="000000"/>
                <w:sz w:val="20"/>
                <w:szCs w:val="20"/>
              </w:rPr>
              <w:t>3.3</w:t>
            </w:r>
          </w:p>
        </w:tc>
      </w:tr>
      <w:tr w:rsidR="00B707B7" w:rsidRPr="00DC7000" w14:paraId="7F9EBC50" w14:textId="77777777" w:rsidTr="0037354D">
        <w:trPr>
          <w:trHeight w:val="290"/>
          <w:jc w:val="center"/>
        </w:trPr>
        <w:tc>
          <w:tcPr>
            <w:tcW w:w="5575" w:type="dxa"/>
            <w:noWrap/>
            <w:hideMark/>
          </w:tcPr>
          <w:p w14:paraId="1ADFF43F" w14:textId="77777777" w:rsidR="00B707B7" w:rsidRPr="00DC7000" w:rsidRDefault="00B707B7" w:rsidP="00E444B1">
            <w:pPr>
              <w:keepNext/>
              <w:rPr>
                <w:color w:val="000000"/>
                <w:sz w:val="20"/>
                <w:szCs w:val="20"/>
              </w:rPr>
            </w:pPr>
            <w:r w:rsidRPr="00DC7000">
              <w:rPr>
                <w:color w:val="000000"/>
                <w:sz w:val="20"/>
                <w:szCs w:val="20"/>
              </w:rPr>
              <w:t>Obligations of States and Political Subdivisions in the United States</w:t>
            </w:r>
          </w:p>
        </w:tc>
        <w:tc>
          <w:tcPr>
            <w:tcW w:w="1589" w:type="dxa"/>
            <w:noWrap/>
            <w:vAlign w:val="center"/>
            <w:hideMark/>
          </w:tcPr>
          <w:p w14:paraId="1CA9E849" w14:textId="73E4D4F7" w:rsidR="00B707B7" w:rsidRPr="00DC7000" w:rsidRDefault="00D76C29" w:rsidP="0037354D">
            <w:pPr>
              <w:keepNext/>
              <w:jc w:val="center"/>
              <w:rPr>
                <w:color w:val="000000"/>
                <w:sz w:val="20"/>
                <w:szCs w:val="20"/>
              </w:rPr>
            </w:pPr>
            <w:r>
              <w:rPr>
                <w:color w:val="000000"/>
                <w:sz w:val="20"/>
                <w:szCs w:val="20"/>
              </w:rPr>
              <w:t>0</w:t>
            </w:r>
          </w:p>
        </w:tc>
        <w:tc>
          <w:tcPr>
            <w:tcW w:w="1381" w:type="dxa"/>
            <w:noWrap/>
            <w:vAlign w:val="center"/>
            <w:hideMark/>
          </w:tcPr>
          <w:p w14:paraId="3D40F25D" w14:textId="77777777" w:rsidR="00B707B7" w:rsidRPr="00DC7000" w:rsidRDefault="00B707B7" w:rsidP="0037354D">
            <w:pPr>
              <w:keepNext/>
              <w:jc w:val="center"/>
              <w:rPr>
                <w:color w:val="000000"/>
                <w:sz w:val="20"/>
                <w:szCs w:val="20"/>
              </w:rPr>
            </w:pPr>
            <w:r>
              <w:rPr>
                <w:color w:val="000000"/>
                <w:sz w:val="20"/>
                <w:szCs w:val="20"/>
              </w:rPr>
              <w:t>0.0</w:t>
            </w:r>
          </w:p>
        </w:tc>
      </w:tr>
      <w:tr w:rsidR="00B707B7" w:rsidRPr="00DC7000" w14:paraId="4C98BEE8" w14:textId="77777777" w:rsidTr="0037354D">
        <w:trPr>
          <w:trHeight w:val="290"/>
          <w:jc w:val="center"/>
        </w:trPr>
        <w:tc>
          <w:tcPr>
            <w:tcW w:w="5575" w:type="dxa"/>
            <w:noWrap/>
            <w:hideMark/>
          </w:tcPr>
          <w:p w14:paraId="07AB43CC" w14:textId="77777777" w:rsidR="00B707B7" w:rsidRPr="00DC7000" w:rsidRDefault="00B707B7" w:rsidP="00E444B1">
            <w:pPr>
              <w:keepNext/>
              <w:rPr>
                <w:color w:val="000000"/>
                <w:sz w:val="20"/>
                <w:szCs w:val="20"/>
              </w:rPr>
            </w:pPr>
            <w:r w:rsidRPr="00DC7000">
              <w:rPr>
                <w:color w:val="000000"/>
                <w:sz w:val="20"/>
                <w:szCs w:val="20"/>
              </w:rPr>
              <w:t>Other Loans</w:t>
            </w:r>
          </w:p>
        </w:tc>
        <w:tc>
          <w:tcPr>
            <w:tcW w:w="1589" w:type="dxa"/>
            <w:noWrap/>
            <w:hideMark/>
          </w:tcPr>
          <w:p w14:paraId="5054B0F7" w14:textId="2CCB0A7B" w:rsidR="00B707B7" w:rsidRPr="00DC7000" w:rsidRDefault="00D76C29" w:rsidP="0037354D">
            <w:pPr>
              <w:keepNext/>
              <w:jc w:val="center"/>
              <w:rPr>
                <w:color w:val="000000"/>
                <w:sz w:val="20"/>
                <w:szCs w:val="20"/>
              </w:rPr>
            </w:pPr>
            <w:r>
              <w:rPr>
                <w:color w:val="000000"/>
                <w:sz w:val="20"/>
                <w:szCs w:val="20"/>
              </w:rPr>
              <w:t>0</w:t>
            </w:r>
          </w:p>
        </w:tc>
        <w:tc>
          <w:tcPr>
            <w:tcW w:w="1381" w:type="dxa"/>
            <w:noWrap/>
            <w:hideMark/>
          </w:tcPr>
          <w:p w14:paraId="5C15D4FC" w14:textId="77777777" w:rsidR="00B707B7" w:rsidRPr="00DC7000" w:rsidRDefault="00B707B7" w:rsidP="0037354D">
            <w:pPr>
              <w:keepNext/>
              <w:jc w:val="center"/>
              <w:rPr>
                <w:color w:val="000000"/>
                <w:sz w:val="20"/>
                <w:szCs w:val="20"/>
              </w:rPr>
            </w:pPr>
            <w:r>
              <w:rPr>
                <w:color w:val="000000"/>
                <w:sz w:val="20"/>
                <w:szCs w:val="20"/>
              </w:rPr>
              <w:t>0.0</w:t>
            </w:r>
          </w:p>
        </w:tc>
      </w:tr>
      <w:tr w:rsidR="00B707B7" w:rsidRPr="00DC7000" w14:paraId="6B4A5CE7" w14:textId="77777777" w:rsidTr="0037354D">
        <w:trPr>
          <w:trHeight w:val="290"/>
          <w:jc w:val="center"/>
        </w:trPr>
        <w:tc>
          <w:tcPr>
            <w:tcW w:w="5575" w:type="dxa"/>
            <w:noWrap/>
            <w:hideMark/>
          </w:tcPr>
          <w:p w14:paraId="1AE0B1AF" w14:textId="77777777" w:rsidR="00B707B7" w:rsidRPr="00DC7000" w:rsidRDefault="00B707B7" w:rsidP="00E444B1">
            <w:pPr>
              <w:keepNext/>
              <w:rPr>
                <w:color w:val="000000"/>
                <w:sz w:val="20"/>
                <w:szCs w:val="20"/>
              </w:rPr>
            </w:pPr>
            <w:r w:rsidRPr="00DC7000">
              <w:rPr>
                <w:color w:val="000000"/>
                <w:sz w:val="20"/>
                <w:szCs w:val="20"/>
              </w:rPr>
              <w:t>Lease Financing Receivables (net of unearned income)</w:t>
            </w:r>
          </w:p>
        </w:tc>
        <w:tc>
          <w:tcPr>
            <w:tcW w:w="1589" w:type="dxa"/>
            <w:noWrap/>
            <w:hideMark/>
          </w:tcPr>
          <w:p w14:paraId="390D5387" w14:textId="045DE92E" w:rsidR="00B707B7" w:rsidRPr="00DC7000" w:rsidRDefault="00D76C29" w:rsidP="0037354D">
            <w:pPr>
              <w:keepNext/>
              <w:jc w:val="center"/>
              <w:rPr>
                <w:color w:val="000000"/>
                <w:sz w:val="20"/>
                <w:szCs w:val="20"/>
              </w:rPr>
            </w:pPr>
            <w:r>
              <w:rPr>
                <w:color w:val="000000"/>
                <w:sz w:val="20"/>
                <w:szCs w:val="20"/>
              </w:rPr>
              <w:t>0</w:t>
            </w:r>
          </w:p>
        </w:tc>
        <w:tc>
          <w:tcPr>
            <w:tcW w:w="1381" w:type="dxa"/>
            <w:noWrap/>
            <w:hideMark/>
          </w:tcPr>
          <w:p w14:paraId="4F4A2A6C" w14:textId="77777777" w:rsidR="00B707B7" w:rsidRPr="00DC7000" w:rsidRDefault="00B707B7" w:rsidP="0037354D">
            <w:pPr>
              <w:keepNext/>
              <w:jc w:val="center"/>
              <w:rPr>
                <w:color w:val="000000"/>
                <w:sz w:val="20"/>
                <w:szCs w:val="20"/>
              </w:rPr>
            </w:pPr>
            <w:r>
              <w:rPr>
                <w:color w:val="000000"/>
                <w:sz w:val="20"/>
                <w:szCs w:val="20"/>
              </w:rPr>
              <w:t>0.0</w:t>
            </w:r>
          </w:p>
        </w:tc>
      </w:tr>
      <w:tr w:rsidR="00B707B7" w:rsidRPr="00DC7000" w14:paraId="79987807" w14:textId="77777777" w:rsidTr="0037354D">
        <w:trPr>
          <w:trHeight w:val="290"/>
          <w:jc w:val="center"/>
        </w:trPr>
        <w:tc>
          <w:tcPr>
            <w:tcW w:w="5575" w:type="dxa"/>
            <w:noWrap/>
            <w:hideMark/>
          </w:tcPr>
          <w:p w14:paraId="1EDB0ACC" w14:textId="77777777" w:rsidR="00B707B7" w:rsidRPr="00DC7000" w:rsidRDefault="00B707B7" w:rsidP="00E444B1">
            <w:pPr>
              <w:keepNext/>
              <w:rPr>
                <w:color w:val="000000"/>
                <w:sz w:val="20"/>
                <w:szCs w:val="20"/>
              </w:rPr>
            </w:pPr>
            <w:r w:rsidRPr="00DC7000">
              <w:rPr>
                <w:color w:val="000000"/>
                <w:sz w:val="20"/>
                <w:szCs w:val="20"/>
              </w:rPr>
              <w:t>Less: Unearned Income</w:t>
            </w:r>
          </w:p>
        </w:tc>
        <w:tc>
          <w:tcPr>
            <w:tcW w:w="1589" w:type="dxa"/>
            <w:noWrap/>
            <w:hideMark/>
          </w:tcPr>
          <w:p w14:paraId="5439F7C5" w14:textId="21C72AAE" w:rsidR="00B707B7" w:rsidRPr="00DC7000" w:rsidRDefault="00D76C29" w:rsidP="0037354D">
            <w:pPr>
              <w:keepNext/>
              <w:jc w:val="center"/>
              <w:rPr>
                <w:color w:val="000000"/>
                <w:sz w:val="20"/>
                <w:szCs w:val="20"/>
              </w:rPr>
            </w:pPr>
            <w:r>
              <w:rPr>
                <w:color w:val="000000"/>
                <w:sz w:val="20"/>
                <w:szCs w:val="20"/>
              </w:rPr>
              <w:t>0</w:t>
            </w:r>
          </w:p>
        </w:tc>
        <w:tc>
          <w:tcPr>
            <w:tcW w:w="1381" w:type="dxa"/>
            <w:noWrap/>
            <w:hideMark/>
          </w:tcPr>
          <w:p w14:paraId="4EE31B3B" w14:textId="77777777" w:rsidR="00B707B7" w:rsidRPr="00DC7000" w:rsidRDefault="00B707B7" w:rsidP="0037354D">
            <w:pPr>
              <w:keepNext/>
              <w:jc w:val="center"/>
              <w:rPr>
                <w:color w:val="000000"/>
                <w:sz w:val="20"/>
                <w:szCs w:val="20"/>
              </w:rPr>
            </w:pPr>
            <w:r>
              <w:rPr>
                <w:color w:val="000000"/>
                <w:sz w:val="20"/>
                <w:szCs w:val="20"/>
              </w:rPr>
              <w:t>0.0</w:t>
            </w:r>
          </w:p>
        </w:tc>
      </w:tr>
      <w:tr w:rsidR="00B707B7" w:rsidRPr="00DC7000" w14:paraId="2414A742" w14:textId="77777777" w:rsidTr="0037354D">
        <w:trPr>
          <w:trHeight w:val="290"/>
          <w:jc w:val="center"/>
        </w:trPr>
        <w:tc>
          <w:tcPr>
            <w:tcW w:w="5575" w:type="dxa"/>
            <w:noWrap/>
            <w:hideMark/>
          </w:tcPr>
          <w:p w14:paraId="69419D53" w14:textId="77777777" w:rsidR="00B707B7" w:rsidRPr="00DC7000" w:rsidRDefault="00B707B7" w:rsidP="00E444B1">
            <w:pPr>
              <w:keepNext/>
              <w:rPr>
                <w:b/>
                <w:bCs/>
                <w:color w:val="000000"/>
                <w:sz w:val="20"/>
                <w:szCs w:val="20"/>
              </w:rPr>
            </w:pPr>
            <w:r w:rsidRPr="00DC7000">
              <w:rPr>
                <w:b/>
                <w:bCs/>
                <w:color w:val="000000"/>
                <w:sz w:val="20"/>
                <w:szCs w:val="20"/>
              </w:rPr>
              <w:t>Total Loans</w:t>
            </w:r>
          </w:p>
        </w:tc>
        <w:tc>
          <w:tcPr>
            <w:tcW w:w="1589" w:type="dxa"/>
            <w:noWrap/>
            <w:hideMark/>
          </w:tcPr>
          <w:p w14:paraId="153D71DD" w14:textId="3A91442C" w:rsidR="00B707B7" w:rsidRPr="00DC7000" w:rsidRDefault="00B707B7" w:rsidP="0037354D">
            <w:pPr>
              <w:keepNext/>
              <w:jc w:val="center"/>
              <w:rPr>
                <w:b/>
                <w:bCs/>
                <w:color w:val="000000"/>
                <w:sz w:val="20"/>
                <w:szCs w:val="20"/>
              </w:rPr>
            </w:pPr>
            <w:r w:rsidRPr="00DC7000">
              <w:rPr>
                <w:b/>
                <w:bCs/>
                <w:color w:val="000000"/>
                <w:sz w:val="20"/>
                <w:szCs w:val="20"/>
              </w:rPr>
              <w:t>848,723</w:t>
            </w:r>
          </w:p>
        </w:tc>
        <w:tc>
          <w:tcPr>
            <w:tcW w:w="1381" w:type="dxa"/>
            <w:noWrap/>
            <w:hideMark/>
          </w:tcPr>
          <w:p w14:paraId="7145F6A9" w14:textId="77777777" w:rsidR="00B707B7" w:rsidRPr="00DC7000" w:rsidRDefault="00B707B7" w:rsidP="0037354D">
            <w:pPr>
              <w:keepNext/>
              <w:jc w:val="center"/>
              <w:rPr>
                <w:b/>
                <w:bCs/>
                <w:color w:val="000000"/>
                <w:sz w:val="20"/>
                <w:szCs w:val="20"/>
              </w:rPr>
            </w:pPr>
            <w:r>
              <w:rPr>
                <w:b/>
                <w:bCs/>
                <w:color w:val="000000"/>
                <w:sz w:val="20"/>
                <w:szCs w:val="20"/>
              </w:rPr>
              <w:t>100.0</w:t>
            </w:r>
          </w:p>
        </w:tc>
      </w:tr>
      <w:tr w:rsidR="00B707B7" w:rsidRPr="00DC7000" w14:paraId="7D66BDF5" w14:textId="77777777" w:rsidTr="0037354D">
        <w:trPr>
          <w:trHeight w:val="290"/>
          <w:jc w:val="center"/>
        </w:trPr>
        <w:tc>
          <w:tcPr>
            <w:tcW w:w="8545" w:type="dxa"/>
            <w:gridSpan w:val="3"/>
            <w:noWrap/>
            <w:vAlign w:val="center"/>
            <w:hideMark/>
          </w:tcPr>
          <w:p w14:paraId="47615E2D" w14:textId="77777777" w:rsidR="00B707B7" w:rsidRPr="00DC7000" w:rsidRDefault="00B707B7" w:rsidP="00E444B1">
            <w:pPr>
              <w:keepNext/>
              <w:rPr>
                <w:sz w:val="20"/>
                <w:szCs w:val="20"/>
              </w:rPr>
            </w:pPr>
            <w:r w:rsidRPr="00DC7000">
              <w:rPr>
                <w:i/>
                <w:iCs/>
                <w:color w:val="000000"/>
                <w:sz w:val="16"/>
                <w:szCs w:val="20"/>
              </w:rPr>
              <w:t>Source:  Reports of Condition and Income</w:t>
            </w:r>
          </w:p>
        </w:tc>
      </w:tr>
    </w:tbl>
    <w:p w14:paraId="6992697F" w14:textId="77777777" w:rsidR="00B707B7" w:rsidRPr="001D2881" w:rsidRDefault="00B707B7" w:rsidP="00B707B7"/>
    <w:p w14:paraId="30E612F7" w14:textId="77777777" w:rsidR="00B707B7" w:rsidRPr="001D2881" w:rsidRDefault="00B707B7" w:rsidP="00B707B7">
      <w:pPr>
        <w:rPr>
          <w:snapToGrid w:val="0"/>
          <w:lang w:eastAsia="x-none"/>
        </w:rPr>
      </w:pPr>
      <w:r w:rsidRPr="001D2881">
        <w:rPr>
          <w:snapToGrid w:val="0"/>
          <w:lang w:eastAsia="x-none"/>
        </w:rPr>
        <w:t>There were no financial, legal, or other impediments observed that would limit the bank’s ability to meet the credit needs of its assessment area.</w:t>
      </w:r>
    </w:p>
    <w:p w14:paraId="057261CE" w14:textId="77777777" w:rsidR="00B707B7" w:rsidRPr="001D2881" w:rsidRDefault="00B707B7" w:rsidP="00B707B7">
      <w:pPr>
        <w:tabs>
          <w:tab w:val="center" w:pos="4680"/>
        </w:tabs>
        <w:rPr>
          <w:bCs/>
          <w:spacing w:val="-4"/>
        </w:rPr>
      </w:pPr>
    </w:p>
    <w:p w14:paraId="101EC7AC" w14:textId="77777777" w:rsidR="00B707B7" w:rsidRDefault="00B707B7" w:rsidP="00B707B7">
      <w:pPr>
        <w:rPr>
          <w:b/>
          <w:bCs/>
          <w:spacing w:val="-3"/>
          <w:sz w:val="28"/>
          <w:szCs w:val="28"/>
        </w:rPr>
      </w:pPr>
      <w:r>
        <w:rPr>
          <w:szCs w:val="28"/>
        </w:rPr>
        <w:br w:type="page"/>
      </w:r>
    </w:p>
    <w:p w14:paraId="07DECEEE" w14:textId="77777777" w:rsidR="00B707B7" w:rsidRPr="001D2881" w:rsidRDefault="00B707B7" w:rsidP="00B707B7">
      <w:pPr>
        <w:pStyle w:val="Heading1"/>
        <w:rPr>
          <w:szCs w:val="28"/>
        </w:rPr>
      </w:pPr>
      <w:bookmarkStart w:id="4" w:name="_Toc62129961"/>
      <w:r w:rsidRPr="001D2881">
        <w:rPr>
          <w:szCs w:val="28"/>
        </w:rPr>
        <w:lastRenderedPageBreak/>
        <w:t>DESCRIPTION OF ASSESSMENT AREA</w:t>
      </w:r>
      <w:bookmarkEnd w:id="4"/>
    </w:p>
    <w:p w14:paraId="09B531D8" w14:textId="77777777" w:rsidR="00B707B7" w:rsidRPr="001D2881" w:rsidRDefault="00B707B7" w:rsidP="00B707B7">
      <w:pPr>
        <w:contextualSpacing/>
        <w:rPr>
          <w:i/>
        </w:rPr>
      </w:pPr>
    </w:p>
    <w:p w14:paraId="0745D37C" w14:textId="30F65EC3" w:rsidR="00B707B7" w:rsidRPr="001D2881" w:rsidRDefault="00DF6C07" w:rsidP="00B707B7">
      <w:pPr>
        <w:pStyle w:val="ListParagraph"/>
        <w:ind w:left="0"/>
      </w:pPr>
      <w:r w:rsidRPr="00DF6C07">
        <w:t xml:space="preserve">The CRA requires each financial institution to define one or more assessment areas within which examiners will evaluate its CRA performance.  </w:t>
      </w:r>
      <w:r w:rsidR="00B707B7" w:rsidRPr="001D2881">
        <w:t>North Easton Savings Bank designated its assessment area to incl</w:t>
      </w:r>
      <w:r w:rsidR="00B707B7">
        <w:t xml:space="preserve">ude 35 </w:t>
      </w:r>
      <w:r w:rsidR="00E3573E">
        <w:t xml:space="preserve">contiguous </w:t>
      </w:r>
      <w:r w:rsidR="00B707B7" w:rsidRPr="001D2881">
        <w:t>municipalities in Bristol, Norfolk, Plymouth, and Barnstable</w:t>
      </w:r>
      <w:r w:rsidR="00B707B7">
        <w:t xml:space="preserve"> Counties in Massachusetts</w:t>
      </w:r>
      <w:r w:rsidR="00B707B7" w:rsidRPr="001D2881">
        <w:t>.  Th</w:t>
      </w:r>
      <w:r w:rsidR="00B707B7">
        <w:t xml:space="preserve">e assessment area </w:t>
      </w:r>
      <w:r w:rsidR="00B707B7" w:rsidRPr="001D2881">
        <w:t>expan</w:t>
      </w:r>
      <w:r w:rsidR="00B707B7">
        <w:t>ded</w:t>
      </w:r>
      <w:r w:rsidR="00B707B7" w:rsidRPr="001D2881">
        <w:t xml:space="preserve"> </w:t>
      </w:r>
      <w:r w:rsidR="00B707B7">
        <w:t>from eight municipalities across Bristol, Norfolk, and Plymouth Counties at</w:t>
      </w:r>
      <w:r w:rsidR="00B707B7" w:rsidRPr="001D2881">
        <w:t xml:space="preserve"> the previous evaluation</w:t>
      </w:r>
      <w:r w:rsidR="00E3573E">
        <w:t xml:space="preserve">.  The following table includes the </w:t>
      </w:r>
      <w:r w:rsidR="000C285E" w:rsidRPr="000C285E">
        <w:t>Metropolitan Statistical Area</w:t>
      </w:r>
      <w:r w:rsidR="000C285E">
        <w:t>s</w:t>
      </w:r>
      <w:r w:rsidR="000C285E" w:rsidRPr="000C285E">
        <w:t xml:space="preserve"> </w:t>
      </w:r>
      <w:r w:rsidR="000C285E">
        <w:t>(</w:t>
      </w:r>
      <w:r w:rsidR="00E3573E">
        <w:t>MSAs</w:t>
      </w:r>
      <w:r w:rsidR="000C285E">
        <w:t>)</w:t>
      </w:r>
      <w:r>
        <w:t>, counties,</w:t>
      </w:r>
      <w:r w:rsidR="00E3573E">
        <w:t xml:space="preserve"> and towns that encompass the bank’s assessment area.  </w:t>
      </w:r>
      <w:r w:rsidR="00B707B7" w:rsidRPr="001D2881">
        <w:t xml:space="preserve"> </w:t>
      </w:r>
    </w:p>
    <w:p w14:paraId="1CCEEF60" w14:textId="77777777" w:rsidR="00B707B7" w:rsidRPr="001D2881" w:rsidRDefault="00B707B7" w:rsidP="00B707B7">
      <w:pPr>
        <w:pStyle w:val="ListParagraph"/>
        <w:ind w:left="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666"/>
        <w:gridCol w:w="1461"/>
        <w:gridCol w:w="1800"/>
      </w:tblGrid>
      <w:tr w:rsidR="00B707B7" w:rsidRPr="001D2881" w14:paraId="3191B74E" w14:textId="77777777" w:rsidTr="00E444B1">
        <w:trPr>
          <w:trHeight w:val="290"/>
          <w:jc w:val="center"/>
        </w:trPr>
        <w:tc>
          <w:tcPr>
            <w:tcW w:w="0" w:type="auto"/>
            <w:gridSpan w:val="4"/>
            <w:shd w:val="clear" w:color="auto" w:fill="auto"/>
            <w:noWrap/>
            <w:vAlign w:val="center"/>
          </w:tcPr>
          <w:p w14:paraId="49C1F99C" w14:textId="77777777" w:rsidR="00B707B7" w:rsidRPr="001D2881" w:rsidRDefault="00B707B7" w:rsidP="00E444B1">
            <w:pPr>
              <w:keepNext/>
              <w:widowControl w:val="0"/>
              <w:jc w:val="center"/>
              <w:rPr>
                <w:b/>
                <w:sz w:val="20"/>
                <w:szCs w:val="20"/>
              </w:rPr>
            </w:pPr>
            <w:r w:rsidRPr="001D2881">
              <w:rPr>
                <w:b/>
                <w:sz w:val="20"/>
                <w:szCs w:val="20"/>
              </w:rPr>
              <w:t>Barnstable County (Barnstable Town, MA MSA)</w:t>
            </w:r>
          </w:p>
        </w:tc>
      </w:tr>
      <w:tr w:rsidR="00B707B7" w:rsidRPr="001D2881" w14:paraId="35B4D38E" w14:textId="77777777" w:rsidTr="00E444B1">
        <w:trPr>
          <w:trHeight w:val="290"/>
          <w:jc w:val="center"/>
        </w:trPr>
        <w:tc>
          <w:tcPr>
            <w:tcW w:w="0" w:type="auto"/>
            <w:shd w:val="clear" w:color="auto" w:fill="auto"/>
            <w:noWrap/>
            <w:vAlign w:val="center"/>
          </w:tcPr>
          <w:p w14:paraId="3E31F8D0" w14:textId="77777777" w:rsidR="00B707B7" w:rsidRPr="001D2881" w:rsidRDefault="00B707B7" w:rsidP="00E444B1">
            <w:pPr>
              <w:keepNext/>
              <w:widowControl w:val="0"/>
              <w:jc w:val="center"/>
              <w:rPr>
                <w:sz w:val="20"/>
                <w:szCs w:val="20"/>
              </w:rPr>
            </w:pPr>
            <w:r w:rsidRPr="001D2881">
              <w:rPr>
                <w:sz w:val="20"/>
                <w:szCs w:val="20"/>
              </w:rPr>
              <w:t>Bourne</w:t>
            </w:r>
          </w:p>
        </w:tc>
        <w:tc>
          <w:tcPr>
            <w:tcW w:w="0" w:type="auto"/>
            <w:shd w:val="clear" w:color="auto" w:fill="D9D9D9" w:themeFill="background1" w:themeFillShade="D9"/>
            <w:noWrap/>
            <w:vAlign w:val="center"/>
          </w:tcPr>
          <w:p w14:paraId="1E23165C" w14:textId="77777777" w:rsidR="00B707B7" w:rsidRPr="004F2B82" w:rsidRDefault="00B707B7" w:rsidP="00E444B1">
            <w:pPr>
              <w:keepNext/>
              <w:widowControl w:val="0"/>
              <w:jc w:val="center"/>
              <w:rPr>
                <w:sz w:val="20"/>
                <w:szCs w:val="20"/>
                <w:highlight w:val="lightGray"/>
              </w:rPr>
            </w:pPr>
          </w:p>
        </w:tc>
        <w:tc>
          <w:tcPr>
            <w:tcW w:w="0" w:type="auto"/>
            <w:shd w:val="clear" w:color="auto" w:fill="D9D9D9" w:themeFill="background1" w:themeFillShade="D9"/>
            <w:noWrap/>
            <w:vAlign w:val="center"/>
          </w:tcPr>
          <w:p w14:paraId="431D963F" w14:textId="77777777" w:rsidR="00B707B7" w:rsidRPr="004F2B82" w:rsidRDefault="00B707B7" w:rsidP="00E444B1">
            <w:pPr>
              <w:keepNext/>
              <w:widowControl w:val="0"/>
              <w:jc w:val="center"/>
              <w:rPr>
                <w:sz w:val="20"/>
                <w:szCs w:val="20"/>
                <w:highlight w:val="lightGray"/>
              </w:rPr>
            </w:pPr>
          </w:p>
        </w:tc>
        <w:tc>
          <w:tcPr>
            <w:tcW w:w="0" w:type="auto"/>
            <w:shd w:val="clear" w:color="auto" w:fill="D9D9D9" w:themeFill="background1" w:themeFillShade="D9"/>
            <w:noWrap/>
            <w:vAlign w:val="center"/>
          </w:tcPr>
          <w:p w14:paraId="6119CC05" w14:textId="77777777" w:rsidR="00B707B7" w:rsidRPr="004F2B82" w:rsidRDefault="00B707B7" w:rsidP="00E444B1">
            <w:pPr>
              <w:keepNext/>
              <w:widowControl w:val="0"/>
              <w:jc w:val="center"/>
              <w:rPr>
                <w:sz w:val="20"/>
                <w:szCs w:val="20"/>
                <w:highlight w:val="lightGray"/>
              </w:rPr>
            </w:pPr>
          </w:p>
        </w:tc>
      </w:tr>
      <w:tr w:rsidR="00B707B7" w:rsidRPr="001D2881" w14:paraId="1AEB4028" w14:textId="77777777" w:rsidTr="00E444B1">
        <w:trPr>
          <w:trHeight w:val="290"/>
          <w:jc w:val="center"/>
        </w:trPr>
        <w:tc>
          <w:tcPr>
            <w:tcW w:w="0" w:type="auto"/>
            <w:gridSpan w:val="4"/>
            <w:shd w:val="clear" w:color="auto" w:fill="auto"/>
            <w:noWrap/>
            <w:vAlign w:val="center"/>
          </w:tcPr>
          <w:p w14:paraId="7524AC19" w14:textId="77777777" w:rsidR="00B707B7" w:rsidRPr="001D2881" w:rsidRDefault="00B707B7" w:rsidP="00E444B1">
            <w:pPr>
              <w:keepNext/>
              <w:widowControl w:val="0"/>
              <w:jc w:val="center"/>
              <w:rPr>
                <w:b/>
                <w:sz w:val="20"/>
                <w:szCs w:val="20"/>
              </w:rPr>
            </w:pPr>
            <w:r w:rsidRPr="001D2881">
              <w:rPr>
                <w:b/>
                <w:sz w:val="20"/>
                <w:szCs w:val="20"/>
              </w:rPr>
              <w:t>Bristol County (Providence Warwick, RI-MA MSA)</w:t>
            </w:r>
          </w:p>
        </w:tc>
      </w:tr>
      <w:tr w:rsidR="00B707B7" w:rsidRPr="001D2881" w14:paraId="3F407081" w14:textId="77777777" w:rsidTr="00E444B1">
        <w:trPr>
          <w:trHeight w:val="290"/>
          <w:jc w:val="center"/>
        </w:trPr>
        <w:tc>
          <w:tcPr>
            <w:tcW w:w="0" w:type="auto"/>
            <w:shd w:val="clear" w:color="auto" w:fill="auto"/>
            <w:noWrap/>
            <w:vAlign w:val="center"/>
          </w:tcPr>
          <w:p w14:paraId="4E0908C9" w14:textId="77777777" w:rsidR="00B707B7" w:rsidRPr="001D2881" w:rsidRDefault="00B707B7" w:rsidP="00E444B1">
            <w:pPr>
              <w:keepNext/>
              <w:widowControl w:val="0"/>
              <w:jc w:val="center"/>
              <w:rPr>
                <w:sz w:val="20"/>
                <w:szCs w:val="20"/>
              </w:rPr>
            </w:pPr>
            <w:r w:rsidRPr="001D2881">
              <w:rPr>
                <w:sz w:val="20"/>
                <w:szCs w:val="20"/>
              </w:rPr>
              <w:t>Attleboro</w:t>
            </w:r>
          </w:p>
        </w:tc>
        <w:tc>
          <w:tcPr>
            <w:tcW w:w="0" w:type="auto"/>
            <w:shd w:val="clear" w:color="auto" w:fill="auto"/>
            <w:noWrap/>
            <w:vAlign w:val="center"/>
          </w:tcPr>
          <w:p w14:paraId="4BA2E115" w14:textId="77777777" w:rsidR="00B707B7" w:rsidRPr="001D2881" w:rsidRDefault="00B707B7" w:rsidP="00E444B1">
            <w:pPr>
              <w:keepNext/>
              <w:widowControl w:val="0"/>
              <w:jc w:val="center"/>
              <w:rPr>
                <w:sz w:val="20"/>
                <w:szCs w:val="20"/>
              </w:rPr>
            </w:pPr>
            <w:r w:rsidRPr="001D2881">
              <w:rPr>
                <w:sz w:val="20"/>
                <w:szCs w:val="20"/>
              </w:rPr>
              <w:t>Easton</w:t>
            </w:r>
          </w:p>
        </w:tc>
        <w:tc>
          <w:tcPr>
            <w:tcW w:w="0" w:type="auto"/>
            <w:shd w:val="clear" w:color="auto" w:fill="auto"/>
            <w:noWrap/>
            <w:vAlign w:val="center"/>
          </w:tcPr>
          <w:p w14:paraId="42A1C935" w14:textId="77777777" w:rsidR="00B707B7" w:rsidRPr="001D2881" w:rsidRDefault="00B707B7" w:rsidP="00E444B1">
            <w:pPr>
              <w:keepNext/>
              <w:widowControl w:val="0"/>
              <w:jc w:val="center"/>
              <w:rPr>
                <w:sz w:val="20"/>
                <w:szCs w:val="20"/>
              </w:rPr>
            </w:pPr>
            <w:r w:rsidRPr="001D2881">
              <w:rPr>
                <w:sz w:val="20"/>
                <w:szCs w:val="20"/>
              </w:rPr>
              <w:t>Mansfield</w:t>
            </w:r>
          </w:p>
        </w:tc>
        <w:tc>
          <w:tcPr>
            <w:tcW w:w="0" w:type="auto"/>
            <w:shd w:val="clear" w:color="auto" w:fill="auto"/>
            <w:noWrap/>
            <w:vAlign w:val="center"/>
          </w:tcPr>
          <w:p w14:paraId="53B0C348" w14:textId="77777777" w:rsidR="00B707B7" w:rsidRPr="001D2881" w:rsidRDefault="00B707B7" w:rsidP="00E444B1">
            <w:pPr>
              <w:keepNext/>
              <w:widowControl w:val="0"/>
              <w:jc w:val="center"/>
              <w:rPr>
                <w:sz w:val="20"/>
                <w:szCs w:val="20"/>
              </w:rPr>
            </w:pPr>
            <w:r w:rsidRPr="001D2881">
              <w:rPr>
                <w:sz w:val="20"/>
                <w:szCs w:val="20"/>
              </w:rPr>
              <w:t>North Attleborough</w:t>
            </w:r>
          </w:p>
        </w:tc>
      </w:tr>
      <w:tr w:rsidR="00B707B7" w:rsidRPr="001D2881" w14:paraId="06C68042" w14:textId="77777777" w:rsidTr="00E444B1">
        <w:trPr>
          <w:trHeight w:val="290"/>
          <w:jc w:val="center"/>
        </w:trPr>
        <w:tc>
          <w:tcPr>
            <w:tcW w:w="0" w:type="auto"/>
            <w:shd w:val="clear" w:color="auto" w:fill="auto"/>
            <w:noWrap/>
            <w:vAlign w:val="center"/>
          </w:tcPr>
          <w:p w14:paraId="2628EC6B" w14:textId="77777777" w:rsidR="00B707B7" w:rsidRPr="001D2881" w:rsidRDefault="00B707B7" w:rsidP="00E444B1">
            <w:pPr>
              <w:keepNext/>
              <w:jc w:val="center"/>
              <w:rPr>
                <w:sz w:val="20"/>
                <w:szCs w:val="20"/>
              </w:rPr>
            </w:pPr>
            <w:r w:rsidRPr="001D2881">
              <w:rPr>
                <w:sz w:val="20"/>
                <w:szCs w:val="20"/>
              </w:rPr>
              <w:t>Norton</w:t>
            </w:r>
          </w:p>
        </w:tc>
        <w:tc>
          <w:tcPr>
            <w:tcW w:w="0" w:type="auto"/>
            <w:shd w:val="clear" w:color="auto" w:fill="auto"/>
            <w:noWrap/>
            <w:vAlign w:val="center"/>
          </w:tcPr>
          <w:p w14:paraId="0B027966" w14:textId="77777777" w:rsidR="00B707B7" w:rsidRPr="001D2881" w:rsidRDefault="00B707B7" w:rsidP="00E444B1">
            <w:pPr>
              <w:keepNext/>
              <w:jc w:val="center"/>
              <w:rPr>
                <w:sz w:val="20"/>
                <w:szCs w:val="20"/>
              </w:rPr>
            </w:pPr>
            <w:r w:rsidRPr="001D2881">
              <w:rPr>
                <w:sz w:val="20"/>
                <w:szCs w:val="20"/>
              </w:rPr>
              <w:t>Raynham</w:t>
            </w:r>
          </w:p>
        </w:tc>
        <w:tc>
          <w:tcPr>
            <w:tcW w:w="0" w:type="auto"/>
            <w:shd w:val="clear" w:color="auto" w:fill="auto"/>
            <w:noWrap/>
            <w:vAlign w:val="center"/>
          </w:tcPr>
          <w:p w14:paraId="78F7FE31" w14:textId="77777777" w:rsidR="00B707B7" w:rsidRPr="001D2881" w:rsidRDefault="00B707B7" w:rsidP="00E444B1">
            <w:pPr>
              <w:keepNext/>
              <w:jc w:val="center"/>
              <w:rPr>
                <w:sz w:val="20"/>
                <w:szCs w:val="20"/>
              </w:rPr>
            </w:pPr>
            <w:r w:rsidRPr="001D2881">
              <w:rPr>
                <w:sz w:val="20"/>
                <w:szCs w:val="20"/>
              </w:rPr>
              <w:t>Rehoboth</w:t>
            </w:r>
          </w:p>
        </w:tc>
        <w:tc>
          <w:tcPr>
            <w:tcW w:w="0" w:type="auto"/>
            <w:shd w:val="clear" w:color="auto" w:fill="auto"/>
            <w:noWrap/>
            <w:vAlign w:val="center"/>
          </w:tcPr>
          <w:p w14:paraId="5CDF8A38" w14:textId="77777777" w:rsidR="00B707B7" w:rsidRPr="001D2881" w:rsidRDefault="00B707B7" w:rsidP="00E444B1">
            <w:pPr>
              <w:keepNext/>
              <w:jc w:val="center"/>
            </w:pPr>
            <w:r w:rsidRPr="001D2881">
              <w:rPr>
                <w:sz w:val="20"/>
                <w:szCs w:val="20"/>
              </w:rPr>
              <w:t>Taunton</w:t>
            </w:r>
          </w:p>
        </w:tc>
      </w:tr>
      <w:tr w:rsidR="00B707B7" w:rsidRPr="001D2881" w14:paraId="2862CDFB" w14:textId="77777777" w:rsidTr="00E444B1">
        <w:trPr>
          <w:trHeight w:val="290"/>
          <w:jc w:val="center"/>
        </w:trPr>
        <w:tc>
          <w:tcPr>
            <w:tcW w:w="0" w:type="auto"/>
            <w:gridSpan w:val="4"/>
            <w:shd w:val="clear" w:color="auto" w:fill="auto"/>
            <w:noWrap/>
            <w:vAlign w:val="center"/>
            <w:hideMark/>
          </w:tcPr>
          <w:p w14:paraId="08330566" w14:textId="77777777" w:rsidR="00B707B7" w:rsidRPr="001D2881" w:rsidRDefault="00B707B7" w:rsidP="00E444B1">
            <w:pPr>
              <w:keepNext/>
              <w:widowControl w:val="0"/>
              <w:jc w:val="center"/>
              <w:rPr>
                <w:b/>
                <w:bCs/>
                <w:sz w:val="20"/>
                <w:szCs w:val="20"/>
              </w:rPr>
            </w:pPr>
            <w:r w:rsidRPr="001D2881">
              <w:rPr>
                <w:b/>
                <w:bCs/>
                <w:sz w:val="20"/>
                <w:szCs w:val="20"/>
              </w:rPr>
              <w:t>Norfolk County (Boston-Cambridge-Newton, MA-NH MSA)</w:t>
            </w:r>
          </w:p>
        </w:tc>
      </w:tr>
      <w:tr w:rsidR="00B707B7" w:rsidRPr="001D2881" w14:paraId="2AE0173E" w14:textId="77777777" w:rsidTr="00E444B1">
        <w:trPr>
          <w:trHeight w:val="290"/>
          <w:jc w:val="center"/>
        </w:trPr>
        <w:tc>
          <w:tcPr>
            <w:tcW w:w="0" w:type="auto"/>
            <w:shd w:val="clear" w:color="auto" w:fill="auto"/>
            <w:noWrap/>
            <w:vAlign w:val="center"/>
            <w:hideMark/>
          </w:tcPr>
          <w:p w14:paraId="7184EB4D" w14:textId="77777777" w:rsidR="00B707B7" w:rsidRPr="001D2881" w:rsidRDefault="00B707B7" w:rsidP="00E444B1">
            <w:pPr>
              <w:keepNext/>
              <w:widowControl w:val="0"/>
              <w:jc w:val="center"/>
              <w:rPr>
                <w:sz w:val="20"/>
                <w:szCs w:val="20"/>
              </w:rPr>
            </w:pPr>
            <w:r w:rsidRPr="001D2881">
              <w:rPr>
                <w:rFonts w:eastAsia="Symbol"/>
                <w:sz w:val="20"/>
                <w:szCs w:val="20"/>
              </w:rPr>
              <w:t>Avon</w:t>
            </w:r>
          </w:p>
        </w:tc>
        <w:tc>
          <w:tcPr>
            <w:tcW w:w="0" w:type="auto"/>
            <w:shd w:val="clear" w:color="auto" w:fill="auto"/>
            <w:noWrap/>
            <w:vAlign w:val="center"/>
            <w:hideMark/>
          </w:tcPr>
          <w:p w14:paraId="1343D001" w14:textId="77777777" w:rsidR="00B707B7" w:rsidRPr="001D2881" w:rsidRDefault="00B707B7" w:rsidP="00E444B1">
            <w:pPr>
              <w:keepNext/>
              <w:widowControl w:val="0"/>
              <w:jc w:val="center"/>
              <w:rPr>
                <w:sz w:val="20"/>
                <w:szCs w:val="20"/>
              </w:rPr>
            </w:pPr>
            <w:r w:rsidRPr="001D2881">
              <w:rPr>
                <w:rFonts w:eastAsia="Symbol"/>
                <w:sz w:val="20"/>
                <w:szCs w:val="20"/>
              </w:rPr>
              <w:t>Foxborough</w:t>
            </w:r>
          </w:p>
        </w:tc>
        <w:tc>
          <w:tcPr>
            <w:tcW w:w="0" w:type="auto"/>
            <w:shd w:val="clear" w:color="auto" w:fill="auto"/>
            <w:noWrap/>
            <w:vAlign w:val="center"/>
            <w:hideMark/>
          </w:tcPr>
          <w:p w14:paraId="2B8F608D" w14:textId="77777777" w:rsidR="00B707B7" w:rsidRPr="001D2881" w:rsidRDefault="00B707B7" w:rsidP="00E444B1">
            <w:pPr>
              <w:keepNext/>
              <w:widowControl w:val="0"/>
              <w:jc w:val="center"/>
              <w:rPr>
                <w:sz w:val="20"/>
                <w:szCs w:val="20"/>
              </w:rPr>
            </w:pPr>
            <w:r w:rsidRPr="001D2881">
              <w:rPr>
                <w:rFonts w:eastAsia="Symbol"/>
                <w:sz w:val="20"/>
                <w:szCs w:val="20"/>
              </w:rPr>
              <w:t>Holbrook</w:t>
            </w:r>
          </w:p>
        </w:tc>
        <w:tc>
          <w:tcPr>
            <w:tcW w:w="0" w:type="auto"/>
            <w:shd w:val="clear" w:color="auto" w:fill="auto"/>
            <w:noWrap/>
            <w:vAlign w:val="center"/>
            <w:hideMark/>
          </w:tcPr>
          <w:p w14:paraId="3677BED1" w14:textId="77777777" w:rsidR="00B707B7" w:rsidRPr="001D2881" w:rsidRDefault="00B707B7" w:rsidP="00E444B1">
            <w:pPr>
              <w:keepNext/>
              <w:widowControl w:val="0"/>
              <w:jc w:val="center"/>
              <w:rPr>
                <w:sz w:val="20"/>
                <w:szCs w:val="20"/>
              </w:rPr>
            </w:pPr>
            <w:r w:rsidRPr="001D2881">
              <w:rPr>
                <w:rFonts w:eastAsia="Symbol"/>
                <w:sz w:val="20"/>
                <w:szCs w:val="20"/>
              </w:rPr>
              <w:t>Plainville</w:t>
            </w:r>
          </w:p>
        </w:tc>
      </w:tr>
      <w:tr w:rsidR="00B707B7" w:rsidRPr="001D2881" w14:paraId="1B8EBC6B" w14:textId="77777777" w:rsidTr="00E444B1">
        <w:trPr>
          <w:trHeight w:val="290"/>
          <w:jc w:val="center"/>
        </w:trPr>
        <w:tc>
          <w:tcPr>
            <w:tcW w:w="0" w:type="auto"/>
            <w:shd w:val="clear" w:color="auto" w:fill="auto"/>
            <w:noWrap/>
            <w:vAlign w:val="center"/>
            <w:hideMark/>
          </w:tcPr>
          <w:p w14:paraId="71E86BA7" w14:textId="77777777" w:rsidR="00B707B7" w:rsidRPr="001D2881" w:rsidRDefault="00B707B7" w:rsidP="00E444B1">
            <w:pPr>
              <w:keepNext/>
              <w:widowControl w:val="0"/>
              <w:jc w:val="center"/>
              <w:rPr>
                <w:sz w:val="20"/>
                <w:szCs w:val="20"/>
              </w:rPr>
            </w:pPr>
            <w:r w:rsidRPr="001D2881">
              <w:rPr>
                <w:rFonts w:eastAsia="Symbol"/>
                <w:sz w:val="20"/>
                <w:szCs w:val="20"/>
              </w:rPr>
              <w:t>Sharon</w:t>
            </w:r>
          </w:p>
        </w:tc>
        <w:tc>
          <w:tcPr>
            <w:tcW w:w="0" w:type="auto"/>
            <w:shd w:val="clear" w:color="auto" w:fill="auto"/>
            <w:noWrap/>
            <w:vAlign w:val="center"/>
            <w:hideMark/>
          </w:tcPr>
          <w:p w14:paraId="7C76E677" w14:textId="77777777" w:rsidR="00B707B7" w:rsidRPr="001D2881" w:rsidRDefault="00B707B7" w:rsidP="00E444B1">
            <w:pPr>
              <w:keepNext/>
              <w:widowControl w:val="0"/>
              <w:jc w:val="center"/>
              <w:rPr>
                <w:sz w:val="20"/>
                <w:szCs w:val="20"/>
              </w:rPr>
            </w:pPr>
            <w:r w:rsidRPr="001D2881">
              <w:rPr>
                <w:rFonts w:eastAsia="Symbol"/>
                <w:sz w:val="20"/>
                <w:szCs w:val="20"/>
              </w:rPr>
              <w:t>Stoughton</w:t>
            </w:r>
          </w:p>
        </w:tc>
        <w:tc>
          <w:tcPr>
            <w:tcW w:w="0" w:type="auto"/>
            <w:shd w:val="clear" w:color="auto" w:fill="D9D9D9" w:themeFill="background1" w:themeFillShade="D9"/>
            <w:noWrap/>
            <w:vAlign w:val="center"/>
            <w:hideMark/>
          </w:tcPr>
          <w:p w14:paraId="78746CB9" w14:textId="77777777" w:rsidR="00B707B7" w:rsidRPr="001D2881" w:rsidRDefault="00B707B7" w:rsidP="00E444B1">
            <w:pPr>
              <w:keepNext/>
              <w:widowControl w:val="0"/>
              <w:jc w:val="center"/>
              <w:rPr>
                <w:sz w:val="20"/>
                <w:szCs w:val="20"/>
              </w:rPr>
            </w:pPr>
          </w:p>
        </w:tc>
        <w:tc>
          <w:tcPr>
            <w:tcW w:w="0" w:type="auto"/>
            <w:shd w:val="clear" w:color="auto" w:fill="D9D9D9" w:themeFill="background1" w:themeFillShade="D9"/>
            <w:noWrap/>
            <w:vAlign w:val="center"/>
            <w:hideMark/>
          </w:tcPr>
          <w:p w14:paraId="257BDB09" w14:textId="77777777" w:rsidR="00B707B7" w:rsidRPr="001D2881" w:rsidRDefault="00B707B7" w:rsidP="00E444B1">
            <w:pPr>
              <w:keepNext/>
              <w:widowControl w:val="0"/>
              <w:jc w:val="center"/>
              <w:rPr>
                <w:sz w:val="20"/>
                <w:szCs w:val="20"/>
              </w:rPr>
            </w:pPr>
          </w:p>
        </w:tc>
      </w:tr>
      <w:tr w:rsidR="00B707B7" w:rsidRPr="001D2881" w14:paraId="0036312C" w14:textId="77777777" w:rsidTr="00E444B1">
        <w:trPr>
          <w:trHeight w:val="290"/>
          <w:jc w:val="center"/>
        </w:trPr>
        <w:tc>
          <w:tcPr>
            <w:tcW w:w="0" w:type="auto"/>
            <w:gridSpan w:val="4"/>
            <w:shd w:val="clear" w:color="auto" w:fill="auto"/>
            <w:noWrap/>
            <w:vAlign w:val="center"/>
            <w:hideMark/>
          </w:tcPr>
          <w:p w14:paraId="4DDF07AC" w14:textId="77777777" w:rsidR="00B707B7" w:rsidRPr="001D2881" w:rsidRDefault="00B707B7" w:rsidP="00E444B1">
            <w:pPr>
              <w:keepNext/>
              <w:widowControl w:val="0"/>
              <w:jc w:val="center"/>
              <w:rPr>
                <w:b/>
                <w:bCs/>
                <w:sz w:val="20"/>
                <w:szCs w:val="20"/>
              </w:rPr>
            </w:pPr>
            <w:r w:rsidRPr="001D2881">
              <w:rPr>
                <w:b/>
                <w:bCs/>
                <w:sz w:val="20"/>
                <w:szCs w:val="20"/>
              </w:rPr>
              <w:t>Plymouth County (Boston-Cambridge-Newton, MA-NH MSA)</w:t>
            </w:r>
          </w:p>
        </w:tc>
      </w:tr>
      <w:tr w:rsidR="00B707B7" w:rsidRPr="001D2881" w14:paraId="20B4D28E" w14:textId="77777777" w:rsidTr="00E444B1">
        <w:trPr>
          <w:trHeight w:val="290"/>
          <w:jc w:val="center"/>
        </w:trPr>
        <w:tc>
          <w:tcPr>
            <w:tcW w:w="0" w:type="auto"/>
            <w:shd w:val="clear" w:color="auto" w:fill="auto"/>
            <w:noWrap/>
            <w:vAlign w:val="center"/>
            <w:hideMark/>
          </w:tcPr>
          <w:p w14:paraId="3A0916BD" w14:textId="77777777" w:rsidR="00B707B7" w:rsidRPr="001D2881" w:rsidRDefault="00B707B7" w:rsidP="00E444B1">
            <w:pPr>
              <w:keepNext/>
              <w:widowControl w:val="0"/>
              <w:jc w:val="center"/>
              <w:rPr>
                <w:sz w:val="20"/>
                <w:szCs w:val="20"/>
              </w:rPr>
            </w:pPr>
            <w:r w:rsidRPr="001D2881">
              <w:rPr>
                <w:rFonts w:eastAsia="Symbol"/>
                <w:sz w:val="20"/>
                <w:szCs w:val="20"/>
              </w:rPr>
              <w:t>Abington</w:t>
            </w:r>
          </w:p>
        </w:tc>
        <w:tc>
          <w:tcPr>
            <w:tcW w:w="0" w:type="auto"/>
            <w:shd w:val="clear" w:color="auto" w:fill="auto"/>
            <w:noWrap/>
            <w:vAlign w:val="center"/>
            <w:hideMark/>
          </w:tcPr>
          <w:p w14:paraId="09BA1B85" w14:textId="77777777" w:rsidR="00B707B7" w:rsidRPr="001D2881" w:rsidRDefault="00B707B7" w:rsidP="00E444B1">
            <w:pPr>
              <w:keepNext/>
              <w:widowControl w:val="0"/>
              <w:jc w:val="center"/>
              <w:rPr>
                <w:sz w:val="20"/>
                <w:szCs w:val="20"/>
              </w:rPr>
            </w:pPr>
            <w:r w:rsidRPr="001D2881">
              <w:rPr>
                <w:rFonts w:eastAsia="Symbol"/>
                <w:sz w:val="20"/>
                <w:szCs w:val="20"/>
              </w:rPr>
              <w:t>Bridgewater</w:t>
            </w:r>
          </w:p>
        </w:tc>
        <w:tc>
          <w:tcPr>
            <w:tcW w:w="0" w:type="auto"/>
            <w:shd w:val="clear" w:color="auto" w:fill="auto"/>
            <w:noWrap/>
            <w:vAlign w:val="center"/>
            <w:hideMark/>
          </w:tcPr>
          <w:p w14:paraId="43BE6A6C" w14:textId="77777777" w:rsidR="00B707B7" w:rsidRPr="001D2881" w:rsidRDefault="00B707B7" w:rsidP="00E444B1">
            <w:pPr>
              <w:keepNext/>
              <w:widowControl w:val="0"/>
              <w:jc w:val="center"/>
              <w:rPr>
                <w:sz w:val="20"/>
                <w:szCs w:val="20"/>
              </w:rPr>
            </w:pPr>
            <w:r w:rsidRPr="001D2881">
              <w:rPr>
                <w:rFonts w:eastAsia="Symbol"/>
                <w:sz w:val="20"/>
                <w:szCs w:val="20"/>
              </w:rPr>
              <w:t>Brockton</w:t>
            </w:r>
          </w:p>
        </w:tc>
        <w:tc>
          <w:tcPr>
            <w:tcW w:w="0" w:type="auto"/>
            <w:shd w:val="clear" w:color="auto" w:fill="auto"/>
            <w:noWrap/>
            <w:vAlign w:val="center"/>
            <w:hideMark/>
          </w:tcPr>
          <w:p w14:paraId="7B059868" w14:textId="77777777" w:rsidR="00B707B7" w:rsidRPr="001D2881" w:rsidRDefault="00B707B7" w:rsidP="00E444B1">
            <w:pPr>
              <w:keepNext/>
              <w:widowControl w:val="0"/>
              <w:jc w:val="center"/>
              <w:rPr>
                <w:sz w:val="20"/>
                <w:szCs w:val="20"/>
              </w:rPr>
            </w:pPr>
            <w:r w:rsidRPr="001D2881">
              <w:rPr>
                <w:rFonts w:eastAsia="Symbol"/>
                <w:sz w:val="20"/>
                <w:szCs w:val="20"/>
              </w:rPr>
              <w:t>Carver</w:t>
            </w:r>
          </w:p>
        </w:tc>
      </w:tr>
      <w:tr w:rsidR="00B707B7" w:rsidRPr="001D2881" w14:paraId="29A9A899" w14:textId="77777777" w:rsidTr="00E444B1">
        <w:trPr>
          <w:trHeight w:val="290"/>
          <w:jc w:val="center"/>
        </w:trPr>
        <w:tc>
          <w:tcPr>
            <w:tcW w:w="0" w:type="auto"/>
            <w:shd w:val="clear" w:color="auto" w:fill="auto"/>
            <w:noWrap/>
            <w:vAlign w:val="center"/>
            <w:hideMark/>
          </w:tcPr>
          <w:p w14:paraId="53FE6654" w14:textId="77777777" w:rsidR="00B707B7" w:rsidRPr="001D2881" w:rsidRDefault="00B707B7" w:rsidP="00E444B1">
            <w:pPr>
              <w:keepNext/>
              <w:widowControl w:val="0"/>
              <w:jc w:val="center"/>
              <w:rPr>
                <w:sz w:val="20"/>
                <w:szCs w:val="20"/>
              </w:rPr>
            </w:pPr>
            <w:r w:rsidRPr="001D2881">
              <w:rPr>
                <w:sz w:val="20"/>
                <w:szCs w:val="20"/>
              </w:rPr>
              <w:t>East Bridgewater</w:t>
            </w:r>
          </w:p>
        </w:tc>
        <w:tc>
          <w:tcPr>
            <w:tcW w:w="0" w:type="auto"/>
            <w:shd w:val="clear" w:color="auto" w:fill="auto"/>
            <w:noWrap/>
            <w:vAlign w:val="center"/>
            <w:hideMark/>
          </w:tcPr>
          <w:p w14:paraId="61A88F10" w14:textId="77777777" w:rsidR="00B707B7" w:rsidRPr="001D2881" w:rsidRDefault="00B707B7" w:rsidP="00E444B1">
            <w:pPr>
              <w:keepNext/>
              <w:widowControl w:val="0"/>
              <w:jc w:val="center"/>
              <w:rPr>
                <w:sz w:val="20"/>
                <w:szCs w:val="20"/>
              </w:rPr>
            </w:pPr>
            <w:r w:rsidRPr="001D2881">
              <w:rPr>
                <w:rFonts w:eastAsia="Symbol"/>
                <w:sz w:val="20"/>
                <w:szCs w:val="20"/>
              </w:rPr>
              <w:t>Halifax</w:t>
            </w:r>
          </w:p>
        </w:tc>
        <w:tc>
          <w:tcPr>
            <w:tcW w:w="0" w:type="auto"/>
            <w:shd w:val="clear" w:color="auto" w:fill="auto"/>
            <w:noWrap/>
            <w:vAlign w:val="center"/>
            <w:hideMark/>
          </w:tcPr>
          <w:p w14:paraId="1A853DE5" w14:textId="77777777" w:rsidR="00B707B7" w:rsidRPr="001D2881" w:rsidRDefault="00B707B7" w:rsidP="00E444B1">
            <w:pPr>
              <w:keepNext/>
              <w:widowControl w:val="0"/>
              <w:jc w:val="center"/>
              <w:rPr>
                <w:sz w:val="20"/>
                <w:szCs w:val="20"/>
              </w:rPr>
            </w:pPr>
            <w:r w:rsidRPr="001D2881">
              <w:rPr>
                <w:rFonts w:eastAsia="Symbol"/>
                <w:sz w:val="20"/>
                <w:szCs w:val="20"/>
              </w:rPr>
              <w:t>Hanover</w:t>
            </w:r>
          </w:p>
        </w:tc>
        <w:tc>
          <w:tcPr>
            <w:tcW w:w="0" w:type="auto"/>
            <w:shd w:val="clear" w:color="auto" w:fill="auto"/>
            <w:noWrap/>
            <w:vAlign w:val="center"/>
            <w:hideMark/>
          </w:tcPr>
          <w:p w14:paraId="04A42EF2" w14:textId="77777777" w:rsidR="00B707B7" w:rsidRPr="001D2881" w:rsidRDefault="00B707B7" w:rsidP="00E444B1">
            <w:pPr>
              <w:keepNext/>
              <w:widowControl w:val="0"/>
              <w:jc w:val="center"/>
              <w:rPr>
                <w:sz w:val="20"/>
                <w:szCs w:val="20"/>
              </w:rPr>
            </w:pPr>
            <w:r w:rsidRPr="001D2881">
              <w:rPr>
                <w:sz w:val="20"/>
                <w:szCs w:val="20"/>
              </w:rPr>
              <w:t>Hanson</w:t>
            </w:r>
          </w:p>
        </w:tc>
      </w:tr>
      <w:tr w:rsidR="00B707B7" w:rsidRPr="001D2881" w14:paraId="1D749A77" w14:textId="77777777" w:rsidTr="00E444B1">
        <w:trPr>
          <w:trHeight w:val="290"/>
          <w:jc w:val="center"/>
        </w:trPr>
        <w:tc>
          <w:tcPr>
            <w:tcW w:w="0" w:type="auto"/>
            <w:shd w:val="clear" w:color="auto" w:fill="auto"/>
            <w:noWrap/>
            <w:vAlign w:val="center"/>
          </w:tcPr>
          <w:p w14:paraId="6CB5AF46" w14:textId="77777777" w:rsidR="00B707B7" w:rsidRPr="001D2881" w:rsidRDefault="00B707B7" w:rsidP="00E444B1">
            <w:pPr>
              <w:keepNext/>
              <w:widowControl w:val="0"/>
              <w:jc w:val="center"/>
              <w:rPr>
                <w:sz w:val="20"/>
                <w:szCs w:val="20"/>
              </w:rPr>
            </w:pPr>
            <w:r w:rsidRPr="001D2881">
              <w:rPr>
                <w:sz w:val="20"/>
                <w:szCs w:val="20"/>
              </w:rPr>
              <w:t>Kingston</w:t>
            </w:r>
          </w:p>
        </w:tc>
        <w:tc>
          <w:tcPr>
            <w:tcW w:w="0" w:type="auto"/>
            <w:shd w:val="clear" w:color="auto" w:fill="auto"/>
            <w:noWrap/>
            <w:vAlign w:val="center"/>
          </w:tcPr>
          <w:p w14:paraId="11120B64" w14:textId="77777777" w:rsidR="00B707B7" w:rsidRPr="001D2881" w:rsidRDefault="00B707B7" w:rsidP="00E444B1">
            <w:pPr>
              <w:keepNext/>
              <w:widowControl w:val="0"/>
              <w:jc w:val="center"/>
              <w:rPr>
                <w:rFonts w:eastAsia="Symbol"/>
                <w:sz w:val="20"/>
                <w:szCs w:val="20"/>
              </w:rPr>
            </w:pPr>
            <w:r w:rsidRPr="001D2881">
              <w:rPr>
                <w:rFonts w:eastAsia="Symbol"/>
                <w:sz w:val="20"/>
                <w:szCs w:val="20"/>
              </w:rPr>
              <w:t>Lakeville</w:t>
            </w:r>
          </w:p>
        </w:tc>
        <w:tc>
          <w:tcPr>
            <w:tcW w:w="0" w:type="auto"/>
            <w:shd w:val="clear" w:color="auto" w:fill="auto"/>
            <w:noWrap/>
            <w:vAlign w:val="center"/>
          </w:tcPr>
          <w:p w14:paraId="7C4BB1A6" w14:textId="77777777" w:rsidR="00B707B7" w:rsidRPr="001D2881" w:rsidRDefault="00B707B7" w:rsidP="00E444B1">
            <w:pPr>
              <w:keepNext/>
              <w:widowControl w:val="0"/>
              <w:jc w:val="center"/>
              <w:rPr>
                <w:rFonts w:eastAsia="Symbol"/>
                <w:sz w:val="20"/>
                <w:szCs w:val="20"/>
              </w:rPr>
            </w:pPr>
            <w:r w:rsidRPr="001D2881">
              <w:rPr>
                <w:rFonts w:eastAsia="Symbol"/>
                <w:sz w:val="20"/>
                <w:szCs w:val="20"/>
              </w:rPr>
              <w:t>Middleborough</w:t>
            </w:r>
          </w:p>
        </w:tc>
        <w:tc>
          <w:tcPr>
            <w:tcW w:w="0" w:type="auto"/>
            <w:shd w:val="clear" w:color="auto" w:fill="auto"/>
            <w:noWrap/>
            <w:vAlign w:val="center"/>
          </w:tcPr>
          <w:p w14:paraId="7EEB2197" w14:textId="77777777" w:rsidR="00B707B7" w:rsidRPr="001D2881" w:rsidRDefault="00B707B7" w:rsidP="00E444B1">
            <w:pPr>
              <w:keepNext/>
              <w:widowControl w:val="0"/>
              <w:jc w:val="center"/>
              <w:rPr>
                <w:sz w:val="20"/>
                <w:szCs w:val="20"/>
              </w:rPr>
            </w:pPr>
            <w:r w:rsidRPr="001D2881">
              <w:rPr>
                <w:sz w:val="20"/>
                <w:szCs w:val="20"/>
              </w:rPr>
              <w:t>Norwell</w:t>
            </w:r>
          </w:p>
        </w:tc>
      </w:tr>
      <w:tr w:rsidR="00B707B7" w:rsidRPr="001D2881" w14:paraId="770B98C0" w14:textId="77777777" w:rsidTr="00E444B1">
        <w:trPr>
          <w:trHeight w:val="290"/>
          <w:jc w:val="center"/>
        </w:trPr>
        <w:tc>
          <w:tcPr>
            <w:tcW w:w="0" w:type="auto"/>
            <w:shd w:val="clear" w:color="auto" w:fill="auto"/>
            <w:noWrap/>
            <w:vAlign w:val="center"/>
          </w:tcPr>
          <w:p w14:paraId="1D567D68" w14:textId="77777777" w:rsidR="00B707B7" w:rsidRPr="001D2881" w:rsidRDefault="00B707B7" w:rsidP="00E444B1">
            <w:pPr>
              <w:keepNext/>
              <w:widowControl w:val="0"/>
              <w:jc w:val="center"/>
              <w:rPr>
                <w:sz w:val="20"/>
                <w:szCs w:val="20"/>
              </w:rPr>
            </w:pPr>
            <w:r w:rsidRPr="001D2881">
              <w:rPr>
                <w:sz w:val="20"/>
                <w:szCs w:val="20"/>
              </w:rPr>
              <w:t>Pembroke</w:t>
            </w:r>
          </w:p>
        </w:tc>
        <w:tc>
          <w:tcPr>
            <w:tcW w:w="0" w:type="auto"/>
            <w:shd w:val="clear" w:color="auto" w:fill="auto"/>
            <w:noWrap/>
            <w:vAlign w:val="center"/>
          </w:tcPr>
          <w:p w14:paraId="1A15BEC6" w14:textId="77777777" w:rsidR="00B707B7" w:rsidRPr="001D2881" w:rsidRDefault="00B707B7" w:rsidP="00E444B1">
            <w:pPr>
              <w:keepNext/>
              <w:widowControl w:val="0"/>
              <w:jc w:val="center"/>
              <w:rPr>
                <w:rFonts w:eastAsia="Symbol"/>
                <w:sz w:val="20"/>
                <w:szCs w:val="20"/>
              </w:rPr>
            </w:pPr>
            <w:r w:rsidRPr="001D2881">
              <w:rPr>
                <w:rFonts w:eastAsia="Symbol"/>
                <w:sz w:val="20"/>
                <w:szCs w:val="20"/>
              </w:rPr>
              <w:t>Plymouth</w:t>
            </w:r>
          </w:p>
        </w:tc>
        <w:tc>
          <w:tcPr>
            <w:tcW w:w="0" w:type="auto"/>
            <w:shd w:val="clear" w:color="auto" w:fill="auto"/>
            <w:noWrap/>
            <w:vAlign w:val="center"/>
          </w:tcPr>
          <w:p w14:paraId="4F446A0D" w14:textId="77777777" w:rsidR="00B707B7" w:rsidRPr="001D2881" w:rsidRDefault="00B707B7" w:rsidP="00E444B1">
            <w:pPr>
              <w:keepNext/>
              <w:widowControl w:val="0"/>
              <w:jc w:val="center"/>
              <w:rPr>
                <w:rFonts w:eastAsia="Symbol"/>
                <w:sz w:val="20"/>
                <w:szCs w:val="20"/>
              </w:rPr>
            </w:pPr>
            <w:r w:rsidRPr="001D2881">
              <w:rPr>
                <w:rFonts w:eastAsia="Symbol"/>
                <w:sz w:val="20"/>
                <w:szCs w:val="20"/>
              </w:rPr>
              <w:t>Plympton</w:t>
            </w:r>
          </w:p>
        </w:tc>
        <w:tc>
          <w:tcPr>
            <w:tcW w:w="0" w:type="auto"/>
            <w:shd w:val="clear" w:color="auto" w:fill="auto"/>
            <w:noWrap/>
            <w:vAlign w:val="center"/>
          </w:tcPr>
          <w:p w14:paraId="0EA55070" w14:textId="77777777" w:rsidR="00B707B7" w:rsidRPr="001D2881" w:rsidRDefault="00B707B7" w:rsidP="00E444B1">
            <w:pPr>
              <w:keepNext/>
              <w:widowControl w:val="0"/>
              <w:jc w:val="center"/>
              <w:rPr>
                <w:sz w:val="20"/>
                <w:szCs w:val="20"/>
              </w:rPr>
            </w:pPr>
            <w:r w:rsidRPr="001D2881">
              <w:rPr>
                <w:sz w:val="20"/>
                <w:szCs w:val="20"/>
              </w:rPr>
              <w:t>Rockland</w:t>
            </w:r>
          </w:p>
        </w:tc>
      </w:tr>
      <w:tr w:rsidR="00B707B7" w:rsidRPr="001D2881" w14:paraId="063C1894" w14:textId="77777777" w:rsidTr="00E444B1">
        <w:trPr>
          <w:trHeight w:val="290"/>
          <w:jc w:val="center"/>
        </w:trPr>
        <w:tc>
          <w:tcPr>
            <w:tcW w:w="0" w:type="auto"/>
            <w:shd w:val="clear" w:color="auto" w:fill="auto"/>
            <w:noWrap/>
            <w:vAlign w:val="center"/>
          </w:tcPr>
          <w:p w14:paraId="12EFE335" w14:textId="77777777" w:rsidR="00B707B7" w:rsidRPr="001D2881" w:rsidRDefault="00B707B7" w:rsidP="00E444B1">
            <w:pPr>
              <w:keepNext/>
              <w:widowControl w:val="0"/>
              <w:jc w:val="center"/>
              <w:rPr>
                <w:sz w:val="20"/>
                <w:szCs w:val="20"/>
              </w:rPr>
            </w:pPr>
            <w:r w:rsidRPr="001D2881">
              <w:rPr>
                <w:sz w:val="20"/>
                <w:szCs w:val="20"/>
              </w:rPr>
              <w:t>Wareham</w:t>
            </w:r>
          </w:p>
        </w:tc>
        <w:tc>
          <w:tcPr>
            <w:tcW w:w="0" w:type="auto"/>
            <w:shd w:val="clear" w:color="auto" w:fill="auto"/>
            <w:noWrap/>
            <w:vAlign w:val="center"/>
          </w:tcPr>
          <w:p w14:paraId="17EC19A2" w14:textId="77777777" w:rsidR="00B707B7" w:rsidRPr="001D2881" w:rsidRDefault="00B707B7" w:rsidP="00E444B1">
            <w:pPr>
              <w:keepNext/>
              <w:widowControl w:val="0"/>
              <w:jc w:val="center"/>
              <w:rPr>
                <w:rFonts w:eastAsia="Symbol"/>
                <w:sz w:val="20"/>
                <w:szCs w:val="20"/>
              </w:rPr>
            </w:pPr>
            <w:r w:rsidRPr="001D2881">
              <w:rPr>
                <w:rFonts w:eastAsia="Symbol"/>
                <w:sz w:val="20"/>
                <w:szCs w:val="20"/>
              </w:rPr>
              <w:t>West Bridgewater</w:t>
            </w:r>
          </w:p>
        </w:tc>
        <w:tc>
          <w:tcPr>
            <w:tcW w:w="0" w:type="auto"/>
            <w:shd w:val="clear" w:color="auto" w:fill="auto"/>
            <w:noWrap/>
            <w:vAlign w:val="center"/>
          </w:tcPr>
          <w:p w14:paraId="57A02A3A" w14:textId="77777777" w:rsidR="00B707B7" w:rsidRPr="001D2881" w:rsidRDefault="00B707B7" w:rsidP="00E444B1">
            <w:pPr>
              <w:keepNext/>
              <w:widowControl w:val="0"/>
              <w:jc w:val="center"/>
              <w:rPr>
                <w:rFonts w:eastAsia="Symbol"/>
                <w:sz w:val="20"/>
                <w:szCs w:val="20"/>
              </w:rPr>
            </w:pPr>
            <w:r w:rsidRPr="001D2881">
              <w:rPr>
                <w:rFonts w:eastAsia="Symbol"/>
                <w:sz w:val="20"/>
                <w:szCs w:val="20"/>
              </w:rPr>
              <w:t>Whitman</w:t>
            </w:r>
          </w:p>
        </w:tc>
        <w:tc>
          <w:tcPr>
            <w:tcW w:w="0" w:type="auto"/>
            <w:shd w:val="clear" w:color="auto" w:fill="D9D9D9" w:themeFill="background1" w:themeFillShade="D9"/>
            <w:noWrap/>
            <w:vAlign w:val="center"/>
          </w:tcPr>
          <w:p w14:paraId="3680CCC3" w14:textId="77777777" w:rsidR="00B707B7" w:rsidRPr="001D2881" w:rsidRDefault="00B707B7" w:rsidP="00E444B1">
            <w:pPr>
              <w:keepNext/>
              <w:widowControl w:val="0"/>
              <w:jc w:val="center"/>
              <w:rPr>
                <w:sz w:val="20"/>
                <w:szCs w:val="20"/>
              </w:rPr>
            </w:pPr>
          </w:p>
        </w:tc>
      </w:tr>
    </w:tbl>
    <w:p w14:paraId="4A87A109" w14:textId="5A1B6183" w:rsidR="00B707B7" w:rsidRDefault="00B707B7" w:rsidP="00B707B7"/>
    <w:p w14:paraId="6778B4E8" w14:textId="1DE3515B" w:rsidR="00E3573E" w:rsidRDefault="00364844" w:rsidP="00B707B7">
      <w:r>
        <w:t xml:space="preserve">The </w:t>
      </w:r>
      <w:r w:rsidR="00E3573E" w:rsidRPr="00E3573E">
        <w:t>Barnstable County MSA, Boston-Cambridge-Newton MSA, and Plymouth County MSA</w:t>
      </w:r>
      <w:r w:rsidR="00E3573E">
        <w:t xml:space="preserve"> are all part of the </w:t>
      </w:r>
      <w:r w:rsidR="00E3573E" w:rsidRPr="00E3573E">
        <w:t>Boston-Worcester-Providence, MA-RI-NH-CT C</w:t>
      </w:r>
      <w:r w:rsidR="00DF6C07">
        <w:t xml:space="preserve">ombined </w:t>
      </w:r>
      <w:r w:rsidR="00E3573E" w:rsidRPr="00E3573E">
        <w:t>S</w:t>
      </w:r>
      <w:r w:rsidR="00DF6C07">
        <w:t xml:space="preserve">tatistical </w:t>
      </w:r>
      <w:r w:rsidR="00E3573E" w:rsidRPr="00E3573E">
        <w:t>A</w:t>
      </w:r>
      <w:r w:rsidR="00DF6C07">
        <w:t>rea (CSA)</w:t>
      </w:r>
      <w:r w:rsidR="00E3573E">
        <w:t xml:space="preserve">.  Examiners conducted full-scope reviews of the </w:t>
      </w:r>
      <w:r w:rsidR="00E3573E" w:rsidRPr="00E3573E">
        <w:t xml:space="preserve">Barnstable County MSA, Boston-Cambridge-Newton MSA, and Plymouth County MSA </w:t>
      </w:r>
      <w:r w:rsidR="00E3573E">
        <w:t xml:space="preserve">and </w:t>
      </w:r>
      <w:r w:rsidR="00E3573E" w:rsidRPr="00E3573E">
        <w:t xml:space="preserve">determined the bank’s performance was consistent in each </w:t>
      </w:r>
      <w:r w:rsidR="00E3573E">
        <w:t xml:space="preserve">MSA.  As a result, examiners </w:t>
      </w:r>
      <w:r w:rsidR="00E3573E" w:rsidRPr="00E3573E">
        <w:t>presented the bank’s lendin</w:t>
      </w:r>
      <w:r w:rsidR="00E3573E">
        <w:t>g performance using the Bos</w:t>
      </w:r>
      <w:r w:rsidR="00E3573E" w:rsidRPr="00E3573E">
        <w:t xml:space="preserve">ton-Worcester-Providence, MA-RI-NH-CT CSA.  </w:t>
      </w:r>
    </w:p>
    <w:p w14:paraId="0F009B02" w14:textId="77777777" w:rsidR="00E3573E" w:rsidRPr="001D2881" w:rsidRDefault="00E3573E" w:rsidP="00B707B7"/>
    <w:p w14:paraId="5039A3BF" w14:textId="77777777" w:rsidR="00B707B7" w:rsidRPr="001D2881" w:rsidRDefault="00B707B7" w:rsidP="00B707B7">
      <w:pPr>
        <w:rPr>
          <w:b/>
          <w:u w:val="single"/>
        </w:rPr>
      </w:pPr>
      <w:r w:rsidRPr="001D2881">
        <w:rPr>
          <w:b/>
          <w:u w:val="single"/>
        </w:rPr>
        <w:t xml:space="preserve">Economic and Demographic Data  </w:t>
      </w:r>
    </w:p>
    <w:p w14:paraId="4E4BA92F" w14:textId="77777777" w:rsidR="00B707B7" w:rsidRPr="001D2881" w:rsidRDefault="00B707B7" w:rsidP="00B707B7">
      <w:pPr>
        <w:tabs>
          <w:tab w:val="left" w:pos="1260"/>
        </w:tabs>
        <w:rPr>
          <w:bCs/>
          <w:iCs/>
        </w:rPr>
      </w:pPr>
    </w:p>
    <w:p w14:paraId="47A63EE6" w14:textId="77777777" w:rsidR="00B707B7" w:rsidRPr="001D2881" w:rsidRDefault="00B707B7" w:rsidP="00B707B7">
      <w:pPr>
        <w:tabs>
          <w:tab w:val="left" w:pos="1260"/>
        </w:tabs>
        <w:rPr>
          <w:bCs/>
          <w:iCs/>
        </w:rPr>
      </w:pPr>
      <w:r w:rsidRPr="001D2881">
        <w:rPr>
          <w:bCs/>
          <w:iCs/>
        </w:rPr>
        <w:t xml:space="preserve">According to 2015 ACS data, the assessment area consists of 143 census tracts with the following income designations: </w:t>
      </w:r>
    </w:p>
    <w:p w14:paraId="4FC7DAB1" w14:textId="77777777" w:rsidR="00B707B7" w:rsidRPr="001D2881" w:rsidRDefault="00B707B7" w:rsidP="00B707B7">
      <w:pPr>
        <w:tabs>
          <w:tab w:val="left" w:pos="1260"/>
        </w:tabs>
        <w:rPr>
          <w:bCs/>
          <w:iCs/>
        </w:rPr>
      </w:pPr>
    </w:p>
    <w:p w14:paraId="411D89AC" w14:textId="77777777" w:rsidR="00B707B7" w:rsidRPr="001D2881" w:rsidRDefault="00B707B7" w:rsidP="00B707B7">
      <w:pPr>
        <w:pStyle w:val="ListParagraph"/>
        <w:numPr>
          <w:ilvl w:val="0"/>
          <w:numId w:val="6"/>
        </w:numPr>
        <w:tabs>
          <w:tab w:val="left" w:pos="1260"/>
        </w:tabs>
        <w:rPr>
          <w:bCs/>
          <w:iCs/>
        </w:rPr>
      </w:pPr>
      <w:r w:rsidRPr="001D2881">
        <w:rPr>
          <w:bCs/>
          <w:iCs/>
        </w:rPr>
        <w:t>6 low-income census tracts</w:t>
      </w:r>
    </w:p>
    <w:p w14:paraId="25376F5E" w14:textId="77777777" w:rsidR="00B707B7" w:rsidRPr="001D2881" w:rsidRDefault="00B707B7" w:rsidP="00B707B7">
      <w:pPr>
        <w:pStyle w:val="ListParagraph"/>
        <w:numPr>
          <w:ilvl w:val="0"/>
          <w:numId w:val="6"/>
        </w:numPr>
        <w:tabs>
          <w:tab w:val="left" w:pos="1260"/>
        </w:tabs>
        <w:rPr>
          <w:bCs/>
          <w:iCs/>
        </w:rPr>
      </w:pPr>
      <w:r w:rsidRPr="001D2881">
        <w:rPr>
          <w:bCs/>
          <w:iCs/>
        </w:rPr>
        <w:t>26 moderate-income census tracts</w:t>
      </w:r>
    </w:p>
    <w:p w14:paraId="5AB8217E" w14:textId="77777777" w:rsidR="00B707B7" w:rsidRPr="001D2881" w:rsidRDefault="00B707B7" w:rsidP="00B707B7">
      <w:pPr>
        <w:pStyle w:val="ListParagraph"/>
        <w:numPr>
          <w:ilvl w:val="0"/>
          <w:numId w:val="6"/>
        </w:numPr>
        <w:tabs>
          <w:tab w:val="left" w:pos="1260"/>
        </w:tabs>
        <w:rPr>
          <w:bCs/>
          <w:iCs/>
        </w:rPr>
      </w:pPr>
      <w:r w:rsidRPr="001D2881">
        <w:rPr>
          <w:bCs/>
          <w:iCs/>
        </w:rPr>
        <w:t>6</w:t>
      </w:r>
      <w:r>
        <w:rPr>
          <w:bCs/>
          <w:iCs/>
        </w:rPr>
        <w:t>5</w:t>
      </w:r>
      <w:r w:rsidRPr="001D2881">
        <w:rPr>
          <w:bCs/>
          <w:iCs/>
        </w:rPr>
        <w:t xml:space="preserve"> middle-income census tracts</w:t>
      </w:r>
    </w:p>
    <w:p w14:paraId="64E9CF64" w14:textId="77777777" w:rsidR="00B707B7" w:rsidRPr="001D2881" w:rsidRDefault="00B707B7" w:rsidP="00B707B7">
      <w:pPr>
        <w:pStyle w:val="ListParagraph"/>
        <w:numPr>
          <w:ilvl w:val="0"/>
          <w:numId w:val="6"/>
        </w:numPr>
        <w:tabs>
          <w:tab w:val="left" w:pos="1260"/>
        </w:tabs>
        <w:rPr>
          <w:bCs/>
          <w:iCs/>
        </w:rPr>
      </w:pPr>
      <w:r w:rsidRPr="001D2881">
        <w:rPr>
          <w:bCs/>
          <w:iCs/>
        </w:rPr>
        <w:t>44 upper-income census tracts</w:t>
      </w:r>
    </w:p>
    <w:p w14:paraId="78C60964" w14:textId="77777777" w:rsidR="00B707B7" w:rsidRPr="001D2881" w:rsidRDefault="00B707B7" w:rsidP="00B707B7">
      <w:pPr>
        <w:pStyle w:val="ListParagraph"/>
        <w:numPr>
          <w:ilvl w:val="0"/>
          <w:numId w:val="6"/>
        </w:numPr>
        <w:tabs>
          <w:tab w:val="left" w:pos="1260"/>
        </w:tabs>
        <w:rPr>
          <w:bCs/>
          <w:iCs/>
        </w:rPr>
      </w:pPr>
      <w:r w:rsidRPr="001D2881">
        <w:rPr>
          <w:bCs/>
          <w:iCs/>
        </w:rPr>
        <w:t>2 census tracts without an income designation</w:t>
      </w:r>
    </w:p>
    <w:p w14:paraId="606327E7" w14:textId="77777777" w:rsidR="00B707B7" w:rsidRPr="001D2881" w:rsidRDefault="00B707B7" w:rsidP="00B707B7">
      <w:pPr>
        <w:tabs>
          <w:tab w:val="left" w:pos="1260"/>
        </w:tabs>
        <w:rPr>
          <w:bCs/>
          <w:iCs/>
        </w:rPr>
      </w:pPr>
    </w:p>
    <w:p w14:paraId="56FEBC62" w14:textId="77777777" w:rsidR="00B707B7" w:rsidRDefault="00B707B7" w:rsidP="00B707B7">
      <w:pPr>
        <w:tabs>
          <w:tab w:val="left" w:pos="1260"/>
        </w:tabs>
        <w:rPr>
          <w:bCs/>
          <w:iCs/>
        </w:rPr>
      </w:pPr>
      <w:r w:rsidRPr="001D2881">
        <w:rPr>
          <w:bCs/>
          <w:iCs/>
        </w:rPr>
        <w:t xml:space="preserve">The low-income census tracts are located in Brockton (5) and Taunton (1).  The moderate-income census tracts are located in Attleboro (3), Bourne (1), Brockton (10), Carver (1), Holbrook (1), </w:t>
      </w:r>
      <w:r w:rsidRPr="001D2881">
        <w:rPr>
          <w:bCs/>
          <w:iCs/>
        </w:rPr>
        <w:lastRenderedPageBreak/>
        <w:t xml:space="preserve">Middleborough (1), North Attleborough (1), Plymouth (2), Stoughton (1), Taunton (3), and Wareham (2).  The two census tracts without an income designation are located in Bridgewater, one of which is a correctional facility and the other is Bridgewater State College. </w:t>
      </w:r>
      <w:r>
        <w:rPr>
          <w:bCs/>
          <w:iCs/>
        </w:rPr>
        <w:t xml:space="preserve"> </w:t>
      </w:r>
      <w:r w:rsidRPr="001D2881">
        <w:rPr>
          <w:bCs/>
          <w:iCs/>
        </w:rPr>
        <w:t>The expan</w:t>
      </w:r>
      <w:r>
        <w:rPr>
          <w:bCs/>
          <w:iCs/>
        </w:rPr>
        <w:t>ded</w:t>
      </w:r>
      <w:r w:rsidRPr="001D2881">
        <w:rPr>
          <w:bCs/>
          <w:iCs/>
        </w:rPr>
        <w:t xml:space="preserve"> assessment area added 8 moderate-income census tracts, 46 middle-income census tracts, 22 upper-income census tracts, and 2 census tracts without an income designation.  </w:t>
      </w:r>
    </w:p>
    <w:p w14:paraId="058DD1EC" w14:textId="77777777" w:rsidR="00B707B7" w:rsidRDefault="00B707B7" w:rsidP="00B707B7">
      <w:pPr>
        <w:tabs>
          <w:tab w:val="left" w:pos="1260"/>
        </w:tabs>
        <w:rPr>
          <w:bCs/>
          <w:iCs/>
        </w:rPr>
      </w:pPr>
    </w:p>
    <w:p w14:paraId="2CBB07CD" w14:textId="1E1ABD3E" w:rsidR="00B707B7" w:rsidRPr="001D2881" w:rsidRDefault="00B707B7" w:rsidP="00B707B7">
      <w:pPr>
        <w:tabs>
          <w:tab w:val="left" w:pos="1260"/>
        </w:tabs>
        <w:rPr>
          <w:bCs/>
          <w:iCs/>
        </w:rPr>
      </w:pPr>
      <w:r>
        <w:rPr>
          <w:bCs/>
          <w:iCs/>
        </w:rPr>
        <w:t>Furthermore, the assessment area</w:t>
      </w:r>
      <w:r w:rsidRPr="001D2881">
        <w:rPr>
          <w:bCs/>
          <w:iCs/>
        </w:rPr>
        <w:t xml:space="preserve"> includes 11 census tracts designated as opportunity zones as part of the Federal Opportunity Zone Program, which promotes redevelopment in economically depressed areas.  The opportunity zone</w:t>
      </w:r>
      <w:r>
        <w:rPr>
          <w:bCs/>
          <w:iCs/>
        </w:rPr>
        <w:t xml:space="preserve"> census tracts</w:t>
      </w:r>
      <w:r w:rsidRPr="001D2881">
        <w:rPr>
          <w:bCs/>
          <w:iCs/>
        </w:rPr>
        <w:t xml:space="preserve"> are located in </w:t>
      </w:r>
      <w:r>
        <w:rPr>
          <w:bCs/>
          <w:iCs/>
        </w:rPr>
        <w:t xml:space="preserve">Bourne (1), </w:t>
      </w:r>
      <w:r w:rsidRPr="001D2881">
        <w:rPr>
          <w:bCs/>
          <w:iCs/>
        </w:rPr>
        <w:t>Bridgewater</w:t>
      </w:r>
      <w:r>
        <w:rPr>
          <w:bCs/>
          <w:iCs/>
        </w:rPr>
        <w:t xml:space="preserve"> (1)</w:t>
      </w:r>
      <w:r w:rsidRPr="001D2881">
        <w:rPr>
          <w:bCs/>
          <w:iCs/>
        </w:rPr>
        <w:t>, Brockton</w:t>
      </w:r>
      <w:r>
        <w:rPr>
          <w:bCs/>
          <w:iCs/>
        </w:rPr>
        <w:t xml:space="preserve"> (4)</w:t>
      </w:r>
      <w:r w:rsidRPr="001D2881">
        <w:rPr>
          <w:bCs/>
          <w:iCs/>
        </w:rPr>
        <w:t>, North Attleborough</w:t>
      </w:r>
      <w:r>
        <w:rPr>
          <w:bCs/>
          <w:iCs/>
        </w:rPr>
        <w:t xml:space="preserve"> (2)</w:t>
      </w:r>
      <w:r w:rsidRPr="001D2881">
        <w:rPr>
          <w:bCs/>
          <w:iCs/>
        </w:rPr>
        <w:t>, Rockland</w:t>
      </w:r>
      <w:r>
        <w:rPr>
          <w:bCs/>
          <w:iCs/>
        </w:rPr>
        <w:t xml:space="preserve"> (1)</w:t>
      </w:r>
      <w:r w:rsidRPr="001D2881">
        <w:rPr>
          <w:bCs/>
          <w:iCs/>
        </w:rPr>
        <w:t>, Taunton</w:t>
      </w:r>
      <w:r>
        <w:rPr>
          <w:bCs/>
          <w:iCs/>
        </w:rPr>
        <w:t xml:space="preserve"> (1)</w:t>
      </w:r>
      <w:r w:rsidRPr="001D2881">
        <w:rPr>
          <w:bCs/>
          <w:iCs/>
        </w:rPr>
        <w:t>, and Wareham</w:t>
      </w:r>
      <w:r>
        <w:rPr>
          <w:bCs/>
          <w:iCs/>
        </w:rPr>
        <w:t xml:space="preserve"> (1)</w:t>
      </w:r>
      <w:r w:rsidRPr="001D2881">
        <w:rPr>
          <w:bCs/>
          <w:iCs/>
        </w:rPr>
        <w:t xml:space="preserve">.  This </w:t>
      </w:r>
      <w:r>
        <w:rPr>
          <w:bCs/>
          <w:iCs/>
        </w:rPr>
        <w:t>indicate</w:t>
      </w:r>
      <w:r w:rsidRPr="001D2881">
        <w:rPr>
          <w:bCs/>
          <w:iCs/>
        </w:rPr>
        <w:t xml:space="preserve">s community development opportunities </w:t>
      </w:r>
      <w:r>
        <w:rPr>
          <w:bCs/>
          <w:iCs/>
        </w:rPr>
        <w:t>exist for</w:t>
      </w:r>
      <w:r w:rsidRPr="001D2881">
        <w:rPr>
          <w:bCs/>
          <w:iCs/>
        </w:rPr>
        <w:t xml:space="preserve"> revitaliz</w:t>
      </w:r>
      <w:r>
        <w:rPr>
          <w:bCs/>
          <w:iCs/>
        </w:rPr>
        <w:t>ation</w:t>
      </w:r>
      <w:r w:rsidRPr="001D2881">
        <w:rPr>
          <w:bCs/>
          <w:iCs/>
        </w:rPr>
        <w:t xml:space="preserve"> and stabiliz</w:t>
      </w:r>
      <w:r>
        <w:rPr>
          <w:bCs/>
          <w:iCs/>
        </w:rPr>
        <w:t>ation in</w:t>
      </w:r>
      <w:r w:rsidRPr="001D2881">
        <w:rPr>
          <w:bCs/>
          <w:iCs/>
        </w:rPr>
        <w:t xml:space="preserve"> the</w:t>
      </w:r>
      <w:r w:rsidR="00DF6C07">
        <w:rPr>
          <w:bCs/>
          <w:iCs/>
        </w:rPr>
        <w:t>se</w:t>
      </w:r>
      <w:r w:rsidRPr="001D2881">
        <w:rPr>
          <w:bCs/>
          <w:iCs/>
        </w:rPr>
        <w:t xml:space="preserve"> area</w:t>
      </w:r>
      <w:r w:rsidR="00DF6C07">
        <w:rPr>
          <w:bCs/>
          <w:iCs/>
        </w:rPr>
        <w:t>s</w:t>
      </w:r>
      <w:r w:rsidRPr="001D2881">
        <w:rPr>
          <w:bCs/>
          <w:iCs/>
        </w:rPr>
        <w:t>.</w:t>
      </w:r>
    </w:p>
    <w:p w14:paraId="1E271EBD" w14:textId="77777777" w:rsidR="00B707B7" w:rsidRPr="001D2881" w:rsidRDefault="00B707B7" w:rsidP="00B707B7">
      <w:pPr>
        <w:tabs>
          <w:tab w:val="left" w:pos="1260"/>
        </w:tabs>
        <w:rPr>
          <w:bCs/>
          <w:iCs/>
        </w:rPr>
      </w:pPr>
    </w:p>
    <w:p w14:paraId="5DD2F547" w14:textId="1B1E0CE3" w:rsidR="00B707B7" w:rsidRPr="001D2881" w:rsidRDefault="00B707B7" w:rsidP="00B707B7">
      <w:pPr>
        <w:tabs>
          <w:tab w:val="left" w:pos="1260"/>
        </w:tabs>
        <w:rPr>
          <w:bCs/>
          <w:iCs/>
        </w:rPr>
      </w:pPr>
      <w:r w:rsidRPr="001D2881">
        <w:rPr>
          <w:bCs/>
          <w:iCs/>
        </w:rPr>
        <w:t xml:space="preserve">The following table </w:t>
      </w:r>
      <w:r w:rsidR="00DF6C07">
        <w:rPr>
          <w:bCs/>
          <w:iCs/>
        </w:rPr>
        <w:t>illustrates</w:t>
      </w:r>
      <w:r w:rsidRPr="001D2881">
        <w:rPr>
          <w:bCs/>
          <w:iCs/>
        </w:rPr>
        <w:t xml:space="preserve"> select demographic characteristics of the assessment area.</w:t>
      </w:r>
    </w:p>
    <w:p w14:paraId="01187C9D" w14:textId="77777777" w:rsidR="00B707B7" w:rsidRPr="001D2881" w:rsidRDefault="00B707B7" w:rsidP="00B707B7">
      <w:pPr>
        <w:tabs>
          <w:tab w:val="left" w:pos="1260"/>
        </w:tabs>
        <w:rPr>
          <w:bCs/>
          <w:iCs/>
        </w:rPr>
      </w:pPr>
    </w:p>
    <w:tbl>
      <w:tblPr>
        <w:tblW w:w="0" w:type="auto"/>
        <w:tblCellMar>
          <w:left w:w="0" w:type="dxa"/>
          <w:right w:w="0" w:type="dxa"/>
        </w:tblCellMar>
        <w:tblLook w:val="0000" w:firstRow="0" w:lastRow="0" w:firstColumn="0" w:lastColumn="0" w:noHBand="0" w:noVBand="0"/>
      </w:tblPr>
      <w:tblGrid>
        <w:gridCol w:w="3375"/>
        <w:gridCol w:w="991"/>
        <w:gridCol w:w="975"/>
        <w:gridCol w:w="1117"/>
        <w:gridCol w:w="1047"/>
        <w:gridCol w:w="1025"/>
        <w:gridCol w:w="1100"/>
      </w:tblGrid>
      <w:tr w:rsidR="00B707B7" w:rsidRPr="001D2881" w14:paraId="4AFE6906" w14:textId="77777777" w:rsidTr="00E444B1">
        <w:trPr>
          <w:trHeight w:val="282"/>
        </w:trPr>
        <w:tc>
          <w:tcPr>
            <w:tcW w:w="9630"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23714204" w14:textId="77777777" w:rsidR="00B707B7" w:rsidRPr="001D2881" w:rsidRDefault="00B707B7" w:rsidP="00E444B1">
            <w:pPr>
              <w:keepNext/>
              <w:jc w:val="center"/>
            </w:pPr>
            <w:r w:rsidRPr="001D2881">
              <w:rPr>
                <w:b/>
                <w:sz w:val="20"/>
              </w:rPr>
              <w:t>Demographic Information of the Assessment Area</w:t>
            </w:r>
          </w:p>
        </w:tc>
      </w:tr>
      <w:tr w:rsidR="00B707B7" w:rsidRPr="001D2881" w14:paraId="6B192DE3" w14:textId="77777777" w:rsidTr="00E444B1">
        <w:trPr>
          <w:trHeight w:val="426"/>
        </w:trPr>
        <w:tc>
          <w:tcPr>
            <w:tcW w:w="33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D0FDACB" w14:textId="77777777" w:rsidR="00B707B7" w:rsidRPr="001D2881" w:rsidRDefault="00B707B7" w:rsidP="00E444B1">
            <w:pPr>
              <w:keepNext/>
            </w:pPr>
            <w:r w:rsidRPr="001D2881">
              <w:rPr>
                <w:b/>
                <w:sz w:val="20"/>
              </w:rPr>
              <w:t>Demographic Characteristics</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449642F" w14:textId="77777777" w:rsidR="00B707B7" w:rsidRPr="001D2881" w:rsidRDefault="00B707B7" w:rsidP="00E444B1">
            <w:pPr>
              <w:keepNext/>
              <w:jc w:val="center"/>
            </w:pPr>
            <w:r w:rsidRPr="001D2881">
              <w:rPr>
                <w:b/>
                <w:sz w:val="20"/>
              </w:rPr>
              <w:t>#</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E9508AA" w14:textId="77777777" w:rsidR="00B707B7" w:rsidRPr="001D2881" w:rsidRDefault="00B707B7" w:rsidP="00E444B1">
            <w:pPr>
              <w:keepNext/>
              <w:jc w:val="center"/>
            </w:pPr>
            <w:r w:rsidRPr="001D2881">
              <w:rPr>
                <w:b/>
                <w:sz w:val="20"/>
              </w:rPr>
              <w:t>Low</w:t>
            </w:r>
            <w:r w:rsidRPr="001D2881">
              <w:rPr>
                <w:b/>
                <w:sz w:val="20"/>
              </w:rPr>
              <w:br/>
              <w:t xml:space="preserve"> % of #</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67A0DF8" w14:textId="77777777" w:rsidR="00B707B7" w:rsidRPr="001D2881" w:rsidRDefault="00B707B7" w:rsidP="00E444B1">
            <w:pPr>
              <w:keepNext/>
              <w:jc w:val="center"/>
            </w:pPr>
            <w:r w:rsidRPr="001D2881">
              <w:rPr>
                <w:b/>
                <w:sz w:val="20"/>
              </w:rPr>
              <w:t>Moderate</w:t>
            </w:r>
            <w:r w:rsidRPr="001D2881">
              <w:rPr>
                <w:b/>
                <w:sz w:val="20"/>
              </w:rPr>
              <w:br/>
              <w:t xml:space="preserve"> % of #</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3769D04" w14:textId="77777777" w:rsidR="00B707B7" w:rsidRPr="001D2881" w:rsidRDefault="00B707B7" w:rsidP="00E444B1">
            <w:pPr>
              <w:keepNext/>
              <w:jc w:val="center"/>
            </w:pPr>
            <w:r w:rsidRPr="001D2881">
              <w:rPr>
                <w:b/>
                <w:sz w:val="20"/>
              </w:rPr>
              <w:t>Middle</w:t>
            </w:r>
            <w:r w:rsidRPr="001D2881">
              <w:rPr>
                <w:b/>
                <w:sz w:val="20"/>
              </w:rPr>
              <w:br/>
              <w:t xml:space="preserve"> % of #</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8726597" w14:textId="77777777" w:rsidR="00B707B7" w:rsidRPr="001D2881" w:rsidRDefault="00B707B7" w:rsidP="00E444B1">
            <w:pPr>
              <w:keepNext/>
              <w:jc w:val="center"/>
            </w:pPr>
            <w:r w:rsidRPr="001D2881">
              <w:rPr>
                <w:b/>
                <w:sz w:val="20"/>
              </w:rPr>
              <w:t>Upper</w:t>
            </w:r>
            <w:r w:rsidRPr="001D2881">
              <w:rPr>
                <w:b/>
                <w:sz w:val="20"/>
              </w:rPr>
              <w:br/>
              <w:t>% of #</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7B0221A" w14:textId="77777777" w:rsidR="00B707B7" w:rsidRPr="001D2881" w:rsidRDefault="00B707B7" w:rsidP="00E444B1">
            <w:pPr>
              <w:keepNext/>
              <w:jc w:val="center"/>
            </w:pPr>
            <w:r w:rsidRPr="001D2881">
              <w:rPr>
                <w:b/>
                <w:sz w:val="20"/>
              </w:rPr>
              <w:t xml:space="preserve">NA* </w:t>
            </w:r>
            <w:r w:rsidRPr="001D2881">
              <w:rPr>
                <w:b/>
                <w:sz w:val="20"/>
              </w:rPr>
              <w:br/>
              <w:t>% of #</w:t>
            </w:r>
          </w:p>
        </w:tc>
      </w:tr>
      <w:tr w:rsidR="00B707B7" w:rsidRPr="001D2881" w14:paraId="3E6CBDC3" w14:textId="77777777" w:rsidTr="00E444B1">
        <w:trPr>
          <w:trHeight w:val="188"/>
        </w:trPr>
        <w:tc>
          <w:tcPr>
            <w:tcW w:w="33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400253A1" w14:textId="77777777" w:rsidR="00B707B7" w:rsidRPr="001D2881" w:rsidRDefault="00B707B7" w:rsidP="00E444B1">
            <w:pPr>
              <w:keepNext/>
            </w:pPr>
            <w:r w:rsidRPr="001D2881">
              <w:rPr>
                <w:sz w:val="20"/>
              </w:rPr>
              <w:t>Geographies (Census Tracts)</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4F0C33" w14:textId="77777777" w:rsidR="00B707B7" w:rsidRPr="001D2881" w:rsidRDefault="00B707B7" w:rsidP="00E444B1">
            <w:pPr>
              <w:keepNext/>
              <w:jc w:val="right"/>
            </w:pPr>
            <w:r w:rsidRPr="001D2881">
              <w:rPr>
                <w:sz w:val="20"/>
              </w:rPr>
              <w:t>143</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3C9A8" w14:textId="77777777" w:rsidR="00B707B7" w:rsidRPr="001D2881" w:rsidRDefault="00B707B7" w:rsidP="00E444B1">
            <w:pPr>
              <w:keepNext/>
              <w:jc w:val="right"/>
            </w:pPr>
            <w:r w:rsidRPr="001D2881">
              <w:rPr>
                <w:sz w:val="20"/>
              </w:rPr>
              <w:t>4.2</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AC16A9" w14:textId="77777777" w:rsidR="00B707B7" w:rsidRPr="001D2881" w:rsidRDefault="00B707B7" w:rsidP="00E444B1">
            <w:pPr>
              <w:keepNext/>
              <w:jc w:val="right"/>
            </w:pPr>
            <w:r w:rsidRPr="001D2881">
              <w:rPr>
                <w:sz w:val="20"/>
              </w:rPr>
              <w:t>18.2</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EE290F" w14:textId="77777777" w:rsidR="00B707B7" w:rsidRPr="001D2881" w:rsidRDefault="00B707B7" w:rsidP="00E444B1">
            <w:pPr>
              <w:keepNext/>
              <w:jc w:val="right"/>
            </w:pPr>
            <w:r w:rsidRPr="001D2881">
              <w:rPr>
                <w:sz w:val="20"/>
              </w:rPr>
              <w:t>45.5</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A1239" w14:textId="77777777" w:rsidR="00B707B7" w:rsidRPr="001D2881" w:rsidRDefault="00B707B7" w:rsidP="00E444B1">
            <w:pPr>
              <w:keepNext/>
              <w:jc w:val="right"/>
            </w:pPr>
            <w:r w:rsidRPr="001D2881">
              <w:rPr>
                <w:sz w:val="20"/>
              </w:rPr>
              <w:t>30.8</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9CC3B" w14:textId="77777777" w:rsidR="00B707B7" w:rsidRPr="001D2881" w:rsidRDefault="00B707B7" w:rsidP="00E444B1">
            <w:pPr>
              <w:keepNext/>
              <w:jc w:val="right"/>
            </w:pPr>
            <w:r w:rsidRPr="001D2881">
              <w:rPr>
                <w:sz w:val="20"/>
              </w:rPr>
              <w:t>1.4</w:t>
            </w:r>
          </w:p>
        </w:tc>
      </w:tr>
      <w:tr w:rsidR="00B707B7" w:rsidRPr="001D2881" w14:paraId="32AFA31C" w14:textId="77777777" w:rsidTr="00E444B1">
        <w:trPr>
          <w:trHeight w:val="245"/>
        </w:trPr>
        <w:tc>
          <w:tcPr>
            <w:tcW w:w="33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6CB8C2DF" w14:textId="77777777" w:rsidR="00B707B7" w:rsidRPr="001D2881" w:rsidRDefault="00B707B7" w:rsidP="00E444B1">
            <w:pPr>
              <w:keepNext/>
            </w:pPr>
            <w:r w:rsidRPr="001D2881">
              <w:rPr>
                <w:sz w:val="20"/>
              </w:rPr>
              <w:t>Population by Geography</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8C779" w14:textId="77777777" w:rsidR="00B707B7" w:rsidRPr="001D2881" w:rsidRDefault="00B707B7" w:rsidP="00E444B1">
            <w:pPr>
              <w:keepNext/>
              <w:jc w:val="right"/>
            </w:pPr>
            <w:r w:rsidRPr="001D2881">
              <w:rPr>
                <w:sz w:val="20"/>
              </w:rPr>
              <w:t>728,486</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91425" w14:textId="77777777" w:rsidR="00B707B7" w:rsidRPr="001D2881" w:rsidRDefault="00B707B7" w:rsidP="00E444B1">
            <w:pPr>
              <w:keepNext/>
              <w:jc w:val="right"/>
            </w:pPr>
            <w:r w:rsidRPr="001D2881">
              <w:rPr>
                <w:sz w:val="20"/>
              </w:rPr>
              <w:t>3.3</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6A934" w14:textId="77777777" w:rsidR="00B707B7" w:rsidRPr="001D2881" w:rsidRDefault="00B707B7" w:rsidP="00E444B1">
            <w:pPr>
              <w:keepNext/>
              <w:jc w:val="right"/>
            </w:pPr>
            <w:r w:rsidRPr="001D2881">
              <w:rPr>
                <w:sz w:val="20"/>
              </w:rPr>
              <w:t>15.9</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620F5" w14:textId="77777777" w:rsidR="00B707B7" w:rsidRPr="001D2881" w:rsidRDefault="00B707B7" w:rsidP="00E444B1">
            <w:pPr>
              <w:keepNext/>
              <w:jc w:val="right"/>
            </w:pPr>
            <w:r w:rsidRPr="001D2881">
              <w:rPr>
                <w:sz w:val="20"/>
              </w:rPr>
              <w:t>44.9</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B3484" w14:textId="77777777" w:rsidR="00B707B7" w:rsidRPr="001D2881" w:rsidRDefault="00B707B7" w:rsidP="00E444B1">
            <w:pPr>
              <w:keepNext/>
              <w:jc w:val="right"/>
            </w:pPr>
            <w:r w:rsidRPr="001D2881">
              <w:rPr>
                <w:sz w:val="20"/>
              </w:rPr>
              <w:t>35.2</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CA79CE" w14:textId="77777777" w:rsidR="00B707B7" w:rsidRPr="001D2881" w:rsidRDefault="00B707B7" w:rsidP="00E444B1">
            <w:pPr>
              <w:keepNext/>
              <w:jc w:val="right"/>
            </w:pPr>
            <w:r w:rsidRPr="001D2881">
              <w:rPr>
                <w:sz w:val="20"/>
              </w:rPr>
              <w:t>0.7</w:t>
            </w:r>
          </w:p>
        </w:tc>
      </w:tr>
      <w:tr w:rsidR="00B707B7" w:rsidRPr="001D2881" w14:paraId="720B64BA" w14:textId="77777777" w:rsidTr="00E444B1">
        <w:trPr>
          <w:trHeight w:val="245"/>
        </w:trPr>
        <w:tc>
          <w:tcPr>
            <w:tcW w:w="33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171149C2" w14:textId="77777777" w:rsidR="00B707B7" w:rsidRPr="001D2881" w:rsidRDefault="00B707B7" w:rsidP="00E444B1">
            <w:pPr>
              <w:keepNext/>
            </w:pPr>
            <w:r w:rsidRPr="001D2881">
              <w:rPr>
                <w:sz w:val="20"/>
              </w:rPr>
              <w:t>Housing Units by Geography</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475020" w14:textId="77777777" w:rsidR="00B707B7" w:rsidRPr="001D2881" w:rsidRDefault="00B707B7" w:rsidP="00E444B1">
            <w:pPr>
              <w:keepNext/>
              <w:jc w:val="right"/>
            </w:pPr>
            <w:r w:rsidRPr="001D2881">
              <w:rPr>
                <w:sz w:val="20"/>
              </w:rPr>
              <w:t>288,312</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99B65" w14:textId="77777777" w:rsidR="00B707B7" w:rsidRPr="001D2881" w:rsidRDefault="00B707B7" w:rsidP="00E444B1">
            <w:pPr>
              <w:keepNext/>
              <w:jc w:val="right"/>
            </w:pPr>
            <w:r w:rsidRPr="001D2881">
              <w:rPr>
                <w:sz w:val="20"/>
              </w:rPr>
              <w:t>3.4</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2B14E8" w14:textId="77777777" w:rsidR="00B707B7" w:rsidRPr="001D2881" w:rsidRDefault="00B707B7" w:rsidP="00E444B1">
            <w:pPr>
              <w:keepNext/>
              <w:jc w:val="right"/>
            </w:pPr>
            <w:r w:rsidRPr="001D2881">
              <w:rPr>
                <w:sz w:val="20"/>
              </w:rPr>
              <w:t>17.4</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CDF05B" w14:textId="77777777" w:rsidR="00B707B7" w:rsidRPr="001D2881" w:rsidRDefault="00B707B7" w:rsidP="00E444B1">
            <w:pPr>
              <w:keepNext/>
              <w:jc w:val="right"/>
            </w:pPr>
            <w:r w:rsidRPr="001D2881">
              <w:rPr>
                <w:sz w:val="20"/>
              </w:rPr>
              <w:t>46.9</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8AB85D" w14:textId="77777777" w:rsidR="00B707B7" w:rsidRPr="001D2881" w:rsidRDefault="00B707B7" w:rsidP="00E444B1">
            <w:pPr>
              <w:keepNext/>
              <w:jc w:val="right"/>
            </w:pPr>
            <w:r w:rsidRPr="001D2881">
              <w:rPr>
                <w:sz w:val="20"/>
              </w:rPr>
              <w:t>32.3</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F9170" w14:textId="77777777" w:rsidR="00B707B7" w:rsidRPr="001D2881" w:rsidRDefault="00B707B7" w:rsidP="00E444B1">
            <w:pPr>
              <w:keepNext/>
              <w:jc w:val="right"/>
            </w:pPr>
            <w:r w:rsidRPr="001D2881">
              <w:rPr>
                <w:sz w:val="20"/>
              </w:rPr>
              <w:t>0.1</w:t>
            </w:r>
          </w:p>
        </w:tc>
      </w:tr>
      <w:tr w:rsidR="00B707B7" w:rsidRPr="001D2881" w14:paraId="3116D31D" w14:textId="77777777" w:rsidTr="00E444B1">
        <w:trPr>
          <w:trHeight w:val="245"/>
        </w:trPr>
        <w:tc>
          <w:tcPr>
            <w:tcW w:w="33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3A243B44" w14:textId="77777777" w:rsidR="00B707B7" w:rsidRPr="001D2881" w:rsidRDefault="00B707B7" w:rsidP="00E444B1">
            <w:pPr>
              <w:keepNext/>
            </w:pPr>
            <w:r w:rsidRPr="001D2881">
              <w:rPr>
                <w:sz w:val="20"/>
              </w:rPr>
              <w:t>Owner-Occupied Units by Geography</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277BF" w14:textId="77777777" w:rsidR="00B707B7" w:rsidRPr="001D2881" w:rsidRDefault="00B707B7" w:rsidP="00E444B1">
            <w:pPr>
              <w:keepNext/>
              <w:jc w:val="right"/>
            </w:pPr>
            <w:r w:rsidRPr="001D2881">
              <w:rPr>
                <w:sz w:val="20"/>
              </w:rPr>
              <w:t>194,681</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B89E46" w14:textId="77777777" w:rsidR="00B707B7" w:rsidRPr="001D2881" w:rsidRDefault="00B707B7" w:rsidP="00E444B1">
            <w:pPr>
              <w:keepNext/>
              <w:jc w:val="right"/>
            </w:pPr>
            <w:r w:rsidRPr="001D2881">
              <w:rPr>
                <w:sz w:val="20"/>
              </w:rPr>
              <w:t>1.1</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CACA2" w14:textId="77777777" w:rsidR="00B707B7" w:rsidRPr="001D2881" w:rsidRDefault="00B707B7" w:rsidP="00E444B1">
            <w:pPr>
              <w:keepNext/>
              <w:jc w:val="right"/>
            </w:pPr>
            <w:r w:rsidRPr="001D2881">
              <w:rPr>
                <w:sz w:val="20"/>
              </w:rPr>
              <w:t>12.2</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97AE73" w14:textId="77777777" w:rsidR="00B707B7" w:rsidRPr="001D2881" w:rsidRDefault="00B707B7" w:rsidP="00E444B1">
            <w:pPr>
              <w:keepNext/>
              <w:jc w:val="right"/>
            </w:pPr>
            <w:r w:rsidRPr="001D2881">
              <w:rPr>
                <w:sz w:val="20"/>
              </w:rPr>
              <w:t>49.4</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0C4553" w14:textId="77777777" w:rsidR="00B707B7" w:rsidRPr="001D2881" w:rsidRDefault="00B707B7" w:rsidP="00E444B1">
            <w:pPr>
              <w:keepNext/>
              <w:jc w:val="right"/>
            </w:pPr>
            <w:r w:rsidRPr="001D2881">
              <w:rPr>
                <w:sz w:val="20"/>
              </w:rPr>
              <w:t>37.2</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CC48EF" w14:textId="77777777" w:rsidR="00B707B7" w:rsidRPr="001D2881" w:rsidRDefault="00B707B7" w:rsidP="00E444B1">
            <w:pPr>
              <w:keepNext/>
              <w:jc w:val="right"/>
            </w:pPr>
            <w:r w:rsidRPr="001D2881">
              <w:rPr>
                <w:sz w:val="20"/>
              </w:rPr>
              <w:t>0.0</w:t>
            </w:r>
          </w:p>
        </w:tc>
      </w:tr>
      <w:tr w:rsidR="00B707B7" w:rsidRPr="001D2881" w14:paraId="746C141F" w14:textId="77777777" w:rsidTr="00E444B1">
        <w:trPr>
          <w:trHeight w:val="245"/>
        </w:trPr>
        <w:tc>
          <w:tcPr>
            <w:tcW w:w="33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53ADD4A7" w14:textId="77777777" w:rsidR="00B707B7" w:rsidRPr="001D2881" w:rsidRDefault="00B707B7" w:rsidP="00E444B1">
            <w:pPr>
              <w:keepNext/>
            </w:pPr>
            <w:r w:rsidRPr="001D2881">
              <w:rPr>
                <w:sz w:val="20"/>
              </w:rPr>
              <w:t>Occupied Rental Units by Geography</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C3F1B2" w14:textId="77777777" w:rsidR="00B707B7" w:rsidRPr="001D2881" w:rsidRDefault="00B707B7" w:rsidP="00E444B1">
            <w:pPr>
              <w:keepNext/>
              <w:jc w:val="right"/>
            </w:pPr>
            <w:r w:rsidRPr="001D2881">
              <w:rPr>
                <w:sz w:val="20"/>
              </w:rPr>
              <w:t>68,694</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1C0A23" w14:textId="77777777" w:rsidR="00B707B7" w:rsidRPr="001D2881" w:rsidRDefault="00B707B7" w:rsidP="00E444B1">
            <w:pPr>
              <w:keepNext/>
              <w:jc w:val="right"/>
            </w:pPr>
            <w:r w:rsidRPr="001D2881">
              <w:rPr>
                <w:sz w:val="20"/>
              </w:rPr>
              <w:t>9.4</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DBDB4" w14:textId="77777777" w:rsidR="00B707B7" w:rsidRPr="001D2881" w:rsidRDefault="00B707B7" w:rsidP="00E444B1">
            <w:pPr>
              <w:keepNext/>
              <w:jc w:val="right"/>
            </w:pPr>
            <w:r w:rsidRPr="001D2881">
              <w:rPr>
                <w:sz w:val="20"/>
              </w:rPr>
              <w:t>29.4</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2365D4" w14:textId="77777777" w:rsidR="00B707B7" w:rsidRPr="001D2881" w:rsidRDefault="00B707B7" w:rsidP="00E444B1">
            <w:pPr>
              <w:keepNext/>
              <w:jc w:val="right"/>
            </w:pPr>
            <w:r w:rsidRPr="001D2881">
              <w:rPr>
                <w:sz w:val="20"/>
              </w:rPr>
              <w:t>38.3</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063BC6" w14:textId="77777777" w:rsidR="00B707B7" w:rsidRPr="001D2881" w:rsidRDefault="00B707B7" w:rsidP="00E444B1">
            <w:pPr>
              <w:keepNext/>
              <w:jc w:val="right"/>
            </w:pPr>
            <w:r w:rsidRPr="001D2881">
              <w:rPr>
                <w:sz w:val="20"/>
              </w:rPr>
              <w:t>22.7</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2FF8E4" w14:textId="77777777" w:rsidR="00B707B7" w:rsidRPr="001D2881" w:rsidRDefault="00B707B7" w:rsidP="00E444B1">
            <w:pPr>
              <w:keepNext/>
              <w:jc w:val="right"/>
            </w:pPr>
            <w:r w:rsidRPr="001D2881">
              <w:rPr>
                <w:sz w:val="20"/>
              </w:rPr>
              <w:t>0.2</w:t>
            </w:r>
          </w:p>
        </w:tc>
      </w:tr>
      <w:tr w:rsidR="00B707B7" w:rsidRPr="001D2881" w14:paraId="79B401EB" w14:textId="77777777" w:rsidTr="00E444B1">
        <w:trPr>
          <w:trHeight w:val="245"/>
        </w:trPr>
        <w:tc>
          <w:tcPr>
            <w:tcW w:w="33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714CEC89" w14:textId="77777777" w:rsidR="00B707B7" w:rsidRPr="001D2881" w:rsidRDefault="00B707B7" w:rsidP="00E444B1">
            <w:pPr>
              <w:keepNext/>
            </w:pPr>
            <w:r w:rsidRPr="001D2881">
              <w:rPr>
                <w:sz w:val="20"/>
              </w:rPr>
              <w:t>Vacant Units by Geography</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B269A" w14:textId="77777777" w:rsidR="00B707B7" w:rsidRPr="001D2881" w:rsidRDefault="00B707B7" w:rsidP="00E444B1">
            <w:pPr>
              <w:keepNext/>
              <w:jc w:val="right"/>
            </w:pPr>
            <w:r w:rsidRPr="001D2881">
              <w:rPr>
                <w:sz w:val="20"/>
              </w:rPr>
              <w:t>24,937</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A4ABE6" w14:textId="77777777" w:rsidR="00B707B7" w:rsidRPr="001D2881" w:rsidRDefault="00B707B7" w:rsidP="00E444B1">
            <w:pPr>
              <w:keepNext/>
              <w:jc w:val="right"/>
            </w:pPr>
            <w:r w:rsidRPr="001D2881">
              <w:rPr>
                <w:sz w:val="20"/>
              </w:rPr>
              <w:t>5.0</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37B1C" w14:textId="77777777" w:rsidR="00B707B7" w:rsidRPr="001D2881" w:rsidRDefault="00B707B7" w:rsidP="00E444B1">
            <w:pPr>
              <w:keepNext/>
              <w:jc w:val="right"/>
            </w:pPr>
            <w:r w:rsidRPr="001D2881">
              <w:rPr>
                <w:sz w:val="20"/>
              </w:rPr>
              <w:t>24.2</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6B1DF" w14:textId="77777777" w:rsidR="00B707B7" w:rsidRPr="001D2881" w:rsidRDefault="00B707B7" w:rsidP="00E444B1">
            <w:pPr>
              <w:keepNext/>
              <w:jc w:val="right"/>
            </w:pPr>
            <w:r w:rsidRPr="001D2881">
              <w:rPr>
                <w:sz w:val="20"/>
              </w:rPr>
              <w:t>50.9</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2838A" w14:textId="77777777" w:rsidR="00B707B7" w:rsidRPr="001D2881" w:rsidRDefault="00B707B7" w:rsidP="00E444B1">
            <w:pPr>
              <w:keepNext/>
              <w:jc w:val="right"/>
            </w:pPr>
            <w:r w:rsidRPr="001D2881">
              <w:rPr>
                <w:sz w:val="20"/>
              </w:rPr>
              <w:t>19.9</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CD2292" w14:textId="77777777" w:rsidR="00B707B7" w:rsidRPr="001D2881" w:rsidRDefault="00B707B7" w:rsidP="00E444B1">
            <w:pPr>
              <w:keepNext/>
              <w:jc w:val="right"/>
            </w:pPr>
            <w:r w:rsidRPr="001D2881">
              <w:rPr>
                <w:sz w:val="20"/>
              </w:rPr>
              <w:t>0.0</w:t>
            </w:r>
          </w:p>
        </w:tc>
      </w:tr>
      <w:tr w:rsidR="00B707B7" w:rsidRPr="001D2881" w14:paraId="2EF53704" w14:textId="77777777" w:rsidTr="00E444B1">
        <w:trPr>
          <w:trHeight w:val="245"/>
        </w:trPr>
        <w:tc>
          <w:tcPr>
            <w:tcW w:w="33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09BA8E22" w14:textId="77777777" w:rsidR="00B707B7" w:rsidRPr="001D2881" w:rsidRDefault="00B707B7" w:rsidP="00E444B1">
            <w:pPr>
              <w:keepNext/>
            </w:pPr>
            <w:r w:rsidRPr="001D2881">
              <w:rPr>
                <w:sz w:val="20"/>
              </w:rPr>
              <w:t>Businesses by Geography</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EB6845" w14:textId="77777777" w:rsidR="00B707B7" w:rsidRPr="001D2881" w:rsidRDefault="00B707B7" w:rsidP="00E444B1">
            <w:pPr>
              <w:keepNext/>
              <w:jc w:val="right"/>
            </w:pPr>
            <w:r w:rsidRPr="001D2881">
              <w:rPr>
                <w:sz w:val="20"/>
              </w:rPr>
              <w:t>53,104</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0C0890" w14:textId="77777777" w:rsidR="00B707B7" w:rsidRPr="001D2881" w:rsidRDefault="00B707B7" w:rsidP="00E444B1">
            <w:pPr>
              <w:keepNext/>
              <w:jc w:val="right"/>
            </w:pPr>
            <w:r w:rsidRPr="001D2881">
              <w:rPr>
                <w:sz w:val="20"/>
              </w:rPr>
              <w:t>3.3</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172EC" w14:textId="77777777" w:rsidR="00B707B7" w:rsidRPr="001D2881" w:rsidRDefault="00B707B7" w:rsidP="00E444B1">
            <w:pPr>
              <w:keepNext/>
              <w:jc w:val="right"/>
            </w:pPr>
            <w:r w:rsidRPr="001D2881">
              <w:rPr>
                <w:sz w:val="20"/>
              </w:rPr>
              <w:t>13.3</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2B62F" w14:textId="77777777" w:rsidR="00B707B7" w:rsidRPr="001D2881" w:rsidRDefault="00B707B7" w:rsidP="00E444B1">
            <w:pPr>
              <w:keepNext/>
              <w:jc w:val="right"/>
            </w:pPr>
            <w:r w:rsidRPr="001D2881">
              <w:rPr>
                <w:sz w:val="20"/>
              </w:rPr>
              <w:t>47.0</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63D2A8" w14:textId="77777777" w:rsidR="00B707B7" w:rsidRPr="001D2881" w:rsidRDefault="00B707B7" w:rsidP="00E444B1">
            <w:pPr>
              <w:keepNext/>
              <w:jc w:val="right"/>
            </w:pPr>
            <w:r w:rsidRPr="001D2881">
              <w:rPr>
                <w:sz w:val="20"/>
              </w:rPr>
              <w:t>36.2</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56FF6" w14:textId="77777777" w:rsidR="00B707B7" w:rsidRPr="001D2881" w:rsidRDefault="00B707B7" w:rsidP="00E444B1">
            <w:pPr>
              <w:keepNext/>
              <w:jc w:val="right"/>
            </w:pPr>
            <w:r w:rsidRPr="001D2881">
              <w:rPr>
                <w:sz w:val="20"/>
              </w:rPr>
              <w:t>0.2</w:t>
            </w:r>
          </w:p>
        </w:tc>
      </w:tr>
      <w:tr w:rsidR="00B707B7" w:rsidRPr="001D2881" w14:paraId="62405FC7" w14:textId="77777777" w:rsidTr="00E444B1">
        <w:trPr>
          <w:trHeight w:val="245"/>
        </w:trPr>
        <w:tc>
          <w:tcPr>
            <w:tcW w:w="33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104C57AB" w14:textId="77777777" w:rsidR="00B707B7" w:rsidRPr="001D2881" w:rsidRDefault="00B707B7" w:rsidP="00E444B1">
            <w:pPr>
              <w:keepNext/>
            </w:pPr>
            <w:r w:rsidRPr="001D2881">
              <w:rPr>
                <w:sz w:val="20"/>
              </w:rPr>
              <w:t>Farms by Geography</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CBEBF9" w14:textId="77777777" w:rsidR="00B707B7" w:rsidRPr="001D2881" w:rsidRDefault="00B707B7" w:rsidP="00E444B1">
            <w:pPr>
              <w:keepNext/>
              <w:jc w:val="right"/>
            </w:pPr>
            <w:r w:rsidRPr="001D2881">
              <w:rPr>
                <w:sz w:val="20"/>
              </w:rPr>
              <w:t>1,590</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899C8" w14:textId="77777777" w:rsidR="00B707B7" w:rsidRPr="001D2881" w:rsidRDefault="00B707B7" w:rsidP="00E444B1">
            <w:pPr>
              <w:keepNext/>
              <w:jc w:val="right"/>
            </w:pPr>
            <w:r w:rsidRPr="001D2881">
              <w:rPr>
                <w:sz w:val="20"/>
              </w:rPr>
              <w:t>0.8</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A05DD4" w14:textId="77777777" w:rsidR="00B707B7" w:rsidRPr="001D2881" w:rsidRDefault="00B707B7" w:rsidP="00E444B1">
            <w:pPr>
              <w:keepNext/>
              <w:jc w:val="right"/>
            </w:pPr>
            <w:r w:rsidRPr="001D2881">
              <w:rPr>
                <w:sz w:val="20"/>
              </w:rPr>
              <w:t>11.2</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C757E" w14:textId="77777777" w:rsidR="00B707B7" w:rsidRPr="001D2881" w:rsidRDefault="00B707B7" w:rsidP="00E444B1">
            <w:pPr>
              <w:keepNext/>
              <w:jc w:val="right"/>
            </w:pPr>
            <w:r w:rsidRPr="001D2881">
              <w:rPr>
                <w:sz w:val="20"/>
              </w:rPr>
              <w:t>50.1</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7436B2" w14:textId="77777777" w:rsidR="00B707B7" w:rsidRPr="001D2881" w:rsidRDefault="00B707B7" w:rsidP="00E444B1">
            <w:pPr>
              <w:keepNext/>
              <w:jc w:val="right"/>
            </w:pPr>
            <w:r w:rsidRPr="001D2881">
              <w:rPr>
                <w:sz w:val="20"/>
              </w:rPr>
              <w:t>37.9</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630EED" w14:textId="77777777" w:rsidR="00B707B7" w:rsidRPr="001D2881" w:rsidRDefault="00B707B7" w:rsidP="00E444B1">
            <w:pPr>
              <w:keepNext/>
              <w:jc w:val="right"/>
            </w:pPr>
            <w:r w:rsidRPr="001D2881">
              <w:rPr>
                <w:sz w:val="20"/>
              </w:rPr>
              <w:t>0.0</w:t>
            </w:r>
          </w:p>
        </w:tc>
      </w:tr>
      <w:tr w:rsidR="00B707B7" w:rsidRPr="001D2881" w14:paraId="65D15726" w14:textId="77777777" w:rsidTr="00E444B1">
        <w:trPr>
          <w:trHeight w:val="245"/>
        </w:trPr>
        <w:tc>
          <w:tcPr>
            <w:tcW w:w="33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5AA752A6" w14:textId="77777777" w:rsidR="00B707B7" w:rsidRPr="001D2881" w:rsidRDefault="00B707B7" w:rsidP="00E444B1">
            <w:pPr>
              <w:keepNext/>
            </w:pPr>
            <w:r w:rsidRPr="001D2881">
              <w:rPr>
                <w:sz w:val="20"/>
              </w:rPr>
              <w:t>Family Distribution by Income Level</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1A7FB9" w14:textId="77777777" w:rsidR="00B707B7" w:rsidRPr="001D2881" w:rsidRDefault="00B707B7" w:rsidP="00E444B1">
            <w:pPr>
              <w:keepNext/>
              <w:jc w:val="right"/>
            </w:pPr>
            <w:r w:rsidRPr="001D2881">
              <w:rPr>
                <w:sz w:val="20"/>
              </w:rPr>
              <w:t>185,174</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A2B8BE" w14:textId="77777777" w:rsidR="00B707B7" w:rsidRPr="001D2881" w:rsidRDefault="00B707B7" w:rsidP="00E444B1">
            <w:pPr>
              <w:keepNext/>
              <w:jc w:val="right"/>
            </w:pPr>
            <w:r w:rsidRPr="001D2881">
              <w:rPr>
                <w:sz w:val="20"/>
              </w:rPr>
              <w:t>19.8</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963760" w14:textId="77777777" w:rsidR="00B707B7" w:rsidRPr="001D2881" w:rsidRDefault="00B707B7" w:rsidP="00E444B1">
            <w:pPr>
              <w:keepNext/>
              <w:jc w:val="right"/>
            </w:pPr>
            <w:r w:rsidRPr="001D2881">
              <w:rPr>
                <w:sz w:val="20"/>
              </w:rPr>
              <w:t>16.7</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D73C82" w14:textId="77777777" w:rsidR="00B707B7" w:rsidRPr="001D2881" w:rsidRDefault="00B707B7" w:rsidP="00E444B1">
            <w:pPr>
              <w:keepNext/>
              <w:jc w:val="right"/>
            </w:pPr>
            <w:r w:rsidRPr="001D2881">
              <w:rPr>
                <w:sz w:val="20"/>
              </w:rPr>
              <w:t>20.9</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3930E0" w14:textId="77777777" w:rsidR="00B707B7" w:rsidRPr="001D2881" w:rsidRDefault="00B707B7" w:rsidP="00E444B1">
            <w:pPr>
              <w:keepNext/>
              <w:jc w:val="right"/>
            </w:pPr>
            <w:r w:rsidRPr="001D2881">
              <w:rPr>
                <w:sz w:val="20"/>
              </w:rPr>
              <w:t>42.7</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14DF90" w14:textId="77777777" w:rsidR="00B707B7" w:rsidRPr="001D2881" w:rsidRDefault="00B707B7" w:rsidP="00E444B1">
            <w:pPr>
              <w:keepNext/>
              <w:jc w:val="right"/>
            </w:pPr>
            <w:r w:rsidRPr="001D2881">
              <w:rPr>
                <w:sz w:val="20"/>
              </w:rPr>
              <w:t>0.0</w:t>
            </w:r>
          </w:p>
        </w:tc>
      </w:tr>
      <w:tr w:rsidR="00B707B7" w:rsidRPr="001D2881" w14:paraId="37DF5A1B" w14:textId="77777777" w:rsidTr="00E444B1">
        <w:trPr>
          <w:trHeight w:val="188"/>
        </w:trPr>
        <w:tc>
          <w:tcPr>
            <w:tcW w:w="3375"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2B0943B8" w14:textId="77777777" w:rsidR="00B707B7" w:rsidRPr="001D2881" w:rsidRDefault="00B707B7" w:rsidP="00E444B1">
            <w:pPr>
              <w:keepNext/>
            </w:pPr>
            <w:r w:rsidRPr="001D2881">
              <w:rPr>
                <w:sz w:val="20"/>
              </w:rPr>
              <w:t>Household Distribution by Income Level</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7A770" w14:textId="77777777" w:rsidR="00B707B7" w:rsidRPr="001D2881" w:rsidRDefault="00B707B7" w:rsidP="00E444B1">
            <w:pPr>
              <w:keepNext/>
              <w:jc w:val="right"/>
            </w:pPr>
            <w:r w:rsidRPr="001D2881">
              <w:rPr>
                <w:sz w:val="20"/>
              </w:rPr>
              <w:t>263,375</w:t>
            </w:r>
          </w:p>
        </w:tc>
        <w:tc>
          <w:tcPr>
            <w:tcW w:w="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F3301" w14:textId="77777777" w:rsidR="00B707B7" w:rsidRPr="001D2881" w:rsidRDefault="00B707B7" w:rsidP="00E444B1">
            <w:pPr>
              <w:keepNext/>
              <w:jc w:val="right"/>
            </w:pPr>
            <w:r w:rsidRPr="001D2881">
              <w:rPr>
                <w:sz w:val="20"/>
              </w:rPr>
              <w:t>21.9</w:t>
            </w:r>
          </w:p>
        </w:tc>
        <w:tc>
          <w:tcPr>
            <w:tcW w:w="11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4737E" w14:textId="77777777" w:rsidR="00B707B7" w:rsidRPr="001D2881" w:rsidRDefault="00B707B7" w:rsidP="00E444B1">
            <w:pPr>
              <w:keepNext/>
              <w:jc w:val="right"/>
            </w:pPr>
            <w:r w:rsidRPr="001D2881">
              <w:rPr>
                <w:sz w:val="20"/>
              </w:rPr>
              <w:t>14.3</w:t>
            </w:r>
          </w:p>
        </w:tc>
        <w:tc>
          <w:tcPr>
            <w:tcW w:w="10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3FA994" w14:textId="77777777" w:rsidR="00B707B7" w:rsidRPr="001D2881" w:rsidRDefault="00B707B7" w:rsidP="00E444B1">
            <w:pPr>
              <w:keepNext/>
              <w:jc w:val="right"/>
            </w:pPr>
            <w:r w:rsidRPr="001D2881">
              <w:rPr>
                <w:sz w:val="20"/>
              </w:rPr>
              <w:t>17.1</w:t>
            </w:r>
          </w:p>
        </w:tc>
        <w:tc>
          <w:tcPr>
            <w:tcW w:w="10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594F75" w14:textId="77777777" w:rsidR="00B707B7" w:rsidRPr="001D2881" w:rsidRDefault="00B707B7" w:rsidP="00E444B1">
            <w:pPr>
              <w:keepNext/>
              <w:jc w:val="right"/>
            </w:pPr>
            <w:r w:rsidRPr="001D2881">
              <w:rPr>
                <w:sz w:val="20"/>
              </w:rPr>
              <w:t>46.7</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4A1A49" w14:textId="77777777" w:rsidR="00B707B7" w:rsidRPr="001D2881" w:rsidRDefault="00B707B7" w:rsidP="00E444B1">
            <w:pPr>
              <w:keepNext/>
              <w:jc w:val="right"/>
            </w:pPr>
            <w:r w:rsidRPr="001D2881">
              <w:rPr>
                <w:sz w:val="20"/>
              </w:rPr>
              <w:t>0.0</w:t>
            </w:r>
          </w:p>
        </w:tc>
      </w:tr>
      <w:tr w:rsidR="00B707B7" w:rsidRPr="001D2881" w14:paraId="0CA4C18E" w14:textId="77777777" w:rsidTr="00E444B1">
        <w:trPr>
          <w:trHeight w:val="188"/>
        </w:trPr>
        <w:tc>
          <w:tcPr>
            <w:tcW w:w="3375" w:type="dxa"/>
            <w:tcBorders>
              <w:top w:val="single" w:sz="7" w:space="0" w:color="000000"/>
              <w:left w:val="single" w:sz="7" w:space="0" w:color="000000"/>
              <w:bottom w:val="single" w:sz="7" w:space="0" w:color="000000"/>
            </w:tcBorders>
            <w:tcMar>
              <w:top w:w="39" w:type="dxa"/>
              <w:left w:w="239" w:type="dxa"/>
              <w:bottom w:w="39" w:type="dxa"/>
              <w:right w:w="39" w:type="dxa"/>
            </w:tcMar>
          </w:tcPr>
          <w:p w14:paraId="0E9093C1" w14:textId="77777777" w:rsidR="00B707B7" w:rsidRPr="001D2881" w:rsidRDefault="00B707B7" w:rsidP="00E444B1">
            <w:pPr>
              <w:keepNext/>
            </w:pPr>
            <w:r w:rsidRPr="001D2881">
              <w:rPr>
                <w:sz w:val="20"/>
              </w:rPr>
              <w:t>Median Family Income MSA - 12700 Barnstable Town, MA MSA</w:t>
            </w:r>
          </w:p>
        </w:tc>
        <w:tc>
          <w:tcPr>
            <w:tcW w:w="991" w:type="dxa"/>
            <w:tcBorders>
              <w:top w:val="single" w:sz="7" w:space="0" w:color="000000"/>
              <w:bottom w:val="single" w:sz="7" w:space="0" w:color="000000"/>
            </w:tcBorders>
            <w:tcMar>
              <w:top w:w="39" w:type="dxa"/>
              <w:left w:w="239" w:type="dxa"/>
              <w:bottom w:w="39" w:type="dxa"/>
              <w:right w:w="39" w:type="dxa"/>
            </w:tcMar>
          </w:tcPr>
          <w:p w14:paraId="5B8113B3" w14:textId="77777777" w:rsidR="00B707B7" w:rsidRPr="001D2881" w:rsidRDefault="00B707B7" w:rsidP="00E444B1">
            <w:pPr>
              <w:keepNext/>
            </w:pPr>
          </w:p>
        </w:tc>
        <w:tc>
          <w:tcPr>
            <w:tcW w:w="975" w:type="dxa"/>
            <w:tcBorders>
              <w:top w:val="single" w:sz="7" w:space="0" w:color="000000"/>
              <w:left w:val="single" w:sz="7" w:space="0" w:color="000000"/>
              <w:bottom w:val="single" w:sz="7" w:space="0" w:color="000000"/>
            </w:tcBorders>
            <w:tcMar>
              <w:top w:w="39" w:type="dxa"/>
              <w:left w:w="39" w:type="dxa"/>
              <w:bottom w:w="39" w:type="dxa"/>
              <w:right w:w="39" w:type="dxa"/>
            </w:tcMar>
          </w:tcPr>
          <w:p w14:paraId="01DDA9E6" w14:textId="77777777" w:rsidR="00B707B7" w:rsidRPr="001D2881" w:rsidRDefault="00B707B7" w:rsidP="00E444B1">
            <w:pPr>
              <w:keepNext/>
              <w:jc w:val="right"/>
            </w:pPr>
            <w:r w:rsidRPr="001D2881">
              <w:rPr>
                <w:sz w:val="20"/>
              </w:rPr>
              <w:t>$80,751</w:t>
            </w:r>
          </w:p>
        </w:tc>
        <w:tc>
          <w:tcPr>
            <w:tcW w:w="3189"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B974D" w14:textId="77777777" w:rsidR="00B707B7" w:rsidRPr="001D2881" w:rsidRDefault="00B707B7" w:rsidP="00E444B1">
            <w:pPr>
              <w:keepNext/>
            </w:pPr>
            <w:r w:rsidRPr="001D2881">
              <w:rPr>
                <w:sz w:val="20"/>
              </w:rPr>
              <w:t>Median Housing Value</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82809" w14:textId="77777777" w:rsidR="00B707B7" w:rsidRPr="001D2881" w:rsidRDefault="00B707B7" w:rsidP="00E444B1">
            <w:pPr>
              <w:keepNext/>
              <w:jc w:val="right"/>
            </w:pPr>
            <w:r w:rsidRPr="001D2881">
              <w:rPr>
                <w:sz w:val="20"/>
              </w:rPr>
              <w:t>$301,481</w:t>
            </w:r>
          </w:p>
        </w:tc>
      </w:tr>
      <w:tr w:rsidR="00B707B7" w:rsidRPr="001D2881" w14:paraId="1E777B23" w14:textId="77777777" w:rsidTr="00E444B1">
        <w:trPr>
          <w:trHeight w:val="188"/>
        </w:trPr>
        <w:tc>
          <w:tcPr>
            <w:tcW w:w="3375" w:type="dxa"/>
            <w:tcBorders>
              <w:top w:val="single" w:sz="7" w:space="0" w:color="000000"/>
              <w:left w:val="single" w:sz="7" w:space="0" w:color="000000"/>
            </w:tcBorders>
            <w:tcMar>
              <w:top w:w="39" w:type="dxa"/>
              <w:left w:w="239" w:type="dxa"/>
              <w:bottom w:w="39" w:type="dxa"/>
              <w:right w:w="39" w:type="dxa"/>
            </w:tcMar>
          </w:tcPr>
          <w:p w14:paraId="27A227B9" w14:textId="77777777" w:rsidR="00B707B7" w:rsidRPr="001D2881" w:rsidRDefault="00B707B7" w:rsidP="00E444B1">
            <w:pPr>
              <w:keepNext/>
            </w:pPr>
            <w:r w:rsidRPr="001D2881">
              <w:rPr>
                <w:sz w:val="20"/>
              </w:rPr>
              <w:t>Median Family Income MSA - 14454 Boston, MA</w:t>
            </w:r>
          </w:p>
        </w:tc>
        <w:tc>
          <w:tcPr>
            <w:tcW w:w="991" w:type="dxa"/>
            <w:tcBorders>
              <w:top w:val="single" w:sz="7" w:space="0" w:color="000000"/>
            </w:tcBorders>
            <w:tcMar>
              <w:top w:w="39" w:type="dxa"/>
              <w:left w:w="239" w:type="dxa"/>
              <w:bottom w:w="39" w:type="dxa"/>
              <w:right w:w="39" w:type="dxa"/>
            </w:tcMar>
          </w:tcPr>
          <w:p w14:paraId="12DAB475" w14:textId="77777777" w:rsidR="00B707B7" w:rsidRPr="001D2881" w:rsidRDefault="00B707B7" w:rsidP="00E444B1">
            <w:pPr>
              <w:keepNext/>
            </w:pPr>
          </w:p>
        </w:tc>
        <w:tc>
          <w:tcPr>
            <w:tcW w:w="975" w:type="dxa"/>
            <w:tcBorders>
              <w:top w:val="single" w:sz="7" w:space="0" w:color="000000"/>
              <w:left w:val="single" w:sz="7" w:space="0" w:color="000000"/>
            </w:tcBorders>
            <w:tcMar>
              <w:top w:w="39" w:type="dxa"/>
              <w:left w:w="39" w:type="dxa"/>
              <w:bottom w:w="39" w:type="dxa"/>
              <w:right w:w="39" w:type="dxa"/>
            </w:tcMar>
          </w:tcPr>
          <w:p w14:paraId="6B49B495" w14:textId="77777777" w:rsidR="00B707B7" w:rsidRPr="001D2881" w:rsidRDefault="00B707B7" w:rsidP="00E444B1">
            <w:pPr>
              <w:keepNext/>
              <w:jc w:val="right"/>
            </w:pPr>
            <w:r w:rsidRPr="001D2881">
              <w:rPr>
                <w:sz w:val="20"/>
              </w:rPr>
              <w:t>$90,699</w:t>
            </w:r>
          </w:p>
        </w:tc>
        <w:tc>
          <w:tcPr>
            <w:tcW w:w="3189"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A1AE4B" w14:textId="77777777" w:rsidR="00B707B7" w:rsidRPr="001D2881" w:rsidRDefault="00B707B7" w:rsidP="00E444B1">
            <w:pPr>
              <w:keepNext/>
            </w:pPr>
            <w:r w:rsidRPr="001D2881">
              <w:rPr>
                <w:sz w:val="20"/>
              </w:rPr>
              <w:t>Median Gross Rent</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837F5" w14:textId="77777777" w:rsidR="00B707B7" w:rsidRPr="001D2881" w:rsidRDefault="00B707B7" w:rsidP="00E444B1">
            <w:pPr>
              <w:keepNext/>
              <w:jc w:val="right"/>
            </w:pPr>
            <w:r w:rsidRPr="001D2881">
              <w:rPr>
                <w:sz w:val="20"/>
              </w:rPr>
              <w:t>$1,071</w:t>
            </w:r>
          </w:p>
        </w:tc>
      </w:tr>
      <w:tr w:rsidR="00B707B7" w:rsidRPr="001D2881" w14:paraId="5AB64657" w14:textId="77777777" w:rsidTr="00E444B1">
        <w:trPr>
          <w:trHeight w:val="188"/>
        </w:trPr>
        <w:tc>
          <w:tcPr>
            <w:tcW w:w="3375" w:type="dxa"/>
            <w:tcBorders>
              <w:top w:val="single" w:sz="7" w:space="0" w:color="000000"/>
              <w:left w:val="single" w:sz="7" w:space="0" w:color="000000"/>
              <w:bottom w:val="single" w:sz="7" w:space="0" w:color="000000"/>
            </w:tcBorders>
            <w:tcMar>
              <w:top w:w="39" w:type="dxa"/>
              <w:left w:w="239" w:type="dxa"/>
              <w:bottom w:w="39" w:type="dxa"/>
              <w:right w:w="39" w:type="dxa"/>
            </w:tcMar>
          </w:tcPr>
          <w:p w14:paraId="68BBABFA" w14:textId="77777777" w:rsidR="00B707B7" w:rsidRPr="001D2881" w:rsidRDefault="00B707B7" w:rsidP="00E444B1">
            <w:pPr>
              <w:keepNext/>
            </w:pPr>
            <w:r w:rsidRPr="001D2881">
              <w:rPr>
                <w:sz w:val="20"/>
              </w:rPr>
              <w:t>Median Family Income MSA - 39300 Providence-Warwick, RI-MA MSA</w:t>
            </w:r>
          </w:p>
        </w:tc>
        <w:tc>
          <w:tcPr>
            <w:tcW w:w="991" w:type="dxa"/>
            <w:tcBorders>
              <w:top w:val="single" w:sz="7" w:space="0" w:color="000000"/>
              <w:bottom w:val="single" w:sz="7" w:space="0" w:color="000000"/>
            </w:tcBorders>
            <w:tcMar>
              <w:top w:w="39" w:type="dxa"/>
              <w:left w:w="239" w:type="dxa"/>
              <w:bottom w:w="39" w:type="dxa"/>
              <w:right w:w="39" w:type="dxa"/>
            </w:tcMar>
          </w:tcPr>
          <w:p w14:paraId="02C193DB" w14:textId="77777777" w:rsidR="00B707B7" w:rsidRPr="001D2881" w:rsidRDefault="00B707B7" w:rsidP="00E444B1">
            <w:pPr>
              <w:keepNext/>
            </w:pPr>
          </w:p>
        </w:tc>
        <w:tc>
          <w:tcPr>
            <w:tcW w:w="975" w:type="dxa"/>
            <w:tcBorders>
              <w:top w:val="single" w:sz="7" w:space="0" w:color="000000"/>
              <w:left w:val="single" w:sz="7" w:space="0" w:color="000000"/>
              <w:bottom w:val="single" w:sz="7" w:space="0" w:color="000000"/>
            </w:tcBorders>
            <w:tcMar>
              <w:top w:w="39" w:type="dxa"/>
              <w:left w:w="39" w:type="dxa"/>
              <w:bottom w:w="39" w:type="dxa"/>
              <w:right w:w="39" w:type="dxa"/>
            </w:tcMar>
          </w:tcPr>
          <w:p w14:paraId="5751D99A" w14:textId="77777777" w:rsidR="00B707B7" w:rsidRPr="001D2881" w:rsidRDefault="00B707B7" w:rsidP="00E444B1">
            <w:pPr>
              <w:keepNext/>
              <w:jc w:val="right"/>
            </w:pPr>
            <w:r w:rsidRPr="001D2881">
              <w:rPr>
                <w:sz w:val="20"/>
              </w:rPr>
              <w:t>$73,950</w:t>
            </w:r>
          </w:p>
        </w:tc>
        <w:tc>
          <w:tcPr>
            <w:tcW w:w="3189"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5C6C1" w14:textId="77777777" w:rsidR="00B707B7" w:rsidRPr="001D2881" w:rsidRDefault="00B707B7" w:rsidP="00E444B1">
            <w:pPr>
              <w:keepNext/>
            </w:pPr>
            <w:r w:rsidRPr="001D2881">
              <w:rPr>
                <w:sz w:val="20"/>
              </w:rPr>
              <w:t>Families Below Poverty Level</w:t>
            </w:r>
          </w:p>
        </w:tc>
        <w:tc>
          <w:tcPr>
            <w:tcW w:w="1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6DAD7" w14:textId="77777777" w:rsidR="00B707B7" w:rsidRPr="001D2881" w:rsidRDefault="00B707B7" w:rsidP="00E444B1">
            <w:pPr>
              <w:keepNext/>
              <w:jc w:val="right"/>
            </w:pPr>
            <w:r w:rsidRPr="001D2881">
              <w:rPr>
                <w:sz w:val="20"/>
              </w:rPr>
              <w:t>5.9%</w:t>
            </w:r>
          </w:p>
        </w:tc>
      </w:tr>
      <w:tr w:rsidR="00B707B7" w:rsidRPr="001D2881" w14:paraId="5374CC62" w14:textId="77777777" w:rsidTr="00E444B1">
        <w:trPr>
          <w:trHeight w:val="76"/>
        </w:trPr>
        <w:tc>
          <w:tcPr>
            <w:tcW w:w="9630" w:type="dxa"/>
            <w:gridSpan w:val="7"/>
            <w:tcBorders>
              <w:left w:val="single" w:sz="7" w:space="0" w:color="000000"/>
              <w:bottom w:val="single" w:sz="7" w:space="0" w:color="000000"/>
              <w:right w:val="single" w:sz="7" w:space="0" w:color="000000"/>
            </w:tcBorders>
            <w:tcMar>
              <w:top w:w="59" w:type="dxa"/>
              <w:left w:w="39" w:type="dxa"/>
              <w:bottom w:w="39" w:type="dxa"/>
              <w:right w:w="39" w:type="dxa"/>
            </w:tcMar>
          </w:tcPr>
          <w:p w14:paraId="1DB56873" w14:textId="77777777" w:rsidR="00B707B7" w:rsidRPr="001D2881" w:rsidRDefault="00B707B7" w:rsidP="00E444B1">
            <w:pPr>
              <w:keepNext/>
            </w:pPr>
            <w:r w:rsidRPr="001D2881">
              <w:rPr>
                <w:i/>
                <w:sz w:val="16"/>
              </w:rPr>
              <w:t>Source: 2015 ACS and 2019 D&amp;B Data</w:t>
            </w:r>
            <w:r>
              <w:rPr>
                <w:i/>
                <w:sz w:val="16"/>
              </w:rPr>
              <w:t xml:space="preserve">.  </w:t>
            </w:r>
            <w:r w:rsidRPr="001D2881">
              <w:rPr>
                <w:i/>
                <w:sz w:val="16"/>
              </w:rPr>
              <w:t>Due to round</w:t>
            </w:r>
            <w:r>
              <w:rPr>
                <w:i/>
                <w:sz w:val="16"/>
              </w:rPr>
              <w:t>ing, totals may not equal 100.0%</w:t>
            </w:r>
          </w:p>
        </w:tc>
      </w:tr>
    </w:tbl>
    <w:p w14:paraId="42D1A5D1" w14:textId="77777777" w:rsidR="00B707B7" w:rsidRPr="001D2881" w:rsidRDefault="00B707B7" w:rsidP="00B707B7">
      <w:pPr>
        <w:tabs>
          <w:tab w:val="left" w:pos="1260"/>
        </w:tabs>
        <w:rPr>
          <w:bCs/>
          <w:iCs/>
        </w:rPr>
      </w:pPr>
    </w:p>
    <w:p w14:paraId="7FD31113" w14:textId="052B6742" w:rsidR="00B707B7" w:rsidRPr="001D2881" w:rsidRDefault="00B707B7" w:rsidP="00B707B7">
      <w:pPr>
        <w:tabs>
          <w:tab w:val="left" w:pos="1260"/>
        </w:tabs>
        <w:rPr>
          <w:bCs/>
          <w:iCs/>
        </w:rPr>
      </w:pPr>
      <w:r>
        <w:rPr>
          <w:bCs/>
          <w:iCs/>
        </w:rPr>
        <w:t xml:space="preserve">The low percentage of owner-occupied units in low-income </w:t>
      </w:r>
      <w:r w:rsidR="00430FF4">
        <w:rPr>
          <w:bCs/>
          <w:iCs/>
        </w:rPr>
        <w:t xml:space="preserve">census </w:t>
      </w:r>
      <w:r>
        <w:rPr>
          <w:bCs/>
          <w:iCs/>
        </w:rPr>
        <w:t>tracts indicates limited</w:t>
      </w:r>
      <w:r w:rsidRPr="001D2881">
        <w:rPr>
          <w:bCs/>
          <w:iCs/>
        </w:rPr>
        <w:t xml:space="preserve"> opportunities to originate home mortgage loans within </w:t>
      </w:r>
      <w:r>
        <w:rPr>
          <w:bCs/>
          <w:iCs/>
        </w:rPr>
        <w:t>these</w:t>
      </w:r>
      <w:r w:rsidRPr="001D2881">
        <w:rPr>
          <w:bCs/>
          <w:iCs/>
        </w:rPr>
        <w:t xml:space="preserve"> census tracts.  In addition, 5.9 percent of </w:t>
      </w:r>
      <w:r>
        <w:rPr>
          <w:bCs/>
          <w:iCs/>
        </w:rPr>
        <w:t>assessment area families</w:t>
      </w:r>
      <w:r w:rsidRPr="001D2881">
        <w:rPr>
          <w:bCs/>
          <w:iCs/>
        </w:rPr>
        <w:t xml:space="preserve"> </w:t>
      </w:r>
      <w:r w:rsidR="00364844">
        <w:rPr>
          <w:bCs/>
          <w:iCs/>
        </w:rPr>
        <w:t xml:space="preserve">are </w:t>
      </w:r>
      <w:r w:rsidRPr="001D2881">
        <w:rPr>
          <w:bCs/>
          <w:iCs/>
        </w:rPr>
        <w:t>below the poverty level</w:t>
      </w:r>
      <w:r w:rsidR="00364844">
        <w:rPr>
          <w:bCs/>
          <w:iCs/>
        </w:rPr>
        <w:t>.</w:t>
      </w:r>
      <w:r>
        <w:rPr>
          <w:bCs/>
          <w:iCs/>
        </w:rPr>
        <w:t xml:space="preserve"> </w:t>
      </w:r>
      <w:r w:rsidR="00364844">
        <w:rPr>
          <w:bCs/>
          <w:iCs/>
        </w:rPr>
        <w:t xml:space="preserve"> F</w:t>
      </w:r>
      <w:r w:rsidRPr="001D2881">
        <w:rPr>
          <w:bCs/>
          <w:iCs/>
        </w:rPr>
        <w:t xml:space="preserve">amilies below the poverty level would not </w:t>
      </w:r>
      <w:r>
        <w:rPr>
          <w:bCs/>
          <w:iCs/>
        </w:rPr>
        <w:t xml:space="preserve">likely </w:t>
      </w:r>
      <w:r w:rsidRPr="001D2881">
        <w:rPr>
          <w:bCs/>
          <w:iCs/>
        </w:rPr>
        <w:t>qualify for home mortgage</w:t>
      </w:r>
      <w:r>
        <w:rPr>
          <w:bCs/>
          <w:iCs/>
        </w:rPr>
        <w:t xml:space="preserve"> loan</w:t>
      </w:r>
      <w:r w:rsidRPr="001D2881">
        <w:rPr>
          <w:bCs/>
          <w:iCs/>
        </w:rPr>
        <w:t>s</w:t>
      </w:r>
      <w:r>
        <w:rPr>
          <w:bCs/>
          <w:iCs/>
        </w:rPr>
        <w:t>, meaning the percentage of low-income families in the assessment area overstates home mortgage loan demand for families in this income category</w:t>
      </w:r>
      <w:r w:rsidRPr="001D2881">
        <w:rPr>
          <w:bCs/>
          <w:iCs/>
        </w:rPr>
        <w:t xml:space="preserve">. </w:t>
      </w:r>
    </w:p>
    <w:p w14:paraId="5F42F10C" w14:textId="77777777" w:rsidR="00B707B7" w:rsidRPr="001D2881" w:rsidRDefault="00B707B7" w:rsidP="00B707B7"/>
    <w:p w14:paraId="26264FF9" w14:textId="527BA862" w:rsidR="00B707B7" w:rsidRDefault="00B707B7" w:rsidP="00B707B7">
      <w:r w:rsidRPr="001D2881">
        <w:lastRenderedPageBreak/>
        <w:t>Examiners use</w:t>
      </w:r>
      <w:r w:rsidR="00AD4219">
        <w:t>d</w:t>
      </w:r>
      <w:r w:rsidRPr="001D2881">
        <w:t xml:space="preserve"> </w:t>
      </w:r>
      <w:r w:rsidR="00513367">
        <w:t xml:space="preserve">the </w:t>
      </w:r>
      <w:r w:rsidRPr="001D2881">
        <w:t>FFIEC-updated median family income levels to analyze home mortgage loans under the Borrower Profile criterion.  The following table presents the low-, moderate-, middle- and upper-income categories by MSA</w:t>
      </w:r>
      <w:r w:rsidR="00430FF4">
        <w:t xml:space="preserve"> or M</w:t>
      </w:r>
      <w:r w:rsidR="00DF6C07">
        <w:t xml:space="preserve">etropolitan </w:t>
      </w:r>
      <w:r w:rsidR="00430FF4">
        <w:t>D</w:t>
      </w:r>
      <w:r w:rsidR="00DF6C07">
        <w:t>ivision (MD)</w:t>
      </w:r>
      <w:r w:rsidRPr="001D2881">
        <w:t xml:space="preserve">. </w:t>
      </w:r>
    </w:p>
    <w:p w14:paraId="26D6CB8A" w14:textId="77777777" w:rsidR="00B707B7" w:rsidRPr="001D2881" w:rsidRDefault="00B707B7" w:rsidP="00B707B7">
      <w:pPr>
        <w:tabs>
          <w:tab w:val="left" w:pos="1260"/>
        </w:tabs>
        <w:rPr>
          <w:bCs/>
          <w:iCs/>
        </w:rPr>
      </w:pPr>
    </w:p>
    <w:tbl>
      <w:tblPr>
        <w:tblW w:w="0" w:type="auto"/>
        <w:tblCellMar>
          <w:left w:w="0" w:type="dxa"/>
          <w:right w:w="0" w:type="dxa"/>
        </w:tblCellMar>
        <w:tblLook w:val="0000" w:firstRow="0" w:lastRow="0" w:firstColumn="0" w:lastColumn="0" w:noHBand="0" w:noVBand="0"/>
      </w:tblPr>
      <w:tblGrid>
        <w:gridCol w:w="2610"/>
        <w:gridCol w:w="1356"/>
        <w:gridCol w:w="2100"/>
        <w:gridCol w:w="2195"/>
        <w:gridCol w:w="1369"/>
      </w:tblGrid>
      <w:tr w:rsidR="00B707B7" w:rsidRPr="001D2881" w14:paraId="766D6175" w14:textId="77777777" w:rsidTr="00E444B1">
        <w:trPr>
          <w:trHeight w:val="282"/>
        </w:trPr>
        <w:tc>
          <w:tcPr>
            <w:tcW w:w="9630" w:type="dxa"/>
            <w:gridSpan w:val="5"/>
            <w:tcBorders>
              <w:top w:val="single" w:sz="7" w:space="0" w:color="000000"/>
              <w:left w:val="single" w:sz="7" w:space="0" w:color="000000"/>
              <w:right w:val="single" w:sz="7" w:space="0" w:color="000000"/>
            </w:tcBorders>
            <w:tcMar>
              <w:top w:w="39" w:type="dxa"/>
              <w:left w:w="39" w:type="dxa"/>
              <w:bottom w:w="39" w:type="dxa"/>
              <w:right w:w="39" w:type="dxa"/>
            </w:tcMar>
          </w:tcPr>
          <w:p w14:paraId="194B3CEF" w14:textId="77777777" w:rsidR="00B707B7" w:rsidRPr="001D2881" w:rsidRDefault="00B707B7" w:rsidP="00E444B1">
            <w:pPr>
              <w:keepNext/>
              <w:jc w:val="center"/>
            </w:pPr>
            <w:r w:rsidRPr="001D2881">
              <w:rPr>
                <w:b/>
                <w:sz w:val="20"/>
              </w:rPr>
              <w:t>Median Family Income Ranges</w:t>
            </w:r>
          </w:p>
        </w:tc>
      </w:tr>
      <w:tr w:rsidR="00B707B7" w:rsidRPr="001D2881" w14:paraId="41F02A81" w14:textId="77777777" w:rsidTr="00E444B1">
        <w:trPr>
          <w:trHeight w:val="426"/>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D40AE07" w14:textId="77777777" w:rsidR="00B707B7" w:rsidRPr="001D2881" w:rsidRDefault="00B707B7" w:rsidP="00E444B1">
            <w:pPr>
              <w:keepNext/>
            </w:pPr>
            <w:r w:rsidRPr="001D2881">
              <w:rPr>
                <w:b/>
                <w:sz w:val="20"/>
              </w:rPr>
              <w:t>Median Family Incomes</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5612B5F" w14:textId="77777777" w:rsidR="00B707B7" w:rsidRPr="001D2881" w:rsidRDefault="00B707B7" w:rsidP="00E444B1">
            <w:pPr>
              <w:keepNext/>
              <w:jc w:val="center"/>
            </w:pPr>
            <w:r w:rsidRPr="001D2881">
              <w:rPr>
                <w:b/>
                <w:sz w:val="20"/>
              </w:rPr>
              <w:t>Low</w:t>
            </w:r>
            <w:r w:rsidRPr="001D2881">
              <w:rPr>
                <w:b/>
                <w:sz w:val="20"/>
              </w:rPr>
              <w:br/>
              <w:t xml:space="preserve"> &lt;50% </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BC99368" w14:textId="77777777" w:rsidR="00B707B7" w:rsidRPr="001D2881" w:rsidRDefault="00B707B7" w:rsidP="00E444B1">
            <w:pPr>
              <w:keepNext/>
              <w:jc w:val="center"/>
            </w:pPr>
            <w:r w:rsidRPr="001D2881">
              <w:rPr>
                <w:b/>
                <w:sz w:val="20"/>
              </w:rPr>
              <w:t>Moderate</w:t>
            </w:r>
            <w:r w:rsidRPr="001D2881">
              <w:rPr>
                <w:b/>
                <w:sz w:val="20"/>
              </w:rPr>
              <w:br/>
              <w:t>50% to &lt;80%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F28E9F4" w14:textId="77777777" w:rsidR="00B707B7" w:rsidRPr="001D2881" w:rsidRDefault="00B707B7" w:rsidP="00E444B1">
            <w:pPr>
              <w:keepNext/>
              <w:jc w:val="center"/>
            </w:pPr>
            <w:r w:rsidRPr="001D2881">
              <w:rPr>
                <w:b/>
                <w:sz w:val="20"/>
              </w:rPr>
              <w:t>Middle</w:t>
            </w:r>
            <w:r w:rsidRPr="001D2881">
              <w:rPr>
                <w:b/>
                <w:sz w:val="20"/>
              </w:rPr>
              <w:br/>
              <w:t>80% to &lt;120%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FA40212" w14:textId="77777777" w:rsidR="00B707B7" w:rsidRPr="001D2881" w:rsidRDefault="00B707B7" w:rsidP="00E444B1">
            <w:pPr>
              <w:keepNext/>
              <w:jc w:val="center"/>
            </w:pPr>
            <w:r w:rsidRPr="001D2881">
              <w:rPr>
                <w:b/>
                <w:sz w:val="20"/>
              </w:rPr>
              <w:t>Upper</w:t>
            </w:r>
            <w:r w:rsidRPr="001D2881">
              <w:rPr>
                <w:b/>
                <w:sz w:val="20"/>
              </w:rPr>
              <w:br/>
              <w:t>≥120%</w:t>
            </w:r>
          </w:p>
        </w:tc>
      </w:tr>
      <w:tr w:rsidR="00B707B7" w:rsidRPr="001D2881" w14:paraId="287E8CB6" w14:textId="77777777" w:rsidTr="00E444B1">
        <w:trPr>
          <w:trHeight w:val="181"/>
        </w:trPr>
        <w:tc>
          <w:tcPr>
            <w:tcW w:w="963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59B7905" w14:textId="77777777" w:rsidR="00B707B7" w:rsidRPr="001D2881" w:rsidRDefault="00B707B7" w:rsidP="00E444B1">
            <w:pPr>
              <w:keepNext/>
              <w:jc w:val="center"/>
            </w:pPr>
            <w:r w:rsidRPr="001D2881">
              <w:rPr>
                <w:b/>
                <w:sz w:val="20"/>
              </w:rPr>
              <w:t>Barnstable Town, MA MSA Median Family Income (12700)</w:t>
            </w:r>
          </w:p>
        </w:tc>
      </w:tr>
      <w:tr w:rsidR="00B707B7" w:rsidRPr="001D2881" w14:paraId="7143F2A2" w14:textId="77777777" w:rsidTr="00E444B1">
        <w:trPr>
          <w:trHeight w:val="188"/>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9E8D811" w14:textId="77777777" w:rsidR="00B707B7" w:rsidRPr="001D2881" w:rsidRDefault="00B707B7" w:rsidP="00E444B1">
            <w:pPr>
              <w:keepNext/>
            </w:pPr>
            <w:r w:rsidRPr="001D2881">
              <w:rPr>
                <w:sz w:val="20"/>
              </w:rPr>
              <w:t>2018 ($86,200)</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5D5A0" w14:textId="77777777" w:rsidR="00B707B7" w:rsidRPr="001D2881" w:rsidRDefault="00B707B7" w:rsidP="00E444B1">
            <w:pPr>
              <w:keepNext/>
              <w:jc w:val="center"/>
            </w:pPr>
            <w:r w:rsidRPr="001D2881">
              <w:rPr>
                <w:sz w:val="20"/>
              </w:rPr>
              <w:t>&lt;$43,100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11F9D" w14:textId="77777777" w:rsidR="00B707B7" w:rsidRPr="001D2881" w:rsidRDefault="00B707B7" w:rsidP="00E444B1">
            <w:pPr>
              <w:keepNext/>
              <w:jc w:val="center"/>
            </w:pPr>
            <w:r w:rsidRPr="001D2881">
              <w:rPr>
                <w:sz w:val="20"/>
              </w:rPr>
              <w:t>$43,100 to &lt;$68,960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67E42" w14:textId="77777777" w:rsidR="00B707B7" w:rsidRPr="001D2881" w:rsidRDefault="00B707B7" w:rsidP="00E444B1">
            <w:pPr>
              <w:keepNext/>
              <w:jc w:val="center"/>
            </w:pPr>
            <w:r w:rsidRPr="001D2881">
              <w:rPr>
                <w:sz w:val="20"/>
              </w:rPr>
              <w:t>$68,960 to &lt;$103,440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169AF9" w14:textId="77777777" w:rsidR="00B707B7" w:rsidRPr="001D2881" w:rsidRDefault="00B707B7" w:rsidP="00E444B1">
            <w:pPr>
              <w:keepNext/>
              <w:jc w:val="center"/>
            </w:pPr>
            <w:r w:rsidRPr="001D2881">
              <w:rPr>
                <w:sz w:val="20"/>
              </w:rPr>
              <w:t>≥$103,440</w:t>
            </w:r>
          </w:p>
        </w:tc>
      </w:tr>
      <w:tr w:rsidR="00B707B7" w:rsidRPr="001D2881" w14:paraId="1226C467" w14:textId="77777777" w:rsidTr="00E444B1">
        <w:trPr>
          <w:trHeight w:val="188"/>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6C0292F" w14:textId="77777777" w:rsidR="00B707B7" w:rsidRPr="001D2881" w:rsidRDefault="00B707B7" w:rsidP="00E444B1">
            <w:pPr>
              <w:keepNext/>
            </w:pPr>
            <w:r w:rsidRPr="001D2881">
              <w:rPr>
                <w:sz w:val="20"/>
              </w:rPr>
              <w:t>2019 ($91,300)</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F8E57D" w14:textId="77777777" w:rsidR="00B707B7" w:rsidRPr="001D2881" w:rsidRDefault="00B707B7" w:rsidP="00E444B1">
            <w:pPr>
              <w:keepNext/>
              <w:jc w:val="center"/>
            </w:pPr>
            <w:r w:rsidRPr="001D2881">
              <w:rPr>
                <w:sz w:val="20"/>
              </w:rPr>
              <w:t>&lt;$45,650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8B816" w14:textId="77777777" w:rsidR="00B707B7" w:rsidRPr="001D2881" w:rsidRDefault="00B707B7" w:rsidP="00E444B1">
            <w:pPr>
              <w:keepNext/>
              <w:jc w:val="center"/>
            </w:pPr>
            <w:r w:rsidRPr="001D2881">
              <w:rPr>
                <w:sz w:val="20"/>
              </w:rPr>
              <w:t>$45,650 to &lt;$73,040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0B0F5D" w14:textId="77777777" w:rsidR="00B707B7" w:rsidRPr="001D2881" w:rsidRDefault="00B707B7" w:rsidP="00E444B1">
            <w:pPr>
              <w:keepNext/>
              <w:jc w:val="center"/>
            </w:pPr>
            <w:r w:rsidRPr="001D2881">
              <w:rPr>
                <w:sz w:val="20"/>
              </w:rPr>
              <w:t>$73,040 to &lt;$109,560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947DE" w14:textId="77777777" w:rsidR="00B707B7" w:rsidRPr="001D2881" w:rsidRDefault="00B707B7" w:rsidP="00E444B1">
            <w:pPr>
              <w:keepNext/>
              <w:jc w:val="center"/>
            </w:pPr>
            <w:r w:rsidRPr="001D2881">
              <w:rPr>
                <w:sz w:val="20"/>
              </w:rPr>
              <w:t>≥$109,560</w:t>
            </w:r>
          </w:p>
        </w:tc>
      </w:tr>
      <w:tr w:rsidR="00B707B7" w:rsidRPr="001D2881" w14:paraId="3BDF6924" w14:textId="77777777" w:rsidTr="00E444B1">
        <w:trPr>
          <w:trHeight w:val="181"/>
        </w:trPr>
        <w:tc>
          <w:tcPr>
            <w:tcW w:w="963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4495218" w14:textId="77777777" w:rsidR="00B707B7" w:rsidRPr="001D2881" w:rsidRDefault="00B707B7" w:rsidP="00E444B1">
            <w:pPr>
              <w:keepNext/>
              <w:jc w:val="center"/>
            </w:pPr>
            <w:r w:rsidRPr="001D2881">
              <w:rPr>
                <w:b/>
                <w:sz w:val="20"/>
              </w:rPr>
              <w:t>Boston, MA MD Median Family Income (14454)</w:t>
            </w:r>
          </w:p>
        </w:tc>
      </w:tr>
      <w:tr w:rsidR="00B707B7" w:rsidRPr="001D2881" w14:paraId="606CADD1" w14:textId="77777777" w:rsidTr="00E444B1">
        <w:trPr>
          <w:trHeight w:val="188"/>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4D15ED3" w14:textId="77777777" w:rsidR="00B707B7" w:rsidRPr="001D2881" w:rsidRDefault="00B707B7" w:rsidP="00E444B1">
            <w:pPr>
              <w:keepNext/>
            </w:pPr>
            <w:r w:rsidRPr="001D2881">
              <w:rPr>
                <w:sz w:val="20"/>
              </w:rPr>
              <w:t>2018 ($99,300)</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2F88D6" w14:textId="77777777" w:rsidR="00B707B7" w:rsidRPr="001D2881" w:rsidRDefault="00B707B7" w:rsidP="00E444B1">
            <w:pPr>
              <w:keepNext/>
              <w:jc w:val="center"/>
            </w:pPr>
            <w:r w:rsidRPr="001D2881">
              <w:rPr>
                <w:sz w:val="20"/>
              </w:rPr>
              <w:t>&lt;$49,650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A15ED3" w14:textId="77777777" w:rsidR="00B707B7" w:rsidRPr="001D2881" w:rsidRDefault="00B707B7" w:rsidP="00E444B1">
            <w:pPr>
              <w:keepNext/>
              <w:jc w:val="center"/>
            </w:pPr>
            <w:r w:rsidRPr="001D2881">
              <w:rPr>
                <w:sz w:val="20"/>
              </w:rPr>
              <w:t>$49,650 to &lt;$79,440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BF797B" w14:textId="77777777" w:rsidR="00B707B7" w:rsidRPr="001D2881" w:rsidRDefault="00B707B7" w:rsidP="00E444B1">
            <w:pPr>
              <w:keepNext/>
              <w:jc w:val="center"/>
            </w:pPr>
            <w:r w:rsidRPr="001D2881">
              <w:rPr>
                <w:sz w:val="20"/>
              </w:rPr>
              <w:t>$79,440 to &lt;$119,160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41956" w14:textId="77777777" w:rsidR="00B707B7" w:rsidRPr="001D2881" w:rsidRDefault="00B707B7" w:rsidP="00E444B1">
            <w:pPr>
              <w:keepNext/>
              <w:jc w:val="center"/>
            </w:pPr>
            <w:r w:rsidRPr="001D2881">
              <w:rPr>
                <w:sz w:val="20"/>
              </w:rPr>
              <w:t>≥$119,160</w:t>
            </w:r>
          </w:p>
        </w:tc>
      </w:tr>
      <w:tr w:rsidR="00B707B7" w:rsidRPr="001D2881" w14:paraId="35EB74B1" w14:textId="77777777" w:rsidTr="00E444B1">
        <w:trPr>
          <w:trHeight w:val="188"/>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45516E3" w14:textId="77777777" w:rsidR="00B707B7" w:rsidRPr="001D2881" w:rsidRDefault="00B707B7" w:rsidP="00E444B1">
            <w:pPr>
              <w:keepNext/>
            </w:pPr>
            <w:r w:rsidRPr="001D2881">
              <w:rPr>
                <w:sz w:val="20"/>
              </w:rPr>
              <w:t>2019 ($105,500)</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BE992" w14:textId="77777777" w:rsidR="00B707B7" w:rsidRPr="001D2881" w:rsidRDefault="00B707B7" w:rsidP="00E444B1">
            <w:pPr>
              <w:keepNext/>
              <w:jc w:val="center"/>
            </w:pPr>
            <w:r w:rsidRPr="001D2881">
              <w:rPr>
                <w:sz w:val="20"/>
              </w:rPr>
              <w:t>&lt;$52,750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C371E" w14:textId="77777777" w:rsidR="00B707B7" w:rsidRPr="001D2881" w:rsidRDefault="00B707B7" w:rsidP="00E444B1">
            <w:pPr>
              <w:keepNext/>
              <w:jc w:val="center"/>
            </w:pPr>
            <w:r w:rsidRPr="001D2881">
              <w:rPr>
                <w:sz w:val="20"/>
              </w:rPr>
              <w:t>$52,750 to &lt;$84,400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B52C3" w14:textId="77777777" w:rsidR="00B707B7" w:rsidRPr="001D2881" w:rsidRDefault="00B707B7" w:rsidP="00E444B1">
            <w:pPr>
              <w:keepNext/>
              <w:jc w:val="center"/>
            </w:pPr>
            <w:r w:rsidRPr="001D2881">
              <w:rPr>
                <w:sz w:val="20"/>
              </w:rPr>
              <w:t>$84,400 to &lt;$126,600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2ED03" w14:textId="77777777" w:rsidR="00B707B7" w:rsidRPr="001D2881" w:rsidRDefault="00B707B7" w:rsidP="00E444B1">
            <w:pPr>
              <w:keepNext/>
              <w:jc w:val="center"/>
            </w:pPr>
            <w:r w:rsidRPr="001D2881">
              <w:rPr>
                <w:sz w:val="20"/>
              </w:rPr>
              <w:t>≥$126,600</w:t>
            </w:r>
          </w:p>
        </w:tc>
      </w:tr>
      <w:tr w:rsidR="00B707B7" w:rsidRPr="001D2881" w14:paraId="04A9C735" w14:textId="77777777" w:rsidTr="00E444B1">
        <w:trPr>
          <w:trHeight w:val="181"/>
        </w:trPr>
        <w:tc>
          <w:tcPr>
            <w:tcW w:w="963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4E873A8" w14:textId="77777777" w:rsidR="00B707B7" w:rsidRPr="001D2881" w:rsidRDefault="00B707B7" w:rsidP="00E444B1">
            <w:pPr>
              <w:keepNext/>
              <w:jc w:val="center"/>
            </w:pPr>
            <w:r w:rsidRPr="001D2881">
              <w:rPr>
                <w:b/>
                <w:sz w:val="20"/>
              </w:rPr>
              <w:t>Providence-Warwick, RI-MA MSA Median Family Income (39300)</w:t>
            </w:r>
          </w:p>
        </w:tc>
      </w:tr>
      <w:tr w:rsidR="00B707B7" w:rsidRPr="001D2881" w14:paraId="19675A2D" w14:textId="77777777" w:rsidTr="00E444B1">
        <w:trPr>
          <w:trHeight w:val="188"/>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04BE133" w14:textId="77777777" w:rsidR="00B707B7" w:rsidRPr="001D2881" w:rsidRDefault="00B707B7" w:rsidP="00E444B1">
            <w:pPr>
              <w:keepNext/>
            </w:pPr>
            <w:r w:rsidRPr="001D2881">
              <w:rPr>
                <w:sz w:val="20"/>
              </w:rPr>
              <w:t>2018 ($80,600)</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B03B1" w14:textId="77777777" w:rsidR="00B707B7" w:rsidRPr="001D2881" w:rsidRDefault="00B707B7" w:rsidP="00E444B1">
            <w:pPr>
              <w:keepNext/>
              <w:jc w:val="center"/>
            </w:pPr>
            <w:r w:rsidRPr="001D2881">
              <w:rPr>
                <w:sz w:val="20"/>
              </w:rPr>
              <w:t>&lt;$40,300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996EA" w14:textId="77777777" w:rsidR="00B707B7" w:rsidRPr="001D2881" w:rsidRDefault="00B707B7" w:rsidP="00E444B1">
            <w:pPr>
              <w:keepNext/>
              <w:jc w:val="center"/>
            </w:pPr>
            <w:r w:rsidRPr="001D2881">
              <w:rPr>
                <w:sz w:val="20"/>
              </w:rPr>
              <w:t>$40,300 to &lt;$64,480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3F4961" w14:textId="77777777" w:rsidR="00B707B7" w:rsidRPr="001D2881" w:rsidRDefault="00B707B7" w:rsidP="00E444B1">
            <w:pPr>
              <w:keepNext/>
              <w:jc w:val="center"/>
            </w:pPr>
            <w:r w:rsidRPr="001D2881">
              <w:rPr>
                <w:sz w:val="20"/>
              </w:rPr>
              <w:t>$64,480 to &lt;$96,720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ED4D2" w14:textId="77777777" w:rsidR="00B707B7" w:rsidRPr="001D2881" w:rsidRDefault="00B707B7" w:rsidP="00E444B1">
            <w:pPr>
              <w:keepNext/>
              <w:jc w:val="center"/>
            </w:pPr>
            <w:r w:rsidRPr="001D2881">
              <w:rPr>
                <w:sz w:val="20"/>
              </w:rPr>
              <w:t>≥$96,720</w:t>
            </w:r>
          </w:p>
        </w:tc>
      </w:tr>
      <w:tr w:rsidR="00B707B7" w:rsidRPr="001D2881" w14:paraId="1E6AC9D0" w14:textId="77777777" w:rsidTr="00E444B1">
        <w:trPr>
          <w:trHeight w:val="188"/>
        </w:trPr>
        <w:tc>
          <w:tcPr>
            <w:tcW w:w="26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CFB3AAE" w14:textId="77777777" w:rsidR="00B707B7" w:rsidRPr="001D2881" w:rsidRDefault="00B707B7" w:rsidP="00E444B1">
            <w:pPr>
              <w:keepNext/>
            </w:pPr>
            <w:r w:rsidRPr="001D2881">
              <w:rPr>
                <w:sz w:val="20"/>
              </w:rPr>
              <w:t>2019 ($85,100)</w:t>
            </w:r>
          </w:p>
        </w:tc>
        <w:tc>
          <w:tcPr>
            <w:tcW w:w="1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6DFE1" w14:textId="77777777" w:rsidR="00B707B7" w:rsidRPr="001D2881" w:rsidRDefault="00B707B7" w:rsidP="00E444B1">
            <w:pPr>
              <w:keepNext/>
              <w:jc w:val="center"/>
            </w:pPr>
            <w:r w:rsidRPr="001D2881">
              <w:rPr>
                <w:sz w:val="20"/>
              </w:rPr>
              <w:t>&lt;$42,550</w:t>
            </w:r>
          </w:p>
        </w:tc>
        <w:tc>
          <w:tcPr>
            <w:tcW w:w="21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C79D32" w14:textId="77777777" w:rsidR="00B707B7" w:rsidRPr="001D2881" w:rsidRDefault="00B707B7" w:rsidP="00E444B1">
            <w:pPr>
              <w:keepNext/>
              <w:jc w:val="center"/>
            </w:pPr>
            <w:r w:rsidRPr="001D2881">
              <w:rPr>
                <w:sz w:val="20"/>
              </w:rPr>
              <w:t>$42,550 to &lt;$68,080</w:t>
            </w:r>
          </w:p>
        </w:tc>
        <w:tc>
          <w:tcPr>
            <w:tcW w:w="21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65491" w14:textId="77777777" w:rsidR="00B707B7" w:rsidRPr="001D2881" w:rsidRDefault="00B707B7" w:rsidP="00E444B1">
            <w:pPr>
              <w:keepNext/>
              <w:jc w:val="center"/>
            </w:pPr>
            <w:r w:rsidRPr="001D2881">
              <w:rPr>
                <w:sz w:val="20"/>
              </w:rPr>
              <w:t>$68,080 to &lt;$102,120</w:t>
            </w:r>
          </w:p>
        </w:tc>
        <w:tc>
          <w:tcPr>
            <w:tcW w:w="13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470A80" w14:textId="77777777" w:rsidR="00B707B7" w:rsidRPr="001D2881" w:rsidRDefault="00B707B7" w:rsidP="00E444B1">
            <w:pPr>
              <w:keepNext/>
              <w:jc w:val="center"/>
            </w:pPr>
            <w:r w:rsidRPr="001D2881">
              <w:rPr>
                <w:sz w:val="20"/>
              </w:rPr>
              <w:t>≥$102,120</w:t>
            </w:r>
          </w:p>
        </w:tc>
      </w:tr>
      <w:tr w:rsidR="00B707B7" w:rsidRPr="001D2881" w14:paraId="2CC82022" w14:textId="77777777" w:rsidTr="00E444B1">
        <w:trPr>
          <w:trHeight w:val="187"/>
        </w:trPr>
        <w:tc>
          <w:tcPr>
            <w:tcW w:w="963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CE70A" w14:textId="77777777" w:rsidR="00B707B7" w:rsidRPr="001D2881" w:rsidRDefault="00B707B7" w:rsidP="00E444B1">
            <w:pPr>
              <w:keepNext/>
            </w:pPr>
            <w:r w:rsidRPr="001D2881">
              <w:rPr>
                <w:i/>
                <w:sz w:val="16"/>
              </w:rPr>
              <w:t>Source: FFIEC</w:t>
            </w:r>
          </w:p>
        </w:tc>
      </w:tr>
    </w:tbl>
    <w:p w14:paraId="1485865B" w14:textId="77777777" w:rsidR="00B707B7" w:rsidRPr="001D2881" w:rsidRDefault="00B707B7" w:rsidP="00B707B7">
      <w:pPr>
        <w:rPr>
          <w:bCs/>
          <w:iCs/>
        </w:rPr>
      </w:pPr>
    </w:p>
    <w:p w14:paraId="61801EE8" w14:textId="667B4375" w:rsidR="00B707B7" w:rsidRPr="001D2881" w:rsidRDefault="00B707B7" w:rsidP="00B707B7">
      <w:pPr>
        <w:rPr>
          <w:bCs/>
          <w:iCs/>
        </w:rPr>
      </w:pPr>
      <w:r w:rsidRPr="001D2881">
        <w:rPr>
          <w:bCs/>
          <w:iCs/>
        </w:rPr>
        <w:t>The median housing value of $301,481 is approximately three times the median family incomes of each MSA</w:t>
      </w:r>
      <w:r>
        <w:rPr>
          <w:bCs/>
          <w:iCs/>
        </w:rPr>
        <w:t xml:space="preserve"> or MD</w:t>
      </w:r>
      <w:r w:rsidRPr="001D2881">
        <w:rPr>
          <w:bCs/>
          <w:iCs/>
        </w:rPr>
        <w:t xml:space="preserve">.  </w:t>
      </w:r>
      <w:r w:rsidR="00513367">
        <w:rPr>
          <w:bCs/>
          <w:iCs/>
        </w:rPr>
        <w:t>In the l</w:t>
      </w:r>
      <w:r>
        <w:rPr>
          <w:bCs/>
          <w:iCs/>
        </w:rPr>
        <w:t xml:space="preserve">ow- and moderate-income areas, the median housing value is even less affordable.  For </w:t>
      </w:r>
      <w:r w:rsidR="00430FF4">
        <w:rPr>
          <w:bCs/>
          <w:iCs/>
        </w:rPr>
        <w:t>example</w:t>
      </w:r>
      <w:r>
        <w:rPr>
          <w:bCs/>
          <w:iCs/>
        </w:rPr>
        <w:t xml:space="preserve">, the median housing value in Brockton is four times the median family income.  </w:t>
      </w:r>
      <w:r w:rsidRPr="001D2881">
        <w:rPr>
          <w:bCs/>
          <w:iCs/>
        </w:rPr>
        <w:t xml:space="preserve">Therefore, low- and moderate-income individuals may have difficulty qualifying for conventional loan products.  This presents the need for affordable housing options within the assessment area. </w:t>
      </w:r>
    </w:p>
    <w:p w14:paraId="0B2E9FEC" w14:textId="77777777" w:rsidR="00B707B7" w:rsidRPr="001D2881" w:rsidRDefault="00B707B7" w:rsidP="00B707B7">
      <w:pPr>
        <w:rPr>
          <w:bCs/>
          <w:iCs/>
        </w:rPr>
      </w:pPr>
    </w:p>
    <w:p w14:paraId="16B9DAF5" w14:textId="2AF70A60" w:rsidR="00B707B7" w:rsidRPr="001D2881" w:rsidRDefault="00B707B7" w:rsidP="00B707B7">
      <w:pPr>
        <w:rPr>
          <w:bCs/>
          <w:iCs/>
        </w:rPr>
      </w:pPr>
      <w:r w:rsidRPr="001D2881">
        <w:rPr>
          <w:bCs/>
          <w:iCs/>
        </w:rPr>
        <w:t xml:space="preserve">According to the </w:t>
      </w:r>
      <w:r w:rsidR="00DF6C07" w:rsidRPr="00DF6C07">
        <w:rPr>
          <w:bCs/>
          <w:iCs/>
        </w:rPr>
        <w:t xml:space="preserve">United States (U.S.) </w:t>
      </w:r>
      <w:r w:rsidRPr="001D2881">
        <w:rPr>
          <w:bCs/>
          <w:iCs/>
        </w:rPr>
        <w:t xml:space="preserve">Bureau of Labor Statistics, the 2019 statewide annual unemployment rate was 2.9 percent.  Unemployment rates in each county align closely with statewide unemployment rates.  Annual unemployment rates steadily decreased since the prior evaluation from 2017 to 2019.  </w:t>
      </w:r>
      <w:r w:rsidR="00513367">
        <w:rPr>
          <w:bCs/>
          <w:iCs/>
        </w:rPr>
        <w:t>However, u</w:t>
      </w:r>
      <w:r w:rsidRPr="001D2881">
        <w:rPr>
          <w:bCs/>
          <w:iCs/>
        </w:rPr>
        <w:t>nemployment rates</w:t>
      </w:r>
      <w:r>
        <w:rPr>
          <w:bCs/>
          <w:iCs/>
        </w:rPr>
        <w:t xml:space="preserve"> nationwide</w:t>
      </w:r>
      <w:r w:rsidRPr="001D2881">
        <w:rPr>
          <w:bCs/>
          <w:iCs/>
        </w:rPr>
        <w:t>, including in Massachusetts, increased in April 2020 due to the COVID-19 pandemic and have remain</w:t>
      </w:r>
      <w:r>
        <w:rPr>
          <w:bCs/>
          <w:iCs/>
        </w:rPr>
        <w:t>ed</w:t>
      </w:r>
      <w:r w:rsidRPr="001D2881">
        <w:rPr>
          <w:bCs/>
          <w:iCs/>
        </w:rPr>
        <w:t xml:space="preserve"> relatively high.  The table below outlines </w:t>
      </w:r>
      <w:r w:rsidR="00513367">
        <w:rPr>
          <w:bCs/>
          <w:iCs/>
        </w:rPr>
        <w:t xml:space="preserve">the </w:t>
      </w:r>
      <w:r>
        <w:rPr>
          <w:bCs/>
          <w:iCs/>
        </w:rPr>
        <w:t>county, state, and national</w:t>
      </w:r>
      <w:r w:rsidRPr="001D2881">
        <w:rPr>
          <w:bCs/>
          <w:iCs/>
        </w:rPr>
        <w:t xml:space="preserve"> unemployment rates during the evaluation period. </w:t>
      </w:r>
    </w:p>
    <w:p w14:paraId="7311A1A6" w14:textId="77777777" w:rsidR="00B707B7" w:rsidRPr="001D2881" w:rsidRDefault="00B707B7" w:rsidP="00B707B7">
      <w:pPr>
        <w:rPr>
          <w:bCs/>
          <w:iCs/>
        </w:rPr>
      </w:pPr>
    </w:p>
    <w:tbl>
      <w:tblPr>
        <w:tblStyle w:val="TableGrid1"/>
        <w:tblW w:w="0" w:type="auto"/>
        <w:jc w:val="center"/>
        <w:tblLook w:val="04A0" w:firstRow="1" w:lastRow="0" w:firstColumn="1" w:lastColumn="0" w:noHBand="0" w:noVBand="1"/>
      </w:tblPr>
      <w:tblGrid>
        <w:gridCol w:w="1711"/>
        <w:gridCol w:w="616"/>
        <w:gridCol w:w="616"/>
        <w:gridCol w:w="616"/>
        <w:gridCol w:w="1588"/>
      </w:tblGrid>
      <w:tr w:rsidR="00B707B7" w:rsidRPr="001D2881" w14:paraId="0EEEC2FB" w14:textId="77777777" w:rsidTr="00E444B1">
        <w:trPr>
          <w:trHeight w:val="360"/>
          <w:jc w:val="center"/>
        </w:trPr>
        <w:tc>
          <w:tcPr>
            <w:tcW w:w="0" w:type="auto"/>
            <w:gridSpan w:val="5"/>
            <w:vAlign w:val="center"/>
          </w:tcPr>
          <w:p w14:paraId="06734370" w14:textId="77777777" w:rsidR="00B707B7" w:rsidRPr="001D2881" w:rsidRDefault="00B707B7" w:rsidP="00E444B1">
            <w:pPr>
              <w:keepNext/>
              <w:jc w:val="center"/>
              <w:rPr>
                <w:b/>
                <w:sz w:val="20"/>
                <w:szCs w:val="20"/>
              </w:rPr>
            </w:pPr>
            <w:r w:rsidRPr="001D2881">
              <w:rPr>
                <w:b/>
                <w:sz w:val="20"/>
                <w:szCs w:val="20"/>
              </w:rPr>
              <w:lastRenderedPageBreak/>
              <w:t>Unemployment Rates</w:t>
            </w:r>
          </w:p>
        </w:tc>
      </w:tr>
      <w:tr w:rsidR="00B707B7" w:rsidRPr="001D2881" w14:paraId="0353F631" w14:textId="77777777" w:rsidTr="00E444B1">
        <w:trPr>
          <w:trHeight w:val="288"/>
          <w:jc w:val="center"/>
        </w:trPr>
        <w:tc>
          <w:tcPr>
            <w:tcW w:w="0" w:type="auto"/>
            <w:vMerge w:val="restart"/>
            <w:vAlign w:val="center"/>
          </w:tcPr>
          <w:p w14:paraId="78BADFDC" w14:textId="77777777" w:rsidR="00B707B7" w:rsidRPr="001D2881" w:rsidRDefault="00B707B7" w:rsidP="00E444B1">
            <w:pPr>
              <w:keepNext/>
              <w:rPr>
                <w:b/>
                <w:sz w:val="20"/>
                <w:szCs w:val="20"/>
              </w:rPr>
            </w:pPr>
            <w:r w:rsidRPr="001D2881">
              <w:rPr>
                <w:b/>
                <w:sz w:val="20"/>
                <w:szCs w:val="20"/>
              </w:rPr>
              <w:t>Area</w:t>
            </w:r>
          </w:p>
        </w:tc>
        <w:tc>
          <w:tcPr>
            <w:tcW w:w="0" w:type="auto"/>
            <w:vAlign w:val="center"/>
          </w:tcPr>
          <w:p w14:paraId="342B0278" w14:textId="77777777" w:rsidR="00B707B7" w:rsidRPr="001D2881" w:rsidRDefault="00B707B7" w:rsidP="00E444B1">
            <w:pPr>
              <w:keepNext/>
              <w:jc w:val="center"/>
              <w:rPr>
                <w:b/>
                <w:sz w:val="20"/>
                <w:szCs w:val="20"/>
              </w:rPr>
            </w:pPr>
            <w:r w:rsidRPr="001D2881">
              <w:rPr>
                <w:b/>
                <w:sz w:val="20"/>
                <w:szCs w:val="20"/>
              </w:rPr>
              <w:t>2017</w:t>
            </w:r>
          </w:p>
        </w:tc>
        <w:tc>
          <w:tcPr>
            <w:tcW w:w="0" w:type="auto"/>
            <w:vAlign w:val="center"/>
          </w:tcPr>
          <w:p w14:paraId="710A7FB2" w14:textId="77777777" w:rsidR="00B707B7" w:rsidRPr="001D2881" w:rsidRDefault="00B707B7" w:rsidP="00E444B1">
            <w:pPr>
              <w:keepNext/>
              <w:jc w:val="center"/>
              <w:rPr>
                <w:b/>
                <w:sz w:val="20"/>
                <w:szCs w:val="20"/>
              </w:rPr>
            </w:pPr>
            <w:r w:rsidRPr="001D2881">
              <w:rPr>
                <w:b/>
                <w:sz w:val="20"/>
                <w:szCs w:val="20"/>
              </w:rPr>
              <w:t>2018</w:t>
            </w:r>
          </w:p>
        </w:tc>
        <w:tc>
          <w:tcPr>
            <w:tcW w:w="0" w:type="auto"/>
            <w:vAlign w:val="center"/>
          </w:tcPr>
          <w:p w14:paraId="3AD1C228" w14:textId="77777777" w:rsidR="00B707B7" w:rsidRPr="001D2881" w:rsidRDefault="00B707B7" w:rsidP="00E444B1">
            <w:pPr>
              <w:keepNext/>
              <w:jc w:val="center"/>
              <w:rPr>
                <w:b/>
                <w:sz w:val="20"/>
                <w:szCs w:val="20"/>
              </w:rPr>
            </w:pPr>
            <w:r w:rsidRPr="001D2881">
              <w:rPr>
                <w:b/>
                <w:sz w:val="20"/>
                <w:szCs w:val="20"/>
              </w:rPr>
              <w:t>2019</w:t>
            </w:r>
          </w:p>
        </w:tc>
        <w:tc>
          <w:tcPr>
            <w:tcW w:w="0" w:type="auto"/>
            <w:vAlign w:val="center"/>
          </w:tcPr>
          <w:p w14:paraId="1C1240FD" w14:textId="77777777" w:rsidR="00B707B7" w:rsidRPr="001D2881" w:rsidRDefault="00B707B7" w:rsidP="00E444B1">
            <w:pPr>
              <w:keepNext/>
              <w:jc w:val="center"/>
              <w:rPr>
                <w:b/>
                <w:sz w:val="20"/>
                <w:szCs w:val="20"/>
              </w:rPr>
            </w:pPr>
            <w:r w:rsidRPr="001D2881">
              <w:rPr>
                <w:b/>
                <w:sz w:val="20"/>
                <w:szCs w:val="20"/>
              </w:rPr>
              <w:t>September 2020</w:t>
            </w:r>
          </w:p>
        </w:tc>
      </w:tr>
      <w:tr w:rsidR="00B707B7" w:rsidRPr="001D2881" w14:paraId="23ABB84A" w14:textId="77777777" w:rsidTr="00E444B1">
        <w:trPr>
          <w:trHeight w:val="288"/>
          <w:jc w:val="center"/>
        </w:trPr>
        <w:tc>
          <w:tcPr>
            <w:tcW w:w="0" w:type="auto"/>
            <w:vMerge/>
          </w:tcPr>
          <w:p w14:paraId="471865D4" w14:textId="77777777" w:rsidR="00B707B7" w:rsidRPr="001D2881" w:rsidRDefault="00B707B7" w:rsidP="00E444B1">
            <w:pPr>
              <w:keepNext/>
              <w:rPr>
                <w:sz w:val="20"/>
                <w:szCs w:val="20"/>
              </w:rPr>
            </w:pPr>
          </w:p>
        </w:tc>
        <w:tc>
          <w:tcPr>
            <w:tcW w:w="0" w:type="auto"/>
            <w:vAlign w:val="center"/>
          </w:tcPr>
          <w:p w14:paraId="0E07606B" w14:textId="77777777" w:rsidR="00B707B7" w:rsidRPr="001D2881" w:rsidRDefault="00B707B7" w:rsidP="00E444B1">
            <w:pPr>
              <w:keepNext/>
              <w:jc w:val="center"/>
              <w:rPr>
                <w:b/>
                <w:sz w:val="20"/>
                <w:szCs w:val="20"/>
              </w:rPr>
            </w:pPr>
            <w:r w:rsidRPr="001D2881">
              <w:rPr>
                <w:b/>
                <w:sz w:val="20"/>
                <w:szCs w:val="20"/>
              </w:rPr>
              <w:t>%</w:t>
            </w:r>
          </w:p>
        </w:tc>
        <w:tc>
          <w:tcPr>
            <w:tcW w:w="0" w:type="auto"/>
            <w:vAlign w:val="center"/>
          </w:tcPr>
          <w:p w14:paraId="4C0AB0A7" w14:textId="77777777" w:rsidR="00B707B7" w:rsidRPr="001D2881" w:rsidRDefault="00B707B7" w:rsidP="00E444B1">
            <w:pPr>
              <w:keepNext/>
              <w:jc w:val="center"/>
              <w:rPr>
                <w:b/>
                <w:sz w:val="20"/>
                <w:szCs w:val="20"/>
              </w:rPr>
            </w:pPr>
            <w:r w:rsidRPr="001D2881">
              <w:rPr>
                <w:b/>
                <w:sz w:val="20"/>
                <w:szCs w:val="20"/>
              </w:rPr>
              <w:t>%</w:t>
            </w:r>
          </w:p>
        </w:tc>
        <w:tc>
          <w:tcPr>
            <w:tcW w:w="0" w:type="auto"/>
            <w:vAlign w:val="center"/>
          </w:tcPr>
          <w:p w14:paraId="5127D0F5" w14:textId="77777777" w:rsidR="00B707B7" w:rsidRPr="001D2881" w:rsidRDefault="00B707B7" w:rsidP="00E444B1">
            <w:pPr>
              <w:keepNext/>
              <w:jc w:val="center"/>
              <w:rPr>
                <w:b/>
                <w:sz w:val="20"/>
                <w:szCs w:val="20"/>
              </w:rPr>
            </w:pPr>
            <w:r w:rsidRPr="001D2881">
              <w:rPr>
                <w:b/>
                <w:sz w:val="20"/>
                <w:szCs w:val="20"/>
              </w:rPr>
              <w:t>%</w:t>
            </w:r>
          </w:p>
        </w:tc>
        <w:tc>
          <w:tcPr>
            <w:tcW w:w="0" w:type="auto"/>
            <w:vAlign w:val="center"/>
          </w:tcPr>
          <w:p w14:paraId="7F881C1E" w14:textId="77777777" w:rsidR="00B707B7" w:rsidRPr="001D2881" w:rsidRDefault="00B707B7" w:rsidP="00E444B1">
            <w:pPr>
              <w:keepNext/>
              <w:jc w:val="center"/>
              <w:rPr>
                <w:b/>
                <w:sz w:val="20"/>
                <w:szCs w:val="20"/>
              </w:rPr>
            </w:pPr>
            <w:r w:rsidRPr="001D2881">
              <w:rPr>
                <w:b/>
                <w:sz w:val="20"/>
                <w:szCs w:val="20"/>
              </w:rPr>
              <w:t>%</w:t>
            </w:r>
          </w:p>
        </w:tc>
      </w:tr>
      <w:tr w:rsidR="00B707B7" w:rsidRPr="001D2881" w14:paraId="25C83BE1" w14:textId="77777777" w:rsidTr="00E444B1">
        <w:trPr>
          <w:trHeight w:val="288"/>
          <w:jc w:val="center"/>
        </w:trPr>
        <w:tc>
          <w:tcPr>
            <w:tcW w:w="0" w:type="auto"/>
            <w:vAlign w:val="center"/>
          </w:tcPr>
          <w:p w14:paraId="0DC9BF6F" w14:textId="77777777" w:rsidR="00B707B7" w:rsidRPr="001D2881" w:rsidRDefault="00B707B7" w:rsidP="00E444B1">
            <w:pPr>
              <w:keepNext/>
              <w:rPr>
                <w:sz w:val="20"/>
                <w:szCs w:val="20"/>
              </w:rPr>
            </w:pPr>
            <w:r w:rsidRPr="001D2881">
              <w:rPr>
                <w:sz w:val="20"/>
                <w:szCs w:val="20"/>
              </w:rPr>
              <w:t>Barnstable County</w:t>
            </w:r>
          </w:p>
        </w:tc>
        <w:tc>
          <w:tcPr>
            <w:tcW w:w="0" w:type="auto"/>
            <w:vAlign w:val="center"/>
          </w:tcPr>
          <w:p w14:paraId="0FC1C2EB" w14:textId="77777777" w:rsidR="00B707B7" w:rsidRPr="001D2881" w:rsidRDefault="00B707B7" w:rsidP="00E444B1">
            <w:pPr>
              <w:keepNext/>
              <w:jc w:val="center"/>
              <w:rPr>
                <w:sz w:val="20"/>
                <w:szCs w:val="20"/>
              </w:rPr>
            </w:pPr>
            <w:r w:rsidRPr="001D2881">
              <w:rPr>
                <w:sz w:val="20"/>
                <w:szCs w:val="20"/>
              </w:rPr>
              <w:t>4.7</w:t>
            </w:r>
          </w:p>
        </w:tc>
        <w:tc>
          <w:tcPr>
            <w:tcW w:w="0" w:type="auto"/>
            <w:vAlign w:val="center"/>
          </w:tcPr>
          <w:p w14:paraId="175F70B0" w14:textId="77777777" w:rsidR="00B707B7" w:rsidRPr="001D2881" w:rsidRDefault="00B707B7" w:rsidP="00E444B1">
            <w:pPr>
              <w:keepNext/>
              <w:jc w:val="center"/>
              <w:rPr>
                <w:sz w:val="20"/>
                <w:szCs w:val="20"/>
              </w:rPr>
            </w:pPr>
            <w:r w:rsidRPr="001D2881">
              <w:rPr>
                <w:sz w:val="20"/>
                <w:szCs w:val="20"/>
              </w:rPr>
              <w:t>4.3</w:t>
            </w:r>
          </w:p>
        </w:tc>
        <w:tc>
          <w:tcPr>
            <w:tcW w:w="0" w:type="auto"/>
            <w:vAlign w:val="center"/>
          </w:tcPr>
          <w:p w14:paraId="4372D612" w14:textId="77777777" w:rsidR="00B707B7" w:rsidRPr="001D2881" w:rsidRDefault="00B707B7" w:rsidP="00E444B1">
            <w:pPr>
              <w:keepNext/>
              <w:jc w:val="center"/>
              <w:rPr>
                <w:sz w:val="20"/>
                <w:szCs w:val="20"/>
              </w:rPr>
            </w:pPr>
            <w:r w:rsidRPr="001D2881">
              <w:rPr>
                <w:sz w:val="20"/>
                <w:szCs w:val="20"/>
              </w:rPr>
              <w:t>3.9</w:t>
            </w:r>
          </w:p>
        </w:tc>
        <w:tc>
          <w:tcPr>
            <w:tcW w:w="0" w:type="auto"/>
            <w:vAlign w:val="center"/>
          </w:tcPr>
          <w:p w14:paraId="278B4AFB" w14:textId="77777777" w:rsidR="00B707B7" w:rsidRPr="001D2881" w:rsidRDefault="00B707B7" w:rsidP="00E444B1">
            <w:pPr>
              <w:keepNext/>
              <w:jc w:val="center"/>
              <w:rPr>
                <w:sz w:val="20"/>
                <w:szCs w:val="20"/>
              </w:rPr>
            </w:pPr>
            <w:r w:rsidRPr="001D2881">
              <w:rPr>
                <w:sz w:val="20"/>
                <w:szCs w:val="20"/>
              </w:rPr>
              <w:t>9.0</w:t>
            </w:r>
          </w:p>
        </w:tc>
      </w:tr>
      <w:tr w:rsidR="00B707B7" w:rsidRPr="001D2881" w14:paraId="264E9DC0" w14:textId="77777777" w:rsidTr="00E444B1">
        <w:trPr>
          <w:trHeight w:val="288"/>
          <w:jc w:val="center"/>
        </w:trPr>
        <w:tc>
          <w:tcPr>
            <w:tcW w:w="0" w:type="auto"/>
            <w:vAlign w:val="center"/>
          </w:tcPr>
          <w:p w14:paraId="0DADDF2A" w14:textId="77777777" w:rsidR="00B707B7" w:rsidRPr="001D2881" w:rsidRDefault="00B707B7" w:rsidP="00E444B1">
            <w:pPr>
              <w:keepNext/>
              <w:rPr>
                <w:sz w:val="20"/>
                <w:szCs w:val="20"/>
              </w:rPr>
            </w:pPr>
            <w:r w:rsidRPr="001D2881">
              <w:rPr>
                <w:sz w:val="20"/>
                <w:szCs w:val="20"/>
              </w:rPr>
              <w:t>Bristol County</w:t>
            </w:r>
          </w:p>
        </w:tc>
        <w:tc>
          <w:tcPr>
            <w:tcW w:w="0" w:type="auto"/>
            <w:vAlign w:val="center"/>
          </w:tcPr>
          <w:p w14:paraId="6256F91D" w14:textId="77777777" w:rsidR="00B707B7" w:rsidRPr="001D2881" w:rsidRDefault="00B707B7" w:rsidP="00E444B1">
            <w:pPr>
              <w:keepNext/>
              <w:jc w:val="center"/>
              <w:rPr>
                <w:sz w:val="20"/>
                <w:szCs w:val="20"/>
              </w:rPr>
            </w:pPr>
            <w:r w:rsidRPr="001D2881">
              <w:rPr>
                <w:sz w:val="20"/>
                <w:szCs w:val="20"/>
              </w:rPr>
              <w:t>4.8</w:t>
            </w:r>
          </w:p>
        </w:tc>
        <w:tc>
          <w:tcPr>
            <w:tcW w:w="0" w:type="auto"/>
            <w:vAlign w:val="center"/>
          </w:tcPr>
          <w:p w14:paraId="3D9FC9D7" w14:textId="77777777" w:rsidR="00B707B7" w:rsidRPr="001D2881" w:rsidRDefault="00B707B7" w:rsidP="00E444B1">
            <w:pPr>
              <w:keepNext/>
              <w:jc w:val="center"/>
              <w:rPr>
                <w:sz w:val="20"/>
                <w:szCs w:val="20"/>
              </w:rPr>
            </w:pPr>
            <w:r w:rsidRPr="001D2881">
              <w:rPr>
                <w:sz w:val="20"/>
                <w:szCs w:val="20"/>
              </w:rPr>
              <w:t>4.3</w:t>
            </w:r>
          </w:p>
        </w:tc>
        <w:tc>
          <w:tcPr>
            <w:tcW w:w="0" w:type="auto"/>
            <w:vAlign w:val="center"/>
          </w:tcPr>
          <w:p w14:paraId="360F240F" w14:textId="77777777" w:rsidR="00B707B7" w:rsidRPr="001D2881" w:rsidRDefault="00B707B7" w:rsidP="00E444B1">
            <w:pPr>
              <w:keepNext/>
              <w:jc w:val="center"/>
              <w:rPr>
                <w:sz w:val="20"/>
                <w:szCs w:val="20"/>
              </w:rPr>
            </w:pPr>
            <w:r w:rsidRPr="001D2881">
              <w:rPr>
                <w:sz w:val="20"/>
                <w:szCs w:val="20"/>
              </w:rPr>
              <w:t>3.7</w:t>
            </w:r>
          </w:p>
        </w:tc>
        <w:tc>
          <w:tcPr>
            <w:tcW w:w="0" w:type="auto"/>
            <w:vAlign w:val="center"/>
          </w:tcPr>
          <w:p w14:paraId="7DE71CF3" w14:textId="77777777" w:rsidR="00B707B7" w:rsidRPr="001D2881" w:rsidRDefault="00B707B7" w:rsidP="00E444B1">
            <w:pPr>
              <w:keepNext/>
              <w:jc w:val="center"/>
              <w:rPr>
                <w:sz w:val="20"/>
                <w:szCs w:val="20"/>
              </w:rPr>
            </w:pPr>
            <w:r w:rsidRPr="001D2881">
              <w:rPr>
                <w:sz w:val="20"/>
                <w:szCs w:val="20"/>
              </w:rPr>
              <w:t>10.1</w:t>
            </w:r>
          </w:p>
        </w:tc>
      </w:tr>
      <w:tr w:rsidR="00B707B7" w:rsidRPr="001D2881" w14:paraId="1887793E" w14:textId="77777777" w:rsidTr="00E444B1">
        <w:trPr>
          <w:trHeight w:val="288"/>
          <w:jc w:val="center"/>
        </w:trPr>
        <w:tc>
          <w:tcPr>
            <w:tcW w:w="0" w:type="auto"/>
            <w:vAlign w:val="center"/>
          </w:tcPr>
          <w:p w14:paraId="310691D0" w14:textId="77777777" w:rsidR="00B707B7" w:rsidRPr="001D2881" w:rsidRDefault="00B707B7" w:rsidP="00E444B1">
            <w:pPr>
              <w:keepNext/>
              <w:rPr>
                <w:sz w:val="20"/>
                <w:szCs w:val="20"/>
              </w:rPr>
            </w:pPr>
            <w:r w:rsidRPr="001D2881">
              <w:rPr>
                <w:sz w:val="20"/>
                <w:szCs w:val="20"/>
              </w:rPr>
              <w:t>Norfolk County</w:t>
            </w:r>
          </w:p>
        </w:tc>
        <w:tc>
          <w:tcPr>
            <w:tcW w:w="0" w:type="auto"/>
            <w:vAlign w:val="center"/>
          </w:tcPr>
          <w:p w14:paraId="6414A1D7" w14:textId="77777777" w:rsidR="00B707B7" w:rsidRPr="001D2881" w:rsidRDefault="00B707B7" w:rsidP="00E444B1">
            <w:pPr>
              <w:keepNext/>
              <w:jc w:val="center"/>
              <w:rPr>
                <w:sz w:val="20"/>
                <w:szCs w:val="20"/>
              </w:rPr>
            </w:pPr>
            <w:r w:rsidRPr="001D2881">
              <w:rPr>
                <w:sz w:val="20"/>
                <w:szCs w:val="20"/>
              </w:rPr>
              <w:t>3.3</w:t>
            </w:r>
          </w:p>
        </w:tc>
        <w:tc>
          <w:tcPr>
            <w:tcW w:w="0" w:type="auto"/>
            <w:vAlign w:val="center"/>
          </w:tcPr>
          <w:p w14:paraId="0691A7AD" w14:textId="77777777" w:rsidR="00B707B7" w:rsidRPr="001D2881" w:rsidRDefault="00B707B7" w:rsidP="00E444B1">
            <w:pPr>
              <w:keepNext/>
              <w:jc w:val="center"/>
              <w:rPr>
                <w:sz w:val="20"/>
                <w:szCs w:val="20"/>
              </w:rPr>
            </w:pPr>
            <w:r w:rsidRPr="001D2881">
              <w:rPr>
                <w:sz w:val="20"/>
                <w:szCs w:val="20"/>
              </w:rPr>
              <w:t>3.0</w:t>
            </w:r>
          </w:p>
        </w:tc>
        <w:tc>
          <w:tcPr>
            <w:tcW w:w="0" w:type="auto"/>
            <w:vAlign w:val="center"/>
          </w:tcPr>
          <w:p w14:paraId="1CDA40E9" w14:textId="77777777" w:rsidR="00B707B7" w:rsidRPr="001D2881" w:rsidRDefault="00B707B7" w:rsidP="00E444B1">
            <w:pPr>
              <w:keepNext/>
              <w:jc w:val="center"/>
              <w:rPr>
                <w:sz w:val="20"/>
                <w:szCs w:val="20"/>
              </w:rPr>
            </w:pPr>
            <w:r w:rsidRPr="001D2881">
              <w:rPr>
                <w:sz w:val="20"/>
                <w:szCs w:val="20"/>
              </w:rPr>
              <w:t>2.5</w:t>
            </w:r>
          </w:p>
        </w:tc>
        <w:tc>
          <w:tcPr>
            <w:tcW w:w="0" w:type="auto"/>
            <w:vAlign w:val="center"/>
          </w:tcPr>
          <w:p w14:paraId="7BF8F2CC" w14:textId="77777777" w:rsidR="00B707B7" w:rsidRPr="001D2881" w:rsidRDefault="00B707B7" w:rsidP="00E444B1">
            <w:pPr>
              <w:keepNext/>
              <w:jc w:val="center"/>
              <w:rPr>
                <w:sz w:val="20"/>
                <w:szCs w:val="20"/>
              </w:rPr>
            </w:pPr>
            <w:r w:rsidRPr="001D2881">
              <w:rPr>
                <w:sz w:val="20"/>
                <w:szCs w:val="20"/>
              </w:rPr>
              <w:t>9.2</w:t>
            </w:r>
          </w:p>
        </w:tc>
      </w:tr>
      <w:tr w:rsidR="00B707B7" w:rsidRPr="001D2881" w14:paraId="5618EB8A" w14:textId="77777777" w:rsidTr="00E444B1">
        <w:trPr>
          <w:trHeight w:val="288"/>
          <w:jc w:val="center"/>
        </w:trPr>
        <w:tc>
          <w:tcPr>
            <w:tcW w:w="0" w:type="auto"/>
            <w:vAlign w:val="center"/>
          </w:tcPr>
          <w:p w14:paraId="20430030" w14:textId="77777777" w:rsidR="00B707B7" w:rsidRPr="001D2881" w:rsidRDefault="00B707B7" w:rsidP="00E444B1">
            <w:pPr>
              <w:keepNext/>
              <w:rPr>
                <w:sz w:val="20"/>
                <w:szCs w:val="20"/>
              </w:rPr>
            </w:pPr>
            <w:r w:rsidRPr="001D2881">
              <w:rPr>
                <w:sz w:val="20"/>
                <w:szCs w:val="20"/>
              </w:rPr>
              <w:t>Plymouth County</w:t>
            </w:r>
          </w:p>
        </w:tc>
        <w:tc>
          <w:tcPr>
            <w:tcW w:w="0" w:type="auto"/>
            <w:vAlign w:val="center"/>
          </w:tcPr>
          <w:p w14:paraId="456B01E9" w14:textId="77777777" w:rsidR="00B707B7" w:rsidRPr="001D2881" w:rsidRDefault="00B707B7" w:rsidP="00E444B1">
            <w:pPr>
              <w:keepNext/>
              <w:jc w:val="center"/>
              <w:rPr>
                <w:sz w:val="20"/>
                <w:szCs w:val="20"/>
              </w:rPr>
            </w:pPr>
            <w:r w:rsidRPr="001D2881">
              <w:rPr>
                <w:sz w:val="20"/>
                <w:szCs w:val="20"/>
              </w:rPr>
              <w:t>3.9</w:t>
            </w:r>
          </w:p>
        </w:tc>
        <w:tc>
          <w:tcPr>
            <w:tcW w:w="0" w:type="auto"/>
            <w:vAlign w:val="center"/>
          </w:tcPr>
          <w:p w14:paraId="353524A2" w14:textId="77777777" w:rsidR="00B707B7" w:rsidRPr="001D2881" w:rsidRDefault="00B707B7" w:rsidP="00E444B1">
            <w:pPr>
              <w:keepNext/>
              <w:jc w:val="center"/>
              <w:rPr>
                <w:sz w:val="20"/>
                <w:szCs w:val="20"/>
              </w:rPr>
            </w:pPr>
            <w:r w:rsidRPr="001D2881">
              <w:rPr>
                <w:sz w:val="20"/>
                <w:szCs w:val="20"/>
              </w:rPr>
              <w:t>3.5</w:t>
            </w:r>
          </w:p>
        </w:tc>
        <w:tc>
          <w:tcPr>
            <w:tcW w:w="0" w:type="auto"/>
            <w:vAlign w:val="center"/>
          </w:tcPr>
          <w:p w14:paraId="52CB1E49" w14:textId="77777777" w:rsidR="00B707B7" w:rsidRPr="001D2881" w:rsidRDefault="00B707B7" w:rsidP="00E444B1">
            <w:pPr>
              <w:keepNext/>
              <w:jc w:val="center"/>
              <w:rPr>
                <w:sz w:val="20"/>
                <w:szCs w:val="20"/>
              </w:rPr>
            </w:pPr>
            <w:r w:rsidRPr="001D2881">
              <w:rPr>
                <w:sz w:val="20"/>
                <w:szCs w:val="20"/>
              </w:rPr>
              <w:t>3.0</w:t>
            </w:r>
          </w:p>
        </w:tc>
        <w:tc>
          <w:tcPr>
            <w:tcW w:w="0" w:type="auto"/>
            <w:vAlign w:val="center"/>
          </w:tcPr>
          <w:p w14:paraId="5555C2A4" w14:textId="77777777" w:rsidR="00B707B7" w:rsidRPr="001D2881" w:rsidRDefault="00B707B7" w:rsidP="00E444B1">
            <w:pPr>
              <w:keepNext/>
              <w:jc w:val="center"/>
              <w:rPr>
                <w:sz w:val="20"/>
                <w:szCs w:val="20"/>
              </w:rPr>
            </w:pPr>
            <w:r w:rsidRPr="001D2881">
              <w:rPr>
                <w:sz w:val="20"/>
                <w:szCs w:val="20"/>
              </w:rPr>
              <w:t>9.8</w:t>
            </w:r>
          </w:p>
        </w:tc>
      </w:tr>
      <w:tr w:rsidR="00B707B7" w:rsidRPr="001D2881" w14:paraId="405A99EE" w14:textId="77777777" w:rsidTr="00E444B1">
        <w:trPr>
          <w:trHeight w:val="288"/>
          <w:jc w:val="center"/>
        </w:trPr>
        <w:tc>
          <w:tcPr>
            <w:tcW w:w="0" w:type="auto"/>
            <w:vAlign w:val="center"/>
          </w:tcPr>
          <w:p w14:paraId="1510DE6F" w14:textId="77777777" w:rsidR="00B707B7" w:rsidRPr="001D2881" w:rsidRDefault="00B707B7" w:rsidP="00E444B1">
            <w:pPr>
              <w:keepNext/>
              <w:rPr>
                <w:sz w:val="20"/>
                <w:szCs w:val="20"/>
              </w:rPr>
            </w:pPr>
            <w:r w:rsidRPr="001D2881">
              <w:rPr>
                <w:sz w:val="20"/>
                <w:szCs w:val="20"/>
              </w:rPr>
              <w:t>Massachusetts</w:t>
            </w:r>
          </w:p>
        </w:tc>
        <w:tc>
          <w:tcPr>
            <w:tcW w:w="0" w:type="auto"/>
            <w:vAlign w:val="center"/>
          </w:tcPr>
          <w:p w14:paraId="4331FEDF" w14:textId="77777777" w:rsidR="00B707B7" w:rsidRPr="001D2881" w:rsidRDefault="00B707B7" w:rsidP="00E444B1">
            <w:pPr>
              <w:keepNext/>
              <w:jc w:val="center"/>
              <w:rPr>
                <w:sz w:val="20"/>
                <w:szCs w:val="20"/>
              </w:rPr>
            </w:pPr>
            <w:r w:rsidRPr="001D2881">
              <w:rPr>
                <w:sz w:val="20"/>
                <w:szCs w:val="20"/>
              </w:rPr>
              <w:t>3.7</w:t>
            </w:r>
          </w:p>
        </w:tc>
        <w:tc>
          <w:tcPr>
            <w:tcW w:w="0" w:type="auto"/>
            <w:vAlign w:val="center"/>
          </w:tcPr>
          <w:p w14:paraId="700B93D7" w14:textId="77777777" w:rsidR="00B707B7" w:rsidRPr="001D2881" w:rsidRDefault="00B707B7" w:rsidP="00E444B1">
            <w:pPr>
              <w:keepNext/>
              <w:jc w:val="center"/>
              <w:rPr>
                <w:sz w:val="20"/>
                <w:szCs w:val="20"/>
              </w:rPr>
            </w:pPr>
            <w:r w:rsidRPr="001D2881">
              <w:rPr>
                <w:sz w:val="20"/>
                <w:szCs w:val="20"/>
              </w:rPr>
              <w:t>3.4</w:t>
            </w:r>
          </w:p>
        </w:tc>
        <w:tc>
          <w:tcPr>
            <w:tcW w:w="0" w:type="auto"/>
            <w:vAlign w:val="center"/>
          </w:tcPr>
          <w:p w14:paraId="07338F5A" w14:textId="77777777" w:rsidR="00B707B7" w:rsidRPr="001D2881" w:rsidRDefault="00B707B7" w:rsidP="00E444B1">
            <w:pPr>
              <w:keepNext/>
              <w:jc w:val="center"/>
              <w:rPr>
                <w:sz w:val="20"/>
                <w:szCs w:val="20"/>
              </w:rPr>
            </w:pPr>
            <w:r w:rsidRPr="001D2881">
              <w:rPr>
                <w:sz w:val="20"/>
                <w:szCs w:val="20"/>
              </w:rPr>
              <w:t>2.9</w:t>
            </w:r>
          </w:p>
        </w:tc>
        <w:tc>
          <w:tcPr>
            <w:tcW w:w="0" w:type="auto"/>
            <w:vAlign w:val="center"/>
          </w:tcPr>
          <w:p w14:paraId="600F2711" w14:textId="77777777" w:rsidR="00B707B7" w:rsidRPr="001D2881" w:rsidRDefault="00B707B7" w:rsidP="00E444B1">
            <w:pPr>
              <w:keepNext/>
              <w:jc w:val="center"/>
              <w:rPr>
                <w:sz w:val="20"/>
                <w:szCs w:val="20"/>
              </w:rPr>
            </w:pPr>
            <w:r w:rsidRPr="001D2881">
              <w:rPr>
                <w:sz w:val="20"/>
                <w:szCs w:val="20"/>
              </w:rPr>
              <w:t>9.5</w:t>
            </w:r>
          </w:p>
        </w:tc>
      </w:tr>
      <w:tr w:rsidR="00B707B7" w:rsidRPr="001D2881" w14:paraId="4837C404" w14:textId="77777777" w:rsidTr="00E444B1">
        <w:trPr>
          <w:trHeight w:val="288"/>
          <w:jc w:val="center"/>
        </w:trPr>
        <w:tc>
          <w:tcPr>
            <w:tcW w:w="0" w:type="auto"/>
            <w:vAlign w:val="center"/>
          </w:tcPr>
          <w:p w14:paraId="6ED028BC" w14:textId="77777777" w:rsidR="00B707B7" w:rsidRPr="001D2881" w:rsidRDefault="00B707B7" w:rsidP="00E444B1">
            <w:pPr>
              <w:keepNext/>
              <w:rPr>
                <w:sz w:val="20"/>
                <w:szCs w:val="20"/>
              </w:rPr>
            </w:pPr>
            <w:r w:rsidRPr="001D2881">
              <w:rPr>
                <w:sz w:val="20"/>
                <w:szCs w:val="20"/>
              </w:rPr>
              <w:t>National Average</w:t>
            </w:r>
          </w:p>
        </w:tc>
        <w:tc>
          <w:tcPr>
            <w:tcW w:w="0" w:type="auto"/>
            <w:vAlign w:val="center"/>
          </w:tcPr>
          <w:p w14:paraId="42B79601" w14:textId="77777777" w:rsidR="00B707B7" w:rsidRPr="001D2881" w:rsidRDefault="00B707B7" w:rsidP="00E444B1">
            <w:pPr>
              <w:keepNext/>
              <w:jc w:val="center"/>
              <w:rPr>
                <w:sz w:val="20"/>
                <w:szCs w:val="20"/>
              </w:rPr>
            </w:pPr>
            <w:r w:rsidRPr="001D2881">
              <w:rPr>
                <w:sz w:val="20"/>
                <w:szCs w:val="20"/>
              </w:rPr>
              <w:t>4.1</w:t>
            </w:r>
          </w:p>
        </w:tc>
        <w:tc>
          <w:tcPr>
            <w:tcW w:w="0" w:type="auto"/>
            <w:vAlign w:val="center"/>
          </w:tcPr>
          <w:p w14:paraId="180278CF" w14:textId="77777777" w:rsidR="00B707B7" w:rsidRPr="001D2881" w:rsidRDefault="00B707B7" w:rsidP="00E444B1">
            <w:pPr>
              <w:keepNext/>
              <w:jc w:val="center"/>
              <w:rPr>
                <w:sz w:val="20"/>
                <w:szCs w:val="20"/>
              </w:rPr>
            </w:pPr>
            <w:r w:rsidRPr="001D2881">
              <w:rPr>
                <w:sz w:val="20"/>
                <w:szCs w:val="20"/>
              </w:rPr>
              <w:t>3.9</w:t>
            </w:r>
          </w:p>
        </w:tc>
        <w:tc>
          <w:tcPr>
            <w:tcW w:w="0" w:type="auto"/>
            <w:vAlign w:val="center"/>
          </w:tcPr>
          <w:p w14:paraId="31E16BE0" w14:textId="77777777" w:rsidR="00B707B7" w:rsidRPr="001D2881" w:rsidRDefault="00B707B7" w:rsidP="00E444B1">
            <w:pPr>
              <w:keepNext/>
              <w:jc w:val="center"/>
              <w:rPr>
                <w:sz w:val="20"/>
                <w:szCs w:val="20"/>
              </w:rPr>
            </w:pPr>
            <w:r w:rsidRPr="001D2881">
              <w:rPr>
                <w:sz w:val="20"/>
                <w:szCs w:val="20"/>
              </w:rPr>
              <w:t>3.7</w:t>
            </w:r>
          </w:p>
        </w:tc>
        <w:tc>
          <w:tcPr>
            <w:tcW w:w="0" w:type="auto"/>
            <w:vAlign w:val="center"/>
          </w:tcPr>
          <w:p w14:paraId="2FF43F93" w14:textId="77777777" w:rsidR="00B707B7" w:rsidRPr="001D2881" w:rsidRDefault="00B707B7" w:rsidP="00E444B1">
            <w:pPr>
              <w:keepNext/>
              <w:jc w:val="center"/>
              <w:rPr>
                <w:sz w:val="20"/>
                <w:szCs w:val="20"/>
              </w:rPr>
            </w:pPr>
            <w:r w:rsidRPr="001D2881">
              <w:rPr>
                <w:sz w:val="20"/>
                <w:szCs w:val="20"/>
              </w:rPr>
              <w:t>7.9</w:t>
            </w:r>
          </w:p>
        </w:tc>
      </w:tr>
      <w:tr w:rsidR="00B707B7" w:rsidRPr="001D2881" w14:paraId="0AEE29E3" w14:textId="77777777" w:rsidTr="00E444B1">
        <w:trPr>
          <w:trHeight w:val="288"/>
          <w:jc w:val="center"/>
        </w:trPr>
        <w:tc>
          <w:tcPr>
            <w:tcW w:w="0" w:type="auto"/>
            <w:gridSpan w:val="5"/>
            <w:vAlign w:val="center"/>
          </w:tcPr>
          <w:p w14:paraId="1E67B096" w14:textId="77777777" w:rsidR="00B707B7" w:rsidRPr="001D2881" w:rsidRDefault="00B707B7" w:rsidP="00E444B1">
            <w:pPr>
              <w:keepNext/>
              <w:rPr>
                <w:i/>
                <w:sz w:val="20"/>
                <w:szCs w:val="20"/>
              </w:rPr>
            </w:pPr>
            <w:r w:rsidRPr="001D2881">
              <w:rPr>
                <w:i/>
                <w:sz w:val="16"/>
                <w:szCs w:val="20"/>
              </w:rPr>
              <w:t>Source:  Bureau of Labor Statistics</w:t>
            </w:r>
          </w:p>
        </w:tc>
      </w:tr>
    </w:tbl>
    <w:p w14:paraId="6DC99033" w14:textId="77777777" w:rsidR="00B707B7" w:rsidRPr="001D2881" w:rsidRDefault="00B707B7" w:rsidP="00B707B7">
      <w:pPr>
        <w:rPr>
          <w:bCs/>
          <w:iCs/>
        </w:rPr>
      </w:pPr>
    </w:p>
    <w:p w14:paraId="68ADF135" w14:textId="77777777" w:rsidR="00B707B7" w:rsidRDefault="00B707B7" w:rsidP="00B707B7"/>
    <w:p w14:paraId="740B61AE" w14:textId="62E71321" w:rsidR="00B707B7" w:rsidRPr="001D2881" w:rsidRDefault="00B707B7" w:rsidP="00B707B7">
      <w:r w:rsidRPr="001D2881">
        <w:t xml:space="preserve">According to Moody’s Analytics as of October 2020, the major industries for </w:t>
      </w:r>
      <w:r w:rsidR="00513367">
        <w:t xml:space="preserve">employment in </w:t>
      </w:r>
      <w:r w:rsidRPr="001D2881">
        <w:t xml:space="preserve">each MSA or MD are as follows.  In the Boston, MA MD and Providence-Warwick, RI-MA MSA, the major industries are education and health services, professional and business services, and government.  In the Barnstable Town, MA MSA, the major industries are leisure and hospitality services, education and health services, and government.  </w:t>
      </w:r>
    </w:p>
    <w:p w14:paraId="73AF51D6" w14:textId="77777777" w:rsidR="00B707B7" w:rsidRPr="001D2881" w:rsidRDefault="00B707B7" w:rsidP="00B707B7">
      <w:pPr>
        <w:rPr>
          <w:bCs/>
          <w:iCs/>
        </w:rPr>
      </w:pPr>
    </w:p>
    <w:p w14:paraId="27E361E0" w14:textId="70B0E044" w:rsidR="00B707B7" w:rsidRPr="001D2881" w:rsidRDefault="00532DD3" w:rsidP="00B707B7">
      <w:r w:rsidRPr="00532DD3">
        <w:rPr>
          <w:bCs/>
          <w:iCs/>
        </w:rPr>
        <w:t xml:space="preserve">The analysis of small business loans under the Borrower Profile criterion compares the distribution of the bank’s small business loans to the distribution of businesses by gross annual revenue (GAR) level. </w:t>
      </w:r>
      <w:r w:rsidR="00B707B7" w:rsidRPr="001D2881">
        <w:rPr>
          <w:bCs/>
          <w:iCs/>
        </w:rPr>
        <w:t xml:space="preserve"> According to 2019 D&amp;B data, </w:t>
      </w:r>
      <w:r w:rsidR="00B707B7" w:rsidRPr="001D2881">
        <w:t xml:space="preserve">there were 53,104 non-farm businesses in the assessment area.  </w:t>
      </w:r>
      <w:r>
        <w:t>GAR</w:t>
      </w:r>
      <w:r w:rsidR="00B707B7" w:rsidRPr="001D2881">
        <w:t xml:space="preserve"> levels for these businesses are below.</w:t>
      </w:r>
    </w:p>
    <w:p w14:paraId="592E8DD7" w14:textId="77777777" w:rsidR="00B707B7" w:rsidRPr="001D2881" w:rsidRDefault="00B707B7" w:rsidP="00B707B7"/>
    <w:p w14:paraId="6A04452C" w14:textId="77777777" w:rsidR="00B707B7" w:rsidRPr="001D2881" w:rsidRDefault="00B707B7" w:rsidP="00B707B7">
      <w:pPr>
        <w:pStyle w:val="ListParagraph"/>
        <w:numPr>
          <w:ilvl w:val="0"/>
          <w:numId w:val="16"/>
        </w:numPr>
      </w:pPr>
      <w:r w:rsidRPr="001D2881">
        <w:t>84.9 percent have $1 million or less</w:t>
      </w:r>
    </w:p>
    <w:p w14:paraId="40DEA18B" w14:textId="1F6E31CF" w:rsidR="00B707B7" w:rsidRPr="001D2881" w:rsidRDefault="00B707B7" w:rsidP="00B707B7">
      <w:pPr>
        <w:pStyle w:val="ListParagraph"/>
        <w:numPr>
          <w:ilvl w:val="0"/>
          <w:numId w:val="16"/>
        </w:numPr>
      </w:pPr>
      <w:r w:rsidRPr="001D2881">
        <w:t>5.7 percent have more than $1 million</w:t>
      </w:r>
    </w:p>
    <w:p w14:paraId="37E8354D" w14:textId="2CB9F7AB" w:rsidR="00B707B7" w:rsidRPr="001D2881" w:rsidRDefault="00B707B7" w:rsidP="00B707B7">
      <w:pPr>
        <w:pStyle w:val="ListParagraph"/>
        <w:numPr>
          <w:ilvl w:val="0"/>
          <w:numId w:val="16"/>
        </w:numPr>
      </w:pPr>
      <w:r w:rsidRPr="001D2881">
        <w:t>9.4 percent have unknown revenues</w:t>
      </w:r>
    </w:p>
    <w:p w14:paraId="6251A2B6" w14:textId="77777777" w:rsidR="00B707B7" w:rsidRPr="001D2881" w:rsidRDefault="00B707B7" w:rsidP="00B707B7">
      <w:pPr>
        <w:tabs>
          <w:tab w:val="left" w:pos="1260"/>
        </w:tabs>
        <w:rPr>
          <w:b/>
          <w:bCs/>
          <w:iCs/>
          <w:u w:val="single"/>
        </w:rPr>
      </w:pPr>
    </w:p>
    <w:p w14:paraId="70DC14DA" w14:textId="77777777" w:rsidR="00B707B7" w:rsidRPr="001D2881" w:rsidRDefault="00B707B7" w:rsidP="00B707B7">
      <w:pPr>
        <w:tabs>
          <w:tab w:val="left" w:pos="1260"/>
        </w:tabs>
        <w:rPr>
          <w:b/>
          <w:bCs/>
          <w:iCs/>
        </w:rPr>
      </w:pPr>
      <w:r w:rsidRPr="001D2881">
        <w:rPr>
          <w:b/>
          <w:bCs/>
          <w:iCs/>
          <w:u w:val="single"/>
        </w:rPr>
        <w:t>Competition</w:t>
      </w:r>
    </w:p>
    <w:p w14:paraId="4618EF3F" w14:textId="77777777" w:rsidR="00B707B7" w:rsidRPr="001D2881" w:rsidRDefault="00B707B7" w:rsidP="00B707B7">
      <w:pPr>
        <w:tabs>
          <w:tab w:val="left" w:pos="1260"/>
        </w:tabs>
        <w:rPr>
          <w:b/>
          <w:bCs/>
          <w:iCs/>
        </w:rPr>
      </w:pPr>
    </w:p>
    <w:p w14:paraId="459F2E0F" w14:textId="2A478E73" w:rsidR="00B707B7" w:rsidRPr="001D2881" w:rsidRDefault="00B707B7" w:rsidP="00B707B7">
      <w:r w:rsidRPr="001D2881">
        <w:t xml:space="preserve">The assessment area is </w:t>
      </w:r>
      <w:r>
        <w:t>high</w:t>
      </w:r>
      <w:r w:rsidRPr="001D2881">
        <w:t>ly competitive for financial services.  According to FDIC Deposit Market Share data as of June 30, 2020, 27 financial institutions operat</w:t>
      </w:r>
      <w:r>
        <w:t>ed</w:t>
      </w:r>
      <w:r w:rsidRPr="001D2881">
        <w:t xml:space="preserve"> 204 full-service branches within the assessment area.</w:t>
      </w:r>
      <w:r>
        <w:t xml:space="preserve"> </w:t>
      </w:r>
      <w:r w:rsidRPr="001D2881">
        <w:t xml:space="preserve"> North Easton Savings Bank ranked 8</w:t>
      </w:r>
      <w:r w:rsidRPr="001D2881">
        <w:rPr>
          <w:vertAlign w:val="superscript"/>
        </w:rPr>
        <w:t>th</w:t>
      </w:r>
      <w:r w:rsidRPr="001D2881">
        <w:t xml:space="preserve"> with a 5.2 percent market share.  The top three financial institutions were </w:t>
      </w:r>
      <w:r>
        <w:t>two larger community banks and one national bank</w:t>
      </w:r>
      <w:r w:rsidR="00430FF4">
        <w:t xml:space="preserve">; they had a </w:t>
      </w:r>
      <w:r w:rsidRPr="001D2881">
        <w:t xml:space="preserve">combined market share of 42.7 percent. </w:t>
      </w:r>
    </w:p>
    <w:p w14:paraId="06B6DE0E" w14:textId="77777777" w:rsidR="00B707B7" w:rsidRPr="001D2881" w:rsidRDefault="00B707B7" w:rsidP="00B707B7"/>
    <w:p w14:paraId="30716214" w14:textId="0494EE69" w:rsidR="00B707B7" w:rsidRDefault="00B707B7" w:rsidP="00B707B7">
      <w:r w:rsidRPr="001D2881">
        <w:t xml:space="preserve">The assessment area is highly competitive for home mortgage lending activities.  According to </w:t>
      </w:r>
      <w:r w:rsidR="00532DD3">
        <w:t xml:space="preserve">2019 </w:t>
      </w:r>
      <w:r w:rsidRPr="001D2881">
        <w:t>aggregate data, 465 lenders originated or purchased 35,411 home mortgage loans within the assessment area.  North Easton Savings Bank ranked 31</w:t>
      </w:r>
      <w:r w:rsidRPr="001D2881">
        <w:rPr>
          <w:vertAlign w:val="superscript"/>
        </w:rPr>
        <w:t>st</w:t>
      </w:r>
      <w:r w:rsidRPr="001D2881">
        <w:t xml:space="preserve"> with a 1.0 percent market share.  The top three financial institutions were nationwide institutions with a combined market share of 14.4 percent. </w:t>
      </w:r>
    </w:p>
    <w:p w14:paraId="41000BCE" w14:textId="7837002C" w:rsidR="00B707B7" w:rsidRPr="001D2881" w:rsidRDefault="00B707B7" w:rsidP="00B707B7"/>
    <w:p w14:paraId="39D1B115" w14:textId="77777777" w:rsidR="00B707B7" w:rsidRPr="001D2881" w:rsidRDefault="00B707B7" w:rsidP="00B707B7">
      <w:pPr>
        <w:rPr>
          <w:b/>
        </w:rPr>
      </w:pPr>
      <w:r w:rsidRPr="001D2881">
        <w:rPr>
          <w:b/>
          <w:u w:val="single"/>
        </w:rPr>
        <w:t>Community Contacts</w:t>
      </w:r>
      <w:r w:rsidRPr="001D2881">
        <w:rPr>
          <w:b/>
        </w:rPr>
        <w:t xml:space="preserve"> </w:t>
      </w:r>
    </w:p>
    <w:p w14:paraId="3C8344E7" w14:textId="77777777" w:rsidR="00B707B7" w:rsidRPr="001D2881" w:rsidRDefault="00B707B7" w:rsidP="00B707B7">
      <w:pPr>
        <w:rPr>
          <w:bCs/>
        </w:rPr>
      </w:pPr>
    </w:p>
    <w:p w14:paraId="12F71655" w14:textId="3689CFCA" w:rsidR="00B707B7" w:rsidRPr="001D2881" w:rsidRDefault="00B707B7" w:rsidP="00B707B7">
      <w:r w:rsidRPr="001D2881">
        <w:t>As part of the evaluation process, examiners contact third parties active in the assessment area to assist in identifying the credit and community development needs</w:t>
      </w:r>
      <w:r w:rsidR="00430FF4">
        <w:t xml:space="preserve"> of the area</w:t>
      </w:r>
      <w:r w:rsidRPr="001D2881">
        <w:t xml:space="preserve">.  This information </w:t>
      </w:r>
      <w:r w:rsidRPr="001D2881">
        <w:lastRenderedPageBreak/>
        <w:t xml:space="preserve">helps determine whether local financial institutions are responsive to these needs.  </w:t>
      </w:r>
      <w:r w:rsidR="00532DD3" w:rsidRPr="00532DD3">
        <w:t>It also shows available credit and community development opportunities</w:t>
      </w:r>
      <w:r w:rsidRPr="001D2881">
        <w:t xml:space="preserve">.  As part of this examination, examiners </w:t>
      </w:r>
      <w:r>
        <w:t>used</w:t>
      </w:r>
      <w:r w:rsidRPr="001D2881">
        <w:t xml:space="preserve"> two contacts. </w:t>
      </w:r>
    </w:p>
    <w:p w14:paraId="2C206823" w14:textId="77777777" w:rsidR="00B707B7" w:rsidRPr="001D2881" w:rsidRDefault="00B707B7" w:rsidP="00B707B7"/>
    <w:p w14:paraId="7247D576" w14:textId="7AF42FDC" w:rsidR="00B707B7" w:rsidRPr="001D2881" w:rsidRDefault="00B707B7" w:rsidP="00B707B7">
      <w:pPr>
        <w:rPr>
          <w:sz w:val="22"/>
          <w:szCs w:val="22"/>
        </w:rPr>
      </w:pPr>
      <w:r w:rsidRPr="001D2881">
        <w:t>Examiners contacted a representative of a</w:t>
      </w:r>
      <w:r>
        <w:t>n affordable</w:t>
      </w:r>
      <w:r w:rsidRPr="001D2881">
        <w:t xml:space="preserve"> housing </w:t>
      </w:r>
      <w:r>
        <w:t>organization</w:t>
      </w:r>
      <w:r w:rsidRPr="001D2881">
        <w:t xml:space="preserve"> in </w:t>
      </w:r>
      <w:r>
        <w:t>the area</w:t>
      </w:r>
      <w:r w:rsidRPr="001D2881">
        <w:t>.  The contact identified</w:t>
      </w:r>
      <w:r>
        <w:t xml:space="preserve"> the</w:t>
      </w:r>
      <w:r w:rsidRPr="001D2881">
        <w:t xml:space="preserve"> significant need for affordable housing and community services.  The need for affordable housing includes rental housing and homes for purchase.  </w:t>
      </w:r>
      <w:r>
        <w:t>For community services, t</w:t>
      </w:r>
      <w:r w:rsidRPr="001D2881">
        <w:t xml:space="preserve">he contact </w:t>
      </w:r>
      <w:r>
        <w:t>highlighted</w:t>
      </w:r>
      <w:r w:rsidRPr="001D2881">
        <w:t xml:space="preserve"> </w:t>
      </w:r>
      <w:r>
        <w:t xml:space="preserve">the need for </w:t>
      </w:r>
      <w:r w:rsidRPr="001D2881">
        <w:t>credit repair programs and financial education.</w:t>
      </w:r>
    </w:p>
    <w:p w14:paraId="48D50C66" w14:textId="77777777" w:rsidR="00B707B7" w:rsidRPr="001D2881" w:rsidRDefault="00B707B7" w:rsidP="00B707B7">
      <w:pPr>
        <w:rPr>
          <w:bCs/>
        </w:rPr>
      </w:pPr>
    </w:p>
    <w:p w14:paraId="30497AB3" w14:textId="77777777" w:rsidR="00B707B7" w:rsidRPr="001D2881" w:rsidRDefault="00B707B7" w:rsidP="00B707B7">
      <w:pPr>
        <w:rPr>
          <w:bCs/>
          <w:iCs/>
          <w:highlight w:val="yellow"/>
        </w:rPr>
      </w:pPr>
      <w:r w:rsidRPr="001D2881">
        <w:t>Examiners also contacted a representative of a</w:t>
      </w:r>
      <w:r>
        <w:t>n</w:t>
      </w:r>
      <w:r w:rsidRPr="001D2881">
        <w:t xml:space="preserve"> economic development corporation located in Brockton.  The contact identified opportunities for supporting small businesses </w:t>
      </w:r>
      <w:r>
        <w:t>such as</w:t>
      </w:r>
      <w:r w:rsidRPr="001D2881">
        <w:t xml:space="preserve"> invest</w:t>
      </w:r>
      <w:r>
        <w:t>ing</w:t>
      </w:r>
      <w:r w:rsidRPr="001D2881">
        <w:t xml:space="preserve"> in economic development funds.  The contact also indicated the need for job training </w:t>
      </w:r>
      <w:r>
        <w:t xml:space="preserve">based on </w:t>
      </w:r>
      <w:r w:rsidRPr="001D2881">
        <w:t>high</w:t>
      </w:r>
      <w:r>
        <w:t>er</w:t>
      </w:r>
      <w:r w:rsidRPr="001D2881">
        <w:t xml:space="preserve"> poverty and unemployment </w:t>
      </w:r>
      <w:r>
        <w:t>levels</w:t>
      </w:r>
      <w:r w:rsidRPr="001D2881">
        <w:t>.</w:t>
      </w:r>
    </w:p>
    <w:p w14:paraId="0DF4F01C" w14:textId="77777777" w:rsidR="00B707B7" w:rsidRDefault="00B707B7" w:rsidP="00B707B7"/>
    <w:p w14:paraId="08AC15CD" w14:textId="77777777" w:rsidR="00B707B7" w:rsidRDefault="00B707B7" w:rsidP="00B707B7">
      <w:pPr>
        <w:rPr>
          <w:b/>
          <w:u w:val="single"/>
        </w:rPr>
      </w:pPr>
      <w:r w:rsidRPr="001D2881">
        <w:rPr>
          <w:b/>
          <w:u w:val="single"/>
        </w:rPr>
        <w:t>Credit and Community Development Needs and Opportunities</w:t>
      </w:r>
    </w:p>
    <w:p w14:paraId="4CCD12B8" w14:textId="77777777" w:rsidR="00B707B7" w:rsidRPr="001D2881" w:rsidRDefault="00B707B7" w:rsidP="00B707B7">
      <w:pPr>
        <w:rPr>
          <w:b/>
          <w:u w:val="single"/>
        </w:rPr>
      </w:pPr>
    </w:p>
    <w:p w14:paraId="7253EDFD" w14:textId="79CDD2E2" w:rsidR="00B707B7" w:rsidRPr="00AE1F05" w:rsidRDefault="00B707B7" w:rsidP="00B707B7">
      <w:r w:rsidRPr="000E69F5">
        <w:t>Considering information from community contact</w:t>
      </w:r>
      <w:r>
        <w:t xml:space="preserve">s and bank </w:t>
      </w:r>
      <w:r w:rsidRPr="000E69F5">
        <w:t>management, a</w:t>
      </w:r>
      <w:r>
        <w:t>s well as</w:t>
      </w:r>
      <w:r w:rsidRPr="000E69F5">
        <w:t xml:space="preserve"> demographic and economic data, examiners determined that </w:t>
      </w:r>
      <w:r>
        <w:t>affordable housing</w:t>
      </w:r>
      <w:r w:rsidRPr="000E69F5">
        <w:t xml:space="preserve"> </w:t>
      </w:r>
      <w:r>
        <w:t>and community services are</w:t>
      </w:r>
      <w:r w:rsidRPr="000E69F5">
        <w:t xml:space="preserve"> the primary community </w:t>
      </w:r>
      <w:r>
        <w:t>development opportunities</w:t>
      </w:r>
      <w:r w:rsidRPr="000E69F5">
        <w:t xml:space="preserve"> of the assessment area.  Examiners also identified a need for </w:t>
      </w:r>
      <w:r>
        <w:t xml:space="preserve">financial education and non-traditional </w:t>
      </w:r>
      <w:r w:rsidRPr="000E69F5">
        <w:t xml:space="preserve">credit products </w:t>
      </w:r>
      <w:r>
        <w:t>for low- and moderate-</w:t>
      </w:r>
      <w:r w:rsidR="00FB0902">
        <w:t xml:space="preserve">income </w:t>
      </w:r>
      <w:r>
        <w:t>individuals.</w:t>
      </w:r>
    </w:p>
    <w:p w14:paraId="18DDF840" w14:textId="77777777" w:rsidR="00B707B7" w:rsidRPr="001D2881" w:rsidRDefault="00B707B7" w:rsidP="00B707B7">
      <w:pPr>
        <w:rPr>
          <w:bCs/>
          <w:spacing w:val="-3"/>
        </w:rPr>
      </w:pPr>
    </w:p>
    <w:p w14:paraId="1689741D" w14:textId="77777777" w:rsidR="00B707B7" w:rsidRDefault="00B707B7" w:rsidP="00B707B7">
      <w:pPr>
        <w:rPr>
          <w:b/>
          <w:bCs/>
          <w:spacing w:val="-3"/>
          <w:sz w:val="28"/>
          <w:szCs w:val="20"/>
        </w:rPr>
      </w:pPr>
      <w:r>
        <w:br w:type="page"/>
      </w:r>
    </w:p>
    <w:p w14:paraId="32382D3D" w14:textId="77777777" w:rsidR="00B707B7" w:rsidRPr="001D2881" w:rsidRDefault="00B707B7" w:rsidP="00B707B7">
      <w:pPr>
        <w:pStyle w:val="Heading1"/>
      </w:pPr>
      <w:bookmarkStart w:id="5" w:name="_Toc62129962"/>
      <w:r w:rsidRPr="001D2881">
        <w:lastRenderedPageBreak/>
        <w:t>CONCLUSIONS ON PERFORMANCE CRITERIA</w:t>
      </w:r>
      <w:bookmarkEnd w:id="5"/>
    </w:p>
    <w:p w14:paraId="302C598C" w14:textId="77777777" w:rsidR="00B707B7" w:rsidRPr="001D2881" w:rsidRDefault="00B707B7" w:rsidP="00B707B7"/>
    <w:p w14:paraId="30742847" w14:textId="77777777" w:rsidR="00B707B7" w:rsidRPr="001D2881" w:rsidRDefault="00B707B7" w:rsidP="00B707B7">
      <w:pPr>
        <w:rPr>
          <w:b/>
          <w:bCs/>
        </w:rPr>
      </w:pPr>
      <w:r w:rsidRPr="001D2881">
        <w:rPr>
          <w:b/>
          <w:bCs/>
        </w:rPr>
        <w:t>LENDING TEST</w:t>
      </w:r>
    </w:p>
    <w:p w14:paraId="7339EC27" w14:textId="77777777" w:rsidR="00B707B7" w:rsidRPr="001D2881" w:rsidRDefault="00B707B7" w:rsidP="00B707B7">
      <w:pPr>
        <w:widowControl w:val="0"/>
        <w:rPr>
          <w:bCs/>
          <w:spacing w:val="-3"/>
        </w:rPr>
      </w:pPr>
    </w:p>
    <w:p w14:paraId="1025957F" w14:textId="77777777" w:rsidR="00B707B7" w:rsidRPr="001D2881" w:rsidRDefault="00B707B7" w:rsidP="00B707B7">
      <w:pPr>
        <w:ind w:right="-360"/>
      </w:pPr>
      <w:r w:rsidRPr="001D2881">
        <w:t xml:space="preserve">North Easton Savings Bank demonstrated reasonable performance under the Lending Test.  The bank’s </w:t>
      </w:r>
      <w:r>
        <w:t>performance under each criterion</w:t>
      </w:r>
      <w:r w:rsidRPr="001D2881">
        <w:t xml:space="preserve"> support</w:t>
      </w:r>
      <w:r>
        <w:t>s</w:t>
      </w:r>
      <w:r w:rsidRPr="001D2881">
        <w:t xml:space="preserve"> this conclusion.   </w:t>
      </w:r>
    </w:p>
    <w:p w14:paraId="0CE4F066" w14:textId="77777777" w:rsidR="00B707B7" w:rsidRPr="001D2881" w:rsidRDefault="00B707B7" w:rsidP="00B707B7">
      <w:pPr>
        <w:rPr>
          <w:bCs/>
          <w:spacing w:val="-3"/>
        </w:rPr>
      </w:pPr>
    </w:p>
    <w:p w14:paraId="45E72291" w14:textId="77777777" w:rsidR="00B707B7" w:rsidRPr="001D2881" w:rsidRDefault="00B707B7" w:rsidP="00B707B7">
      <w:pPr>
        <w:rPr>
          <w:b/>
          <w:bCs/>
          <w:spacing w:val="-3"/>
          <w:u w:val="single"/>
        </w:rPr>
      </w:pPr>
      <w:r w:rsidRPr="001D2881">
        <w:rPr>
          <w:b/>
          <w:bCs/>
          <w:spacing w:val="-3"/>
          <w:u w:val="single"/>
        </w:rPr>
        <w:t>Loan-to-Deposit Ratio</w:t>
      </w:r>
    </w:p>
    <w:p w14:paraId="4F25E047" w14:textId="77777777" w:rsidR="00B707B7" w:rsidRPr="001D2881" w:rsidRDefault="00B707B7" w:rsidP="00B707B7"/>
    <w:p w14:paraId="7B19E832" w14:textId="76F506D0" w:rsidR="00B707B7" w:rsidRPr="001D2881" w:rsidRDefault="00B707B7" w:rsidP="00B707B7">
      <w:r w:rsidRPr="001D2881">
        <w:t>The bank’s net LTD ratio is reasonable given the institution’s size, financial condition, and assessment area credit needs.  The bank’s net LTD ratio</w:t>
      </w:r>
      <w:r w:rsidR="00716F49">
        <w:t>,</w:t>
      </w:r>
      <w:r w:rsidRPr="001D2881">
        <w:t xml:space="preserve"> </w:t>
      </w:r>
      <w:r w:rsidR="00716F49">
        <w:t xml:space="preserve">calculated from Call Report data, </w:t>
      </w:r>
      <w:r w:rsidRPr="001D2881">
        <w:t>averaged 82.4 percent over the past twelve quarters,</w:t>
      </w:r>
      <w:r w:rsidR="00716F49">
        <w:t xml:space="preserve"> from December 31, 2017 to September 30, 2020.  The net LTD ranged</w:t>
      </w:r>
      <w:r w:rsidRPr="001D2881">
        <w:t xml:space="preserve"> from a low of 77.3 percent as of September 30, 2020 to a high of 86.7 percent as of June 30, 2019.  The bank’s net LTD ratio has been relatively stable over the evaluation period, with a slight increase in 2019 due to the merger with Mutual Bank.  In 2020, an influx of deposits</w:t>
      </w:r>
      <w:r>
        <w:t xml:space="preserve"> </w:t>
      </w:r>
      <w:r w:rsidRPr="001D2881">
        <w:t>during</w:t>
      </w:r>
      <w:r>
        <w:t xml:space="preserve"> the COVID-19 pandemic h</w:t>
      </w:r>
      <w:r w:rsidRPr="001D2881">
        <w:t>as led to a downward trend in the net LTD ratio, from 85.8 percent as of March 30, 2020 to 77.3 percent as of September 30, 2020.</w:t>
      </w:r>
    </w:p>
    <w:p w14:paraId="2BEDAF4A" w14:textId="77777777" w:rsidR="00B707B7" w:rsidRPr="001D2881" w:rsidRDefault="00B707B7" w:rsidP="00B707B7"/>
    <w:p w14:paraId="586A7DBA" w14:textId="25E7B443" w:rsidR="00B707B7" w:rsidRPr="001D2881" w:rsidRDefault="00B707B7" w:rsidP="00B707B7">
      <w:r w:rsidRPr="001D2881">
        <w:t>As shown in the table below, examiners compared the bank’s</w:t>
      </w:r>
      <w:r w:rsidR="00532DD3">
        <w:t xml:space="preserve"> average</w:t>
      </w:r>
      <w:r w:rsidRPr="001D2881">
        <w:t xml:space="preserve"> net LTD</w:t>
      </w:r>
      <w:r>
        <w:t xml:space="preserve"> ratio</w:t>
      </w:r>
      <w:r w:rsidRPr="001D2881">
        <w:t xml:space="preserve"> to </w:t>
      </w:r>
      <w:r w:rsidR="00532DD3">
        <w:t xml:space="preserve">average </w:t>
      </w:r>
      <w:r w:rsidR="00B71383">
        <w:t xml:space="preserve">net </w:t>
      </w:r>
      <w:r>
        <w:t>LTD ratios</w:t>
      </w:r>
      <w:r w:rsidRPr="001D2881">
        <w:t xml:space="preserve"> from similarly situated institutions based on asset size and market area.  </w:t>
      </w:r>
      <w:r>
        <w:t>Although its ratio is lower than comparable banks, it is still within a reasonable range considering the bank sells loans on the secondary market</w:t>
      </w:r>
      <w:r w:rsidRPr="001D2881">
        <w:t xml:space="preserve">.  </w:t>
      </w:r>
    </w:p>
    <w:p w14:paraId="08662C3B" w14:textId="77777777" w:rsidR="00B707B7" w:rsidRPr="001D2881" w:rsidRDefault="00B707B7" w:rsidP="00B707B7">
      <w:r w:rsidRPr="001D288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1700"/>
        <w:gridCol w:w="2255"/>
      </w:tblGrid>
      <w:tr w:rsidR="00B707B7" w:rsidRPr="001D2881" w14:paraId="7CCC45FD" w14:textId="77777777" w:rsidTr="00E444B1">
        <w:trPr>
          <w:trHeight w:hRule="exact" w:val="262"/>
          <w:jc w:val="center"/>
        </w:trPr>
        <w:tc>
          <w:tcPr>
            <w:tcW w:w="0" w:type="auto"/>
            <w:gridSpan w:val="3"/>
            <w:vAlign w:val="center"/>
          </w:tcPr>
          <w:p w14:paraId="52BB76E0" w14:textId="77777777" w:rsidR="00B707B7" w:rsidRPr="001D2881" w:rsidRDefault="00B707B7" w:rsidP="00E444B1">
            <w:pPr>
              <w:keepNext/>
              <w:jc w:val="center"/>
              <w:rPr>
                <w:b/>
                <w:sz w:val="20"/>
                <w:szCs w:val="20"/>
              </w:rPr>
            </w:pPr>
            <w:r w:rsidRPr="001D2881">
              <w:rPr>
                <w:b/>
                <w:sz w:val="20"/>
                <w:szCs w:val="20"/>
              </w:rPr>
              <w:t>Loan-to-Deposit Ratio Comparison</w:t>
            </w:r>
          </w:p>
        </w:tc>
      </w:tr>
      <w:tr w:rsidR="00B707B7" w:rsidRPr="001D2881" w14:paraId="388E5F22" w14:textId="77777777" w:rsidTr="00E444B1">
        <w:trPr>
          <w:trHeight w:hRule="exact" w:val="973"/>
          <w:jc w:val="center"/>
        </w:trPr>
        <w:tc>
          <w:tcPr>
            <w:tcW w:w="0" w:type="auto"/>
            <w:vAlign w:val="center"/>
          </w:tcPr>
          <w:p w14:paraId="43A5FA37" w14:textId="77777777" w:rsidR="00B707B7" w:rsidRPr="001D2881" w:rsidRDefault="00B707B7" w:rsidP="00E444B1">
            <w:pPr>
              <w:keepNext/>
              <w:rPr>
                <w:b/>
                <w:sz w:val="20"/>
                <w:szCs w:val="20"/>
              </w:rPr>
            </w:pPr>
            <w:r w:rsidRPr="001D2881">
              <w:rPr>
                <w:b/>
                <w:sz w:val="20"/>
                <w:szCs w:val="20"/>
              </w:rPr>
              <w:t>Bank Name</w:t>
            </w:r>
          </w:p>
        </w:tc>
        <w:tc>
          <w:tcPr>
            <w:tcW w:w="0" w:type="auto"/>
            <w:vAlign w:val="center"/>
          </w:tcPr>
          <w:p w14:paraId="517CDAD5" w14:textId="77777777" w:rsidR="00B707B7" w:rsidRPr="001D2881" w:rsidRDefault="00B707B7" w:rsidP="00E444B1">
            <w:pPr>
              <w:keepNext/>
              <w:jc w:val="center"/>
              <w:rPr>
                <w:b/>
                <w:sz w:val="20"/>
                <w:szCs w:val="20"/>
              </w:rPr>
            </w:pPr>
            <w:r w:rsidRPr="001D2881">
              <w:rPr>
                <w:b/>
                <w:sz w:val="20"/>
                <w:szCs w:val="20"/>
              </w:rPr>
              <w:t>Total Assets as of</w:t>
            </w:r>
          </w:p>
          <w:p w14:paraId="3DE408D4" w14:textId="77777777" w:rsidR="00B707B7" w:rsidRPr="001D2881" w:rsidRDefault="00B707B7" w:rsidP="00E444B1">
            <w:pPr>
              <w:keepNext/>
              <w:jc w:val="center"/>
              <w:rPr>
                <w:b/>
                <w:sz w:val="20"/>
                <w:szCs w:val="20"/>
              </w:rPr>
            </w:pPr>
            <w:r>
              <w:rPr>
                <w:b/>
                <w:sz w:val="20"/>
                <w:szCs w:val="20"/>
              </w:rPr>
              <w:t>9/30/2020</w:t>
            </w:r>
          </w:p>
          <w:p w14:paraId="7033729F" w14:textId="77777777" w:rsidR="00B707B7" w:rsidRPr="001D2881" w:rsidRDefault="00B707B7" w:rsidP="00E444B1">
            <w:pPr>
              <w:keepNext/>
              <w:jc w:val="center"/>
              <w:rPr>
                <w:b/>
                <w:sz w:val="20"/>
                <w:szCs w:val="20"/>
              </w:rPr>
            </w:pPr>
            <w:r w:rsidRPr="001D2881">
              <w:rPr>
                <w:b/>
                <w:sz w:val="20"/>
                <w:szCs w:val="20"/>
              </w:rPr>
              <w:t xml:space="preserve"> $(000s)</w:t>
            </w:r>
          </w:p>
        </w:tc>
        <w:tc>
          <w:tcPr>
            <w:tcW w:w="0" w:type="auto"/>
            <w:vAlign w:val="center"/>
          </w:tcPr>
          <w:p w14:paraId="00C13427" w14:textId="77777777" w:rsidR="00B707B7" w:rsidRPr="001D2881" w:rsidRDefault="00B707B7" w:rsidP="00E444B1">
            <w:pPr>
              <w:keepNext/>
              <w:jc w:val="center"/>
              <w:rPr>
                <w:b/>
                <w:sz w:val="20"/>
                <w:szCs w:val="20"/>
              </w:rPr>
            </w:pPr>
            <w:r w:rsidRPr="001D2881">
              <w:rPr>
                <w:b/>
                <w:sz w:val="20"/>
                <w:szCs w:val="20"/>
              </w:rPr>
              <w:t xml:space="preserve">Average Net LTD Ratio </w:t>
            </w:r>
          </w:p>
          <w:p w14:paraId="0EFA6F59" w14:textId="77777777" w:rsidR="00B707B7" w:rsidRPr="001D2881" w:rsidRDefault="00B707B7" w:rsidP="00E444B1">
            <w:pPr>
              <w:keepNext/>
              <w:jc w:val="center"/>
              <w:rPr>
                <w:b/>
                <w:sz w:val="20"/>
                <w:szCs w:val="20"/>
                <w:highlight w:val="yellow"/>
              </w:rPr>
            </w:pPr>
            <w:r w:rsidRPr="001D2881">
              <w:rPr>
                <w:b/>
                <w:sz w:val="20"/>
                <w:szCs w:val="20"/>
              </w:rPr>
              <w:t xml:space="preserve"> (%)</w:t>
            </w:r>
          </w:p>
        </w:tc>
      </w:tr>
      <w:tr w:rsidR="00B707B7" w:rsidRPr="001D2881" w14:paraId="3C24BD47" w14:textId="77777777" w:rsidTr="00E444B1">
        <w:trPr>
          <w:trHeight w:hRule="exact" w:val="288"/>
          <w:jc w:val="center"/>
        </w:trPr>
        <w:tc>
          <w:tcPr>
            <w:tcW w:w="0" w:type="auto"/>
            <w:vAlign w:val="center"/>
          </w:tcPr>
          <w:p w14:paraId="48E46A5D" w14:textId="77777777" w:rsidR="00B707B7" w:rsidRPr="001D2881" w:rsidRDefault="00B707B7" w:rsidP="00E444B1">
            <w:pPr>
              <w:keepNext/>
              <w:rPr>
                <w:b/>
                <w:sz w:val="20"/>
                <w:szCs w:val="20"/>
              </w:rPr>
            </w:pPr>
            <w:r w:rsidRPr="001D2881">
              <w:rPr>
                <w:b/>
                <w:sz w:val="20"/>
                <w:szCs w:val="20"/>
              </w:rPr>
              <w:t>North Easton Savings Bank</w:t>
            </w:r>
          </w:p>
        </w:tc>
        <w:tc>
          <w:tcPr>
            <w:tcW w:w="0" w:type="auto"/>
            <w:vAlign w:val="bottom"/>
          </w:tcPr>
          <w:p w14:paraId="7DD14D32" w14:textId="77777777" w:rsidR="00B707B7" w:rsidRPr="001D2881" w:rsidRDefault="00B707B7" w:rsidP="00E444B1">
            <w:pPr>
              <w:keepNext/>
              <w:jc w:val="center"/>
              <w:rPr>
                <w:b/>
                <w:sz w:val="20"/>
                <w:szCs w:val="20"/>
              </w:rPr>
            </w:pPr>
            <w:r w:rsidRPr="001D2881">
              <w:rPr>
                <w:b/>
                <w:sz w:val="20"/>
                <w:szCs w:val="20"/>
              </w:rPr>
              <w:t>1,251,586</w:t>
            </w:r>
          </w:p>
        </w:tc>
        <w:tc>
          <w:tcPr>
            <w:tcW w:w="0" w:type="auto"/>
            <w:vAlign w:val="center"/>
          </w:tcPr>
          <w:p w14:paraId="618B6814" w14:textId="77777777" w:rsidR="00B707B7" w:rsidRPr="001D2881" w:rsidRDefault="00B707B7" w:rsidP="00E444B1">
            <w:pPr>
              <w:keepNext/>
              <w:jc w:val="center"/>
              <w:rPr>
                <w:b/>
                <w:sz w:val="20"/>
                <w:szCs w:val="20"/>
              </w:rPr>
            </w:pPr>
            <w:r w:rsidRPr="001D2881">
              <w:rPr>
                <w:b/>
                <w:sz w:val="20"/>
                <w:szCs w:val="20"/>
              </w:rPr>
              <w:t>82.4</w:t>
            </w:r>
          </w:p>
        </w:tc>
      </w:tr>
      <w:tr w:rsidR="00B707B7" w:rsidRPr="001D2881" w14:paraId="6C2A057B" w14:textId="77777777" w:rsidTr="00E444B1">
        <w:trPr>
          <w:trHeight w:hRule="exact" w:val="288"/>
          <w:jc w:val="center"/>
        </w:trPr>
        <w:tc>
          <w:tcPr>
            <w:tcW w:w="0" w:type="auto"/>
            <w:vAlign w:val="center"/>
          </w:tcPr>
          <w:p w14:paraId="687E29DA" w14:textId="77777777" w:rsidR="00B707B7" w:rsidRPr="001D2881" w:rsidRDefault="00B707B7" w:rsidP="00E444B1">
            <w:pPr>
              <w:keepNext/>
              <w:rPr>
                <w:sz w:val="20"/>
                <w:szCs w:val="20"/>
              </w:rPr>
            </w:pPr>
            <w:r w:rsidRPr="001D2881">
              <w:rPr>
                <w:sz w:val="20"/>
                <w:szCs w:val="20"/>
              </w:rPr>
              <w:t>Bank Five</w:t>
            </w:r>
          </w:p>
        </w:tc>
        <w:tc>
          <w:tcPr>
            <w:tcW w:w="0" w:type="auto"/>
            <w:vAlign w:val="bottom"/>
          </w:tcPr>
          <w:p w14:paraId="4B1880F6" w14:textId="77777777" w:rsidR="00B707B7" w:rsidRPr="001D2881" w:rsidRDefault="00B707B7" w:rsidP="00E444B1">
            <w:pPr>
              <w:keepNext/>
              <w:jc w:val="center"/>
              <w:rPr>
                <w:sz w:val="20"/>
                <w:szCs w:val="20"/>
              </w:rPr>
            </w:pPr>
            <w:r w:rsidRPr="001D2881">
              <w:rPr>
                <w:sz w:val="20"/>
                <w:szCs w:val="20"/>
              </w:rPr>
              <w:t>1,216,888</w:t>
            </w:r>
          </w:p>
        </w:tc>
        <w:tc>
          <w:tcPr>
            <w:tcW w:w="0" w:type="auto"/>
            <w:vAlign w:val="center"/>
          </w:tcPr>
          <w:p w14:paraId="0618455F" w14:textId="77777777" w:rsidR="00B707B7" w:rsidRPr="001D2881" w:rsidRDefault="00B707B7" w:rsidP="00E444B1">
            <w:pPr>
              <w:keepNext/>
              <w:jc w:val="center"/>
              <w:rPr>
                <w:sz w:val="20"/>
                <w:szCs w:val="20"/>
              </w:rPr>
            </w:pPr>
            <w:r w:rsidRPr="001D2881">
              <w:rPr>
                <w:sz w:val="20"/>
                <w:szCs w:val="20"/>
              </w:rPr>
              <w:t>88.9</w:t>
            </w:r>
          </w:p>
        </w:tc>
      </w:tr>
      <w:tr w:rsidR="00B707B7" w:rsidRPr="001D2881" w14:paraId="1564362C" w14:textId="77777777" w:rsidTr="00E444B1">
        <w:trPr>
          <w:trHeight w:hRule="exact" w:val="288"/>
          <w:jc w:val="center"/>
        </w:trPr>
        <w:tc>
          <w:tcPr>
            <w:tcW w:w="0" w:type="auto"/>
            <w:vAlign w:val="center"/>
          </w:tcPr>
          <w:p w14:paraId="232133D3" w14:textId="77777777" w:rsidR="00B707B7" w:rsidRPr="001D2881" w:rsidRDefault="00B707B7" w:rsidP="00E444B1">
            <w:pPr>
              <w:keepNext/>
              <w:rPr>
                <w:sz w:val="20"/>
                <w:szCs w:val="20"/>
              </w:rPr>
            </w:pPr>
            <w:r w:rsidRPr="001D2881">
              <w:rPr>
                <w:sz w:val="20"/>
                <w:szCs w:val="20"/>
              </w:rPr>
              <w:t>Bridgewater Savings Bank</w:t>
            </w:r>
          </w:p>
        </w:tc>
        <w:tc>
          <w:tcPr>
            <w:tcW w:w="0" w:type="auto"/>
            <w:vAlign w:val="bottom"/>
          </w:tcPr>
          <w:p w14:paraId="4BCDEE1C" w14:textId="77777777" w:rsidR="00B707B7" w:rsidRPr="001D2881" w:rsidRDefault="00B707B7" w:rsidP="00E444B1">
            <w:pPr>
              <w:keepNext/>
              <w:jc w:val="center"/>
              <w:rPr>
                <w:sz w:val="20"/>
                <w:szCs w:val="20"/>
              </w:rPr>
            </w:pPr>
            <w:r w:rsidRPr="001D2881">
              <w:rPr>
                <w:sz w:val="20"/>
                <w:szCs w:val="20"/>
              </w:rPr>
              <w:t>712,150</w:t>
            </w:r>
          </w:p>
        </w:tc>
        <w:tc>
          <w:tcPr>
            <w:tcW w:w="0" w:type="auto"/>
            <w:vAlign w:val="center"/>
          </w:tcPr>
          <w:p w14:paraId="36347473" w14:textId="77777777" w:rsidR="00B707B7" w:rsidRPr="001D2881" w:rsidRDefault="00B707B7" w:rsidP="00E444B1">
            <w:pPr>
              <w:keepNext/>
              <w:jc w:val="center"/>
              <w:rPr>
                <w:sz w:val="20"/>
                <w:szCs w:val="20"/>
              </w:rPr>
            </w:pPr>
            <w:r w:rsidRPr="001D2881">
              <w:rPr>
                <w:sz w:val="20"/>
                <w:szCs w:val="20"/>
              </w:rPr>
              <w:t>88.1</w:t>
            </w:r>
          </w:p>
        </w:tc>
      </w:tr>
      <w:tr w:rsidR="00B707B7" w:rsidRPr="001D2881" w14:paraId="0C2F37B8" w14:textId="77777777" w:rsidTr="00E444B1">
        <w:trPr>
          <w:trHeight w:hRule="exact" w:val="288"/>
          <w:jc w:val="center"/>
        </w:trPr>
        <w:tc>
          <w:tcPr>
            <w:tcW w:w="0" w:type="auto"/>
            <w:vAlign w:val="center"/>
          </w:tcPr>
          <w:p w14:paraId="407EFA05" w14:textId="77777777" w:rsidR="00B707B7" w:rsidRPr="001D2881" w:rsidRDefault="00B707B7" w:rsidP="00E444B1">
            <w:pPr>
              <w:keepNext/>
              <w:rPr>
                <w:sz w:val="20"/>
                <w:szCs w:val="20"/>
              </w:rPr>
            </w:pPr>
            <w:r w:rsidRPr="001D2881">
              <w:rPr>
                <w:sz w:val="20"/>
                <w:szCs w:val="20"/>
              </w:rPr>
              <w:t>Norwood Bank</w:t>
            </w:r>
          </w:p>
        </w:tc>
        <w:tc>
          <w:tcPr>
            <w:tcW w:w="0" w:type="auto"/>
            <w:vAlign w:val="bottom"/>
          </w:tcPr>
          <w:p w14:paraId="624A68F5" w14:textId="77777777" w:rsidR="00B707B7" w:rsidRPr="001D2881" w:rsidRDefault="00B707B7" w:rsidP="00E444B1">
            <w:pPr>
              <w:keepNext/>
              <w:jc w:val="center"/>
              <w:rPr>
                <w:sz w:val="20"/>
                <w:szCs w:val="20"/>
              </w:rPr>
            </w:pPr>
            <w:r w:rsidRPr="001D2881">
              <w:rPr>
                <w:sz w:val="20"/>
                <w:szCs w:val="20"/>
              </w:rPr>
              <w:t>628,903</w:t>
            </w:r>
          </w:p>
        </w:tc>
        <w:tc>
          <w:tcPr>
            <w:tcW w:w="0" w:type="auto"/>
            <w:vAlign w:val="center"/>
          </w:tcPr>
          <w:p w14:paraId="5BA9625C" w14:textId="77777777" w:rsidR="00B707B7" w:rsidRPr="001D2881" w:rsidRDefault="00B707B7" w:rsidP="00E444B1">
            <w:pPr>
              <w:keepNext/>
              <w:jc w:val="center"/>
              <w:rPr>
                <w:sz w:val="20"/>
                <w:szCs w:val="20"/>
              </w:rPr>
            </w:pPr>
            <w:r w:rsidRPr="001D2881">
              <w:rPr>
                <w:sz w:val="20"/>
                <w:szCs w:val="20"/>
              </w:rPr>
              <w:t>100.6</w:t>
            </w:r>
          </w:p>
        </w:tc>
      </w:tr>
      <w:tr w:rsidR="00B707B7" w:rsidRPr="001D2881" w14:paraId="6AC88191" w14:textId="77777777" w:rsidTr="00E444B1">
        <w:trPr>
          <w:trHeight w:hRule="exact" w:val="288"/>
          <w:jc w:val="center"/>
        </w:trPr>
        <w:tc>
          <w:tcPr>
            <w:tcW w:w="0" w:type="auto"/>
            <w:gridSpan w:val="3"/>
            <w:vAlign w:val="center"/>
          </w:tcPr>
          <w:p w14:paraId="0A794E96" w14:textId="77777777" w:rsidR="00B707B7" w:rsidRPr="001D2881" w:rsidRDefault="00B707B7" w:rsidP="00E444B1">
            <w:pPr>
              <w:keepNext/>
              <w:rPr>
                <w:i/>
                <w:sz w:val="16"/>
                <w:szCs w:val="16"/>
              </w:rPr>
            </w:pPr>
            <w:r w:rsidRPr="001D2881">
              <w:rPr>
                <w:i/>
                <w:sz w:val="16"/>
                <w:szCs w:val="16"/>
              </w:rPr>
              <w:t>Source: Consolidated Reports of Condition and Income</w:t>
            </w:r>
          </w:p>
        </w:tc>
      </w:tr>
    </w:tbl>
    <w:p w14:paraId="291F96E8" w14:textId="77777777" w:rsidR="00B707B7" w:rsidRPr="001D2881" w:rsidRDefault="00B707B7" w:rsidP="00B707B7">
      <w:pPr>
        <w:pStyle w:val="ListParagraph"/>
        <w:ind w:left="0"/>
      </w:pPr>
    </w:p>
    <w:p w14:paraId="3BED063E" w14:textId="77777777" w:rsidR="00B707B7" w:rsidRPr="001D2881" w:rsidRDefault="00B707B7" w:rsidP="00B707B7">
      <w:pPr>
        <w:rPr>
          <w:b/>
          <w:u w:val="single"/>
        </w:rPr>
      </w:pPr>
      <w:r w:rsidRPr="001D2881">
        <w:rPr>
          <w:b/>
          <w:u w:val="single"/>
        </w:rPr>
        <w:t>Assessment Area Concentration</w:t>
      </w:r>
    </w:p>
    <w:p w14:paraId="0F1548B3" w14:textId="77777777" w:rsidR="00B707B7" w:rsidRPr="001D2881" w:rsidRDefault="00B707B7" w:rsidP="00B707B7">
      <w:pPr>
        <w:rPr>
          <w:bCs/>
          <w:spacing w:val="-3"/>
        </w:rPr>
      </w:pPr>
    </w:p>
    <w:p w14:paraId="3E92BC24" w14:textId="77777777" w:rsidR="00B707B7" w:rsidRPr="001D2881" w:rsidRDefault="00B707B7" w:rsidP="00B707B7">
      <w:pPr>
        <w:pStyle w:val="BodyText"/>
        <w:autoSpaceDE w:val="0"/>
        <w:autoSpaceDN w:val="0"/>
        <w:spacing w:after="0"/>
        <w:rPr>
          <w:rFonts w:ascii="Times New Roman" w:hAnsi="Times New Roman"/>
          <w:sz w:val="24"/>
          <w:szCs w:val="24"/>
        </w:rPr>
      </w:pPr>
      <w:r w:rsidRPr="001D2881">
        <w:rPr>
          <w:rFonts w:ascii="Times New Roman" w:hAnsi="Times New Roman"/>
          <w:sz w:val="24"/>
          <w:szCs w:val="24"/>
        </w:rPr>
        <w:t>The bank originated a majority, by both number and dollar amount, of home mortgage and small business loans inside its assessment area.  The following table illustrates the bank</w:t>
      </w:r>
      <w:r>
        <w:rPr>
          <w:rFonts w:ascii="Times New Roman" w:hAnsi="Times New Roman"/>
          <w:sz w:val="24"/>
          <w:szCs w:val="24"/>
        </w:rPr>
        <w:t>’</w:t>
      </w:r>
      <w:r w:rsidRPr="001D2881">
        <w:rPr>
          <w:rFonts w:ascii="Times New Roman" w:hAnsi="Times New Roman"/>
          <w:sz w:val="24"/>
          <w:szCs w:val="24"/>
        </w:rPr>
        <w:t>s home mortgage and small business lending activity inside and outside of the assessment area.</w:t>
      </w:r>
    </w:p>
    <w:p w14:paraId="1E488500" w14:textId="77777777" w:rsidR="00B707B7" w:rsidRPr="001D2881" w:rsidRDefault="00B707B7" w:rsidP="00B707B7"/>
    <w:tbl>
      <w:tblPr>
        <w:tblW w:w="0" w:type="auto"/>
        <w:tblCellMar>
          <w:left w:w="0" w:type="dxa"/>
          <w:right w:w="0" w:type="dxa"/>
        </w:tblCellMar>
        <w:tblLook w:val="0000" w:firstRow="0" w:lastRow="0" w:firstColumn="0" w:lastColumn="0" w:noHBand="0" w:noVBand="0"/>
      </w:tblPr>
      <w:tblGrid>
        <w:gridCol w:w="1792"/>
        <w:gridCol w:w="870"/>
        <w:gridCol w:w="596"/>
        <w:gridCol w:w="870"/>
        <w:gridCol w:w="596"/>
        <w:gridCol w:w="874"/>
        <w:gridCol w:w="970"/>
        <w:gridCol w:w="596"/>
        <w:gridCol w:w="941"/>
        <w:gridCol w:w="596"/>
        <w:gridCol w:w="929"/>
      </w:tblGrid>
      <w:tr w:rsidR="00B707B7" w:rsidRPr="001D2881" w14:paraId="5FF37106" w14:textId="77777777" w:rsidTr="00E444B1">
        <w:trPr>
          <w:trHeight w:val="282"/>
        </w:trPr>
        <w:tc>
          <w:tcPr>
            <w:tcW w:w="11070" w:type="dxa"/>
            <w:gridSpan w:val="11"/>
            <w:tcBorders>
              <w:top w:val="single" w:sz="7" w:space="0" w:color="000000"/>
              <w:left w:val="single" w:sz="7" w:space="0" w:color="000000"/>
              <w:right w:val="single" w:sz="7" w:space="0" w:color="000000"/>
            </w:tcBorders>
            <w:tcMar>
              <w:top w:w="39" w:type="dxa"/>
              <w:left w:w="39" w:type="dxa"/>
              <w:bottom w:w="39" w:type="dxa"/>
              <w:right w:w="39" w:type="dxa"/>
            </w:tcMar>
          </w:tcPr>
          <w:p w14:paraId="5F231542" w14:textId="77777777" w:rsidR="00B707B7" w:rsidRPr="001D2881" w:rsidRDefault="00B707B7" w:rsidP="00E444B1">
            <w:pPr>
              <w:keepNext/>
              <w:jc w:val="center"/>
              <w:rPr>
                <w:sz w:val="20"/>
                <w:szCs w:val="20"/>
              </w:rPr>
            </w:pPr>
            <w:r w:rsidRPr="001D2881">
              <w:rPr>
                <w:b/>
                <w:sz w:val="20"/>
                <w:szCs w:val="20"/>
              </w:rPr>
              <w:lastRenderedPageBreak/>
              <w:t>Lending Inside and Outside of the Assessment Area</w:t>
            </w:r>
          </w:p>
        </w:tc>
      </w:tr>
      <w:tr w:rsidR="00B707B7" w:rsidRPr="001D2881" w14:paraId="6AEE3FEE" w14:textId="77777777" w:rsidTr="00E444B1">
        <w:trPr>
          <w:trHeight w:val="210"/>
        </w:trPr>
        <w:tc>
          <w:tcPr>
            <w:tcW w:w="2159"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1943CA2D" w14:textId="77777777" w:rsidR="00B707B7" w:rsidRPr="001D2881" w:rsidRDefault="00B707B7" w:rsidP="00E444B1">
            <w:pPr>
              <w:keepNext/>
              <w:rPr>
                <w:sz w:val="20"/>
                <w:szCs w:val="20"/>
              </w:rPr>
            </w:pPr>
          </w:p>
        </w:tc>
        <w:tc>
          <w:tcPr>
            <w:tcW w:w="345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8AFCF67" w14:textId="77777777" w:rsidR="00B707B7" w:rsidRPr="001D2881" w:rsidRDefault="00B707B7" w:rsidP="00E444B1">
            <w:pPr>
              <w:keepNext/>
              <w:jc w:val="center"/>
              <w:rPr>
                <w:sz w:val="20"/>
                <w:szCs w:val="20"/>
              </w:rPr>
            </w:pPr>
            <w:r w:rsidRPr="001D2881">
              <w:rPr>
                <w:b/>
                <w:sz w:val="20"/>
                <w:szCs w:val="20"/>
              </w:rPr>
              <w:t>Number of Loans</w:t>
            </w:r>
          </w:p>
        </w:tc>
        <w:tc>
          <w:tcPr>
            <w:tcW w:w="1008"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6BB47EF4" w14:textId="77777777" w:rsidR="00B707B7" w:rsidRPr="001D2881" w:rsidRDefault="00B707B7" w:rsidP="00E444B1">
            <w:pPr>
              <w:keepNext/>
              <w:rPr>
                <w:sz w:val="20"/>
                <w:szCs w:val="20"/>
              </w:rPr>
            </w:pPr>
          </w:p>
        </w:tc>
        <w:tc>
          <w:tcPr>
            <w:tcW w:w="345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6773CFF" w14:textId="77777777" w:rsidR="00B707B7" w:rsidRPr="001D2881" w:rsidRDefault="00B707B7" w:rsidP="00E444B1">
            <w:pPr>
              <w:keepNext/>
              <w:jc w:val="center"/>
              <w:rPr>
                <w:sz w:val="20"/>
                <w:szCs w:val="20"/>
              </w:rPr>
            </w:pPr>
            <w:r w:rsidRPr="001D2881">
              <w:rPr>
                <w:b/>
                <w:sz w:val="20"/>
                <w:szCs w:val="20"/>
              </w:rPr>
              <w:t>Dollar Amount of Loans $(000s)</w:t>
            </w:r>
          </w:p>
        </w:tc>
        <w:tc>
          <w:tcPr>
            <w:tcW w:w="1008"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276BBAE9" w14:textId="77777777" w:rsidR="00B707B7" w:rsidRPr="001D2881" w:rsidRDefault="00B707B7" w:rsidP="00E444B1">
            <w:pPr>
              <w:keepNext/>
              <w:rPr>
                <w:sz w:val="20"/>
                <w:szCs w:val="20"/>
              </w:rPr>
            </w:pPr>
          </w:p>
        </w:tc>
      </w:tr>
      <w:tr w:rsidR="00B707B7" w:rsidRPr="001D2881" w14:paraId="31DE576B" w14:textId="77777777" w:rsidTr="00E444B1">
        <w:trPr>
          <w:trHeight w:val="210"/>
        </w:trPr>
        <w:tc>
          <w:tcPr>
            <w:tcW w:w="2159" w:type="dxa"/>
            <w:tcBorders>
              <w:left w:val="single" w:sz="7" w:space="0" w:color="000000"/>
              <w:right w:val="single" w:sz="7" w:space="0" w:color="000000"/>
            </w:tcBorders>
            <w:tcMar>
              <w:top w:w="39" w:type="dxa"/>
              <w:left w:w="39" w:type="dxa"/>
              <w:bottom w:w="39" w:type="dxa"/>
              <w:right w:w="39" w:type="dxa"/>
            </w:tcMar>
            <w:vAlign w:val="center"/>
          </w:tcPr>
          <w:p w14:paraId="51176BA5" w14:textId="77777777" w:rsidR="00B707B7" w:rsidRPr="001D2881" w:rsidRDefault="00B707B7" w:rsidP="00E444B1">
            <w:pPr>
              <w:keepNext/>
              <w:rPr>
                <w:sz w:val="20"/>
                <w:szCs w:val="20"/>
              </w:rPr>
            </w:pPr>
            <w:r w:rsidRPr="001D2881">
              <w:rPr>
                <w:b/>
                <w:sz w:val="20"/>
                <w:szCs w:val="20"/>
              </w:rPr>
              <w:t>Loan Category</w:t>
            </w:r>
          </w:p>
        </w:tc>
        <w:tc>
          <w:tcPr>
            <w:tcW w:w="172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A897F39" w14:textId="77777777" w:rsidR="00B707B7" w:rsidRPr="001D2881" w:rsidRDefault="00B707B7" w:rsidP="00E444B1">
            <w:pPr>
              <w:keepNext/>
              <w:jc w:val="center"/>
              <w:rPr>
                <w:sz w:val="20"/>
                <w:szCs w:val="20"/>
              </w:rPr>
            </w:pPr>
            <w:r w:rsidRPr="001D2881">
              <w:rPr>
                <w:b/>
                <w:sz w:val="20"/>
                <w:szCs w:val="20"/>
              </w:rPr>
              <w:t>Inside</w:t>
            </w:r>
          </w:p>
        </w:tc>
        <w:tc>
          <w:tcPr>
            <w:tcW w:w="172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7E25EDC" w14:textId="77777777" w:rsidR="00B707B7" w:rsidRPr="001D2881" w:rsidRDefault="00B707B7" w:rsidP="00E444B1">
            <w:pPr>
              <w:keepNext/>
              <w:jc w:val="center"/>
              <w:rPr>
                <w:sz w:val="20"/>
                <w:szCs w:val="20"/>
              </w:rPr>
            </w:pPr>
            <w:r w:rsidRPr="001D2881">
              <w:rPr>
                <w:b/>
                <w:sz w:val="20"/>
                <w:szCs w:val="20"/>
              </w:rPr>
              <w:t>Outside</w:t>
            </w:r>
          </w:p>
        </w:tc>
        <w:tc>
          <w:tcPr>
            <w:tcW w:w="1008" w:type="dxa"/>
            <w:tcBorders>
              <w:left w:val="single" w:sz="7" w:space="0" w:color="000000"/>
              <w:right w:val="single" w:sz="7" w:space="0" w:color="000000"/>
            </w:tcBorders>
            <w:tcMar>
              <w:top w:w="0" w:type="dxa"/>
              <w:left w:w="39" w:type="dxa"/>
              <w:bottom w:w="39" w:type="dxa"/>
              <w:right w:w="39" w:type="dxa"/>
            </w:tcMar>
          </w:tcPr>
          <w:p w14:paraId="225DFDC2" w14:textId="77777777" w:rsidR="00B707B7" w:rsidRPr="001D2881" w:rsidRDefault="00B707B7" w:rsidP="00E444B1">
            <w:pPr>
              <w:keepNext/>
              <w:jc w:val="center"/>
              <w:rPr>
                <w:sz w:val="20"/>
                <w:szCs w:val="20"/>
              </w:rPr>
            </w:pPr>
            <w:r w:rsidRPr="001D2881">
              <w:rPr>
                <w:b/>
                <w:sz w:val="20"/>
                <w:szCs w:val="20"/>
              </w:rPr>
              <w:t>Total</w:t>
            </w:r>
          </w:p>
        </w:tc>
        <w:tc>
          <w:tcPr>
            <w:tcW w:w="172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ADCBB2B" w14:textId="77777777" w:rsidR="00B707B7" w:rsidRPr="001D2881" w:rsidRDefault="00B707B7" w:rsidP="00E444B1">
            <w:pPr>
              <w:keepNext/>
              <w:jc w:val="center"/>
              <w:rPr>
                <w:sz w:val="20"/>
                <w:szCs w:val="20"/>
              </w:rPr>
            </w:pPr>
            <w:r w:rsidRPr="001D2881">
              <w:rPr>
                <w:b/>
                <w:sz w:val="20"/>
                <w:szCs w:val="20"/>
              </w:rPr>
              <w:t>Inside</w:t>
            </w:r>
          </w:p>
        </w:tc>
        <w:tc>
          <w:tcPr>
            <w:tcW w:w="172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105233B" w14:textId="77777777" w:rsidR="00B707B7" w:rsidRPr="001D2881" w:rsidRDefault="00B707B7" w:rsidP="00E444B1">
            <w:pPr>
              <w:keepNext/>
              <w:jc w:val="center"/>
              <w:rPr>
                <w:sz w:val="20"/>
                <w:szCs w:val="20"/>
              </w:rPr>
            </w:pPr>
            <w:r w:rsidRPr="001D2881">
              <w:rPr>
                <w:b/>
                <w:sz w:val="20"/>
                <w:szCs w:val="20"/>
              </w:rPr>
              <w:t>Outside</w:t>
            </w:r>
          </w:p>
        </w:tc>
        <w:tc>
          <w:tcPr>
            <w:tcW w:w="1008" w:type="dxa"/>
            <w:tcBorders>
              <w:left w:val="single" w:sz="7" w:space="0" w:color="000000"/>
              <w:right w:val="single" w:sz="7" w:space="0" w:color="000000"/>
            </w:tcBorders>
            <w:tcMar>
              <w:top w:w="0" w:type="dxa"/>
              <w:left w:w="39" w:type="dxa"/>
              <w:bottom w:w="39" w:type="dxa"/>
              <w:right w:w="39" w:type="dxa"/>
            </w:tcMar>
          </w:tcPr>
          <w:p w14:paraId="4D257AA1" w14:textId="77777777" w:rsidR="00B707B7" w:rsidRPr="001D2881" w:rsidRDefault="00B707B7" w:rsidP="00E444B1">
            <w:pPr>
              <w:keepNext/>
              <w:jc w:val="center"/>
              <w:rPr>
                <w:sz w:val="20"/>
                <w:szCs w:val="20"/>
              </w:rPr>
            </w:pPr>
            <w:r w:rsidRPr="001D2881">
              <w:rPr>
                <w:b/>
                <w:sz w:val="20"/>
                <w:szCs w:val="20"/>
              </w:rPr>
              <w:t>Total</w:t>
            </w:r>
          </w:p>
        </w:tc>
      </w:tr>
      <w:tr w:rsidR="00B707B7" w:rsidRPr="001D2881" w14:paraId="5DCC11E8" w14:textId="77777777" w:rsidTr="00E444B1">
        <w:trPr>
          <w:trHeight w:val="210"/>
        </w:trPr>
        <w:tc>
          <w:tcPr>
            <w:tcW w:w="2159" w:type="dxa"/>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14:paraId="39CC710C" w14:textId="77777777" w:rsidR="00B707B7" w:rsidRPr="001D2881" w:rsidRDefault="00B707B7" w:rsidP="00E444B1">
            <w:pPr>
              <w:keepNext/>
              <w:rPr>
                <w:sz w:val="20"/>
                <w:szCs w:val="20"/>
              </w:rPr>
            </w:pP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319B6A4" w14:textId="77777777" w:rsidR="00B707B7" w:rsidRPr="001D2881" w:rsidRDefault="00B707B7" w:rsidP="00E444B1">
            <w:pPr>
              <w:keepNext/>
              <w:jc w:val="center"/>
              <w:rPr>
                <w:sz w:val="20"/>
                <w:szCs w:val="20"/>
              </w:rPr>
            </w:pPr>
            <w:r w:rsidRPr="001D2881">
              <w:rPr>
                <w:b/>
                <w:sz w:val="20"/>
                <w:szCs w:val="20"/>
              </w:rPr>
              <w:t>#</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C80B740" w14:textId="77777777" w:rsidR="00B707B7" w:rsidRPr="001D2881" w:rsidRDefault="00B707B7" w:rsidP="00E444B1">
            <w:pPr>
              <w:keepNext/>
              <w:jc w:val="center"/>
              <w:rPr>
                <w:sz w:val="20"/>
                <w:szCs w:val="20"/>
              </w:rPr>
            </w:pPr>
            <w:r w:rsidRPr="001D2881">
              <w:rPr>
                <w:b/>
                <w:sz w:val="20"/>
                <w:szCs w:val="20"/>
              </w:rPr>
              <w:t>%</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102EDE3" w14:textId="77777777" w:rsidR="00B707B7" w:rsidRPr="001D2881" w:rsidRDefault="00B707B7" w:rsidP="00E444B1">
            <w:pPr>
              <w:keepNext/>
              <w:jc w:val="center"/>
              <w:rPr>
                <w:sz w:val="20"/>
                <w:szCs w:val="20"/>
              </w:rPr>
            </w:pPr>
            <w:r w:rsidRPr="001D2881">
              <w:rPr>
                <w:b/>
                <w:sz w:val="20"/>
                <w:szCs w:val="20"/>
              </w:rPr>
              <w:t>#</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86CFCEC" w14:textId="77777777" w:rsidR="00B707B7" w:rsidRPr="001D2881" w:rsidRDefault="00B707B7" w:rsidP="00E444B1">
            <w:pPr>
              <w:keepNext/>
              <w:jc w:val="center"/>
              <w:rPr>
                <w:sz w:val="20"/>
                <w:szCs w:val="20"/>
              </w:rPr>
            </w:pPr>
            <w:r w:rsidRPr="001D2881">
              <w:rPr>
                <w:b/>
                <w:sz w:val="20"/>
                <w:szCs w:val="20"/>
              </w:rPr>
              <w:t>%</w:t>
            </w:r>
          </w:p>
        </w:tc>
        <w:tc>
          <w:tcPr>
            <w:tcW w:w="1008" w:type="dxa"/>
            <w:tcBorders>
              <w:left w:val="single" w:sz="7" w:space="0" w:color="000000"/>
              <w:bottom w:val="single" w:sz="7" w:space="0" w:color="000000"/>
              <w:right w:val="single" w:sz="7" w:space="0" w:color="000000"/>
            </w:tcBorders>
            <w:tcMar>
              <w:top w:w="0" w:type="dxa"/>
              <w:left w:w="39" w:type="dxa"/>
              <w:bottom w:w="39" w:type="dxa"/>
              <w:right w:w="39" w:type="dxa"/>
            </w:tcMar>
          </w:tcPr>
          <w:p w14:paraId="682FD34E" w14:textId="77777777" w:rsidR="00B707B7" w:rsidRPr="001D2881" w:rsidRDefault="00B707B7" w:rsidP="00E444B1">
            <w:pPr>
              <w:keepNext/>
              <w:jc w:val="center"/>
              <w:rPr>
                <w:sz w:val="20"/>
                <w:szCs w:val="20"/>
              </w:rPr>
            </w:pPr>
            <w:r w:rsidRPr="001D2881">
              <w:rPr>
                <w:b/>
                <w:sz w:val="20"/>
                <w:szCs w:val="20"/>
              </w:rPr>
              <w:t>#</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DCA54EB" w14:textId="77777777" w:rsidR="00B707B7" w:rsidRPr="001D2881" w:rsidRDefault="00B707B7" w:rsidP="00E444B1">
            <w:pPr>
              <w:keepNext/>
              <w:jc w:val="center"/>
              <w:rPr>
                <w:sz w:val="20"/>
                <w:szCs w:val="20"/>
              </w:rPr>
            </w:pPr>
            <w:r w:rsidRPr="001D2881">
              <w:rPr>
                <w:b/>
                <w:sz w:val="20"/>
                <w:szCs w:val="20"/>
              </w:rPr>
              <w:t>$</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6287F55" w14:textId="77777777" w:rsidR="00B707B7" w:rsidRPr="001D2881" w:rsidRDefault="00B707B7" w:rsidP="00E444B1">
            <w:pPr>
              <w:keepNext/>
              <w:jc w:val="center"/>
              <w:rPr>
                <w:sz w:val="20"/>
                <w:szCs w:val="20"/>
              </w:rPr>
            </w:pPr>
            <w:r w:rsidRPr="001D2881">
              <w:rPr>
                <w:b/>
                <w:sz w:val="20"/>
                <w:szCs w:val="20"/>
              </w:rPr>
              <w:t>%</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AA9B00D" w14:textId="77777777" w:rsidR="00B707B7" w:rsidRPr="001D2881" w:rsidRDefault="00B707B7" w:rsidP="00E444B1">
            <w:pPr>
              <w:keepNext/>
              <w:jc w:val="center"/>
              <w:rPr>
                <w:sz w:val="20"/>
                <w:szCs w:val="20"/>
              </w:rPr>
            </w:pPr>
            <w:r w:rsidRPr="001D2881">
              <w:rPr>
                <w:b/>
                <w:sz w:val="20"/>
                <w:szCs w:val="20"/>
              </w:rPr>
              <w:t>$</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AD3CA33" w14:textId="77777777" w:rsidR="00B707B7" w:rsidRPr="001D2881" w:rsidRDefault="00B707B7" w:rsidP="00E444B1">
            <w:pPr>
              <w:keepNext/>
              <w:jc w:val="center"/>
              <w:rPr>
                <w:sz w:val="20"/>
                <w:szCs w:val="20"/>
              </w:rPr>
            </w:pPr>
            <w:r w:rsidRPr="001D2881">
              <w:rPr>
                <w:b/>
                <w:sz w:val="20"/>
                <w:szCs w:val="20"/>
              </w:rPr>
              <w:t>%</w:t>
            </w:r>
          </w:p>
        </w:tc>
        <w:tc>
          <w:tcPr>
            <w:tcW w:w="1008" w:type="dxa"/>
            <w:tcBorders>
              <w:left w:val="single" w:sz="7" w:space="0" w:color="000000"/>
              <w:bottom w:val="single" w:sz="7" w:space="0" w:color="000000"/>
              <w:right w:val="single" w:sz="7" w:space="0" w:color="000000"/>
            </w:tcBorders>
            <w:tcMar>
              <w:top w:w="0" w:type="dxa"/>
              <w:left w:w="39" w:type="dxa"/>
              <w:bottom w:w="39" w:type="dxa"/>
              <w:right w:w="39" w:type="dxa"/>
            </w:tcMar>
          </w:tcPr>
          <w:p w14:paraId="0A00DA87" w14:textId="77777777" w:rsidR="00B707B7" w:rsidRPr="001D2881" w:rsidRDefault="00B707B7" w:rsidP="00E444B1">
            <w:pPr>
              <w:keepNext/>
              <w:jc w:val="center"/>
              <w:rPr>
                <w:sz w:val="20"/>
                <w:szCs w:val="20"/>
              </w:rPr>
            </w:pPr>
            <w:r w:rsidRPr="001D2881">
              <w:rPr>
                <w:b/>
                <w:sz w:val="20"/>
                <w:szCs w:val="20"/>
              </w:rPr>
              <w:t>$(000s)</w:t>
            </w:r>
          </w:p>
        </w:tc>
      </w:tr>
      <w:tr w:rsidR="00B707B7" w:rsidRPr="001D2881" w14:paraId="2B0FAECF" w14:textId="77777777" w:rsidTr="00E444B1">
        <w:trPr>
          <w:trHeight w:val="210"/>
        </w:trPr>
        <w:tc>
          <w:tcPr>
            <w:tcW w:w="2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8D7D934" w14:textId="77777777" w:rsidR="00B707B7" w:rsidRPr="001D2881" w:rsidRDefault="00B707B7" w:rsidP="00E444B1">
            <w:pPr>
              <w:keepNext/>
              <w:rPr>
                <w:sz w:val="20"/>
                <w:szCs w:val="20"/>
              </w:rPr>
            </w:pPr>
            <w:r w:rsidRPr="001D2881">
              <w:rPr>
                <w:sz w:val="20"/>
                <w:szCs w:val="20"/>
              </w:rPr>
              <w:t>Home Mortgage</w:t>
            </w:r>
          </w:p>
        </w:tc>
        <w:tc>
          <w:tcPr>
            <w:tcW w:w="8924" w:type="dxa"/>
            <w:gridSpan w:val="10"/>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B49DA0" w14:textId="77777777" w:rsidR="00B707B7" w:rsidRPr="001D2881" w:rsidRDefault="00B707B7" w:rsidP="00E444B1">
            <w:pPr>
              <w:keepNext/>
              <w:rPr>
                <w:sz w:val="20"/>
                <w:szCs w:val="20"/>
              </w:rPr>
            </w:pPr>
          </w:p>
        </w:tc>
      </w:tr>
      <w:tr w:rsidR="00B707B7" w:rsidRPr="001D2881" w14:paraId="47B5664A" w14:textId="77777777" w:rsidTr="00E444B1">
        <w:trPr>
          <w:trHeight w:val="181"/>
        </w:trPr>
        <w:tc>
          <w:tcPr>
            <w:tcW w:w="21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3B21112" w14:textId="77777777" w:rsidR="00B707B7" w:rsidRPr="001D2881" w:rsidRDefault="00B707B7" w:rsidP="00E444B1">
            <w:pPr>
              <w:keepNext/>
              <w:jc w:val="right"/>
              <w:rPr>
                <w:sz w:val="20"/>
                <w:szCs w:val="20"/>
              </w:rPr>
            </w:pPr>
            <w:r w:rsidRPr="001D2881">
              <w:rPr>
                <w:sz w:val="20"/>
                <w:szCs w:val="20"/>
              </w:rPr>
              <w:t>2017</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459929" w14:textId="77777777" w:rsidR="00B707B7" w:rsidRPr="001D2881" w:rsidRDefault="00B707B7" w:rsidP="00E444B1">
            <w:pPr>
              <w:keepNext/>
              <w:jc w:val="center"/>
              <w:rPr>
                <w:sz w:val="20"/>
                <w:szCs w:val="20"/>
              </w:rPr>
            </w:pPr>
            <w:r w:rsidRPr="001D2881">
              <w:rPr>
                <w:sz w:val="20"/>
                <w:szCs w:val="20"/>
              </w:rPr>
              <w:t>159</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118785" w14:textId="77777777" w:rsidR="00B707B7" w:rsidRPr="001D2881" w:rsidRDefault="00B707B7" w:rsidP="00E444B1">
            <w:pPr>
              <w:keepNext/>
              <w:jc w:val="center"/>
              <w:rPr>
                <w:sz w:val="20"/>
                <w:szCs w:val="20"/>
              </w:rPr>
            </w:pPr>
            <w:r w:rsidRPr="001D2881">
              <w:rPr>
                <w:sz w:val="20"/>
                <w:szCs w:val="20"/>
              </w:rPr>
              <w:t>74.7</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8DA0C" w14:textId="77777777" w:rsidR="00B707B7" w:rsidRPr="001D2881" w:rsidRDefault="00B707B7" w:rsidP="00E444B1">
            <w:pPr>
              <w:keepNext/>
              <w:jc w:val="center"/>
              <w:rPr>
                <w:sz w:val="20"/>
                <w:szCs w:val="20"/>
              </w:rPr>
            </w:pPr>
            <w:r w:rsidRPr="001D2881">
              <w:rPr>
                <w:sz w:val="20"/>
                <w:szCs w:val="20"/>
              </w:rPr>
              <w:t>54</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1EB4F" w14:textId="77777777" w:rsidR="00B707B7" w:rsidRPr="001D2881" w:rsidRDefault="00B707B7" w:rsidP="00E444B1">
            <w:pPr>
              <w:keepNext/>
              <w:jc w:val="center"/>
              <w:rPr>
                <w:sz w:val="20"/>
                <w:szCs w:val="20"/>
              </w:rPr>
            </w:pPr>
            <w:r w:rsidRPr="001D2881">
              <w:rPr>
                <w:sz w:val="20"/>
                <w:szCs w:val="20"/>
              </w:rPr>
              <w:t>25.3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4CED5F" w14:textId="77777777" w:rsidR="00B707B7" w:rsidRPr="001D2881" w:rsidRDefault="00B707B7" w:rsidP="00E444B1">
            <w:pPr>
              <w:keepNext/>
              <w:jc w:val="center"/>
              <w:rPr>
                <w:sz w:val="20"/>
                <w:szCs w:val="20"/>
              </w:rPr>
            </w:pPr>
            <w:r w:rsidRPr="001D2881">
              <w:rPr>
                <w:sz w:val="20"/>
                <w:szCs w:val="20"/>
              </w:rPr>
              <w:t>213</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B2DC7" w14:textId="77777777" w:rsidR="00B707B7" w:rsidRPr="001D2881" w:rsidRDefault="00B707B7" w:rsidP="00E444B1">
            <w:pPr>
              <w:keepNext/>
              <w:jc w:val="center"/>
              <w:rPr>
                <w:sz w:val="20"/>
                <w:szCs w:val="20"/>
              </w:rPr>
            </w:pPr>
            <w:r w:rsidRPr="001D2881">
              <w:rPr>
                <w:sz w:val="20"/>
                <w:szCs w:val="20"/>
              </w:rPr>
              <w:t>46,056</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580415" w14:textId="77777777" w:rsidR="00B707B7" w:rsidRPr="001D2881" w:rsidRDefault="00B707B7" w:rsidP="00E444B1">
            <w:pPr>
              <w:keepNext/>
              <w:jc w:val="center"/>
              <w:rPr>
                <w:sz w:val="20"/>
                <w:szCs w:val="20"/>
              </w:rPr>
            </w:pPr>
            <w:r w:rsidRPr="001D2881">
              <w:rPr>
                <w:sz w:val="20"/>
                <w:szCs w:val="20"/>
              </w:rPr>
              <w:t>63.1</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A17CD6" w14:textId="77777777" w:rsidR="00B707B7" w:rsidRPr="001D2881" w:rsidRDefault="00B707B7" w:rsidP="00E444B1">
            <w:pPr>
              <w:keepNext/>
              <w:jc w:val="center"/>
              <w:rPr>
                <w:sz w:val="20"/>
                <w:szCs w:val="20"/>
              </w:rPr>
            </w:pPr>
            <w:r w:rsidRPr="001D2881">
              <w:rPr>
                <w:sz w:val="20"/>
                <w:szCs w:val="20"/>
              </w:rPr>
              <w:t>26,989</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3EE41A" w14:textId="77777777" w:rsidR="00B707B7" w:rsidRPr="001D2881" w:rsidRDefault="00B707B7" w:rsidP="00E444B1">
            <w:pPr>
              <w:keepNext/>
              <w:jc w:val="center"/>
              <w:rPr>
                <w:sz w:val="20"/>
                <w:szCs w:val="20"/>
              </w:rPr>
            </w:pPr>
            <w:r w:rsidRPr="001D2881">
              <w:rPr>
                <w:sz w:val="20"/>
                <w:szCs w:val="20"/>
              </w:rPr>
              <w:t>36.9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C1826E" w14:textId="77777777" w:rsidR="00B707B7" w:rsidRPr="001D2881" w:rsidRDefault="00B707B7" w:rsidP="00E444B1">
            <w:pPr>
              <w:keepNext/>
              <w:jc w:val="center"/>
              <w:rPr>
                <w:sz w:val="20"/>
                <w:szCs w:val="20"/>
              </w:rPr>
            </w:pPr>
            <w:r w:rsidRPr="001D2881">
              <w:rPr>
                <w:sz w:val="20"/>
                <w:szCs w:val="20"/>
              </w:rPr>
              <w:t>73,045</w:t>
            </w:r>
          </w:p>
        </w:tc>
      </w:tr>
      <w:tr w:rsidR="00B707B7" w:rsidRPr="001D2881" w14:paraId="281DC9CA" w14:textId="77777777" w:rsidTr="00E444B1">
        <w:trPr>
          <w:trHeight w:val="181"/>
        </w:trPr>
        <w:tc>
          <w:tcPr>
            <w:tcW w:w="21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52204CB" w14:textId="77777777" w:rsidR="00B707B7" w:rsidRPr="001D2881" w:rsidRDefault="00B707B7" w:rsidP="00E444B1">
            <w:pPr>
              <w:keepNext/>
              <w:jc w:val="right"/>
              <w:rPr>
                <w:sz w:val="20"/>
                <w:szCs w:val="20"/>
              </w:rPr>
            </w:pPr>
            <w:r w:rsidRPr="001D2881">
              <w:rPr>
                <w:sz w:val="20"/>
                <w:szCs w:val="20"/>
              </w:rPr>
              <w:t>2018</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1EA667" w14:textId="77777777" w:rsidR="00B707B7" w:rsidRPr="001D2881" w:rsidRDefault="00B707B7" w:rsidP="00E444B1">
            <w:pPr>
              <w:keepNext/>
              <w:jc w:val="center"/>
              <w:rPr>
                <w:sz w:val="20"/>
                <w:szCs w:val="20"/>
              </w:rPr>
            </w:pPr>
            <w:r w:rsidRPr="001D2881">
              <w:rPr>
                <w:sz w:val="20"/>
                <w:szCs w:val="20"/>
              </w:rPr>
              <w:t>113</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2A246" w14:textId="77777777" w:rsidR="00B707B7" w:rsidRPr="001D2881" w:rsidRDefault="00B707B7" w:rsidP="00E444B1">
            <w:pPr>
              <w:keepNext/>
              <w:jc w:val="center"/>
              <w:rPr>
                <w:sz w:val="20"/>
                <w:szCs w:val="20"/>
              </w:rPr>
            </w:pPr>
            <w:r w:rsidRPr="001D2881">
              <w:rPr>
                <w:sz w:val="20"/>
                <w:szCs w:val="20"/>
              </w:rPr>
              <w:t>77.4</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781DA2" w14:textId="77777777" w:rsidR="00B707B7" w:rsidRPr="001D2881" w:rsidRDefault="00B707B7" w:rsidP="00E444B1">
            <w:pPr>
              <w:keepNext/>
              <w:jc w:val="center"/>
              <w:rPr>
                <w:sz w:val="20"/>
                <w:szCs w:val="20"/>
              </w:rPr>
            </w:pPr>
            <w:r w:rsidRPr="001D2881">
              <w:rPr>
                <w:sz w:val="20"/>
                <w:szCs w:val="20"/>
              </w:rPr>
              <w:t>33</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5D79F" w14:textId="77777777" w:rsidR="00B707B7" w:rsidRPr="001D2881" w:rsidRDefault="00B707B7" w:rsidP="00E444B1">
            <w:pPr>
              <w:keepNext/>
              <w:jc w:val="center"/>
              <w:rPr>
                <w:sz w:val="20"/>
                <w:szCs w:val="20"/>
              </w:rPr>
            </w:pPr>
            <w:r w:rsidRPr="001D2881">
              <w:rPr>
                <w:sz w:val="20"/>
                <w:szCs w:val="20"/>
              </w:rPr>
              <w:t>22.6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FDCDB2" w14:textId="77777777" w:rsidR="00B707B7" w:rsidRPr="001D2881" w:rsidRDefault="00B707B7" w:rsidP="00E444B1">
            <w:pPr>
              <w:keepNext/>
              <w:jc w:val="center"/>
              <w:rPr>
                <w:sz w:val="20"/>
                <w:szCs w:val="20"/>
              </w:rPr>
            </w:pPr>
            <w:r w:rsidRPr="001D2881">
              <w:rPr>
                <w:sz w:val="20"/>
                <w:szCs w:val="20"/>
              </w:rPr>
              <w:t>146</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C904D4" w14:textId="77777777" w:rsidR="00B707B7" w:rsidRPr="001D2881" w:rsidRDefault="00B707B7" w:rsidP="00E444B1">
            <w:pPr>
              <w:keepNext/>
              <w:jc w:val="center"/>
              <w:rPr>
                <w:sz w:val="20"/>
                <w:szCs w:val="20"/>
              </w:rPr>
            </w:pPr>
            <w:r w:rsidRPr="001D2881">
              <w:rPr>
                <w:sz w:val="20"/>
                <w:szCs w:val="20"/>
              </w:rPr>
              <w:t>33,996</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CAE05A" w14:textId="77777777" w:rsidR="00B707B7" w:rsidRPr="001D2881" w:rsidRDefault="00B707B7" w:rsidP="00E444B1">
            <w:pPr>
              <w:keepNext/>
              <w:jc w:val="center"/>
              <w:rPr>
                <w:sz w:val="20"/>
                <w:szCs w:val="20"/>
              </w:rPr>
            </w:pPr>
            <w:r w:rsidRPr="001D2881">
              <w:rPr>
                <w:sz w:val="20"/>
                <w:szCs w:val="20"/>
              </w:rPr>
              <w:t>72.4</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0DC466" w14:textId="77777777" w:rsidR="00B707B7" w:rsidRPr="001D2881" w:rsidRDefault="00B707B7" w:rsidP="00E444B1">
            <w:pPr>
              <w:keepNext/>
              <w:jc w:val="center"/>
              <w:rPr>
                <w:sz w:val="20"/>
                <w:szCs w:val="20"/>
              </w:rPr>
            </w:pPr>
            <w:r w:rsidRPr="001D2881">
              <w:rPr>
                <w:sz w:val="20"/>
                <w:szCs w:val="20"/>
              </w:rPr>
              <w:t>12,946</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343F84" w14:textId="77777777" w:rsidR="00B707B7" w:rsidRPr="001D2881" w:rsidRDefault="00B707B7" w:rsidP="00E444B1">
            <w:pPr>
              <w:keepNext/>
              <w:jc w:val="center"/>
              <w:rPr>
                <w:sz w:val="20"/>
                <w:szCs w:val="20"/>
              </w:rPr>
            </w:pPr>
            <w:r w:rsidRPr="001D2881">
              <w:rPr>
                <w:sz w:val="20"/>
                <w:szCs w:val="20"/>
              </w:rPr>
              <w:t>27.6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58937" w14:textId="77777777" w:rsidR="00B707B7" w:rsidRPr="001D2881" w:rsidRDefault="00B707B7" w:rsidP="00E444B1">
            <w:pPr>
              <w:keepNext/>
              <w:jc w:val="center"/>
              <w:rPr>
                <w:sz w:val="20"/>
                <w:szCs w:val="20"/>
              </w:rPr>
            </w:pPr>
            <w:r w:rsidRPr="001D2881">
              <w:rPr>
                <w:sz w:val="20"/>
                <w:szCs w:val="20"/>
              </w:rPr>
              <w:t>46,942</w:t>
            </w:r>
          </w:p>
        </w:tc>
      </w:tr>
      <w:tr w:rsidR="00B707B7" w:rsidRPr="001D2881" w14:paraId="1E036515" w14:textId="77777777" w:rsidTr="00E444B1">
        <w:trPr>
          <w:trHeight w:val="181"/>
        </w:trPr>
        <w:tc>
          <w:tcPr>
            <w:tcW w:w="21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9D316D0" w14:textId="77777777" w:rsidR="00B707B7" w:rsidRPr="001D2881" w:rsidRDefault="00B707B7" w:rsidP="00E444B1">
            <w:pPr>
              <w:keepNext/>
              <w:jc w:val="right"/>
              <w:rPr>
                <w:sz w:val="20"/>
                <w:szCs w:val="20"/>
              </w:rPr>
            </w:pPr>
            <w:r w:rsidRPr="001D2881">
              <w:rPr>
                <w:sz w:val="20"/>
                <w:szCs w:val="20"/>
              </w:rPr>
              <w:t>2019</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1EE787" w14:textId="77777777" w:rsidR="00B707B7" w:rsidRPr="001D2881" w:rsidRDefault="00B707B7" w:rsidP="00E444B1">
            <w:pPr>
              <w:keepNext/>
              <w:jc w:val="center"/>
              <w:rPr>
                <w:sz w:val="20"/>
                <w:szCs w:val="20"/>
              </w:rPr>
            </w:pPr>
            <w:r w:rsidRPr="001D2881">
              <w:rPr>
                <w:sz w:val="20"/>
                <w:szCs w:val="20"/>
              </w:rPr>
              <w:t>341</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50834" w14:textId="77777777" w:rsidR="00B707B7" w:rsidRPr="001D2881" w:rsidRDefault="00B707B7" w:rsidP="00E444B1">
            <w:pPr>
              <w:keepNext/>
              <w:jc w:val="center"/>
              <w:rPr>
                <w:sz w:val="20"/>
                <w:szCs w:val="20"/>
              </w:rPr>
            </w:pPr>
            <w:r w:rsidRPr="001D2881">
              <w:rPr>
                <w:sz w:val="20"/>
                <w:szCs w:val="20"/>
              </w:rPr>
              <w:t>82.4</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8646C" w14:textId="77777777" w:rsidR="00B707B7" w:rsidRPr="001D2881" w:rsidRDefault="00B707B7" w:rsidP="00E444B1">
            <w:pPr>
              <w:keepNext/>
              <w:jc w:val="center"/>
              <w:rPr>
                <w:sz w:val="20"/>
                <w:szCs w:val="20"/>
              </w:rPr>
            </w:pPr>
            <w:r w:rsidRPr="001D2881">
              <w:rPr>
                <w:sz w:val="20"/>
                <w:szCs w:val="20"/>
              </w:rPr>
              <w:t>73</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13930" w14:textId="77777777" w:rsidR="00B707B7" w:rsidRPr="001D2881" w:rsidRDefault="00B707B7" w:rsidP="00E444B1">
            <w:pPr>
              <w:keepNext/>
              <w:jc w:val="center"/>
              <w:rPr>
                <w:sz w:val="20"/>
                <w:szCs w:val="20"/>
              </w:rPr>
            </w:pPr>
            <w:r w:rsidRPr="001D2881">
              <w:rPr>
                <w:sz w:val="20"/>
                <w:szCs w:val="20"/>
              </w:rPr>
              <w:t>17.6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B9185" w14:textId="77777777" w:rsidR="00B707B7" w:rsidRPr="001D2881" w:rsidRDefault="00B707B7" w:rsidP="00E444B1">
            <w:pPr>
              <w:keepNext/>
              <w:jc w:val="center"/>
              <w:rPr>
                <w:sz w:val="20"/>
                <w:szCs w:val="20"/>
              </w:rPr>
            </w:pPr>
            <w:r w:rsidRPr="001D2881">
              <w:rPr>
                <w:sz w:val="20"/>
                <w:szCs w:val="20"/>
              </w:rPr>
              <w:t>414</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A862A" w14:textId="77777777" w:rsidR="00B707B7" w:rsidRPr="001D2881" w:rsidRDefault="00B707B7" w:rsidP="00E444B1">
            <w:pPr>
              <w:keepNext/>
              <w:jc w:val="center"/>
              <w:rPr>
                <w:sz w:val="20"/>
                <w:szCs w:val="20"/>
              </w:rPr>
            </w:pPr>
            <w:r w:rsidRPr="001D2881">
              <w:rPr>
                <w:sz w:val="20"/>
                <w:szCs w:val="20"/>
              </w:rPr>
              <w:t>90,514</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F9EAD9" w14:textId="77777777" w:rsidR="00B707B7" w:rsidRPr="001D2881" w:rsidRDefault="00B707B7" w:rsidP="00E444B1">
            <w:pPr>
              <w:keepNext/>
              <w:jc w:val="center"/>
              <w:rPr>
                <w:sz w:val="20"/>
                <w:szCs w:val="20"/>
              </w:rPr>
            </w:pPr>
            <w:r w:rsidRPr="001D2881">
              <w:rPr>
                <w:sz w:val="20"/>
                <w:szCs w:val="20"/>
              </w:rPr>
              <w:t>77.6</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B36EC2" w14:textId="77777777" w:rsidR="00B707B7" w:rsidRPr="001D2881" w:rsidRDefault="00B707B7" w:rsidP="00E444B1">
            <w:pPr>
              <w:keepNext/>
              <w:jc w:val="center"/>
              <w:rPr>
                <w:sz w:val="20"/>
                <w:szCs w:val="20"/>
              </w:rPr>
            </w:pPr>
            <w:r w:rsidRPr="001D2881">
              <w:rPr>
                <w:sz w:val="20"/>
                <w:szCs w:val="20"/>
              </w:rPr>
              <w:t>26,096</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CDFD8" w14:textId="77777777" w:rsidR="00B707B7" w:rsidRPr="001D2881" w:rsidRDefault="00B707B7" w:rsidP="00E444B1">
            <w:pPr>
              <w:keepNext/>
              <w:jc w:val="center"/>
              <w:rPr>
                <w:sz w:val="20"/>
                <w:szCs w:val="20"/>
              </w:rPr>
            </w:pPr>
            <w:r w:rsidRPr="001D2881">
              <w:rPr>
                <w:sz w:val="20"/>
                <w:szCs w:val="20"/>
              </w:rPr>
              <w:t>22.4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4335E" w14:textId="77777777" w:rsidR="00B707B7" w:rsidRPr="001D2881" w:rsidRDefault="00B707B7" w:rsidP="00E444B1">
            <w:pPr>
              <w:keepNext/>
              <w:jc w:val="center"/>
              <w:rPr>
                <w:sz w:val="20"/>
                <w:szCs w:val="20"/>
              </w:rPr>
            </w:pPr>
            <w:r w:rsidRPr="001D2881">
              <w:rPr>
                <w:sz w:val="20"/>
                <w:szCs w:val="20"/>
              </w:rPr>
              <w:t>116,610</w:t>
            </w:r>
          </w:p>
        </w:tc>
      </w:tr>
      <w:tr w:rsidR="00B707B7" w:rsidRPr="001D2881" w14:paraId="423BF80D" w14:textId="77777777" w:rsidTr="00E444B1">
        <w:trPr>
          <w:trHeight w:val="210"/>
        </w:trPr>
        <w:tc>
          <w:tcPr>
            <w:tcW w:w="2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349987F" w14:textId="77777777" w:rsidR="00B707B7" w:rsidRPr="001D2881" w:rsidRDefault="00B707B7" w:rsidP="00E444B1">
            <w:pPr>
              <w:keepNext/>
              <w:rPr>
                <w:sz w:val="20"/>
                <w:szCs w:val="20"/>
              </w:rPr>
            </w:pPr>
            <w:r w:rsidRPr="001D2881">
              <w:rPr>
                <w:b/>
                <w:sz w:val="20"/>
                <w:szCs w:val="20"/>
              </w:rPr>
              <w:t>Subtotal</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BE6A7" w14:textId="77777777" w:rsidR="00B707B7" w:rsidRPr="001D2881" w:rsidRDefault="00B707B7" w:rsidP="00E444B1">
            <w:pPr>
              <w:keepNext/>
              <w:jc w:val="center"/>
              <w:rPr>
                <w:b/>
                <w:sz w:val="20"/>
                <w:szCs w:val="20"/>
              </w:rPr>
            </w:pPr>
            <w:r w:rsidRPr="001D2881">
              <w:rPr>
                <w:b/>
                <w:sz w:val="20"/>
                <w:szCs w:val="20"/>
              </w:rPr>
              <w:t>613</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C5614" w14:textId="77777777" w:rsidR="00B707B7" w:rsidRPr="001D2881" w:rsidRDefault="00B707B7" w:rsidP="00E444B1">
            <w:pPr>
              <w:keepNext/>
              <w:jc w:val="center"/>
              <w:rPr>
                <w:b/>
                <w:sz w:val="20"/>
                <w:szCs w:val="20"/>
              </w:rPr>
            </w:pPr>
            <w:r w:rsidRPr="001D2881">
              <w:rPr>
                <w:b/>
                <w:sz w:val="20"/>
                <w:szCs w:val="20"/>
              </w:rPr>
              <w:t>79.3</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FF440F" w14:textId="77777777" w:rsidR="00B707B7" w:rsidRPr="001D2881" w:rsidRDefault="00B707B7" w:rsidP="00E444B1">
            <w:pPr>
              <w:keepNext/>
              <w:jc w:val="center"/>
              <w:rPr>
                <w:b/>
                <w:sz w:val="20"/>
                <w:szCs w:val="20"/>
              </w:rPr>
            </w:pPr>
            <w:r w:rsidRPr="001D2881">
              <w:rPr>
                <w:b/>
                <w:sz w:val="20"/>
                <w:szCs w:val="20"/>
              </w:rPr>
              <w:t>160</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2EAF6" w14:textId="77777777" w:rsidR="00B707B7" w:rsidRPr="001D2881" w:rsidRDefault="00B707B7" w:rsidP="00E444B1">
            <w:pPr>
              <w:keepNext/>
              <w:jc w:val="center"/>
              <w:rPr>
                <w:b/>
                <w:sz w:val="20"/>
                <w:szCs w:val="20"/>
              </w:rPr>
            </w:pPr>
            <w:r w:rsidRPr="001D2881">
              <w:rPr>
                <w:b/>
                <w:sz w:val="20"/>
                <w:szCs w:val="20"/>
              </w:rPr>
              <w:t>20.7</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5CAE6B" w14:textId="77777777" w:rsidR="00B707B7" w:rsidRPr="001D2881" w:rsidRDefault="00B707B7" w:rsidP="00E444B1">
            <w:pPr>
              <w:keepNext/>
              <w:jc w:val="center"/>
              <w:rPr>
                <w:b/>
                <w:sz w:val="20"/>
                <w:szCs w:val="20"/>
              </w:rPr>
            </w:pPr>
            <w:r w:rsidRPr="001D2881">
              <w:rPr>
                <w:b/>
                <w:sz w:val="20"/>
                <w:szCs w:val="20"/>
              </w:rPr>
              <w:t>773</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9C0A8D" w14:textId="77777777" w:rsidR="00B707B7" w:rsidRPr="001D2881" w:rsidRDefault="00B707B7" w:rsidP="00E444B1">
            <w:pPr>
              <w:keepNext/>
              <w:jc w:val="center"/>
              <w:rPr>
                <w:b/>
                <w:sz w:val="20"/>
                <w:szCs w:val="20"/>
              </w:rPr>
            </w:pPr>
            <w:r w:rsidRPr="001D2881">
              <w:rPr>
                <w:b/>
                <w:sz w:val="20"/>
                <w:szCs w:val="20"/>
              </w:rPr>
              <w:t>170,566</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4D883B" w14:textId="77777777" w:rsidR="00B707B7" w:rsidRPr="001D2881" w:rsidRDefault="00B707B7" w:rsidP="00E444B1">
            <w:pPr>
              <w:keepNext/>
              <w:jc w:val="center"/>
              <w:rPr>
                <w:b/>
                <w:sz w:val="20"/>
                <w:szCs w:val="20"/>
              </w:rPr>
            </w:pPr>
            <w:r w:rsidRPr="001D2881">
              <w:rPr>
                <w:b/>
                <w:sz w:val="20"/>
                <w:szCs w:val="20"/>
              </w:rPr>
              <w:t>72.1</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70246F" w14:textId="77777777" w:rsidR="00B707B7" w:rsidRPr="001D2881" w:rsidRDefault="00B707B7" w:rsidP="00E444B1">
            <w:pPr>
              <w:keepNext/>
              <w:jc w:val="center"/>
              <w:rPr>
                <w:b/>
                <w:sz w:val="20"/>
                <w:szCs w:val="20"/>
              </w:rPr>
            </w:pPr>
            <w:r w:rsidRPr="001D2881">
              <w:rPr>
                <w:b/>
                <w:sz w:val="20"/>
                <w:szCs w:val="20"/>
              </w:rPr>
              <w:t>66,031</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2B0D5" w14:textId="77777777" w:rsidR="00B707B7" w:rsidRPr="001D2881" w:rsidRDefault="00B707B7" w:rsidP="00E444B1">
            <w:pPr>
              <w:keepNext/>
              <w:jc w:val="center"/>
              <w:rPr>
                <w:b/>
                <w:sz w:val="20"/>
                <w:szCs w:val="20"/>
              </w:rPr>
            </w:pPr>
            <w:r w:rsidRPr="001D2881">
              <w:rPr>
                <w:b/>
                <w:sz w:val="20"/>
                <w:szCs w:val="20"/>
              </w:rPr>
              <w:t>27.9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B6B49D" w14:textId="77777777" w:rsidR="00B707B7" w:rsidRPr="001D2881" w:rsidRDefault="00B707B7" w:rsidP="00E444B1">
            <w:pPr>
              <w:keepNext/>
              <w:jc w:val="center"/>
              <w:rPr>
                <w:b/>
                <w:sz w:val="20"/>
                <w:szCs w:val="20"/>
              </w:rPr>
            </w:pPr>
            <w:r w:rsidRPr="001D2881">
              <w:rPr>
                <w:b/>
                <w:sz w:val="20"/>
                <w:szCs w:val="20"/>
              </w:rPr>
              <w:t>236,597</w:t>
            </w:r>
          </w:p>
        </w:tc>
      </w:tr>
      <w:tr w:rsidR="00B707B7" w:rsidRPr="001D2881" w14:paraId="40EDE23F" w14:textId="77777777" w:rsidTr="00E444B1">
        <w:trPr>
          <w:trHeight w:val="210"/>
        </w:trPr>
        <w:tc>
          <w:tcPr>
            <w:tcW w:w="2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1A7DEDF" w14:textId="77777777" w:rsidR="00B707B7" w:rsidRPr="001D2881" w:rsidRDefault="00B707B7" w:rsidP="00E444B1">
            <w:pPr>
              <w:keepNext/>
              <w:rPr>
                <w:sz w:val="20"/>
                <w:szCs w:val="20"/>
              </w:rPr>
            </w:pPr>
            <w:r w:rsidRPr="001D2881">
              <w:rPr>
                <w:sz w:val="20"/>
                <w:szCs w:val="20"/>
              </w:rPr>
              <w:t>Small Business</w:t>
            </w:r>
          </w:p>
        </w:tc>
        <w:tc>
          <w:tcPr>
            <w:tcW w:w="8913" w:type="dxa"/>
            <w:gridSpan w:val="10"/>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DC3CF" w14:textId="77777777" w:rsidR="00B707B7" w:rsidRPr="001D2881" w:rsidRDefault="00B707B7" w:rsidP="00E444B1">
            <w:pPr>
              <w:keepNext/>
              <w:jc w:val="center"/>
              <w:rPr>
                <w:b/>
                <w:sz w:val="20"/>
                <w:szCs w:val="20"/>
              </w:rPr>
            </w:pPr>
          </w:p>
        </w:tc>
      </w:tr>
      <w:tr w:rsidR="00B707B7" w:rsidRPr="001D2881" w14:paraId="392135EB" w14:textId="77777777" w:rsidTr="00E444B1">
        <w:trPr>
          <w:trHeight w:val="210"/>
        </w:trPr>
        <w:tc>
          <w:tcPr>
            <w:tcW w:w="21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10D6315" w14:textId="77777777" w:rsidR="00B707B7" w:rsidRPr="001D2881" w:rsidRDefault="00B707B7" w:rsidP="00E444B1">
            <w:pPr>
              <w:keepNext/>
              <w:jc w:val="right"/>
              <w:rPr>
                <w:sz w:val="20"/>
                <w:szCs w:val="20"/>
              </w:rPr>
            </w:pPr>
            <w:r w:rsidRPr="001D2881">
              <w:rPr>
                <w:sz w:val="20"/>
                <w:szCs w:val="20"/>
              </w:rPr>
              <w:t>2019</w:t>
            </w:r>
          </w:p>
        </w:tc>
        <w:tc>
          <w:tcPr>
            <w:tcW w:w="1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9EC816" w14:textId="77777777" w:rsidR="00B707B7" w:rsidRPr="001D2881" w:rsidRDefault="00B707B7" w:rsidP="00E444B1">
            <w:pPr>
              <w:keepNext/>
              <w:jc w:val="center"/>
              <w:rPr>
                <w:sz w:val="20"/>
                <w:szCs w:val="20"/>
              </w:rPr>
            </w:pPr>
            <w:r w:rsidRPr="001D2881">
              <w:rPr>
                <w:sz w:val="20"/>
                <w:szCs w:val="20"/>
              </w:rPr>
              <w:t>26</w:t>
            </w:r>
          </w:p>
        </w:tc>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EDB51" w14:textId="77777777" w:rsidR="00B707B7" w:rsidRPr="001D2881" w:rsidRDefault="00B707B7" w:rsidP="00E444B1">
            <w:pPr>
              <w:keepNext/>
              <w:jc w:val="center"/>
              <w:rPr>
                <w:sz w:val="20"/>
                <w:szCs w:val="20"/>
              </w:rPr>
            </w:pPr>
            <w:r w:rsidRPr="001D2881">
              <w:rPr>
                <w:sz w:val="20"/>
                <w:szCs w:val="20"/>
              </w:rPr>
              <w:t>86.7</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0AA63" w14:textId="77777777" w:rsidR="00B707B7" w:rsidRPr="001D2881" w:rsidRDefault="00B707B7" w:rsidP="00E444B1">
            <w:pPr>
              <w:keepNext/>
              <w:jc w:val="center"/>
              <w:rPr>
                <w:sz w:val="20"/>
                <w:szCs w:val="20"/>
              </w:rPr>
            </w:pPr>
            <w:r w:rsidRPr="001D2881">
              <w:rPr>
                <w:sz w:val="20"/>
                <w:szCs w:val="20"/>
              </w:rPr>
              <w:t>4</w:t>
            </w:r>
          </w:p>
        </w:tc>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F56A63" w14:textId="77777777" w:rsidR="00B707B7" w:rsidRPr="001D2881" w:rsidRDefault="00B707B7" w:rsidP="00E444B1">
            <w:pPr>
              <w:keepNext/>
              <w:jc w:val="center"/>
              <w:rPr>
                <w:sz w:val="20"/>
                <w:szCs w:val="20"/>
              </w:rPr>
            </w:pPr>
            <w:r w:rsidRPr="001D2881">
              <w:rPr>
                <w:sz w:val="20"/>
                <w:szCs w:val="20"/>
              </w:rPr>
              <w:t>13.3</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FF2A4F" w14:textId="77777777" w:rsidR="00B707B7" w:rsidRPr="001D2881" w:rsidRDefault="00B707B7" w:rsidP="00E444B1">
            <w:pPr>
              <w:keepNext/>
              <w:jc w:val="center"/>
              <w:rPr>
                <w:sz w:val="20"/>
                <w:szCs w:val="20"/>
              </w:rPr>
            </w:pPr>
            <w:r w:rsidRPr="001D2881">
              <w:rPr>
                <w:sz w:val="20"/>
                <w:szCs w:val="20"/>
              </w:rPr>
              <w:t>30</w:t>
            </w:r>
          </w:p>
        </w:tc>
        <w:tc>
          <w:tcPr>
            <w:tcW w:w="1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70A71" w14:textId="77777777" w:rsidR="00B707B7" w:rsidRPr="001D2881" w:rsidRDefault="00B707B7" w:rsidP="00E444B1">
            <w:pPr>
              <w:keepNext/>
              <w:jc w:val="center"/>
              <w:rPr>
                <w:sz w:val="20"/>
                <w:szCs w:val="20"/>
              </w:rPr>
            </w:pPr>
            <w:r w:rsidRPr="001D2881">
              <w:rPr>
                <w:sz w:val="20"/>
                <w:szCs w:val="20"/>
              </w:rPr>
              <w:t>4,343</w:t>
            </w:r>
          </w:p>
        </w:tc>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28608D" w14:textId="77777777" w:rsidR="00B707B7" w:rsidRPr="001D2881" w:rsidRDefault="00B707B7" w:rsidP="00E444B1">
            <w:pPr>
              <w:keepNext/>
              <w:jc w:val="center"/>
              <w:rPr>
                <w:sz w:val="20"/>
                <w:szCs w:val="20"/>
              </w:rPr>
            </w:pPr>
            <w:r w:rsidRPr="001D2881">
              <w:rPr>
                <w:sz w:val="20"/>
                <w:szCs w:val="20"/>
              </w:rPr>
              <w:t>87.1</w:t>
            </w:r>
          </w:p>
        </w:tc>
        <w:tc>
          <w:tcPr>
            <w:tcW w:w="1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0CD059" w14:textId="77777777" w:rsidR="00B707B7" w:rsidRPr="001D2881" w:rsidRDefault="00B707B7" w:rsidP="00E444B1">
            <w:pPr>
              <w:keepNext/>
              <w:jc w:val="center"/>
              <w:rPr>
                <w:sz w:val="20"/>
                <w:szCs w:val="20"/>
              </w:rPr>
            </w:pPr>
            <w:r w:rsidRPr="001D2881">
              <w:rPr>
                <w:sz w:val="20"/>
                <w:szCs w:val="20"/>
              </w:rPr>
              <w:t>641</w:t>
            </w:r>
          </w:p>
        </w:tc>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A1B8FA" w14:textId="77777777" w:rsidR="00B707B7" w:rsidRPr="001D2881" w:rsidRDefault="00B707B7" w:rsidP="00E444B1">
            <w:pPr>
              <w:keepNext/>
              <w:jc w:val="center"/>
              <w:rPr>
                <w:sz w:val="20"/>
                <w:szCs w:val="20"/>
              </w:rPr>
            </w:pPr>
            <w:r w:rsidRPr="001D2881">
              <w:rPr>
                <w:sz w:val="20"/>
                <w:szCs w:val="20"/>
              </w:rPr>
              <w:t>12.9</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423612" w14:textId="77777777" w:rsidR="00B707B7" w:rsidRPr="001D2881" w:rsidRDefault="00B707B7" w:rsidP="00E444B1">
            <w:pPr>
              <w:keepNext/>
              <w:jc w:val="center"/>
              <w:rPr>
                <w:sz w:val="20"/>
                <w:szCs w:val="20"/>
              </w:rPr>
            </w:pPr>
            <w:r w:rsidRPr="001D2881">
              <w:rPr>
                <w:sz w:val="20"/>
                <w:szCs w:val="20"/>
              </w:rPr>
              <w:t>4,984</w:t>
            </w:r>
          </w:p>
        </w:tc>
      </w:tr>
      <w:tr w:rsidR="00B707B7" w:rsidRPr="001D2881" w14:paraId="1FEA8522" w14:textId="77777777" w:rsidTr="00E444B1">
        <w:trPr>
          <w:trHeight w:val="210"/>
        </w:trPr>
        <w:tc>
          <w:tcPr>
            <w:tcW w:w="21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A1E48FE" w14:textId="77777777" w:rsidR="00B707B7" w:rsidRPr="001D2881" w:rsidRDefault="00B707B7" w:rsidP="00E444B1">
            <w:pPr>
              <w:keepNext/>
              <w:rPr>
                <w:sz w:val="20"/>
                <w:szCs w:val="20"/>
              </w:rPr>
            </w:pPr>
            <w:r w:rsidRPr="001D2881">
              <w:rPr>
                <w:b/>
                <w:sz w:val="20"/>
                <w:szCs w:val="20"/>
              </w:rPr>
              <w:t>Total</w:t>
            </w:r>
          </w:p>
        </w:tc>
        <w:tc>
          <w:tcPr>
            <w:tcW w:w="1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E32333" w14:textId="77777777" w:rsidR="00B707B7" w:rsidRPr="001D2881" w:rsidRDefault="00B707B7" w:rsidP="00E444B1">
            <w:pPr>
              <w:keepNext/>
              <w:jc w:val="center"/>
              <w:rPr>
                <w:b/>
                <w:sz w:val="20"/>
                <w:szCs w:val="20"/>
              </w:rPr>
            </w:pPr>
            <w:r w:rsidRPr="001D2881">
              <w:rPr>
                <w:b/>
                <w:sz w:val="20"/>
                <w:szCs w:val="20"/>
              </w:rPr>
              <w:t>639</w:t>
            </w:r>
          </w:p>
        </w:tc>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A16B8" w14:textId="77777777" w:rsidR="00B707B7" w:rsidRPr="001D2881" w:rsidRDefault="00B707B7" w:rsidP="00E444B1">
            <w:pPr>
              <w:keepNext/>
              <w:jc w:val="center"/>
              <w:rPr>
                <w:b/>
                <w:sz w:val="20"/>
                <w:szCs w:val="20"/>
              </w:rPr>
            </w:pPr>
            <w:r w:rsidRPr="001D2881">
              <w:rPr>
                <w:b/>
                <w:sz w:val="20"/>
                <w:szCs w:val="20"/>
              </w:rPr>
              <w:t>79.6</w:t>
            </w:r>
          </w:p>
        </w:tc>
        <w:tc>
          <w:tcPr>
            <w:tcW w:w="10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67DB7" w14:textId="77777777" w:rsidR="00B707B7" w:rsidRPr="001D2881" w:rsidRDefault="00B707B7" w:rsidP="00E444B1">
            <w:pPr>
              <w:keepNext/>
              <w:jc w:val="center"/>
              <w:rPr>
                <w:b/>
                <w:sz w:val="20"/>
                <w:szCs w:val="20"/>
              </w:rPr>
            </w:pPr>
            <w:r w:rsidRPr="001D2881">
              <w:rPr>
                <w:b/>
                <w:sz w:val="20"/>
                <w:szCs w:val="20"/>
              </w:rPr>
              <w:t>164</w:t>
            </w:r>
          </w:p>
        </w:tc>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A1AC66" w14:textId="77777777" w:rsidR="00B707B7" w:rsidRPr="001D2881" w:rsidRDefault="00B707B7" w:rsidP="00E444B1">
            <w:pPr>
              <w:keepNext/>
              <w:jc w:val="center"/>
              <w:rPr>
                <w:b/>
                <w:sz w:val="20"/>
                <w:szCs w:val="20"/>
              </w:rPr>
            </w:pPr>
            <w:r w:rsidRPr="001D2881">
              <w:rPr>
                <w:b/>
                <w:sz w:val="20"/>
                <w:szCs w:val="20"/>
              </w:rPr>
              <w:t>20.4</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F9382" w14:textId="77777777" w:rsidR="00B707B7" w:rsidRPr="001D2881" w:rsidRDefault="00B707B7" w:rsidP="00E444B1">
            <w:pPr>
              <w:keepNext/>
              <w:jc w:val="center"/>
              <w:rPr>
                <w:b/>
                <w:sz w:val="20"/>
                <w:szCs w:val="20"/>
              </w:rPr>
            </w:pPr>
            <w:r w:rsidRPr="001D2881">
              <w:rPr>
                <w:b/>
                <w:sz w:val="20"/>
                <w:szCs w:val="20"/>
              </w:rPr>
              <w:t>803</w:t>
            </w:r>
          </w:p>
        </w:tc>
        <w:tc>
          <w:tcPr>
            <w:tcW w:w="1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A9C86" w14:textId="77777777" w:rsidR="00B707B7" w:rsidRPr="001D2881" w:rsidRDefault="00B707B7" w:rsidP="00E444B1">
            <w:pPr>
              <w:keepNext/>
              <w:jc w:val="center"/>
              <w:rPr>
                <w:b/>
                <w:sz w:val="20"/>
                <w:szCs w:val="20"/>
              </w:rPr>
            </w:pPr>
            <w:r w:rsidRPr="001D2881">
              <w:rPr>
                <w:b/>
                <w:sz w:val="20"/>
                <w:szCs w:val="20"/>
              </w:rPr>
              <w:t>174,909</w:t>
            </w:r>
          </w:p>
        </w:tc>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43804A" w14:textId="77777777" w:rsidR="00B707B7" w:rsidRPr="001D2881" w:rsidRDefault="00B707B7" w:rsidP="00E444B1">
            <w:pPr>
              <w:keepNext/>
              <w:jc w:val="center"/>
              <w:rPr>
                <w:b/>
                <w:sz w:val="20"/>
                <w:szCs w:val="20"/>
              </w:rPr>
            </w:pPr>
            <w:r w:rsidRPr="001D2881">
              <w:rPr>
                <w:b/>
                <w:sz w:val="20"/>
                <w:szCs w:val="20"/>
              </w:rPr>
              <w:t>72.7</w:t>
            </w:r>
          </w:p>
        </w:tc>
        <w:tc>
          <w:tcPr>
            <w:tcW w:w="1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9D9F42" w14:textId="77777777" w:rsidR="00B707B7" w:rsidRPr="001D2881" w:rsidRDefault="00B707B7" w:rsidP="00E444B1">
            <w:pPr>
              <w:keepNext/>
              <w:jc w:val="center"/>
              <w:rPr>
                <w:b/>
                <w:sz w:val="20"/>
                <w:szCs w:val="20"/>
              </w:rPr>
            </w:pPr>
            <w:r w:rsidRPr="001D2881">
              <w:rPr>
                <w:b/>
                <w:sz w:val="20"/>
                <w:szCs w:val="20"/>
              </w:rPr>
              <w:t>66,672</w:t>
            </w:r>
          </w:p>
        </w:tc>
        <w:tc>
          <w:tcPr>
            <w:tcW w:w="6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F34A91" w14:textId="77777777" w:rsidR="00B707B7" w:rsidRPr="001D2881" w:rsidRDefault="00B707B7" w:rsidP="00E444B1">
            <w:pPr>
              <w:keepNext/>
              <w:jc w:val="center"/>
              <w:rPr>
                <w:b/>
                <w:sz w:val="20"/>
                <w:szCs w:val="20"/>
              </w:rPr>
            </w:pPr>
            <w:r w:rsidRPr="001D2881">
              <w:rPr>
                <w:b/>
                <w:sz w:val="20"/>
                <w:szCs w:val="20"/>
              </w:rPr>
              <w:t>27.7</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80813B" w14:textId="77777777" w:rsidR="00B707B7" w:rsidRPr="001D2881" w:rsidRDefault="00B707B7" w:rsidP="00E444B1">
            <w:pPr>
              <w:keepNext/>
              <w:jc w:val="center"/>
              <w:rPr>
                <w:b/>
                <w:sz w:val="20"/>
                <w:szCs w:val="20"/>
              </w:rPr>
            </w:pPr>
            <w:r w:rsidRPr="001D2881">
              <w:rPr>
                <w:b/>
                <w:sz w:val="20"/>
                <w:szCs w:val="20"/>
              </w:rPr>
              <w:t>240,581</w:t>
            </w:r>
          </w:p>
        </w:tc>
      </w:tr>
      <w:tr w:rsidR="00B707B7" w:rsidRPr="001D2881" w14:paraId="06B3792D" w14:textId="77777777" w:rsidTr="00E444B1">
        <w:trPr>
          <w:trHeight w:val="239"/>
        </w:trPr>
        <w:tc>
          <w:tcPr>
            <w:tcW w:w="11070" w:type="dxa"/>
            <w:gridSpan w:val="11"/>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030234E2" w14:textId="77777777" w:rsidR="00B707B7" w:rsidRPr="001D2881" w:rsidRDefault="00B707B7" w:rsidP="00E444B1">
            <w:pPr>
              <w:keepNext/>
              <w:rPr>
                <w:sz w:val="20"/>
                <w:szCs w:val="20"/>
              </w:rPr>
            </w:pPr>
            <w:r w:rsidRPr="001D2881">
              <w:rPr>
                <w:i/>
                <w:sz w:val="16"/>
                <w:szCs w:val="20"/>
              </w:rPr>
              <w:t>Source: Bank Data  Due to rounding, totals may not equal 100.0%</w:t>
            </w:r>
          </w:p>
        </w:tc>
      </w:tr>
    </w:tbl>
    <w:p w14:paraId="2E3C7A3C" w14:textId="77777777" w:rsidR="00B707B7" w:rsidRPr="001D2881" w:rsidRDefault="00B707B7" w:rsidP="00B707B7">
      <w:pPr>
        <w:rPr>
          <w:bCs/>
          <w:spacing w:val="-3"/>
        </w:rPr>
      </w:pPr>
    </w:p>
    <w:p w14:paraId="612A13D2" w14:textId="77777777" w:rsidR="00B707B7" w:rsidRPr="001D2881" w:rsidRDefault="00B707B7" w:rsidP="00B707B7">
      <w:pPr>
        <w:rPr>
          <w:b/>
          <w:bCs/>
          <w:u w:val="single"/>
        </w:rPr>
      </w:pPr>
      <w:r w:rsidRPr="001D2881">
        <w:rPr>
          <w:b/>
          <w:bCs/>
          <w:u w:val="single"/>
        </w:rPr>
        <w:t>Geographic Distribution</w:t>
      </w:r>
    </w:p>
    <w:p w14:paraId="26474D8C" w14:textId="77777777" w:rsidR="00B707B7" w:rsidRPr="001D2881" w:rsidRDefault="00B707B7" w:rsidP="00B707B7"/>
    <w:p w14:paraId="1876C562" w14:textId="35EE1EFC" w:rsidR="00B707B7" w:rsidRPr="001D2881" w:rsidRDefault="00B707B7" w:rsidP="00B707B7">
      <w:pPr>
        <w:pStyle w:val="QuickFormat1"/>
        <w:jc w:val="left"/>
        <w:rPr>
          <w:b w:val="0"/>
          <w:color w:val="auto"/>
          <w:sz w:val="24"/>
          <w:szCs w:val="24"/>
          <w:u w:val="single"/>
          <w:lang w:val="en-US"/>
        </w:rPr>
      </w:pPr>
      <w:r w:rsidRPr="001D2881">
        <w:rPr>
          <w:b w:val="0"/>
          <w:color w:val="auto"/>
          <w:sz w:val="24"/>
          <w:szCs w:val="24"/>
        </w:rPr>
        <w:t>The geographic distribution of loans reflects reasonable dispersion throughout the assessment area. The bank’s home mortgage lending performance primarily supports this conclusion.</w:t>
      </w:r>
    </w:p>
    <w:p w14:paraId="1F7F0C0F" w14:textId="77777777" w:rsidR="00B707B7" w:rsidRPr="001D2881" w:rsidRDefault="00B707B7" w:rsidP="00B707B7">
      <w:pPr>
        <w:pStyle w:val="QuickFormat1"/>
        <w:jc w:val="left"/>
        <w:rPr>
          <w:b w:val="0"/>
          <w:i/>
          <w:color w:val="auto"/>
          <w:sz w:val="24"/>
          <w:szCs w:val="24"/>
          <w:lang w:val="en-US"/>
        </w:rPr>
      </w:pPr>
    </w:p>
    <w:p w14:paraId="67FE4B8D" w14:textId="77777777" w:rsidR="00B707B7" w:rsidRPr="001D2881" w:rsidRDefault="00B707B7" w:rsidP="00B707B7">
      <w:pPr>
        <w:pStyle w:val="QuickFormat1"/>
        <w:jc w:val="left"/>
        <w:rPr>
          <w:i/>
          <w:color w:val="auto"/>
          <w:sz w:val="24"/>
          <w:szCs w:val="24"/>
          <w:lang w:val="en-US"/>
        </w:rPr>
      </w:pPr>
      <w:r w:rsidRPr="001D2881">
        <w:rPr>
          <w:i/>
          <w:color w:val="auto"/>
          <w:sz w:val="24"/>
          <w:szCs w:val="24"/>
          <w:lang w:val="en-US"/>
        </w:rPr>
        <w:t>Home Mortgage Loans</w:t>
      </w:r>
    </w:p>
    <w:p w14:paraId="21A55197" w14:textId="5CA6BDCE" w:rsidR="00B707B7" w:rsidRPr="001D2881" w:rsidRDefault="00B707B7" w:rsidP="00B707B7">
      <w:pPr>
        <w:pStyle w:val="QuickFormat1"/>
        <w:jc w:val="left"/>
        <w:rPr>
          <w:b w:val="0"/>
          <w:color w:val="auto"/>
          <w:sz w:val="24"/>
          <w:szCs w:val="24"/>
          <w:lang w:val="en-US"/>
        </w:rPr>
      </w:pPr>
      <w:r w:rsidRPr="001D2881">
        <w:rPr>
          <w:b w:val="0"/>
          <w:color w:val="auto"/>
          <w:sz w:val="24"/>
          <w:szCs w:val="24"/>
        </w:rPr>
        <w:t xml:space="preserve">The distribution of home mortgage loans reflects </w:t>
      </w:r>
      <w:r w:rsidRPr="001D2881">
        <w:rPr>
          <w:b w:val="0"/>
          <w:color w:val="auto"/>
          <w:sz w:val="24"/>
          <w:szCs w:val="24"/>
          <w:lang w:val="en-US"/>
        </w:rPr>
        <w:t>reasonable</w:t>
      </w:r>
      <w:r w:rsidRPr="001D2881">
        <w:rPr>
          <w:b w:val="0"/>
          <w:color w:val="auto"/>
          <w:sz w:val="24"/>
          <w:szCs w:val="24"/>
        </w:rPr>
        <w:t xml:space="preserve"> dispersion among low- and moderate-income census tracts</w:t>
      </w:r>
      <w:r w:rsidRPr="001D2881">
        <w:rPr>
          <w:b w:val="0"/>
          <w:color w:val="auto"/>
          <w:sz w:val="24"/>
          <w:szCs w:val="24"/>
          <w:lang w:val="en-US"/>
        </w:rPr>
        <w:t>.</w:t>
      </w:r>
      <w:r w:rsidR="00BA264F">
        <w:rPr>
          <w:b w:val="0"/>
          <w:color w:val="auto"/>
          <w:sz w:val="24"/>
          <w:szCs w:val="24"/>
          <w:lang w:val="en-US"/>
        </w:rPr>
        <w:t xml:space="preserve"> </w:t>
      </w:r>
      <w:r w:rsidRPr="001D2881">
        <w:rPr>
          <w:b w:val="0"/>
          <w:color w:val="auto"/>
          <w:sz w:val="24"/>
          <w:szCs w:val="24"/>
          <w:lang w:val="en-US"/>
        </w:rPr>
        <w:t xml:space="preserve"> The bank showed an improved performance from 2018 to 2019, with the increase in loan volume attributed to the merger with Mutual Bank.  </w:t>
      </w:r>
      <w:r>
        <w:rPr>
          <w:b w:val="0"/>
          <w:color w:val="auto"/>
          <w:sz w:val="24"/>
          <w:szCs w:val="24"/>
          <w:lang w:val="en-US"/>
        </w:rPr>
        <w:t>Furthermore, the bank’s number of branches doubled due to the merger, increasing its resources to reach the expanded assessment area.</w:t>
      </w:r>
      <w:r w:rsidRPr="001D2881">
        <w:rPr>
          <w:b w:val="0"/>
          <w:color w:val="auto"/>
          <w:sz w:val="24"/>
          <w:szCs w:val="24"/>
          <w:lang w:val="en-US"/>
        </w:rPr>
        <w:t xml:space="preserve">  The following table illustrates the bank’s dispersion of home mortgage loans by </w:t>
      </w:r>
      <w:r>
        <w:rPr>
          <w:b w:val="0"/>
          <w:color w:val="auto"/>
          <w:sz w:val="24"/>
          <w:szCs w:val="24"/>
          <w:lang w:val="en-US"/>
        </w:rPr>
        <w:t xml:space="preserve">census </w:t>
      </w:r>
      <w:r w:rsidRPr="001D2881">
        <w:rPr>
          <w:b w:val="0"/>
          <w:color w:val="auto"/>
          <w:sz w:val="24"/>
          <w:szCs w:val="24"/>
          <w:lang w:val="en-US"/>
        </w:rPr>
        <w:t xml:space="preserve">tract income level within the assessment area. </w:t>
      </w:r>
    </w:p>
    <w:p w14:paraId="5E37E0E0" w14:textId="77777777" w:rsidR="00B707B7" w:rsidRPr="001D2881" w:rsidRDefault="00B707B7" w:rsidP="00B707B7">
      <w:pPr>
        <w:pStyle w:val="QuickFormat1"/>
        <w:jc w:val="left"/>
        <w:rPr>
          <w:b w:val="0"/>
          <w:i/>
          <w:color w:val="auto"/>
          <w:sz w:val="24"/>
          <w:szCs w:val="24"/>
          <w:lang w:val="en-US"/>
        </w:rPr>
      </w:pPr>
    </w:p>
    <w:p w14:paraId="20BAD51B" w14:textId="77777777" w:rsidR="00B707B7" w:rsidRPr="001D2881" w:rsidRDefault="00B707B7" w:rsidP="00B707B7">
      <w:pPr>
        <w:pStyle w:val="QuickFormat1"/>
        <w:jc w:val="left"/>
        <w:rPr>
          <w:b w:val="0"/>
          <w:i/>
          <w:color w:val="auto"/>
          <w:sz w:val="24"/>
          <w:szCs w:val="24"/>
          <w:lang w:val="en-US"/>
        </w:rPr>
      </w:pPr>
    </w:p>
    <w:tbl>
      <w:tblPr>
        <w:tblW w:w="0" w:type="auto"/>
        <w:tblCellMar>
          <w:left w:w="0" w:type="dxa"/>
          <w:right w:w="0" w:type="dxa"/>
        </w:tblCellMar>
        <w:tblLook w:val="0000" w:firstRow="0" w:lastRow="0" w:firstColumn="0" w:lastColumn="0" w:noHBand="0" w:noVBand="0"/>
      </w:tblPr>
      <w:tblGrid>
        <w:gridCol w:w="2592"/>
        <w:gridCol w:w="1584"/>
        <w:gridCol w:w="1440"/>
        <w:gridCol w:w="1239"/>
        <w:gridCol w:w="869"/>
        <w:gridCol w:w="1028"/>
        <w:gridCol w:w="834"/>
      </w:tblGrid>
      <w:tr w:rsidR="00B707B7" w:rsidRPr="001D2881" w14:paraId="7DDD4F9F" w14:textId="77777777" w:rsidTr="00E444B1">
        <w:trPr>
          <w:trHeight w:val="282"/>
        </w:trPr>
        <w:tc>
          <w:tcPr>
            <w:tcW w:w="9586"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3A8E3D95" w14:textId="77777777" w:rsidR="00B707B7" w:rsidRPr="001D2881" w:rsidRDefault="00B707B7" w:rsidP="00E444B1">
            <w:pPr>
              <w:keepNext/>
              <w:jc w:val="center"/>
            </w:pPr>
            <w:r w:rsidRPr="001D2881">
              <w:rPr>
                <w:b/>
                <w:sz w:val="20"/>
              </w:rPr>
              <w:lastRenderedPageBreak/>
              <w:t>Geographic Distribution of Home Mortgage Loans</w:t>
            </w:r>
          </w:p>
        </w:tc>
      </w:tr>
      <w:tr w:rsidR="00B707B7" w:rsidRPr="001D2881" w14:paraId="49FF8A7E" w14:textId="77777777" w:rsidTr="00E444B1">
        <w:trPr>
          <w:trHeight w:val="498"/>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E448671" w14:textId="77777777" w:rsidR="00B707B7" w:rsidRPr="001D2881" w:rsidRDefault="00B707B7" w:rsidP="00E444B1">
            <w:pPr>
              <w:keepNext/>
            </w:pPr>
            <w:r w:rsidRPr="001D2881">
              <w:rPr>
                <w:b/>
                <w:sz w:val="20"/>
              </w:rPr>
              <w:t>Tract Income Level</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5E6644F" w14:textId="77777777" w:rsidR="00B707B7" w:rsidRPr="001D2881" w:rsidRDefault="00B707B7" w:rsidP="00E444B1">
            <w:pPr>
              <w:keepNext/>
              <w:jc w:val="center"/>
            </w:pPr>
            <w:r w:rsidRPr="001D2881">
              <w:rPr>
                <w:b/>
                <w:sz w:val="20"/>
              </w:rPr>
              <w:t>% of  Owner-Occupied Housing Units</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2A2FA93" w14:textId="77777777" w:rsidR="00B707B7" w:rsidRPr="001D2881" w:rsidRDefault="00B707B7" w:rsidP="00E444B1">
            <w:pPr>
              <w:keepNext/>
              <w:jc w:val="center"/>
            </w:pPr>
            <w:r w:rsidRPr="001D2881">
              <w:rPr>
                <w:b/>
                <w:sz w:val="20"/>
              </w:rPr>
              <w:t>Aggregate Performance</w:t>
            </w:r>
            <w:r w:rsidRPr="001D2881">
              <w:rPr>
                <w:b/>
                <w:sz w:val="20"/>
              </w:rPr>
              <w:br/>
              <w:t>% of #</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173A502" w14:textId="77777777" w:rsidR="00B707B7" w:rsidRPr="001D2881" w:rsidRDefault="00B707B7" w:rsidP="00E444B1">
            <w:pPr>
              <w:keepNext/>
              <w:jc w:val="center"/>
            </w:pPr>
            <w:r w:rsidRPr="001D2881">
              <w:rPr>
                <w:b/>
                <w:sz w:val="20"/>
              </w:rPr>
              <w:t>#</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C8DFBC4" w14:textId="77777777" w:rsidR="00B707B7" w:rsidRPr="001D2881" w:rsidRDefault="00B707B7" w:rsidP="00E444B1">
            <w:pPr>
              <w:keepNext/>
              <w:jc w:val="center"/>
            </w:pPr>
            <w:r w:rsidRPr="001D2881">
              <w:rPr>
                <w:b/>
                <w:sz w:val="20"/>
              </w:rPr>
              <w:t>%</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E007753" w14:textId="77777777" w:rsidR="00B707B7" w:rsidRPr="001D2881" w:rsidRDefault="00B707B7" w:rsidP="00E444B1">
            <w:pPr>
              <w:keepNext/>
              <w:jc w:val="center"/>
            </w:pPr>
            <w:r w:rsidRPr="001D2881">
              <w:rPr>
                <w:b/>
                <w:sz w:val="20"/>
              </w:rPr>
              <w:t>$(000s)</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2EEB0BF" w14:textId="77777777" w:rsidR="00B707B7" w:rsidRPr="001D2881" w:rsidRDefault="00B707B7" w:rsidP="00E444B1">
            <w:pPr>
              <w:keepNext/>
              <w:jc w:val="center"/>
            </w:pPr>
            <w:r w:rsidRPr="001D2881">
              <w:rPr>
                <w:b/>
                <w:sz w:val="20"/>
              </w:rPr>
              <w:t>%</w:t>
            </w:r>
          </w:p>
        </w:tc>
      </w:tr>
      <w:tr w:rsidR="00B707B7" w:rsidRPr="001D2881" w14:paraId="6BCF1DCD" w14:textId="77777777" w:rsidTr="00E444B1">
        <w:trPr>
          <w:trHeight w:val="195"/>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B70EE65" w14:textId="77777777" w:rsidR="00B707B7" w:rsidRPr="001D2881" w:rsidRDefault="00B707B7" w:rsidP="00E444B1">
            <w:pPr>
              <w:keepNext/>
            </w:pPr>
            <w:r w:rsidRPr="001D2881">
              <w:rPr>
                <w:sz w:val="20"/>
              </w:rPr>
              <w:t>Low</w:t>
            </w:r>
          </w:p>
        </w:tc>
        <w:tc>
          <w:tcPr>
            <w:tcW w:w="69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7684BC" w14:textId="77777777" w:rsidR="00B707B7" w:rsidRPr="001D2881" w:rsidRDefault="00B707B7" w:rsidP="00E444B1">
            <w:pPr>
              <w:keepNext/>
            </w:pPr>
          </w:p>
        </w:tc>
      </w:tr>
      <w:tr w:rsidR="00B707B7" w:rsidRPr="001D2881" w14:paraId="54536483" w14:textId="77777777" w:rsidTr="00E444B1">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3B724D5" w14:textId="77777777" w:rsidR="00B707B7" w:rsidRPr="001D2881" w:rsidRDefault="00B707B7" w:rsidP="00E444B1">
            <w:pPr>
              <w:keepNext/>
              <w:jc w:val="right"/>
            </w:pPr>
            <w:r w:rsidRPr="001D2881">
              <w:rPr>
                <w:sz w:val="20"/>
              </w:rPr>
              <w:t>2018</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0CAD76" w14:textId="77777777" w:rsidR="00B707B7" w:rsidRPr="001D2881" w:rsidRDefault="00B707B7" w:rsidP="00E444B1">
            <w:pPr>
              <w:keepNext/>
              <w:jc w:val="center"/>
            </w:pPr>
            <w:r w:rsidRPr="001D2881">
              <w:rPr>
                <w:sz w:val="20"/>
              </w:rPr>
              <w:t>1.1</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7568B" w14:textId="77777777" w:rsidR="00B707B7" w:rsidRPr="001D2881" w:rsidRDefault="00B707B7" w:rsidP="00E444B1">
            <w:pPr>
              <w:keepNext/>
              <w:jc w:val="center"/>
            </w:pPr>
            <w:r w:rsidRPr="001D2881">
              <w:rPr>
                <w:sz w:val="20"/>
              </w:rPr>
              <w:t>1.8</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FE1B2" w14:textId="77777777" w:rsidR="00B707B7" w:rsidRPr="001D2881" w:rsidRDefault="00B707B7" w:rsidP="00E444B1">
            <w:pPr>
              <w:keepNext/>
              <w:jc w:val="center"/>
            </w:pPr>
            <w:r w:rsidRPr="001D2881">
              <w:rPr>
                <w:sz w:val="20"/>
              </w:rPr>
              <w:t>1</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24347" w14:textId="77777777" w:rsidR="00B707B7" w:rsidRPr="001D2881" w:rsidRDefault="00B707B7" w:rsidP="00E444B1">
            <w:pPr>
              <w:keepNext/>
              <w:jc w:val="center"/>
            </w:pPr>
            <w:r w:rsidRPr="001D2881">
              <w:rPr>
                <w:sz w:val="20"/>
              </w:rPr>
              <w:t>0.9</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4BDDED" w14:textId="77777777" w:rsidR="00B707B7" w:rsidRPr="001D2881" w:rsidRDefault="00B707B7" w:rsidP="00E444B1">
            <w:pPr>
              <w:keepNext/>
              <w:jc w:val="center"/>
            </w:pPr>
            <w:r w:rsidRPr="001D2881">
              <w:rPr>
                <w:sz w:val="20"/>
              </w:rPr>
              <w:t>764</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D8C7C" w14:textId="77777777" w:rsidR="00B707B7" w:rsidRPr="001D2881" w:rsidRDefault="00B707B7" w:rsidP="00E444B1">
            <w:pPr>
              <w:keepNext/>
              <w:jc w:val="center"/>
            </w:pPr>
            <w:r w:rsidRPr="001D2881">
              <w:rPr>
                <w:sz w:val="20"/>
              </w:rPr>
              <w:t>2.2</w:t>
            </w:r>
          </w:p>
        </w:tc>
      </w:tr>
      <w:tr w:rsidR="00B707B7" w:rsidRPr="001D2881" w14:paraId="4FA2640B" w14:textId="77777777" w:rsidTr="00E444B1">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E43CBE9" w14:textId="77777777" w:rsidR="00B707B7" w:rsidRPr="001D2881" w:rsidRDefault="00B707B7" w:rsidP="00E444B1">
            <w:pPr>
              <w:keepNext/>
              <w:jc w:val="right"/>
            </w:pPr>
            <w:r w:rsidRPr="001D2881">
              <w:rPr>
                <w:sz w:val="20"/>
              </w:rPr>
              <w:t>2019</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266B6" w14:textId="77777777" w:rsidR="00B707B7" w:rsidRPr="001D2881" w:rsidRDefault="00B707B7" w:rsidP="00E444B1">
            <w:pPr>
              <w:keepNext/>
              <w:jc w:val="center"/>
            </w:pPr>
            <w:r w:rsidRPr="001D2881">
              <w:rPr>
                <w:sz w:val="20"/>
              </w:rPr>
              <w:t>1.1</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5B2F61" w14:textId="77777777" w:rsidR="00B707B7" w:rsidRPr="001D2881" w:rsidRDefault="00B707B7" w:rsidP="00E444B1">
            <w:pPr>
              <w:keepNext/>
              <w:jc w:val="center"/>
            </w:pPr>
            <w:r w:rsidRPr="001D2881">
              <w:rPr>
                <w:sz w:val="20"/>
              </w:rPr>
              <w:t>1.5</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57F37" w14:textId="77777777" w:rsidR="00B707B7" w:rsidRPr="001D2881" w:rsidRDefault="00B707B7" w:rsidP="00E444B1">
            <w:pPr>
              <w:keepNext/>
              <w:jc w:val="center"/>
            </w:pPr>
            <w:r w:rsidRPr="001D2881">
              <w:rPr>
                <w:sz w:val="20"/>
              </w:rPr>
              <w:t>4</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5E5F29" w14:textId="77777777" w:rsidR="00B707B7" w:rsidRPr="001D2881" w:rsidRDefault="00B707B7" w:rsidP="00E444B1">
            <w:pPr>
              <w:keepNext/>
              <w:jc w:val="center"/>
            </w:pPr>
            <w:r w:rsidRPr="001D2881">
              <w:rPr>
                <w:sz w:val="20"/>
              </w:rPr>
              <w:t>1.2</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757D3D" w14:textId="77777777" w:rsidR="00B707B7" w:rsidRPr="001D2881" w:rsidRDefault="00B707B7" w:rsidP="00E444B1">
            <w:pPr>
              <w:keepNext/>
              <w:jc w:val="center"/>
            </w:pPr>
            <w:r w:rsidRPr="001D2881">
              <w:rPr>
                <w:sz w:val="20"/>
              </w:rPr>
              <w:t>1,154</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5262BB" w14:textId="77777777" w:rsidR="00B707B7" w:rsidRPr="001D2881" w:rsidRDefault="00B707B7" w:rsidP="00E444B1">
            <w:pPr>
              <w:keepNext/>
              <w:jc w:val="center"/>
            </w:pPr>
            <w:r w:rsidRPr="001D2881">
              <w:rPr>
                <w:sz w:val="20"/>
              </w:rPr>
              <w:t>1.3</w:t>
            </w:r>
          </w:p>
        </w:tc>
      </w:tr>
      <w:tr w:rsidR="00B707B7" w:rsidRPr="001D2881" w14:paraId="3D3B71AA" w14:textId="77777777" w:rsidTr="00E444B1">
        <w:trPr>
          <w:trHeight w:val="195"/>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3E4D81C" w14:textId="77777777" w:rsidR="00B707B7" w:rsidRPr="001D2881" w:rsidRDefault="00B707B7" w:rsidP="00E444B1">
            <w:pPr>
              <w:keepNext/>
            </w:pPr>
            <w:r w:rsidRPr="001D2881">
              <w:rPr>
                <w:sz w:val="20"/>
              </w:rPr>
              <w:t>Moderate</w:t>
            </w:r>
          </w:p>
        </w:tc>
        <w:tc>
          <w:tcPr>
            <w:tcW w:w="69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3630B" w14:textId="77777777" w:rsidR="00B707B7" w:rsidRPr="001D2881" w:rsidRDefault="00B707B7" w:rsidP="00E444B1">
            <w:pPr>
              <w:keepNext/>
            </w:pPr>
          </w:p>
        </w:tc>
      </w:tr>
      <w:tr w:rsidR="00B707B7" w:rsidRPr="001D2881" w14:paraId="4CB1F854" w14:textId="77777777" w:rsidTr="00E444B1">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C846A57" w14:textId="77777777" w:rsidR="00B707B7" w:rsidRPr="001D2881" w:rsidRDefault="00B707B7" w:rsidP="00E444B1">
            <w:pPr>
              <w:keepNext/>
              <w:jc w:val="right"/>
            </w:pPr>
            <w:r w:rsidRPr="001D2881">
              <w:rPr>
                <w:sz w:val="20"/>
              </w:rPr>
              <w:t>2018</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04E70" w14:textId="77777777" w:rsidR="00B707B7" w:rsidRPr="001D2881" w:rsidRDefault="00B707B7" w:rsidP="00E444B1">
            <w:pPr>
              <w:keepNext/>
              <w:jc w:val="center"/>
            </w:pPr>
            <w:r w:rsidRPr="001D2881">
              <w:rPr>
                <w:sz w:val="20"/>
              </w:rPr>
              <w:t>12.2</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FE1FCB" w14:textId="77777777" w:rsidR="00B707B7" w:rsidRPr="001D2881" w:rsidRDefault="00B707B7" w:rsidP="00E444B1">
            <w:pPr>
              <w:keepNext/>
              <w:jc w:val="center"/>
            </w:pPr>
            <w:r w:rsidRPr="001D2881">
              <w:rPr>
                <w:sz w:val="20"/>
              </w:rPr>
              <w:t>13.7</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66107" w14:textId="77777777" w:rsidR="00B707B7" w:rsidRPr="001D2881" w:rsidRDefault="00B707B7" w:rsidP="00E444B1">
            <w:pPr>
              <w:keepNext/>
              <w:jc w:val="center"/>
            </w:pPr>
            <w:r w:rsidRPr="001D2881">
              <w:rPr>
                <w:sz w:val="20"/>
              </w:rPr>
              <w:t>7</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94F873" w14:textId="77777777" w:rsidR="00B707B7" w:rsidRPr="001D2881" w:rsidRDefault="00B707B7" w:rsidP="00E444B1">
            <w:pPr>
              <w:keepNext/>
              <w:jc w:val="center"/>
            </w:pPr>
            <w:r w:rsidRPr="001D2881">
              <w:rPr>
                <w:sz w:val="20"/>
              </w:rPr>
              <w:t>6.2</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C2260" w14:textId="77777777" w:rsidR="00B707B7" w:rsidRPr="001D2881" w:rsidRDefault="00B707B7" w:rsidP="00E444B1">
            <w:pPr>
              <w:keepNext/>
              <w:jc w:val="center"/>
            </w:pPr>
            <w:r w:rsidRPr="001D2881">
              <w:rPr>
                <w:sz w:val="20"/>
              </w:rPr>
              <w:t>1,359</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FAB78" w14:textId="77777777" w:rsidR="00B707B7" w:rsidRPr="001D2881" w:rsidRDefault="00B707B7" w:rsidP="00E444B1">
            <w:pPr>
              <w:keepNext/>
              <w:jc w:val="center"/>
            </w:pPr>
            <w:r w:rsidRPr="001D2881">
              <w:rPr>
                <w:sz w:val="20"/>
              </w:rPr>
              <w:t>4.0</w:t>
            </w:r>
          </w:p>
        </w:tc>
      </w:tr>
      <w:tr w:rsidR="00B707B7" w:rsidRPr="001D2881" w14:paraId="2EA8D3B9" w14:textId="77777777" w:rsidTr="00E444B1">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2909145" w14:textId="77777777" w:rsidR="00B707B7" w:rsidRPr="001D2881" w:rsidRDefault="00B707B7" w:rsidP="00E444B1">
            <w:pPr>
              <w:keepNext/>
              <w:jc w:val="right"/>
            </w:pPr>
            <w:r w:rsidRPr="001D2881">
              <w:rPr>
                <w:sz w:val="20"/>
              </w:rPr>
              <w:t>2019</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21ED57" w14:textId="77777777" w:rsidR="00B707B7" w:rsidRPr="001D2881" w:rsidRDefault="00B707B7" w:rsidP="00E444B1">
            <w:pPr>
              <w:keepNext/>
              <w:jc w:val="center"/>
            </w:pPr>
            <w:r w:rsidRPr="001D2881">
              <w:rPr>
                <w:sz w:val="20"/>
              </w:rPr>
              <w:t>12.2</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B0450" w14:textId="77777777" w:rsidR="00B707B7" w:rsidRPr="001D2881" w:rsidRDefault="00B707B7" w:rsidP="00E444B1">
            <w:pPr>
              <w:keepNext/>
              <w:jc w:val="center"/>
            </w:pPr>
            <w:r w:rsidRPr="001D2881">
              <w:rPr>
                <w:sz w:val="20"/>
              </w:rPr>
              <w:t>12.8</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14581" w14:textId="77777777" w:rsidR="00B707B7" w:rsidRPr="001D2881" w:rsidRDefault="00B707B7" w:rsidP="00E444B1">
            <w:pPr>
              <w:keepNext/>
              <w:jc w:val="center"/>
            </w:pPr>
            <w:r w:rsidRPr="001D2881">
              <w:rPr>
                <w:sz w:val="20"/>
              </w:rPr>
              <w:t>44</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D45AE7" w14:textId="77777777" w:rsidR="00B707B7" w:rsidRPr="001D2881" w:rsidRDefault="00B707B7" w:rsidP="00E444B1">
            <w:pPr>
              <w:keepNext/>
              <w:jc w:val="center"/>
            </w:pPr>
            <w:r w:rsidRPr="001D2881">
              <w:rPr>
                <w:sz w:val="20"/>
              </w:rPr>
              <w:t>12.9</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01F1E" w14:textId="77777777" w:rsidR="00B707B7" w:rsidRPr="001D2881" w:rsidRDefault="00B707B7" w:rsidP="00E444B1">
            <w:pPr>
              <w:keepNext/>
              <w:jc w:val="center"/>
            </w:pPr>
            <w:r w:rsidRPr="001D2881">
              <w:rPr>
                <w:sz w:val="20"/>
              </w:rPr>
              <w:t>8,964</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69B83" w14:textId="77777777" w:rsidR="00B707B7" w:rsidRPr="001D2881" w:rsidRDefault="00B707B7" w:rsidP="00E444B1">
            <w:pPr>
              <w:keepNext/>
              <w:jc w:val="center"/>
            </w:pPr>
            <w:r w:rsidRPr="001D2881">
              <w:rPr>
                <w:sz w:val="20"/>
              </w:rPr>
              <w:t>9.9</w:t>
            </w:r>
          </w:p>
        </w:tc>
      </w:tr>
      <w:tr w:rsidR="00B707B7" w:rsidRPr="001D2881" w14:paraId="373FF8E4" w14:textId="77777777" w:rsidTr="00E444B1">
        <w:trPr>
          <w:trHeight w:val="195"/>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DCF1F99" w14:textId="77777777" w:rsidR="00B707B7" w:rsidRPr="001D2881" w:rsidRDefault="00B707B7" w:rsidP="00E444B1">
            <w:pPr>
              <w:keepNext/>
            </w:pPr>
            <w:r w:rsidRPr="001D2881">
              <w:rPr>
                <w:sz w:val="20"/>
              </w:rPr>
              <w:t>Middle</w:t>
            </w:r>
          </w:p>
        </w:tc>
        <w:tc>
          <w:tcPr>
            <w:tcW w:w="69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FBFDAF" w14:textId="77777777" w:rsidR="00B707B7" w:rsidRPr="001D2881" w:rsidRDefault="00B707B7" w:rsidP="00E444B1">
            <w:pPr>
              <w:keepNext/>
            </w:pPr>
          </w:p>
        </w:tc>
      </w:tr>
      <w:tr w:rsidR="00B707B7" w:rsidRPr="001D2881" w14:paraId="36542C7B" w14:textId="77777777" w:rsidTr="00E444B1">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C3C2642" w14:textId="77777777" w:rsidR="00B707B7" w:rsidRPr="001D2881" w:rsidRDefault="00B707B7" w:rsidP="00E444B1">
            <w:pPr>
              <w:keepNext/>
              <w:jc w:val="right"/>
            </w:pPr>
            <w:r w:rsidRPr="001D2881">
              <w:rPr>
                <w:sz w:val="20"/>
              </w:rPr>
              <w:t>2018</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48D3E" w14:textId="77777777" w:rsidR="00B707B7" w:rsidRPr="001D2881" w:rsidRDefault="00B707B7" w:rsidP="00E444B1">
            <w:pPr>
              <w:keepNext/>
              <w:jc w:val="center"/>
            </w:pPr>
            <w:r w:rsidRPr="001D2881">
              <w:rPr>
                <w:sz w:val="20"/>
              </w:rPr>
              <w:t>49.4</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FB4024" w14:textId="77777777" w:rsidR="00B707B7" w:rsidRPr="001D2881" w:rsidRDefault="00B707B7" w:rsidP="00E444B1">
            <w:pPr>
              <w:keepNext/>
              <w:jc w:val="center"/>
            </w:pPr>
            <w:r w:rsidRPr="001D2881">
              <w:rPr>
                <w:sz w:val="20"/>
              </w:rPr>
              <w:t>48.5</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87CE4" w14:textId="77777777" w:rsidR="00B707B7" w:rsidRPr="001D2881" w:rsidRDefault="00B707B7" w:rsidP="00E444B1">
            <w:pPr>
              <w:keepNext/>
              <w:jc w:val="center"/>
            </w:pPr>
            <w:r w:rsidRPr="001D2881">
              <w:rPr>
                <w:sz w:val="20"/>
              </w:rPr>
              <w:t>26</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3C3289" w14:textId="77777777" w:rsidR="00B707B7" w:rsidRPr="001D2881" w:rsidRDefault="00B707B7" w:rsidP="00E444B1">
            <w:pPr>
              <w:keepNext/>
              <w:jc w:val="center"/>
            </w:pPr>
            <w:r w:rsidRPr="001D2881">
              <w:rPr>
                <w:sz w:val="20"/>
              </w:rPr>
              <w:t>23.0</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6B876A" w14:textId="77777777" w:rsidR="00B707B7" w:rsidRPr="001D2881" w:rsidRDefault="00B707B7" w:rsidP="00E444B1">
            <w:pPr>
              <w:keepNext/>
              <w:jc w:val="center"/>
            </w:pPr>
            <w:r w:rsidRPr="001D2881">
              <w:rPr>
                <w:sz w:val="20"/>
              </w:rPr>
              <w:t>8,904</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36B897" w14:textId="77777777" w:rsidR="00B707B7" w:rsidRPr="001D2881" w:rsidRDefault="00B707B7" w:rsidP="00E444B1">
            <w:pPr>
              <w:keepNext/>
              <w:jc w:val="center"/>
            </w:pPr>
            <w:r w:rsidRPr="001D2881">
              <w:rPr>
                <w:sz w:val="20"/>
              </w:rPr>
              <w:t>26.2</w:t>
            </w:r>
          </w:p>
        </w:tc>
      </w:tr>
      <w:tr w:rsidR="00B707B7" w:rsidRPr="001D2881" w14:paraId="03A9297B" w14:textId="77777777" w:rsidTr="00E444B1">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63B4A4B" w14:textId="77777777" w:rsidR="00B707B7" w:rsidRPr="001D2881" w:rsidRDefault="00B707B7" w:rsidP="00E444B1">
            <w:pPr>
              <w:keepNext/>
              <w:jc w:val="right"/>
            </w:pPr>
            <w:r w:rsidRPr="001D2881">
              <w:rPr>
                <w:sz w:val="20"/>
              </w:rPr>
              <w:t>2019</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DF065" w14:textId="77777777" w:rsidR="00B707B7" w:rsidRPr="001D2881" w:rsidRDefault="00B707B7" w:rsidP="00E444B1">
            <w:pPr>
              <w:keepNext/>
              <w:jc w:val="center"/>
            </w:pPr>
            <w:r w:rsidRPr="001D2881">
              <w:rPr>
                <w:sz w:val="20"/>
              </w:rPr>
              <w:t>49.4</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1C21AB" w14:textId="77777777" w:rsidR="00B707B7" w:rsidRPr="001D2881" w:rsidRDefault="00B707B7" w:rsidP="00E444B1">
            <w:pPr>
              <w:keepNext/>
              <w:jc w:val="center"/>
            </w:pPr>
            <w:r w:rsidRPr="001D2881">
              <w:rPr>
                <w:sz w:val="20"/>
              </w:rPr>
              <w:t>48.5</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4461D5" w14:textId="77777777" w:rsidR="00B707B7" w:rsidRPr="001D2881" w:rsidRDefault="00B707B7" w:rsidP="00E444B1">
            <w:pPr>
              <w:keepNext/>
              <w:jc w:val="center"/>
            </w:pPr>
            <w:r w:rsidRPr="001D2881">
              <w:rPr>
                <w:sz w:val="20"/>
              </w:rPr>
              <w:t>176</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9F182" w14:textId="77777777" w:rsidR="00B707B7" w:rsidRPr="001D2881" w:rsidRDefault="00B707B7" w:rsidP="00E444B1">
            <w:pPr>
              <w:keepNext/>
              <w:jc w:val="center"/>
            </w:pPr>
            <w:r w:rsidRPr="001D2881">
              <w:rPr>
                <w:sz w:val="20"/>
              </w:rPr>
              <w:t>51.6</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62ECDC" w14:textId="77777777" w:rsidR="00B707B7" w:rsidRPr="001D2881" w:rsidRDefault="00B707B7" w:rsidP="00E444B1">
            <w:pPr>
              <w:keepNext/>
              <w:jc w:val="center"/>
            </w:pPr>
            <w:r w:rsidRPr="001D2881">
              <w:rPr>
                <w:sz w:val="20"/>
              </w:rPr>
              <w:t>41,440</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5653A" w14:textId="77777777" w:rsidR="00B707B7" w:rsidRPr="001D2881" w:rsidRDefault="00B707B7" w:rsidP="00E444B1">
            <w:pPr>
              <w:keepNext/>
              <w:jc w:val="center"/>
            </w:pPr>
            <w:r w:rsidRPr="001D2881">
              <w:rPr>
                <w:sz w:val="20"/>
              </w:rPr>
              <w:t>45.8</w:t>
            </w:r>
          </w:p>
        </w:tc>
      </w:tr>
      <w:tr w:rsidR="00B707B7" w:rsidRPr="001D2881" w14:paraId="40FF5D45" w14:textId="77777777" w:rsidTr="00E444B1">
        <w:trPr>
          <w:trHeight w:val="195"/>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BA90B22" w14:textId="77777777" w:rsidR="00B707B7" w:rsidRPr="001D2881" w:rsidRDefault="00B707B7" w:rsidP="00E444B1">
            <w:pPr>
              <w:keepNext/>
            </w:pPr>
            <w:r w:rsidRPr="001D2881">
              <w:rPr>
                <w:sz w:val="20"/>
              </w:rPr>
              <w:t>Upper</w:t>
            </w:r>
          </w:p>
        </w:tc>
        <w:tc>
          <w:tcPr>
            <w:tcW w:w="69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1CDAB6" w14:textId="77777777" w:rsidR="00B707B7" w:rsidRPr="001D2881" w:rsidRDefault="00B707B7" w:rsidP="00E444B1">
            <w:pPr>
              <w:keepNext/>
            </w:pPr>
          </w:p>
        </w:tc>
      </w:tr>
      <w:tr w:rsidR="00B707B7" w:rsidRPr="001D2881" w14:paraId="59DBECE6" w14:textId="77777777" w:rsidTr="00E444B1">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FAA024D" w14:textId="77777777" w:rsidR="00B707B7" w:rsidRPr="001D2881" w:rsidRDefault="00B707B7" w:rsidP="00E444B1">
            <w:pPr>
              <w:keepNext/>
              <w:jc w:val="right"/>
            </w:pPr>
            <w:r w:rsidRPr="001D2881">
              <w:rPr>
                <w:sz w:val="20"/>
              </w:rPr>
              <w:t>2018</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6FC78" w14:textId="77777777" w:rsidR="00B707B7" w:rsidRPr="001D2881" w:rsidRDefault="00B707B7" w:rsidP="00E444B1">
            <w:pPr>
              <w:keepNext/>
              <w:jc w:val="center"/>
            </w:pPr>
            <w:r w:rsidRPr="001D2881">
              <w:rPr>
                <w:sz w:val="20"/>
              </w:rPr>
              <w:t>37.2</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05FC8" w14:textId="77777777" w:rsidR="00B707B7" w:rsidRPr="001D2881" w:rsidRDefault="00B707B7" w:rsidP="00E444B1">
            <w:pPr>
              <w:keepNext/>
              <w:jc w:val="center"/>
            </w:pPr>
            <w:r w:rsidRPr="001D2881">
              <w:rPr>
                <w:sz w:val="20"/>
              </w:rPr>
              <w:t>36.0</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773D8" w14:textId="77777777" w:rsidR="00B707B7" w:rsidRPr="001D2881" w:rsidRDefault="00B707B7" w:rsidP="00E444B1">
            <w:pPr>
              <w:keepNext/>
              <w:jc w:val="center"/>
            </w:pPr>
            <w:r w:rsidRPr="001D2881">
              <w:rPr>
                <w:sz w:val="20"/>
              </w:rPr>
              <w:t>79</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03E66F" w14:textId="77777777" w:rsidR="00B707B7" w:rsidRPr="001D2881" w:rsidRDefault="00B707B7" w:rsidP="00E444B1">
            <w:pPr>
              <w:keepNext/>
              <w:jc w:val="center"/>
            </w:pPr>
            <w:r w:rsidRPr="001D2881">
              <w:rPr>
                <w:sz w:val="20"/>
              </w:rPr>
              <w:t>69.9</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ABF64E" w14:textId="77777777" w:rsidR="00B707B7" w:rsidRPr="001D2881" w:rsidRDefault="00B707B7" w:rsidP="00E444B1">
            <w:pPr>
              <w:keepNext/>
              <w:jc w:val="center"/>
            </w:pPr>
            <w:r w:rsidRPr="001D2881">
              <w:rPr>
                <w:sz w:val="20"/>
              </w:rPr>
              <w:t>22,970</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150133" w14:textId="77777777" w:rsidR="00B707B7" w:rsidRPr="001D2881" w:rsidRDefault="00B707B7" w:rsidP="00E444B1">
            <w:pPr>
              <w:keepNext/>
              <w:jc w:val="center"/>
            </w:pPr>
            <w:r w:rsidRPr="001D2881">
              <w:rPr>
                <w:sz w:val="20"/>
              </w:rPr>
              <w:t>67.6</w:t>
            </w:r>
          </w:p>
        </w:tc>
      </w:tr>
      <w:tr w:rsidR="00B707B7" w:rsidRPr="001D2881" w14:paraId="7F5BD473" w14:textId="77777777" w:rsidTr="00E444B1">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51C18A2" w14:textId="77777777" w:rsidR="00B707B7" w:rsidRPr="001D2881" w:rsidRDefault="00B707B7" w:rsidP="00E444B1">
            <w:pPr>
              <w:keepNext/>
              <w:jc w:val="right"/>
            </w:pPr>
            <w:r w:rsidRPr="001D2881">
              <w:rPr>
                <w:sz w:val="20"/>
              </w:rPr>
              <w:t>2019</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E9D9F8" w14:textId="77777777" w:rsidR="00B707B7" w:rsidRPr="001D2881" w:rsidRDefault="00B707B7" w:rsidP="00E444B1">
            <w:pPr>
              <w:keepNext/>
              <w:jc w:val="center"/>
            </w:pPr>
            <w:r w:rsidRPr="001D2881">
              <w:rPr>
                <w:sz w:val="20"/>
              </w:rPr>
              <w:t>37.2</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5BADC7" w14:textId="77777777" w:rsidR="00B707B7" w:rsidRPr="001D2881" w:rsidRDefault="00B707B7" w:rsidP="00E444B1">
            <w:pPr>
              <w:keepNext/>
              <w:jc w:val="center"/>
            </w:pPr>
            <w:r w:rsidRPr="001D2881">
              <w:rPr>
                <w:sz w:val="20"/>
              </w:rPr>
              <w:t>37.2</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2664FD" w14:textId="77777777" w:rsidR="00B707B7" w:rsidRPr="001D2881" w:rsidRDefault="00B707B7" w:rsidP="00E444B1">
            <w:pPr>
              <w:keepNext/>
              <w:jc w:val="center"/>
            </w:pPr>
            <w:r w:rsidRPr="001D2881">
              <w:rPr>
                <w:sz w:val="20"/>
              </w:rPr>
              <w:t>117</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FD2980" w14:textId="77777777" w:rsidR="00B707B7" w:rsidRPr="001D2881" w:rsidRDefault="00B707B7" w:rsidP="00E444B1">
            <w:pPr>
              <w:keepNext/>
              <w:jc w:val="center"/>
            </w:pPr>
            <w:r w:rsidRPr="001D2881">
              <w:rPr>
                <w:sz w:val="20"/>
              </w:rPr>
              <w:t>34.3</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DD7E9" w14:textId="77777777" w:rsidR="00B707B7" w:rsidRPr="001D2881" w:rsidRDefault="00B707B7" w:rsidP="00E444B1">
            <w:pPr>
              <w:keepNext/>
              <w:jc w:val="center"/>
            </w:pPr>
            <w:r w:rsidRPr="001D2881">
              <w:rPr>
                <w:sz w:val="20"/>
              </w:rPr>
              <w:t>38,956</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0D944" w14:textId="77777777" w:rsidR="00B707B7" w:rsidRPr="001D2881" w:rsidRDefault="00B707B7" w:rsidP="00E444B1">
            <w:pPr>
              <w:keepNext/>
              <w:jc w:val="center"/>
            </w:pPr>
            <w:r w:rsidRPr="001D2881">
              <w:rPr>
                <w:sz w:val="20"/>
              </w:rPr>
              <w:t>43.0</w:t>
            </w:r>
          </w:p>
        </w:tc>
      </w:tr>
      <w:tr w:rsidR="00B707B7" w:rsidRPr="001D2881" w14:paraId="7515930C" w14:textId="77777777" w:rsidTr="00E444B1">
        <w:trPr>
          <w:trHeight w:val="195"/>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0F23C50" w14:textId="77777777" w:rsidR="00B707B7" w:rsidRPr="001D2881" w:rsidRDefault="00B707B7" w:rsidP="00E444B1">
            <w:pPr>
              <w:keepNext/>
            </w:pPr>
            <w:r w:rsidRPr="001D2881">
              <w:rPr>
                <w:sz w:val="20"/>
              </w:rPr>
              <w:t>Not Available</w:t>
            </w:r>
          </w:p>
        </w:tc>
        <w:tc>
          <w:tcPr>
            <w:tcW w:w="69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07857" w14:textId="77777777" w:rsidR="00B707B7" w:rsidRPr="001D2881" w:rsidRDefault="00B707B7" w:rsidP="00E444B1">
            <w:pPr>
              <w:keepNext/>
            </w:pPr>
          </w:p>
        </w:tc>
      </w:tr>
      <w:tr w:rsidR="00B707B7" w:rsidRPr="001D2881" w14:paraId="397A832F" w14:textId="77777777" w:rsidTr="00E444B1">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7B718D0" w14:textId="77777777" w:rsidR="00B707B7" w:rsidRPr="001D2881" w:rsidRDefault="00B707B7" w:rsidP="00E444B1">
            <w:pPr>
              <w:keepNext/>
              <w:jc w:val="right"/>
            </w:pPr>
            <w:r w:rsidRPr="001D2881">
              <w:rPr>
                <w:sz w:val="20"/>
              </w:rPr>
              <w:t>2018</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FBB4E" w14:textId="77777777" w:rsidR="00B707B7" w:rsidRPr="001D2881" w:rsidRDefault="00B707B7" w:rsidP="00E444B1">
            <w:pPr>
              <w:keepNext/>
              <w:jc w:val="center"/>
            </w:pPr>
            <w:r w:rsidRPr="001D2881">
              <w:rPr>
                <w:sz w:val="20"/>
              </w:rPr>
              <w:t>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016DB5" w14:textId="77777777" w:rsidR="00B707B7" w:rsidRPr="001D2881" w:rsidRDefault="00B707B7" w:rsidP="00E444B1">
            <w:pPr>
              <w:keepNext/>
              <w:jc w:val="center"/>
            </w:pPr>
            <w:r w:rsidRPr="001D2881">
              <w:rPr>
                <w:sz w:val="20"/>
              </w:rPr>
              <w:t>0.1</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DAB8CF" w14:textId="77777777" w:rsidR="00B707B7" w:rsidRPr="001D2881" w:rsidRDefault="00B707B7" w:rsidP="00E444B1">
            <w:pPr>
              <w:keepNext/>
              <w:jc w:val="center"/>
            </w:pPr>
            <w:r w:rsidRPr="001D2881">
              <w:rPr>
                <w:sz w:val="20"/>
              </w:rPr>
              <w:t>0</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F0A102" w14:textId="77777777" w:rsidR="00B707B7" w:rsidRPr="001D2881" w:rsidRDefault="00B707B7" w:rsidP="00E444B1">
            <w:pPr>
              <w:keepNext/>
              <w:jc w:val="center"/>
            </w:pPr>
            <w:r w:rsidRPr="001D2881">
              <w:rPr>
                <w:sz w:val="20"/>
              </w:rPr>
              <w:t>0.0</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DB253" w14:textId="77777777" w:rsidR="00B707B7" w:rsidRPr="001D2881" w:rsidRDefault="00B707B7" w:rsidP="00E444B1">
            <w:pPr>
              <w:keepNext/>
              <w:jc w:val="center"/>
            </w:pPr>
            <w:r w:rsidRPr="001D2881">
              <w:rPr>
                <w:sz w:val="20"/>
              </w:rPr>
              <w:t>0</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8F09DE" w14:textId="77777777" w:rsidR="00B707B7" w:rsidRPr="001D2881" w:rsidRDefault="00B707B7" w:rsidP="00E444B1">
            <w:pPr>
              <w:keepNext/>
              <w:jc w:val="center"/>
            </w:pPr>
            <w:r w:rsidRPr="001D2881">
              <w:rPr>
                <w:sz w:val="20"/>
              </w:rPr>
              <w:t>0.0</w:t>
            </w:r>
          </w:p>
        </w:tc>
      </w:tr>
      <w:tr w:rsidR="00B707B7" w:rsidRPr="001D2881" w14:paraId="690E9C2E" w14:textId="77777777" w:rsidTr="00E444B1">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C076D87" w14:textId="77777777" w:rsidR="00B707B7" w:rsidRPr="001D2881" w:rsidRDefault="00B707B7" w:rsidP="00E444B1">
            <w:pPr>
              <w:keepNext/>
              <w:jc w:val="right"/>
            </w:pPr>
            <w:r w:rsidRPr="001D2881">
              <w:rPr>
                <w:sz w:val="20"/>
              </w:rPr>
              <w:t>2019</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01AA83" w14:textId="77777777" w:rsidR="00B707B7" w:rsidRPr="001D2881" w:rsidRDefault="00B707B7" w:rsidP="00E444B1">
            <w:pPr>
              <w:keepNext/>
              <w:jc w:val="center"/>
            </w:pPr>
            <w:r w:rsidRPr="001D2881">
              <w:rPr>
                <w:sz w:val="20"/>
              </w:rPr>
              <w:t>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F72E98" w14:textId="77777777" w:rsidR="00B707B7" w:rsidRPr="001D2881" w:rsidRDefault="00B707B7" w:rsidP="00E444B1">
            <w:pPr>
              <w:keepNext/>
              <w:jc w:val="center"/>
            </w:pPr>
            <w:r w:rsidRPr="001D2881">
              <w:rPr>
                <w:sz w:val="20"/>
              </w:rPr>
              <w:t>0.1</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3503E" w14:textId="77777777" w:rsidR="00B707B7" w:rsidRPr="001D2881" w:rsidRDefault="00B707B7" w:rsidP="00E444B1">
            <w:pPr>
              <w:keepNext/>
              <w:jc w:val="center"/>
            </w:pPr>
            <w:r w:rsidRPr="001D2881">
              <w:rPr>
                <w:sz w:val="20"/>
              </w:rPr>
              <w:t>0</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A17E3" w14:textId="77777777" w:rsidR="00B707B7" w:rsidRPr="001D2881" w:rsidRDefault="00B707B7" w:rsidP="00E444B1">
            <w:pPr>
              <w:keepNext/>
              <w:jc w:val="center"/>
            </w:pPr>
            <w:r w:rsidRPr="001D2881">
              <w:rPr>
                <w:sz w:val="20"/>
              </w:rPr>
              <w:t>0.0</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A35699" w14:textId="77777777" w:rsidR="00B707B7" w:rsidRPr="001D2881" w:rsidRDefault="00B707B7" w:rsidP="00E444B1">
            <w:pPr>
              <w:keepNext/>
              <w:jc w:val="center"/>
            </w:pPr>
            <w:r w:rsidRPr="001D2881">
              <w:rPr>
                <w:sz w:val="20"/>
              </w:rPr>
              <w:t>0</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E2498" w14:textId="77777777" w:rsidR="00B707B7" w:rsidRPr="001D2881" w:rsidRDefault="00B707B7" w:rsidP="00E444B1">
            <w:pPr>
              <w:keepNext/>
              <w:jc w:val="center"/>
            </w:pPr>
            <w:r w:rsidRPr="001D2881">
              <w:rPr>
                <w:sz w:val="20"/>
              </w:rPr>
              <w:t>0.0</w:t>
            </w:r>
          </w:p>
        </w:tc>
      </w:tr>
      <w:tr w:rsidR="00B707B7" w:rsidRPr="001D2881" w14:paraId="094F79A7" w14:textId="77777777" w:rsidTr="00E444B1">
        <w:trPr>
          <w:trHeight w:val="210"/>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8A7D0E" w14:textId="77777777" w:rsidR="00B707B7" w:rsidRPr="001D2881" w:rsidRDefault="00B707B7" w:rsidP="00E444B1">
            <w:pPr>
              <w:keepNext/>
            </w:pPr>
            <w:r w:rsidRPr="001D2881">
              <w:rPr>
                <w:b/>
                <w:sz w:val="20"/>
              </w:rPr>
              <w:t>Totals</w:t>
            </w:r>
          </w:p>
        </w:tc>
        <w:tc>
          <w:tcPr>
            <w:tcW w:w="6994"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C74F4" w14:textId="77777777" w:rsidR="00B707B7" w:rsidRPr="001D2881" w:rsidRDefault="00B707B7" w:rsidP="00E444B1">
            <w:pPr>
              <w:keepNext/>
            </w:pPr>
          </w:p>
        </w:tc>
      </w:tr>
      <w:tr w:rsidR="00B707B7" w:rsidRPr="001D2881" w14:paraId="622C9BFB" w14:textId="77777777" w:rsidTr="00E444B1">
        <w:trPr>
          <w:trHeight w:val="195"/>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8FABA4F" w14:textId="77777777" w:rsidR="00B707B7" w:rsidRPr="001D2881" w:rsidRDefault="00B707B7" w:rsidP="00E444B1">
            <w:pPr>
              <w:keepNext/>
              <w:jc w:val="right"/>
            </w:pPr>
            <w:r w:rsidRPr="001D2881">
              <w:rPr>
                <w:b/>
                <w:sz w:val="20"/>
              </w:rPr>
              <w:t>2018</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A3CD8" w14:textId="77777777" w:rsidR="00B707B7" w:rsidRPr="001D2881" w:rsidRDefault="00B707B7" w:rsidP="00E444B1">
            <w:pPr>
              <w:keepNext/>
              <w:jc w:val="center"/>
            </w:pPr>
            <w:r w:rsidRPr="001D2881">
              <w:rPr>
                <w:b/>
                <w:sz w:val="20"/>
              </w:rPr>
              <w:t>100.0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8D03A2" w14:textId="77777777" w:rsidR="00B707B7" w:rsidRPr="001D2881" w:rsidRDefault="00B707B7" w:rsidP="00E444B1">
            <w:pPr>
              <w:keepNext/>
              <w:jc w:val="center"/>
            </w:pPr>
            <w:r w:rsidRPr="001D2881">
              <w:rPr>
                <w:b/>
                <w:sz w:val="20"/>
              </w:rPr>
              <w:t>100.0</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13D8A" w14:textId="77777777" w:rsidR="00B707B7" w:rsidRPr="001D2881" w:rsidRDefault="00B707B7" w:rsidP="00E444B1">
            <w:pPr>
              <w:keepNext/>
              <w:jc w:val="center"/>
            </w:pPr>
            <w:r w:rsidRPr="001D2881">
              <w:rPr>
                <w:b/>
                <w:sz w:val="20"/>
              </w:rPr>
              <w:t>113</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288E2" w14:textId="77777777" w:rsidR="00B707B7" w:rsidRPr="001D2881" w:rsidRDefault="00B707B7" w:rsidP="00E444B1">
            <w:pPr>
              <w:keepNext/>
              <w:jc w:val="center"/>
            </w:pPr>
            <w:r w:rsidRPr="001D2881">
              <w:rPr>
                <w:b/>
                <w:sz w:val="20"/>
              </w:rPr>
              <w:t>100.0</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A3752" w14:textId="77777777" w:rsidR="00B707B7" w:rsidRPr="001D2881" w:rsidRDefault="00B707B7" w:rsidP="00E444B1">
            <w:pPr>
              <w:keepNext/>
              <w:jc w:val="center"/>
            </w:pPr>
            <w:r w:rsidRPr="001D2881">
              <w:rPr>
                <w:b/>
                <w:sz w:val="20"/>
              </w:rPr>
              <w:t>33,996</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E909E0" w14:textId="77777777" w:rsidR="00B707B7" w:rsidRPr="001D2881" w:rsidRDefault="00B707B7" w:rsidP="00E444B1">
            <w:pPr>
              <w:keepNext/>
              <w:jc w:val="center"/>
            </w:pPr>
            <w:r w:rsidRPr="001D2881">
              <w:rPr>
                <w:b/>
                <w:sz w:val="20"/>
              </w:rPr>
              <w:t>100.0</w:t>
            </w:r>
          </w:p>
        </w:tc>
      </w:tr>
      <w:tr w:rsidR="00B707B7" w:rsidRPr="001D2881" w14:paraId="3A356FA0" w14:textId="77777777" w:rsidTr="00E444B1">
        <w:trPr>
          <w:trHeight w:val="195"/>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468E292" w14:textId="77777777" w:rsidR="00B707B7" w:rsidRPr="001D2881" w:rsidRDefault="00B707B7" w:rsidP="00E444B1">
            <w:pPr>
              <w:keepNext/>
              <w:jc w:val="right"/>
            </w:pPr>
            <w:r w:rsidRPr="001D2881">
              <w:rPr>
                <w:b/>
                <w:sz w:val="20"/>
              </w:rPr>
              <w:t>2019</w:t>
            </w:r>
          </w:p>
        </w:tc>
        <w:tc>
          <w:tcPr>
            <w:tcW w:w="15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C8D495" w14:textId="77777777" w:rsidR="00B707B7" w:rsidRPr="001D2881" w:rsidRDefault="00B707B7" w:rsidP="00E444B1">
            <w:pPr>
              <w:keepNext/>
              <w:jc w:val="center"/>
            </w:pPr>
            <w:r w:rsidRPr="001D2881">
              <w:rPr>
                <w:b/>
                <w:sz w:val="20"/>
              </w:rPr>
              <w:t>100.0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00DEE" w14:textId="77777777" w:rsidR="00B707B7" w:rsidRPr="001D2881" w:rsidRDefault="00B707B7" w:rsidP="00E444B1">
            <w:pPr>
              <w:keepNext/>
              <w:jc w:val="center"/>
            </w:pPr>
            <w:r w:rsidRPr="001D2881">
              <w:rPr>
                <w:b/>
                <w:sz w:val="20"/>
              </w:rPr>
              <w:t>100.0</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326FA" w14:textId="77777777" w:rsidR="00B707B7" w:rsidRPr="001D2881" w:rsidRDefault="00B707B7" w:rsidP="00E444B1">
            <w:pPr>
              <w:keepNext/>
              <w:jc w:val="center"/>
            </w:pPr>
            <w:r w:rsidRPr="001D2881">
              <w:rPr>
                <w:b/>
                <w:sz w:val="20"/>
              </w:rPr>
              <w:t>341</w:t>
            </w:r>
          </w:p>
        </w:tc>
        <w:tc>
          <w:tcPr>
            <w:tcW w:w="8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AAEB2F" w14:textId="77777777" w:rsidR="00B707B7" w:rsidRPr="001D2881" w:rsidRDefault="00B707B7" w:rsidP="00E444B1">
            <w:pPr>
              <w:keepNext/>
              <w:jc w:val="center"/>
            </w:pPr>
            <w:r w:rsidRPr="001D2881">
              <w:rPr>
                <w:b/>
                <w:sz w:val="20"/>
              </w:rPr>
              <w:t>100.0</w:t>
            </w:r>
          </w:p>
        </w:tc>
        <w:tc>
          <w:tcPr>
            <w:tcW w:w="10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0D4F6B" w14:textId="77777777" w:rsidR="00B707B7" w:rsidRPr="001D2881" w:rsidRDefault="00B707B7" w:rsidP="00E444B1">
            <w:pPr>
              <w:keepNext/>
              <w:jc w:val="center"/>
            </w:pPr>
            <w:r w:rsidRPr="001D2881">
              <w:rPr>
                <w:b/>
                <w:sz w:val="20"/>
              </w:rPr>
              <w:t>90,514</w:t>
            </w:r>
          </w:p>
        </w:tc>
        <w:tc>
          <w:tcPr>
            <w:tcW w:w="83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AC75F0" w14:textId="77777777" w:rsidR="00B707B7" w:rsidRPr="001D2881" w:rsidRDefault="00B707B7" w:rsidP="00E444B1">
            <w:pPr>
              <w:keepNext/>
              <w:jc w:val="center"/>
            </w:pPr>
            <w:r w:rsidRPr="001D2881">
              <w:rPr>
                <w:b/>
                <w:sz w:val="20"/>
              </w:rPr>
              <w:t>100.0</w:t>
            </w:r>
          </w:p>
        </w:tc>
      </w:tr>
      <w:tr w:rsidR="00B707B7" w:rsidRPr="001D2881" w14:paraId="642541EC" w14:textId="77777777" w:rsidTr="00E444B1">
        <w:trPr>
          <w:trHeight w:val="86"/>
        </w:trPr>
        <w:tc>
          <w:tcPr>
            <w:tcW w:w="9586"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2F081548" w14:textId="77777777" w:rsidR="00B707B7" w:rsidRPr="001D2881" w:rsidRDefault="00B707B7" w:rsidP="00E444B1">
            <w:pPr>
              <w:keepNext/>
            </w:pPr>
            <w:r w:rsidRPr="001D2881">
              <w:rPr>
                <w:i/>
                <w:sz w:val="16"/>
              </w:rPr>
              <w:t>Source: 2015 ACS; Bank Data, 2018 &amp; 2019 HMDA Aggregate Data, "--" data not available.  Due to rounding, totals may not equal 100.0%</w:t>
            </w:r>
          </w:p>
        </w:tc>
      </w:tr>
    </w:tbl>
    <w:p w14:paraId="045EE19D" w14:textId="77777777" w:rsidR="00B707B7" w:rsidRPr="001D2881" w:rsidRDefault="00B707B7" w:rsidP="00B707B7">
      <w:pPr>
        <w:pStyle w:val="QuickFormat1"/>
        <w:jc w:val="left"/>
        <w:rPr>
          <w:b w:val="0"/>
          <w:i/>
          <w:color w:val="auto"/>
          <w:sz w:val="24"/>
          <w:szCs w:val="24"/>
          <w:lang w:val="en-US"/>
        </w:rPr>
      </w:pPr>
    </w:p>
    <w:p w14:paraId="0A2AF916" w14:textId="5105CFDB" w:rsidR="00970163" w:rsidRDefault="00B707B7" w:rsidP="00B707B7">
      <w:pPr>
        <w:pStyle w:val="QuickFormat1"/>
        <w:jc w:val="left"/>
        <w:rPr>
          <w:b w:val="0"/>
          <w:color w:val="auto"/>
          <w:sz w:val="24"/>
          <w:szCs w:val="24"/>
          <w:lang w:val="en-US"/>
        </w:rPr>
      </w:pPr>
      <w:r w:rsidRPr="001D2881">
        <w:rPr>
          <w:b w:val="0"/>
          <w:color w:val="auto"/>
          <w:sz w:val="24"/>
          <w:szCs w:val="24"/>
        </w:rPr>
        <w:t xml:space="preserve">In 2018, </w:t>
      </w:r>
      <w:r w:rsidRPr="001D2881">
        <w:rPr>
          <w:b w:val="0"/>
          <w:color w:val="auto"/>
          <w:sz w:val="24"/>
          <w:szCs w:val="24"/>
          <w:lang w:val="en-US"/>
        </w:rPr>
        <w:t>the bank’s</w:t>
      </w:r>
      <w:r w:rsidRPr="001D2881">
        <w:rPr>
          <w:b w:val="0"/>
          <w:color w:val="auto"/>
          <w:sz w:val="24"/>
          <w:szCs w:val="24"/>
        </w:rPr>
        <w:t xml:space="preserve"> lending in low-income census tracts was below the aggregate lending </w:t>
      </w:r>
      <w:r w:rsidR="00364844">
        <w:rPr>
          <w:b w:val="0"/>
          <w:color w:val="auto"/>
          <w:sz w:val="24"/>
          <w:szCs w:val="24"/>
          <w:lang w:val="en-US"/>
        </w:rPr>
        <w:t xml:space="preserve">performance </w:t>
      </w:r>
      <w:r w:rsidRPr="001D2881">
        <w:rPr>
          <w:b w:val="0"/>
          <w:color w:val="auto"/>
          <w:sz w:val="24"/>
          <w:szCs w:val="24"/>
        </w:rPr>
        <w:t>and demographics</w:t>
      </w:r>
      <w:r w:rsidR="00970163">
        <w:rPr>
          <w:b w:val="0"/>
          <w:color w:val="auto"/>
          <w:sz w:val="24"/>
          <w:szCs w:val="24"/>
          <w:lang w:val="en-US"/>
        </w:rPr>
        <w:t>.  However, in</w:t>
      </w:r>
      <w:r w:rsidR="00B71383">
        <w:rPr>
          <w:b w:val="0"/>
          <w:color w:val="auto"/>
          <w:sz w:val="24"/>
          <w:szCs w:val="24"/>
          <w:lang w:val="en-US"/>
        </w:rPr>
        <w:t xml:space="preserve"> 2019</w:t>
      </w:r>
      <w:r w:rsidR="00970163">
        <w:rPr>
          <w:b w:val="0"/>
          <w:color w:val="auto"/>
          <w:sz w:val="24"/>
          <w:szCs w:val="24"/>
          <w:lang w:val="en-US"/>
        </w:rPr>
        <w:t>, the bank’s lending performance improved,</w:t>
      </w:r>
      <w:r w:rsidR="00B71383">
        <w:rPr>
          <w:b w:val="0"/>
          <w:color w:val="auto"/>
          <w:sz w:val="24"/>
          <w:szCs w:val="24"/>
          <w:lang w:val="en-US"/>
        </w:rPr>
        <w:t xml:space="preserve"> and </w:t>
      </w:r>
      <w:r w:rsidR="00970163">
        <w:rPr>
          <w:b w:val="0"/>
          <w:color w:val="auto"/>
          <w:sz w:val="24"/>
          <w:szCs w:val="24"/>
          <w:lang w:val="en-US"/>
        </w:rPr>
        <w:t xml:space="preserve">was </w:t>
      </w:r>
      <w:r w:rsidR="00B71383">
        <w:rPr>
          <w:b w:val="0"/>
          <w:color w:val="auto"/>
          <w:sz w:val="24"/>
          <w:szCs w:val="24"/>
          <w:lang w:val="en-US"/>
        </w:rPr>
        <w:t>comparable to the</w:t>
      </w:r>
      <w:r w:rsidRPr="001D2881">
        <w:rPr>
          <w:b w:val="0"/>
          <w:color w:val="auto"/>
          <w:sz w:val="24"/>
          <w:szCs w:val="24"/>
          <w:lang w:val="en-US"/>
        </w:rPr>
        <w:t xml:space="preserve"> demographics and aggregate lending </w:t>
      </w:r>
      <w:r w:rsidR="00B71383">
        <w:rPr>
          <w:b w:val="0"/>
          <w:color w:val="auto"/>
          <w:sz w:val="24"/>
          <w:szCs w:val="24"/>
          <w:lang w:val="en-US"/>
        </w:rPr>
        <w:t>performance</w:t>
      </w:r>
      <w:r w:rsidRPr="001D2881">
        <w:rPr>
          <w:b w:val="0"/>
          <w:color w:val="auto"/>
          <w:sz w:val="24"/>
          <w:szCs w:val="24"/>
          <w:lang w:val="en-US"/>
        </w:rPr>
        <w:t>.  Th</w:t>
      </w:r>
      <w:r w:rsidR="00B71383">
        <w:rPr>
          <w:b w:val="0"/>
          <w:color w:val="auto"/>
          <w:sz w:val="24"/>
          <w:szCs w:val="24"/>
          <w:lang w:val="en-US"/>
        </w:rPr>
        <w:t>e</w:t>
      </w:r>
      <w:r>
        <w:rPr>
          <w:b w:val="0"/>
          <w:color w:val="auto"/>
          <w:sz w:val="24"/>
          <w:szCs w:val="24"/>
          <w:lang w:val="en-US"/>
        </w:rPr>
        <w:t xml:space="preserve"> increasing trend</w:t>
      </w:r>
      <w:r w:rsidRPr="001D2881">
        <w:rPr>
          <w:b w:val="0"/>
          <w:color w:val="auto"/>
          <w:sz w:val="24"/>
          <w:szCs w:val="24"/>
          <w:lang w:val="en-US"/>
        </w:rPr>
        <w:t xml:space="preserve"> </w:t>
      </w:r>
      <w:r>
        <w:rPr>
          <w:b w:val="0"/>
          <w:color w:val="auto"/>
          <w:sz w:val="24"/>
          <w:szCs w:val="24"/>
          <w:lang w:val="en-US"/>
        </w:rPr>
        <w:t>in 2019 supports</w:t>
      </w:r>
      <w:r w:rsidRPr="001D2881">
        <w:rPr>
          <w:b w:val="0"/>
          <w:color w:val="auto"/>
          <w:sz w:val="24"/>
          <w:szCs w:val="24"/>
          <w:lang w:val="en-US"/>
        </w:rPr>
        <w:t xml:space="preserve"> </w:t>
      </w:r>
      <w:r w:rsidR="00970163">
        <w:rPr>
          <w:b w:val="0"/>
          <w:color w:val="auto"/>
          <w:sz w:val="24"/>
          <w:szCs w:val="24"/>
          <w:lang w:val="en-US"/>
        </w:rPr>
        <w:t xml:space="preserve">the bank’s </w:t>
      </w:r>
      <w:r w:rsidRPr="001D2881">
        <w:rPr>
          <w:b w:val="0"/>
          <w:color w:val="auto"/>
          <w:sz w:val="24"/>
          <w:szCs w:val="24"/>
          <w:lang w:val="en-US"/>
        </w:rPr>
        <w:t xml:space="preserve">reasonable performance.  </w:t>
      </w:r>
    </w:p>
    <w:p w14:paraId="0CF95F12" w14:textId="77777777" w:rsidR="00970163" w:rsidRDefault="00970163" w:rsidP="00B707B7">
      <w:pPr>
        <w:pStyle w:val="QuickFormat1"/>
        <w:jc w:val="left"/>
        <w:rPr>
          <w:b w:val="0"/>
          <w:color w:val="auto"/>
          <w:sz w:val="24"/>
          <w:szCs w:val="24"/>
          <w:lang w:val="en-US"/>
        </w:rPr>
      </w:pPr>
    </w:p>
    <w:p w14:paraId="47020692" w14:textId="22952193" w:rsidR="00B707B7" w:rsidRPr="001D2881" w:rsidRDefault="00B71383" w:rsidP="00B707B7">
      <w:pPr>
        <w:pStyle w:val="QuickFormat1"/>
        <w:jc w:val="left"/>
        <w:rPr>
          <w:b w:val="0"/>
          <w:color w:val="auto"/>
          <w:sz w:val="24"/>
          <w:szCs w:val="24"/>
          <w:lang w:val="en-US"/>
        </w:rPr>
      </w:pPr>
      <w:r w:rsidRPr="00B71383">
        <w:rPr>
          <w:b w:val="0"/>
          <w:color w:val="auto"/>
          <w:sz w:val="24"/>
          <w:szCs w:val="24"/>
          <w:lang w:val="en-US"/>
        </w:rPr>
        <w:t xml:space="preserve">In 2018, the bank’s lending in </w:t>
      </w:r>
      <w:r>
        <w:rPr>
          <w:b w:val="0"/>
          <w:color w:val="auto"/>
          <w:sz w:val="24"/>
          <w:szCs w:val="24"/>
          <w:lang w:val="en-US"/>
        </w:rPr>
        <w:t>moderate</w:t>
      </w:r>
      <w:r w:rsidRPr="00B71383">
        <w:rPr>
          <w:b w:val="0"/>
          <w:color w:val="auto"/>
          <w:sz w:val="24"/>
          <w:szCs w:val="24"/>
          <w:lang w:val="en-US"/>
        </w:rPr>
        <w:t xml:space="preserve">-income census tracts was below the aggregate lending </w:t>
      </w:r>
      <w:r w:rsidR="00970163">
        <w:rPr>
          <w:b w:val="0"/>
          <w:color w:val="auto"/>
          <w:sz w:val="24"/>
          <w:szCs w:val="24"/>
          <w:lang w:val="en-US"/>
        </w:rPr>
        <w:t>performance</w:t>
      </w:r>
      <w:r w:rsidR="00970163" w:rsidRPr="00B71383">
        <w:rPr>
          <w:b w:val="0"/>
          <w:color w:val="auto"/>
          <w:sz w:val="24"/>
          <w:szCs w:val="24"/>
          <w:lang w:val="en-US"/>
        </w:rPr>
        <w:t xml:space="preserve"> </w:t>
      </w:r>
      <w:r w:rsidRPr="00B71383">
        <w:rPr>
          <w:b w:val="0"/>
          <w:color w:val="auto"/>
          <w:sz w:val="24"/>
          <w:szCs w:val="24"/>
          <w:lang w:val="en-US"/>
        </w:rPr>
        <w:t>and demographics</w:t>
      </w:r>
      <w:r>
        <w:rPr>
          <w:b w:val="0"/>
          <w:color w:val="auto"/>
          <w:sz w:val="24"/>
          <w:szCs w:val="24"/>
          <w:lang w:val="en-US"/>
        </w:rPr>
        <w:t xml:space="preserve">.  However, in 2019, the bank’s lending in moderate-income census tracts improved, and </w:t>
      </w:r>
      <w:r w:rsidR="00BA264F">
        <w:rPr>
          <w:b w:val="0"/>
          <w:color w:val="auto"/>
          <w:sz w:val="24"/>
          <w:szCs w:val="24"/>
          <w:lang w:val="en-US"/>
        </w:rPr>
        <w:t>was</w:t>
      </w:r>
      <w:r>
        <w:rPr>
          <w:b w:val="0"/>
          <w:color w:val="auto"/>
          <w:sz w:val="24"/>
          <w:szCs w:val="24"/>
          <w:lang w:val="en-US"/>
        </w:rPr>
        <w:t xml:space="preserve"> </w:t>
      </w:r>
      <w:r w:rsidR="00B707B7" w:rsidRPr="001D2881">
        <w:rPr>
          <w:b w:val="0"/>
          <w:color w:val="auto"/>
          <w:sz w:val="24"/>
          <w:szCs w:val="24"/>
          <w:lang w:val="en-US"/>
        </w:rPr>
        <w:t xml:space="preserve">slightly </w:t>
      </w:r>
      <w:r w:rsidR="00B707B7">
        <w:rPr>
          <w:b w:val="0"/>
          <w:color w:val="auto"/>
          <w:sz w:val="24"/>
          <w:szCs w:val="24"/>
          <w:lang w:val="en-US"/>
        </w:rPr>
        <w:t>above</w:t>
      </w:r>
      <w:r w:rsidR="00B707B7" w:rsidRPr="001D2881">
        <w:rPr>
          <w:b w:val="0"/>
          <w:color w:val="auto"/>
          <w:sz w:val="24"/>
          <w:szCs w:val="24"/>
          <w:lang w:val="en-US"/>
        </w:rPr>
        <w:t xml:space="preserve"> both aggregate </w:t>
      </w:r>
      <w:r w:rsidR="00970163">
        <w:rPr>
          <w:b w:val="0"/>
          <w:color w:val="auto"/>
          <w:sz w:val="24"/>
          <w:szCs w:val="24"/>
          <w:lang w:val="en-US"/>
        </w:rPr>
        <w:t xml:space="preserve">lending </w:t>
      </w:r>
      <w:r>
        <w:rPr>
          <w:b w:val="0"/>
          <w:color w:val="auto"/>
          <w:sz w:val="24"/>
          <w:szCs w:val="24"/>
          <w:lang w:val="en-US"/>
        </w:rPr>
        <w:t xml:space="preserve">performance </w:t>
      </w:r>
      <w:r w:rsidR="00B707B7" w:rsidRPr="001D2881">
        <w:rPr>
          <w:b w:val="0"/>
          <w:color w:val="auto"/>
          <w:sz w:val="24"/>
          <w:szCs w:val="24"/>
          <w:lang w:val="en-US"/>
        </w:rPr>
        <w:t>and demographics</w:t>
      </w:r>
      <w:r>
        <w:rPr>
          <w:b w:val="0"/>
          <w:color w:val="auto"/>
          <w:sz w:val="24"/>
          <w:szCs w:val="24"/>
          <w:lang w:val="en-US"/>
        </w:rPr>
        <w:t xml:space="preserve"> in those tracts.</w:t>
      </w:r>
    </w:p>
    <w:p w14:paraId="33C2F445" w14:textId="77777777" w:rsidR="00B707B7" w:rsidRPr="001D2881" w:rsidRDefault="00B707B7" w:rsidP="00B707B7">
      <w:pPr>
        <w:pStyle w:val="QuickFormat1"/>
        <w:jc w:val="left"/>
        <w:rPr>
          <w:b w:val="0"/>
          <w:color w:val="auto"/>
          <w:sz w:val="24"/>
          <w:szCs w:val="24"/>
          <w:lang w:val="en-US"/>
        </w:rPr>
      </w:pPr>
    </w:p>
    <w:p w14:paraId="5921BDC0" w14:textId="77777777" w:rsidR="00B707B7" w:rsidRPr="001D2881" w:rsidRDefault="00B707B7" w:rsidP="00B707B7">
      <w:pPr>
        <w:pStyle w:val="QuickFormat1"/>
        <w:jc w:val="left"/>
        <w:rPr>
          <w:i/>
          <w:color w:val="auto"/>
          <w:sz w:val="24"/>
          <w:szCs w:val="24"/>
          <w:lang w:val="en-US"/>
        </w:rPr>
      </w:pPr>
      <w:r w:rsidRPr="001D2881">
        <w:rPr>
          <w:i/>
          <w:color w:val="auto"/>
          <w:sz w:val="24"/>
          <w:szCs w:val="24"/>
          <w:lang w:val="en-US"/>
        </w:rPr>
        <w:t>Small Business Loans</w:t>
      </w:r>
    </w:p>
    <w:p w14:paraId="7E7961E9" w14:textId="41655D28" w:rsidR="00B707B7" w:rsidRPr="001D2881" w:rsidRDefault="00B707B7" w:rsidP="00B707B7">
      <w:pPr>
        <w:pStyle w:val="QuickFormat1"/>
        <w:jc w:val="left"/>
        <w:rPr>
          <w:b w:val="0"/>
          <w:color w:val="auto"/>
          <w:sz w:val="24"/>
          <w:szCs w:val="24"/>
          <w:lang w:val="en-US"/>
        </w:rPr>
      </w:pPr>
      <w:r w:rsidRPr="001D2881">
        <w:rPr>
          <w:b w:val="0"/>
          <w:color w:val="auto"/>
          <w:sz w:val="24"/>
          <w:szCs w:val="24"/>
        </w:rPr>
        <w:t xml:space="preserve">The distribution of small business loans reflects reasonable dispersion among low- and moderate-income census tracts. </w:t>
      </w:r>
      <w:r w:rsidRPr="001D2881">
        <w:rPr>
          <w:b w:val="0"/>
          <w:color w:val="auto"/>
          <w:sz w:val="24"/>
          <w:szCs w:val="24"/>
          <w:lang w:val="en-US"/>
        </w:rPr>
        <w:t xml:space="preserve"> </w:t>
      </w:r>
      <w:r w:rsidRPr="001D2881">
        <w:rPr>
          <w:b w:val="0"/>
          <w:color w:val="auto"/>
          <w:sz w:val="24"/>
        </w:rPr>
        <w:t xml:space="preserve">The </w:t>
      </w:r>
      <w:r w:rsidRPr="001D2881">
        <w:rPr>
          <w:b w:val="0"/>
          <w:color w:val="auto"/>
          <w:sz w:val="24"/>
          <w:lang w:val="en-US"/>
        </w:rPr>
        <w:t xml:space="preserve">following </w:t>
      </w:r>
      <w:r w:rsidRPr="001D2881">
        <w:rPr>
          <w:b w:val="0"/>
          <w:color w:val="auto"/>
          <w:sz w:val="24"/>
        </w:rPr>
        <w:t>table</w:t>
      </w:r>
      <w:r w:rsidRPr="001D2881">
        <w:rPr>
          <w:b w:val="0"/>
          <w:color w:val="auto"/>
          <w:sz w:val="24"/>
          <w:lang w:val="en-US"/>
        </w:rPr>
        <w:t xml:space="preserve"> illustrates</w:t>
      </w:r>
      <w:r w:rsidRPr="001D2881">
        <w:rPr>
          <w:b w:val="0"/>
          <w:color w:val="auto"/>
          <w:sz w:val="24"/>
        </w:rPr>
        <w:t xml:space="preserve"> the bank’s performance</w:t>
      </w:r>
      <w:r w:rsidRPr="001D2881">
        <w:rPr>
          <w:b w:val="0"/>
          <w:color w:val="auto"/>
          <w:sz w:val="24"/>
          <w:lang w:val="en-US"/>
        </w:rPr>
        <w:t xml:space="preserve"> by </w:t>
      </w:r>
      <w:r w:rsidR="00BA264F">
        <w:rPr>
          <w:b w:val="0"/>
          <w:color w:val="auto"/>
          <w:sz w:val="24"/>
          <w:lang w:val="en-US"/>
        </w:rPr>
        <w:t xml:space="preserve">census </w:t>
      </w:r>
      <w:r w:rsidRPr="001D2881">
        <w:rPr>
          <w:b w:val="0"/>
          <w:color w:val="auto"/>
          <w:sz w:val="24"/>
          <w:lang w:val="en-US"/>
        </w:rPr>
        <w:t>tract income level</w:t>
      </w:r>
      <w:r w:rsidRPr="001D2881">
        <w:rPr>
          <w:b w:val="0"/>
          <w:color w:val="auto"/>
          <w:sz w:val="24"/>
        </w:rPr>
        <w:t>.</w:t>
      </w:r>
      <w:r w:rsidRPr="001D2881">
        <w:rPr>
          <w:color w:val="auto"/>
          <w:sz w:val="24"/>
        </w:rPr>
        <w:t xml:space="preserve">   </w:t>
      </w:r>
    </w:p>
    <w:p w14:paraId="11AE2ED1" w14:textId="77777777" w:rsidR="00B707B7" w:rsidRPr="001D2881" w:rsidRDefault="00B707B7" w:rsidP="00B707B7">
      <w:pPr>
        <w:pStyle w:val="QuickFormat1"/>
        <w:jc w:val="left"/>
        <w:rPr>
          <w:b w:val="0"/>
          <w:color w:val="auto"/>
          <w:sz w:val="24"/>
          <w:szCs w:val="24"/>
          <w:lang w:val="en-US"/>
        </w:rPr>
      </w:pPr>
    </w:p>
    <w:tbl>
      <w:tblPr>
        <w:tblW w:w="9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82"/>
        <w:gridCol w:w="1376"/>
        <w:gridCol w:w="1376"/>
        <w:gridCol w:w="1376"/>
        <w:gridCol w:w="1376"/>
        <w:gridCol w:w="1354"/>
      </w:tblGrid>
      <w:tr w:rsidR="00B707B7" w:rsidRPr="001D2881" w14:paraId="52788315" w14:textId="77777777" w:rsidTr="00E444B1">
        <w:trPr>
          <w:trHeight w:val="336"/>
          <w:jc w:val="center"/>
        </w:trPr>
        <w:tc>
          <w:tcPr>
            <w:tcW w:w="9440" w:type="dxa"/>
            <w:gridSpan w:val="6"/>
            <w:tcBorders>
              <w:top w:val="single" w:sz="4" w:space="0" w:color="auto"/>
              <w:left w:val="single" w:sz="4" w:space="0" w:color="auto"/>
              <w:bottom w:val="single" w:sz="4" w:space="0" w:color="auto"/>
              <w:right w:val="single" w:sz="4" w:space="0" w:color="auto"/>
            </w:tcBorders>
          </w:tcPr>
          <w:p w14:paraId="6246D57A" w14:textId="77777777" w:rsidR="00B707B7" w:rsidRPr="001D2881" w:rsidRDefault="00B707B7" w:rsidP="00E444B1">
            <w:pPr>
              <w:pStyle w:val="TableParagraph"/>
              <w:keepNext/>
              <w:spacing w:before="37"/>
              <w:rPr>
                <w:b/>
                <w:sz w:val="20"/>
              </w:rPr>
            </w:pPr>
            <w:r w:rsidRPr="001D2881">
              <w:rPr>
                <w:b/>
                <w:sz w:val="20"/>
              </w:rPr>
              <w:lastRenderedPageBreak/>
              <w:t>Geographic Distribution of Small Business Loans</w:t>
            </w:r>
          </w:p>
        </w:tc>
      </w:tr>
      <w:tr w:rsidR="00B707B7" w:rsidRPr="001D2881" w14:paraId="71CF7E11" w14:textId="77777777" w:rsidTr="00E444B1">
        <w:trPr>
          <w:trHeight w:val="764"/>
          <w:jc w:val="center"/>
        </w:trPr>
        <w:tc>
          <w:tcPr>
            <w:tcW w:w="2582" w:type="dxa"/>
            <w:tcBorders>
              <w:top w:val="single" w:sz="4" w:space="0" w:color="auto"/>
              <w:left w:val="single" w:sz="4" w:space="0" w:color="auto"/>
              <w:bottom w:val="single" w:sz="4" w:space="0" w:color="auto"/>
              <w:right w:val="single" w:sz="4" w:space="0" w:color="auto"/>
            </w:tcBorders>
          </w:tcPr>
          <w:p w14:paraId="7449ADB1" w14:textId="77777777" w:rsidR="00B707B7" w:rsidRPr="001D2881" w:rsidRDefault="00B707B7" w:rsidP="00E444B1">
            <w:pPr>
              <w:pStyle w:val="TableParagraph"/>
              <w:keepNext/>
              <w:spacing w:before="3"/>
              <w:jc w:val="left"/>
              <w:rPr>
                <w:sz w:val="23"/>
              </w:rPr>
            </w:pPr>
          </w:p>
          <w:p w14:paraId="4999632D" w14:textId="77777777" w:rsidR="00B707B7" w:rsidRPr="001D2881" w:rsidRDefault="00B707B7" w:rsidP="00E444B1">
            <w:pPr>
              <w:pStyle w:val="TableParagraph"/>
              <w:keepNext/>
              <w:spacing w:before="0"/>
              <w:ind w:left="35"/>
              <w:jc w:val="left"/>
              <w:rPr>
                <w:b/>
                <w:sz w:val="20"/>
              </w:rPr>
            </w:pPr>
            <w:r w:rsidRPr="001D2881">
              <w:rPr>
                <w:b/>
                <w:sz w:val="20"/>
              </w:rPr>
              <w:t>Tract Income Level</w:t>
            </w:r>
          </w:p>
        </w:tc>
        <w:tc>
          <w:tcPr>
            <w:tcW w:w="1376" w:type="dxa"/>
            <w:tcBorders>
              <w:top w:val="single" w:sz="4" w:space="0" w:color="auto"/>
              <w:left w:val="single" w:sz="4" w:space="0" w:color="auto"/>
              <w:bottom w:val="single" w:sz="4" w:space="0" w:color="auto"/>
              <w:right w:val="single" w:sz="4" w:space="0" w:color="auto"/>
            </w:tcBorders>
          </w:tcPr>
          <w:p w14:paraId="1C7E8333" w14:textId="77777777" w:rsidR="00B707B7" w:rsidRPr="001D2881" w:rsidRDefault="00B707B7" w:rsidP="00E444B1">
            <w:pPr>
              <w:pStyle w:val="TableParagraph"/>
              <w:keepNext/>
              <w:spacing w:before="152"/>
              <w:ind w:left="268" w:firstLine="240"/>
              <w:jc w:val="left"/>
              <w:rPr>
                <w:b/>
                <w:sz w:val="20"/>
              </w:rPr>
            </w:pPr>
            <w:r w:rsidRPr="001D2881">
              <w:rPr>
                <w:b/>
                <w:sz w:val="20"/>
              </w:rPr>
              <w:t xml:space="preserve">% of </w:t>
            </w:r>
            <w:r w:rsidRPr="001D2881">
              <w:rPr>
                <w:b/>
                <w:w w:val="95"/>
                <w:sz w:val="20"/>
              </w:rPr>
              <w:t>Businesses</w:t>
            </w:r>
          </w:p>
        </w:tc>
        <w:tc>
          <w:tcPr>
            <w:tcW w:w="1376" w:type="dxa"/>
            <w:tcBorders>
              <w:top w:val="single" w:sz="4" w:space="0" w:color="auto"/>
              <w:left w:val="single" w:sz="4" w:space="0" w:color="auto"/>
              <w:bottom w:val="single" w:sz="4" w:space="0" w:color="auto"/>
              <w:right w:val="single" w:sz="4" w:space="0" w:color="auto"/>
            </w:tcBorders>
          </w:tcPr>
          <w:p w14:paraId="3C7C0ACD" w14:textId="77777777" w:rsidR="00B707B7" w:rsidRPr="001D2881" w:rsidRDefault="00B707B7" w:rsidP="00E444B1">
            <w:pPr>
              <w:pStyle w:val="TableParagraph"/>
              <w:keepNext/>
              <w:spacing w:before="3"/>
              <w:jc w:val="left"/>
              <w:rPr>
                <w:sz w:val="23"/>
              </w:rPr>
            </w:pPr>
          </w:p>
          <w:p w14:paraId="7DB73B0D" w14:textId="77777777" w:rsidR="00B707B7" w:rsidRPr="001D2881" w:rsidRDefault="00B707B7" w:rsidP="00E444B1">
            <w:pPr>
              <w:pStyle w:val="TableParagraph"/>
              <w:keepNext/>
              <w:spacing w:before="0"/>
              <w:ind w:left="23"/>
              <w:rPr>
                <w:b/>
                <w:sz w:val="20"/>
              </w:rPr>
            </w:pPr>
            <w:r w:rsidRPr="001D2881">
              <w:rPr>
                <w:b/>
                <w:w w:val="99"/>
                <w:sz w:val="20"/>
              </w:rPr>
              <w:t>#</w:t>
            </w:r>
          </w:p>
        </w:tc>
        <w:tc>
          <w:tcPr>
            <w:tcW w:w="1376" w:type="dxa"/>
            <w:tcBorders>
              <w:top w:val="single" w:sz="4" w:space="0" w:color="auto"/>
              <w:left w:val="single" w:sz="4" w:space="0" w:color="auto"/>
              <w:bottom w:val="single" w:sz="4" w:space="0" w:color="auto"/>
              <w:right w:val="single" w:sz="4" w:space="0" w:color="auto"/>
            </w:tcBorders>
          </w:tcPr>
          <w:p w14:paraId="79616718" w14:textId="77777777" w:rsidR="00B707B7" w:rsidRPr="001D2881" w:rsidRDefault="00B707B7" w:rsidP="00E444B1">
            <w:pPr>
              <w:pStyle w:val="TableParagraph"/>
              <w:keepNext/>
              <w:spacing w:before="3"/>
              <w:jc w:val="left"/>
              <w:rPr>
                <w:sz w:val="23"/>
              </w:rPr>
            </w:pPr>
          </w:p>
          <w:p w14:paraId="28BCE9D9" w14:textId="77777777" w:rsidR="00B707B7" w:rsidRPr="001D2881" w:rsidRDefault="00B707B7" w:rsidP="00E444B1">
            <w:pPr>
              <w:pStyle w:val="TableParagraph"/>
              <w:keepNext/>
              <w:spacing w:before="0"/>
              <w:ind w:left="28"/>
              <w:rPr>
                <w:b/>
                <w:sz w:val="20"/>
              </w:rPr>
            </w:pPr>
            <w:r w:rsidRPr="001D2881">
              <w:rPr>
                <w:b/>
                <w:w w:val="99"/>
                <w:sz w:val="20"/>
              </w:rPr>
              <w:t>%</w:t>
            </w:r>
          </w:p>
        </w:tc>
        <w:tc>
          <w:tcPr>
            <w:tcW w:w="1376" w:type="dxa"/>
            <w:tcBorders>
              <w:top w:val="single" w:sz="4" w:space="0" w:color="auto"/>
              <w:left w:val="single" w:sz="4" w:space="0" w:color="auto"/>
              <w:bottom w:val="single" w:sz="4" w:space="0" w:color="auto"/>
              <w:right w:val="single" w:sz="4" w:space="0" w:color="auto"/>
            </w:tcBorders>
          </w:tcPr>
          <w:p w14:paraId="7263F37C" w14:textId="77777777" w:rsidR="00B707B7" w:rsidRPr="001D2881" w:rsidRDefault="00B707B7" w:rsidP="00E444B1">
            <w:pPr>
              <w:pStyle w:val="TableParagraph"/>
              <w:keepNext/>
              <w:spacing w:before="3"/>
              <w:jc w:val="left"/>
              <w:rPr>
                <w:sz w:val="23"/>
              </w:rPr>
            </w:pPr>
          </w:p>
          <w:p w14:paraId="7F80CB16" w14:textId="77777777" w:rsidR="00B707B7" w:rsidRPr="001D2881" w:rsidRDefault="00B707B7" w:rsidP="00E444B1">
            <w:pPr>
              <w:pStyle w:val="TableParagraph"/>
              <w:keepNext/>
              <w:spacing w:before="0"/>
              <w:ind w:right="171"/>
              <w:rPr>
                <w:b/>
                <w:sz w:val="20"/>
              </w:rPr>
            </w:pPr>
            <w:r w:rsidRPr="001D2881">
              <w:rPr>
                <w:b/>
                <w:w w:val="95"/>
                <w:sz w:val="20"/>
              </w:rPr>
              <w:t>$(000s)</w:t>
            </w:r>
          </w:p>
        </w:tc>
        <w:tc>
          <w:tcPr>
            <w:tcW w:w="1354" w:type="dxa"/>
            <w:tcBorders>
              <w:top w:val="single" w:sz="4" w:space="0" w:color="auto"/>
              <w:left w:val="single" w:sz="4" w:space="0" w:color="auto"/>
              <w:bottom w:val="single" w:sz="4" w:space="0" w:color="auto"/>
              <w:right w:val="single" w:sz="4" w:space="0" w:color="auto"/>
            </w:tcBorders>
          </w:tcPr>
          <w:p w14:paraId="0AFC12B1" w14:textId="77777777" w:rsidR="00B707B7" w:rsidRPr="001D2881" w:rsidRDefault="00B707B7" w:rsidP="00E444B1">
            <w:pPr>
              <w:pStyle w:val="TableParagraph"/>
              <w:keepNext/>
              <w:spacing w:before="3"/>
              <w:jc w:val="left"/>
              <w:rPr>
                <w:sz w:val="23"/>
              </w:rPr>
            </w:pPr>
          </w:p>
          <w:p w14:paraId="0365C1FB" w14:textId="77777777" w:rsidR="00B707B7" w:rsidRPr="001D2881" w:rsidRDefault="00B707B7" w:rsidP="00E444B1">
            <w:pPr>
              <w:pStyle w:val="TableParagraph"/>
              <w:keepNext/>
              <w:spacing w:before="0"/>
              <w:ind w:left="29"/>
              <w:rPr>
                <w:b/>
                <w:sz w:val="20"/>
              </w:rPr>
            </w:pPr>
            <w:r w:rsidRPr="001D2881">
              <w:rPr>
                <w:b/>
                <w:w w:val="99"/>
                <w:sz w:val="20"/>
              </w:rPr>
              <w:t>%</w:t>
            </w:r>
          </w:p>
        </w:tc>
      </w:tr>
      <w:tr w:rsidR="00B707B7" w:rsidRPr="001D2881" w14:paraId="3D7CE42E" w14:textId="77777777" w:rsidTr="00E444B1">
        <w:trPr>
          <w:trHeight w:val="306"/>
          <w:jc w:val="center"/>
        </w:trPr>
        <w:tc>
          <w:tcPr>
            <w:tcW w:w="2582" w:type="dxa"/>
            <w:tcBorders>
              <w:top w:val="single" w:sz="4" w:space="0" w:color="auto"/>
              <w:left w:val="single" w:sz="4" w:space="0" w:color="auto"/>
              <w:bottom w:val="single" w:sz="4" w:space="0" w:color="auto"/>
              <w:right w:val="single" w:sz="4" w:space="0" w:color="auto"/>
            </w:tcBorders>
          </w:tcPr>
          <w:p w14:paraId="402441BF" w14:textId="77777777" w:rsidR="00B707B7" w:rsidRPr="001D2881" w:rsidRDefault="00B707B7" w:rsidP="00E444B1">
            <w:pPr>
              <w:pStyle w:val="TableParagraph"/>
              <w:keepNext/>
              <w:spacing w:before="35"/>
              <w:ind w:left="35"/>
              <w:jc w:val="left"/>
              <w:rPr>
                <w:sz w:val="20"/>
              </w:rPr>
            </w:pPr>
            <w:r w:rsidRPr="001D2881">
              <w:rPr>
                <w:sz w:val="20"/>
              </w:rPr>
              <w:t>Low</w:t>
            </w:r>
          </w:p>
        </w:tc>
        <w:tc>
          <w:tcPr>
            <w:tcW w:w="6858" w:type="dxa"/>
            <w:gridSpan w:val="5"/>
            <w:tcBorders>
              <w:top w:val="single" w:sz="4" w:space="0" w:color="auto"/>
              <w:left w:val="single" w:sz="4" w:space="0" w:color="auto"/>
              <w:bottom w:val="single" w:sz="4" w:space="0" w:color="auto"/>
              <w:right w:val="single" w:sz="4" w:space="0" w:color="auto"/>
            </w:tcBorders>
          </w:tcPr>
          <w:p w14:paraId="49FB01B2" w14:textId="77777777" w:rsidR="00B707B7" w:rsidRPr="001D2881" w:rsidRDefault="00B707B7" w:rsidP="00E444B1">
            <w:pPr>
              <w:pStyle w:val="TableParagraph"/>
              <w:keepNext/>
              <w:spacing w:before="0"/>
              <w:jc w:val="left"/>
              <w:rPr>
                <w:sz w:val="18"/>
              </w:rPr>
            </w:pPr>
          </w:p>
        </w:tc>
      </w:tr>
      <w:tr w:rsidR="00B707B7" w:rsidRPr="001D2881" w14:paraId="0CFEB93D" w14:textId="77777777" w:rsidTr="00970163">
        <w:trPr>
          <w:trHeight w:val="306"/>
          <w:jc w:val="center"/>
        </w:trPr>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14:paraId="7B4A7C5E" w14:textId="77777777" w:rsidR="00B707B7" w:rsidRPr="001D2881" w:rsidRDefault="00B707B7" w:rsidP="00E444B1">
            <w:pPr>
              <w:pStyle w:val="TableParagraph"/>
              <w:keepNext/>
              <w:ind w:right="16"/>
              <w:jc w:val="right"/>
              <w:rPr>
                <w:sz w:val="20"/>
              </w:rPr>
            </w:pPr>
            <w:r w:rsidRPr="001D2881">
              <w:rPr>
                <w:sz w:val="20"/>
              </w:rPr>
              <w:t>2019</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7392232C" w14:textId="77777777" w:rsidR="00B707B7" w:rsidRPr="001D2881" w:rsidRDefault="00B707B7" w:rsidP="00E444B1">
            <w:pPr>
              <w:pStyle w:val="TableParagraph"/>
              <w:keepNext/>
              <w:ind w:left="316" w:right="297"/>
              <w:rPr>
                <w:sz w:val="20"/>
              </w:rPr>
            </w:pPr>
            <w:r w:rsidRPr="001D2881">
              <w:rPr>
                <w:sz w:val="20"/>
              </w:rPr>
              <w:t>3.3</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485C4718" w14:textId="77777777" w:rsidR="00B707B7" w:rsidRPr="001D2881" w:rsidRDefault="00B707B7" w:rsidP="00E444B1">
            <w:pPr>
              <w:pStyle w:val="TableParagraph"/>
              <w:keepNext/>
              <w:ind w:left="23"/>
              <w:rPr>
                <w:sz w:val="20"/>
              </w:rPr>
            </w:pPr>
            <w:r w:rsidRPr="001D2881">
              <w:rPr>
                <w:sz w:val="20"/>
              </w:rPr>
              <w:t>2</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17204427" w14:textId="77777777" w:rsidR="00B707B7" w:rsidRPr="001D2881" w:rsidRDefault="00B707B7" w:rsidP="00E444B1">
            <w:pPr>
              <w:pStyle w:val="TableParagraph"/>
              <w:keepNext/>
              <w:ind w:left="262" w:right="235"/>
              <w:rPr>
                <w:sz w:val="20"/>
              </w:rPr>
            </w:pPr>
            <w:r w:rsidRPr="001D2881">
              <w:rPr>
                <w:sz w:val="20"/>
              </w:rPr>
              <w:t>7.7</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4BE35D3D" w14:textId="234B6227" w:rsidR="00B707B7" w:rsidRPr="001D2881" w:rsidRDefault="00B71383" w:rsidP="00E444B1">
            <w:pPr>
              <w:pStyle w:val="TableParagraph"/>
              <w:keepNext/>
              <w:ind w:right="249"/>
              <w:rPr>
                <w:sz w:val="20"/>
              </w:rPr>
            </w:pPr>
            <w:r>
              <w:rPr>
                <w:sz w:val="20"/>
              </w:rPr>
              <w:t xml:space="preserve"> </w:t>
            </w:r>
            <w:r w:rsidR="00B707B7" w:rsidRPr="001D2881">
              <w:rPr>
                <w:sz w:val="20"/>
              </w:rPr>
              <w:t>150</w:t>
            </w:r>
          </w:p>
        </w:tc>
        <w:tc>
          <w:tcPr>
            <w:tcW w:w="1354" w:type="dxa"/>
            <w:tcBorders>
              <w:top w:val="single" w:sz="4" w:space="0" w:color="auto"/>
              <w:left w:val="single" w:sz="4" w:space="0" w:color="auto"/>
              <w:bottom w:val="single" w:sz="4" w:space="0" w:color="auto"/>
              <w:right w:val="single" w:sz="4" w:space="0" w:color="auto"/>
            </w:tcBorders>
            <w:vAlign w:val="center"/>
          </w:tcPr>
          <w:p w14:paraId="6C7CDB87" w14:textId="77777777" w:rsidR="00B707B7" w:rsidRPr="001D2881" w:rsidRDefault="00B707B7" w:rsidP="00E444B1">
            <w:pPr>
              <w:pStyle w:val="TableParagraph"/>
              <w:keepNext/>
              <w:ind w:left="254" w:right="226"/>
              <w:rPr>
                <w:sz w:val="20"/>
              </w:rPr>
            </w:pPr>
            <w:r w:rsidRPr="001D2881">
              <w:rPr>
                <w:sz w:val="20"/>
              </w:rPr>
              <w:t>3.5</w:t>
            </w:r>
          </w:p>
        </w:tc>
      </w:tr>
      <w:tr w:rsidR="00B707B7" w:rsidRPr="001D2881" w14:paraId="5E6A48CD" w14:textId="77777777" w:rsidTr="00970163">
        <w:trPr>
          <w:trHeight w:val="304"/>
          <w:jc w:val="center"/>
        </w:trPr>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14:paraId="231521EB" w14:textId="77777777" w:rsidR="00B707B7" w:rsidRPr="001D2881" w:rsidRDefault="00B707B7" w:rsidP="00E444B1">
            <w:pPr>
              <w:pStyle w:val="TableParagraph"/>
              <w:keepNext/>
              <w:ind w:left="35"/>
              <w:jc w:val="left"/>
              <w:rPr>
                <w:sz w:val="20"/>
              </w:rPr>
            </w:pPr>
            <w:r w:rsidRPr="001D2881">
              <w:rPr>
                <w:sz w:val="20"/>
              </w:rPr>
              <w:t>Moderate</w:t>
            </w:r>
          </w:p>
        </w:tc>
        <w:tc>
          <w:tcPr>
            <w:tcW w:w="68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C2F628" w14:textId="77777777" w:rsidR="00B707B7" w:rsidRPr="001D2881" w:rsidRDefault="00B707B7" w:rsidP="00E444B1">
            <w:pPr>
              <w:pStyle w:val="TableParagraph"/>
              <w:keepNext/>
              <w:spacing w:before="0"/>
              <w:rPr>
                <w:sz w:val="18"/>
              </w:rPr>
            </w:pPr>
          </w:p>
        </w:tc>
      </w:tr>
      <w:tr w:rsidR="00B707B7" w:rsidRPr="001D2881" w14:paraId="6212DF6F" w14:textId="77777777" w:rsidTr="00970163">
        <w:trPr>
          <w:trHeight w:val="304"/>
          <w:jc w:val="center"/>
        </w:trPr>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14:paraId="2E77CC72" w14:textId="77777777" w:rsidR="00B707B7" w:rsidRPr="001D2881" w:rsidRDefault="00B707B7" w:rsidP="00E444B1">
            <w:pPr>
              <w:pStyle w:val="TableParagraph"/>
              <w:keepNext/>
              <w:ind w:right="16"/>
              <w:jc w:val="right"/>
              <w:rPr>
                <w:sz w:val="20"/>
              </w:rPr>
            </w:pPr>
            <w:r w:rsidRPr="001D2881">
              <w:rPr>
                <w:sz w:val="20"/>
              </w:rPr>
              <w:t>2019</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44EB0170" w14:textId="77777777" w:rsidR="00B707B7" w:rsidRPr="001D2881" w:rsidRDefault="00B707B7" w:rsidP="00E444B1">
            <w:pPr>
              <w:pStyle w:val="TableParagraph"/>
              <w:keepNext/>
              <w:ind w:left="316" w:right="297"/>
              <w:rPr>
                <w:sz w:val="20"/>
              </w:rPr>
            </w:pPr>
            <w:r w:rsidRPr="001D2881">
              <w:rPr>
                <w:sz w:val="20"/>
              </w:rPr>
              <w:t>13.3</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06A2FF3B" w14:textId="77777777" w:rsidR="00B707B7" w:rsidRPr="001D2881" w:rsidRDefault="00B707B7" w:rsidP="00E444B1">
            <w:pPr>
              <w:pStyle w:val="TableParagraph"/>
              <w:keepNext/>
              <w:ind w:left="23"/>
              <w:rPr>
                <w:sz w:val="20"/>
              </w:rPr>
            </w:pPr>
            <w:r w:rsidRPr="001D2881">
              <w:rPr>
                <w:sz w:val="20"/>
              </w:rPr>
              <w:t>1</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3626303C" w14:textId="77777777" w:rsidR="00B707B7" w:rsidRPr="001D2881" w:rsidRDefault="00B707B7" w:rsidP="00E444B1">
            <w:pPr>
              <w:pStyle w:val="TableParagraph"/>
              <w:keepNext/>
              <w:ind w:left="262" w:right="234"/>
              <w:rPr>
                <w:sz w:val="20"/>
              </w:rPr>
            </w:pPr>
            <w:r w:rsidRPr="001D2881">
              <w:rPr>
                <w:sz w:val="20"/>
              </w:rPr>
              <w:t>3.9</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7215314E" w14:textId="1553A7B3" w:rsidR="00B707B7" w:rsidRPr="001D2881" w:rsidRDefault="00B71383" w:rsidP="00970163">
            <w:pPr>
              <w:pStyle w:val="TableParagraph"/>
              <w:keepNext/>
              <w:jc w:val="left"/>
              <w:rPr>
                <w:sz w:val="20"/>
              </w:rPr>
            </w:pPr>
            <w:r>
              <w:rPr>
                <w:sz w:val="20"/>
              </w:rPr>
              <w:t xml:space="preserve">         </w:t>
            </w:r>
            <w:r w:rsidR="00B707B7" w:rsidRPr="001D2881">
              <w:rPr>
                <w:sz w:val="20"/>
              </w:rPr>
              <w:t>168</w:t>
            </w:r>
          </w:p>
        </w:tc>
        <w:tc>
          <w:tcPr>
            <w:tcW w:w="1354" w:type="dxa"/>
            <w:tcBorders>
              <w:top w:val="single" w:sz="4" w:space="0" w:color="auto"/>
              <w:left w:val="single" w:sz="4" w:space="0" w:color="auto"/>
              <w:bottom w:val="single" w:sz="4" w:space="0" w:color="auto"/>
              <w:right w:val="single" w:sz="4" w:space="0" w:color="auto"/>
            </w:tcBorders>
            <w:vAlign w:val="center"/>
          </w:tcPr>
          <w:p w14:paraId="3211706D" w14:textId="77777777" w:rsidR="00B707B7" w:rsidRPr="001D2881" w:rsidRDefault="00B707B7" w:rsidP="00E444B1">
            <w:pPr>
              <w:pStyle w:val="TableParagraph"/>
              <w:keepNext/>
              <w:ind w:left="254" w:right="226"/>
              <w:rPr>
                <w:sz w:val="20"/>
              </w:rPr>
            </w:pPr>
            <w:r w:rsidRPr="001D2881">
              <w:rPr>
                <w:sz w:val="20"/>
              </w:rPr>
              <w:t>3.9</w:t>
            </w:r>
          </w:p>
        </w:tc>
      </w:tr>
      <w:tr w:rsidR="00B707B7" w:rsidRPr="001D2881" w14:paraId="686B18C9" w14:textId="77777777" w:rsidTr="00970163">
        <w:trPr>
          <w:trHeight w:val="303"/>
          <w:jc w:val="center"/>
        </w:trPr>
        <w:tc>
          <w:tcPr>
            <w:tcW w:w="2582" w:type="dxa"/>
            <w:tcBorders>
              <w:top w:val="single" w:sz="4" w:space="0" w:color="auto"/>
              <w:left w:val="single" w:sz="4" w:space="0" w:color="auto"/>
              <w:bottom w:val="single" w:sz="4" w:space="0" w:color="auto"/>
              <w:right w:val="single" w:sz="4" w:space="0" w:color="auto"/>
            </w:tcBorders>
            <w:vAlign w:val="center"/>
          </w:tcPr>
          <w:p w14:paraId="09129D5D" w14:textId="77777777" w:rsidR="00B707B7" w:rsidRPr="001D2881" w:rsidRDefault="00B707B7" w:rsidP="00E444B1">
            <w:pPr>
              <w:pStyle w:val="TableParagraph"/>
              <w:keepNext/>
              <w:ind w:left="35"/>
              <w:jc w:val="left"/>
              <w:rPr>
                <w:sz w:val="20"/>
              </w:rPr>
            </w:pPr>
            <w:r w:rsidRPr="001D2881">
              <w:rPr>
                <w:sz w:val="20"/>
              </w:rPr>
              <w:t>Middle</w:t>
            </w:r>
          </w:p>
        </w:tc>
        <w:tc>
          <w:tcPr>
            <w:tcW w:w="6858" w:type="dxa"/>
            <w:gridSpan w:val="5"/>
            <w:tcBorders>
              <w:top w:val="single" w:sz="4" w:space="0" w:color="auto"/>
              <w:left w:val="single" w:sz="4" w:space="0" w:color="auto"/>
              <w:bottom w:val="single" w:sz="4" w:space="0" w:color="auto"/>
              <w:right w:val="single" w:sz="4" w:space="0" w:color="auto"/>
            </w:tcBorders>
            <w:vAlign w:val="center"/>
          </w:tcPr>
          <w:p w14:paraId="2A2BABD0" w14:textId="77777777" w:rsidR="00B707B7" w:rsidRPr="001D2881" w:rsidRDefault="00B707B7" w:rsidP="00E444B1">
            <w:pPr>
              <w:pStyle w:val="TableParagraph"/>
              <w:keepNext/>
              <w:spacing w:before="0"/>
              <w:rPr>
                <w:sz w:val="18"/>
              </w:rPr>
            </w:pPr>
          </w:p>
        </w:tc>
      </w:tr>
      <w:tr w:rsidR="00B707B7" w:rsidRPr="001D2881" w14:paraId="4839EE83" w14:textId="77777777" w:rsidTr="00970163">
        <w:trPr>
          <w:trHeight w:val="304"/>
          <w:jc w:val="center"/>
        </w:trPr>
        <w:tc>
          <w:tcPr>
            <w:tcW w:w="2582" w:type="dxa"/>
            <w:tcBorders>
              <w:top w:val="single" w:sz="4" w:space="0" w:color="auto"/>
              <w:left w:val="single" w:sz="4" w:space="0" w:color="auto"/>
              <w:bottom w:val="single" w:sz="4" w:space="0" w:color="auto"/>
              <w:right w:val="single" w:sz="4" w:space="0" w:color="auto"/>
            </w:tcBorders>
            <w:vAlign w:val="center"/>
          </w:tcPr>
          <w:p w14:paraId="6FA2C922" w14:textId="77777777" w:rsidR="00B707B7" w:rsidRPr="001D2881" w:rsidRDefault="00B707B7" w:rsidP="00E444B1">
            <w:pPr>
              <w:pStyle w:val="TableParagraph"/>
              <w:keepNext/>
              <w:ind w:right="16"/>
              <w:jc w:val="right"/>
              <w:rPr>
                <w:sz w:val="20"/>
              </w:rPr>
            </w:pPr>
            <w:r w:rsidRPr="001D2881">
              <w:rPr>
                <w:sz w:val="20"/>
              </w:rPr>
              <w:t>2019</w:t>
            </w:r>
          </w:p>
        </w:tc>
        <w:tc>
          <w:tcPr>
            <w:tcW w:w="1376" w:type="dxa"/>
            <w:tcBorders>
              <w:top w:val="single" w:sz="4" w:space="0" w:color="auto"/>
              <w:left w:val="single" w:sz="4" w:space="0" w:color="auto"/>
              <w:bottom w:val="single" w:sz="4" w:space="0" w:color="auto"/>
              <w:right w:val="single" w:sz="4" w:space="0" w:color="auto"/>
            </w:tcBorders>
            <w:vAlign w:val="center"/>
          </w:tcPr>
          <w:p w14:paraId="530B0FB1" w14:textId="77777777" w:rsidR="00B707B7" w:rsidRPr="001D2881" w:rsidRDefault="00B707B7" w:rsidP="00E444B1">
            <w:pPr>
              <w:pStyle w:val="TableParagraph"/>
              <w:keepNext/>
              <w:ind w:left="542"/>
              <w:jc w:val="left"/>
              <w:rPr>
                <w:sz w:val="20"/>
              </w:rPr>
            </w:pPr>
            <w:r w:rsidRPr="001D2881">
              <w:rPr>
                <w:sz w:val="20"/>
              </w:rPr>
              <w:t>47.5</w:t>
            </w:r>
          </w:p>
        </w:tc>
        <w:tc>
          <w:tcPr>
            <w:tcW w:w="1376" w:type="dxa"/>
            <w:tcBorders>
              <w:top w:val="single" w:sz="4" w:space="0" w:color="auto"/>
              <w:left w:val="single" w:sz="4" w:space="0" w:color="auto"/>
              <w:bottom w:val="single" w:sz="4" w:space="0" w:color="auto"/>
              <w:right w:val="single" w:sz="4" w:space="0" w:color="auto"/>
            </w:tcBorders>
            <w:vAlign w:val="center"/>
          </w:tcPr>
          <w:p w14:paraId="6A65DA55" w14:textId="77777777" w:rsidR="00B707B7" w:rsidRPr="001D2881" w:rsidRDefault="00B707B7" w:rsidP="00E444B1">
            <w:pPr>
              <w:pStyle w:val="TableParagraph"/>
              <w:keepNext/>
              <w:ind w:left="383" w:right="359"/>
              <w:rPr>
                <w:sz w:val="20"/>
              </w:rPr>
            </w:pPr>
            <w:r w:rsidRPr="001D2881">
              <w:rPr>
                <w:sz w:val="20"/>
              </w:rPr>
              <w:t>14</w:t>
            </w:r>
          </w:p>
        </w:tc>
        <w:tc>
          <w:tcPr>
            <w:tcW w:w="1376" w:type="dxa"/>
            <w:tcBorders>
              <w:top w:val="single" w:sz="4" w:space="0" w:color="auto"/>
              <w:left w:val="single" w:sz="4" w:space="0" w:color="auto"/>
              <w:bottom w:val="single" w:sz="4" w:space="0" w:color="auto"/>
              <w:right w:val="single" w:sz="4" w:space="0" w:color="auto"/>
            </w:tcBorders>
            <w:vAlign w:val="center"/>
          </w:tcPr>
          <w:p w14:paraId="6075D155" w14:textId="77777777" w:rsidR="00B707B7" w:rsidRPr="001D2881" w:rsidRDefault="00B707B7" w:rsidP="00E444B1">
            <w:pPr>
              <w:pStyle w:val="TableParagraph"/>
              <w:keepNext/>
              <w:ind w:left="262" w:right="235"/>
              <w:rPr>
                <w:sz w:val="20"/>
              </w:rPr>
            </w:pPr>
            <w:r w:rsidRPr="001D2881">
              <w:rPr>
                <w:sz w:val="20"/>
              </w:rPr>
              <w:t>53.8</w:t>
            </w:r>
          </w:p>
        </w:tc>
        <w:tc>
          <w:tcPr>
            <w:tcW w:w="1376" w:type="dxa"/>
            <w:tcBorders>
              <w:top w:val="single" w:sz="4" w:space="0" w:color="auto"/>
              <w:left w:val="single" w:sz="4" w:space="0" w:color="auto"/>
              <w:bottom w:val="single" w:sz="4" w:space="0" w:color="auto"/>
              <w:right w:val="single" w:sz="4" w:space="0" w:color="auto"/>
            </w:tcBorders>
            <w:vAlign w:val="center"/>
          </w:tcPr>
          <w:p w14:paraId="22EC9DA5" w14:textId="77777777" w:rsidR="00B707B7" w:rsidRPr="001D2881" w:rsidRDefault="00B707B7" w:rsidP="00E444B1">
            <w:pPr>
              <w:pStyle w:val="TableParagraph"/>
              <w:keepNext/>
              <w:ind w:right="200"/>
              <w:rPr>
                <w:sz w:val="20"/>
              </w:rPr>
            </w:pPr>
            <w:r w:rsidRPr="001D2881">
              <w:rPr>
                <w:sz w:val="20"/>
              </w:rPr>
              <w:t>2,545</w:t>
            </w:r>
          </w:p>
        </w:tc>
        <w:tc>
          <w:tcPr>
            <w:tcW w:w="1354" w:type="dxa"/>
            <w:tcBorders>
              <w:top w:val="single" w:sz="4" w:space="0" w:color="auto"/>
              <w:left w:val="single" w:sz="4" w:space="0" w:color="auto"/>
              <w:bottom w:val="single" w:sz="4" w:space="0" w:color="auto"/>
              <w:right w:val="single" w:sz="4" w:space="0" w:color="auto"/>
            </w:tcBorders>
            <w:vAlign w:val="center"/>
          </w:tcPr>
          <w:p w14:paraId="6A688EC4" w14:textId="77777777" w:rsidR="00B707B7" w:rsidRPr="001D2881" w:rsidRDefault="00B707B7" w:rsidP="00E444B1">
            <w:pPr>
              <w:pStyle w:val="TableParagraph"/>
              <w:keepNext/>
              <w:ind w:left="254" w:right="226"/>
              <w:rPr>
                <w:sz w:val="20"/>
              </w:rPr>
            </w:pPr>
            <w:r w:rsidRPr="001D2881">
              <w:rPr>
                <w:sz w:val="20"/>
              </w:rPr>
              <w:t>58.6</w:t>
            </w:r>
          </w:p>
        </w:tc>
      </w:tr>
      <w:tr w:rsidR="00B707B7" w:rsidRPr="001D2881" w14:paraId="7C53740C" w14:textId="77777777" w:rsidTr="00970163">
        <w:trPr>
          <w:trHeight w:val="306"/>
          <w:jc w:val="center"/>
        </w:trPr>
        <w:tc>
          <w:tcPr>
            <w:tcW w:w="2582" w:type="dxa"/>
            <w:tcBorders>
              <w:top w:val="single" w:sz="4" w:space="0" w:color="auto"/>
              <w:left w:val="single" w:sz="4" w:space="0" w:color="auto"/>
              <w:bottom w:val="single" w:sz="4" w:space="0" w:color="auto"/>
              <w:right w:val="single" w:sz="4" w:space="0" w:color="auto"/>
            </w:tcBorders>
            <w:vAlign w:val="center"/>
          </w:tcPr>
          <w:p w14:paraId="717FF459" w14:textId="77777777" w:rsidR="00B707B7" w:rsidRPr="001D2881" w:rsidRDefault="00B707B7" w:rsidP="00E444B1">
            <w:pPr>
              <w:pStyle w:val="TableParagraph"/>
              <w:keepNext/>
              <w:ind w:left="35"/>
              <w:jc w:val="left"/>
              <w:rPr>
                <w:sz w:val="20"/>
              </w:rPr>
            </w:pPr>
            <w:r w:rsidRPr="001D2881">
              <w:rPr>
                <w:sz w:val="20"/>
              </w:rPr>
              <w:t>Upper</w:t>
            </w:r>
          </w:p>
        </w:tc>
        <w:tc>
          <w:tcPr>
            <w:tcW w:w="6858" w:type="dxa"/>
            <w:gridSpan w:val="5"/>
            <w:tcBorders>
              <w:top w:val="single" w:sz="4" w:space="0" w:color="auto"/>
              <w:left w:val="single" w:sz="4" w:space="0" w:color="auto"/>
              <w:bottom w:val="single" w:sz="4" w:space="0" w:color="auto"/>
              <w:right w:val="single" w:sz="4" w:space="0" w:color="auto"/>
            </w:tcBorders>
            <w:vAlign w:val="center"/>
          </w:tcPr>
          <w:p w14:paraId="54CDF597" w14:textId="77777777" w:rsidR="00B707B7" w:rsidRPr="001D2881" w:rsidRDefault="00B707B7" w:rsidP="00E444B1">
            <w:pPr>
              <w:pStyle w:val="TableParagraph"/>
              <w:keepNext/>
              <w:spacing w:before="0"/>
              <w:rPr>
                <w:sz w:val="18"/>
              </w:rPr>
            </w:pPr>
          </w:p>
        </w:tc>
      </w:tr>
      <w:tr w:rsidR="00B707B7" w:rsidRPr="001D2881" w14:paraId="30FCC4BE" w14:textId="77777777" w:rsidTr="00970163">
        <w:trPr>
          <w:trHeight w:val="304"/>
          <w:jc w:val="center"/>
        </w:trPr>
        <w:tc>
          <w:tcPr>
            <w:tcW w:w="2582" w:type="dxa"/>
            <w:tcBorders>
              <w:top w:val="single" w:sz="4" w:space="0" w:color="auto"/>
              <w:left w:val="single" w:sz="4" w:space="0" w:color="auto"/>
              <w:bottom w:val="single" w:sz="4" w:space="0" w:color="auto"/>
              <w:right w:val="single" w:sz="4" w:space="0" w:color="auto"/>
            </w:tcBorders>
            <w:vAlign w:val="center"/>
          </w:tcPr>
          <w:p w14:paraId="2897FA87" w14:textId="77777777" w:rsidR="00B707B7" w:rsidRPr="001D2881" w:rsidRDefault="00B707B7" w:rsidP="00E444B1">
            <w:pPr>
              <w:pStyle w:val="TableParagraph"/>
              <w:keepNext/>
              <w:ind w:right="16"/>
              <w:jc w:val="right"/>
              <w:rPr>
                <w:sz w:val="20"/>
              </w:rPr>
            </w:pPr>
            <w:r w:rsidRPr="001D2881">
              <w:rPr>
                <w:sz w:val="20"/>
              </w:rPr>
              <w:t>2019</w:t>
            </w:r>
          </w:p>
        </w:tc>
        <w:tc>
          <w:tcPr>
            <w:tcW w:w="1376" w:type="dxa"/>
            <w:tcBorders>
              <w:top w:val="single" w:sz="4" w:space="0" w:color="auto"/>
              <w:left w:val="single" w:sz="4" w:space="0" w:color="auto"/>
              <w:bottom w:val="single" w:sz="4" w:space="0" w:color="auto"/>
              <w:right w:val="single" w:sz="4" w:space="0" w:color="auto"/>
            </w:tcBorders>
            <w:vAlign w:val="center"/>
          </w:tcPr>
          <w:p w14:paraId="6972E4C8" w14:textId="77777777" w:rsidR="00B707B7" w:rsidRPr="001D2881" w:rsidRDefault="00B707B7" w:rsidP="00E444B1">
            <w:pPr>
              <w:pStyle w:val="TableParagraph"/>
              <w:keepNext/>
              <w:ind w:left="542"/>
              <w:jc w:val="left"/>
              <w:rPr>
                <w:sz w:val="20"/>
              </w:rPr>
            </w:pPr>
            <w:r w:rsidRPr="001D2881">
              <w:rPr>
                <w:sz w:val="20"/>
              </w:rPr>
              <w:t>35.8</w:t>
            </w:r>
          </w:p>
        </w:tc>
        <w:tc>
          <w:tcPr>
            <w:tcW w:w="1376" w:type="dxa"/>
            <w:tcBorders>
              <w:top w:val="single" w:sz="4" w:space="0" w:color="auto"/>
              <w:left w:val="single" w:sz="4" w:space="0" w:color="auto"/>
              <w:bottom w:val="single" w:sz="4" w:space="0" w:color="auto"/>
              <w:right w:val="single" w:sz="4" w:space="0" w:color="auto"/>
            </w:tcBorders>
            <w:vAlign w:val="center"/>
          </w:tcPr>
          <w:p w14:paraId="77BFC164" w14:textId="77777777" w:rsidR="00B707B7" w:rsidRPr="001D2881" w:rsidRDefault="00B707B7" w:rsidP="00E444B1">
            <w:pPr>
              <w:pStyle w:val="TableParagraph"/>
              <w:keepNext/>
              <w:ind w:left="23"/>
              <w:rPr>
                <w:sz w:val="20"/>
              </w:rPr>
            </w:pPr>
            <w:r w:rsidRPr="001D2881">
              <w:rPr>
                <w:sz w:val="20"/>
              </w:rPr>
              <w:t>9</w:t>
            </w:r>
          </w:p>
        </w:tc>
        <w:tc>
          <w:tcPr>
            <w:tcW w:w="1376" w:type="dxa"/>
            <w:tcBorders>
              <w:top w:val="single" w:sz="4" w:space="0" w:color="auto"/>
              <w:left w:val="single" w:sz="4" w:space="0" w:color="auto"/>
              <w:bottom w:val="single" w:sz="4" w:space="0" w:color="auto"/>
              <w:right w:val="single" w:sz="4" w:space="0" w:color="auto"/>
            </w:tcBorders>
            <w:vAlign w:val="center"/>
          </w:tcPr>
          <w:p w14:paraId="126B1962" w14:textId="77777777" w:rsidR="00B707B7" w:rsidRPr="001D2881" w:rsidRDefault="00B707B7" w:rsidP="00E444B1">
            <w:pPr>
              <w:pStyle w:val="TableParagraph"/>
              <w:keepNext/>
              <w:ind w:left="262" w:right="235"/>
              <w:rPr>
                <w:sz w:val="20"/>
              </w:rPr>
            </w:pPr>
            <w:r w:rsidRPr="001D2881">
              <w:rPr>
                <w:sz w:val="20"/>
              </w:rPr>
              <w:t>34.6</w:t>
            </w:r>
          </w:p>
        </w:tc>
        <w:tc>
          <w:tcPr>
            <w:tcW w:w="1376" w:type="dxa"/>
            <w:tcBorders>
              <w:top w:val="single" w:sz="4" w:space="0" w:color="auto"/>
              <w:left w:val="single" w:sz="4" w:space="0" w:color="auto"/>
              <w:bottom w:val="single" w:sz="4" w:space="0" w:color="auto"/>
              <w:right w:val="single" w:sz="4" w:space="0" w:color="auto"/>
            </w:tcBorders>
            <w:vAlign w:val="center"/>
          </w:tcPr>
          <w:p w14:paraId="31B9886A" w14:textId="77777777" w:rsidR="00B707B7" w:rsidRPr="001D2881" w:rsidRDefault="00B707B7" w:rsidP="00E444B1">
            <w:pPr>
              <w:pStyle w:val="TableParagraph"/>
              <w:keepNext/>
              <w:ind w:right="249"/>
              <w:rPr>
                <w:sz w:val="20"/>
              </w:rPr>
            </w:pPr>
            <w:r w:rsidRPr="001D2881">
              <w:rPr>
                <w:sz w:val="20"/>
              </w:rPr>
              <w:t>1,480</w:t>
            </w:r>
          </w:p>
        </w:tc>
        <w:tc>
          <w:tcPr>
            <w:tcW w:w="1354" w:type="dxa"/>
            <w:tcBorders>
              <w:top w:val="single" w:sz="4" w:space="0" w:color="auto"/>
              <w:left w:val="single" w:sz="4" w:space="0" w:color="auto"/>
              <w:bottom w:val="single" w:sz="4" w:space="0" w:color="auto"/>
              <w:right w:val="single" w:sz="4" w:space="0" w:color="auto"/>
            </w:tcBorders>
            <w:vAlign w:val="center"/>
          </w:tcPr>
          <w:p w14:paraId="35B30CBF" w14:textId="77777777" w:rsidR="00B707B7" w:rsidRPr="001D2881" w:rsidRDefault="00B707B7" w:rsidP="00E444B1">
            <w:pPr>
              <w:pStyle w:val="TableParagraph"/>
              <w:keepNext/>
              <w:ind w:left="254" w:right="226"/>
              <w:rPr>
                <w:sz w:val="20"/>
              </w:rPr>
            </w:pPr>
            <w:r w:rsidRPr="001D2881">
              <w:rPr>
                <w:sz w:val="20"/>
              </w:rPr>
              <w:t>34.1</w:t>
            </w:r>
          </w:p>
        </w:tc>
      </w:tr>
      <w:tr w:rsidR="00B707B7" w:rsidRPr="001D2881" w14:paraId="72EBC932" w14:textId="77777777" w:rsidTr="00970163">
        <w:trPr>
          <w:trHeight w:val="304"/>
          <w:jc w:val="center"/>
        </w:trPr>
        <w:tc>
          <w:tcPr>
            <w:tcW w:w="2582" w:type="dxa"/>
            <w:tcBorders>
              <w:top w:val="single" w:sz="4" w:space="0" w:color="auto"/>
              <w:left w:val="single" w:sz="4" w:space="0" w:color="auto"/>
              <w:bottom w:val="single" w:sz="4" w:space="0" w:color="auto"/>
              <w:right w:val="single" w:sz="4" w:space="0" w:color="auto"/>
            </w:tcBorders>
            <w:vAlign w:val="center"/>
          </w:tcPr>
          <w:p w14:paraId="6C148031" w14:textId="77777777" w:rsidR="00B707B7" w:rsidRPr="001D2881" w:rsidRDefault="00B707B7" w:rsidP="00E444B1">
            <w:pPr>
              <w:pStyle w:val="TableParagraph"/>
              <w:keepNext/>
              <w:ind w:right="16"/>
              <w:jc w:val="left"/>
              <w:rPr>
                <w:sz w:val="20"/>
              </w:rPr>
            </w:pPr>
            <w:r w:rsidRPr="001D2881">
              <w:rPr>
                <w:sz w:val="20"/>
              </w:rPr>
              <w:t>Not Applicable</w:t>
            </w:r>
          </w:p>
        </w:tc>
        <w:tc>
          <w:tcPr>
            <w:tcW w:w="6858" w:type="dxa"/>
            <w:gridSpan w:val="5"/>
            <w:tcBorders>
              <w:top w:val="single" w:sz="4" w:space="0" w:color="auto"/>
              <w:left w:val="single" w:sz="4" w:space="0" w:color="auto"/>
              <w:bottom w:val="single" w:sz="4" w:space="0" w:color="auto"/>
              <w:right w:val="single" w:sz="4" w:space="0" w:color="auto"/>
            </w:tcBorders>
            <w:vAlign w:val="center"/>
          </w:tcPr>
          <w:p w14:paraId="6986C977" w14:textId="77777777" w:rsidR="00B707B7" w:rsidRPr="001D2881" w:rsidRDefault="00B707B7" w:rsidP="00E444B1">
            <w:pPr>
              <w:pStyle w:val="TableParagraph"/>
              <w:keepNext/>
              <w:ind w:left="254" w:right="226"/>
              <w:rPr>
                <w:sz w:val="20"/>
              </w:rPr>
            </w:pPr>
          </w:p>
        </w:tc>
      </w:tr>
      <w:tr w:rsidR="00B707B7" w:rsidRPr="001D2881" w14:paraId="1E1BFD33" w14:textId="77777777" w:rsidTr="00970163">
        <w:trPr>
          <w:trHeight w:val="304"/>
          <w:jc w:val="center"/>
        </w:trPr>
        <w:tc>
          <w:tcPr>
            <w:tcW w:w="2582" w:type="dxa"/>
            <w:tcBorders>
              <w:top w:val="single" w:sz="4" w:space="0" w:color="auto"/>
              <w:left w:val="single" w:sz="4" w:space="0" w:color="auto"/>
              <w:bottom w:val="single" w:sz="4" w:space="0" w:color="auto"/>
              <w:right w:val="single" w:sz="4" w:space="0" w:color="auto"/>
            </w:tcBorders>
            <w:vAlign w:val="center"/>
          </w:tcPr>
          <w:p w14:paraId="5A9283BD" w14:textId="77777777" w:rsidR="00B707B7" w:rsidRPr="001D2881" w:rsidRDefault="00B707B7" w:rsidP="00E444B1">
            <w:pPr>
              <w:pStyle w:val="TableParagraph"/>
              <w:keepNext/>
              <w:ind w:right="16"/>
              <w:jc w:val="right"/>
              <w:rPr>
                <w:sz w:val="20"/>
              </w:rPr>
            </w:pPr>
            <w:r w:rsidRPr="001D2881">
              <w:rPr>
                <w:sz w:val="20"/>
              </w:rPr>
              <w:t>2019</w:t>
            </w:r>
          </w:p>
        </w:tc>
        <w:tc>
          <w:tcPr>
            <w:tcW w:w="1376" w:type="dxa"/>
            <w:tcBorders>
              <w:top w:val="single" w:sz="4" w:space="0" w:color="auto"/>
              <w:left w:val="single" w:sz="4" w:space="0" w:color="auto"/>
              <w:bottom w:val="single" w:sz="4" w:space="0" w:color="auto"/>
              <w:right w:val="single" w:sz="4" w:space="0" w:color="auto"/>
            </w:tcBorders>
            <w:vAlign w:val="center"/>
          </w:tcPr>
          <w:p w14:paraId="41D4DE2D" w14:textId="77777777" w:rsidR="00B707B7" w:rsidRPr="001D2881" w:rsidRDefault="00B707B7" w:rsidP="00E444B1">
            <w:pPr>
              <w:pStyle w:val="TableParagraph"/>
              <w:keepNext/>
              <w:rPr>
                <w:sz w:val="20"/>
              </w:rPr>
            </w:pPr>
            <w:r w:rsidRPr="001D2881">
              <w:rPr>
                <w:sz w:val="20"/>
              </w:rPr>
              <w:t>0.2</w:t>
            </w:r>
          </w:p>
        </w:tc>
        <w:tc>
          <w:tcPr>
            <w:tcW w:w="1376" w:type="dxa"/>
            <w:tcBorders>
              <w:top w:val="single" w:sz="4" w:space="0" w:color="auto"/>
              <w:left w:val="single" w:sz="4" w:space="0" w:color="auto"/>
              <w:bottom w:val="single" w:sz="4" w:space="0" w:color="auto"/>
              <w:right w:val="single" w:sz="4" w:space="0" w:color="auto"/>
            </w:tcBorders>
            <w:vAlign w:val="center"/>
          </w:tcPr>
          <w:p w14:paraId="1E5C2922" w14:textId="77777777" w:rsidR="00B707B7" w:rsidRPr="001D2881" w:rsidRDefault="00B707B7" w:rsidP="00E444B1">
            <w:pPr>
              <w:pStyle w:val="TableParagraph"/>
              <w:keepNext/>
              <w:ind w:left="23"/>
              <w:rPr>
                <w:sz w:val="20"/>
              </w:rPr>
            </w:pPr>
            <w:r w:rsidRPr="001D2881">
              <w:rPr>
                <w:sz w:val="20"/>
              </w:rPr>
              <w:t>0</w:t>
            </w:r>
          </w:p>
        </w:tc>
        <w:tc>
          <w:tcPr>
            <w:tcW w:w="1376" w:type="dxa"/>
            <w:tcBorders>
              <w:top w:val="single" w:sz="4" w:space="0" w:color="auto"/>
              <w:left w:val="single" w:sz="4" w:space="0" w:color="auto"/>
              <w:bottom w:val="single" w:sz="4" w:space="0" w:color="auto"/>
              <w:right w:val="single" w:sz="4" w:space="0" w:color="auto"/>
            </w:tcBorders>
            <w:vAlign w:val="center"/>
          </w:tcPr>
          <w:p w14:paraId="50A2CD73" w14:textId="77777777" w:rsidR="00B707B7" w:rsidRPr="001D2881" w:rsidRDefault="00B707B7" w:rsidP="00E444B1">
            <w:pPr>
              <w:pStyle w:val="TableParagraph"/>
              <w:keepNext/>
              <w:ind w:left="262" w:right="235"/>
              <w:rPr>
                <w:sz w:val="20"/>
              </w:rPr>
            </w:pPr>
            <w:r w:rsidRPr="001D2881">
              <w:rPr>
                <w:sz w:val="20"/>
              </w:rPr>
              <w:t>0.0</w:t>
            </w:r>
          </w:p>
        </w:tc>
        <w:tc>
          <w:tcPr>
            <w:tcW w:w="1376" w:type="dxa"/>
            <w:tcBorders>
              <w:top w:val="single" w:sz="4" w:space="0" w:color="auto"/>
              <w:left w:val="single" w:sz="4" w:space="0" w:color="auto"/>
              <w:bottom w:val="single" w:sz="4" w:space="0" w:color="auto"/>
              <w:right w:val="single" w:sz="4" w:space="0" w:color="auto"/>
            </w:tcBorders>
            <w:vAlign w:val="center"/>
          </w:tcPr>
          <w:p w14:paraId="10B0954A" w14:textId="77777777" w:rsidR="00B707B7" w:rsidRPr="001D2881" w:rsidRDefault="00B707B7" w:rsidP="00E444B1">
            <w:pPr>
              <w:pStyle w:val="TableParagraph"/>
              <w:keepNext/>
              <w:ind w:right="249"/>
              <w:rPr>
                <w:sz w:val="20"/>
              </w:rPr>
            </w:pPr>
            <w:r w:rsidRPr="001D2881">
              <w:rPr>
                <w:sz w:val="20"/>
              </w:rPr>
              <w:t>0</w:t>
            </w:r>
          </w:p>
        </w:tc>
        <w:tc>
          <w:tcPr>
            <w:tcW w:w="1354" w:type="dxa"/>
            <w:tcBorders>
              <w:top w:val="single" w:sz="4" w:space="0" w:color="auto"/>
              <w:left w:val="single" w:sz="4" w:space="0" w:color="auto"/>
              <w:bottom w:val="single" w:sz="4" w:space="0" w:color="auto"/>
              <w:right w:val="single" w:sz="4" w:space="0" w:color="auto"/>
            </w:tcBorders>
            <w:vAlign w:val="center"/>
          </w:tcPr>
          <w:p w14:paraId="615BE98F" w14:textId="77777777" w:rsidR="00B707B7" w:rsidRPr="001D2881" w:rsidRDefault="00B707B7" w:rsidP="00E444B1">
            <w:pPr>
              <w:pStyle w:val="TableParagraph"/>
              <w:keepNext/>
              <w:ind w:left="254" w:right="226"/>
              <w:rPr>
                <w:sz w:val="20"/>
              </w:rPr>
            </w:pPr>
            <w:r w:rsidRPr="001D2881">
              <w:rPr>
                <w:sz w:val="20"/>
              </w:rPr>
              <w:t>0.0</w:t>
            </w:r>
          </w:p>
        </w:tc>
      </w:tr>
      <w:tr w:rsidR="00B707B7" w:rsidRPr="001D2881" w14:paraId="327D47F4" w14:textId="77777777" w:rsidTr="00970163">
        <w:trPr>
          <w:trHeight w:val="303"/>
          <w:jc w:val="center"/>
        </w:trPr>
        <w:tc>
          <w:tcPr>
            <w:tcW w:w="2582" w:type="dxa"/>
            <w:tcBorders>
              <w:top w:val="single" w:sz="4" w:space="0" w:color="auto"/>
              <w:left w:val="single" w:sz="4" w:space="0" w:color="auto"/>
              <w:bottom w:val="single" w:sz="4" w:space="0" w:color="auto"/>
              <w:right w:val="single" w:sz="4" w:space="0" w:color="auto"/>
            </w:tcBorders>
            <w:vAlign w:val="center"/>
          </w:tcPr>
          <w:p w14:paraId="32CD56BC" w14:textId="77777777" w:rsidR="00B707B7" w:rsidRPr="001D2881" w:rsidRDefault="00B707B7" w:rsidP="00E444B1">
            <w:pPr>
              <w:pStyle w:val="TableParagraph"/>
              <w:keepNext/>
              <w:spacing w:before="37"/>
              <w:ind w:left="35"/>
              <w:jc w:val="left"/>
              <w:rPr>
                <w:b/>
                <w:sz w:val="20"/>
              </w:rPr>
            </w:pPr>
            <w:r w:rsidRPr="001D2881">
              <w:rPr>
                <w:b/>
                <w:sz w:val="20"/>
              </w:rPr>
              <w:t>Totals</w:t>
            </w:r>
          </w:p>
        </w:tc>
        <w:tc>
          <w:tcPr>
            <w:tcW w:w="6858" w:type="dxa"/>
            <w:gridSpan w:val="5"/>
            <w:tcBorders>
              <w:top w:val="single" w:sz="4" w:space="0" w:color="auto"/>
              <w:left w:val="single" w:sz="4" w:space="0" w:color="auto"/>
              <w:bottom w:val="single" w:sz="4" w:space="0" w:color="auto"/>
              <w:right w:val="single" w:sz="4" w:space="0" w:color="auto"/>
            </w:tcBorders>
            <w:vAlign w:val="center"/>
          </w:tcPr>
          <w:p w14:paraId="0A852F89" w14:textId="77777777" w:rsidR="00B707B7" w:rsidRPr="001D2881" w:rsidRDefault="00B707B7" w:rsidP="00E444B1">
            <w:pPr>
              <w:pStyle w:val="TableParagraph"/>
              <w:keepNext/>
              <w:spacing w:before="0"/>
              <w:rPr>
                <w:sz w:val="18"/>
              </w:rPr>
            </w:pPr>
          </w:p>
        </w:tc>
      </w:tr>
      <w:tr w:rsidR="00B707B7" w:rsidRPr="001D2881" w14:paraId="3EB84C09" w14:textId="77777777" w:rsidTr="00970163">
        <w:trPr>
          <w:trHeight w:val="306"/>
          <w:jc w:val="center"/>
        </w:trPr>
        <w:tc>
          <w:tcPr>
            <w:tcW w:w="2582" w:type="dxa"/>
            <w:tcBorders>
              <w:top w:val="single" w:sz="4" w:space="0" w:color="auto"/>
              <w:left w:val="single" w:sz="4" w:space="0" w:color="auto"/>
              <w:bottom w:val="single" w:sz="4" w:space="0" w:color="auto"/>
              <w:right w:val="single" w:sz="4" w:space="0" w:color="auto"/>
            </w:tcBorders>
            <w:vAlign w:val="center"/>
          </w:tcPr>
          <w:p w14:paraId="0B3E236D" w14:textId="77777777" w:rsidR="00B707B7" w:rsidRPr="001D2881" w:rsidRDefault="00B707B7" w:rsidP="00E444B1">
            <w:pPr>
              <w:pStyle w:val="TableParagraph"/>
              <w:keepNext/>
              <w:spacing w:before="39"/>
              <w:ind w:right="16"/>
              <w:jc w:val="right"/>
              <w:rPr>
                <w:b/>
                <w:sz w:val="20"/>
              </w:rPr>
            </w:pPr>
            <w:r w:rsidRPr="001D2881">
              <w:rPr>
                <w:b/>
                <w:sz w:val="20"/>
              </w:rPr>
              <w:t>2019</w:t>
            </w:r>
          </w:p>
        </w:tc>
        <w:tc>
          <w:tcPr>
            <w:tcW w:w="1376" w:type="dxa"/>
            <w:tcBorders>
              <w:top w:val="single" w:sz="4" w:space="0" w:color="auto"/>
              <w:left w:val="single" w:sz="4" w:space="0" w:color="auto"/>
              <w:bottom w:val="single" w:sz="4" w:space="0" w:color="auto"/>
              <w:right w:val="single" w:sz="4" w:space="0" w:color="auto"/>
            </w:tcBorders>
            <w:vAlign w:val="center"/>
          </w:tcPr>
          <w:p w14:paraId="69E1C085" w14:textId="77777777" w:rsidR="00B707B7" w:rsidRPr="001D2881" w:rsidRDefault="00B707B7" w:rsidP="00E444B1">
            <w:pPr>
              <w:pStyle w:val="TableParagraph"/>
              <w:keepNext/>
              <w:spacing w:before="39"/>
              <w:ind w:left="492"/>
              <w:jc w:val="left"/>
              <w:rPr>
                <w:b/>
                <w:sz w:val="20"/>
              </w:rPr>
            </w:pPr>
            <w:r w:rsidRPr="001D2881">
              <w:rPr>
                <w:b/>
                <w:sz w:val="20"/>
              </w:rPr>
              <w:t>100.0</w:t>
            </w:r>
          </w:p>
        </w:tc>
        <w:tc>
          <w:tcPr>
            <w:tcW w:w="1376" w:type="dxa"/>
            <w:tcBorders>
              <w:top w:val="single" w:sz="4" w:space="0" w:color="auto"/>
              <w:left w:val="single" w:sz="4" w:space="0" w:color="auto"/>
              <w:bottom w:val="single" w:sz="4" w:space="0" w:color="auto"/>
              <w:right w:val="single" w:sz="4" w:space="0" w:color="auto"/>
            </w:tcBorders>
            <w:vAlign w:val="center"/>
          </w:tcPr>
          <w:p w14:paraId="14A3A9CD" w14:textId="77777777" w:rsidR="00B707B7" w:rsidRPr="001D2881" w:rsidRDefault="00B707B7" w:rsidP="00E444B1">
            <w:pPr>
              <w:pStyle w:val="TableParagraph"/>
              <w:keepNext/>
              <w:spacing w:before="39"/>
              <w:ind w:left="383" w:right="359"/>
              <w:rPr>
                <w:b/>
                <w:sz w:val="20"/>
              </w:rPr>
            </w:pPr>
            <w:r w:rsidRPr="001D2881">
              <w:rPr>
                <w:b/>
                <w:sz w:val="20"/>
              </w:rPr>
              <w:t>26</w:t>
            </w:r>
          </w:p>
        </w:tc>
        <w:tc>
          <w:tcPr>
            <w:tcW w:w="1376" w:type="dxa"/>
            <w:tcBorders>
              <w:top w:val="single" w:sz="4" w:space="0" w:color="auto"/>
              <w:left w:val="single" w:sz="4" w:space="0" w:color="auto"/>
              <w:bottom w:val="single" w:sz="4" w:space="0" w:color="auto"/>
              <w:right w:val="single" w:sz="4" w:space="0" w:color="auto"/>
            </w:tcBorders>
            <w:vAlign w:val="center"/>
          </w:tcPr>
          <w:p w14:paraId="65B5DE22" w14:textId="77777777" w:rsidR="00B707B7" w:rsidRPr="001D2881" w:rsidRDefault="00B707B7" w:rsidP="00E444B1">
            <w:pPr>
              <w:pStyle w:val="TableParagraph"/>
              <w:keepNext/>
              <w:spacing w:before="39"/>
              <w:ind w:left="262" w:right="235"/>
              <w:rPr>
                <w:b/>
                <w:sz w:val="20"/>
              </w:rPr>
            </w:pPr>
            <w:r w:rsidRPr="001D2881">
              <w:rPr>
                <w:b/>
                <w:sz w:val="20"/>
              </w:rPr>
              <w:t>100.0</w:t>
            </w:r>
          </w:p>
        </w:tc>
        <w:tc>
          <w:tcPr>
            <w:tcW w:w="1376" w:type="dxa"/>
            <w:tcBorders>
              <w:top w:val="single" w:sz="4" w:space="0" w:color="auto"/>
              <w:left w:val="single" w:sz="4" w:space="0" w:color="auto"/>
              <w:bottom w:val="single" w:sz="4" w:space="0" w:color="auto"/>
              <w:right w:val="single" w:sz="4" w:space="0" w:color="auto"/>
            </w:tcBorders>
            <w:vAlign w:val="center"/>
          </w:tcPr>
          <w:p w14:paraId="0D17B531" w14:textId="77777777" w:rsidR="00B707B7" w:rsidRPr="001D2881" w:rsidRDefault="00B707B7" w:rsidP="00E444B1">
            <w:pPr>
              <w:pStyle w:val="TableParagraph"/>
              <w:keepNext/>
              <w:spacing w:before="39"/>
              <w:ind w:right="200"/>
              <w:rPr>
                <w:b/>
                <w:sz w:val="20"/>
              </w:rPr>
            </w:pPr>
            <w:r w:rsidRPr="001D2881">
              <w:rPr>
                <w:b/>
                <w:sz w:val="20"/>
              </w:rPr>
              <w:t>4,343</w:t>
            </w:r>
          </w:p>
        </w:tc>
        <w:tc>
          <w:tcPr>
            <w:tcW w:w="1354" w:type="dxa"/>
            <w:tcBorders>
              <w:top w:val="single" w:sz="4" w:space="0" w:color="auto"/>
              <w:left w:val="single" w:sz="4" w:space="0" w:color="auto"/>
              <w:bottom w:val="single" w:sz="4" w:space="0" w:color="auto"/>
              <w:right w:val="single" w:sz="4" w:space="0" w:color="auto"/>
            </w:tcBorders>
            <w:vAlign w:val="center"/>
          </w:tcPr>
          <w:p w14:paraId="618ECF6C" w14:textId="77777777" w:rsidR="00B707B7" w:rsidRPr="001D2881" w:rsidRDefault="00B707B7" w:rsidP="00E444B1">
            <w:pPr>
              <w:pStyle w:val="TableParagraph"/>
              <w:keepNext/>
              <w:spacing w:before="39"/>
              <w:ind w:left="254" w:right="226"/>
              <w:rPr>
                <w:b/>
                <w:sz w:val="20"/>
              </w:rPr>
            </w:pPr>
            <w:r w:rsidRPr="001D2881">
              <w:rPr>
                <w:b/>
                <w:sz w:val="20"/>
              </w:rPr>
              <w:t>100.0</w:t>
            </w:r>
          </w:p>
        </w:tc>
      </w:tr>
      <w:tr w:rsidR="00B707B7" w:rsidRPr="001D2881" w14:paraId="0A98D982" w14:textId="77777777" w:rsidTr="00970163">
        <w:trPr>
          <w:trHeight w:val="277"/>
          <w:jc w:val="center"/>
        </w:trPr>
        <w:tc>
          <w:tcPr>
            <w:tcW w:w="9440" w:type="dxa"/>
            <w:gridSpan w:val="6"/>
            <w:tcBorders>
              <w:top w:val="single" w:sz="4" w:space="0" w:color="auto"/>
              <w:left w:val="single" w:sz="4" w:space="0" w:color="auto"/>
              <w:bottom w:val="single" w:sz="4" w:space="0" w:color="auto"/>
              <w:right w:val="single" w:sz="4" w:space="0" w:color="auto"/>
            </w:tcBorders>
            <w:vAlign w:val="center"/>
          </w:tcPr>
          <w:p w14:paraId="3F49BB07" w14:textId="77777777" w:rsidR="00B707B7" w:rsidRPr="001D2881" w:rsidRDefault="00B707B7" w:rsidP="00E444B1">
            <w:pPr>
              <w:pStyle w:val="TableParagraph"/>
              <w:keepNext/>
              <w:spacing w:before="53"/>
              <w:ind w:left="35" w:right="1641"/>
              <w:jc w:val="left"/>
              <w:rPr>
                <w:i/>
                <w:sz w:val="16"/>
              </w:rPr>
            </w:pPr>
            <w:r w:rsidRPr="001D2881">
              <w:rPr>
                <w:i/>
                <w:sz w:val="16"/>
              </w:rPr>
              <w:t>Source: 2019 D&amp;B Data; Bank Data;, Due to rounding, totals may not equal 100.0</w:t>
            </w:r>
            <w:r>
              <w:rPr>
                <w:i/>
                <w:sz w:val="16"/>
              </w:rPr>
              <w:t>%</w:t>
            </w:r>
          </w:p>
        </w:tc>
      </w:tr>
    </w:tbl>
    <w:p w14:paraId="24DCFB2A" w14:textId="77777777" w:rsidR="00B707B7" w:rsidRPr="001D2881" w:rsidRDefault="00B707B7" w:rsidP="00B707B7">
      <w:pPr>
        <w:pStyle w:val="QuickFormat1"/>
        <w:jc w:val="left"/>
        <w:rPr>
          <w:b w:val="0"/>
          <w:color w:val="auto"/>
          <w:sz w:val="24"/>
          <w:szCs w:val="24"/>
          <w:lang w:val="en-US"/>
        </w:rPr>
      </w:pPr>
    </w:p>
    <w:p w14:paraId="4C9C30CE" w14:textId="0005C99E" w:rsidR="00B707B7" w:rsidRPr="001D2881" w:rsidRDefault="00B707B7" w:rsidP="00B707B7">
      <w:pPr>
        <w:pStyle w:val="QuickFormat1"/>
        <w:jc w:val="left"/>
        <w:rPr>
          <w:b w:val="0"/>
          <w:color w:val="auto"/>
          <w:sz w:val="24"/>
          <w:szCs w:val="24"/>
        </w:rPr>
      </w:pPr>
      <w:r w:rsidRPr="001D2881">
        <w:rPr>
          <w:b w:val="0"/>
          <w:color w:val="auto"/>
          <w:sz w:val="24"/>
          <w:szCs w:val="24"/>
        </w:rPr>
        <w:t xml:space="preserve">In 2019, the </w:t>
      </w:r>
      <w:r w:rsidRPr="001D2881">
        <w:rPr>
          <w:b w:val="0"/>
          <w:color w:val="auto"/>
          <w:sz w:val="24"/>
          <w:szCs w:val="24"/>
          <w:lang w:val="en-US"/>
        </w:rPr>
        <w:t xml:space="preserve">bank’s </w:t>
      </w:r>
      <w:r w:rsidRPr="001D2881">
        <w:rPr>
          <w:b w:val="0"/>
          <w:color w:val="auto"/>
          <w:sz w:val="24"/>
          <w:szCs w:val="24"/>
        </w:rPr>
        <w:t>small business lending exceeded the total percentage of businesses located in low-income census tracts</w:t>
      </w:r>
      <w:r w:rsidR="00B71383">
        <w:rPr>
          <w:b w:val="0"/>
          <w:color w:val="auto"/>
          <w:sz w:val="24"/>
          <w:szCs w:val="24"/>
          <w:lang w:val="en-US"/>
        </w:rPr>
        <w:t>, but compared unfavorably to the total percentage of business located</w:t>
      </w:r>
      <w:r w:rsidRPr="001D2881">
        <w:rPr>
          <w:b w:val="0"/>
          <w:color w:val="auto"/>
          <w:sz w:val="24"/>
          <w:szCs w:val="24"/>
        </w:rPr>
        <w:t xml:space="preserve"> in moderate-income census tracts.</w:t>
      </w:r>
      <w:r w:rsidRPr="001D2881">
        <w:rPr>
          <w:b w:val="0"/>
          <w:color w:val="auto"/>
          <w:sz w:val="24"/>
          <w:szCs w:val="24"/>
          <w:lang w:val="en-US"/>
        </w:rPr>
        <w:t xml:space="preserve"> </w:t>
      </w:r>
      <w:r>
        <w:rPr>
          <w:b w:val="0"/>
          <w:color w:val="auto"/>
          <w:sz w:val="24"/>
          <w:szCs w:val="24"/>
          <w:lang w:val="en-US"/>
        </w:rPr>
        <w:t xml:space="preserve"> </w:t>
      </w:r>
      <w:r w:rsidR="00391C15">
        <w:rPr>
          <w:b w:val="0"/>
          <w:color w:val="auto"/>
          <w:sz w:val="24"/>
          <w:szCs w:val="24"/>
          <w:lang w:val="en-US"/>
        </w:rPr>
        <w:t>While the bank’s lending in moderate-income census tracts was below the percentage of business located in those tracts, it</w:t>
      </w:r>
      <w:r w:rsidRPr="001D2881">
        <w:rPr>
          <w:b w:val="0"/>
          <w:color w:val="auto"/>
          <w:sz w:val="24"/>
          <w:szCs w:val="24"/>
        </w:rPr>
        <w:t xml:space="preserve"> competes against larger national banks for small business loans</w:t>
      </w:r>
      <w:r w:rsidRPr="001D2881">
        <w:rPr>
          <w:b w:val="0"/>
          <w:color w:val="auto"/>
          <w:sz w:val="24"/>
          <w:szCs w:val="24"/>
          <w:lang w:val="en-US"/>
        </w:rPr>
        <w:t xml:space="preserve"> in these areas</w:t>
      </w:r>
      <w:r w:rsidRPr="001D2881">
        <w:rPr>
          <w:b w:val="0"/>
          <w:color w:val="auto"/>
          <w:sz w:val="24"/>
          <w:szCs w:val="24"/>
        </w:rPr>
        <w:t xml:space="preserve">.  </w:t>
      </w:r>
      <w:r w:rsidRPr="001D2881">
        <w:rPr>
          <w:b w:val="0"/>
          <w:color w:val="auto"/>
          <w:sz w:val="24"/>
          <w:szCs w:val="24"/>
          <w:lang w:val="en-US"/>
        </w:rPr>
        <w:t xml:space="preserve">In addition, the bank could have </w:t>
      </w:r>
      <w:r>
        <w:rPr>
          <w:b w:val="0"/>
          <w:color w:val="auto"/>
          <w:sz w:val="24"/>
          <w:szCs w:val="24"/>
          <w:lang w:val="en-US"/>
        </w:rPr>
        <w:t xml:space="preserve">nearly </w:t>
      </w:r>
      <w:r w:rsidRPr="001D2881">
        <w:rPr>
          <w:b w:val="0"/>
          <w:color w:val="auto"/>
          <w:sz w:val="24"/>
          <w:szCs w:val="24"/>
          <w:lang w:val="en-US"/>
        </w:rPr>
        <w:t xml:space="preserve">matched </w:t>
      </w:r>
      <w:r w:rsidRPr="001D2881">
        <w:rPr>
          <w:b w:val="0"/>
          <w:color w:val="auto"/>
          <w:sz w:val="24"/>
          <w:szCs w:val="24"/>
        </w:rPr>
        <w:t xml:space="preserve">the percentage of businesses in </w:t>
      </w:r>
      <w:r w:rsidRPr="001D2881">
        <w:rPr>
          <w:b w:val="0"/>
          <w:color w:val="auto"/>
          <w:sz w:val="24"/>
          <w:szCs w:val="24"/>
          <w:lang w:val="en-US"/>
        </w:rPr>
        <w:t>moderate-income</w:t>
      </w:r>
      <w:r w:rsidRPr="001D2881">
        <w:rPr>
          <w:b w:val="0"/>
          <w:color w:val="auto"/>
          <w:sz w:val="24"/>
          <w:szCs w:val="24"/>
        </w:rPr>
        <w:t xml:space="preserve"> tracts with </w:t>
      </w:r>
      <w:r w:rsidRPr="001D2881">
        <w:rPr>
          <w:b w:val="0"/>
          <w:color w:val="auto"/>
          <w:sz w:val="24"/>
          <w:szCs w:val="24"/>
          <w:lang w:val="en-US"/>
        </w:rPr>
        <w:t>two additional</w:t>
      </w:r>
      <w:r w:rsidRPr="001D2881">
        <w:rPr>
          <w:b w:val="0"/>
          <w:color w:val="auto"/>
          <w:sz w:val="24"/>
          <w:szCs w:val="24"/>
        </w:rPr>
        <w:t xml:space="preserve"> loans</w:t>
      </w:r>
      <w:r w:rsidRPr="001D2881">
        <w:rPr>
          <w:b w:val="0"/>
          <w:color w:val="auto"/>
          <w:sz w:val="24"/>
          <w:szCs w:val="24"/>
          <w:lang w:val="en-US"/>
        </w:rPr>
        <w:t xml:space="preserve">.  </w:t>
      </w:r>
      <w:r w:rsidRPr="001D2881">
        <w:rPr>
          <w:b w:val="0"/>
          <w:color w:val="auto"/>
          <w:sz w:val="24"/>
          <w:szCs w:val="24"/>
        </w:rPr>
        <w:t>Therefore</w:t>
      </w:r>
      <w:r w:rsidRPr="001D2881">
        <w:rPr>
          <w:b w:val="0"/>
          <w:color w:val="auto"/>
          <w:sz w:val="24"/>
          <w:szCs w:val="24"/>
          <w:lang w:val="en-US"/>
        </w:rPr>
        <w:t xml:space="preserve">, </w:t>
      </w:r>
      <w:r w:rsidRPr="001D2881">
        <w:rPr>
          <w:b w:val="0"/>
          <w:color w:val="auto"/>
          <w:sz w:val="24"/>
          <w:szCs w:val="24"/>
        </w:rPr>
        <w:t>the bank’s lending performance is reasonable considering its lending in low-income census tract</w:t>
      </w:r>
      <w:r w:rsidRPr="001D2881">
        <w:rPr>
          <w:b w:val="0"/>
          <w:color w:val="auto"/>
          <w:sz w:val="24"/>
          <w:szCs w:val="24"/>
          <w:lang w:val="en-US"/>
        </w:rPr>
        <w:t>s</w:t>
      </w:r>
      <w:r w:rsidRPr="001D2881">
        <w:rPr>
          <w:b w:val="0"/>
          <w:color w:val="auto"/>
          <w:sz w:val="24"/>
          <w:szCs w:val="24"/>
        </w:rPr>
        <w:t xml:space="preserve"> and the competition it faces in the moderate-income census tracts.</w:t>
      </w:r>
    </w:p>
    <w:p w14:paraId="1F0931AB" w14:textId="77777777" w:rsidR="00B707B7" w:rsidRPr="001D2881" w:rsidRDefault="00B707B7" w:rsidP="00B707B7"/>
    <w:p w14:paraId="3EC33700" w14:textId="77777777" w:rsidR="00B707B7" w:rsidRPr="001D2881" w:rsidRDefault="00B707B7" w:rsidP="00B707B7">
      <w:pPr>
        <w:rPr>
          <w:b/>
          <w:bCs/>
          <w:u w:val="single"/>
        </w:rPr>
      </w:pPr>
      <w:r w:rsidRPr="001D2881">
        <w:rPr>
          <w:b/>
          <w:bCs/>
          <w:u w:val="single"/>
        </w:rPr>
        <w:t>Borrower Profile</w:t>
      </w:r>
    </w:p>
    <w:p w14:paraId="6221D895" w14:textId="77777777" w:rsidR="00B707B7" w:rsidRPr="001D2881" w:rsidRDefault="00B707B7" w:rsidP="00B707B7">
      <w:pPr>
        <w:pStyle w:val="QuickFormat1"/>
        <w:jc w:val="left"/>
        <w:rPr>
          <w:b w:val="0"/>
          <w:color w:val="auto"/>
          <w:sz w:val="24"/>
          <w:szCs w:val="24"/>
        </w:rPr>
      </w:pPr>
    </w:p>
    <w:p w14:paraId="477EC750" w14:textId="316167EA" w:rsidR="00B707B7" w:rsidRPr="001D2881" w:rsidRDefault="00B707B7" w:rsidP="00B707B7">
      <w:pPr>
        <w:pStyle w:val="QuickFormat1"/>
        <w:jc w:val="left"/>
        <w:rPr>
          <w:b w:val="0"/>
          <w:color w:val="auto"/>
          <w:sz w:val="24"/>
          <w:szCs w:val="24"/>
          <w:u w:val="single"/>
          <w:lang w:val="en-US"/>
        </w:rPr>
      </w:pPr>
      <w:r w:rsidRPr="001D2881">
        <w:rPr>
          <w:b w:val="0"/>
          <w:color w:val="auto"/>
          <w:sz w:val="24"/>
          <w:szCs w:val="24"/>
        </w:rPr>
        <w:t xml:space="preserve">The distribution of borrowers reflects reasonable penetration among individuals of different income levels and businesses of different sizes. </w:t>
      </w:r>
      <w:r w:rsidR="00391C15">
        <w:rPr>
          <w:b w:val="0"/>
          <w:color w:val="auto"/>
          <w:sz w:val="24"/>
          <w:szCs w:val="24"/>
          <w:lang w:val="en-US"/>
        </w:rPr>
        <w:t xml:space="preserve"> </w:t>
      </w:r>
      <w:r w:rsidRPr="001D2881">
        <w:rPr>
          <w:b w:val="0"/>
          <w:color w:val="auto"/>
          <w:sz w:val="24"/>
          <w:szCs w:val="24"/>
        </w:rPr>
        <w:t xml:space="preserve">The bank’s home mortgage lending </w:t>
      </w:r>
      <w:r w:rsidR="004F0B6A" w:rsidRPr="004F0B6A">
        <w:rPr>
          <w:b w:val="0"/>
          <w:color w:val="auto"/>
          <w:sz w:val="24"/>
          <w:szCs w:val="24"/>
        </w:rPr>
        <w:t xml:space="preserve">performance </w:t>
      </w:r>
      <w:r w:rsidRPr="001D2881">
        <w:rPr>
          <w:b w:val="0"/>
          <w:color w:val="auto"/>
          <w:sz w:val="24"/>
          <w:szCs w:val="24"/>
        </w:rPr>
        <w:t>primarily supports this conclusion.</w:t>
      </w:r>
    </w:p>
    <w:p w14:paraId="65B11337" w14:textId="77777777" w:rsidR="00B707B7" w:rsidRPr="001D2881" w:rsidRDefault="00B707B7" w:rsidP="00B707B7">
      <w:pPr>
        <w:pStyle w:val="QuickFormat1"/>
        <w:jc w:val="left"/>
        <w:rPr>
          <w:color w:val="auto"/>
          <w:sz w:val="24"/>
          <w:szCs w:val="24"/>
          <w:u w:val="single"/>
          <w:lang w:val="en-US"/>
        </w:rPr>
      </w:pPr>
    </w:p>
    <w:p w14:paraId="553B05F0" w14:textId="77777777" w:rsidR="00B707B7" w:rsidRPr="001D2881" w:rsidRDefault="00B707B7" w:rsidP="00B707B7">
      <w:pPr>
        <w:pStyle w:val="QuickFormat1"/>
        <w:jc w:val="left"/>
        <w:rPr>
          <w:i/>
          <w:color w:val="auto"/>
          <w:sz w:val="24"/>
          <w:szCs w:val="24"/>
          <w:lang w:val="en-US"/>
        </w:rPr>
      </w:pPr>
      <w:r w:rsidRPr="001D2881">
        <w:rPr>
          <w:i/>
          <w:color w:val="auto"/>
          <w:sz w:val="24"/>
          <w:szCs w:val="24"/>
          <w:lang w:val="en-US"/>
        </w:rPr>
        <w:t>Home Mortgage Loans</w:t>
      </w:r>
    </w:p>
    <w:p w14:paraId="545FA3AD" w14:textId="33AD9431" w:rsidR="00B707B7" w:rsidRPr="001D2881" w:rsidRDefault="00B707B7" w:rsidP="00B707B7">
      <w:pPr>
        <w:pStyle w:val="QuickFormat1"/>
        <w:jc w:val="left"/>
        <w:rPr>
          <w:b w:val="0"/>
          <w:color w:val="auto"/>
          <w:sz w:val="24"/>
          <w:szCs w:val="24"/>
          <w:lang w:val="en-US"/>
        </w:rPr>
      </w:pPr>
      <w:r w:rsidRPr="001D2881">
        <w:rPr>
          <w:b w:val="0"/>
          <w:color w:val="auto"/>
          <w:sz w:val="24"/>
          <w:szCs w:val="24"/>
          <w:lang w:val="en-US"/>
        </w:rPr>
        <w:t xml:space="preserve">The bank’s </w:t>
      </w:r>
      <w:r w:rsidR="00BA264F">
        <w:rPr>
          <w:b w:val="0"/>
          <w:color w:val="auto"/>
          <w:sz w:val="24"/>
          <w:szCs w:val="24"/>
          <w:lang w:val="en-US"/>
        </w:rPr>
        <w:t xml:space="preserve">lending </w:t>
      </w:r>
      <w:r w:rsidRPr="001D2881">
        <w:rPr>
          <w:b w:val="0"/>
          <w:color w:val="auto"/>
          <w:sz w:val="24"/>
          <w:szCs w:val="24"/>
          <w:lang w:val="en-US"/>
        </w:rPr>
        <w:t xml:space="preserve">performance reflects reasonable penetration to individuals of different income levels, including low- and moderate-income borrowers.  The following table illustrates the bank’s home mortgage lending by borrower income level. </w:t>
      </w:r>
    </w:p>
    <w:p w14:paraId="7416F55E" w14:textId="77777777" w:rsidR="00B707B7" w:rsidRPr="001D2881" w:rsidRDefault="00B707B7" w:rsidP="00B707B7">
      <w:pPr>
        <w:pStyle w:val="QuickFormat1"/>
        <w:jc w:val="left"/>
        <w:rPr>
          <w:b w:val="0"/>
          <w:i/>
          <w:color w:val="auto"/>
          <w:sz w:val="24"/>
          <w:szCs w:val="24"/>
          <w:lang w:val="en-US"/>
        </w:rPr>
      </w:pPr>
    </w:p>
    <w:tbl>
      <w:tblPr>
        <w:tblW w:w="0" w:type="auto"/>
        <w:tblCellMar>
          <w:left w:w="0" w:type="dxa"/>
          <w:right w:w="0" w:type="dxa"/>
        </w:tblCellMar>
        <w:tblLook w:val="0000" w:firstRow="0" w:lastRow="0" w:firstColumn="0" w:lastColumn="0" w:noHBand="0" w:noVBand="0"/>
      </w:tblPr>
      <w:tblGrid>
        <w:gridCol w:w="2304"/>
        <w:gridCol w:w="1440"/>
        <w:gridCol w:w="1440"/>
        <w:gridCol w:w="1152"/>
        <w:gridCol w:w="1008"/>
        <w:gridCol w:w="1152"/>
        <w:gridCol w:w="1008"/>
      </w:tblGrid>
      <w:tr w:rsidR="00B707B7" w:rsidRPr="001D2881" w14:paraId="5AF4C245" w14:textId="77777777" w:rsidTr="00E444B1">
        <w:trPr>
          <w:trHeight w:val="304"/>
        </w:trPr>
        <w:tc>
          <w:tcPr>
            <w:tcW w:w="9504"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2FD008F7" w14:textId="77777777" w:rsidR="00B707B7" w:rsidRPr="001D2881" w:rsidRDefault="00B707B7" w:rsidP="00E444B1">
            <w:pPr>
              <w:keepNext/>
              <w:jc w:val="center"/>
            </w:pPr>
            <w:r w:rsidRPr="001D2881">
              <w:rPr>
                <w:b/>
                <w:sz w:val="20"/>
              </w:rPr>
              <w:lastRenderedPageBreak/>
              <w:t>Distribution of Home Mortgage Loans by Borrower Income Level</w:t>
            </w:r>
          </w:p>
        </w:tc>
      </w:tr>
      <w:tr w:rsidR="00B707B7" w:rsidRPr="001D2881" w14:paraId="1EDEF90D" w14:textId="77777777" w:rsidTr="00E444B1">
        <w:trPr>
          <w:trHeight w:val="498"/>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ACDC966" w14:textId="77777777" w:rsidR="00B707B7" w:rsidRPr="001D2881" w:rsidRDefault="00B707B7" w:rsidP="00E444B1">
            <w:pPr>
              <w:keepNext/>
            </w:pPr>
            <w:r w:rsidRPr="001D2881">
              <w:rPr>
                <w:b/>
                <w:sz w:val="20"/>
              </w:rPr>
              <w:t>Borrower Income Level</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3B44351" w14:textId="77777777" w:rsidR="00B707B7" w:rsidRPr="001D2881" w:rsidRDefault="00B707B7" w:rsidP="00E444B1">
            <w:pPr>
              <w:keepNext/>
              <w:jc w:val="center"/>
            </w:pPr>
            <w:r w:rsidRPr="001D2881">
              <w:rPr>
                <w:b/>
                <w:sz w:val="20"/>
              </w:rPr>
              <w:t>% of  Families</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5875E9A" w14:textId="77777777" w:rsidR="00B707B7" w:rsidRPr="001D2881" w:rsidRDefault="00B707B7" w:rsidP="00E444B1">
            <w:pPr>
              <w:keepNext/>
              <w:jc w:val="center"/>
            </w:pPr>
            <w:r w:rsidRPr="001D2881">
              <w:rPr>
                <w:b/>
                <w:sz w:val="20"/>
              </w:rPr>
              <w:t>Aggregate Performance</w:t>
            </w:r>
            <w:r w:rsidRPr="001D2881">
              <w:rPr>
                <w:b/>
                <w:sz w:val="20"/>
              </w:rPr>
              <w:br/>
              <w:t>% of #</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453487" w14:textId="77777777" w:rsidR="00B707B7" w:rsidRPr="001D2881" w:rsidRDefault="00B707B7" w:rsidP="00E444B1">
            <w:pPr>
              <w:keepNext/>
              <w:jc w:val="center"/>
            </w:pPr>
            <w:r w:rsidRPr="001D2881">
              <w:rPr>
                <w:b/>
                <w:sz w:val="20"/>
              </w:rPr>
              <w:t>#</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AFCFF2D" w14:textId="77777777" w:rsidR="00B707B7" w:rsidRPr="001D2881" w:rsidRDefault="00B707B7" w:rsidP="00E444B1">
            <w:pPr>
              <w:keepNext/>
              <w:jc w:val="center"/>
            </w:pPr>
            <w:r w:rsidRPr="001D2881">
              <w:rPr>
                <w:b/>
                <w:sz w:val="20"/>
              </w:rPr>
              <w:t>%</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6D63CE9" w14:textId="77777777" w:rsidR="00B707B7" w:rsidRPr="001D2881" w:rsidRDefault="00B707B7" w:rsidP="00E444B1">
            <w:pPr>
              <w:keepNext/>
              <w:jc w:val="center"/>
            </w:pPr>
            <w:r w:rsidRPr="001D2881">
              <w:rPr>
                <w:b/>
                <w:sz w:val="20"/>
              </w:rPr>
              <w:t>$(000s)</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3EB8F23" w14:textId="77777777" w:rsidR="00B707B7" w:rsidRPr="001D2881" w:rsidRDefault="00B707B7" w:rsidP="00E444B1">
            <w:pPr>
              <w:keepNext/>
              <w:jc w:val="center"/>
            </w:pPr>
            <w:r w:rsidRPr="001D2881">
              <w:rPr>
                <w:b/>
                <w:sz w:val="20"/>
              </w:rPr>
              <w:t>%</w:t>
            </w:r>
          </w:p>
        </w:tc>
      </w:tr>
      <w:tr w:rsidR="00B707B7" w:rsidRPr="001D2881" w14:paraId="30F80371" w14:textId="77777777" w:rsidTr="00E444B1">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B051833" w14:textId="77777777" w:rsidR="00B707B7" w:rsidRPr="001D2881" w:rsidRDefault="00B707B7" w:rsidP="00E444B1">
            <w:pPr>
              <w:keepNext/>
            </w:pPr>
            <w:r w:rsidRPr="001D2881">
              <w:rPr>
                <w:sz w:val="20"/>
              </w:rPr>
              <w:t>Low</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7E4A5F" w14:textId="77777777" w:rsidR="00B707B7" w:rsidRPr="001D2881" w:rsidRDefault="00B707B7" w:rsidP="00E444B1">
            <w:pPr>
              <w:keepNext/>
            </w:pPr>
          </w:p>
        </w:tc>
      </w:tr>
      <w:tr w:rsidR="00B707B7" w:rsidRPr="001D2881" w14:paraId="4688BF1B" w14:textId="77777777" w:rsidTr="00E444B1">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5A8D33A" w14:textId="77777777" w:rsidR="00B707B7" w:rsidRPr="001D2881" w:rsidRDefault="00B707B7" w:rsidP="00E444B1">
            <w:pPr>
              <w:keepNext/>
              <w:jc w:val="right"/>
            </w:pPr>
            <w:r w:rsidRPr="001D2881">
              <w:rPr>
                <w:sz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BC355C" w14:textId="77777777" w:rsidR="00B707B7" w:rsidRPr="001D2881" w:rsidRDefault="00B707B7" w:rsidP="00E444B1">
            <w:pPr>
              <w:keepNext/>
              <w:jc w:val="center"/>
            </w:pPr>
            <w:r w:rsidRPr="001D2881">
              <w:rPr>
                <w:sz w:val="20"/>
              </w:rPr>
              <w:t>19.8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7C35E" w14:textId="77777777" w:rsidR="00B707B7" w:rsidRPr="001D2881" w:rsidRDefault="00B707B7" w:rsidP="00E444B1">
            <w:pPr>
              <w:keepNext/>
              <w:jc w:val="center"/>
            </w:pPr>
            <w:r w:rsidRPr="001D2881">
              <w:rPr>
                <w:sz w:val="20"/>
              </w:rPr>
              <w:t>5.7</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EC8C9" w14:textId="77777777" w:rsidR="00B707B7" w:rsidRPr="001D2881" w:rsidRDefault="00B707B7" w:rsidP="00E444B1">
            <w:pPr>
              <w:keepNext/>
              <w:jc w:val="center"/>
            </w:pPr>
            <w:r w:rsidRPr="001D2881">
              <w:rPr>
                <w:sz w:val="20"/>
              </w:rPr>
              <w:t>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99A67A" w14:textId="77777777" w:rsidR="00B707B7" w:rsidRPr="001D2881" w:rsidRDefault="00B707B7" w:rsidP="00E444B1">
            <w:pPr>
              <w:keepNext/>
              <w:jc w:val="center"/>
            </w:pPr>
            <w:r w:rsidRPr="001D2881">
              <w:rPr>
                <w:sz w:val="20"/>
              </w:rPr>
              <w:t>2.7</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947FE5" w14:textId="77777777" w:rsidR="00B707B7" w:rsidRPr="001D2881" w:rsidRDefault="00B707B7" w:rsidP="00E444B1">
            <w:pPr>
              <w:keepNext/>
              <w:jc w:val="center"/>
            </w:pPr>
            <w:r w:rsidRPr="001D2881">
              <w:rPr>
                <w:sz w:val="20"/>
              </w:rPr>
              <w:t>211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B4B68" w14:textId="77777777" w:rsidR="00B707B7" w:rsidRPr="001D2881" w:rsidRDefault="00B707B7" w:rsidP="00E444B1">
            <w:pPr>
              <w:keepNext/>
              <w:jc w:val="center"/>
            </w:pPr>
            <w:r w:rsidRPr="001D2881">
              <w:rPr>
                <w:sz w:val="20"/>
              </w:rPr>
              <w:t>0.6</w:t>
            </w:r>
          </w:p>
        </w:tc>
      </w:tr>
      <w:tr w:rsidR="00B707B7" w:rsidRPr="001D2881" w14:paraId="60000DB9" w14:textId="77777777" w:rsidTr="00E444B1">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7183EFC" w14:textId="77777777" w:rsidR="00B707B7" w:rsidRPr="001D2881" w:rsidRDefault="00B707B7" w:rsidP="00E444B1">
            <w:pPr>
              <w:keepNext/>
              <w:jc w:val="right"/>
            </w:pPr>
            <w:r w:rsidRPr="001D2881">
              <w:rPr>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350AA9" w14:textId="77777777" w:rsidR="00B707B7" w:rsidRPr="001D2881" w:rsidRDefault="00B707B7" w:rsidP="00E444B1">
            <w:pPr>
              <w:keepNext/>
              <w:jc w:val="center"/>
            </w:pPr>
            <w:r w:rsidRPr="001D2881">
              <w:rPr>
                <w:sz w:val="20"/>
              </w:rPr>
              <w:t>19.8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6C951" w14:textId="77777777" w:rsidR="00B707B7" w:rsidRPr="001D2881" w:rsidRDefault="00B707B7" w:rsidP="00E444B1">
            <w:pPr>
              <w:keepNext/>
              <w:jc w:val="center"/>
            </w:pPr>
            <w:r w:rsidRPr="001D2881">
              <w:rPr>
                <w:sz w:val="20"/>
              </w:rPr>
              <w:t>5.1</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C5ECAF" w14:textId="77777777" w:rsidR="00B707B7" w:rsidRPr="001D2881" w:rsidRDefault="00B707B7" w:rsidP="00E444B1">
            <w:pPr>
              <w:keepNext/>
              <w:jc w:val="center"/>
            </w:pPr>
            <w:r w:rsidRPr="001D2881">
              <w:rPr>
                <w:sz w:val="20"/>
              </w:rPr>
              <w:t>15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5E19F" w14:textId="77777777" w:rsidR="00B707B7" w:rsidRPr="001D2881" w:rsidRDefault="00B707B7" w:rsidP="00E444B1">
            <w:pPr>
              <w:keepNext/>
              <w:jc w:val="center"/>
            </w:pPr>
            <w:r w:rsidRPr="001D2881">
              <w:rPr>
                <w:sz w:val="20"/>
              </w:rPr>
              <w:t>4.4</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7D67E7" w14:textId="77777777" w:rsidR="00B707B7" w:rsidRPr="001D2881" w:rsidRDefault="00B707B7" w:rsidP="00E444B1">
            <w:pPr>
              <w:keepNext/>
              <w:jc w:val="center"/>
            </w:pPr>
            <w:r w:rsidRPr="001D2881">
              <w:rPr>
                <w:sz w:val="20"/>
              </w:rPr>
              <w:t>1,923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07EC47" w14:textId="77777777" w:rsidR="00B707B7" w:rsidRPr="001D2881" w:rsidRDefault="00B707B7" w:rsidP="00E444B1">
            <w:pPr>
              <w:keepNext/>
              <w:jc w:val="center"/>
            </w:pPr>
            <w:r w:rsidRPr="001D2881">
              <w:rPr>
                <w:sz w:val="20"/>
              </w:rPr>
              <w:t>2.1</w:t>
            </w:r>
          </w:p>
        </w:tc>
      </w:tr>
      <w:tr w:rsidR="00B707B7" w:rsidRPr="001D2881" w14:paraId="6F0B5504" w14:textId="77777777" w:rsidTr="00E444B1">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D1B594E" w14:textId="77777777" w:rsidR="00B707B7" w:rsidRPr="001D2881" w:rsidRDefault="00B707B7" w:rsidP="00E444B1">
            <w:pPr>
              <w:keepNext/>
            </w:pPr>
            <w:r w:rsidRPr="001D2881">
              <w:rPr>
                <w:sz w:val="20"/>
              </w:rPr>
              <w:t>Moderate</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E0325" w14:textId="77777777" w:rsidR="00B707B7" w:rsidRPr="001D2881" w:rsidRDefault="00B707B7" w:rsidP="00E444B1">
            <w:pPr>
              <w:keepNext/>
            </w:pPr>
          </w:p>
        </w:tc>
      </w:tr>
      <w:tr w:rsidR="00B707B7" w:rsidRPr="001D2881" w14:paraId="7A2BCFF3" w14:textId="77777777" w:rsidTr="00E444B1">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0C96B99" w14:textId="77777777" w:rsidR="00B707B7" w:rsidRPr="001D2881" w:rsidRDefault="00B707B7" w:rsidP="00E444B1">
            <w:pPr>
              <w:keepNext/>
              <w:jc w:val="right"/>
            </w:pPr>
            <w:r w:rsidRPr="001D2881">
              <w:rPr>
                <w:sz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18AD8" w14:textId="77777777" w:rsidR="00B707B7" w:rsidRPr="001D2881" w:rsidRDefault="00B707B7" w:rsidP="00E444B1">
            <w:pPr>
              <w:keepNext/>
              <w:jc w:val="center"/>
            </w:pPr>
            <w:r w:rsidRPr="001D2881">
              <w:rPr>
                <w:sz w:val="20"/>
              </w:rPr>
              <w:t>16.7</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A87E80" w14:textId="77777777" w:rsidR="00B707B7" w:rsidRPr="001D2881" w:rsidRDefault="00B707B7" w:rsidP="00E444B1">
            <w:pPr>
              <w:keepNext/>
              <w:jc w:val="center"/>
            </w:pPr>
            <w:r w:rsidRPr="001D2881">
              <w:rPr>
                <w:sz w:val="20"/>
              </w:rPr>
              <w:t>20.6</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9BBE9" w14:textId="77777777" w:rsidR="00B707B7" w:rsidRPr="001D2881" w:rsidRDefault="00B707B7" w:rsidP="00E444B1">
            <w:pPr>
              <w:keepNext/>
              <w:jc w:val="center"/>
            </w:pPr>
            <w:r w:rsidRPr="001D2881">
              <w:rPr>
                <w:sz w:val="20"/>
              </w:rPr>
              <w:t>12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A9118" w14:textId="77777777" w:rsidR="00B707B7" w:rsidRPr="001D2881" w:rsidRDefault="00B707B7" w:rsidP="00E444B1">
            <w:pPr>
              <w:keepNext/>
              <w:jc w:val="center"/>
            </w:pPr>
            <w:r w:rsidRPr="001D2881">
              <w:rPr>
                <w:sz w:val="20"/>
              </w:rPr>
              <w:t>10.6</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D0914" w14:textId="77777777" w:rsidR="00B707B7" w:rsidRPr="001D2881" w:rsidRDefault="00B707B7" w:rsidP="00E444B1">
            <w:pPr>
              <w:keepNext/>
              <w:jc w:val="center"/>
            </w:pPr>
            <w:r w:rsidRPr="001D2881">
              <w:rPr>
                <w:sz w:val="20"/>
              </w:rPr>
              <w:t>1,928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2296C" w14:textId="77777777" w:rsidR="00B707B7" w:rsidRPr="001D2881" w:rsidRDefault="00B707B7" w:rsidP="00E444B1">
            <w:pPr>
              <w:keepNext/>
              <w:jc w:val="center"/>
            </w:pPr>
            <w:r w:rsidRPr="001D2881">
              <w:rPr>
                <w:sz w:val="20"/>
              </w:rPr>
              <w:t>5.7</w:t>
            </w:r>
          </w:p>
        </w:tc>
      </w:tr>
      <w:tr w:rsidR="00B707B7" w:rsidRPr="001D2881" w14:paraId="73448EF5" w14:textId="77777777" w:rsidTr="00E444B1">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DD5948F" w14:textId="77777777" w:rsidR="00B707B7" w:rsidRPr="001D2881" w:rsidRDefault="00B707B7" w:rsidP="00E444B1">
            <w:pPr>
              <w:keepNext/>
              <w:jc w:val="right"/>
            </w:pPr>
            <w:r w:rsidRPr="001D2881">
              <w:rPr>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B138C0" w14:textId="77777777" w:rsidR="00B707B7" w:rsidRPr="001D2881" w:rsidRDefault="00B707B7" w:rsidP="00E444B1">
            <w:pPr>
              <w:keepNext/>
              <w:jc w:val="center"/>
            </w:pPr>
            <w:r w:rsidRPr="001D2881">
              <w:rPr>
                <w:sz w:val="20"/>
              </w:rPr>
              <w:t>16.7</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AC888" w14:textId="77777777" w:rsidR="00B707B7" w:rsidRPr="001D2881" w:rsidRDefault="00B707B7" w:rsidP="00E444B1">
            <w:pPr>
              <w:keepNext/>
              <w:jc w:val="center"/>
            </w:pPr>
            <w:r w:rsidRPr="001D2881">
              <w:rPr>
                <w:sz w:val="20"/>
              </w:rPr>
              <w:t>20.1</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4BFEBF" w14:textId="77777777" w:rsidR="00B707B7" w:rsidRPr="001D2881" w:rsidRDefault="00B707B7" w:rsidP="00E444B1">
            <w:pPr>
              <w:keepNext/>
              <w:jc w:val="center"/>
            </w:pPr>
            <w:r w:rsidRPr="001D2881">
              <w:rPr>
                <w:sz w:val="20"/>
              </w:rPr>
              <w:t>56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78AA40" w14:textId="77777777" w:rsidR="00B707B7" w:rsidRPr="001D2881" w:rsidRDefault="00B707B7" w:rsidP="00E444B1">
            <w:pPr>
              <w:keepNext/>
              <w:jc w:val="center"/>
            </w:pPr>
            <w:r w:rsidRPr="001D2881">
              <w:rPr>
                <w:sz w:val="20"/>
              </w:rPr>
              <w:t>16.4</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2809F4" w14:textId="77777777" w:rsidR="00B707B7" w:rsidRPr="001D2881" w:rsidRDefault="00B707B7" w:rsidP="00E444B1">
            <w:pPr>
              <w:keepNext/>
              <w:jc w:val="center"/>
            </w:pPr>
            <w:r w:rsidRPr="001D2881">
              <w:rPr>
                <w:sz w:val="20"/>
              </w:rPr>
              <w:t>10,478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2B208" w14:textId="77777777" w:rsidR="00B707B7" w:rsidRPr="001D2881" w:rsidRDefault="00B707B7" w:rsidP="00E444B1">
            <w:pPr>
              <w:keepNext/>
              <w:jc w:val="center"/>
            </w:pPr>
            <w:r w:rsidRPr="001D2881">
              <w:rPr>
                <w:sz w:val="20"/>
              </w:rPr>
              <w:t>11.6</w:t>
            </w:r>
          </w:p>
        </w:tc>
      </w:tr>
      <w:tr w:rsidR="00B707B7" w:rsidRPr="001D2881" w14:paraId="016F8989" w14:textId="77777777" w:rsidTr="00E444B1">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82D33BB" w14:textId="77777777" w:rsidR="00B707B7" w:rsidRPr="001D2881" w:rsidRDefault="00B707B7" w:rsidP="00E444B1">
            <w:pPr>
              <w:keepNext/>
            </w:pPr>
            <w:r w:rsidRPr="001D2881">
              <w:rPr>
                <w:sz w:val="20"/>
              </w:rPr>
              <w:t>Middle</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2667F8" w14:textId="77777777" w:rsidR="00B707B7" w:rsidRPr="001D2881" w:rsidRDefault="00B707B7" w:rsidP="00E444B1">
            <w:pPr>
              <w:keepNext/>
            </w:pPr>
          </w:p>
        </w:tc>
      </w:tr>
      <w:tr w:rsidR="00B707B7" w:rsidRPr="001D2881" w14:paraId="0EF3F924" w14:textId="77777777" w:rsidTr="00E444B1">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EFC0A96" w14:textId="77777777" w:rsidR="00B707B7" w:rsidRPr="001D2881" w:rsidRDefault="00B707B7" w:rsidP="00E444B1">
            <w:pPr>
              <w:keepNext/>
              <w:jc w:val="right"/>
            </w:pPr>
            <w:r w:rsidRPr="001D2881">
              <w:rPr>
                <w:sz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2EF0B7" w14:textId="77777777" w:rsidR="00B707B7" w:rsidRPr="001D2881" w:rsidRDefault="00B707B7" w:rsidP="00E444B1">
            <w:pPr>
              <w:keepNext/>
              <w:jc w:val="center"/>
            </w:pPr>
            <w:r w:rsidRPr="001D2881">
              <w:rPr>
                <w:sz w:val="20"/>
              </w:rPr>
              <w:t>20.9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561C1" w14:textId="77777777" w:rsidR="00B707B7" w:rsidRPr="001D2881" w:rsidRDefault="00B707B7" w:rsidP="00E444B1">
            <w:pPr>
              <w:keepNext/>
              <w:jc w:val="center"/>
            </w:pPr>
            <w:r w:rsidRPr="001D2881">
              <w:rPr>
                <w:sz w:val="20"/>
              </w:rPr>
              <w:t>25.9</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3ECF7" w14:textId="77777777" w:rsidR="00B707B7" w:rsidRPr="001D2881" w:rsidRDefault="00B707B7" w:rsidP="00E444B1">
            <w:pPr>
              <w:keepNext/>
              <w:jc w:val="center"/>
            </w:pPr>
            <w:r w:rsidRPr="001D2881">
              <w:rPr>
                <w:sz w:val="20"/>
              </w:rPr>
              <w:t>14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67246" w14:textId="77777777" w:rsidR="00B707B7" w:rsidRPr="001D2881" w:rsidRDefault="00B707B7" w:rsidP="00E444B1">
            <w:pPr>
              <w:keepNext/>
              <w:jc w:val="center"/>
            </w:pPr>
            <w:r w:rsidRPr="001D2881">
              <w:rPr>
                <w:sz w:val="20"/>
              </w:rPr>
              <w:t>12.4</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0A9B8B" w14:textId="77777777" w:rsidR="00B707B7" w:rsidRPr="001D2881" w:rsidRDefault="00B707B7" w:rsidP="00E444B1">
            <w:pPr>
              <w:keepNext/>
              <w:jc w:val="center"/>
            </w:pPr>
            <w:r w:rsidRPr="001D2881">
              <w:rPr>
                <w:sz w:val="20"/>
              </w:rPr>
              <w:t>3,159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FDF6DB" w14:textId="77777777" w:rsidR="00B707B7" w:rsidRPr="001D2881" w:rsidRDefault="00B707B7" w:rsidP="00E444B1">
            <w:pPr>
              <w:keepNext/>
              <w:jc w:val="center"/>
            </w:pPr>
            <w:r w:rsidRPr="001D2881">
              <w:rPr>
                <w:sz w:val="20"/>
              </w:rPr>
              <w:t>9.3</w:t>
            </w:r>
          </w:p>
        </w:tc>
      </w:tr>
      <w:tr w:rsidR="00B707B7" w:rsidRPr="001D2881" w14:paraId="3529F372" w14:textId="77777777" w:rsidTr="00E444B1">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0A99BCA" w14:textId="77777777" w:rsidR="00B707B7" w:rsidRPr="001D2881" w:rsidRDefault="00B707B7" w:rsidP="00E444B1">
            <w:pPr>
              <w:keepNext/>
              <w:jc w:val="right"/>
            </w:pPr>
            <w:r w:rsidRPr="001D2881">
              <w:rPr>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A79B0" w14:textId="77777777" w:rsidR="00B707B7" w:rsidRPr="001D2881" w:rsidRDefault="00B707B7" w:rsidP="00E444B1">
            <w:pPr>
              <w:keepNext/>
              <w:jc w:val="center"/>
            </w:pPr>
            <w:r w:rsidRPr="001D2881">
              <w:rPr>
                <w:sz w:val="20"/>
              </w:rPr>
              <w:t>20.9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B1E99" w14:textId="77777777" w:rsidR="00B707B7" w:rsidRPr="001D2881" w:rsidRDefault="00B707B7" w:rsidP="00E444B1">
            <w:pPr>
              <w:keepNext/>
              <w:jc w:val="center"/>
            </w:pPr>
            <w:r w:rsidRPr="001D2881">
              <w:rPr>
                <w:sz w:val="20"/>
              </w:rPr>
              <w:t>25.6</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C175E6" w14:textId="77777777" w:rsidR="00B707B7" w:rsidRPr="001D2881" w:rsidRDefault="00B707B7" w:rsidP="00E444B1">
            <w:pPr>
              <w:keepNext/>
              <w:jc w:val="center"/>
            </w:pPr>
            <w:r w:rsidRPr="001D2881">
              <w:rPr>
                <w:sz w:val="20"/>
              </w:rPr>
              <w:t>83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4D9BC" w14:textId="77777777" w:rsidR="00B707B7" w:rsidRPr="001D2881" w:rsidRDefault="00B707B7" w:rsidP="00E444B1">
            <w:pPr>
              <w:keepNext/>
              <w:jc w:val="center"/>
            </w:pPr>
            <w:r w:rsidRPr="001D2881">
              <w:rPr>
                <w:sz w:val="20"/>
              </w:rPr>
              <w:t>24.3</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B1F1B1" w14:textId="77777777" w:rsidR="00B707B7" w:rsidRPr="001D2881" w:rsidRDefault="00B707B7" w:rsidP="00E444B1">
            <w:pPr>
              <w:keepNext/>
              <w:jc w:val="center"/>
            </w:pPr>
            <w:r w:rsidRPr="001D2881">
              <w:rPr>
                <w:sz w:val="20"/>
              </w:rPr>
              <w:t>19,405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1D876" w14:textId="77777777" w:rsidR="00B707B7" w:rsidRPr="001D2881" w:rsidRDefault="00B707B7" w:rsidP="00E444B1">
            <w:pPr>
              <w:keepNext/>
              <w:jc w:val="center"/>
            </w:pPr>
            <w:r w:rsidRPr="001D2881">
              <w:rPr>
                <w:sz w:val="20"/>
              </w:rPr>
              <w:t>21.4</w:t>
            </w:r>
          </w:p>
        </w:tc>
      </w:tr>
      <w:tr w:rsidR="00B707B7" w:rsidRPr="001D2881" w14:paraId="79F8333E" w14:textId="77777777" w:rsidTr="00E444B1">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56D2852" w14:textId="77777777" w:rsidR="00B707B7" w:rsidRPr="001D2881" w:rsidRDefault="00B707B7" w:rsidP="00E444B1">
            <w:pPr>
              <w:keepNext/>
            </w:pPr>
            <w:r w:rsidRPr="001D2881">
              <w:rPr>
                <w:sz w:val="20"/>
              </w:rPr>
              <w:t>Upper</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B08556" w14:textId="77777777" w:rsidR="00B707B7" w:rsidRPr="001D2881" w:rsidRDefault="00B707B7" w:rsidP="00E444B1">
            <w:pPr>
              <w:keepNext/>
            </w:pPr>
          </w:p>
        </w:tc>
      </w:tr>
      <w:tr w:rsidR="00B707B7" w:rsidRPr="001D2881" w14:paraId="7AF3CDC1" w14:textId="77777777" w:rsidTr="00E444B1">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1D2CD28" w14:textId="77777777" w:rsidR="00B707B7" w:rsidRPr="001D2881" w:rsidRDefault="00B707B7" w:rsidP="00E444B1">
            <w:pPr>
              <w:keepNext/>
              <w:jc w:val="right"/>
            </w:pPr>
            <w:r w:rsidRPr="001D2881">
              <w:rPr>
                <w:sz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54648" w14:textId="77777777" w:rsidR="00B707B7" w:rsidRPr="001D2881" w:rsidRDefault="00B707B7" w:rsidP="00E444B1">
            <w:pPr>
              <w:keepNext/>
              <w:jc w:val="center"/>
            </w:pPr>
            <w:r w:rsidRPr="001D2881">
              <w:rPr>
                <w:sz w:val="20"/>
              </w:rPr>
              <w:t>42.7</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60E52" w14:textId="77777777" w:rsidR="00B707B7" w:rsidRPr="001D2881" w:rsidRDefault="00B707B7" w:rsidP="00E444B1">
            <w:pPr>
              <w:keepNext/>
              <w:jc w:val="center"/>
            </w:pPr>
            <w:r w:rsidRPr="001D2881">
              <w:rPr>
                <w:sz w:val="20"/>
              </w:rPr>
              <w:t>34.4</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D05BA4" w14:textId="77777777" w:rsidR="00B707B7" w:rsidRPr="001D2881" w:rsidRDefault="00B707B7" w:rsidP="00E444B1">
            <w:pPr>
              <w:keepNext/>
              <w:jc w:val="center"/>
            </w:pPr>
            <w:r w:rsidRPr="001D2881">
              <w:rPr>
                <w:sz w:val="20"/>
              </w:rPr>
              <w:t>73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58AC86" w14:textId="77777777" w:rsidR="00B707B7" w:rsidRPr="001D2881" w:rsidRDefault="00B707B7" w:rsidP="00E444B1">
            <w:pPr>
              <w:keepNext/>
              <w:jc w:val="center"/>
            </w:pPr>
            <w:r w:rsidRPr="001D2881">
              <w:rPr>
                <w:sz w:val="20"/>
              </w:rPr>
              <w:t>64.6</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F5397" w14:textId="77777777" w:rsidR="00B707B7" w:rsidRPr="001D2881" w:rsidRDefault="00B707B7" w:rsidP="00E444B1">
            <w:pPr>
              <w:keepNext/>
              <w:jc w:val="center"/>
            </w:pPr>
            <w:r w:rsidRPr="001D2881">
              <w:rPr>
                <w:sz w:val="20"/>
              </w:rPr>
              <w:t>23,441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96A990" w14:textId="77777777" w:rsidR="00B707B7" w:rsidRPr="001D2881" w:rsidRDefault="00B707B7" w:rsidP="00E444B1">
            <w:pPr>
              <w:keepNext/>
              <w:jc w:val="center"/>
            </w:pPr>
            <w:r w:rsidRPr="001D2881">
              <w:rPr>
                <w:sz w:val="20"/>
              </w:rPr>
              <w:t>69.0</w:t>
            </w:r>
          </w:p>
        </w:tc>
      </w:tr>
      <w:tr w:rsidR="00B707B7" w:rsidRPr="001D2881" w14:paraId="018999BB" w14:textId="77777777" w:rsidTr="00E444B1">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6295A26" w14:textId="77777777" w:rsidR="00B707B7" w:rsidRPr="001D2881" w:rsidRDefault="00B707B7" w:rsidP="00E444B1">
            <w:pPr>
              <w:keepNext/>
              <w:jc w:val="right"/>
            </w:pPr>
            <w:r w:rsidRPr="001D2881">
              <w:rPr>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745985" w14:textId="77777777" w:rsidR="00B707B7" w:rsidRPr="001D2881" w:rsidRDefault="00B707B7" w:rsidP="00E444B1">
            <w:pPr>
              <w:keepNext/>
              <w:jc w:val="center"/>
            </w:pPr>
            <w:r w:rsidRPr="001D2881">
              <w:rPr>
                <w:sz w:val="20"/>
              </w:rPr>
              <w:t>42.7</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9B0495" w14:textId="77777777" w:rsidR="00B707B7" w:rsidRPr="001D2881" w:rsidRDefault="00B707B7" w:rsidP="00E444B1">
            <w:pPr>
              <w:keepNext/>
              <w:jc w:val="center"/>
            </w:pPr>
            <w:r w:rsidRPr="001D2881">
              <w:rPr>
                <w:sz w:val="20"/>
              </w:rPr>
              <w:t>32.8</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B839F" w14:textId="77777777" w:rsidR="00B707B7" w:rsidRPr="001D2881" w:rsidRDefault="00B707B7" w:rsidP="00E444B1">
            <w:pPr>
              <w:keepNext/>
              <w:jc w:val="center"/>
            </w:pPr>
            <w:r w:rsidRPr="001D2881">
              <w:rPr>
                <w:sz w:val="20"/>
              </w:rPr>
              <w:t>125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C54D25" w14:textId="77777777" w:rsidR="00B707B7" w:rsidRPr="001D2881" w:rsidRDefault="00B707B7" w:rsidP="00E444B1">
            <w:pPr>
              <w:keepNext/>
              <w:jc w:val="center"/>
            </w:pPr>
            <w:r w:rsidRPr="001D2881">
              <w:rPr>
                <w:sz w:val="20"/>
              </w:rPr>
              <w:t>36.7</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D4AE1" w14:textId="77777777" w:rsidR="00B707B7" w:rsidRPr="001D2881" w:rsidRDefault="00B707B7" w:rsidP="00E444B1">
            <w:pPr>
              <w:keepNext/>
              <w:jc w:val="center"/>
            </w:pPr>
            <w:r w:rsidRPr="001D2881">
              <w:rPr>
                <w:sz w:val="20"/>
              </w:rPr>
              <w:t>41,485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E4352" w14:textId="77777777" w:rsidR="00B707B7" w:rsidRPr="001D2881" w:rsidRDefault="00B707B7" w:rsidP="00E444B1">
            <w:pPr>
              <w:keepNext/>
              <w:jc w:val="center"/>
            </w:pPr>
            <w:r w:rsidRPr="001D2881">
              <w:rPr>
                <w:sz w:val="20"/>
              </w:rPr>
              <w:t>45.8</w:t>
            </w:r>
          </w:p>
        </w:tc>
      </w:tr>
      <w:tr w:rsidR="00B707B7" w:rsidRPr="001D2881" w14:paraId="69CADEB7" w14:textId="77777777" w:rsidTr="00E444B1">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6DB4592" w14:textId="77777777" w:rsidR="00B707B7" w:rsidRPr="001D2881" w:rsidRDefault="00B707B7" w:rsidP="00E444B1">
            <w:pPr>
              <w:keepNext/>
            </w:pPr>
            <w:r w:rsidRPr="001D2881">
              <w:rPr>
                <w:sz w:val="20"/>
              </w:rPr>
              <w:t>Not Available</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8B313" w14:textId="77777777" w:rsidR="00B707B7" w:rsidRPr="001D2881" w:rsidRDefault="00B707B7" w:rsidP="00E444B1">
            <w:pPr>
              <w:keepNext/>
            </w:pPr>
          </w:p>
        </w:tc>
      </w:tr>
      <w:tr w:rsidR="00B707B7" w:rsidRPr="001D2881" w14:paraId="4A0FB532" w14:textId="77777777" w:rsidTr="00E444B1">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6CF0FFD" w14:textId="77777777" w:rsidR="00B707B7" w:rsidRPr="001D2881" w:rsidRDefault="00B707B7" w:rsidP="00E444B1">
            <w:pPr>
              <w:keepNext/>
              <w:jc w:val="right"/>
            </w:pPr>
            <w:r w:rsidRPr="001D2881">
              <w:rPr>
                <w:sz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A519E6" w14:textId="77777777" w:rsidR="00B707B7" w:rsidRPr="001D2881" w:rsidRDefault="00B707B7" w:rsidP="00E444B1">
            <w:pPr>
              <w:keepNext/>
              <w:jc w:val="center"/>
            </w:pPr>
            <w:r w:rsidRPr="001D2881">
              <w:rPr>
                <w:sz w:val="20"/>
              </w:rPr>
              <w:t>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DF8737" w14:textId="77777777" w:rsidR="00B707B7" w:rsidRPr="001D2881" w:rsidRDefault="00B707B7" w:rsidP="00E444B1">
            <w:pPr>
              <w:keepNext/>
              <w:jc w:val="center"/>
            </w:pPr>
            <w:r w:rsidRPr="001D2881">
              <w:rPr>
                <w:sz w:val="20"/>
              </w:rPr>
              <w:t>13.4</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309CC" w14:textId="77777777" w:rsidR="00B707B7" w:rsidRPr="001D2881" w:rsidRDefault="00B707B7" w:rsidP="00E444B1">
            <w:pPr>
              <w:keepNext/>
              <w:jc w:val="center"/>
            </w:pPr>
            <w:r w:rsidRPr="001D2881">
              <w:rPr>
                <w:sz w:val="20"/>
              </w:rPr>
              <w:t>11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B8F28" w14:textId="77777777" w:rsidR="00B707B7" w:rsidRPr="001D2881" w:rsidRDefault="00B707B7" w:rsidP="00E444B1">
            <w:pPr>
              <w:keepNext/>
              <w:jc w:val="center"/>
            </w:pPr>
            <w:r w:rsidRPr="001D2881">
              <w:rPr>
                <w:sz w:val="20"/>
              </w:rPr>
              <w:t>9.7</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FC647" w14:textId="77777777" w:rsidR="00B707B7" w:rsidRPr="001D2881" w:rsidRDefault="00B707B7" w:rsidP="00E444B1">
            <w:pPr>
              <w:keepNext/>
              <w:jc w:val="center"/>
            </w:pPr>
            <w:r w:rsidRPr="001D2881">
              <w:rPr>
                <w:sz w:val="20"/>
              </w:rPr>
              <w:t>5,257</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66CFC" w14:textId="77777777" w:rsidR="00B707B7" w:rsidRPr="001D2881" w:rsidRDefault="00B707B7" w:rsidP="00E444B1">
            <w:pPr>
              <w:keepNext/>
              <w:jc w:val="center"/>
            </w:pPr>
            <w:r w:rsidRPr="001D2881">
              <w:rPr>
                <w:sz w:val="20"/>
              </w:rPr>
              <w:t>15.5</w:t>
            </w:r>
          </w:p>
        </w:tc>
      </w:tr>
      <w:tr w:rsidR="00B707B7" w:rsidRPr="001D2881" w14:paraId="7A937355" w14:textId="77777777" w:rsidTr="00E444B1">
        <w:trPr>
          <w:trHeight w:val="166"/>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7A71B1A" w14:textId="77777777" w:rsidR="00B707B7" w:rsidRPr="001D2881" w:rsidRDefault="00B707B7" w:rsidP="00E444B1">
            <w:pPr>
              <w:keepNext/>
              <w:jc w:val="right"/>
            </w:pPr>
            <w:r w:rsidRPr="001D2881">
              <w:rPr>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C7896A" w14:textId="77777777" w:rsidR="00B707B7" w:rsidRPr="001D2881" w:rsidRDefault="00B707B7" w:rsidP="00E444B1">
            <w:pPr>
              <w:keepNext/>
              <w:jc w:val="center"/>
            </w:pPr>
            <w:r w:rsidRPr="001D2881">
              <w:rPr>
                <w:sz w:val="20"/>
              </w:rPr>
              <w:t>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F8099" w14:textId="77777777" w:rsidR="00B707B7" w:rsidRPr="001D2881" w:rsidRDefault="00B707B7" w:rsidP="00E444B1">
            <w:pPr>
              <w:keepNext/>
              <w:jc w:val="center"/>
            </w:pPr>
            <w:r w:rsidRPr="001D2881">
              <w:rPr>
                <w:sz w:val="20"/>
              </w:rPr>
              <w:t>16.5</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25464D" w14:textId="77777777" w:rsidR="00B707B7" w:rsidRPr="001D2881" w:rsidRDefault="00B707B7" w:rsidP="00E444B1">
            <w:pPr>
              <w:keepNext/>
              <w:jc w:val="center"/>
            </w:pPr>
            <w:r w:rsidRPr="001D2881">
              <w:rPr>
                <w:sz w:val="20"/>
              </w:rPr>
              <w:t>62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06ADD8" w14:textId="77777777" w:rsidR="00B707B7" w:rsidRPr="001D2881" w:rsidRDefault="00B707B7" w:rsidP="00E444B1">
            <w:pPr>
              <w:keepNext/>
              <w:jc w:val="center"/>
            </w:pPr>
            <w:r w:rsidRPr="001D2881">
              <w:rPr>
                <w:sz w:val="20"/>
              </w:rPr>
              <w:t>18.2</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48284F" w14:textId="77777777" w:rsidR="00B707B7" w:rsidRPr="001D2881" w:rsidRDefault="00B707B7" w:rsidP="00E444B1">
            <w:pPr>
              <w:keepNext/>
              <w:jc w:val="center"/>
            </w:pPr>
            <w:r w:rsidRPr="001D2881">
              <w:rPr>
                <w:sz w:val="20"/>
              </w:rPr>
              <w:t>17,223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F4DAB" w14:textId="77777777" w:rsidR="00B707B7" w:rsidRPr="001D2881" w:rsidRDefault="00B707B7" w:rsidP="00E444B1">
            <w:pPr>
              <w:keepNext/>
              <w:jc w:val="center"/>
            </w:pPr>
            <w:r w:rsidRPr="001D2881">
              <w:rPr>
                <w:sz w:val="20"/>
              </w:rPr>
              <w:t>19.0</w:t>
            </w:r>
          </w:p>
        </w:tc>
      </w:tr>
      <w:tr w:rsidR="00B707B7" w:rsidRPr="001D2881" w14:paraId="46211B4A" w14:textId="77777777" w:rsidTr="00E444B1">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5BC7865" w14:textId="77777777" w:rsidR="00B707B7" w:rsidRPr="001D2881" w:rsidRDefault="00B707B7" w:rsidP="00E444B1">
            <w:pPr>
              <w:keepNext/>
            </w:pPr>
            <w:r w:rsidRPr="001D2881">
              <w:rPr>
                <w:b/>
                <w:sz w:val="20"/>
              </w:rPr>
              <w:t>Totals</w:t>
            </w:r>
          </w:p>
        </w:tc>
        <w:tc>
          <w:tcPr>
            <w:tcW w:w="7200"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637F8D" w14:textId="77777777" w:rsidR="00B707B7" w:rsidRPr="001D2881" w:rsidRDefault="00B707B7" w:rsidP="00E444B1">
            <w:pPr>
              <w:keepNext/>
            </w:pPr>
          </w:p>
        </w:tc>
      </w:tr>
      <w:tr w:rsidR="00B707B7" w:rsidRPr="001D2881" w14:paraId="585EF5F8" w14:textId="77777777" w:rsidTr="00E444B1">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F20C244" w14:textId="77777777" w:rsidR="00B707B7" w:rsidRPr="001D2881" w:rsidRDefault="00B707B7" w:rsidP="00E444B1">
            <w:pPr>
              <w:keepNext/>
              <w:jc w:val="right"/>
            </w:pPr>
            <w:r w:rsidRPr="001D2881">
              <w:rPr>
                <w:b/>
                <w:sz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C9A97C" w14:textId="77777777" w:rsidR="00B707B7" w:rsidRPr="001D2881" w:rsidRDefault="00B707B7" w:rsidP="00E444B1">
            <w:pPr>
              <w:keepNext/>
              <w:jc w:val="center"/>
            </w:pPr>
            <w:r w:rsidRPr="001D2881">
              <w:rPr>
                <w:b/>
                <w:sz w:val="20"/>
              </w:rPr>
              <w:t>100.0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7BA6A" w14:textId="77777777" w:rsidR="00B707B7" w:rsidRPr="001D2881" w:rsidRDefault="00B707B7" w:rsidP="00E444B1">
            <w:pPr>
              <w:keepNext/>
              <w:jc w:val="center"/>
            </w:pPr>
            <w:r w:rsidRPr="001D2881">
              <w:rPr>
                <w:b/>
                <w:sz w:val="20"/>
              </w:rPr>
              <w:t>100.0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37291C" w14:textId="77777777" w:rsidR="00B707B7" w:rsidRPr="001D2881" w:rsidRDefault="00B707B7" w:rsidP="00E444B1">
            <w:pPr>
              <w:keepNext/>
              <w:jc w:val="center"/>
            </w:pPr>
            <w:r w:rsidRPr="001D2881">
              <w:rPr>
                <w:b/>
                <w:sz w:val="20"/>
              </w:rPr>
              <w:t>113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0DE48" w14:textId="77777777" w:rsidR="00B707B7" w:rsidRPr="001D2881" w:rsidRDefault="00B707B7" w:rsidP="00E444B1">
            <w:pPr>
              <w:keepNext/>
              <w:jc w:val="center"/>
            </w:pPr>
            <w:r w:rsidRPr="001D2881">
              <w:rPr>
                <w:b/>
                <w:sz w:val="20"/>
              </w:rPr>
              <w:t>100.0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CC3219" w14:textId="77777777" w:rsidR="00B707B7" w:rsidRPr="001D2881" w:rsidRDefault="00B707B7" w:rsidP="00E444B1">
            <w:pPr>
              <w:keepNext/>
              <w:jc w:val="center"/>
            </w:pPr>
            <w:r w:rsidRPr="001D2881">
              <w:rPr>
                <w:b/>
                <w:sz w:val="20"/>
              </w:rPr>
              <w:t>33,996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A9691" w14:textId="77777777" w:rsidR="00B707B7" w:rsidRPr="001D2881" w:rsidRDefault="00B707B7" w:rsidP="00E444B1">
            <w:pPr>
              <w:keepNext/>
              <w:jc w:val="center"/>
            </w:pPr>
            <w:r w:rsidRPr="001D2881">
              <w:rPr>
                <w:b/>
                <w:sz w:val="20"/>
              </w:rPr>
              <w:t>100.0</w:t>
            </w:r>
          </w:p>
        </w:tc>
      </w:tr>
      <w:tr w:rsidR="00B707B7" w:rsidRPr="001D2881" w14:paraId="66E32802" w14:textId="77777777" w:rsidTr="00E444B1">
        <w:trPr>
          <w:trHeight w:val="181"/>
        </w:trPr>
        <w:tc>
          <w:tcPr>
            <w:tcW w:w="23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E0F0BE7" w14:textId="77777777" w:rsidR="00B707B7" w:rsidRPr="001D2881" w:rsidRDefault="00B707B7" w:rsidP="00E444B1">
            <w:pPr>
              <w:keepNext/>
              <w:jc w:val="right"/>
            </w:pPr>
            <w:r w:rsidRPr="001D2881">
              <w:rPr>
                <w:b/>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486A78" w14:textId="77777777" w:rsidR="00B707B7" w:rsidRPr="001D2881" w:rsidRDefault="00B707B7" w:rsidP="00E444B1">
            <w:pPr>
              <w:keepNext/>
              <w:jc w:val="center"/>
            </w:pPr>
            <w:r w:rsidRPr="001D2881">
              <w:rPr>
                <w:b/>
                <w:sz w:val="20"/>
              </w:rPr>
              <w:t>100.0</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9575C" w14:textId="77777777" w:rsidR="00B707B7" w:rsidRPr="001D2881" w:rsidRDefault="00B707B7" w:rsidP="00E444B1">
            <w:pPr>
              <w:keepNext/>
              <w:jc w:val="center"/>
            </w:pPr>
            <w:r w:rsidRPr="001D2881">
              <w:rPr>
                <w:b/>
                <w:sz w:val="20"/>
              </w:rPr>
              <w:t>100.0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92F21" w14:textId="77777777" w:rsidR="00B707B7" w:rsidRPr="001D2881" w:rsidRDefault="00B707B7" w:rsidP="00E444B1">
            <w:pPr>
              <w:keepNext/>
              <w:jc w:val="center"/>
            </w:pPr>
            <w:r w:rsidRPr="001D2881">
              <w:rPr>
                <w:b/>
                <w:sz w:val="20"/>
              </w:rPr>
              <w:t>341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1BC23" w14:textId="77777777" w:rsidR="00B707B7" w:rsidRPr="001D2881" w:rsidRDefault="00B707B7" w:rsidP="00E444B1">
            <w:pPr>
              <w:keepNext/>
              <w:jc w:val="center"/>
            </w:pPr>
            <w:r w:rsidRPr="001D2881">
              <w:rPr>
                <w:b/>
                <w:sz w:val="20"/>
              </w:rPr>
              <w:t>100.0</w:t>
            </w:r>
          </w:p>
        </w:tc>
        <w:tc>
          <w:tcPr>
            <w:tcW w:w="11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7B5890" w14:textId="77777777" w:rsidR="00B707B7" w:rsidRPr="001D2881" w:rsidRDefault="00B707B7" w:rsidP="00E444B1">
            <w:pPr>
              <w:keepNext/>
              <w:jc w:val="center"/>
            </w:pPr>
            <w:r w:rsidRPr="001D2881">
              <w:rPr>
                <w:b/>
                <w:sz w:val="20"/>
              </w:rPr>
              <w:t>90,514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181F3" w14:textId="77777777" w:rsidR="00B707B7" w:rsidRPr="001D2881" w:rsidRDefault="00B707B7" w:rsidP="00E444B1">
            <w:pPr>
              <w:keepNext/>
              <w:jc w:val="center"/>
            </w:pPr>
            <w:r w:rsidRPr="001D2881">
              <w:rPr>
                <w:b/>
                <w:sz w:val="20"/>
              </w:rPr>
              <w:t>100.0</w:t>
            </w:r>
          </w:p>
        </w:tc>
      </w:tr>
      <w:tr w:rsidR="00B707B7" w:rsidRPr="001D2881" w14:paraId="3A4CC15F" w14:textId="77777777" w:rsidTr="00E444B1">
        <w:trPr>
          <w:trHeight w:val="167"/>
        </w:trPr>
        <w:tc>
          <w:tcPr>
            <w:tcW w:w="9504"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3382C1AC" w14:textId="77777777" w:rsidR="00B707B7" w:rsidRPr="001D2881" w:rsidRDefault="00B707B7" w:rsidP="00E444B1">
            <w:pPr>
              <w:keepNext/>
            </w:pPr>
            <w:r w:rsidRPr="001D2881">
              <w:rPr>
                <w:i/>
                <w:sz w:val="16"/>
              </w:rPr>
              <w:t>Source: 2015 ACS; Bank Data, 2018 &amp; 2019 HMDA Aggregate Data, "--" data not available.  Due to rounding, totals may not equal 100.0%</w:t>
            </w:r>
          </w:p>
        </w:tc>
      </w:tr>
    </w:tbl>
    <w:p w14:paraId="2DA323D8" w14:textId="77777777" w:rsidR="00B707B7" w:rsidRPr="001D2881" w:rsidRDefault="00B707B7" w:rsidP="00B707B7">
      <w:pPr>
        <w:pStyle w:val="QuickFormat1"/>
        <w:jc w:val="left"/>
        <w:rPr>
          <w:b w:val="0"/>
          <w:color w:val="auto"/>
          <w:sz w:val="24"/>
          <w:szCs w:val="24"/>
        </w:rPr>
      </w:pPr>
    </w:p>
    <w:p w14:paraId="3720B382" w14:textId="41461F64" w:rsidR="00391C15" w:rsidRDefault="00B707B7" w:rsidP="00B707B7">
      <w:pPr>
        <w:pStyle w:val="QuickFormat1"/>
        <w:jc w:val="left"/>
        <w:rPr>
          <w:b w:val="0"/>
          <w:color w:val="auto"/>
          <w:sz w:val="24"/>
          <w:szCs w:val="24"/>
          <w:lang w:val="en-US"/>
        </w:rPr>
      </w:pPr>
      <w:r w:rsidRPr="001D2881">
        <w:rPr>
          <w:b w:val="0"/>
          <w:color w:val="auto"/>
          <w:sz w:val="24"/>
          <w:szCs w:val="24"/>
          <w:lang w:val="en-US"/>
        </w:rPr>
        <w:t>The</w:t>
      </w:r>
      <w:r w:rsidRPr="001D2881">
        <w:rPr>
          <w:b w:val="0"/>
          <w:color w:val="auto"/>
          <w:sz w:val="24"/>
          <w:szCs w:val="24"/>
        </w:rPr>
        <w:t xml:space="preserve"> bank’s performance is reasonable</w:t>
      </w:r>
      <w:r w:rsidRPr="001D2881">
        <w:rPr>
          <w:b w:val="0"/>
          <w:color w:val="auto"/>
          <w:sz w:val="24"/>
          <w:szCs w:val="24"/>
          <w:lang w:val="en-US"/>
        </w:rPr>
        <w:t xml:space="preserve"> based </w:t>
      </w:r>
      <w:r w:rsidR="009A49AD">
        <w:rPr>
          <w:b w:val="0"/>
          <w:color w:val="auto"/>
          <w:sz w:val="24"/>
          <w:szCs w:val="24"/>
          <w:lang w:val="en-US"/>
        </w:rPr>
        <w:t xml:space="preserve">its improved </w:t>
      </w:r>
      <w:r w:rsidR="009A49AD" w:rsidRPr="009A49AD">
        <w:rPr>
          <w:b w:val="0"/>
          <w:color w:val="auto"/>
          <w:sz w:val="24"/>
          <w:szCs w:val="24"/>
          <w:lang w:val="en-US"/>
        </w:rPr>
        <w:t xml:space="preserve">lending performance </w:t>
      </w:r>
      <w:r w:rsidR="00391C15">
        <w:rPr>
          <w:b w:val="0"/>
          <w:color w:val="auto"/>
          <w:sz w:val="24"/>
          <w:szCs w:val="24"/>
          <w:lang w:val="en-US"/>
        </w:rPr>
        <w:t>from 2018 to 2019</w:t>
      </w:r>
      <w:r w:rsidRPr="001D2881">
        <w:rPr>
          <w:b w:val="0"/>
          <w:color w:val="auto"/>
          <w:sz w:val="24"/>
          <w:szCs w:val="24"/>
          <w:lang w:val="en-US"/>
        </w:rPr>
        <w:t xml:space="preserve">, </w:t>
      </w:r>
      <w:r w:rsidR="00532DD3">
        <w:rPr>
          <w:b w:val="0"/>
          <w:color w:val="auto"/>
          <w:sz w:val="24"/>
          <w:szCs w:val="24"/>
          <w:lang w:val="en-US"/>
        </w:rPr>
        <w:t xml:space="preserve">and </w:t>
      </w:r>
      <w:r w:rsidRPr="001D2881">
        <w:rPr>
          <w:b w:val="0"/>
          <w:color w:val="auto"/>
          <w:sz w:val="24"/>
          <w:szCs w:val="24"/>
          <w:lang w:val="en-US"/>
        </w:rPr>
        <w:t>market share</w:t>
      </w:r>
      <w:r>
        <w:rPr>
          <w:b w:val="0"/>
          <w:color w:val="auto"/>
          <w:sz w:val="24"/>
          <w:szCs w:val="24"/>
          <w:lang w:val="en-US"/>
        </w:rPr>
        <w:t xml:space="preserve"> data</w:t>
      </w:r>
      <w:r w:rsidRPr="001D2881">
        <w:rPr>
          <w:b w:val="0"/>
          <w:color w:val="auto"/>
          <w:sz w:val="24"/>
          <w:szCs w:val="24"/>
          <w:lang w:val="en-US"/>
        </w:rPr>
        <w:t xml:space="preserve">.  In 2018, </w:t>
      </w:r>
      <w:r w:rsidR="00391C15">
        <w:rPr>
          <w:b w:val="0"/>
          <w:color w:val="auto"/>
          <w:sz w:val="24"/>
          <w:szCs w:val="24"/>
          <w:lang w:val="en-US"/>
        </w:rPr>
        <w:t xml:space="preserve">the </w:t>
      </w:r>
      <w:r w:rsidRPr="001D2881">
        <w:rPr>
          <w:b w:val="0"/>
          <w:color w:val="auto"/>
          <w:sz w:val="24"/>
          <w:szCs w:val="24"/>
          <w:lang w:val="en-US"/>
        </w:rPr>
        <w:t>bank</w:t>
      </w:r>
      <w:r w:rsidR="00391C15">
        <w:rPr>
          <w:b w:val="0"/>
          <w:color w:val="auto"/>
          <w:sz w:val="24"/>
          <w:szCs w:val="24"/>
          <w:lang w:val="en-US"/>
        </w:rPr>
        <w:t>’s</w:t>
      </w:r>
      <w:r w:rsidRPr="001D2881">
        <w:rPr>
          <w:b w:val="0"/>
          <w:color w:val="auto"/>
          <w:sz w:val="24"/>
          <w:szCs w:val="24"/>
          <w:lang w:val="en-US"/>
        </w:rPr>
        <w:t xml:space="preserve"> lending to low-income borrowers was below both aggregate and demographic data.  In 2019, </w:t>
      </w:r>
      <w:r w:rsidR="00391C15">
        <w:rPr>
          <w:b w:val="0"/>
          <w:color w:val="auto"/>
          <w:sz w:val="24"/>
          <w:szCs w:val="24"/>
          <w:lang w:val="en-US"/>
        </w:rPr>
        <w:t xml:space="preserve">the </w:t>
      </w:r>
      <w:r w:rsidRPr="001D2881">
        <w:rPr>
          <w:b w:val="0"/>
          <w:color w:val="auto"/>
          <w:sz w:val="24"/>
          <w:szCs w:val="24"/>
          <w:lang w:val="en-US"/>
        </w:rPr>
        <w:t>bank</w:t>
      </w:r>
      <w:r w:rsidR="00391C15">
        <w:rPr>
          <w:b w:val="0"/>
          <w:color w:val="auto"/>
          <w:sz w:val="24"/>
          <w:szCs w:val="24"/>
          <w:lang w:val="en-US"/>
        </w:rPr>
        <w:t>’s</w:t>
      </w:r>
      <w:r w:rsidRPr="001D2881">
        <w:rPr>
          <w:b w:val="0"/>
          <w:color w:val="auto"/>
          <w:sz w:val="24"/>
          <w:szCs w:val="24"/>
          <w:lang w:val="en-US"/>
        </w:rPr>
        <w:t xml:space="preserve"> lending to low-income borrowers improved and </w:t>
      </w:r>
      <w:r w:rsidR="00391C15">
        <w:rPr>
          <w:b w:val="0"/>
          <w:color w:val="auto"/>
          <w:sz w:val="24"/>
          <w:szCs w:val="24"/>
          <w:lang w:val="en-US"/>
        </w:rPr>
        <w:t>was comparable to</w:t>
      </w:r>
      <w:r w:rsidRPr="001D2881">
        <w:rPr>
          <w:b w:val="0"/>
          <w:color w:val="auto"/>
          <w:sz w:val="24"/>
          <w:szCs w:val="24"/>
          <w:lang w:val="en-US"/>
        </w:rPr>
        <w:t xml:space="preserve"> aggregate </w:t>
      </w:r>
      <w:r w:rsidR="00391C15">
        <w:rPr>
          <w:b w:val="0"/>
          <w:color w:val="auto"/>
          <w:sz w:val="24"/>
          <w:szCs w:val="24"/>
          <w:lang w:val="en-US"/>
        </w:rPr>
        <w:t>performance</w:t>
      </w:r>
      <w:r>
        <w:rPr>
          <w:b w:val="0"/>
          <w:color w:val="auto"/>
          <w:sz w:val="24"/>
          <w:szCs w:val="24"/>
          <w:lang w:val="en-US"/>
        </w:rPr>
        <w:t>.  As noted in the Description of Assessment Area</w:t>
      </w:r>
      <w:r w:rsidR="00834139">
        <w:rPr>
          <w:b w:val="0"/>
          <w:color w:val="auto"/>
          <w:sz w:val="24"/>
          <w:szCs w:val="24"/>
          <w:lang w:val="en-US"/>
        </w:rPr>
        <w:t xml:space="preserve"> section</w:t>
      </w:r>
      <w:r>
        <w:rPr>
          <w:b w:val="0"/>
          <w:color w:val="auto"/>
          <w:sz w:val="24"/>
          <w:szCs w:val="24"/>
          <w:lang w:val="en-US"/>
        </w:rPr>
        <w:t xml:space="preserve">, the percentage of low-income families is not representative of </w:t>
      </w:r>
      <w:r w:rsidR="00716F49">
        <w:rPr>
          <w:b w:val="0"/>
          <w:color w:val="auto"/>
          <w:sz w:val="24"/>
          <w:szCs w:val="24"/>
          <w:lang w:val="en-US"/>
        </w:rPr>
        <w:t xml:space="preserve">the </w:t>
      </w:r>
      <w:r>
        <w:rPr>
          <w:b w:val="0"/>
          <w:color w:val="auto"/>
          <w:sz w:val="24"/>
          <w:szCs w:val="24"/>
          <w:lang w:val="en-US"/>
        </w:rPr>
        <w:t>demand and opportunity for home mortgage loans to this group</w:t>
      </w:r>
      <w:r w:rsidR="00834139">
        <w:rPr>
          <w:b w:val="0"/>
          <w:color w:val="auto"/>
          <w:sz w:val="24"/>
          <w:szCs w:val="24"/>
          <w:lang w:val="en-US"/>
        </w:rPr>
        <w:t xml:space="preserve">, </w:t>
      </w:r>
      <w:r w:rsidR="00834139" w:rsidRPr="00834139">
        <w:rPr>
          <w:b w:val="0"/>
          <w:color w:val="auto"/>
          <w:sz w:val="24"/>
          <w:szCs w:val="24"/>
          <w:lang w:val="en-US"/>
        </w:rPr>
        <w:t>considering 5.9 percent of the population in the assessment area is below the poverty level</w:t>
      </w:r>
      <w:r w:rsidR="00970163">
        <w:rPr>
          <w:b w:val="0"/>
          <w:color w:val="auto"/>
          <w:sz w:val="24"/>
          <w:szCs w:val="24"/>
          <w:lang w:val="en-US"/>
        </w:rPr>
        <w:t xml:space="preserve">.  In addition, </w:t>
      </w:r>
      <w:r w:rsidR="00834139" w:rsidRPr="00834139">
        <w:rPr>
          <w:b w:val="0"/>
          <w:color w:val="auto"/>
          <w:sz w:val="24"/>
          <w:szCs w:val="24"/>
          <w:lang w:val="en-US"/>
        </w:rPr>
        <w:t>the median housing value</w:t>
      </w:r>
      <w:r w:rsidR="00970163">
        <w:rPr>
          <w:b w:val="0"/>
          <w:color w:val="auto"/>
          <w:sz w:val="24"/>
          <w:szCs w:val="24"/>
          <w:lang w:val="en-US"/>
        </w:rPr>
        <w:t xml:space="preserve"> in the assessment area is $301,481 and</w:t>
      </w:r>
      <w:r w:rsidR="00834139" w:rsidRPr="00834139">
        <w:rPr>
          <w:b w:val="0"/>
          <w:color w:val="auto"/>
          <w:sz w:val="24"/>
          <w:szCs w:val="24"/>
          <w:lang w:val="en-US"/>
        </w:rPr>
        <w:t xml:space="preserve"> low-income borrowers may have difficulty qualifying for conventional mortgages.</w:t>
      </w:r>
      <w:r w:rsidR="00834139">
        <w:rPr>
          <w:b w:val="0"/>
          <w:color w:val="auto"/>
          <w:sz w:val="24"/>
          <w:szCs w:val="24"/>
          <w:lang w:val="en-US"/>
        </w:rPr>
        <w:t xml:space="preserve"> </w:t>
      </w:r>
      <w:r w:rsidR="00970163">
        <w:rPr>
          <w:b w:val="0"/>
          <w:color w:val="auto"/>
          <w:sz w:val="24"/>
          <w:szCs w:val="24"/>
          <w:lang w:val="en-US"/>
        </w:rPr>
        <w:t xml:space="preserve"> </w:t>
      </w:r>
      <w:r w:rsidR="00834139">
        <w:rPr>
          <w:b w:val="0"/>
          <w:color w:val="auto"/>
          <w:sz w:val="24"/>
          <w:szCs w:val="24"/>
          <w:lang w:val="en-US"/>
        </w:rPr>
        <w:t>Furthermore, m</w:t>
      </w:r>
      <w:r w:rsidR="00391C15">
        <w:rPr>
          <w:b w:val="0"/>
          <w:color w:val="auto"/>
          <w:sz w:val="24"/>
          <w:szCs w:val="24"/>
          <w:lang w:val="en-US"/>
        </w:rPr>
        <w:t xml:space="preserve">arket share data further supports the bank’s reasonable lending performance to low-income borrowers.  </w:t>
      </w:r>
      <w:r w:rsidR="00391C15" w:rsidRPr="00391C15">
        <w:rPr>
          <w:b w:val="0"/>
          <w:color w:val="auto"/>
          <w:sz w:val="24"/>
          <w:szCs w:val="24"/>
          <w:lang w:val="en-US"/>
        </w:rPr>
        <w:t>According to 2019 market share data, the bank maintained a 0.8 percent market share and ranked 31</w:t>
      </w:r>
      <w:r w:rsidR="00391C15" w:rsidRPr="00970163">
        <w:rPr>
          <w:b w:val="0"/>
          <w:color w:val="auto"/>
          <w:sz w:val="24"/>
          <w:szCs w:val="24"/>
          <w:vertAlign w:val="superscript"/>
          <w:lang w:val="en-US"/>
        </w:rPr>
        <w:t>st</w:t>
      </w:r>
      <w:r w:rsidR="00391C15" w:rsidRPr="00391C15">
        <w:rPr>
          <w:b w:val="0"/>
          <w:color w:val="auto"/>
          <w:sz w:val="24"/>
          <w:szCs w:val="24"/>
          <w:lang w:val="en-US"/>
        </w:rPr>
        <w:t xml:space="preserve"> out of 150 lenders that originated</w:t>
      </w:r>
      <w:r w:rsidR="00391C15">
        <w:rPr>
          <w:b w:val="0"/>
          <w:color w:val="auto"/>
          <w:sz w:val="24"/>
          <w:szCs w:val="24"/>
          <w:lang w:val="en-US"/>
        </w:rPr>
        <w:t xml:space="preserve"> or purchased a</w:t>
      </w:r>
      <w:r w:rsidR="00391C15" w:rsidRPr="00391C15">
        <w:rPr>
          <w:b w:val="0"/>
          <w:color w:val="auto"/>
          <w:sz w:val="24"/>
          <w:szCs w:val="24"/>
          <w:lang w:val="en-US"/>
        </w:rPr>
        <w:t xml:space="preserve"> home mortgage loan to low-income borrowers within the assessment area. </w:t>
      </w:r>
      <w:r w:rsidR="00391C15">
        <w:rPr>
          <w:b w:val="0"/>
          <w:color w:val="auto"/>
          <w:sz w:val="24"/>
          <w:szCs w:val="24"/>
          <w:lang w:val="en-US"/>
        </w:rPr>
        <w:t xml:space="preserve"> </w:t>
      </w:r>
    </w:p>
    <w:p w14:paraId="4C52F311" w14:textId="77777777" w:rsidR="00391C15" w:rsidRDefault="00391C15" w:rsidP="00B707B7">
      <w:pPr>
        <w:pStyle w:val="QuickFormat1"/>
        <w:jc w:val="left"/>
        <w:rPr>
          <w:b w:val="0"/>
          <w:color w:val="auto"/>
          <w:sz w:val="24"/>
          <w:szCs w:val="24"/>
          <w:lang w:val="en-US"/>
        </w:rPr>
      </w:pPr>
    </w:p>
    <w:p w14:paraId="1AF4B263" w14:textId="23A5A89D" w:rsidR="00B707B7" w:rsidRPr="001D2881" w:rsidRDefault="00391C15" w:rsidP="00B707B7">
      <w:pPr>
        <w:pStyle w:val="QuickFormat1"/>
        <w:jc w:val="left"/>
        <w:rPr>
          <w:b w:val="0"/>
          <w:color w:val="auto"/>
          <w:sz w:val="24"/>
          <w:szCs w:val="24"/>
          <w:lang w:val="en-US"/>
        </w:rPr>
      </w:pPr>
      <w:r>
        <w:rPr>
          <w:b w:val="0"/>
          <w:color w:val="auto"/>
          <w:sz w:val="24"/>
          <w:szCs w:val="24"/>
          <w:lang w:val="en-US"/>
        </w:rPr>
        <w:t>The b</w:t>
      </w:r>
      <w:r w:rsidRPr="001D2881">
        <w:rPr>
          <w:b w:val="0"/>
          <w:color w:val="auto"/>
          <w:sz w:val="24"/>
          <w:szCs w:val="24"/>
          <w:lang w:val="en-US"/>
        </w:rPr>
        <w:t>ank</w:t>
      </w:r>
      <w:r>
        <w:rPr>
          <w:b w:val="0"/>
          <w:color w:val="auto"/>
          <w:sz w:val="24"/>
          <w:szCs w:val="24"/>
          <w:lang w:val="en-US"/>
        </w:rPr>
        <w:t>’s</w:t>
      </w:r>
      <w:r w:rsidRPr="001D2881">
        <w:rPr>
          <w:b w:val="0"/>
          <w:color w:val="auto"/>
          <w:sz w:val="24"/>
          <w:szCs w:val="24"/>
          <w:lang w:val="en-US"/>
        </w:rPr>
        <w:t xml:space="preserve"> </w:t>
      </w:r>
      <w:r w:rsidR="00B707B7" w:rsidRPr="001D2881">
        <w:rPr>
          <w:b w:val="0"/>
          <w:color w:val="auto"/>
          <w:sz w:val="24"/>
          <w:szCs w:val="24"/>
          <w:lang w:val="en-US"/>
        </w:rPr>
        <w:t xml:space="preserve">lending to moderate-income borrowers was below the aggregate and demographics in 2018.  </w:t>
      </w:r>
      <w:r>
        <w:rPr>
          <w:b w:val="0"/>
          <w:color w:val="auto"/>
          <w:sz w:val="24"/>
          <w:szCs w:val="24"/>
          <w:lang w:val="en-US"/>
        </w:rPr>
        <w:t>In</w:t>
      </w:r>
      <w:r w:rsidR="00B707B7">
        <w:rPr>
          <w:b w:val="0"/>
          <w:color w:val="auto"/>
          <w:sz w:val="24"/>
          <w:szCs w:val="24"/>
          <w:lang w:val="en-US"/>
        </w:rPr>
        <w:t xml:space="preserve"> </w:t>
      </w:r>
      <w:r w:rsidR="00B707B7" w:rsidRPr="001D2881">
        <w:rPr>
          <w:b w:val="0"/>
          <w:color w:val="auto"/>
          <w:sz w:val="24"/>
          <w:szCs w:val="24"/>
          <w:lang w:val="en-US"/>
        </w:rPr>
        <w:t xml:space="preserve">2019, the bank significantly improved its performance </w:t>
      </w:r>
      <w:r w:rsidR="00834139">
        <w:rPr>
          <w:b w:val="0"/>
          <w:color w:val="auto"/>
          <w:sz w:val="24"/>
          <w:szCs w:val="24"/>
          <w:lang w:val="en-US"/>
        </w:rPr>
        <w:t>when</w:t>
      </w:r>
      <w:r w:rsidR="00B707B7" w:rsidRPr="001D2881">
        <w:rPr>
          <w:b w:val="0"/>
          <w:color w:val="auto"/>
          <w:sz w:val="24"/>
          <w:szCs w:val="24"/>
          <w:lang w:val="en-US"/>
        </w:rPr>
        <w:t xml:space="preserve"> lending to moderate-income borrowers</w:t>
      </w:r>
      <w:r w:rsidR="00B707B7">
        <w:rPr>
          <w:b w:val="0"/>
          <w:color w:val="auto"/>
          <w:sz w:val="24"/>
          <w:szCs w:val="24"/>
          <w:lang w:val="en-US"/>
        </w:rPr>
        <w:t>, essentially matching the percentage of families</w:t>
      </w:r>
      <w:r>
        <w:rPr>
          <w:b w:val="0"/>
          <w:color w:val="auto"/>
          <w:sz w:val="24"/>
          <w:szCs w:val="24"/>
          <w:lang w:val="en-US"/>
        </w:rPr>
        <w:t>, but was still below aggregate lending performance</w:t>
      </w:r>
      <w:r w:rsidR="00B707B7" w:rsidRPr="001D2881">
        <w:rPr>
          <w:b w:val="0"/>
          <w:color w:val="auto"/>
          <w:sz w:val="24"/>
          <w:szCs w:val="24"/>
          <w:lang w:val="en-US"/>
        </w:rPr>
        <w:t xml:space="preserve">. </w:t>
      </w:r>
      <w:r w:rsidR="00B707B7">
        <w:rPr>
          <w:b w:val="0"/>
          <w:color w:val="auto"/>
          <w:sz w:val="24"/>
          <w:szCs w:val="24"/>
          <w:lang w:val="en-US"/>
        </w:rPr>
        <w:t xml:space="preserve"> </w:t>
      </w:r>
      <w:r>
        <w:rPr>
          <w:b w:val="0"/>
          <w:color w:val="auto"/>
          <w:sz w:val="24"/>
          <w:szCs w:val="24"/>
          <w:lang w:val="en-US"/>
        </w:rPr>
        <w:t xml:space="preserve">Market share data supports the bank’s reasonable lending performance to moderate-income borrowers.  </w:t>
      </w:r>
      <w:r w:rsidR="00B707B7" w:rsidRPr="001D2881">
        <w:rPr>
          <w:b w:val="0"/>
          <w:color w:val="auto"/>
          <w:sz w:val="24"/>
          <w:szCs w:val="24"/>
          <w:lang w:val="en-US"/>
        </w:rPr>
        <w:t>The bank maintained a 0.8 percent market share and ranked 30</w:t>
      </w:r>
      <w:r w:rsidR="00B707B7" w:rsidRPr="001D2881">
        <w:rPr>
          <w:b w:val="0"/>
          <w:color w:val="auto"/>
          <w:sz w:val="24"/>
          <w:szCs w:val="24"/>
          <w:vertAlign w:val="superscript"/>
          <w:lang w:val="en-US"/>
        </w:rPr>
        <w:t>th</w:t>
      </w:r>
      <w:r w:rsidR="00B707B7" w:rsidRPr="001D2881">
        <w:rPr>
          <w:b w:val="0"/>
          <w:color w:val="auto"/>
          <w:sz w:val="24"/>
          <w:szCs w:val="24"/>
          <w:lang w:val="en-US"/>
        </w:rPr>
        <w:t xml:space="preserve"> out of 228 </w:t>
      </w:r>
      <w:r w:rsidR="00B707B7" w:rsidRPr="001D2881">
        <w:rPr>
          <w:b w:val="0"/>
          <w:color w:val="auto"/>
          <w:sz w:val="24"/>
          <w:szCs w:val="24"/>
          <w:lang w:val="en-US"/>
        </w:rPr>
        <w:lastRenderedPageBreak/>
        <w:t xml:space="preserve">lenders </w:t>
      </w:r>
      <w:r>
        <w:rPr>
          <w:b w:val="0"/>
          <w:color w:val="auto"/>
          <w:sz w:val="24"/>
          <w:szCs w:val="24"/>
          <w:lang w:val="en-US"/>
        </w:rPr>
        <w:t>when lending</w:t>
      </w:r>
      <w:r w:rsidR="00B707B7" w:rsidRPr="001D2881">
        <w:rPr>
          <w:b w:val="0"/>
          <w:color w:val="auto"/>
          <w:sz w:val="24"/>
          <w:szCs w:val="24"/>
          <w:lang w:val="en-US"/>
        </w:rPr>
        <w:t xml:space="preserve"> to moderate-income borrowers.  The top lenders to both low- and moderate-income borrowers are significantly larger institutions.  </w:t>
      </w:r>
    </w:p>
    <w:p w14:paraId="386C4BCB" w14:textId="77777777" w:rsidR="00B707B7" w:rsidRPr="001D2881" w:rsidRDefault="00B707B7" w:rsidP="00B707B7">
      <w:pPr>
        <w:pStyle w:val="QuickFormat1"/>
        <w:jc w:val="left"/>
        <w:rPr>
          <w:b w:val="0"/>
          <w:color w:val="auto"/>
          <w:sz w:val="24"/>
          <w:szCs w:val="24"/>
          <w:lang w:val="en-US"/>
        </w:rPr>
      </w:pPr>
      <w:r w:rsidRPr="001D2881">
        <w:rPr>
          <w:b w:val="0"/>
          <w:color w:val="auto"/>
          <w:sz w:val="24"/>
          <w:szCs w:val="24"/>
          <w:lang w:val="en-US"/>
        </w:rPr>
        <w:t xml:space="preserve"> </w:t>
      </w:r>
    </w:p>
    <w:p w14:paraId="2DA47DB1" w14:textId="7DC6D114" w:rsidR="00B707B7" w:rsidRPr="001D2881" w:rsidRDefault="00B707B7" w:rsidP="00B707B7">
      <w:r w:rsidRPr="001D2881">
        <w:t xml:space="preserve">In addition, </w:t>
      </w:r>
      <w:r>
        <w:t>in an effort</w:t>
      </w:r>
      <w:r w:rsidRPr="001D2881">
        <w:t xml:space="preserve"> to overcome </w:t>
      </w:r>
      <w:r>
        <w:t>challenges with lending to</w:t>
      </w:r>
      <w:r w:rsidRPr="001D2881">
        <w:t xml:space="preserve"> low- and moderate-income borrowers, the bank formed a relationship with and purchased loans from Habitat for Humanity of Greater Plymouth during the evaluation period.  Habitat for Humanity provides permanent affordable housing to low- and moderate-income families.  The bank purchased five loans in August 2018 with</w:t>
      </w:r>
      <w:r>
        <w:t xml:space="preserve"> a</w:t>
      </w:r>
      <w:r w:rsidRPr="001D2881">
        <w:t xml:space="preserve"> </w:t>
      </w:r>
      <w:r>
        <w:t xml:space="preserve">combined </w:t>
      </w:r>
      <w:r w:rsidR="00970163">
        <w:t>balance of $294,034.</w:t>
      </w:r>
    </w:p>
    <w:p w14:paraId="1A76CC11" w14:textId="77777777" w:rsidR="00B707B7" w:rsidRPr="001D2881" w:rsidRDefault="00B707B7" w:rsidP="00B707B7">
      <w:pPr>
        <w:pStyle w:val="QuickFormat1"/>
        <w:jc w:val="left"/>
        <w:rPr>
          <w:b w:val="0"/>
          <w:i/>
          <w:color w:val="auto"/>
          <w:sz w:val="24"/>
          <w:szCs w:val="24"/>
          <w:lang w:val="en-US"/>
        </w:rPr>
      </w:pPr>
    </w:p>
    <w:p w14:paraId="5A7F56B4" w14:textId="77777777" w:rsidR="00B707B7" w:rsidRPr="001D2881" w:rsidRDefault="00B707B7" w:rsidP="00B707B7">
      <w:pPr>
        <w:pStyle w:val="QuickFormat1"/>
        <w:jc w:val="left"/>
        <w:rPr>
          <w:i/>
          <w:color w:val="auto"/>
          <w:sz w:val="24"/>
          <w:szCs w:val="24"/>
          <w:lang w:val="en-US"/>
        </w:rPr>
      </w:pPr>
      <w:r w:rsidRPr="001D2881">
        <w:rPr>
          <w:i/>
          <w:color w:val="auto"/>
          <w:sz w:val="24"/>
          <w:szCs w:val="24"/>
          <w:lang w:val="en-US"/>
        </w:rPr>
        <w:t>Small Business Loans</w:t>
      </w:r>
    </w:p>
    <w:p w14:paraId="622E2FE0" w14:textId="2172D05E" w:rsidR="00B707B7" w:rsidRPr="001D2881" w:rsidRDefault="00B707B7" w:rsidP="00B707B7">
      <w:r w:rsidRPr="001D2881">
        <w:t>The distribution of small business loans reflects reasonable penetration to businesses with GARs of $1 million or less.  The following table illustrates the bank’s small business lending by GAR level.</w:t>
      </w:r>
    </w:p>
    <w:p w14:paraId="20EF8137" w14:textId="77777777" w:rsidR="00B707B7" w:rsidRPr="001D2881" w:rsidRDefault="00B707B7" w:rsidP="00B707B7">
      <w:pPr>
        <w:pStyle w:val="QuickFormat1"/>
        <w:jc w:val="left"/>
        <w:rPr>
          <w:color w:val="auto"/>
          <w:sz w:val="24"/>
          <w:szCs w:val="24"/>
          <w:u w:val="single"/>
          <w:lang w:val="en-US"/>
        </w:rPr>
      </w:pPr>
    </w:p>
    <w:tbl>
      <w:tblPr>
        <w:tblW w:w="92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97"/>
        <w:gridCol w:w="1397"/>
        <w:gridCol w:w="1397"/>
        <w:gridCol w:w="1397"/>
        <w:gridCol w:w="1397"/>
        <w:gridCol w:w="1397"/>
      </w:tblGrid>
      <w:tr w:rsidR="00B707B7" w:rsidRPr="001D2881" w14:paraId="7B16CCAE" w14:textId="77777777" w:rsidTr="00E444B1">
        <w:trPr>
          <w:trHeight w:val="48"/>
          <w:jc w:val="center"/>
        </w:trPr>
        <w:tc>
          <w:tcPr>
            <w:tcW w:w="9282" w:type="dxa"/>
            <w:gridSpan w:val="6"/>
            <w:tcBorders>
              <w:top w:val="single" w:sz="4" w:space="0" w:color="auto"/>
              <w:left w:val="single" w:sz="4" w:space="0" w:color="auto"/>
              <w:bottom w:val="single" w:sz="4" w:space="0" w:color="auto"/>
              <w:right w:val="single" w:sz="4" w:space="0" w:color="auto"/>
            </w:tcBorders>
          </w:tcPr>
          <w:p w14:paraId="1F3CD07B" w14:textId="77777777" w:rsidR="00B707B7" w:rsidRPr="001D2881" w:rsidRDefault="00B707B7" w:rsidP="00E444B1">
            <w:pPr>
              <w:keepNext/>
              <w:jc w:val="center"/>
              <w:rPr>
                <w:b/>
                <w:sz w:val="20"/>
              </w:rPr>
            </w:pPr>
            <w:r w:rsidRPr="001D2881">
              <w:t xml:space="preserve">  </w:t>
            </w:r>
            <w:r w:rsidRPr="001D2881">
              <w:rPr>
                <w:b/>
                <w:sz w:val="20"/>
              </w:rPr>
              <w:t>Distribution of Small Business Loans by Gross Annual Revenue Category</w:t>
            </w:r>
          </w:p>
        </w:tc>
      </w:tr>
      <w:tr w:rsidR="00B707B7" w:rsidRPr="001D2881" w14:paraId="7E2F92BE" w14:textId="77777777" w:rsidTr="00E444B1">
        <w:trPr>
          <w:trHeight w:val="764"/>
          <w:jc w:val="center"/>
        </w:trPr>
        <w:tc>
          <w:tcPr>
            <w:tcW w:w="2297" w:type="dxa"/>
            <w:tcBorders>
              <w:top w:val="single" w:sz="4" w:space="0" w:color="auto"/>
              <w:left w:val="single" w:sz="4" w:space="0" w:color="auto"/>
              <w:bottom w:val="single" w:sz="4" w:space="0" w:color="auto"/>
              <w:right w:val="single" w:sz="4" w:space="0" w:color="auto"/>
            </w:tcBorders>
          </w:tcPr>
          <w:p w14:paraId="34B732C9" w14:textId="77777777" w:rsidR="00B707B7" w:rsidRPr="001D2881" w:rsidRDefault="00B707B7" w:rsidP="00E444B1">
            <w:pPr>
              <w:pStyle w:val="TableParagraph"/>
              <w:keepNext/>
              <w:spacing w:before="3"/>
              <w:jc w:val="left"/>
              <w:rPr>
                <w:sz w:val="23"/>
              </w:rPr>
            </w:pPr>
          </w:p>
          <w:p w14:paraId="7324215B" w14:textId="77777777" w:rsidR="00B707B7" w:rsidRPr="001D2881" w:rsidRDefault="00B707B7" w:rsidP="00E444B1">
            <w:pPr>
              <w:pStyle w:val="TableParagraph"/>
              <w:keepNext/>
              <w:spacing w:before="0"/>
              <w:ind w:left="35"/>
              <w:jc w:val="left"/>
              <w:rPr>
                <w:b/>
                <w:sz w:val="20"/>
              </w:rPr>
            </w:pPr>
            <w:r w:rsidRPr="001D2881">
              <w:rPr>
                <w:b/>
                <w:sz w:val="20"/>
              </w:rPr>
              <w:t>Gross Revenue Level</w:t>
            </w:r>
          </w:p>
        </w:tc>
        <w:tc>
          <w:tcPr>
            <w:tcW w:w="1397" w:type="dxa"/>
            <w:tcBorders>
              <w:top w:val="single" w:sz="4" w:space="0" w:color="auto"/>
              <w:left w:val="single" w:sz="4" w:space="0" w:color="auto"/>
              <w:bottom w:val="single" w:sz="4" w:space="0" w:color="auto"/>
              <w:right w:val="single" w:sz="4" w:space="0" w:color="auto"/>
            </w:tcBorders>
          </w:tcPr>
          <w:p w14:paraId="4C20A62E" w14:textId="77777777" w:rsidR="00B707B7" w:rsidRPr="001D2881" w:rsidRDefault="00B707B7" w:rsidP="00E444B1">
            <w:pPr>
              <w:pStyle w:val="TableParagraph"/>
              <w:keepNext/>
              <w:spacing w:before="152"/>
              <w:ind w:left="268" w:firstLine="240"/>
              <w:jc w:val="left"/>
              <w:rPr>
                <w:b/>
                <w:sz w:val="20"/>
              </w:rPr>
            </w:pPr>
            <w:r w:rsidRPr="001D2881">
              <w:rPr>
                <w:b/>
                <w:sz w:val="20"/>
              </w:rPr>
              <w:t xml:space="preserve">% of </w:t>
            </w:r>
            <w:r w:rsidRPr="001D2881">
              <w:rPr>
                <w:b/>
                <w:w w:val="95"/>
                <w:sz w:val="20"/>
              </w:rPr>
              <w:t>Businesses</w:t>
            </w:r>
          </w:p>
        </w:tc>
        <w:tc>
          <w:tcPr>
            <w:tcW w:w="1397" w:type="dxa"/>
            <w:tcBorders>
              <w:top w:val="single" w:sz="4" w:space="0" w:color="auto"/>
              <w:left w:val="single" w:sz="4" w:space="0" w:color="auto"/>
              <w:bottom w:val="single" w:sz="4" w:space="0" w:color="auto"/>
              <w:right w:val="single" w:sz="4" w:space="0" w:color="auto"/>
            </w:tcBorders>
          </w:tcPr>
          <w:p w14:paraId="1B9411F3" w14:textId="77777777" w:rsidR="00B707B7" w:rsidRPr="001D2881" w:rsidRDefault="00B707B7" w:rsidP="00E444B1">
            <w:pPr>
              <w:pStyle w:val="TableParagraph"/>
              <w:keepNext/>
              <w:spacing w:before="3"/>
              <w:jc w:val="left"/>
              <w:rPr>
                <w:sz w:val="23"/>
              </w:rPr>
            </w:pPr>
          </w:p>
          <w:p w14:paraId="1A814596" w14:textId="77777777" w:rsidR="00B707B7" w:rsidRPr="001D2881" w:rsidRDefault="00B707B7" w:rsidP="00E444B1">
            <w:pPr>
              <w:pStyle w:val="TableParagraph"/>
              <w:keepNext/>
              <w:spacing w:before="0"/>
              <w:ind w:left="18"/>
              <w:rPr>
                <w:b/>
                <w:sz w:val="20"/>
              </w:rPr>
            </w:pPr>
            <w:r w:rsidRPr="001D2881">
              <w:rPr>
                <w:b/>
                <w:w w:val="99"/>
                <w:sz w:val="20"/>
              </w:rPr>
              <w:t>#</w:t>
            </w:r>
          </w:p>
        </w:tc>
        <w:tc>
          <w:tcPr>
            <w:tcW w:w="1397" w:type="dxa"/>
            <w:tcBorders>
              <w:top w:val="single" w:sz="4" w:space="0" w:color="auto"/>
              <w:left w:val="single" w:sz="4" w:space="0" w:color="auto"/>
              <w:bottom w:val="single" w:sz="4" w:space="0" w:color="auto"/>
              <w:right w:val="single" w:sz="4" w:space="0" w:color="auto"/>
            </w:tcBorders>
          </w:tcPr>
          <w:p w14:paraId="6C5748B5" w14:textId="77777777" w:rsidR="00B707B7" w:rsidRPr="001D2881" w:rsidRDefault="00B707B7" w:rsidP="00E444B1">
            <w:pPr>
              <w:pStyle w:val="TableParagraph"/>
              <w:keepNext/>
              <w:spacing w:before="3"/>
              <w:jc w:val="left"/>
              <w:rPr>
                <w:sz w:val="23"/>
              </w:rPr>
            </w:pPr>
          </w:p>
          <w:p w14:paraId="6B8D30F3" w14:textId="77777777" w:rsidR="00B707B7" w:rsidRPr="001D2881" w:rsidRDefault="00B707B7" w:rsidP="00E444B1">
            <w:pPr>
              <w:pStyle w:val="TableParagraph"/>
              <w:keepNext/>
              <w:spacing w:before="0"/>
              <w:ind w:left="16"/>
              <w:rPr>
                <w:b/>
                <w:sz w:val="20"/>
              </w:rPr>
            </w:pPr>
            <w:r w:rsidRPr="001D2881">
              <w:rPr>
                <w:b/>
                <w:w w:val="99"/>
                <w:sz w:val="20"/>
              </w:rPr>
              <w:t>%</w:t>
            </w:r>
          </w:p>
        </w:tc>
        <w:tc>
          <w:tcPr>
            <w:tcW w:w="1397" w:type="dxa"/>
            <w:tcBorders>
              <w:top w:val="single" w:sz="4" w:space="0" w:color="auto"/>
              <w:left w:val="single" w:sz="4" w:space="0" w:color="auto"/>
              <w:bottom w:val="single" w:sz="4" w:space="0" w:color="auto"/>
              <w:right w:val="single" w:sz="4" w:space="0" w:color="auto"/>
            </w:tcBorders>
          </w:tcPr>
          <w:p w14:paraId="229BDB62" w14:textId="77777777" w:rsidR="00B707B7" w:rsidRPr="001D2881" w:rsidRDefault="00B707B7" w:rsidP="00E444B1">
            <w:pPr>
              <w:pStyle w:val="TableParagraph"/>
              <w:keepNext/>
              <w:spacing w:before="3"/>
              <w:jc w:val="left"/>
              <w:rPr>
                <w:sz w:val="23"/>
              </w:rPr>
            </w:pPr>
          </w:p>
          <w:p w14:paraId="503BF0E1" w14:textId="77777777" w:rsidR="00B707B7" w:rsidRPr="001D2881" w:rsidRDefault="00B707B7" w:rsidP="00E444B1">
            <w:pPr>
              <w:pStyle w:val="TableParagraph"/>
              <w:keepNext/>
              <w:spacing w:before="0"/>
              <w:ind w:left="224" w:right="210"/>
              <w:rPr>
                <w:b/>
                <w:sz w:val="20"/>
              </w:rPr>
            </w:pPr>
            <w:r w:rsidRPr="001D2881">
              <w:rPr>
                <w:b/>
                <w:sz w:val="20"/>
              </w:rPr>
              <w:t>$(000s)</w:t>
            </w:r>
          </w:p>
        </w:tc>
        <w:tc>
          <w:tcPr>
            <w:tcW w:w="1397" w:type="dxa"/>
            <w:tcBorders>
              <w:top w:val="single" w:sz="4" w:space="0" w:color="auto"/>
              <w:left w:val="single" w:sz="4" w:space="0" w:color="auto"/>
              <w:bottom w:val="single" w:sz="4" w:space="0" w:color="auto"/>
              <w:right w:val="single" w:sz="4" w:space="0" w:color="auto"/>
            </w:tcBorders>
          </w:tcPr>
          <w:p w14:paraId="2694BD02" w14:textId="77777777" w:rsidR="00B707B7" w:rsidRPr="001D2881" w:rsidRDefault="00B707B7" w:rsidP="00E444B1">
            <w:pPr>
              <w:pStyle w:val="TableParagraph"/>
              <w:keepNext/>
              <w:spacing w:before="3"/>
              <w:jc w:val="left"/>
              <w:rPr>
                <w:sz w:val="23"/>
              </w:rPr>
            </w:pPr>
          </w:p>
          <w:p w14:paraId="3323C454" w14:textId="77777777" w:rsidR="00B707B7" w:rsidRPr="001D2881" w:rsidRDefault="00B707B7" w:rsidP="00E444B1">
            <w:pPr>
              <w:pStyle w:val="TableParagraph"/>
              <w:keepNext/>
              <w:spacing w:before="0"/>
              <w:ind w:left="14"/>
              <w:rPr>
                <w:b/>
                <w:sz w:val="20"/>
              </w:rPr>
            </w:pPr>
            <w:r w:rsidRPr="001D2881">
              <w:rPr>
                <w:b/>
                <w:w w:val="99"/>
                <w:sz w:val="20"/>
              </w:rPr>
              <w:t>%</w:t>
            </w:r>
          </w:p>
        </w:tc>
      </w:tr>
      <w:tr w:rsidR="00B707B7" w:rsidRPr="001D2881" w14:paraId="3978C99A" w14:textId="77777777" w:rsidTr="00E444B1">
        <w:trPr>
          <w:trHeight w:val="306"/>
          <w:jc w:val="center"/>
        </w:trPr>
        <w:tc>
          <w:tcPr>
            <w:tcW w:w="2297" w:type="dxa"/>
            <w:tcBorders>
              <w:top w:val="single" w:sz="4" w:space="0" w:color="auto"/>
              <w:left w:val="single" w:sz="4" w:space="0" w:color="auto"/>
              <w:bottom w:val="single" w:sz="4" w:space="0" w:color="auto"/>
              <w:right w:val="single" w:sz="4" w:space="0" w:color="auto"/>
            </w:tcBorders>
          </w:tcPr>
          <w:p w14:paraId="021D8720" w14:textId="77777777" w:rsidR="00B707B7" w:rsidRPr="001D2881" w:rsidRDefault="00B707B7" w:rsidP="00E444B1">
            <w:pPr>
              <w:pStyle w:val="TableParagraph"/>
              <w:keepNext/>
              <w:spacing w:before="35"/>
              <w:ind w:left="35"/>
              <w:jc w:val="left"/>
              <w:rPr>
                <w:sz w:val="20"/>
              </w:rPr>
            </w:pPr>
            <w:r w:rsidRPr="001D2881">
              <w:rPr>
                <w:sz w:val="20"/>
              </w:rPr>
              <w:t>&lt;=$1,000,000</w:t>
            </w:r>
          </w:p>
        </w:tc>
        <w:tc>
          <w:tcPr>
            <w:tcW w:w="6985" w:type="dxa"/>
            <w:gridSpan w:val="5"/>
            <w:tcBorders>
              <w:top w:val="single" w:sz="4" w:space="0" w:color="auto"/>
              <w:left w:val="single" w:sz="4" w:space="0" w:color="auto"/>
              <w:bottom w:val="single" w:sz="4" w:space="0" w:color="auto"/>
              <w:right w:val="single" w:sz="4" w:space="0" w:color="auto"/>
            </w:tcBorders>
          </w:tcPr>
          <w:p w14:paraId="41D59318" w14:textId="77777777" w:rsidR="00B707B7" w:rsidRPr="001D2881" w:rsidRDefault="00B707B7" w:rsidP="00E444B1">
            <w:pPr>
              <w:pStyle w:val="TableParagraph"/>
              <w:keepNext/>
              <w:spacing w:before="0"/>
              <w:jc w:val="left"/>
              <w:rPr>
                <w:sz w:val="18"/>
                <w:highlight w:val="yellow"/>
              </w:rPr>
            </w:pPr>
          </w:p>
        </w:tc>
      </w:tr>
      <w:tr w:rsidR="00B707B7" w:rsidRPr="001D2881" w14:paraId="3054B5EF" w14:textId="77777777" w:rsidTr="00E444B1">
        <w:trPr>
          <w:trHeight w:val="306"/>
          <w:jc w:val="center"/>
        </w:trPr>
        <w:tc>
          <w:tcPr>
            <w:tcW w:w="2297" w:type="dxa"/>
            <w:tcBorders>
              <w:top w:val="single" w:sz="4" w:space="0" w:color="auto"/>
              <w:left w:val="single" w:sz="4" w:space="0" w:color="auto"/>
              <w:bottom w:val="single" w:sz="4" w:space="0" w:color="auto"/>
              <w:right w:val="single" w:sz="4" w:space="0" w:color="auto"/>
            </w:tcBorders>
          </w:tcPr>
          <w:p w14:paraId="69DAE72B" w14:textId="77777777" w:rsidR="00B707B7" w:rsidRPr="001D2881" w:rsidRDefault="00B707B7" w:rsidP="00E444B1">
            <w:pPr>
              <w:pStyle w:val="TableParagraph"/>
              <w:keepNext/>
              <w:ind w:right="17"/>
              <w:jc w:val="right"/>
              <w:rPr>
                <w:sz w:val="20"/>
              </w:rPr>
            </w:pPr>
            <w:r w:rsidRPr="001D2881">
              <w:rPr>
                <w:sz w:val="20"/>
              </w:rPr>
              <w:t>2019</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DE34EBE" w14:textId="77777777" w:rsidR="00B707B7" w:rsidRPr="001D2881" w:rsidRDefault="00B707B7" w:rsidP="00E444B1">
            <w:pPr>
              <w:pStyle w:val="TableParagraph"/>
              <w:keepNext/>
              <w:ind w:right="522"/>
              <w:jc w:val="right"/>
              <w:rPr>
                <w:sz w:val="20"/>
                <w:szCs w:val="20"/>
              </w:rPr>
            </w:pPr>
            <w:r w:rsidRPr="001D2881">
              <w:rPr>
                <w:sz w:val="20"/>
                <w:szCs w:val="20"/>
              </w:rPr>
              <w:t>83.6</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45074A3" w14:textId="77777777" w:rsidR="00B707B7" w:rsidRPr="001D2881" w:rsidRDefault="00B707B7" w:rsidP="00E444B1">
            <w:pPr>
              <w:pStyle w:val="TableParagraph"/>
              <w:keepNext/>
              <w:ind w:left="229" w:right="210"/>
              <w:rPr>
                <w:sz w:val="20"/>
                <w:szCs w:val="20"/>
              </w:rPr>
            </w:pPr>
            <w:r w:rsidRPr="001D2881">
              <w:rPr>
                <w:sz w:val="20"/>
                <w:szCs w:val="20"/>
              </w:rPr>
              <w:t>14</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D977218" w14:textId="77777777" w:rsidR="00B707B7" w:rsidRPr="001D2881" w:rsidRDefault="00B707B7" w:rsidP="00E444B1">
            <w:pPr>
              <w:pStyle w:val="TableParagraph"/>
              <w:keepNext/>
              <w:ind w:left="254" w:right="240"/>
              <w:rPr>
                <w:sz w:val="20"/>
                <w:szCs w:val="20"/>
              </w:rPr>
            </w:pPr>
            <w:r w:rsidRPr="001D2881">
              <w:rPr>
                <w:sz w:val="20"/>
                <w:szCs w:val="20"/>
              </w:rPr>
              <w:t>53.8</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600FD9A" w14:textId="77777777" w:rsidR="00B707B7" w:rsidRPr="001D2881" w:rsidRDefault="00B707B7" w:rsidP="00E444B1">
            <w:pPr>
              <w:pStyle w:val="TableParagraph"/>
              <w:keepNext/>
              <w:ind w:left="225" w:right="210"/>
              <w:rPr>
                <w:sz w:val="20"/>
                <w:szCs w:val="20"/>
              </w:rPr>
            </w:pPr>
            <w:r w:rsidRPr="001D2881">
              <w:rPr>
                <w:sz w:val="20"/>
                <w:szCs w:val="20"/>
              </w:rPr>
              <w:t>1,800</w:t>
            </w:r>
          </w:p>
        </w:tc>
        <w:tc>
          <w:tcPr>
            <w:tcW w:w="1397" w:type="dxa"/>
            <w:tcBorders>
              <w:top w:val="single" w:sz="4" w:space="0" w:color="auto"/>
              <w:left w:val="single" w:sz="4" w:space="0" w:color="auto"/>
              <w:bottom w:val="single" w:sz="4" w:space="0" w:color="auto"/>
              <w:right w:val="single" w:sz="4" w:space="0" w:color="auto"/>
            </w:tcBorders>
          </w:tcPr>
          <w:p w14:paraId="5F0DD296" w14:textId="77777777" w:rsidR="00B707B7" w:rsidRPr="001D2881" w:rsidRDefault="00B707B7" w:rsidP="00E444B1">
            <w:pPr>
              <w:pStyle w:val="TableParagraph"/>
              <w:keepNext/>
              <w:ind w:left="253" w:right="240"/>
              <w:rPr>
                <w:sz w:val="20"/>
                <w:szCs w:val="20"/>
              </w:rPr>
            </w:pPr>
            <w:r w:rsidRPr="001D2881">
              <w:rPr>
                <w:sz w:val="20"/>
                <w:szCs w:val="20"/>
              </w:rPr>
              <w:t>41.4</w:t>
            </w:r>
          </w:p>
        </w:tc>
      </w:tr>
      <w:tr w:rsidR="00B707B7" w:rsidRPr="001D2881" w14:paraId="6E7C6B21" w14:textId="77777777" w:rsidTr="00E444B1">
        <w:trPr>
          <w:trHeight w:val="304"/>
          <w:jc w:val="center"/>
        </w:trPr>
        <w:tc>
          <w:tcPr>
            <w:tcW w:w="2297" w:type="dxa"/>
            <w:tcBorders>
              <w:top w:val="single" w:sz="4" w:space="0" w:color="auto"/>
              <w:left w:val="single" w:sz="4" w:space="0" w:color="auto"/>
              <w:bottom w:val="single" w:sz="4" w:space="0" w:color="auto"/>
              <w:right w:val="single" w:sz="4" w:space="0" w:color="auto"/>
            </w:tcBorders>
          </w:tcPr>
          <w:p w14:paraId="3CD46BD0" w14:textId="77777777" w:rsidR="00B707B7" w:rsidRPr="001D2881" w:rsidRDefault="00B707B7" w:rsidP="00E444B1">
            <w:pPr>
              <w:pStyle w:val="TableParagraph"/>
              <w:keepNext/>
              <w:ind w:left="35"/>
              <w:jc w:val="left"/>
              <w:rPr>
                <w:sz w:val="20"/>
              </w:rPr>
            </w:pPr>
            <w:r w:rsidRPr="001D2881">
              <w:rPr>
                <w:sz w:val="20"/>
              </w:rPr>
              <w:t>&gt;$1,000,000</w:t>
            </w:r>
          </w:p>
        </w:tc>
        <w:tc>
          <w:tcPr>
            <w:tcW w:w="6985" w:type="dxa"/>
            <w:gridSpan w:val="5"/>
            <w:tcBorders>
              <w:top w:val="single" w:sz="4" w:space="0" w:color="auto"/>
              <w:left w:val="single" w:sz="4" w:space="0" w:color="auto"/>
              <w:bottom w:val="single" w:sz="4" w:space="0" w:color="auto"/>
              <w:right w:val="single" w:sz="4" w:space="0" w:color="auto"/>
            </w:tcBorders>
          </w:tcPr>
          <w:p w14:paraId="3C38EA2C" w14:textId="77777777" w:rsidR="00B707B7" w:rsidRPr="001D2881" w:rsidRDefault="00B707B7" w:rsidP="00E444B1">
            <w:pPr>
              <w:pStyle w:val="TableParagraph"/>
              <w:keepNext/>
              <w:spacing w:before="0"/>
              <w:jc w:val="left"/>
              <w:rPr>
                <w:sz w:val="20"/>
                <w:szCs w:val="20"/>
              </w:rPr>
            </w:pPr>
          </w:p>
        </w:tc>
      </w:tr>
      <w:tr w:rsidR="00B707B7" w:rsidRPr="001D2881" w14:paraId="1415F573" w14:textId="77777777" w:rsidTr="00E444B1">
        <w:trPr>
          <w:trHeight w:val="304"/>
          <w:jc w:val="center"/>
        </w:trPr>
        <w:tc>
          <w:tcPr>
            <w:tcW w:w="2297" w:type="dxa"/>
            <w:tcBorders>
              <w:top w:val="single" w:sz="4" w:space="0" w:color="auto"/>
              <w:left w:val="single" w:sz="4" w:space="0" w:color="auto"/>
              <w:bottom w:val="single" w:sz="4" w:space="0" w:color="auto"/>
              <w:right w:val="single" w:sz="4" w:space="0" w:color="auto"/>
            </w:tcBorders>
          </w:tcPr>
          <w:p w14:paraId="3626C654" w14:textId="77777777" w:rsidR="00B707B7" w:rsidRPr="001D2881" w:rsidRDefault="00B707B7" w:rsidP="00E444B1">
            <w:pPr>
              <w:pStyle w:val="TableParagraph"/>
              <w:keepNext/>
              <w:ind w:right="17"/>
              <w:jc w:val="right"/>
              <w:rPr>
                <w:sz w:val="20"/>
              </w:rPr>
            </w:pPr>
            <w:r w:rsidRPr="001D2881">
              <w:rPr>
                <w:sz w:val="20"/>
              </w:rPr>
              <w:t>2019</w:t>
            </w:r>
          </w:p>
        </w:tc>
        <w:tc>
          <w:tcPr>
            <w:tcW w:w="1397" w:type="dxa"/>
            <w:tcBorders>
              <w:top w:val="single" w:sz="4" w:space="0" w:color="auto"/>
              <w:left w:val="single" w:sz="4" w:space="0" w:color="auto"/>
              <w:bottom w:val="single" w:sz="4" w:space="0" w:color="auto"/>
              <w:right w:val="single" w:sz="4" w:space="0" w:color="auto"/>
            </w:tcBorders>
          </w:tcPr>
          <w:p w14:paraId="08934961" w14:textId="77777777" w:rsidR="00B707B7" w:rsidRPr="001D2881" w:rsidRDefault="00B707B7" w:rsidP="00E444B1">
            <w:pPr>
              <w:pStyle w:val="TableParagraph"/>
              <w:keepNext/>
              <w:ind w:right="572"/>
              <w:jc w:val="right"/>
              <w:rPr>
                <w:sz w:val="20"/>
                <w:szCs w:val="20"/>
              </w:rPr>
            </w:pPr>
            <w:r w:rsidRPr="001D2881">
              <w:rPr>
                <w:sz w:val="20"/>
                <w:szCs w:val="20"/>
              </w:rPr>
              <w:t>6.4</w:t>
            </w:r>
          </w:p>
        </w:tc>
        <w:tc>
          <w:tcPr>
            <w:tcW w:w="1397" w:type="dxa"/>
            <w:tcBorders>
              <w:top w:val="single" w:sz="4" w:space="0" w:color="auto"/>
              <w:left w:val="single" w:sz="4" w:space="0" w:color="auto"/>
              <w:bottom w:val="single" w:sz="4" w:space="0" w:color="auto"/>
              <w:right w:val="single" w:sz="4" w:space="0" w:color="auto"/>
            </w:tcBorders>
          </w:tcPr>
          <w:p w14:paraId="1572BEF2" w14:textId="77777777" w:rsidR="00B707B7" w:rsidRPr="001D2881" w:rsidRDefault="00B707B7" w:rsidP="00E444B1">
            <w:pPr>
              <w:pStyle w:val="TableParagraph"/>
              <w:keepNext/>
              <w:ind w:left="229" w:right="210"/>
              <w:rPr>
                <w:sz w:val="20"/>
                <w:szCs w:val="20"/>
              </w:rPr>
            </w:pPr>
            <w:r w:rsidRPr="001D2881">
              <w:rPr>
                <w:sz w:val="20"/>
                <w:szCs w:val="20"/>
              </w:rPr>
              <w:t>12</w:t>
            </w:r>
          </w:p>
        </w:tc>
        <w:tc>
          <w:tcPr>
            <w:tcW w:w="1397" w:type="dxa"/>
            <w:tcBorders>
              <w:top w:val="single" w:sz="4" w:space="0" w:color="auto"/>
              <w:left w:val="single" w:sz="4" w:space="0" w:color="auto"/>
              <w:bottom w:val="single" w:sz="4" w:space="0" w:color="auto"/>
              <w:right w:val="single" w:sz="4" w:space="0" w:color="auto"/>
            </w:tcBorders>
          </w:tcPr>
          <w:p w14:paraId="6E13FFEF" w14:textId="77777777" w:rsidR="00B707B7" w:rsidRPr="001D2881" w:rsidRDefault="00B707B7" w:rsidP="00E444B1">
            <w:pPr>
              <w:pStyle w:val="TableParagraph"/>
              <w:keepNext/>
              <w:ind w:left="254" w:right="240"/>
              <w:rPr>
                <w:sz w:val="20"/>
                <w:szCs w:val="20"/>
              </w:rPr>
            </w:pPr>
            <w:r w:rsidRPr="001D2881">
              <w:rPr>
                <w:sz w:val="20"/>
                <w:szCs w:val="20"/>
              </w:rPr>
              <w:t>46.2</w:t>
            </w:r>
          </w:p>
        </w:tc>
        <w:tc>
          <w:tcPr>
            <w:tcW w:w="1397" w:type="dxa"/>
            <w:tcBorders>
              <w:top w:val="single" w:sz="4" w:space="0" w:color="auto"/>
              <w:left w:val="single" w:sz="4" w:space="0" w:color="auto"/>
              <w:bottom w:val="single" w:sz="4" w:space="0" w:color="auto"/>
              <w:right w:val="single" w:sz="4" w:space="0" w:color="auto"/>
            </w:tcBorders>
          </w:tcPr>
          <w:p w14:paraId="104E729B" w14:textId="77777777" w:rsidR="00B707B7" w:rsidRPr="001D2881" w:rsidRDefault="00B707B7" w:rsidP="00E444B1">
            <w:pPr>
              <w:pStyle w:val="TableParagraph"/>
              <w:keepNext/>
              <w:ind w:left="225" w:right="210"/>
              <w:rPr>
                <w:sz w:val="20"/>
                <w:szCs w:val="20"/>
              </w:rPr>
            </w:pPr>
            <w:r w:rsidRPr="001D2881">
              <w:rPr>
                <w:sz w:val="20"/>
                <w:szCs w:val="20"/>
              </w:rPr>
              <w:t>2,543</w:t>
            </w:r>
          </w:p>
        </w:tc>
        <w:tc>
          <w:tcPr>
            <w:tcW w:w="1397" w:type="dxa"/>
            <w:tcBorders>
              <w:top w:val="single" w:sz="4" w:space="0" w:color="auto"/>
              <w:left w:val="single" w:sz="4" w:space="0" w:color="auto"/>
              <w:bottom w:val="single" w:sz="4" w:space="0" w:color="auto"/>
              <w:right w:val="single" w:sz="4" w:space="0" w:color="auto"/>
            </w:tcBorders>
          </w:tcPr>
          <w:p w14:paraId="2C8F64AC" w14:textId="77777777" w:rsidR="00B707B7" w:rsidRPr="001D2881" w:rsidRDefault="00B707B7" w:rsidP="00E444B1">
            <w:pPr>
              <w:pStyle w:val="TableParagraph"/>
              <w:keepNext/>
              <w:ind w:left="253" w:right="240"/>
              <w:rPr>
                <w:sz w:val="20"/>
                <w:szCs w:val="20"/>
              </w:rPr>
            </w:pPr>
            <w:r w:rsidRPr="001D2881">
              <w:rPr>
                <w:sz w:val="20"/>
                <w:szCs w:val="20"/>
              </w:rPr>
              <w:t>58.6</w:t>
            </w:r>
          </w:p>
        </w:tc>
      </w:tr>
      <w:tr w:rsidR="00B707B7" w:rsidRPr="001D2881" w14:paraId="575D8C43" w14:textId="77777777" w:rsidTr="00E444B1">
        <w:trPr>
          <w:trHeight w:val="304"/>
          <w:jc w:val="center"/>
        </w:trPr>
        <w:tc>
          <w:tcPr>
            <w:tcW w:w="2297" w:type="dxa"/>
            <w:tcBorders>
              <w:top w:val="single" w:sz="4" w:space="0" w:color="auto"/>
              <w:left w:val="single" w:sz="4" w:space="0" w:color="auto"/>
              <w:bottom w:val="single" w:sz="4" w:space="0" w:color="auto"/>
              <w:right w:val="single" w:sz="4" w:space="0" w:color="auto"/>
            </w:tcBorders>
          </w:tcPr>
          <w:p w14:paraId="297603E3" w14:textId="77777777" w:rsidR="00B707B7" w:rsidRPr="001D2881" w:rsidRDefault="00B707B7" w:rsidP="00E444B1">
            <w:pPr>
              <w:pStyle w:val="TableParagraph"/>
              <w:keepNext/>
              <w:ind w:left="35"/>
              <w:jc w:val="left"/>
              <w:rPr>
                <w:sz w:val="20"/>
              </w:rPr>
            </w:pPr>
            <w:r w:rsidRPr="001D2881">
              <w:rPr>
                <w:sz w:val="20"/>
              </w:rPr>
              <w:t>Revenue Not Available</w:t>
            </w:r>
          </w:p>
        </w:tc>
        <w:tc>
          <w:tcPr>
            <w:tcW w:w="6985" w:type="dxa"/>
            <w:gridSpan w:val="5"/>
            <w:tcBorders>
              <w:top w:val="single" w:sz="4" w:space="0" w:color="auto"/>
              <w:left w:val="single" w:sz="4" w:space="0" w:color="auto"/>
              <w:bottom w:val="single" w:sz="4" w:space="0" w:color="auto"/>
              <w:right w:val="single" w:sz="4" w:space="0" w:color="auto"/>
            </w:tcBorders>
          </w:tcPr>
          <w:p w14:paraId="2F7FDD67" w14:textId="77777777" w:rsidR="00B707B7" w:rsidRPr="001D2881" w:rsidRDefault="00B707B7" w:rsidP="00E444B1">
            <w:pPr>
              <w:pStyle w:val="TableParagraph"/>
              <w:keepNext/>
              <w:spacing w:before="0"/>
              <w:jc w:val="left"/>
              <w:rPr>
                <w:sz w:val="20"/>
                <w:szCs w:val="20"/>
              </w:rPr>
            </w:pPr>
          </w:p>
        </w:tc>
      </w:tr>
      <w:tr w:rsidR="00B707B7" w:rsidRPr="001D2881" w14:paraId="22D980FA" w14:textId="77777777" w:rsidTr="00E444B1">
        <w:trPr>
          <w:trHeight w:val="303"/>
          <w:jc w:val="center"/>
        </w:trPr>
        <w:tc>
          <w:tcPr>
            <w:tcW w:w="2297" w:type="dxa"/>
            <w:tcBorders>
              <w:top w:val="single" w:sz="4" w:space="0" w:color="auto"/>
              <w:left w:val="single" w:sz="4" w:space="0" w:color="auto"/>
              <w:bottom w:val="single" w:sz="4" w:space="0" w:color="auto"/>
              <w:right w:val="single" w:sz="4" w:space="0" w:color="auto"/>
            </w:tcBorders>
          </w:tcPr>
          <w:p w14:paraId="3ADAC9FF" w14:textId="77777777" w:rsidR="00B707B7" w:rsidRPr="001D2881" w:rsidRDefault="00B707B7" w:rsidP="00E444B1">
            <w:pPr>
              <w:pStyle w:val="TableParagraph"/>
              <w:keepNext/>
              <w:ind w:right="17"/>
              <w:jc w:val="right"/>
              <w:rPr>
                <w:sz w:val="20"/>
              </w:rPr>
            </w:pPr>
            <w:r w:rsidRPr="001D2881">
              <w:rPr>
                <w:sz w:val="20"/>
              </w:rPr>
              <w:t>2019</w:t>
            </w:r>
          </w:p>
        </w:tc>
        <w:tc>
          <w:tcPr>
            <w:tcW w:w="1397" w:type="dxa"/>
            <w:tcBorders>
              <w:top w:val="single" w:sz="4" w:space="0" w:color="auto"/>
              <w:left w:val="single" w:sz="4" w:space="0" w:color="auto"/>
              <w:bottom w:val="single" w:sz="4" w:space="0" w:color="auto"/>
              <w:right w:val="single" w:sz="4" w:space="0" w:color="auto"/>
            </w:tcBorders>
          </w:tcPr>
          <w:p w14:paraId="76840570" w14:textId="77777777" w:rsidR="00B707B7" w:rsidRPr="001D2881" w:rsidRDefault="00B707B7" w:rsidP="00E444B1">
            <w:pPr>
              <w:pStyle w:val="TableParagraph"/>
              <w:keepNext/>
              <w:ind w:right="572"/>
              <w:jc w:val="right"/>
              <w:rPr>
                <w:sz w:val="20"/>
                <w:szCs w:val="20"/>
              </w:rPr>
            </w:pPr>
            <w:r w:rsidRPr="001D2881">
              <w:rPr>
                <w:sz w:val="20"/>
                <w:szCs w:val="20"/>
              </w:rPr>
              <w:t>10.0</w:t>
            </w:r>
          </w:p>
        </w:tc>
        <w:tc>
          <w:tcPr>
            <w:tcW w:w="1397" w:type="dxa"/>
            <w:tcBorders>
              <w:top w:val="single" w:sz="4" w:space="0" w:color="auto"/>
              <w:left w:val="single" w:sz="4" w:space="0" w:color="auto"/>
              <w:bottom w:val="single" w:sz="4" w:space="0" w:color="auto"/>
              <w:right w:val="single" w:sz="4" w:space="0" w:color="auto"/>
            </w:tcBorders>
          </w:tcPr>
          <w:p w14:paraId="41D196AB" w14:textId="77777777" w:rsidR="00B707B7" w:rsidRPr="001D2881" w:rsidRDefault="00B707B7" w:rsidP="00E444B1">
            <w:pPr>
              <w:pStyle w:val="TableParagraph"/>
              <w:keepNext/>
              <w:ind w:left="18"/>
              <w:rPr>
                <w:sz w:val="20"/>
                <w:szCs w:val="20"/>
              </w:rPr>
            </w:pPr>
            <w:r w:rsidRPr="001D2881">
              <w:rPr>
                <w:sz w:val="20"/>
                <w:szCs w:val="20"/>
              </w:rPr>
              <w:t>0</w:t>
            </w:r>
          </w:p>
        </w:tc>
        <w:tc>
          <w:tcPr>
            <w:tcW w:w="1397" w:type="dxa"/>
            <w:tcBorders>
              <w:top w:val="single" w:sz="4" w:space="0" w:color="auto"/>
              <w:left w:val="single" w:sz="4" w:space="0" w:color="auto"/>
              <w:bottom w:val="single" w:sz="4" w:space="0" w:color="auto"/>
              <w:right w:val="single" w:sz="4" w:space="0" w:color="auto"/>
            </w:tcBorders>
          </w:tcPr>
          <w:p w14:paraId="208DF710" w14:textId="77777777" w:rsidR="00B707B7" w:rsidRPr="001D2881" w:rsidRDefault="00B707B7" w:rsidP="00E444B1">
            <w:pPr>
              <w:pStyle w:val="TableParagraph"/>
              <w:keepNext/>
              <w:ind w:left="254" w:right="239"/>
              <w:rPr>
                <w:sz w:val="20"/>
                <w:szCs w:val="20"/>
              </w:rPr>
            </w:pPr>
            <w:r w:rsidRPr="001D2881">
              <w:rPr>
                <w:sz w:val="20"/>
                <w:szCs w:val="20"/>
              </w:rPr>
              <w:t>0.0</w:t>
            </w:r>
          </w:p>
        </w:tc>
        <w:tc>
          <w:tcPr>
            <w:tcW w:w="1397" w:type="dxa"/>
            <w:tcBorders>
              <w:top w:val="single" w:sz="4" w:space="0" w:color="auto"/>
              <w:left w:val="single" w:sz="4" w:space="0" w:color="auto"/>
              <w:bottom w:val="single" w:sz="4" w:space="0" w:color="auto"/>
              <w:right w:val="single" w:sz="4" w:space="0" w:color="auto"/>
            </w:tcBorders>
          </w:tcPr>
          <w:p w14:paraId="014BEB98" w14:textId="77777777" w:rsidR="00B707B7" w:rsidRPr="001D2881" w:rsidRDefault="00B707B7" w:rsidP="00E444B1">
            <w:pPr>
              <w:pStyle w:val="TableParagraph"/>
              <w:keepNext/>
              <w:ind w:left="227" w:right="210"/>
              <w:rPr>
                <w:sz w:val="20"/>
                <w:szCs w:val="20"/>
              </w:rPr>
            </w:pPr>
            <w:r w:rsidRPr="001D2881">
              <w:rPr>
                <w:sz w:val="20"/>
                <w:szCs w:val="20"/>
              </w:rPr>
              <w:t>0</w:t>
            </w:r>
          </w:p>
        </w:tc>
        <w:tc>
          <w:tcPr>
            <w:tcW w:w="1397" w:type="dxa"/>
            <w:tcBorders>
              <w:top w:val="single" w:sz="4" w:space="0" w:color="auto"/>
              <w:left w:val="single" w:sz="4" w:space="0" w:color="auto"/>
              <w:bottom w:val="single" w:sz="4" w:space="0" w:color="auto"/>
              <w:right w:val="single" w:sz="4" w:space="0" w:color="auto"/>
            </w:tcBorders>
          </w:tcPr>
          <w:p w14:paraId="5899E455" w14:textId="77777777" w:rsidR="00B707B7" w:rsidRPr="001D2881" w:rsidRDefault="00B707B7" w:rsidP="00E444B1">
            <w:pPr>
              <w:pStyle w:val="TableParagraph"/>
              <w:keepNext/>
              <w:ind w:left="253" w:right="240"/>
              <w:rPr>
                <w:sz w:val="20"/>
                <w:szCs w:val="20"/>
              </w:rPr>
            </w:pPr>
            <w:r w:rsidRPr="001D2881">
              <w:rPr>
                <w:sz w:val="20"/>
                <w:szCs w:val="20"/>
              </w:rPr>
              <w:t>0.0</w:t>
            </w:r>
          </w:p>
        </w:tc>
      </w:tr>
      <w:tr w:rsidR="00B707B7" w:rsidRPr="001D2881" w14:paraId="311266B0" w14:textId="77777777" w:rsidTr="00E444B1">
        <w:trPr>
          <w:trHeight w:val="306"/>
          <w:jc w:val="center"/>
        </w:trPr>
        <w:tc>
          <w:tcPr>
            <w:tcW w:w="2297" w:type="dxa"/>
            <w:tcBorders>
              <w:top w:val="single" w:sz="4" w:space="0" w:color="auto"/>
              <w:left w:val="single" w:sz="4" w:space="0" w:color="auto"/>
              <w:bottom w:val="single" w:sz="4" w:space="0" w:color="auto"/>
              <w:right w:val="single" w:sz="4" w:space="0" w:color="auto"/>
            </w:tcBorders>
          </w:tcPr>
          <w:p w14:paraId="0D35AB93" w14:textId="77777777" w:rsidR="00B707B7" w:rsidRPr="001D2881" w:rsidRDefault="00B707B7" w:rsidP="00E444B1">
            <w:pPr>
              <w:pStyle w:val="TableParagraph"/>
              <w:keepNext/>
              <w:spacing w:before="37"/>
              <w:ind w:left="35"/>
              <w:jc w:val="left"/>
              <w:rPr>
                <w:b/>
                <w:sz w:val="20"/>
              </w:rPr>
            </w:pPr>
            <w:r w:rsidRPr="001D2881">
              <w:rPr>
                <w:b/>
                <w:sz w:val="20"/>
              </w:rPr>
              <w:t>Totals</w:t>
            </w:r>
          </w:p>
        </w:tc>
        <w:tc>
          <w:tcPr>
            <w:tcW w:w="6985" w:type="dxa"/>
            <w:gridSpan w:val="5"/>
            <w:tcBorders>
              <w:top w:val="single" w:sz="4" w:space="0" w:color="auto"/>
              <w:left w:val="single" w:sz="4" w:space="0" w:color="auto"/>
              <w:bottom w:val="single" w:sz="4" w:space="0" w:color="auto"/>
              <w:right w:val="single" w:sz="4" w:space="0" w:color="auto"/>
            </w:tcBorders>
          </w:tcPr>
          <w:p w14:paraId="5F03D515" w14:textId="77777777" w:rsidR="00B707B7" w:rsidRPr="001D2881" w:rsidRDefault="00B707B7" w:rsidP="00E444B1">
            <w:pPr>
              <w:pStyle w:val="TableParagraph"/>
              <w:keepNext/>
              <w:spacing w:before="0"/>
              <w:jc w:val="left"/>
              <w:rPr>
                <w:sz w:val="20"/>
                <w:szCs w:val="20"/>
              </w:rPr>
            </w:pPr>
          </w:p>
        </w:tc>
      </w:tr>
      <w:tr w:rsidR="00B707B7" w:rsidRPr="001D2881" w14:paraId="3E617924" w14:textId="77777777" w:rsidTr="00E444B1">
        <w:trPr>
          <w:trHeight w:val="304"/>
          <w:jc w:val="center"/>
        </w:trPr>
        <w:tc>
          <w:tcPr>
            <w:tcW w:w="2297" w:type="dxa"/>
            <w:tcBorders>
              <w:top w:val="single" w:sz="4" w:space="0" w:color="auto"/>
              <w:left w:val="single" w:sz="4" w:space="0" w:color="auto"/>
              <w:bottom w:val="single" w:sz="4" w:space="0" w:color="auto"/>
              <w:right w:val="single" w:sz="4" w:space="0" w:color="auto"/>
            </w:tcBorders>
          </w:tcPr>
          <w:p w14:paraId="29FA4289" w14:textId="77777777" w:rsidR="00B707B7" w:rsidRPr="001D2881" w:rsidRDefault="00B707B7" w:rsidP="00E444B1">
            <w:pPr>
              <w:pStyle w:val="TableParagraph"/>
              <w:keepNext/>
              <w:spacing w:before="37"/>
              <w:ind w:right="17"/>
              <w:jc w:val="right"/>
              <w:rPr>
                <w:b/>
                <w:sz w:val="20"/>
              </w:rPr>
            </w:pPr>
            <w:r w:rsidRPr="001D2881">
              <w:rPr>
                <w:b/>
                <w:sz w:val="20"/>
              </w:rPr>
              <w:t>2019</w:t>
            </w:r>
          </w:p>
        </w:tc>
        <w:tc>
          <w:tcPr>
            <w:tcW w:w="1397" w:type="dxa"/>
            <w:tcBorders>
              <w:top w:val="single" w:sz="4" w:space="0" w:color="auto"/>
              <w:left w:val="single" w:sz="4" w:space="0" w:color="auto"/>
              <w:bottom w:val="single" w:sz="4" w:space="0" w:color="auto"/>
              <w:right w:val="single" w:sz="4" w:space="0" w:color="auto"/>
            </w:tcBorders>
          </w:tcPr>
          <w:p w14:paraId="00D73806" w14:textId="77777777" w:rsidR="00B707B7" w:rsidRPr="001D2881" w:rsidRDefault="00B707B7" w:rsidP="00E444B1">
            <w:pPr>
              <w:pStyle w:val="TableParagraph"/>
              <w:keepNext/>
              <w:spacing w:before="37"/>
              <w:ind w:right="472"/>
              <w:jc w:val="right"/>
              <w:rPr>
                <w:b/>
                <w:sz w:val="20"/>
                <w:szCs w:val="20"/>
              </w:rPr>
            </w:pPr>
            <w:r w:rsidRPr="001D2881">
              <w:rPr>
                <w:b/>
                <w:sz w:val="20"/>
                <w:szCs w:val="20"/>
              </w:rPr>
              <w:t>100.0</w:t>
            </w:r>
          </w:p>
        </w:tc>
        <w:tc>
          <w:tcPr>
            <w:tcW w:w="1397" w:type="dxa"/>
            <w:tcBorders>
              <w:top w:val="single" w:sz="4" w:space="0" w:color="auto"/>
              <w:left w:val="single" w:sz="4" w:space="0" w:color="auto"/>
              <w:bottom w:val="single" w:sz="4" w:space="0" w:color="auto"/>
              <w:right w:val="single" w:sz="4" w:space="0" w:color="auto"/>
            </w:tcBorders>
          </w:tcPr>
          <w:p w14:paraId="5B8CDEC6" w14:textId="77777777" w:rsidR="00B707B7" w:rsidRPr="001D2881" w:rsidRDefault="00B707B7" w:rsidP="00E444B1">
            <w:pPr>
              <w:pStyle w:val="TableParagraph"/>
              <w:keepNext/>
              <w:spacing w:before="37"/>
              <w:ind w:left="229" w:right="210"/>
              <w:rPr>
                <w:sz w:val="20"/>
                <w:szCs w:val="20"/>
              </w:rPr>
            </w:pPr>
            <w:r w:rsidRPr="001D2881">
              <w:rPr>
                <w:b/>
                <w:sz w:val="20"/>
                <w:szCs w:val="20"/>
              </w:rPr>
              <w:t>26</w:t>
            </w:r>
          </w:p>
        </w:tc>
        <w:tc>
          <w:tcPr>
            <w:tcW w:w="1397" w:type="dxa"/>
            <w:tcBorders>
              <w:top w:val="single" w:sz="4" w:space="0" w:color="auto"/>
              <w:left w:val="single" w:sz="4" w:space="0" w:color="auto"/>
              <w:bottom w:val="single" w:sz="4" w:space="0" w:color="auto"/>
              <w:right w:val="single" w:sz="4" w:space="0" w:color="auto"/>
            </w:tcBorders>
          </w:tcPr>
          <w:p w14:paraId="464B2C4B" w14:textId="77777777" w:rsidR="00B707B7" w:rsidRPr="001D2881" w:rsidRDefault="00B707B7" w:rsidP="00E444B1">
            <w:pPr>
              <w:pStyle w:val="TableParagraph"/>
              <w:keepNext/>
              <w:spacing w:before="37"/>
              <w:ind w:left="254" w:right="240"/>
              <w:rPr>
                <w:b/>
                <w:sz w:val="20"/>
                <w:szCs w:val="20"/>
              </w:rPr>
            </w:pPr>
            <w:r w:rsidRPr="001D2881">
              <w:rPr>
                <w:b/>
                <w:sz w:val="20"/>
                <w:szCs w:val="20"/>
              </w:rPr>
              <w:t>100.0</w:t>
            </w:r>
          </w:p>
        </w:tc>
        <w:tc>
          <w:tcPr>
            <w:tcW w:w="1397" w:type="dxa"/>
            <w:tcBorders>
              <w:top w:val="single" w:sz="4" w:space="0" w:color="auto"/>
              <w:left w:val="single" w:sz="4" w:space="0" w:color="auto"/>
              <w:bottom w:val="single" w:sz="4" w:space="0" w:color="auto"/>
              <w:right w:val="single" w:sz="4" w:space="0" w:color="auto"/>
            </w:tcBorders>
          </w:tcPr>
          <w:p w14:paraId="4CEF20CC" w14:textId="77777777" w:rsidR="00B707B7" w:rsidRPr="001D2881" w:rsidRDefault="00B707B7" w:rsidP="00E444B1">
            <w:pPr>
              <w:pStyle w:val="TableParagraph"/>
              <w:keepNext/>
              <w:spacing w:before="37"/>
              <w:ind w:left="226" w:right="210"/>
              <w:rPr>
                <w:b/>
                <w:sz w:val="20"/>
                <w:szCs w:val="20"/>
              </w:rPr>
            </w:pPr>
            <w:r w:rsidRPr="001D2881">
              <w:rPr>
                <w:b/>
                <w:sz w:val="20"/>
                <w:szCs w:val="20"/>
              </w:rPr>
              <w:t>4,343</w:t>
            </w:r>
          </w:p>
        </w:tc>
        <w:tc>
          <w:tcPr>
            <w:tcW w:w="1397" w:type="dxa"/>
            <w:tcBorders>
              <w:top w:val="single" w:sz="4" w:space="0" w:color="auto"/>
              <w:left w:val="single" w:sz="4" w:space="0" w:color="auto"/>
              <w:bottom w:val="single" w:sz="4" w:space="0" w:color="auto"/>
              <w:right w:val="single" w:sz="4" w:space="0" w:color="auto"/>
            </w:tcBorders>
          </w:tcPr>
          <w:p w14:paraId="0CCA0D00" w14:textId="77777777" w:rsidR="00B707B7" w:rsidRPr="001D2881" w:rsidRDefault="00B707B7" w:rsidP="00E444B1">
            <w:pPr>
              <w:pStyle w:val="TableParagraph"/>
              <w:keepNext/>
              <w:spacing w:before="37"/>
              <w:ind w:left="253" w:right="240"/>
              <w:rPr>
                <w:b/>
                <w:sz w:val="20"/>
                <w:szCs w:val="20"/>
              </w:rPr>
            </w:pPr>
            <w:r w:rsidRPr="001D2881">
              <w:rPr>
                <w:b/>
                <w:sz w:val="20"/>
                <w:szCs w:val="20"/>
              </w:rPr>
              <w:t>100.0</w:t>
            </w:r>
          </w:p>
        </w:tc>
      </w:tr>
      <w:tr w:rsidR="00B707B7" w:rsidRPr="001D2881" w14:paraId="5AEAB22F" w14:textId="77777777" w:rsidTr="00E444B1">
        <w:trPr>
          <w:trHeight w:val="48"/>
          <w:jc w:val="center"/>
        </w:trPr>
        <w:tc>
          <w:tcPr>
            <w:tcW w:w="9282" w:type="dxa"/>
            <w:gridSpan w:val="6"/>
            <w:tcBorders>
              <w:top w:val="single" w:sz="4" w:space="0" w:color="auto"/>
              <w:left w:val="single" w:sz="4" w:space="0" w:color="auto"/>
              <w:bottom w:val="single" w:sz="4" w:space="0" w:color="auto"/>
              <w:right w:val="single" w:sz="4" w:space="0" w:color="auto"/>
            </w:tcBorders>
          </w:tcPr>
          <w:p w14:paraId="3C712023" w14:textId="77777777" w:rsidR="00B707B7" w:rsidRPr="001D2881" w:rsidRDefault="00B707B7" w:rsidP="00E444B1">
            <w:pPr>
              <w:pStyle w:val="TableParagraph"/>
              <w:keepNext/>
              <w:spacing w:before="55"/>
              <w:ind w:left="35" w:right="1636"/>
              <w:jc w:val="left"/>
              <w:rPr>
                <w:i/>
                <w:sz w:val="16"/>
              </w:rPr>
            </w:pPr>
            <w:r w:rsidRPr="001D2881">
              <w:rPr>
                <w:i/>
                <w:sz w:val="16"/>
              </w:rPr>
              <w:t>Source: 2019 D&amp;B Data; Bank Data;, Due to rounding, totals may not equal 100.0</w:t>
            </w:r>
            <w:r>
              <w:rPr>
                <w:i/>
                <w:sz w:val="16"/>
              </w:rPr>
              <w:t>%</w:t>
            </w:r>
          </w:p>
        </w:tc>
      </w:tr>
    </w:tbl>
    <w:p w14:paraId="2F4CF684" w14:textId="77777777" w:rsidR="00BA264F" w:rsidRDefault="00BA264F" w:rsidP="00B707B7">
      <w:pPr>
        <w:pStyle w:val="QuickFormat1"/>
        <w:jc w:val="left"/>
        <w:rPr>
          <w:color w:val="auto"/>
          <w:sz w:val="24"/>
          <w:szCs w:val="24"/>
          <w:u w:val="single"/>
          <w:lang w:val="en-US"/>
        </w:rPr>
      </w:pPr>
    </w:p>
    <w:p w14:paraId="78C29C3F" w14:textId="2E16532E" w:rsidR="00B707B7" w:rsidRPr="00BA264F" w:rsidRDefault="00BA264F" w:rsidP="00B707B7">
      <w:pPr>
        <w:pStyle w:val="QuickFormat1"/>
        <w:jc w:val="left"/>
        <w:rPr>
          <w:b w:val="0"/>
          <w:color w:val="auto"/>
          <w:sz w:val="24"/>
          <w:szCs w:val="24"/>
          <w:lang w:val="en-US"/>
        </w:rPr>
      </w:pPr>
      <w:r>
        <w:rPr>
          <w:b w:val="0"/>
          <w:color w:val="auto"/>
          <w:sz w:val="24"/>
          <w:szCs w:val="24"/>
          <w:lang w:val="en-US"/>
        </w:rPr>
        <w:t>In 2019, t</w:t>
      </w:r>
      <w:r w:rsidRPr="00BA264F">
        <w:rPr>
          <w:b w:val="0"/>
          <w:color w:val="auto"/>
          <w:sz w:val="24"/>
          <w:szCs w:val="24"/>
          <w:lang w:val="en-US"/>
        </w:rPr>
        <w:t xml:space="preserve">he bank made </w:t>
      </w:r>
      <w:r>
        <w:rPr>
          <w:b w:val="0"/>
          <w:color w:val="auto"/>
          <w:sz w:val="24"/>
          <w:szCs w:val="24"/>
          <w:lang w:val="en-US"/>
        </w:rPr>
        <w:t>more than</w:t>
      </w:r>
      <w:r w:rsidRPr="00BA264F">
        <w:rPr>
          <w:b w:val="0"/>
          <w:color w:val="auto"/>
          <w:sz w:val="24"/>
          <w:szCs w:val="24"/>
          <w:lang w:val="en-US"/>
        </w:rPr>
        <w:t xml:space="preserve"> half</w:t>
      </w:r>
      <w:r>
        <w:rPr>
          <w:b w:val="0"/>
          <w:color w:val="auto"/>
          <w:sz w:val="24"/>
          <w:szCs w:val="24"/>
          <w:lang w:val="en-US"/>
        </w:rPr>
        <w:t xml:space="preserve"> of</w:t>
      </w:r>
      <w:r w:rsidRPr="00BA264F">
        <w:rPr>
          <w:b w:val="0"/>
          <w:color w:val="auto"/>
          <w:sz w:val="24"/>
          <w:szCs w:val="24"/>
          <w:lang w:val="en-US"/>
        </w:rPr>
        <w:t xml:space="preserve"> its small business loans to businesses with GARs of $1 million or less.  </w:t>
      </w:r>
      <w:r>
        <w:rPr>
          <w:b w:val="0"/>
          <w:color w:val="auto"/>
          <w:sz w:val="24"/>
          <w:szCs w:val="24"/>
          <w:lang w:val="en-US"/>
        </w:rPr>
        <w:t xml:space="preserve">While the bank’s lending performance compares unfavorably to the percentage of businesses with GARs of $1 million or less in the assessment area, the number of businesses with GARs of $1 million or less is not a true measure for demand.  Furthermore, the bank faces competition from larger institutions in its assessment area to originate small business loans.  Given these factors, the bank’s lending performance is reasonable.   </w:t>
      </w:r>
    </w:p>
    <w:p w14:paraId="29A52524" w14:textId="77777777" w:rsidR="00B707B7" w:rsidRPr="001D2881" w:rsidRDefault="00B707B7" w:rsidP="00B707B7">
      <w:pPr>
        <w:rPr>
          <w:iCs/>
        </w:rPr>
      </w:pPr>
    </w:p>
    <w:p w14:paraId="3F8E9A43" w14:textId="77777777" w:rsidR="00B707B7" w:rsidRPr="001D2881" w:rsidRDefault="00B707B7" w:rsidP="00B707B7">
      <w:pPr>
        <w:pStyle w:val="QuickFormat1"/>
        <w:jc w:val="left"/>
        <w:rPr>
          <w:color w:val="auto"/>
          <w:sz w:val="24"/>
          <w:szCs w:val="24"/>
          <w:u w:val="single"/>
        </w:rPr>
      </w:pPr>
      <w:r w:rsidRPr="001D2881">
        <w:rPr>
          <w:color w:val="auto"/>
          <w:sz w:val="24"/>
          <w:szCs w:val="24"/>
          <w:u w:val="single"/>
        </w:rPr>
        <w:t>Response to Complaints</w:t>
      </w:r>
    </w:p>
    <w:p w14:paraId="5CC0E16B" w14:textId="77777777" w:rsidR="00B707B7" w:rsidRPr="001D2881" w:rsidRDefault="00B707B7" w:rsidP="00B707B7"/>
    <w:p w14:paraId="6E94A0FB" w14:textId="77777777" w:rsidR="00B707B7" w:rsidRPr="001D2881" w:rsidRDefault="00B707B7" w:rsidP="00B707B7">
      <w:r w:rsidRPr="001D2881">
        <w:t>The bank did not receive any CRA-related complaints since the previous evaluation; therefore, this criterion did not affect the Lending Test rating.</w:t>
      </w:r>
    </w:p>
    <w:p w14:paraId="56F0B897" w14:textId="77777777" w:rsidR="00B707B7" w:rsidRDefault="00B707B7" w:rsidP="00B707B7">
      <w:pPr>
        <w:rPr>
          <w:iCs/>
        </w:rPr>
      </w:pPr>
    </w:p>
    <w:p w14:paraId="6BE658FC" w14:textId="77777777" w:rsidR="00B707B7" w:rsidRDefault="00B707B7" w:rsidP="00B707B7">
      <w:pPr>
        <w:rPr>
          <w:iCs/>
        </w:rPr>
      </w:pPr>
    </w:p>
    <w:p w14:paraId="7EF0BD78" w14:textId="77777777" w:rsidR="00B707B7" w:rsidRDefault="00B707B7" w:rsidP="00B707B7">
      <w:pPr>
        <w:rPr>
          <w:iCs/>
        </w:rPr>
      </w:pPr>
    </w:p>
    <w:p w14:paraId="74A1A398" w14:textId="77777777" w:rsidR="00B707B7" w:rsidRDefault="00B707B7" w:rsidP="00B707B7">
      <w:pPr>
        <w:rPr>
          <w:iCs/>
        </w:rPr>
      </w:pPr>
    </w:p>
    <w:p w14:paraId="780DF9EC" w14:textId="77777777" w:rsidR="00B707B7" w:rsidRDefault="00B707B7" w:rsidP="00B707B7">
      <w:pPr>
        <w:rPr>
          <w:iCs/>
        </w:rPr>
      </w:pPr>
    </w:p>
    <w:p w14:paraId="4B39CEBE" w14:textId="77777777" w:rsidR="00B707B7" w:rsidRPr="001D2881" w:rsidRDefault="00B707B7" w:rsidP="00B707B7">
      <w:pPr>
        <w:rPr>
          <w:iCs/>
        </w:rPr>
      </w:pPr>
    </w:p>
    <w:p w14:paraId="03BD1A2E" w14:textId="77777777" w:rsidR="00B707B7" w:rsidRDefault="00B707B7" w:rsidP="00B707B7">
      <w:pPr>
        <w:rPr>
          <w:b/>
          <w:iCs/>
        </w:rPr>
      </w:pPr>
      <w:r>
        <w:rPr>
          <w:b/>
          <w:iCs/>
        </w:rPr>
        <w:br w:type="page"/>
      </w:r>
    </w:p>
    <w:p w14:paraId="08A2114F" w14:textId="77777777" w:rsidR="00B707B7" w:rsidRPr="001D2881" w:rsidRDefault="00B707B7" w:rsidP="00B707B7">
      <w:pPr>
        <w:rPr>
          <w:b/>
          <w:iCs/>
        </w:rPr>
      </w:pPr>
      <w:r w:rsidRPr="001D2881">
        <w:rPr>
          <w:b/>
          <w:iCs/>
        </w:rPr>
        <w:lastRenderedPageBreak/>
        <w:t>COMMUNITY DEVELOPMENT TEST</w:t>
      </w:r>
    </w:p>
    <w:p w14:paraId="4C7EB8D3" w14:textId="77777777" w:rsidR="00B707B7" w:rsidRPr="001D2881" w:rsidRDefault="00B707B7" w:rsidP="00B707B7"/>
    <w:p w14:paraId="3485482D" w14:textId="77777777" w:rsidR="00B707B7" w:rsidRPr="001D2881" w:rsidRDefault="00B707B7" w:rsidP="00B707B7">
      <w:r w:rsidRPr="001D2881">
        <w:t>The bank’s community development performance demonstrates adequate responsiveness to community development needs in its assessment area through community development loans, qualified investments, and community development services, as appropriate, considering the bank’s capacity and the need and availability of such opportunities for community development in the bank’s assessment area.</w:t>
      </w:r>
    </w:p>
    <w:p w14:paraId="782EB1CC" w14:textId="77777777" w:rsidR="00B707B7" w:rsidRPr="001D2881" w:rsidRDefault="00B707B7" w:rsidP="00B707B7"/>
    <w:p w14:paraId="3267DBF1" w14:textId="77777777" w:rsidR="00B707B7" w:rsidRPr="001D2881" w:rsidRDefault="00B707B7" w:rsidP="00B707B7">
      <w:pPr>
        <w:rPr>
          <w:b/>
          <w:iCs/>
          <w:u w:val="single"/>
        </w:rPr>
      </w:pPr>
      <w:r w:rsidRPr="001D2881">
        <w:rPr>
          <w:b/>
          <w:iCs/>
          <w:u w:val="single"/>
        </w:rPr>
        <w:t>Community Development Loans</w:t>
      </w:r>
    </w:p>
    <w:p w14:paraId="556D77B4" w14:textId="77777777" w:rsidR="00B707B7" w:rsidRPr="001D2881" w:rsidRDefault="00B707B7" w:rsidP="00B707B7">
      <w:pPr>
        <w:rPr>
          <w:iCs/>
        </w:rPr>
      </w:pPr>
      <w:r w:rsidRPr="001D2881">
        <w:rPr>
          <w:iCs/>
        </w:rPr>
        <w:t xml:space="preserve"> </w:t>
      </w:r>
    </w:p>
    <w:p w14:paraId="63961559" w14:textId="46DFF11E" w:rsidR="00B707B7" w:rsidRPr="001D2881" w:rsidRDefault="00B707B7" w:rsidP="00B707B7">
      <w:pPr>
        <w:rPr>
          <w:bCs/>
        </w:rPr>
      </w:pPr>
      <w:r>
        <w:t>T</w:t>
      </w:r>
      <w:r w:rsidRPr="001D2881">
        <w:rPr>
          <w:bCs/>
        </w:rPr>
        <w:t xml:space="preserve">he bank originated six community development loans totaling </w:t>
      </w:r>
      <w:r w:rsidR="00D066B4">
        <w:rPr>
          <w:bCs/>
        </w:rPr>
        <w:t xml:space="preserve">approximately </w:t>
      </w:r>
      <w:r w:rsidRPr="001D2881">
        <w:rPr>
          <w:bCs/>
        </w:rPr>
        <w:t>$2.8 million during the evaluation period.  Th</w:t>
      </w:r>
      <w:r>
        <w:rPr>
          <w:bCs/>
        </w:rPr>
        <w:t>is activity level represents 0.3</w:t>
      </w:r>
      <w:r w:rsidRPr="001D2881">
        <w:rPr>
          <w:bCs/>
        </w:rPr>
        <w:t xml:space="preserve"> percent of average total assets and 0.5 percent of average total loans since the prior CRA evaluation, which is similar to the previous evaluation.  </w:t>
      </w:r>
      <w:r>
        <w:rPr>
          <w:bCs/>
        </w:rPr>
        <w:t xml:space="preserve">These efforts are responsive to the community development needs of the assessment area.  </w:t>
      </w:r>
      <w:r w:rsidRPr="001D2881">
        <w:rPr>
          <w:bCs/>
        </w:rPr>
        <w:t xml:space="preserve">The following table illustrates the bank’s community development loans by </w:t>
      </w:r>
      <w:r w:rsidR="001324B7">
        <w:rPr>
          <w:bCs/>
        </w:rPr>
        <w:t xml:space="preserve">purpose and </w:t>
      </w:r>
      <w:r w:rsidRPr="001D2881">
        <w:rPr>
          <w:bCs/>
        </w:rPr>
        <w:t xml:space="preserve">year. </w:t>
      </w:r>
    </w:p>
    <w:p w14:paraId="0FBDD2D3" w14:textId="77777777" w:rsidR="00B707B7" w:rsidRPr="001D2881" w:rsidRDefault="00B707B7" w:rsidP="00B707B7">
      <w:pPr>
        <w:rPr>
          <w:bCs/>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700"/>
        <w:gridCol w:w="894"/>
        <w:gridCol w:w="616"/>
        <w:gridCol w:w="914"/>
        <w:gridCol w:w="616"/>
        <w:gridCol w:w="914"/>
        <w:gridCol w:w="671"/>
        <w:gridCol w:w="949"/>
        <w:gridCol w:w="659"/>
        <w:gridCol w:w="900"/>
      </w:tblGrid>
      <w:tr w:rsidR="00B707B7" w:rsidRPr="001D2881" w14:paraId="3B2C5E04" w14:textId="77777777" w:rsidTr="00E444B1">
        <w:trPr>
          <w:trHeight w:val="374"/>
          <w:jc w:val="center"/>
        </w:trPr>
        <w:tc>
          <w:tcPr>
            <w:tcW w:w="9820" w:type="dxa"/>
            <w:gridSpan w:val="11"/>
            <w:shd w:val="clear" w:color="auto" w:fill="auto"/>
            <w:vAlign w:val="center"/>
          </w:tcPr>
          <w:p w14:paraId="004D93D1" w14:textId="77777777" w:rsidR="00B707B7" w:rsidRPr="001D2881" w:rsidRDefault="00B707B7" w:rsidP="00E444B1">
            <w:pPr>
              <w:keepNext/>
              <w:widowControl w:val="0"/>
              <w:jc w:val="center"/>
              <w:rPr>
                <w:b/>
                <w:sz w:val="20"/>
                <w:szCs w:val="20"/>
              </w:rPr>
            </w:pPr>
            <w:r w:rsidRPr="001D2881">
              <w:rPr>
                <w:b/>
                <w:sz w:val="20"/>
                <w:szCs w:val="20"/>
              </w:rPr>
              <w:t>Community Development Lending</w:t>
            </w:r>
          </w:p>
        </w:tc>
      </w:tr>
      <w:tr w:rsidR="00B707B7" w:rsidRPr="001D2881" w14:paraId="1D7F1766" w14:textId="77777777" w:rsidTr="00E444B1">
        <w:trPr>
          <w:trHeight w:val="288"/>
          <w:jc w:val="center"/>
        </w:trPr>
        <w:tc>
          <w:tcPr>
            <w:tcW w:w="1987" w:type="dxa"/>
            <w:vMerge w:val="restart"/>
            <w:shd w:val="clear" w:color="auto" w:fill="auto"/>
            <w:vAlign w:val="center"/>
          </w:tcPr>
          <w:p w14:paraId="301F95EC" w14:textId="77777777" w:rsidR="00B707B7" w:rsidRPr="001D2881" w:rsidRDefault="00B707B7" w:rsidP="00E444B1">
            <w:pPr>
              <w:keepNext/>
              <w:widowControl w:val="0"/>
              <w:rPr>
                <w:b/>
                <w:sz w:val="20"/>
                <w:szCs w:val="20"/>
              </w:rPr>
            </w:pPr>
            <w:r w:rsidRPr="001D2881">
              <w:rPr>
                <w:b/>
                <w:sz w:val="20"/>
                <w:szCs w:val="20"/>
              </w:rPr>
              <w:t>Activity Year</w:t>
            </w:r>
          </w:p>
        </w:tc>
        <w:tc>
          <w:tcPr>
            <w:tcW w:w="1594" w:type="dxa"/>
            <w:gridSpan w:val="2"/>
            <w:shd w:val="clear" w:color="auto" w:fill="auto"/>
            <w:vAlign w:val="center"/>
          </w:tcPr>
          <w:p w14:paraId="46C75820" w14:textId="77777777" w:rsidR="00B707B7" w:rsidRPr="001D2881" w:rsidRDefault="00B707B7" w:rsidP="00E444B1">
            <w:pPr>
              <w:keepNext/>
              <w:widowControl w:val="0"/>
              <w:jc w:val="center"/>
              <w:rPr>
                <w:b/>
                <w:sz w:val="20"/>
                <w:szCs w:val="20"/>
              </w:rPr>
            </w:pPr>
            <w:r w:rsidRPr="001D2881">
              <w:rPr>
                <w:b/>
                <w:sz w:val="20"/>
                <w:szCs w:val="20"/>
              </w:rPr>
              <w:t>Affordable Housing</w:t>
            </w:r>
          </w:p>
        </w:tc>
        <w:tc>
          <w:tcPr>
            <w:tcW w:w="1530" w:type="dxa"/>
            <w:gridSpan w:val="2"/>
            <w:shd w:val="clear" w:color="auto" w:fill="auto"/>
            <w:vAlign w:val="center"/>
          </w:tcPr>
          <w:p w14:paraId="688C91D9" w14:textId="77777777" w:rsidR="00B707B7" w:rsidRPr="001D2881" w:rsidRDefault="00B707B7" w:rsidP="00E444B1">
            <w:pPr>
              <w:keepNext/>
              <w:widowControl w:val="0"/>
              <w:jc w:val="center"/>
              <w:rPr>
                <w:b/>
                <w:sz w:val="20"/>
                <w:szCs w:val="20"/>
              </w:rPr>
            </w:pPr>
            <w:r w:rsidRPr="001D2881">
              <w:rPr>
                <w:b/>
                <w:sz w:val="20"/>
                <w:szCs w:val="20"/>
              </w:rPr>
              <w:t>Community Services</w:t>
            </w:r>
          </w:p>
        </w:tc>
        <w:tc>
          <w:tcPr>
            <w:tcW w:w="1530" w:type="dxa"/>
            <w:gridSpan w:val="2"/>
            <w:shd w:val="clear" w:color="auto" w:fill="auto"/>
            <w:vAlign w:val="center"/>
          </w:tcPr>
          <w:p w14:paraId="73C423F2" w14:textId="77777777" w:rsidR="00B707B7" w:rsidRPr="001D2881" w:rsidRDefault="00B707B7" w:rsidP="00E444B1">
            <w:pPr>
              <w:keepNext/>
              <w:widowControl w:val="0"/>
              <w:jc w:val="center"/>
              <w:rPr>
                <w:b/>
                <w:sz w:val="20"/>
                <w:szCs w:val="20"/>
              </w:rPr>
            </w:pPr>
            <w:r w:rsidRPr="001D2881">
              <w:rPr>
                <w:b/>
                <w:sz w:val="20"/>
                <w:szCs w:val="20"/>
              </w:rPr>
              <w:t>Economic Development</w:t>
            </w:r>
          </w:p>
        </w:tc>
        <w:tc>
          <w:tcPr>
            <w:tcW w:w="1620" w:type="dxa"/>
            <w:gridSpan w:val="2"/>
            <w:shd w:val="clear" w:color="auto" w:fill="auto"/>
            <w:vAlign w:val="center"/>
          </w:tcPr>
          <w:p w14:paraId="46A3ED41" w14:textId="77777777" w:rsidR="00B707B7" w:rsidRPr="001D2881" w:rsidRDefault="00B707B7" w:rsidP="00E444B1">
            <w:pPr>
              <w:keepNext/>
              <w:widowControl w:val="0"/>
              <w:jc w:val="center"/>
              <w:rPr>
                <w:b/>
                <w:sz w:val="20"/>
                <w:szCs w:val="20"/>
              </w:rPr>
            </w:pPr>
            <w:r w:rsidRPr="001D2881">
              <w:rPr>
                <w:b/>
                <w:sz w:val="20"/>
                <w:szCs w:val="20"/>
              </w:rPr>
              <w:t>Revitalize or Stabilize</w:t>
            </w:r>
          </w:p>
        </w:tc>
        <w:tc>
          <w:tcPr>
            <w:tcW w:w="1559" w:type="dxa"/>
            <w:gridSpan w:val="2"/>
            <w:shd w:val="clear" w:color="auto" w:fill="auto"/>
            <w:vAlign w:val="center"/>
          </w:tcPr>
          <w:p w14:paraId="19D1B7A6" w14:textId="77777777" w:rsidR="00B707B7" w:rsidRPr="001D2881" w:rsidRDefault="00B707B7" w:rsidP="00E444B1">
            <w:pPr>
              <w:keepNext/>
              <w:widowControl w:val="0"/>
              <w:jc w:val="center"/>
              <w:rPr>
                <w:b/>
                <w:sz w:val="20"/>
                <w:szCs w:val="20"/>
              </w:rPr>
            </w:pPr>
            <w:r w:rsidRPr="001D2881">
              <w:rPr>
                <w:b/>
                <w:sz w:val="20"/>
                <w:szCs w:val="20"/>
              </w:rPr>
              <w:t>Totals</w:t>
            </w:r>
          </w:p>
        </w:tc>
      </w:tr>
      <w:tr w:rsidR="00B707B7" w:rsidRPr="001D2881" w14:paraId="766FE3AB" w14:textId="77777777" w:rsidTr="00E444B1">
        <w:trPr>
          <w:trHeight w:val="288"/>
          <w:jc w:val="center"/>
        </w:trPr>
        <w:tc>
          <w:tcPr>
            <w:tcW w:w="1987" w:type="dxa"/>
            <w:vMerge/>
            <w:shd w:val="clear" w:color="auto" w:fill="auto"/>
            <w:vAlign w:val="center"/>
          </w:tcPr>
          <w:p w14:paraId="2FB17175" w14:textId="77777777" w:rsidR="00B707B7" w:rsidRPr="001D2881" w:rsidRDefault="00B707B7" w:rsidP="00E444B1">
            <w:pPr>
              <w:keepNext/>
              <w:widowControl w:val="0"/>
              <w:rPr>
                <w:sz w:val="20"/>
                <w:szCs w:val="20"/>
                <w:highlight w:val="green"/>
              </w:rPr>
            </w:pPr>
          </w:p>
        </w:tc>
        <w:tc>
          <w:tcPr>
            <w:tcW w:w="700" w:type="dxa"/>
            <w:shd w:val="clear" w:color="auto" w:fill="auto"/>
            <w:vAlign w:val="center"/>
          </w:tcPr>
          <w:p w14:paraId="455A6155" w14:textId="77777777" w:rsidR="00B707B7" w:rsidRPr="001D2881" w:rsidRDefault="00B707B7" w:rsidP="00E444B1">
            <w:pPr>
              <w:keepNext/>
              <w:widowControl w:val="0"/>
              <w:jc w:val="center"/>
              <w:rPr>
                <w:b/>
                <w:sz w:val="20"/>
                <w:szCs w:val="20"/>
              </w:rPr>
            </w:pPr>
            <w:r w:rsidRPr="001D2881">
              <w:rPr>
                <w:b/>
                <w:sz w:val="20"/>
                <w:szCs w:val="20"/>
              </w:rPr>
              <w:t>#</w:t>
            </w:r>
          </w:p>
        </w:tc>
        <w:tc>
          <w:tcPr>
            <w:tcW w:w="894" w:type="dxa"/>
            <w:shd w:val="clear" w:color="auto" w:fill="auto"/>
            <w:vAlign w:val="center"/>
          </w:tcPr>
          <w:p w14:paraId="3754CCD3" w14:textId="77777777" w:rsidR="00B707B7" w:rsidRPr="001D2881" w:rsidRDefault="00B707B7" w:rsidP="00E444B1">
            <w:pPr>
              <w:keepNext/>
              <w:widowControl w:val="0"/>
              <w:jc w:val="center"/>
              <w:rPr>
                <w:b/>
                <w:sz w:val="20"/>
                <w:szCs w:val="20"/>
              </w:rPr>
            </w:pPr>
            <w:r w:rsidRPr="001D2881">
              <w:rPr>
                <w:b/>
                <w:sz w:val="20"/>
                <w:szCs w:val="20"/>
              </w:rPr>
              <w:t>$(000s)</w:t>
            </w:r>
          </w:p>
        </w:tc>
        <w:tc>
          <w:tcPr>
            <w:tcW w:w="616" w:type="dxa"/>
            <w:shd w:val="clear" w:color="auto" w:fill="auto"/>
            <w:vAlign w:val="center"/>
          </w:tcPr>
          <w:p w14:paraId="4B42976A" w14:textId="77777777" w:rsidR="00B707B7" w:rsidRPr="001D2881" w:rsidRDefault="00B707B7" w:rsidP="00E444B1">
            <w:pPr>
              <w:keepNext/>
              <w:widowControl w:val="0"/>
              <w:jc w:val="center"/>
              <w:rPr>
                <w:b/>
                <w:sz w:val="20"/>
                <w:szCs w:val="20"/>
              </w:rPr>
            </w:pPr>
            <w:r w:rsidRPr="001D2881">
              <w:rPr>
                <w:b/>
                <w:sz w:val="20"/>
                <w:szCs w:val="20"/>
              </w:rPr>
              <w:t>#</w:t>
            </w:r>
          </w:p>
        </w:tc>
        <w:tc>
          <w:tcPr>
            <w:tcW w:w="914" w:type="dxa"/>
            <w:shd w:val="clear" w:color="auto" w:fill="auto"/>
            <w:vAlign w:val="center"/>
          </w:tcPr>
          <w:p w14:paraId="54B79267" w14:textId="77777777" w:rsidR="00B707B7" w:rsidRPr="001D2881" w:rsidRDefault="00B707B7" w:rsidP="00E444B1">
            <w:pPr>
              <w:keepNext/>
              <w:widowControl w:val="0"/>
              <w:jc w:val="center"/>
              <w:rPr>
                <w:b/>
                <w:sz w:val="20"/>
                <w:szCs w:val="20"/>
              </w:rPr>
            </w:pPr>
            <w:r w:rsidRPr="001D2881">
              <w:rPr>
                <w:b/>
                <w:sz w:val="20"/>
                <w:szCs w:val="20"/>
              </w:rPr>
              <w:t>$(000s)</w:t>
            </w:r>
          </w:p>
        </w:tc>
        <w:tc>
          <w:tcPr>
            <w:tcW w:w="616" w:type="dxa"/>
            <w:shd w:val="clear" w:color="auto" w:fill="auto"/>
            <w:vAlign w:val="center"/>
          </w:tcPr>
          <w:p w14:paraId="21784B8B" w14:textId="77777777" w:rsidR="00B707B7" w:rsidRPr="001D2881" w:rsidRDefault="00B707B7" w:rsidP="00E444B1">
            <w:pPr>
              <w:keepNext/>
              <w:widowControl w:val="0"/>
              <w:jc w:val="center"/>
              <w:rPr>
                <w:b/>
                <w:sz w:val="20"/>
                <w:szCs w:val="20"/>
              </w:rPr>
            </w:pPr>
            <w:r w:rsidRPr="001D2881">
              <w:rPr>
                <w:b/>
                <w:sz w:val="20"/>
                <w:szCs w:val="20"/>
              </w:rPr>
              <w:t>#</w:t>
            </w:r>
          </w:p>
        </w:tc>
        <w:tc>
          <w:tcPr>
            <w:tcW w:w="914" w:type="dxa"/>
            <w:shd w:val="clear" w:color="auto" w:fill="auto"/>
            <w:vAlign w:val="center"/>
          </w:tcPr>
          <w:p w14:paraId="1EF6C9F9" w14:textId="77777777" w:rsidR="00B707B7" w:rsidRPr="001D2881" w:rsidRDefault="00B707B7" w:rsidP="00E444B1">
            <w:pPr>
              <w:keepNext/>
              <w:widowControl w:val="0"/>
              <w:jc w:val="center"/>
              <w:rPr>
                <w:b/>
                <w:sz w:val="20"/>
                <w:szCs w:val="20"/>
              </w:rPr>
            </w:pPr>
            <w:r w:rsidRPr="001D2881">
              <w:rPr>
                <w:b/>
                <w:sz w:val="20"/>
                <w:szCs w:val="20"/>
              </w:rPr>
              <w:t>$(000s)</w:t>
            </w:r>
          </w:p>
        </w:tc>
        <w:tc>
          <w:tcPr>
            <w:tcW w:w="671" w:type="dxa"/>
            <w:shd w:val="clear" w:color="auto" w:fill="auto"/>
            <w:vAlign w:val="center"/>
          </w:tcPr>
          <w:p w14:paraId="7CAF0AF4" w14:textId="77777777" w:rsidR="00B707B7" w:rsidRPr="001D2881" w:rsidRDefault="00B707B7" w:rsidP="00E444B1">
            <w:pPr>
              <w:keepNext/>
              <w:widowControl w:val="0"/>
              <w:jc w:val="center"/>
              <w:rPr>
                <w:b/>
                <w:sz w:val="20"/>
                <w:szCs w:val="20"/>
              </w:rPr>
            </w:pPr>
            <w:r w:rsidRPr="001D2881">
              <w:rPr>
                <w:b/>
                <w:sz w:val="20"/>
                <w:szCs w:val="20"/>
              </w:rPr>
              <w:t>#</w:t>
            </w:r>
          </w:p>
        </w:tc>
        <w:tc>
          <w:tcPr>
            <w:tcW w:w="949" w:type="dxa"/>
            <w:shd w:val="clear" w:color="auto" w:fill="auto"/>
            <w:vAlign w:val="center"/>
          </w:tcPr>
          <w:p w14:paraId="62442701" w14:textId="77777777" w:rsidR="00B707B7" w:rsidRPr="001D2881" w:rsidRDefault="00B707B7" w:rsidP="00E444B1">
            <w:pPr>
              <w:keepNext/>
              <w:widowControl w:val="0"/>
              <w:jc w:val="center"/>
              <w:rPr>
                <w:b/>
                <w:sz w:val="20"/>
                <w:szCs w:val="20"/>
              </w:rPr>
            </w:pPr>
            <w:r w:rsidRPr="001D2881">
              <w:rPr>
                <w:b/>
                <w:sz w:val="20"/>
                <w:szCs w:val="20"/>
              </w:rPr>
              <w:t>$(000s)</w:t>
            </w:r>
          </w:p>
        </w:tc>
        <w:tc>
          <w:tcPr>
            <w:tcW w:w="659" w:type="dxa"/>
            <w:shd w:val="clear" w:color="auto" w:fill="auto"/>
            <w:vAlign w:val="center"/>
          </w:tcPr>
          <w:p w14:paraId="6B992EA6" w14:textId="77777777" w:rsidR="00B707B7" w:rsidRPr="001D2881" w:rsidRDefault="00B707B7" w:rsidP="00E444B1">
            <w:pPr>
              <w:keepNext/>
              <w:widowControl w:val="0"/>
              <w:jc w:val="center"/>
              <w:rPr>
                <w:b/>
                <w:sz w:val="20"/>
                <w:szCs w:val="20"/>
              </w:rPr>
            </w:pPr>
            <w:r w:rsidRPr="001D2881">
              <w:rPr>
                <w:b/>
                <w:sz w:val="20"/>
                <w:szCs w:val="20"/>
              </w:rPr>
              <w:t>#</w:t>
            </w:r>
          </w:p>
        </w:tc>
        <w:tc>
          <w:tcPr>
            <w:tcW w:w="900" w:type="dxa"/>
            <w:shd w:val="clear" w:color="auto" w:fill="auto"/>
            <w:vAlign w:val="center"/>
          </w:tcPr>
          <w:p w14:paraId="6E9F759C" w14:textId="77777777" w:rsidR="00B707B7" w:rsidRPr="001D2881" w:rsidRDefault="00B707B7" w:rsidP="00E444B1">
            <w:pPr>
              <w:keepNext/>
              <w:widowControl w:val="0"/>
              <w:jc w:val="center"/>
              <w:rPr>
                <w:b/>
                <w:sz w:val="20"/>
                <w:szCs w:val="20"/>
              </w:rPr>
            </w:pPr>
            <w:r w:rsidRPr="001D2881">
              <w:rPr>
                <w:b/>
                <w:sz w:val="20"/>
                <w:szCs w:val="20"/>
              </w:rPr>
              <w:t>$(000s)</w:t>
            </w:r>
          </w:p>
        </w:tc>
      </w:tr>
      <w:tr w:rsidR="00D76C29" w:rsidRPr="001D2881" w14:paraId="2ABA5564" w14:textId="77777777" w:rsidTr="00970163">
        <w:trPr>
          <w:trHeight w:val="288"/>
          <w:jc w:val="center"/>
        </w:trPr>
        <w:tc>
          <w:tcPr>
            <w:tcW w:w="1987" w:type="dxa"/>
            <w:shd w:val="clear" w:color="auto" w:fill="auto"/>
            <w:vAlign w:val="center"/>
          </w:tcPr>
          <w:p w14:paraId="3D7E1D05" w14:textId="44E462A3" w:rsidR="00D76C29" w:rsidRPr="001D2881" w:rsidRDefault="00D76C29" w:rsidP="00D76C29">
            <w:pPr>
              <w:keepNext/>
              <w:widowControl w:val="0"/>
              <w:rPr>
                <w:sz w:val="20"/>
                <w:szCs w:val="20"/>
              </w:rPr>
            </w:pPr>
            <w:r w:rsidRPr="001D2881">
              <w:rPr>
                <w:sz w:val="20"/>
                <w:szCs w:val="20"/>
              </w:rPr>
              <w:t>2017</w:t>
            </w:r>
          </w:p>
        </w:tc>
        <w:tc>
          <w:tcPr>
            <w:tcW w:w="700" w:type="dxa"/>
            <w:shd w:val="clear" w:color="auto" w:fill="auto"/>
            <w:vAlign w:val="center"/>
          </w:tcPr>
          <w:p w14:paraId="2A2C1312" w14:textId="08A8E0AF" w:rsidR="00D76C29" w:rsidRPr="001D2881" w:rsidRDefault="00D76C29" w:rsidP="00D76C29">
            <w:pPr>
              <w:keepNext/>
              <w:jc w:val="center"/>
              <w:rPr>
                <w:sz w:val="20"/>
                <w:szCs w:val="20"/>
              </w:rPr>
            </w:pPr>
            <w:r>
              <w:rPr>
                <w:sz w:val="20"/>
                <w:szCs w:val="20"/>
              </w:rPr>
              <w:t>0</w:t>
            </w:r>
          </w:p>
        </w:tc>
        <w:tc>
          <w:tcPr>
            <w:tcW w:w="894" w:type="dxa"/>
            <w:shd w:val="clear" w:color="auto" w:fill="auto"/>
          </w:tcPr>
          <w:p w14:paraId="77E4739A" w14:textId="51C04867" w:rsidR="00D76C29" w:rsidRPr="001D2881" w:rsidRDefault="00D76C29" w:rsidP="00D76C29">
            <w:pPr>
              <w:keepNext/>
              <w:jc w:val="center"/>
              <w:rPr>
                <w:sz w:val="20"/>
                <w:szCs w:val="20"/>
              </w:rPr>
            </w:pPr>
            <w:r w:rsidRPr="009C5299">
              <w:rPr>
                <w:sz w:val="20"/>
                <w:szCs w:val="20"/>
              </w:rPr>
              <w:t>0</w:t>
            </w:r>
          </w:p>
        </w:tc>
        <w:tc>
          <w:tcPr>
            <w:tcW w:w="616" w:type="dxa"/>
            <w:shd w:val="clear" w:color="auto" w:fill="auto"/>
          </w:tcPr>
          <w:p w14:paraId="1233C186" w14:textId="58A68569" w:rsidR="00D76C29" w:rsidRPr="001D2881" w:rsidRDefault="00D76C29" w:rsidP="00D76C29">
            <w:pPr>
              <w:keepNext/>
              <w:jc w:val="center"/>
              <w:rPr>
                <w:sz w:val="20"/>
                <w:szCs w:val="20"/>
              </w:rPr>
            </w:pPr>
            <w:r w:rsidRPr="009C5299">
              <w:rPr>
                <w:sz w:val="20"/>
                <w:szCs w:val="20"/>
              </w:rPr>
              <w:t>0</w:t>
            </w:r>
          </w:p>
        </w:tc>
        <w:tc>
          <w:tcPr>
            <w:tcW w:w="914" w:type="dxa"/>
            <w:shd w:val="clear" w:color="auto" w:fill="auto"/>
          </w:tcPr>
          <w:p w14:paraId="6693FEC7" w14:textId="0758FFDD" w:rsidR="00D76C29" w:rsidRPr="001D2881" w:rsidRDefault="00D76C29" w:rsidP="00D76C29">
            <w:pPr>
              <w:keepNext/>
              <w:jc w:val="center"/>
              <w:rPr>
                <w:sz w:val="20"/>
                <w:szCs w:val="20"/>
              </w:rPr>
            </w:pPr>
            <w:r w:rsidRPr="009C5299">
              <w:rPr>
                <w:sz w:val="20"/>
                <w:szCs w:val="20"/>
              </w:rPr>
              <w:t>0</w:t>
            </w:r>
          </w:p>
        </w:tc>
        <w:tc>
          <w:tcPr>
            <w:tcW w:w="616" w:type="dxa"/>
            <w:shd w:val="clear" w:color="auto" w:fill="auto"/>
          </w:tcPr>
          <w:p w14:paraId="56A214F9" w14:textId="7C5C7847" w:rsidR="00D76C29" w:rsidRPr="001D2881" w:rsidRDefault="00D76C29" w:rsidP="00D76C29">
            <w:pPr>
              <w:keepNext/>
              <w:jc w:val="center"/>
              <w:rPr>
                <w:sz w:val="20"/>
                <w:szCs w:val="20"/>
              </w:rPr>
            </w:pPr>
            <w:r w:rsidRPr="009C5299">
              <w:rPr>
                <w:sz w:val="20"/>
                <w:szCs w:val="20"/>
              </w:rPr>
              <w:t>0</w:t>
            </w:r>
          </w:p>
        </w:tc>
        <w:tc>
          <w:tcPr>
            <w:tcW w:w="914" w:type="dxa"/>
            <w:shd w:val="clear" w:color="auto" w:fill="auto"/>
          </w:tcPr>
          <w:p w14:paraId="230B77E4" w14:textId="027F4870" w:rsidR="00D76C29" w:rsidRPr="001D2881" w:rsidRDefault="00D76C29" w:rsidP="00D76C29">
            <w:pPr>
              <w:keepNext/>
              <w:jc w:val="center"/>
              <w:rPr>
                <w:sz w:val="20"/>
                <w:szCs w:val="20"/>
              </w:rPr>
            </w:pPr>
            <w:r w:rsidRPr="009C5299">
              <w:rPr>
                <w:sz w:val="20"/>
                <w:szCs w:val="20"/>
              </w:rPr>
              <w:t>0</w:t>
            </w:r>
          </w:p>
        </w:tc>
        <w:tc>
          <w:tcPr>
            <w:tcW w:w="671" w:type="dxa"/>
            <w:shd w:val="clear" w:color="auto" w:fill="auto"/>
          </w:tcPr>
          <w:p w14:paraId="0A031ABB" w14:textId="680AA1EA" w:rsidR="00D76C29" w:rsidRPr="001D2881" w:rsidRDefault="00D76C29" w:rsidP="00D76C29">
            <w:pPr>
              <w:keepNext/>
              <w:jc w:val="center"/>
              <w:rPr>
                <w:sz w:val="20"/>
                <w:szCs w:val="20"/>
              </w:rPr>
            </w:pPr>
            <w:r w:rsidRPr="009C5299">
              <w:rPr>
                <w:sz w:val="20"/>
                <w:szCs w:val="20"/>
              </w:rPr>
              <w:t>0</w:t>
            </w:r>
          </w:p>
        </w:tc>
        <w:tc>
          <w:tcPr>
            <w:tcW w:w="949" w:type="dxa"/>
            <w:shd w:val="clear" w:color="auto" w:fill="auto"/>
          </w:tcPr>
          <w:p w14:paraId="3425348D" w14:textId="7AF274CF" w:rsidR="00D76C29" w:rsidRPr="001D2881" w:rsidRDefault="00D76C29" w:rsidP="00D76C29">
            <w:pPr>
              <w:keepNext/>
              <w:jc w:val="center"/>
              <w:rPr>
                <w:sz w:val="20"/>
                <w:szCs w:val="20"/>
              </w:rPr>
            </w:pPr>
            <w:r w:rsidRPr="009C5299">
              <w:rPr>
                <w:sz w:val="20"/>
                <w:szCs w:val="20"/>
              </w:rPr>
              <w:t>0</w:t>
            </w:r>
          </w:p>
        </w:tc>
        <w:tc>
          <w:tcPr>
            <w:tcW w:w="659" w:type="dxa"/>
            <w:shd w:val="clear" w:color="auto" w:fill="auto"/>
          </w:tcPr>
          <w:p w14:paraId="125DDD0B" w14:textId="42782222" w:rsidR="00D76C29" w:rsidRPr="00970163" w:rsidRDefault="00D76C29" w:rsidP="00D76C29">
            <w:pPr>
              <w:keepNext/>
              <w:jc w:val="center"/>
              <w:rPr>
                <w:b/>
                <w:sz w:val="20"/>
                <w:szCs w:val="20"/>
              </w:rPr>
            </w:pPr>
            <w:r w:rsidRPr="00970163">
              <w:rPr>
                <w:b/>
                <w:sz w:val="20"/>
                <w:szCs w:val="20"/>
              </w:rPr>
              <w:t>0</w:t>
            </w:r>
          </w:p>
        </w:tc>
        <w:tc>
          <w:tcPr>
            <w:tcW w:w="900" w:type="dxa"/>
            <w:shd w:val="clear" w:color="auto" w:fill="auto"/>
          </w:tcPr>
          <w:p w14:paraId="35F59DFA" w14:textId="15C252CA" w:rsidR="00D76C29" w:rsidRPr="00970163" w:rsidRDefault="00D76C29" w:rsidP="00D76C29">
            <w:pPr>
              <w:keepNext/>
              <w:jc w:val="center"/>
              <w:rPr>
                <w:b/>
                <w:sz w:val="20"/>
                <w:szCs w:val="20"/>
              </w:rPr>
            </w:pPr>
            <w:r w:rsidRPr="00970163">
              <w:rPr>
                <w:b/>
                <w:sz w:val="20"/>
                <w:szCs w:val="20"/>
              </w:rPr>
              <w:t>0</w:t>
            </w:r>
          </w:p>
        </w:tc>
      </w:tr>
      <w:tr w:rsidR="00D76C29" w:rsidRPr="001D2881" w14:paraId="578E4762" w14:textId="77777777" w:rsidTr="00970163">
        <w:trPr>
          <w:trHeight w:val="288"/>
          <w:jc w:val="center"/>
        </w:trPr>
        <w:tc>
          <w:tcPr>
            <w:tcW w:w="1987" w:type="dxa"/>
            <w:shd w:val="clear" w:color="auto" w:fill="auto"/>
            <w:vAlign w:val="center"/>
          </w:tcPr>
          <w:p w14:paraId="496AA170" w14:textId="77777777" w:rsidR="00D76C29" w:rsidRPr="001D2881" w:rsidRDefault="00D76C29" w:rsidP="00D76C29">
            <w:pPr>
              <w:keepNext/>
              <w:widowControl w:val="0"/>
              <w:rPr>
                <w:sz w:val="20"/>
                <w:szCs w:val="20"/>
              </w:rPr>
            </w:pPr>
            <w:r w:rsidRPr="001D2881">
              <w:rPr>
                <w:sz w:val="20"/>
                <w:szCs w:val="20"/>
              </w:rPr>
              <w:t>2018</w:t>
            </w:r>
          </w:p>
        </w:tc>
        <w:tc>
          <w:tcPr>
            <w:tcW w:w="700" w:type="dxa"/>
            <w:shd w:val="clear" w:color="auto" w:fill="auto"/>
            <w:vAlign w:val="center"/>
          </w:tcPr>
          <w:p w14:paraId="1AC023CD" w14:textId="5AEEBA17" w:rsidR="00D76C29" w:rsidRPr="001D2881" w:rsidRDefault="00D76C29" w:rsidP="00D76C29">
            <w:pPr>
              <w:keepNext/>
              <w:jc w:val="center"/>
              <w:rPr>
                <w:sz w:val="20"/>
                <w:szCs w:val="20"/>
              </w:rPr>
            </w:pPr>
            <w:r>
              <w:rPr>
                <w:sz w:val="20"/>
                <w:szCs w:val="20"/>
              </w:rPr>
              <w:t>0</w:t>
            </w:r>
          </w:p>
        </w:tc>
        <w:tc>
          <w:tcPr>
            <w:tcW w:w="894" w:type="dxa"/>
            <w:shd w:val="clear" w:color="auto" w:fill="auto"/>
          </w:tcPr>
          <w:p w14:paraId="582A2858" w14:textId="1365F2BA" w:rsidR="00D76C29" w:rsidRPr="001D2881" w:rsidRDefault="00D76C29" w:rsidP="00D76C29">
            <w:pPr>
              <w:keepNext/>
              <w:jc w:val="center"/>
              <w:rPr>
                <w:sz w:val="20"/>
                <w:szCs w:val="20"/>
              </w:rPr>
            </w:pPr>
            <w:r w:rsidRPr="009C5299">
              <w:rPr>
                <w:sz w:val="20"/>
                <w:szCs w:val="20"/>
              </w:rPr>
              <w:t>0</w:t>
            </w:r>
          </w:p>
        </w:tc>
        <w:tc>
          <w:tcPr>
            <w:tcW w:w="616" w:type="dxa"/>
            <w:shd w:val="clear" w:color="auto" w:fill="auto"/>
          </w:tcPr>
          <w:p w14:paraId="645A8CA3" w14:textId="491D9266" w:rsidR="00D76C29" w:rsidRPr="001D2881" w:rsidRDefault="00D76C29" w:rsidP="00D76C29">
            <w:pPr>
              <w:keepNext/>
              <w:jc w:val="center"/>
              <w:rPr>
                <w:sz w:val="20"/>
                <w:szCs w:val="20"/>
              </w:rPr>
            </w:pPr>
            <w:r w:rsidRPr="009C5299">
              <w:rPr>
                <w:sz w:val="20"/>
                <w:szCs w:val="20"/>
              </w:rPr>
              <w:t>0</w:t>
            </w:r>
          </w:p>
        </w:tc>
        <w:tc>
          <w:tcPr>
            <w:tcW w:w="914" w:type="dxa"/>
            <w:shd w:val="clear" w:color="auto" w:fill="auto"/>
          </w:tcPr>
          <w:p w14:paraId="00D22CCC" w14:textId="0E86422D" w:rsidR="00D76C29" w:rsidRPr="001D2881" w:rsidRDefault="00D76C29" w:rsidP="00D76C29">
            <w:pPr>
              <w:keepNext/>
              <w:jc w:val="center"/>
              <w:rPr>
                <w:sz w:val="20"/>
                <w:szCs w:val="20"/>
              </w:rPr>
            </w:pPr>
            <w:r w:rsidRPr="009C5299">
              <w:rPr>
                <w:sz w:val="20"/>
                <w:szCs w:val="20"/>
              </w:rPr>
              <w:t>0</w:t>
            </w:r>
          </w:p>
        </w:tc>
        <w:tc>
          <w:tcPr>
            <w:tcW w:w="616" w:type="dxa"/>
            <w:shd w:val="clear" w:color="auto" w:fill="auto"/>
          </w:tcPr>
          <w:p w14:paraId="1A0D50F3" w14:textId="4FA57A22" w:rsidR="00D76C29" w:rsidRPr="001D2881" w:rsidRDefault="00D76C29" w:rsidP="00D76C29">
            <w:pPr>
              <w:keepNext/>
              <w:jc w:val="center"/>
              <w:rPr>
                <w:sz w:val="20"/>
                <w:szCs w:val="20"/>
              </w:rPr>
            </w:pPr>
            <w:r w:rsidRPr="009C5299">
              <w:rPr>
                <w:sz w:val="20"/>
                <w:szCs w:val="20"/>
              </w:rPr>
              <w:t>0</w:t>
            </w:r>
          </w:p>
        </w:tc>
        <w:tc>
          <w:tcPr>
            <w:tcW w:w="914" w:type="dxa"/>
            <w:shd w:val="clear" w:color="auto" w:fill="auto"/>
          </w:tcPr>
          <w:p w14:paraId="0BE72EA8" w14:textId="1A4B56A0" w:rsidR="00D76C29" w:rsidRPr="001D2881" w:rsidRDefault="00D76C29" w:rsidP="00D76C29">
            <w:pPr>
              <w:keepNext/>
              <w:jc w:val="center"/>
              <w:rPr>
                <w:sz w:val="20"/>
                <w:szCs w:val="20"/>
              </w:rPr>
            </w:pPr>
            <w:r w:rsidRPr="009C5299">
              <w:rPr>
                <w:sz w:val="20"/>
                <w:szCs w:val="20"/>
              </w:rPr>
              <w:t>0</w:t>
            </w:r>
          </w:p>
        </w:tc>
        <w:tc>
          <w:tcPr>
            <w:tcW w:w="671" w:type="dxa"/>
            <w:shd w:val="clear" w:color="auto" w:fill="auto"/>
          </w:tcPr>
          <w:p w14:paraId="3EF5A0BC" w14:textId="5746FDA8" w:rsidR="00D76C29" w:rsidRPr="001D2881" w:rsidRDefault="00D76C29" w:rsidP="00D76C29">
            <w:pPr>
              <w:keepNext/>
              <w:jc w:val="center"/>
              <w:rPr>
                <w:sz w:val="20"/>
                <w:szCs w:val="20"/>
              </w:rPr>
            </w:pPr>
            <w:r w:rsidRPr="009C5299">
              <w:rPr>
                <w:sz w:val="20"/>
                <w:szCs w:val="20"/>
              </w:rPr>
              <w:t>0</w:t>
            </w:r>
          </w:p>
        </w:tc>
        <w:tc>
          <w:tcPr>
            <w:tcW w:w="949" w:type="dxa"/>
            <w:shd w:val="clear" w:color="auto" w:fill="auto"/>
          </w:tcPr>
          <w:p w14:paraId="7024293E" w14:textId="597E0573" w:rsidR="00D76C29" w:rsidRPr="001D2881" w:rsidRDefault="00D76C29" w:rsidP="00D76C29">
            <w:pPr>
              <w:keepNext/>
              <w:jc w:val="center"/>
              <w:rPr>
                <w:sz w:val="20"/>
                <w:szCs w:val="20"/>
              </w:rPr>
            </w:pPr>
            <w:r w:rsidRPr="009C5299">
              <w:rPr>
                <w:sz w:val="20"/>
                <w:szCs w:val="20"/>
              </w:rPr>
              <w:t>0</w:t>
            </w:r>
          </w:p>
        </w:tc>
        <w:tc>
          <w:tcPr>
            <w:tcW w:w="659" w:type="dxa"/>
            <w:shd w:val="clear" w:color="auto" w:fill="auto"/>
          </w:tcPr>
          <w:p w14:paraId="364F290F" w14:textId="52A3EA70" w:rsidR="00D76C29" w:rsidRPr="00970163" w:rsidRDefault="00D76C29" w:rsidP="00D76C29">
            <w:pPr>
              <w:keepNext/>
              <w:jc w:val="center"/>
              <w:rPr>
                <w:b/>
                <w:sz w:val="20"/>
                <w:szCs w:val="20"/>
              </w:rPr>
            </w:pPr>
            <w:r w:rsidRPr="00970163">
              <w:rPr>
                <w:b/>
                <w:sz w:val="20"/>
                <w:szCs w:val="20"/>
              </w:rPr>
              <w:t>0</w:t>
            </w:r>
          </w:p>
        </w:tc>
        <w:tc>
          <w:tcPr>
            <w:tcW w:w="900" w:type="dxa"/>
            <w:shd w:val="clear" w:color="auto" w:fill="auto"/>
          </w:tcPr>
          <w:p w14:paraId="15E6EFE8" w14:textId="7565A679" w:rsidR="00D76C29" w:rsidRPr="00970163" w:rsidRDefault="00D76C29" w:rsidP="00D76C29">
            <w:pPr>
              <w:keepNext/>
              <w:jc w:val="center"/>
              <w:rPr>
                <w:b/>
                <w:sz w:val="20"/>
                <w:szCs w:val="20"/>
              </w:rPr>
            </w:pPr>
            <w:r w:rsidRPr="00970163">
              <w:rPr>
                <w:b/>
                <w:sz w:val="20"/>
                <w:szCs w:val="20"/>
              </w:rPr>
              <w:t>0</w:t>
            </w:r>
          </w:p>
        </w:tc>
      </w:tr>
      <w:tr w:rsidR="00D76C29" w:rsidRPr="001D2881" w14:paraId="5823984E" w14:textId="77777777" w:rsidTr="00970163">
        <w:trPr>
          <w:trHeight w:val="288"/>
          <w:jc w:val="center"/>
        </w:trPr>
        <w:tc>
          <w:tcPr>
            <w:tcW w:w="1987" w:type="dxa"/>
            <w:shd w:val="clear" w:color="auto" w:fill="auto"/>
            <w:vAlign w:val="center"/>
          </w:tcPr>
          <w:p w14:paraId="08556BF9" w14:textId="77777777" w:rsidR="00D76C29" w:rsidRPr="001D2881" w:rsidRDefault="00D76C29" w:rsidP="00D76C29">
            <w:pPr>
              <w:keepNext/>
              <w:widowControl w:val="0"/>
              <w:rPr>
                <w:sz w:val="20"/>
                <w:szCs w:val="20"/>
              </w:rPr>
            </w:pPr>
            <w:r w:rsidRPr="001D2881">
              <w:rPr>
                <w:sz w:val="20"/>
                <w:szCs w:val="20"/>
              </w:rPr>
              <w:t>2019</w:t>
            </w:r>
          </w:p>
        </w:tc>
        <w:tc>
          <w:tcPr>
            <w:tcW w:w="700" w:type="dxa"/>
            <w:shd w:val="clear" w:color="auto" w:fill="auto"/>
            <w:vAlign w:val="center"/>
          </w:tcPr>
          <w:p w14:paraId="501BDC1D" w14:textId="77777777" w:rsidR="00D76C29" w:rsidRPr="001D2881" w:rsidRDefault="00D76C29" w:rsidP="00D76C29">
            <w:pPr>
              <w:keepNext/>
              <w:jc w:val="center"/>
              <w:rPr>
                <w:sz w:val="20"/>
                <w:szCs w:val="20"/>
              </w:rPr>
            </w:pPr>
            <w:r w:rsidRPr="001D2881">
              <w:rPr>
                <w:sz w:val="20"/>
                <w:szCs w:val="20"/>
              </w:rPr>
              <w:t>4</w:t>
            </w:r>
          </w:p>
        </w:tc>
        <w:tc>
          <w:tcPr>
            <w:tcW w:w="894" w:type="dxa"/>
            <w:shd w:val="clear" w:color="auto" w:fill="auto"/>
            <w:vAlign w:val="center"/>
          </w:tcPr>
          <w:p w14:paraId="57D82843" w14:textId="77777777" w:rsidR="00D76C29" w:rsidRPr="001D2881" w:rsidRDefault="00D76C29" w:rsidP="00D76C29">
            <w:pPr>
              <w:keepNext/>
              <w:jc w:val="center"/>
              <w:rPr>
                <w:sz w:val="20"/>
                <w:szCs w:val="20"/>
              </w:rPr>
            </w:pPr>
            <w:r w:rsidRPr="001D2881">
              <w:rPr>
                <w:sz w:val="20"/>
                <w:szCs w:val="20"/>
              </w:rPr>
              <w:t>1,684</w:t>
            </w:r>
          </w:p>
        </w:tc>
        <w:tc>
          <w:tcPr>
            <w:tcW w:w="616" w:type="dxa"/>
            <w:shd w:val="clear" w:color="auto" w:fill="auto"/>
          </w:tcPr>
          <w:p w14:paraId="1A8D897A" w14:textId="57B05D5A" w:rsidR="00D76C29" w:rsidRPr="001D2881" w:rsidRDefault="00D76C29" w:rsidP="00D76C29">
            <w:pPr>
              <w:keepNext/>
              <w:jc w:val="center"/>
              <w:rPr>
                <w:sz w:val="20"/>
                <w:szCs w:val="20"/>
              </w:rPr>
            </w:pPr>
            <w:r w:rsidRPr="007378A1">
              <w:rPr>
                <w:sz w:val="20"/>
                <w:szCs w:val="20"/>
              </w:rPr>
              <w:t>0</w:t>
            </w:r>
          </w:p>
        </w:tc>
        <w:tc>
          <w:tcPr>
            <w:tcW w:w="914" w:type="dxa"/>
            <w:shd w:val="clear" w:color="auto" w:fill="auto"/>
          </w:tcPr>
          <w:p w14:paraId="42DFDFD1" w14:textId="23FA2707" w:rsidR="00D76C29" w:rsidRPr="001D2881" w:rsidRDefault="00D76C29" w:rsidP="00D76C29">
            <w:pPr>
              <w:keepNext/>
              <w:jc w:val="center"/>
              <w:rPr>
                <w:sz w:val="20"/>
                <w:szCs w:val="20"/>
              </w:rPr>
            </w:pPr>
            <w:r w:rsidRPr="007378A1">
              <w:rPr>
                <w:sz w:val="20"/>
                <w:szCs w:val="20"/>
              </w:rPr>
              <w:t>0</w:t>
            </w:r>
          </w:p>
        </w:tc>
        <w:tc>
          <w:tcPr>
            <w:tcW w:w="616" w:type="dxa"/>
            <w:shd w:val="clear" w:color="auto" w:fill="auto"/>
          </w:tcPr>
          <w:p w14:paraId="219A2E3E" w14:textId="4EB80F82" w:rsidR="00D76C29" w:rsidRPr="001D2881" w:rsidRDefault="00D76C29" w:rsidP="00D76C29">
            <w:pPr>
              <w:keepNext/>
              <w:jc w:val="center"/>
              <w:rPr>
                <w:sz w:val="20"/>
                <w:szCs w:val="20"/>
              </w:rPr>
            </w:pPr>
            <w:r w:rsidRPr="007378A1">
              <w:rPr>
                <w:sz w:val="20"/>
                <w:szCs w:val="20"/>
              </w:rPr>
              <w:t>0</w:t>
            </w:r>
          </w:p>
        </w:tc>
        <w:tc>
          <w:tcPr>
            <w:tcW w:w="914" w:type="dxa"/>
            <w:shd w:val="clear" w:color="auto" w:fill="auto"/>
          </w:tcPr>
          <w:p w14:paraId="32ECC7C8" w14:textId="0637D183" w:rsidR="00D76C29" w:rsidRPr="001D2881" w:rsidRDefault="00D76C29" w:rsidP="00D76C29">
            <w:pPr>
              <w:keepNext/>
              <w:jc w:val="center"/>
              <w:rPr>
                <w:sz w:val="20"/>
                <w:szCs w:val="20"/>
              </w:rPr>
            </w:pPr>
            <w:r w:rsidRPr="007378A1">
              <w:rPr>
                <w:sz w:val="20"/>
                <w:szCs w:val="20"/>
              </w:rPr>
              <w:t>0</w:t>
            </w:r>
          </w:p>
        </w:tc>
        <w:tc>
          <w:tcPr>
            <w:tcW w:w="671" w:type="dxa"/>
            <w:shd w:val="clear" w:color="auto" w:fill="auto"/>
          </w:tcPr>
          <w:p w14:paraId="40B91388" w14:textId="266D358E" w:rsidR="00D76C29" w:rsidRPr="001D2881" w:rsidRDefault="00D76C29" w:rsidP="00D76C29">
            <w:pPr>
              <w:keepNext/>
              <w:jc w:val="center"/>
              <w:rPr>
                <w:sz w:val="20"/>
                <w:szCs w:val="20"/>
              </w:rPr>
            </w:pPr>
            <w:r w:rsidRPr="007378A1">
              <w:rPr>
                <w:sz w:val="20"/>
                <w:szCs w:val="20"/>
              </w:rPr>
              <w:t>0</w:t>
            </w:r>
          </w:p>
        </w:tc>
        <w:tc>
          <w:tcPr>
            <w:tcW w:w="949" w:type="dxa"/>
            <w:shd w:val="clear" w:color="auto" w:fill="auto"/>
          </w:tcPr>
          <w:p w14:paraId="172F1403" w14:textId="46AC4D72" w:rsidR="00D76C29" w:rsidRPr="001D2881" w:rsidRDefault="00D76C29" w:rsidP="00D76C29">
            <w:pPr>
              <w:keepNext/>
              <w:jc w:val="center"/>
              <w:rPr>
                <w:sz w:val="20"/>
                <w:szCs w:val="20"/>
              </w:rPr>
            </w:pPr>
            <w:r w:rsidRPr="007378A1">
              <w:rPr>
                <w:sz w:val="20"/>
                <w:szCs w:val="20"/>
              </w:rPr>
              <w:t>0</w:t>
            </w:r>
          </w:p>
        </w:tc>
        <w:tc>
          <w:tcPr>
            <w:tcW w:w="659" w:type="dxa"/>
            <w:shd w:val="clear" w:color="auto" w:fill="auto"/>
            <w:vAlign w:val="center"/>
          </w:tcPr>
          <w:p w14:paraId="041F7522" w14:textId="77777777" w:rsidR="00D76C29" w:rsidRPr="001D2881" w:rsidRDefault="00D76C29" w:rsidP="00D76C29">
            <w:pPr>
              <w:keepNext/>
              <w:jc w:val="center"/>
              <w:rPr>
                <w:b/>
                <w:bCs/>
                <w:sz w:val="20"/>
                <w:szCs w:val="20"/>
              </w:rPr>
            </w:pPr>
            <w:r w:rsidRPr="001D2881">
              <w:rPr>
                <w:b/>
                <w:bCs/>
                <w:sz w:val="20"/>
                <w:szCs w:val="20"/>
              </w:rPr>
              <w:t>4</w:t>
            </w:r>
          </w:p>
        </w:tc>
        <w:tc>
          <w:tcPr>
            <w:tcW w:w="900" w:type="dxa"/>
            <w:shd w:val="clear" w:color="auto" w:fill="auto"/>
            <w:vAlign w:val="center"/>
          </w:tcPr>
          <w:p w14:paraId="45DD5C1D" w14:textId="77777777" w:rsidR="00D76C29" w:rsidRPr="001D2881" w:rsidRDefault="00D76C29" w:rsidP="00D76C29">
            <w:pPr>
              <w:keepNext/>
              <w:jc w:val="center"/>
              <w:rPr>
                <w:b/>
                <w:bCs/>
                <w:sz w:val="20"/>
                <w:szCs w:val="20"/>
              </w:rPr>
            </w:pPr>
            <w:r w:rsidRPr="001D2881">
              <w:rPr>
                <w:b/>
                <w:bCs/>
                <w:sz w:val="20"/>
                <w:szCs w:val="20"/>
              </w:rPr>
              <w:t>1,684</w:t>
            </w:r>
          </w:p>
        </w:tc>
      </w:tr>
      <w:tr w:rsidR="00D76C29" w:rsidRPr="001D2881" w14:paraId="3415E2B6" w14:textId="77777777" w:rsidTr="00970163">
        <w:trPr>
          <w:trHeight w:val="288"/>
          <w:jc w:val="center"/>
        </w:trPr>
        <w:tc>
          <w:tcPr>
            <w:tcW w:w="1987" w:type="dxa"/>
            <w:shd w:val="clear" w:color="auto" w:fill="auto"/>
            <w:vAlign w:val="center"/>
          </w:tcPr>
          <w:p w14:paraId="6896C505" w14:textId="77777777" w:rsidR="00D76C29" w:rsidRPr="001D2881" w:rsidRDefault="00D76C29" w:rsidP="00D76C29">
            <w:pPr>
              <w:keepNext/>
              <w:widowControl w:val="0"/>
              <w:rPr>
                <w:sz w:val="20"/>
                <w:szCs w:val="20"/>
              </w:rPr>
            </w:pPr>
            <w:r w:rsidRPr="001D2881">
              <w:rPr>
                <w:sz w:val="20"/>
                <w:szCs w:val="20"/>
              </w:rPr>
              <w:t>YTD 2020</w:t>
            </w:r>
          </w:p>
        </w:tc>
        <w:tc>
          <w:tcPr>
            <w:tcW w:w="700" w:type="dxa"/>
            <w:shd w:val="clear" w:color="auto" w:fill="auto"/>
          </w:tcPr>
          <w:p w14:paraId="7B11451A" w14:textId="5B23E57B" w:rsidR="00D76C29" w:rsidRPr="001D2881" w:rsidRDefault="00D76C29" w:rsidP="00D76C29">
            <w:pPr>
              <w:keepNext/>
              <w:jc w:val="center"/>
              <w:rPr>
                <w:sz w:val="20"/>
                <w:szCs w:val="20"/>
              </w:rPr>
            </w:pPr>
            <w:r w:rsidRPr="008B3181">
              <w:rPr>
                <w:sz w:val="20"/>
                <w:szCs w:val="20"/>
              </w:rPr>
              <w:t>0</w:t>
            </w:r>
          </w:p>
        </w:tc>
        <w:tc>
          <w:tcPr>
            <w:tcW w:w="894" w:type="dxa"/>
            <w:shd w:val="clear" w:color="auto" w:fill="auto"/>
          </w:tcPr>
          <w:p w14:paraId="6094F30D" w14:textId="0B277C13" w:rsidR="00D76C29" w:rsidRPr="001D2881" w:rsidRDefault="00D76C29" w:rsidP="00D76C29">
            <w:pPr>
              <w:keepNext/>
              <w:jc w:val="center"/>
              <w:rPr>
                <w:sz w:val="20"/>
                <w:szCs w:val="20"/>
              </w:rPr>
            </w:pPr>
            <w:r w:rsidRPr="008B3181">
              <w:rPr>
                <w:sz w:val="20"/>
                <w:szCs w:val="20"/>
              </w:rPr>
              <w:t>0</w:t>
            </w:r>
          </w:p>
        </w:tc>
        <w:tc>
          <w:tcPr>
            <w:tcW w:w="616" w:type="dxa"/>
            <w:shd w:val="clear" w:color="auto" w:fill="auto"/>
          </w:tcPr>
          <w:p w14:paraId="4D3D1642" w14:textId="04CF96F5" w:rsidR="00D76C29" w:rsidRPr="001D2881" w:rsidRDefault="00D76C29" w:rsidP="00D76C29">
            <w:pPr>
              <w:keepNext/>
              <w:jc w:val="center"/>
              <w:rPr>
                <w:sz w:val="20"/>
                <w:szCs w:val="20"/>
              </w:rPr>
            </w:pPr>
            <w:r w:rsidRPr="008B3181">
              <w:rPr>
                <w:sz w:val="20"/>
                <w:szCs w:val="20"/>
              </w:rPr>
              <w:t>0</w:t>
            </w:r>
          </w:p>
        </w:tc>
        <w:tc>
          <w:tcPr>
            <w:tcW w:w="914" w:type="dxa"/>
            <w:shd w:val="clear" w:color="auto" w:fill="auto"/>
          </w:tcPr>
          <w:p w14:paraId="3B8BC854" w14:textId="2ADEF55E" w:rsidR="00D76C29" w:rsidRPr="001D2881" w:rsidRDefault="00D76C29" w:rsidP="00D76C29">
            <w:pPr>
              <w:keepNext/>
              <w:jc w:val="center"/>
              <w:rPr>
                <w:sz w:val="20"/>
                <w:szCs w:val="20"/>
              </w:rPr>
            </w:pPr>
            <w:r w:rsidRPr="008B3181">
              <w:rPr>
                <w:sz w:val="20"/>
                <w:szCs w:val="20"/>
              </w:rPr>
              <w:t>0</w:t>
            </w:r>
          </w:p>
        </w:tc>
        <w:tc>
          <w:tcPr>
            <w:tcW w:w="616" w:type="dxa"/>
            <w:shd w:val="clear" w:color="auto" w:fill="auto"/>
          </w:tcPr>
          <w:p w14:paraId="7C911CFF" w14:textId="4677F21C" w:rsidR="00D76C29" w:rsidRPr="001D2881" w:rsidRDefault="00D76C29" w:rsidP="00D76C29">
            <w:pPr>
              <w:keepNext/>
              <w:jc w:val="center"/>
              <w:rPr>
                <w:sz w:val="20"/>
                <w:szCs w:val="20"/>
              </w:rPr>
            </w:pPr>
            <w:r w:rsidRPr="008B3181">
              <w:rPr>
                <w:sz w:val="20"/>
                <w:szCs w:val="20"/>
              </w:rPr>
              <w:t>0</w:t>
            </w:r>
          </w:p>
        </w:tc>
        <w:tc>
          <w:tcPr>
            <w:tcW w:w="914" w:type="dxa"/>
            <w:shd w:val="clear" w:color="auto" w:fill="auto"/>
          </w:tcPr>
          <w:p w14:paraId="661264B6" w14:textId="029009A5" w:rsidR="00D76C29" w:rsidRPr="001D2881" w:rsidRDefault="00D76C29" w:rsidP="00D76C29">
            <w:pPr>
              <w:keepNext/>
              <w:jc w:val="center"/>
              <w:rPr>
                <w:sz w:val="20"/>
                <w:szCs w:val="20"/>
              </w:rPr>
            </w:pPr>
            <w:r w:rsidRPr="008B3181">
              <w:rPr>
                <w:sz w:val="20"/>
                <w:szCs w:val="20"/>
              </w:rPr>
              <w:t>0</w:t>
            </w:r>
          </w:p>
        </w:tc>
        <w:tc>
          <w:tcPr>
            <w:tcW w:w="671" w:type="dxa"/>
            <w:shd w:val="clear" w:color="auto" w:fill="auto"/>
            <w:vAlign w:val="center"/>
          </w:tcPr>
          <w:p w14:paraId="6AAE808B" w14:textId="77777777" w:rsidR="00D76C29" w:rsidRPr="001D2881" w:rsidRDefault="00D76C29" w:rsidP="00D76C29">
            <w:pPr>
              <w:keepNext/>
              <w:jc w:val="center"/>
              <w:rPr>
                <w:sz w:val="20"/>
                <w:szCs w:val="20"/>
              </w:rPr>
            </w:pPr>
            <w:r w:rsidRPr="001D2881">
              <w:rPr>
                <w:sz w:val="20"/>
                <w:szCs w:val="20"/>
              </w:rPr>
              <w:t>2</w:t>
            </w:r>
          </w:p>
        </w:tc>
        <w:tc>
          <w:tcPr>
            <w:tcW w:w="949" w:type="dxa"/>
            <w:shd w:val="clear" w:color="auto" w:fill="auto"/>
            <w:vAlign w:val="center"/>
          </w:tcPr>
          <w:p w14:paraId="438639F3" w14:textId="77777777" w:rsidR="00D76C29" w:rsidRPr="001D2881" w:rsidRDefault="00D76C29" w:rsidP="00D76C29">
            <w:pPr>
              <w:keepNext/>
              <w:jc w:val="center"/>
              <w:rPr>
                <w:sz w:val="20"/>
                <w:szCs w:val="20"/>
              </w:rPr>
            </w:pPr>
            <w:r w:rsidRPr="001D2881">
              <w:rPr>
                <w:sz w:val="20"/>
                <w:szCs w:val="20"/>
              </w:rPr>
              <w:t>1,110</w:t>
            </w:r>
          </w:p>
        </w:tc>
        <w:tc>
          <w:tcPr>
            <w:tcW w:w="659" w:type="dxa"/>
            <w:shd w:val="clear" w:color="auto" w:fill="auto"/>
            <w:vAlign w:val="center"/>
          </w:tcPr>
          <w:p w14:paraId="0F69F6DF" w14:textId="77777777" w:rsidR="00D76C29" w:rsidRPr="001D2881" w:rsidRDefault="00D76C29" w:rsidP="00D76C29">
            <w:pPr>
              <w:keepNext/>
              <w:jc w:val="center"/>
              <w:rPr>
                <w:b/>
                <w:bCs/>
                <w:sz w:val="20"/>
                <w:szCs w:val="20"/>
              </w:rPr>
            </w:pPr>
            <w:r w:rsidRPr="001D2881">
              <w:rPr>
                <w:b/>
                <w:bCs/>
                <w:sz w:val="20"/>
                <w:szCs w:val="20"/>
              </w:rPr>
              <w:t>2</w:t>
            </w:r>
          </w:p>
        </w:tc>
        <w:tc>
          <w:tcPr>
            <w:tcW w:w="900" w:type="dxa"/>
            <w:shd w:val="clear" w:color="auto" w:fill="auto"/>
            <w:vAlign w:val="center"/>
          </w:tcPr>
          <w:p w14:paraId="6F308973" w14:textId="77777777" w:rsidR="00D76C29" w:rsidRPr="001D2881" w:rsidRDefault="00D76C29" w:rsidP="00D76C29">
            <w:pPr>
              <w:keepNext/>
              <w:jc w:val="center"/>
              <w:rPr>
                <w:b/>
                <w:bCs/>
                <w:sz w:val="20"/>
                <w:szCs w:val="20"/>
              </w:rPr>
            </w:pPr>
            <w:r w:rsidRPr="001D2881">
              <w:rPr>
                <w:b/>
                <w:bCs/>
                <w:sz w:val="20"/>
                <w:szCs w:val="20"/>
              </w:rPr>
              <w:t>1,110</w:t>
            </w:r>
          </w:p>
        </w:tc>
      </w:tr>
      <w:tr w:rsidR="00D76C29" w:rsidRPr="001D2881" w14:paraId="4E918250" w14:textId="77777777" w:rsidTr="00970163">
        <w:trPr>
          <w:trHeight w:val="288"/>
          <w:jc w:val="center"/>
        </w:trPr>
        <w:tc>
          <w:tcPr>
            <w:tcW w:w="1987" w:type="dxa"/>
            <w:shd w:val="clear" w:color="auto" w:fill="auto"/>
            <w:vAlign w:val="center"/>
          </w:tcPr>
          <w:p w14:paraId="46A7232E" w14:textId="77777777" w:rsidR="00D76C29" w:rsidRPr="001D2881" w:rsidRDefault="00D76C29" w:rsidP="00D76C29">
            <w:pPr>
              <w:keepNext/>
              <w:widowControl w:val="0"/>
              <w:rPr>
                <w:b/>
                <w:sz w:val="20"/>
                <w:szCs w:val="20"/>
                <w:highlight w:val="green"/>
              </w:rPr>
            </w:pPr>
            <w:r w:rsidRPr="001D2881">
              <w:rPr>
                <w:b/>
                <w:sz w:val="20"/>
                <w:szCs w:val="20"/>
              </w:rPr>
              <w:t>Total</w:t>
            </w:r>
          </w:p>
        </w:tc>
        <w:tc>
          <w:tcPr>
            <w:tcW w:w="700" w:type="dxa"/>
            <w:shd w:val="clear" w:color="auto" w:fill="auto"/>
            <w:vAlign w:val="center"/>
          </w:tcPr>
          <w:p w14:paraId="14FD64FE" w14:textId="77777777" w:rsidR="00D76C29" w:rsidRPr="001D2881" w:rsidRDefault="00D76C29" w:rsidP="00D76C29">
            <w:pPr>
              <w:keepNext/>
              <w:jc w:val="center"/>
              <w:rPr>
                <w:b/>
                <w:bCs/>
                <w:sz w:val="20"/>
                <w:szCs w:val="20"/>
              </w:rPr>
            </w:pPr>
            <w:r w:rsidRPr="001D2881">
              <w:rPr>
                <w:b/>
                <w:bCs/>
                <w:sz w:val="20"/>
                <w:szCs w:val="20"/>
              </w:rPr>
              <w:t>4</w:t>
            </w:r>
          </w:p>
        </w:tc>
        <w:tc>
          <w:tcPr>
            <w:tcW w:w="894" w:type="dxa"/>
            <w:shd w:val="clear" w:color="auto" w:fill="auto"/>
            <w:vAlign w:val="center"/>
          </w:tcPr>
          <w:p w14:paraId="58183079" w14:textId="77777777" w:rsidR="00D76C29" w:rsidRPr="001D2881" w:rsidRDefault="00D76C29" w:rsidP="00D76C29">
            <w:pPr>
              <w:keepNext/>
              <w:jc w:val="center"/>
              <w:rPr>
                <w:b/>
                <w:bCs/>
                <w:sz w:val="20"/>
                <w:szCs w:val="20"/>
              </w:rPr>
            </w:pPr>
            <w:r w:rsidRPr="001D2881">
              <w:rPr>
                <w:b/>
                <w:bCs/>
                <w:sz w:val="20"/>
                <w:szCs w:val="20"/>
              </w:rPr>
              <w:t>1,684</w:t>
            </w:r>
          </w:p>
        </w:tc>
        <w:tc>
          <w:tcPr>
            <w:tcW w:w="616" w:type="dxa"/>
            <w:shd w:val="clear" w:color="auto" w:fill="auto"/>
          </w:tcPr>
          <w:p w14:paraId="330887BF" w14:textId="6ACEC0E0" w:rsidR="00D76C29" w:rsidRPr="00970163" w:rsidRDefault="00D76C29" w:rsidP="00D76C29">
            <w:pPr>
              <w:keepNext/>
              <w:jc w:val="center"/>
              <w:rPr>
                <w:b/>
                <w:sz w:val="20"/>
                <w:szCs w:val="20"/>
              </w:rPr>
            </w:pPr>
            <w:r w:rsidRPr="00970163">
              <w:rPr>
                <w:b/>
                <w:sz w:val="20"/>
                <w:szCs w:val="20"/>
              </w:rPr>
              <w:t>0</w:t>
            </w:r>
          </w:p>
        </w:tc>
        <w:tc>
          <w:tcPr>
            <w:tcW w:w="914" w:type="dxa"/>
            <w:shd w:val="clear" w:color="auto" w:fill="auto"/>
          </w:tcPr>
          <w:p w14:paraId="694C728A" w14:textId="18CA4B97" w:rsidR="00D76C29" w:rsidRPr="00970163" w:rsidRDefault="00D76C29" w:rsidP="00D76C29">
            <w:pPr>
              <w:keepNext/>
              <w:jc w:val="center"/>
              <w:rPr>
                <w:b/>
                <w:sz w:val="20"/>
                <w:szCs w:val="20"/>
              </w:rPr>
            </w:pPr>
            <w:r w:rsidRPr="00970163">
              <w:rPr>
                <w:b/>
                <w:sz w:val="20"/>
                <w:szCs w:val="20"/>
              </w:rPr>
              <w:t>0</w:t>
            </w:r>
          </w:p>
        </w:tc>
        <w:tc>
          <w:tcPr>
            <w:tcW w:w="616" w:type="dxa"/>
            <w:shd w:val="clear" w:color="auto" w:fill="auto"/>
          </w:tcPr>
          <w:p w14:paraId="34D31544" w14:textId="23C28DCA" w:rsidR="00D76C29" w:rsidRPr="00970163" w:rsidRDefault="00D76C29" w:rsidP="00D76C29">
            <w:pPr>
              <w:keepNext/>
              <w:jc w:val="center"/>
              <w:rPr>
                <w:b/>
                <w:sz w:val="20"/>
                <w:szCs w:val="20"/>
              </w:rPr>
            </w:pPr>
            <w:r w:rsidRPr="00970163">
              <w:rPr>
                <w:b/>
                <w:sz w:val="20"/>
                <w:szCs w:val="20"/>
              </w:rPr>
              <w:t>0</w:t>
            </w:r>
          </w:p>
        </w:tc>
        <w:tc>
          <w:tcPr>
            <w:tcW w:w="914" w:type="dxa"/>
            <w:shd w:val="clear" w:color="auto" w:fill="auto"/>
          </w:tcPr>
          <w:p w14:paraId="20E39238" w14:textId="79C63F1E" w:rsidR="00D76C29" w:rsidRPr="00970163" w:rsidRDefault="00D76C29" w:rsidP="00D76C29">
            <w:pPr>
              <w:keepNext/>
              <w:jc w:val="center"/>
              <w:rPr>
                <w:b/>
                <w:sz w:val="20"/>
                <w:szCs w:val="20"/>
              </w:rPr>
            </w:pPr>
            <w:r w:rsidRPr="00970163">
              <w:rPr>
                <w:b/>
                <w:sz w:val="20"/>
                <w:szCs w:val="20"/>
              </w:rPr>
              <w:t>0</w:t>
            </w:r>
          </w:p>
        </w:tc>
        <w:tc>
          <w:tcPr>
            <w:tcW w:w="671" w:type="dxa"/>
            <w:shd w:val="clear" w:color="auto" w:fill="auto"/>
            <w:vAlign w:val="center"/>
          </w:tcPr>
          <w:p w14:paraId="556D30E1" w14:textId="77777777" w:rsidR="00D76C29" w:rsidRPr="001D2881" w:rsidRDefault="00D76C29" w:rsidP="00D76C29">
            <w:pPr>
              <w:keepNext/>
              <w:jc w:val="center"/>
              <w:rPr>
                <w:b/>
                <w:bCs/>
                <w:sz w:val="20"/>
                <w:szCs w:val="20"/>
              </w:rPr>
            </w:pPr>
            <w:r w:rsidRPr="001D2881">
              <w:rPr>
                <w:b/>
                <w:bCs/>
                <w:sz w:val="20"/>
                <w:szCs w:val="20"/>
              </w:rPr>
              <w:t>2</w:t>
            </w:r>
          </w:p>
        </w:tc>
        <w:tc>
          <w:tcPr>
            <w:tcW w:w="949" w:type="dxa"/>
            <w:shd w:val="clear" w:color="auto" w:fill="auto"/>
            <w:vAlign w:val="center"/>
          </w:tcPr>
          <w:p w14:paraId="58F90CF7" w14:textId="77777777" w:rsidR="00D76C29" w:rsidRPr="001D2881" w:rsidRDefault="00D76C29" w:rsidP="00D76C29">
            <w:pPr>
              <w:keepNext/>
              <w:jc w:val="center"/>
              <w:rPr>
                <w:b/>
                <w:bCs/>
                <w:sz w:val="20"/>
                <w:szCs w:val="20"/>
              </w:rPr>
            </w:pPr>
            <w:r w:rsidRPr="001D2881">
              <w:rPr>
                <w:b/>
                <w:bCs/>
                <w:sz w:val="20"/>
                <w:szCs w:val="20"/>
              </w:rPr>
              <w:t>1,110</w:t>
            </w:r>
          </w:p>
        </w:tc>
        <w:tc>
          <w:tcPr>
            <w:tcW w:w="659" w:type="dxa"/>
            <w:shd w:val="clear" w:color="auto" w:fill="auto"/>
            <w:vAlign w:val="center"/>
          </w:tcPr>
          <w:p w14:paraId="657348C7" w14:textId="77777777" w:rsidR="00D76C29" w:rsidRPr="001D2881" w:rsidRDefault="00D76C29" w:rsidP="00D76C29">
            <w:pPr>
              <w:keepNext/>
              <w:jc w:val="center"/>
              <w:rPr>
                <w:b/>
                <w:bCs/>
                <w:sz w:val="20"/>
                <w:szCs w:val="20"/>
              </w:rPr>
            </w:pPr>
            <w:r w:rsidRPr="001D2881">
              <w:rPr>
                <w:b/>
                <w:bCs/>
                <w:sz w:val="20"/>
                <w:szCs w:val="20"/>
              </w:rPr>
              <w:t>6</w:t>
            </w:r>
          </w:p>
        </w:tc>
        <w:tc>
          <w:tcPr>
            <w:tcW w:w="900" w:type="dxa"/>
            <w:shd w:val="clear" w:color="auto" w:fill="auto"/>
            <w:vAlign w:val="center"/>
          </w:tcPr>
          <w:p w14:paraId="12BBED76" w14:textId="77777777" w:rsidR="00D76C29" w:rsidRPr="001D2881" w:rsidRDefault="00D76C29" w:rsidP="00D76C29">
            <w:pPr>
              <w:keepNext/>
              <w:jc w:val="center"/>
              <w:rPr>
                <w:b/>
                <w:bCs/>
                <w:sz w:val="20"/>
                <w:szCs w:val="20"/>
              </w:rPr>
            </w:pPr>
            <w:r w:rsidRPr="001D2881">
              <w:rPr>
                <w:b/>
                <w:bCs/>
                <w:sz w:val="20"/>
                <w:szCs w:val="20"/>
              </w:rPr>
              <w:t>2,794</w:t>
            </w:r>
          </w:p>
        </w:tc>
      </w:tr>
      <w:tr w:rsidR="00B707B7" w:rsidRPr="001D2881" w14:paraId="3C5AD4CD" w14:textId="77777777" w:rsidTr="00E444B1">
        <w:trPr>
          <w:trHeight w:val="288"/>
          <w:jc w:val="center"/>
        </w:trPr>
        <w:tc>
          <w:tcPr>
            <w:tcW w:w="9820" w:type="dxa"/>
            <w:gridSpan w:val="11"/>
            <w:shd w:val="clear" w:color="auto" w:fill="auto"/>
            <w:vAlign w:val="center"/>
          </w:tcPr>
          <w:p w14:paraId="3F41049D" w14:textId="77777777" w:rsidR="00B707B7" w:rsidRPr="001D2881" w:rsidRDefault="00B707B7" w:rsidP="00E444B1">
            <w:pPr>
              <w:keepNext/>
              <w:widowControl w:val="0"/>
              <w:rPr>
                <w:b/>
                <w:sz w:val="20"/>
                <w:szCs w:val="20"/>
              </w:rPr>
            </w:pPr>
            <w:r w:rsidRPr="001D2881">
              <w:rPr>
                <w:i/>
                <w:sz w:val="16"/>
                <w:szCs w:val="16"/>
              </w:rPr>
              <w:t>Source:  Bank Records</w:t>
            </w:r>
          </w:p>
        </w:tc>
      </w:tr>
    </w:tbl>
    <w:p w14:paraId="03A2872E" w14:textId="77777777" w:rsidR="00B707B7" w:rsidRPr="001D2881" w:rsidRDefault="00B707B7" w:rsidP="00B707B7">
      <w:pPr>
        <w:rPr>
          <w:bCs/>
        </w:rPr>
      </w:pPr>
    </w:p>
    <w:p w14:paraId="0D28A6DD" w14:textId="77777777" w:rsidR="00B707B7" w:rsidRPr="001D2881" w:rsidRDefault="00B707B7" w:rsidP="00B707B7">
      <w:pPr>
        <w:rPr>
          <w:bCs/>
        </w:rPr>
      </w:pPr>
      <w:r w:rsidRPr="001D2881">
        <w:rPr>
          <w:bCs/>
        </w:rPr>
        <w:t xml:space="preserve">The following are notable examples of community development loans. </w:t>
      </w:r>
    </w:p>
    <w:p w14:paraId="6B9613C5" w14:textId="77777777" w:rsidR="00B707B7" w:rsidRPr="001D2881" w:rsidRDefault="00B707B7" w:rsidP="00B707B7">
      <w:pPr>
        <w:rPr>
          <w:bCs/>
        </w:rPr>
      </w:pPr>
    </w:p>
    <w:p w14:paraId="77816233" w14:textId="64CC9DA2" w:rsidR="00B707B7" w:rsidRPr="001D2881" w:rsidRDefault="00B707B7" w:rsidP="00B707B7">
      <w:pPr>
        <w:pStyle w:val="ListParagraph"/>
        <w:numPr>
          <w:ilvl w:val="0"/>
          <w:numId w:val="19"/>
        </w:numPr>
        <w:rPr>
          <w:bCs/>
        </w:rPr>
      </w:pPr>
      <w:r w:rsidRPr="001D2881">
        <w:rPr>
          <w:bCs/>
        </w:rPr>
        <w:t>In 2020, the bank originated an $860,000 community development loan to a branch of the Commonwealth of Massachusetts’s workforce development p</w:t>
      </w:r>
      <w:r w:rsidR="00753DF7">
        <w:rPr>
          <w:bCs/>
        </w:rPr>
        <w:t>rogram located in a designated o</w:t>
      </w:r>
      <w:r w:rsidRPr="001D2881">
        <w:rPr>
          <w:bCs/>
        </w:rPr>
        <w:t xml:space="preserve">pportunity </w:t>
      </w:r>
      <w:r w:rsidR="00753DF7">
        <w:rPr>
          <w:bCs/>
        </w:rPr>
        <w:t>z</w:t>
      </w:r>
      <w:r w:rsidRPr="001D2881">
        <w:rPr>
          <w:bCs/>
        </w:rPr>
        <w:t xml:space="preserve">one.  The organization’s primary purpose is to </w:t>
      </w:r>
      <w:r>
        <w:rPr>
          <w:bCs/>
        </w:rPr>
        <w:t xml:space="preserve">revitalize and stabilize the </w:t>
      </w:r>
      <w:r w:rsidR="00970163">
        <w:rPr>
          <w:bCs/>
        </w:rPr>
        <w:t xml:space="preserve">moderate-income </w:t>
      </w:r>
      <w:r>
        <w:rPr>
          <w:bCs/>
        </w:rPr>
        <w:t xml:space="preserve">area by </w:t>
      </w:r>
      <w:r w:rsidRPr="001D2881">
        <w:rPr>
          <w:bCs/>
        </w:rPr>
        <w:t>provid</w:t>
      </w:r>
      <w:r>
        <w:rPr>
          <w:bCs/>
        </w:rPr>
        <w:t>ing</w:t>
      </w:r>
      <w:r w:rsidRPr="001D2881">
        <w:rPr>
          <w:bCs/>
        </w:rPr>
        <w:t xml:space="preserve"> job training and connect</w:t>
      </w:r>
      <w:r>
        <w:rPr>
          <w:bCs/>
        </w:rPr>
        <w:t>ing</w:t>
      </w:r>
      <w:r w:rsidR="001324B7">
        <w:rPr>
          <w:bCs/>
        </w:rPr>
        <w:t xml:space="preserve"> job seekers with employers</w:t>
      </w:r>
      <w:r w:rsidRPr="001D2881">
        <w:rPr>
          <w:bCs/>
        </w:rPr>
        <w:t xml:space="preserve">. </w:t>
      </w:r>
    </w:p>
    <w:p w14:paraId="39A145A0" w14:textId="77777777" w:rsidR="00B707B7" w:rsidRPr="001D2881" w:rsidRDefault="00B707B7" w:rsidP="00B707B7">
      <w:pPr>
        <w:pStyle w:val="ListParagraph"/>
        <w:rPr>
          <w:bCs/>
        </w:rPr>
      </w:pPr>
    </w:p>
    <w:p w14:paraId="7AF8D1C7" w14:textId="39F77FED" w:rsidR="00B707B7" w:rsidRPr="001D2881" w:rsidRDefault="00B707B7" w:rsidP="00B707B7">
      <w:pPr>
        <w:pStyle w:val="ListParagraph"/>
        <w:numPr>
          <w:ilvl w:val="0"/>
          <w:numId w:val="19"/>
        </w:numPr>
        <w:rPr>
          <w:bCs/>
        </w:rPr>
      </w:pPr>
      <w:r w:rsidRPr="001D2881">
        <w:rPr>
          <w:bCs/>
        </w:rPr>
        <w:t>In 2019, the bank originated two loans totaling $4.1 million to build a 36</w:t>
      </w:r>
      <w:r>
        <w:rPr>
          <w:bCs/>
        </w:rPr>
        <w:t>-</w:t>
      </w:r>
      <w:r w:rsidRPr="001D2881">
        <w:rPr>
          <w:bCs/>
        </w:rPr>
        <w:t xml:space="preserve">unit apartment complex.  </w:t>
      </w:r>
      <w:r>
        <w:rPr>
          <w:bCs/>
        </w:rPr>
        <w:t>T</w:t>
      </w:r>
      <w:r w:rsidRPr="001D2881">
        <w:rPr>
          <w:bCs/>
        </w:rPr>
        <w:t xml:space="preserve">he development includes </w:t>
      </w:r>
      <w:r>
        <w:rPr>
          <w:bCs/>
        </w:rPr>
        <w:t>nine</w:t>
      </w:r>
      <w:r w:rsidRPr="001D2881">
        <w:rPr>
          <w:bCs/>
        </w:rPr>
        <w:t xml:space="preserve"> units designated as affordable</w:t>
      </w:r>
      <w:r w:rsidR="00970163">
        <w:rPr>
          <w:bCs/>
        </w:rPr>
        <w:t xml:space="preserve"> housing</w:t>
      </w:r>
      <w:r>
        <w:rPr>
          <w:bCs/>
        </w:rPr>
        <w:t>, resulting in community development loan credit of $1.0 million</w:t>
      </w:r>
      <w:r w:rsidRPr="001D2881">
        <w:rPr>
          <w:bCs/>
        </w:rPr>
        <w:t xml:space="preserve">. </w:t>
      </w:r>
      <w:r>
        <w:rPr>
          <w:bCs/>
        </w:rPr>
        <w:t xml:space="preserve"> </w:t>
      </w:r>
      <w:r w:rsidRPr="001D2881">
        <w:rPr>
          <w:bCs/>
        </w:rPr>
        <w:t>The apartment complex is part of the Commonwealth of Massachusetts’ 40B housing program promot</w:t>
      </w:r>
      <w:r>
        <w:rPr>
          <w:bCs/>
        </w:rPr>
        <w:t>ing</w:t>
      </w:r>
      <w:r w:rsidRPr="001D2881">
        <w:rPr>
          <w:bCs/>
        </w:rPr>
        <w:t xml:space="preserve"> affordable housing</w:t>
      </w:r>
      <w:r>
        <w:rPr>
          <w:bCs/>
        </w:rPr>
        <w:t xml:space="preserve"> development</w:t>
      </w:r>
      <w:r w:rsidRPr="001D2881">
        <w:rPr>
          <w:bCs/>
        </w:rPr>
        <w:t xml:space="preserve">. </w:t>
      </w:r>
    </w:p>
    <w:p w14:paraId="3694CA83" w14:textId="77777777" w:rsidR="00B707B7" w:rsidRPr="001D2881" w:rsidRDefault="00B707B7" w:rsidP="00B707B7">
      <w:pPr>
        <w:rPr>
          <w:bCs/>
          <w:i/>
        </w:rPr>
      </w:pPr>
    </w:p>
    <w:p w14:paraId="75250A07" w14:textId="79A69667" w:rsidR="00B707B7" w:rsidRPr="001D2881" w:rsidRDefault="00B707B7" w:rsidP="00B707B7">
      <w:pPr>
        <w:rPr>
          <w:b/>
          <w:iCs/>
          <w:u w:val="single"/>
        </w:rPr>
      </w:pPr>
      <w:r w:rsidRPr="001D2881">
        <w:rPr>
          <w:b/>
          <w:iCs/>
          <w:u w:val="single"/>
        </w:rPr>
        <w:t>Qualified Investments</w:t>
      </w:r>
    </w:p>
    <w:p w14:paraId="28FE9B91" w14:textId="77777777" w:rsidR="00B707B7" w:rsidRPr="001D2881" w:rsidRDefault="00B707B7" w:rsidP="00B707B7">
      <w:pPr>
        <w:rPr>
          <w:b/>
          <w:iCs/>
          <w:u w:val="single"/>
        </w:rPr>
      </w:pPr>
    </w:p>
    <w:p w14:paraId="4AA2C83E" w14:textId="76304D52" w:rsidR="00B707B7" w:rsidRPr="001D2881" w:rsidRDefault="00B707B7" w:rsidP="00B707B7">
      <w:pPr>
        <w:rPr>
          <w:bCs/>
        </w:rPr>
      </w:pPr>
      <w:r w:rsidRPr="001D2881">
        <w:t>During the evaluation period</w:t>
      </w:r>
      <w:r w:rsidRPr="001D2881">
        <w:rPr>
          <w:iCs/>
        </w:rPr>
        <w:t xml:space="preserve">, </w:t>
      </w:r>
      <w:r>
        <w:rPr>
          <w:iCs/>
        </w:rPr>
        <w:t>the bank made 131</w:t>
      </w:r>
      <w:r w:rsidRPr="001D2881">
        <w:rPr>
          <w:iCs/>
        </w:rPr>
        <w:t xml:space="preserve"> qualified investme</w:t>
      </w:r>
      <w:r>
        <w:rPr>
          <w:iCs/>
        </w:rPr>
        <w:t xml:space="preserve">nts totaling approximately $2.0 </w:t>
      </w:r>
      <w:r w:rsidRPr="001D2881">
        <w:rPr>
          <w:iCs/>
        </w:rPr>
        <w:t>million, which includes 2 equity investme</w:t>
      </w:r>
      <w:r>
        <w:rPr>
          <w:iCs/>
        </w:rPr>
        <w:t>nts totaling $1.7 million and 129 donations totaling $298,944</w:t>
      </w:r>
      <w:r w:rsidRPr="001D2881">
        <w:rPr>
          <w:iCs/>
        </w:rPr>
        <w:t>.  This activity accounts for 0.2 percent of average total assets</w:t>
      </w:r>
      <w:r>
        <w:rPr>
          <w:iCs/>
        </w:rPr>
        <w:t>,</w:t>
      </w:r>
      <w:r w:rsidRPr="001D2881">
        <w:rPr>
          <w:iCs/>
        </w:rPr>
        <w:t xml:space="preserve"> and the equity investments account for 0.6 percent of total investments, which is similar to the previous evaluation. </w:t>
      </w:r>
      <w:r w:rsidR="009A2EF4">
        <w:rPr>
          <w:iCs/>
        </w:rPr>
        <w:t xml:space="preserve"> </w:t>
      </w:r>
      <w:r w:rsidRPr="001D2881">
        <w:rPr>
          <w:bCs/>
        </w:rPr>
        <w:t xml:space="preserve">In </w:t>
      </w:r>
      <w:r w:rsidRPr="001D2881">
        <w:rPr>
          <w:bCs/>
        </w:rPr>
        <w:lastRenderedPageBreak/>
        <w:t xml:space="preserve">addition, the bank </w:t>
      </w:r>
      <w:r>
        <w:rPr>
          <w:bCs/>
        </w:rPr>
        <w:t>allocat</w:t>
      </w:r>
      <w:r w:rsidRPr="001D2881">
        <w:rPr>
          <w:bCs/>
        </w:rPr>
        <w:t xml:space="preserve">ed the majority of </w:t>
      </w:r>
      <w:r w:rsidR="009A2EF4">
        <w:rPr>
          <w:bCs/>
        </w:rPr>
        <w:t xml:space="preserve">its </w:t>
      </w:r>
      <w:r w:rsidRPr="001D2881">
        <w:rPr>
          <w:bCs/>
        </w:rPr>
        <w:t>investment</w:t>
      </w:r>
      <w:r>
        <w:rPr>
          <w:bCs/>
        </w:rPr>
        <w:t xml:space="preserve"> dollar</w:t>
      </w:r>
      <w:r w:rsidRPr="001D2881">
        <w:rPr>
          <w:bCs/>
        </w:rPr>
        <w:t>s to affordable housing, which is a</w:t>
      </w:r>
      <w:r>
        <w:rPr>
          <w:bCs/>
        </w:rPr>
        <w:t xml:space="preserve"> primary</w:t>
      </w:r>
      <w:r w:rsidRPr="001D2881">
        <w:rPr>
          <w:bCs/>
        </w:rPr>
        <w:t xml:space="preserve"> assessment area</w:t>
      </w:r>
      <w:r>
        <w:rPr>
          <w:bCs/>
        </w:rPr>
        <w:t xml:space="preserve"> need</w:t>
      </w:r>
      <w:r w:rsidRPr="001D2881">
        <w:rPr>
          <w:bCs/>
        </w:rPr>
        <w:t xml:space="preserve">.  The following table illustrates the bank’s community development investments by </w:t>
      </w:r>
      <w:r w:rsidR="001324B7">
        <w:rPr>
          <w:bCs/>
        </w:rPr>
        <w:t xml:space="preserve">purpose and </w:t>
      </w:r>
      <w:r w:rsidRPr="001D2881">
        <w:rPr>
          <w:bCs/>
        </w:rPr>
        <w:t xml:space="preserve">year. </w:t>
      </w:r>
    </w:p>
    <w:p w14:paraId="61E8BFB3" w14:textId="77777777" w:rsidR="00B707B7" w:rsidRPr="001D2881" w:rsidRDefault="00B707B7" w:rsidP="00B707B7">
      <w:pPr>
        <w:rPr>
          <w:bCs/>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700"/>
        <w:gridCol w:w="894"/>
        <w:gridCol w:w="616"/>
        <w:gridCol w:w="914"/>
        <w:gridCol w:w="616"/>
        <w:gridCol w:w="914"/>
        <w:gridCol w:w="671"/>
        <w:gridCol w:w="949"/>
        <w:gridCol w:w="659"/>
        <w:gridCol w:w="900"/>
      </w:tblGrid>
      <w:tr w:rsidR="00B707B7" w:rsidRPr="001D2881" w14:paraId="1264C360" w14:textId="77777777" w:rsidTr="0037354D">
        <w:trPr>
          <w:trHeight w:val="360"/>
          <w:jc w:val="center"/>
        </w:trPr>
        <w:tc>
          <w:tcPr>
            <w:tcW w:w="9820" w:type="dxa"/>
            <w:gridSpan w:val="11"/>
            <w:shd w:val="clear" w:color="auto" w:fill="auto"/>
            <w:vAlign w:val="center"/>
          </w:tcPr>
          <w:p w14:paraId="390F1350" w14:textId="77777777" w:rsidR="00B707B7" w:rsidRPr="001D2881" w:rsidRDefault="00B707B7" w:rsidP="00E444B1">
            <w:pPr>
              <w:keepNext/>
              <w:widowControl w:val="0"/>
              <w:jc w:val="center"/>
              <w:rPr>
                <w:b/>
                <w:sz w:val="20"/>
                <w:szCs w:val="20"/>
              </w:rPr>
            </w:pPr>
            <w:r w:rsidRPr="001D2881">
              <w:rPr>
                <w:b/>
                <w:sz w:val="20"/>
                <w:szCs w:val="20"/>
              </w:rPr>
              <w:t>Qualified Investments</w:t>
            </w:r>
          </w:p>
        </w:tc>
      </w:tr>
      <w:tr w:rsidR="00B707B7" w:rsidRPr="001D2881" w14:paraId="4CC659BE" w14:textId="77777777" w:rsidTr="0037354D">
        <w:trPr>
          <w:trHeight w:val="288"/>
          <w:jc w:val="center"/>
        </w:trPr>
        <w:tc>
          <w:tcPr>
            <w:tcW w:w="1987" w:type="dxa"/>
            <w:vMerge w:val="restart"/>
            <w:shd w:val="clear" w:color="auto" w:fill="auto"/>
            <w:vAlign w:val="center"/>
          </w:tcPr>
          <w:p w14:paraId="3EA7EF26" w14:textId="77777777" w:rsidR="00B707B7" w:rsidRPr="00DC7000" w:rsidRDefault="00B707B7" w:rsidP="00E444B1">
            <w:pPr>
              <w:keepNext/>
              <w:widowControl w:val="0"/>
              <w:jc w:val="center"/>
              <w:rPr>
                <w:b/>
                <w:sz w:val="20"/>
                <w:szCs w:val="20"/>
              </w:rPr>
            </w:pPr>
            <w:r w:rsidRPr="00DC7000">
              <w:rPr>
                <w:b/>
                <w:sz w:val="20"/>
                <w:szCs w:val="20"/>
              </w:rPr>
              <w:t>Activity Year</w:t>
            </w:r>
          </w:p>
        </w:tc>
        <w:tc>
          <w:tcPr>
            <w:tcW w:w="1594" w:type="dxa"/>
            <w:gridSpan w:val="2"/>
            <w:shd w:val="clear" w:color="auto" w:fill="auto"/>
            <w:vAlign w:val="center"/>
          </w:tcPr>
          <w:p w14:paraId="4B8E6443" w14:textId="77777777" w:rsidR="00B707B7" w:rsidRPr="00DC7000" w:rsidRDefault="00B707B7" w:rsidP="00E444B1">
            <w:pPr>
              <w:keepNext/>
              <w:widowControl w:val="0"/>
              <w:jc w:val="center"/>
              <w:rPr>
                <w:b/>
                <w:sz w:val="20"/>
                <w:szCs w:val="20"/>
              </w:rPr>
            </w:pPr>
            <w:r w:rsidRPr="00DC7000">
              <w:rPr>
                <w:b/>
                <w:sz w:val="20"/>
                <w:szCs w:val="20"/>
              </w:rPr>
              <w:t>Affordable Housing</w:t>
            </w:r>
          </w:p>
        </w:tc>
        <w:tc>
          <w:tcPr>
            <w:tcW w:w="1530" w:type="dxa"/>
            <w:gridSpan w:val="2"/>
            <w:shd w:val="clear" w:color="auto" w:fill="auto"/>
            <w:vAlign w:val="center"/>
          </w:tcPr>
          <w:p w14:paraId="30A947EA" w14:textId="77777777" w:rsidR="00B707B7" w:rsidRPr="00DC7000" w:rsidRDefault="00B707B7" w:rsidP="00E444B1">
            <w:pPr>
              <w:keepNext/>
              <w:widowControl w:val="0"/>
              <w:jc w:val="center"/>
              <w:rPr>
                <w:b/>
                <w:sz w:val="20"/>
                <w:szCs w:val="20"/>
              </w:rPr>
            </w:pPr>
            <w:r w:rsidRPr="00DC7000">
              <w:rPr>
                <w:b/>
                <w:sz w:val="20"/>
                <w:szCs w:val="20"/>
              </w:rPr>
              <w:t>Community Services</w:t>
            </w:r>
          </w:p>
        </w:tc>
        <w:tc>
          <w:tcPr>
            <w:tcW w:w="1530" w:type="dxa"/>
            <w:gridSpan w:val="2"/>
            <w:shd w:val="clear" w:color="auto" w:fill="auto"/>
            <w:vAlign w:val="center"/>
          </w:tcPr>
          <w:p w14:paraId="6938B339" w14:textId="77777777" w:rsidR="00B707B7" w:rsidRPr="00DC7000" w:rsidRDefault="00B707B7" w:rsidP="00E444B1">
            <w:pPr>
              <w:keepNext/>
              <w:widowControl w:val="0"/>
              <w:jc w:val="center"/>
              <w:rPr>
                <w:b/>
                <w:sz w:val="20"/>
                <w:szCs w:val="20"/>
              </w:rPr>
            </w:pPr>
            <w:r w:rsidRPr="00DC7000">
              <w:rPr>
                <w:b/>
                <w:sz w:val="20"/>
                <w:szCs w:val="20"/>
              </w:rPr>
              <w:t>Economic Development</w:t>
            </w:r>
          </w:p>
        </w:tc>
        <w:tc>
          <w:tcPr>
            <w:tcW w:w="1620" w:type="dxa"/>
            <w:gridSpan w:val="2"/>
            <w:shd w:val="clear" w:color="auto" w:fill="auto"/>
            <w:vAlign w:val="center"/>
          </w:tcPr>
          <w:p w14:paraId="3F407C08" w14:textId="77777777" w:rsidR="00B707B7" w:rsidRPr="00DC7000" w:rsidRDefault="00B707B7" w:rsidP="00E444B1">
            <w:pPr>
              <w:keepNext/>
              <w:widowControl w:val="0"/>
              <w:jc w:val="center"/>
              <w:rPr>
                <w:b/>
                <w:sz w:val="20"/>
                <w:szCs w:val="20"/>
              </w:rPr>
            </w:pPr>
            <w:r w:rsidRPr="00DC7000">
              <w:rPr>
                <w:b/>
                <w:sz w:val="20"/>
                <w:szCs w:val="20"/>
              </w:rPr>
              <w:t>Revitalize or Stabilize</w:t>
            </w:r>
          </w:p>
        </w:tc>
        <w:tc>
          <w:tcPr>
            <w:tcW w:w="1559" w:type="dxa"/>
            <w:gridSpan w:val="2"/>
            <w:shd w:val="clear" w:color="auto" w:fill="auto"/>
            <w:vAlign w:val="center"/>
          </w:tcPr>
          <w:p w14:paraId="27E30F15" w14:textId="77777777" w:rsidR="00B707B7" w:rsidRPr="00DC7000" w:rsidRDefault="00B707B7" w:rsidP="00E444B1">
            <w:pPr>
              <w:keepNext/>
              <w:widowControl w:val="0"/>
              <w:jc w:val="center"/>
              <w:rPr>
                <w:b/>
                <w:sz w:val="20"/>
                <w:szCs w:val="20"/>
              </w:rPr>
            </w:pPr>
            <w:r w:rsidRPr="00DC7000">
              <w:rPr>
                <w:b/>
                <w:sz w:val="20"/>
                <w:szCs w:val="20"/>
              </w:rPr>
              <w:t>Totals</w:t>
            </w:r>
          </w:p>
        </w:tc>
      </w:tr>
      <w:tr w:rsidR="00B707B7" w:rsidRPr="001D2881" w14:paraId="4971A1B4" w14:textId="77777777" w:rsidTr="0037354D">
        <w:trPr>
          <w:trHeight w:val="288"/>
          <w:jc w:val="center"/>
        </w:trPr>
        <w:tc>
          <w:tcPr>
            <w:tcW w:w="1987" w:type="dxa"/>
            <w:vMerge/>
            <w:shd w:val="clear" w:color="auto" w:fill="auto"/>
            <w:vAlign w:val="center"/>
          </w:tcPr>
          <w:p w14:paraId="706DA1F1" w14:textId="77777777" w:rsidR="00B707B7" w:rsidRPr="00DC7000" w:rsidRDefault="00B707B7" w:rsidP="00E444B1">
            <w:pPr>
              <w:keepNext/>
              <w:widowControl w:val="0"/>
              <w:jc w:val="center"/>
              <w:rPr>
                <w:sz w:val="20"/>
                <w:szCs w:val="20"/>
                <w:highlight w:val="green"/>
              </w:rPr>
            </w:pPr>
          </w:p>
        </w:tc>
        <w:tc>
          <w:tcPr>
            <w:tcW w:w="700" w:type="dxa"/>
            <w:shd w:val="clear" w:color="auto" w:fill="auto"/>
            <w:vAlign w:val="center"/>
          </w:tcPr>
          <w:p w14:paraId="38EA852D" w14:textId="77777777" w:rsidR="00B707B7" w:rsidRPr="00DC7000" w:rsidRDefault="00B707B7" w:rsidP="00E444B1">
            <w:pPr>
              <w:keepNext/>
              <w:widowControl w:val="0"/>
              <w:jc w:val="center"/>
              <w:rPr>
                <w:b/>
                <w:sz w:val="20"/>
                <w:szCs w:val="20"/>
              </w:rPr>
            </w:pPr>
            <w:r w:rsidRPr="00DC7000">
              <w:rPr>
                <w:b/>
                <w:sz w:val="20"/>
                <w:szCs w:val="20"/>
              </w:rPr>
              <w:t>#</w:t>
            </w:r>
          </w:p>
        </w:tc>
        <w:tc>
          <w:tcPr>
            <w:tcW w:w="894" w:type="dxa"/>
            <w:shd w:val="clear" w:color="auto" w:fill="auto"/>
            <w:vAlign w:val="center"/>
          </w:tcPr>
          <w:p w14:paraId="1803D51C" w14:textId="77777777" w:rsidR="00B707B7" w:rsidRPr="00DC7000" w:rsidRDefault="00B707B7" w:rsidP="00E444B1">
            <w:pPr>
              <w:keepNext/>
              <w:widowControl w:val="0"/>
              <w:jc w:val="center"/>
              <w:rPr>
                <w:b/>
                <w:sz w:val="20"/>
                <w:szCs w:val="20"/>
              </w:rPr>
            </w:pPr>
            <w:r w:rsidRPr="00DC7000">
              <w:rPr>
                <w:b/>
                <w:sz w:val="20"/>
                <w:szCs w:val="20"/>
              </w:rPr>
              <w:t>$(000s)</w:t>
            </w:r>
          </w:p>
        </w:tc>
        <w:tc>
          <w:tcPr>
            <w:tcW w:w="616" w:type="dxa"/>
            <w:shd w:val="clear" w:color="auto" w:fill="auto"/>
            <w:vAlign w:val="center"/>
          </w:tcPr>
          <w:p w14:paraId="66134AC4" w14:textId="77777777" w:rsidR="00B707B7" w:rsidRPr="00DC7000" w:rsidRDefault="00B707B7" w:rsidP="00E444B1">
            <w:pPr>
              <w:keepNext/>
              <w:widowControl w:val="0"/>
              <w:jc w:val="center"/>
              <w:rPr>
                <w:b/>
                <w:sz w:val="20"/>
                <w:szCs w:val="20"/>
              </w:rPr>
            </w:pPr>
            <w:r w:rsidRPr="00DC7000">
              <w:rPr>
                <w:b/>
                <w:sz w:val="20"/>
                <w:szCs w:val="20"/>
              </w:rPr>
              <w:t>#</w:t>
            </w:r>
          </w:p>
        </w:tc>
        <w:tc>
          <w:tcPr>
            <w:tcW w:w="914" w:type="dxa"/>
            <w:shd w:val="clear" w:color="auto" w:fill="auto"/>
            <w:vAlign w:val="center"/>
          </w:tcPr>
          <w:p w14:paraId="0D2838DE" w14:textId="77777777" w:rsidR="00B707B7" w:rsidRPr="00DC7000" w:rsidRDefault="00B707B7" w:rsidP="00E444B1">
            <w:pPr>
              <w:keepNext/>
              <w:widowControl w:val="0"/>
              <w:jc w:val="center"/>
              <w:rPr>
                <w:b/>
                <w:sz w:val="20"/>
                <w:szCs w:val="20"/>
              </w:rPr>
            </w:pPr>
            <w:r w:rsidRPr="00DC7000">
              <w:rPr>
                <w:b/>
                <w:sz w:val="20"/>
                <w:szCs w:val="20"/>
              </w:rPr>
              <w:t>$(000s)</w:t>
            </w:r>
          </w:p>
        </w:tc>
        <w:tc>
          <w:tcPr>
            <w:tcW w:w="616" w:type="dxa"/>
            <w:shd w:val="clear" w:color="auto" w:fill="auto"/>
            <w:vAlign w:val="center"/>
          </w:tcPr>
          <w:p w14:paraId="5B1A5332" w14:textId="77777777" w:rsidR="00B707B7" w:rsidRPr="00DC7000" w:rsidRDefault="00B707B7" w:rsidP="00E444B1">
            <w:pPr>
              <w:keepNext/>
              <w:widowControl w:val="0"/>
              <w:jc w:val="center"/>
              <w:rPr>
                <w:b/>
                <w:sz w:val="20"/>
                <w:szCs w:val="20"/>
              </w:rPr>
            </w:pPr>
            <w:r w:rsidRPr="00DC7000">
              <w:rPr>
                <w:b/>
                <w:sz w:val="20"/>
                <w:szCs w:val="20"/>
              </w:rPr>
              <w:t>#</w:t>
            </w:r>
          </w:p>
        </w:tc>
        <w:tc>
          <w:tcPr>
            <w:tcW w:w="914" w:type="dxa"/>
            <w:shd w:val="clear" w:color="auto" w:fill="auto"/>
            <w:vAlign w:val="center"/>
          </w:tcPr>
          <w:p w14:paraId="1BF687FF" w14:textId="77777777" w:rsidR="00B707B7" w:rsidRPr="00DC7000" w:rsidRDefault="00B707B7" w:rsidP="00E444B1">
            <w:pPr>
              <w:keepNext/>
              <w:widowControl w:val="0"/>
              <w:jc w:val="center"/>
              <w:rPr>
                <w:b/>
                <w:sz w:val="20"/>
                <w:szCs w:val="20"/>
              </w:rPr>
            </w:pPr>
            <w:r w:rsidRPr="00DC7000">
              <w:rPr>
                <w:b/>
                <w:sz w:val="20"/>
                <w:szCs w:val="20"/>
              </w:rPr>
              <w:t>$(000s)</w:t>
            </w:r>
          </w:p>
        </w:tc>
        <w:tc>
          <w:tcPr>
            <w:tcW w:w="671" w:type="dxa"/>
            <w:shd w:val="clear" w:color="auto" w:fill="auto"/>
            <w:vAlign w:val="center"/>
          </w:tcPr>
          <w:p w14:paraId="5BCC0B84" w14:textId="77777777" w:rsidR="00B707B7" w:rsidRPr="00DC7000" w:rsidRDefault="00B707B7" w:rsidP="00E444B1">
            <w:pPr>
              <w:keepNext/>
              <w:widowControl w:val="0"/>
              <w:jc w:val="center"/>
              <w:rPr>
                <w:b/>
                <w:sz w:val="20"/>
                <w:szCs w:val="20"/>
              </w:rPr>
            </w:pPr>
            <w:r w:rsidRPr="00DC7000">
              <w:rPr>
                <w:b/>
                <w:sz w:val="20"/>
                <w:szCs w:val="20"/>
              </w:rPr>
              <w:t>#</w:t>
            </w:r>
          </w:p>
        </w:tc>
        <w:tc>
          <w:tcPr>
            <w:tcW w:w="949" w:type="dxa"/>
            <w:shd w:val="clear" w:color="auto" w:fill="auto"/>
            <w:vAlign w:val="center"/>
          </w:tcPr>
          <w:p w14:paraId="3DE2A48A" w14:textId="77777777" w:rsidR="00B707B7" w:rsidRPr="00DC7000" w:rsidRDefault="00B707B7" w:rsidP="00E444B1">
            <w:pPr>
              <w:keepNext/>
              <w:widowControl w:val="0"/>
              <w:jc w:val="center"/>
              <w:rPr>
                <w:b/>
                <w:sz w:val="20"/>
                <w:szCs w:val="20"/>
              </w:rPr>
            </w:pPr>
            <w:r w:rsidRPr="00DC7000">
              <w:rPr>
                <w:b/>
                <w:sz w:val="20"/>
                <w:szCs w:val="20"/>
              </w:rPr>
              <w:t>$(000s)</w:t>
            </w:r>
          </w:p>
        </w:tc>
        <w:tc>
          <w:tcPr>
            <w:tcW w:w="659" w:type="dxa"/>
            <w:shd w:val="clear" w:color="auto" w:fill="auto"/>
            <w:vAlign w:val="center"/>
          </w:tcPr>
          <w:p w14:paraId="3ACF16F4" w14:textId="77777777" w:rsidR="00B707B7" w:rsidRPr="00DC7000" w:rsidRDefault="00B707B7" w:rsidP="00E444B1">
            <w:pPr>
              <w:keepNext/>
              <w:widowControl w:val="0"/>
              <w:jc w:val="center"/>
              <w:rPr>
                <w:b/>
                <w:sz w:val="20"/>
                <w:szCs w:val="20"/>
              </w:rPr>
            </w:pPr>
            <w:r w:rsidRPr="00DC7000">
              <w:rPr>
                <w:b/>
                <w:sz w:val="20"/>
                <w:szCs w:val="20"/>
              </w:rPr>
              <w:t>#</w:t>
            </w:r>
          </w:p>
        </w:tc>
        <w:tc>
          <w:tcPr>
            <w:tcW w:w="900" w:type="dxa"/>
            <w:shd w:val="clear" w:color="auto" w:fill="auto"/>
            <w:vAlign w:val="center"/>
          </w:tcPr>
          <w:p w14:paraId="35B059CB" w14:textId="77777777" w:rsidR="00B707B7" w:rsidRPr="00DC7000" w:rsidRDefault="00B707B7" w:rsidP="00E444B1">
            <w:pPr>
              <w:keepNext/>
              <w:widowControl w:val="0"/>
              <w:jc w:val="center"/>
              <w:rPr>
                <w:b/>
                <w:sz w:val="20"/>
                <w:szCs w:val="20"/>
              </w:rPr>
            </w:pPr>
            <w:r w:rsidRPr="00DC7000">
              <w:rPr>
                <w:b/>
                <w:sz w:val="20"/>
                <w:szCs w:val="20"/>
              </w:rPr>
              <w:t>$(000s)</w:t>
            </w:r>
          </w:p>
        </w:tc>
      </w:tr>
      <w:tr w:rsidR="00D76C29" w:rsidRPr="001D2881" w14:paraId="6FE55A03" w14:textId="77777777" w:rsidTr="0037354D">
        <w:trPr>
          <w:trHeight w:val="288"/>
          <w:jc w:val="center"/>
        </w:trPr>
        <w:tc>
          <w:tcPr>
            <w:tcW w:w="1987" w:type="dxa"/>
            <w:shd w:val="clear" w:color="auto" w:fill="auto"/>
            <w:vAlign w:val="center"/>
          </w:tcPr>
          <w:p w14:paraId="275551E1" w14:textId="77777777" w:rsidR="00D76C29" w:rsidRPr="00DC7000" w:rsidRDefault="00D76C29" w:rsidP="001324B7">
            <w:pPr>
              <w:keepNext/>
              <w:widowControl w:val="0"/>
              <w:rPr>
                <w:sz w:val="20"/>
                <w:szCs w:val="20"/>
              </w:rPr>
            </w:pPr>
            <w:r w:rsidRPr="00DC7000">
              <w:rPr>
                <w:sz w:val="20"/>
                <w:szCs w:val="20"/>
              </w:rPr>
              <w:t>Prior Period</w:t>
            </w:r>
          </w:p>
        </w:tc>
        <w:tc>
          <w:tcPr>
            <w:tcW w:w="700" w:type="dxa"/>
            <w:shd w:val="clear" w:color="auto" w:fill="auto"/>
          </w:tcPr>
          <w:p w14:paraId="0F32F643" w14:textId="01B9F66C" w:rsidR="00D76C29" w:rsidRPr="00DC7000" w:rsidRDefault="00D76C29" w:rsidP="00D76C29">
            <w:pPr>
              <w:keepNext/>
              <w:jc w:val="center"/>
              <w:rPr>
                <w:sz w:val="20"/>
                <w:szCs w:val="20"/>
              </w:rPr>
            </w:pPr>
            <w:r>
              <w:rPr>
                <w:sz w:val="20"/>
                <w:szCs w:val="20"/>
              </w:rPr>
              <w:t>0</w:t>
            </w:r>
          </w:p>
        </w:tc>
        <w:tc>
          <w:tcPr>
            <w:tcW w:w="894" w:type="dxa"/>
            <w:shd w:val="clear" w:color="auto" w:fill="auto"/>
          </w:tcPr>
          <w:p w14:paraId="311E33CB" w14:textId="3AEC742A" w:rsidR="00D76C29" w:rsidRPr="00DC7000" w:rsidRDefault="00D76C29" w:rsidP="00D76C29">
            <w:pPr>
              <w:keepNext/>
              <w:jc w:val="center"/>
              <w:rPr>
                <w:sz w:val="20"/>
                <w:szCs w:val="20"/>
              </w:rPr>
            </w:pPr>
            <w:r w:rsidRPr="00BB4DF1">
              <w:rPr>
                <w:sz w:val="20"/>
                <w:szCs w:val="20"/>
              </w:rPr>
              <w:t>0</w:t>
            </w:r>
          </w:p>
        </w:tc>
        <w:tc>
          <w:tcPr>
            <w:tcW w:w="616" w:type="dxa"/>
            <w:shd w:val="clear" w:color="auto" w:fill="auto"/>
          </w:tcPr>
          <w:p w14:paraId="6EB5C936" w14:textId="2592D2D7" w:rsidR="00D76C29" w:rsidRPr="00DC7000" w:rsidRDefault="00D76C29" w:rsidP="00D76C29">
            <w:pPr>
              <w:keepNext/>
              <w:jc w:val="center"/>
              <w:rPr>
                <w:sz w:val="20"/>
                <w:szCs w:val="20"/>
              </w:rPr>
            </w:pPr>
            <w:r w:rsidRPr="00BB4DF1">
              <w:rPr>
                <w:sz w:val="20"/>
                <w:szCs w:val="20"/>
              </w:rPr>
              <w:t>0</w:t>
            </w:r>
          </w:p>
        </w:tc>
        <w:tc>
          <w:tcPr>
            <w:tcW w:w="914" w:type="dxa"/>
            <w:shd w:val="clear" w:color="auto" w:fill="auto"/>
          </w:tcPr>
          <w:p w14:paraId="4EF50DFC" w14:textId="11FACF71" w:rsidR="00D76C29" w:rsidRPr="00DC7000" w:rsidRDefault="00D76C29" w:rsidP="00D76C29">
            <w:pPr>
              <w:keepNext/>
              <w:jc w:val="center"/>
              <w:rPr>
                <w:sz w:val="20"/>
                <w:szCs w:val="20"/>
              </w:rPr>
            </w:pPr>
            <w:r w:rsidRPr="00BB4DF1">
              <w:rPr>
                <w:sz w:val="20"/>
                <w:szCs w:val="20"/>
              </w:rPr>
              <w:t>0</w:t>
            </w:r>
          </w:p>
        </w:tc>
        <w:tc>
          <w:tcPr>
            <w:tcW w:w="616" w:type="dxa"/>
            <w:shd w:val="clear" w:color="auto" w:fill="auto"/>
          </w:tcPr>
          <w:p w14:paraId="2A264FA5" w14:textId="5DF4D7C6" w:rsidR="00D76C29" w:rsidRPr="00DC7000" w:rsidRDefault="00D76C29" w:rsidP="00D76C29">
            <w:pPr>
              <w:keepNext/>
              <w:jc w:val="center"/>
              <w:rPr>
                <w:sz w:val="20"/>
                <w:szCs w:val="20"/>
              </w:rPr>
            </w:pPr>
            <w:r w:rsidRPr="00BB4DF1">
              <w:rPr>
                <w:sz w:val="20"/>
                <w:szCs w:val="20"/>
              </w:rPr>
              <w:t>0</w:t>
            </w:r>
          </w:p>
        </w:tc>
        <w:tc>
          <w:tcPr>
            <w:tcW w:w="914" w:type="dxa"/>
            <w:shd w:val="clear" w:color="auto" w:fill="auto"/>
          </w:tcPr>
          <w:p w14:paraId="1ACA3147" w14:textId="1506A9D7" w:rsidR="00D76C29" w:rsidRPr="00DC7000" w:rsidRDefault="00D76C29" w:rsidP="00D76C29">
            <w:pPr>
              <w:keepNext/>
              <w:jc w:val="center"/>
              <w:rPr>
                <w:sz w:val="20"/>
                <w:szCs w:val="20"/>
              </w:rPr>
            </w:pPr>
            <w:r w:rsidRPr="00BB4DF1">
              <w:rPr>
                <w:sz w:val="20"/>
                <w:szCs w:val="20"/>
              </w:rPr>
              <w:t>0</w:t>
            </w:r>
          </w:p>
        </w:tc>
        <w:tc>
          <w:tcPr>
            <w:tcW w:w="671" w:type="dxa"/>
            <w:shd w:val="clear" w:color="auto" w:fill="auto"/>
          </w:tcPr>
          <w:p w14:paraId="59D13D72" w14:textId="3BAE4797" w:rsidR="00D76C29" w:rsidRPr="00DC7000" w:rsidRDefault="00D76C29" w:rsidP="00D76C29">
            <w:pPr>
              <w:keepNext/>
              <w:jc w:val="center"/>
              <w:rPr>
                <w:sz w:val="20"/>
                <w:szCs w:val="20"/>
              </w:rPr>
            </w:pPr>
            <w:r w:rsidRPr="00BB4DF1">
              <w:rPr>
                <w:sz w:val="20"/>
                <w:szCs w:val="20"/>
              </w:rPr>
              <w:t>0</w:t>
            </w:r>
          </w:p>
        </w:tc>
        <w:tc>
          <w:tcPr>
            <w:tcW w:w="949" w:type="dxa"/>
            <w:shd w:val="clear" w:color="auto" w:fill="auto"/>
          </w:tcPr>
          <w:p w14:paraId="4B2F1149" w14:textId="27FD4552" w:rsidR="00D76C29" w:rsidRPr="00DC7000" w:rsidRDefault="00D76C29" w:rsidP="00D76C29">
            <w:pPr>
              <w:keepNext/>
              <w:jc w:val="center"/>
              <w:rPr>
                <w:sz w:val="20"/>
                <w:szCs w:val="20"/>
              </w:rPr>
            </w:pPr>
            <w:r w:rsidRPr="00BB4DF1">
              <w:rPr>
                <w:sz w:val="20"/>
                <w:szCs w:val="20"/>
              </w:rPr>
              <w:t>0</w:t>
            </w:r>
          </w:p>
        </w:tc>
        <w:tc>
          <w:tcPr>
            <w:tcW w:w="659" w:type="dxa"/>
            <w:shd w:val="clear" w:color="auto" w:fill="auto"/>
          </w:tcPr>
          <w:p w14:paraId="67B6F34F" w14:textId="3A592FFC" w:rsidR="00D76C29" w:rsidRPr="00E444B1" w:rsidRDefault="00D76C29" w:rsidP="00D76C29">
            <w:pPr>
              <w:keepNext/>
              <w:jc w:val="center"/>
              <w:rPr>
                <w:b/>
                <w:sz w:val="20"/>
                <w:szCs w:val="20"/>
              </w:rPr>
            </w:pPr>
            <w:r w:rsidRPr="0037354D">
              <w:rPr>
                <w:b/>
                <w:sz w:val="20"/>
                <w:szCs w:val="20"/>
              </w:rPr>
              <w:t>0</w:t>
            </w:r>
          </w:p>
        </w:tc>
        <w:tc>
          <w:tcPr>
            <w:tcW w:w="900" w:type="dxa"/>
            <w:shd w:val="clear" w:color="auto" w:fill="auto"/>
          </w:tcPr>
          <w:p w14:paraId="70A11D13" w14:textId="0A929E2F" w:rsidR="00D76C29" w:rsidRPr="00E444B1" w:rsidRDefault="00D76C29" w:rsidP="00D76C29">
            <w:pPr>
              <w:keepNext/>
              <w:jc w:val="center"/>
              <w:rPr>
                <w:b/>
                <w:sz w:val="20"/>
                <w:szCs w:val="20"/>
              </w:rPr>
            </w:pPr>
            <w:r w:rsidRPr="0037354D">
              <w:rPr>
                <w:b/>
                <w:sz w:val="20"/>
                <w:szCs w:val="20"/>
              </w:rPr>
              <w:t>0</w:t>
            </w:r>
          </w:p>
        </w:tc>
      </w:tr>
      <w:tr w:rsidR="00D76C29" w:rsidRPr="001D2881" w14:paraId="38BE1C96" w14:textId="77777777" w:rsidTr="0037354D">
        <w:trPr>
          <w:trHeight w:val="288"/>
          <w:jc w:val="center"/>
        </w:trPr>
        <w:tc>
          <w:tcPr>
            <w:tcW w:w="1987" w:type="dxa"/>
            <w:shd w:val="clear" w:color="auto" w:fill="auto"/>
            <w:vAlign w:val="center"/>
          </w:tcPr>
          <w:p w14:paraId="4CBB0586" w14:textId="35CB1710" w:rsidR="00D76C29" w:rsidRPr="00DC7000" w:rsidRDefault="00D76C29" w:rsidP="001324B7">
            <w:pPr>
              <w:keepNext/>
              <w:widowControl w:val="0"/>
              <w:rPr>
                <w:sz w:val="20"/>
                <w:szCs w:val="20"/>
              </w:rPr>
            </w:pPr>
            <w:r w:rsidRPr="00DC7000">
              <w:rPr>
                <w:sz w:val="20"/>
                <w:szCs w:val="20"/>
              </w:rPr>
              <w:t>2017</w:t>
            </w:r>
          </w:p>
        </w:tc>
        <w:tc>
          <w:tcPr>
            <w:tcW w:w="700" w:type="dxa"/>
            <w:shd w:val="clear" w:color="auto" w:fill="auto"/>
          </w:tcPr>
          <w:p w14:paraId="3DCFB6D4" w14:textId="4B409E2C" w:rsidR="00D76C29" w:rsidRPr="00DC7000" w:rsidRDefault="00D76C29" w:rsidP="00D76C29">
            <w:pPr>
              <w:keepNext/>
              <w:jc w:val="center"/>
              <w:rPr>
                <w:sz w:val="20"/>
                <w:szCs w:val="20"/>
              </w:rPr>
            </w:pPr>
            <w:r w:rsidRPr="00106E4D">
              <w:rPr>
                <w:sz w:val="20"/>
                <w:szCs w:val="20"/>
              </w:rPr>
              <w:t>0</w:t>
            </w:r>
          </w:p>
        </w:tc>
        <w:tc>
          <w:tcPr>
            <w:tcW w:w="894" w:type="dxa"/>
            <w:shd w:val="clear" w:color="auto" w:fill="auto"/>
          </w:tcPr>
          <w:p w14:paraId="64A5B1FD" w14:textId="0900E444" w:rsidR="00D76C29" w:rsidRPr="00DC7000" w:rsidRDefault="00D76C29" w:rsidP="00D76C29">
            <w:pPr>
              <w:keepNext/>
              <w:jc w:val="center"/>
              <w:rPr>
                <w:sz w:val="20"/>
                <w:szCs w:val="20"/>
              </w:rPr>
            </w:pPr>
            <w:r w:rsidRPr="00BB4DF1">
              <w:rPr>
                <w:sz w:val="20"/>
                <w:szCs w:val="20"/>
              </w:rPr>
              <w:t>0</w:t>
            </w:r>
          </w:p>
        </w:tc>
        <w:tc>
          <w:tcPr>
            <w:tcW w:w="616" w:type="dxa"/>
            <w:shd w:val="clear" w:color="auto" w:fill="auto"/>
          </w:tcPr>
          <w:p w14:paraId="43AA21FC" w14:textId="0241B5DC" w:rsidR="00D76C29" w:rsidRPr="00DC7000" w:rsidRDefault="00D76C29" w:rsidP="00D76C29">
            <w:pPr>
              <w:keepNext/>
              <w:jc w:val="center"/>
              <w:rPr>
                <w:sz w:val="20"/>
                <w:szCs w:val="20"/>
              </w:rPr>
            </w:pPr>
            <w:r w:rsidRPr="00BB4DF1">
              <w:rPr>
                <w:sz w:val="20"/>
                <w:szCs w:val="20"/>
              </w:rPr>
              <w:t>0</w:t>
            </w:r>
          </w:p>
        </w:tc>
        <w:tc>
          <w:tcPr>
            <w:tcW w:w="914" w:type="dxa"/>
            <w:shd w:val="clear" w:color="auto" w:fill="auto"/>
          </w:tcPr>
          <w:p w14:paraId="70E689AD" w14:textId="2DEA7265" w:rsidR="00D76C29" w:rsidRPr="00DC7000" w:rsidRDefault="00D76C29" w:rsidP="00D76C29">
            <w:pPr>
              <w:keepNext/>
              <w:jc w:val="center"/>
              <w:rPr>
                <w:sz w:val="20"/>
                <w:szCs w:val="20"/>
              </w:rPr>
            </w:pPr>
            <w:r w:rsidRPr="00BB4DF1">
              <w:rPr>
                <w:sz w:val="20"/>
                <w:szCs w:val="20"/>
              </w:rPr>
              <w:t>0</w:t>
            </w:r>
          </w:p>
        </w:tc>
        <w:tc>
          <w:tcPr>
            <w:tcW w:w="616" w:type="dxa"/>
            <w:shd w:val="clear" w:color="auto" w:fill="auto"/>
          </w:tcPr>
          <w:p w14:paraId="573C967A" w14:textId="16334C63" w:rsidR="00D76C29" w:rsidRPr="00DC7000" w:rsidRDefault="00D76C29" w:rsidP="00D76C29">
            <w:pPr>
              <w:keepNext/>
              <w:jc w:val="center"/>
              <w:rPr>
                <w:sz w:val="20"/>
                <w:szCs w:val="20"/>
              </w:rPr>
            </w:pPr>
            <w:r w:rsidRPr="00BB4DF1">
              <w:rPr>
                <w:sz w:val="20"/>
                <w:szCs w:val="20"/>
              </w:rPr>
              <w:t>0</w:t>
            </w:r>
          </w:p>
        </w:tc>
        <w:tc>
          <w:tcPr>
            <w:tcW w:w="914" w:type="dxa"/>
            <w:shd w:val="clear" w:color="auto" w:fill="auto"/>
          </w:tcPr>
          <w:p w14:paraId="4A659E10" w14:textId="49062537" w:rsidR="00D76C29" w:rsidRPr="00DC7000" w:rsidRDefault="00D76C29" w:rsidP="00D76C29">
            <w:pPr>
              <w:keepNext/>
              <w:jc w:val="center"/>
              <w:rPr>
                <w:sz w:val="20"/>
                <w:szCs w:val="20"/>
              </w:rPr>
            </w:pPr>
            <w:r w:rsidRPr="00BB4DF1">
              <w:rPr>
                <w:sz w:val="20"/>
                <w:szCs w:val="20"/>
              </w:rPr>
              <w:t>0</w:t>
            </w:r>
          </w:p>
        </w:tc>
        <w:tc>
          <w:tcPr>
            <w:tcW w:w="671" w:type="dxa"/>
            <w:shd w:val="clear" w:color="auto" w:fill="auto"/>
          </w:tcPr>
          <w:p w14:paraId="376D9A30" w14:textId="0BCE921D" w:rsidR="00D76C29" w:rsidRPr="00DC7000" w:rsidRDefault="00D76C29" w:rsidP="00D76C29">
            <w:pPr>
              <w:keepNext/>
              <w:jc w:val="center"/>
              <w:rPr>
                <w:sz w:val="20"/>
                <w:szCs w:val="20"/>
              </w:rPr>
            </w:pPr>
            <w:r w:rsidRPr="00BB4DF1">
              <w:rPr>
                <w:sz w:val="20"/>
                <w:szCs w:val="20"/>
              </w:rPr>
              <w:t>0</w:t>
            </w:r>
          </w:p>
        </w:tc>
        <w:tc>
          <w:tcPr>
            <w:tcW w:w="949" w:type="dxa"/>
            <w:shd w:val="clear" w:color="auto" w:fill="auto"/>
          </w:tcPr>
          <w:p w14:paraId="02C0FD21" w14:textId="0EC821EE" w:rsidR="00D76C29" w:rsidRPr="00DC7000" w:rsidRDefault="00D76C29" w:rsidP="00D76C29">
            <w:pPr>
              <w:keepNext/>
              <w:jc w:val="center"/>
              <w:rPr>
                <w:sz w:val="20"/>
                <w:szCs w:val="20"/>
              </w:rPr>
            </w:pPr>
            <w:r w:rsidRPr="00BB4DF1">
              <w:rPr>
                <w:sz w:val="20"/>
                <w:szCs w:val="20"/>
              </w:rPr>
              <w:t>0</w:t>
            </w:r>
          </w:p>
        </w:tc>
        <w:tc>
          <w:tcPr>
            <w:tcW w:w="659" w:type="dxa"/>
            <w:shd w:val="clear" w:color="auto" w:fill="auto"/>
          </w:tcPr>
          <w:p w14:paraId="40BB9EB9" w14:textId="2ECA4E33" w:rsidR="00D76C29" w:rsidRPr="00E444B1" w:rsidRDefault="00D76C29" w:rsidP="00D76C29">
            <w:pPr>
              <w:keepNext/>
              <w:jc w:val="center"/>
              <w:rPr>
                <w:b/>
                <w:sz w:val="20"/>
                <w:szCs w:val="20"/>
              </w:rPr>
            </w:pPr>
            <w:r w:rsidRPr="0037354D">
              <w:rPr>
                <w:b/>
                <w:sz w:val="20"/>
                <w:szCs w:val="20"/>
              </w:rPr>
              <w:t>0</w:t>
            </w:r>
          </w:p>
        </w:tc>
        <w:tc>
          <w:tcPr>
            <w:tcW w:w="900" w:type="dxa"/>
            <w:shd w:val="clear" w:color="auto" w:fill="auto"/>
          </w:tcPr>
          <w:p w14:paraId="78C500D6" w14:textId="2226D0D9" w:rsidR="00D76C29" w:rsidRPr="00E444B1" w:rsidRDefault="00D76C29" w:rsidP="00D76C29">
            <w:pPr>
              <w:keepNext/>
              <w:jc w:val="center"/>
              <w:rPr>
                <w:b/>
                <w:sz w:val="20"/>
                <w:szCs w:val="20"/>
              </w:rPr>
            </w:pPr>
            <w:r w:rsidRPr="0037354D">
              <w:rPr>
                <w:b/>
                <w:sz w:val="20"/>
                <w:szCs w:val="20"/>
              </w:rPr>
              <w:t>0</w:t>
            </w:r>
          </w:p>
        </w:tc>
      </w:tr>
      <w:tr w:rsidR="00D76C29" w:rsidRPr="001D2881" w14:paraId="5F74CA89" w14:textId="77777777" w:rsidTr="0037354D">
        <w:trPr>
          <w:trHeight w:val="288"/>
          <w:jc w:val="center"/>
        </w:trPr>
        <w:tc>
          <w:tcPr>
            <w:tcW w:w="1987" w:type="dxa"/>
            <w:shd w:val="clear" w:color="auto" w:fill="auto"/>
            <w:vAlign w:val="center"/>
          </w:tcPr>
          <w:p w14:paraId="705B704B" w14:textId="77777777" w:rsidR="00D76C29" w:rsidRPr="00DC7000" w:rsidRDefault="00D76C29" w:rsidP="001324B7">
            <w:pPr>
              <w:keepNext/>
              <w:widowControl w:val="0"/>
              <w:rPr>
                <w:sz w:val="20"/>
                <w:szCs w:val="20"/>
              </w:rPr>
            </w:pPr>
            <w:r w:rsidRPr="00DC7000">
              <w:rPr>
                <w:sz w:val="20"/>
                <w:szCs w:val="20"/>
              </w:rPr>
              <w:t>2018</w:t>
            </w:r>
          </w:p>
        </w:tc>
        <w:tc>
          <w:tcPr>
            <w:tcW w:w="700" w:type="dxa"/>
            <w:shd w:val="clear" w:color="auto" w:fill="auto"/>
          </w:tcPr>
          <w:p w14:paraId="7EEFEA39" w14:textId="4626D1E6" w:rsidR="00D76C29" w:rsidRPr="00DC7000" w:rsidRDefault="00D76C29" w:rsidP="00D76C29">
            <w:pPr>
              <w:keepNext/>
              <w:jc w:val="center"/>
              <w:rPr>
                <w:sz w:val="20"/>
                <w:szCs w:val="20"/>
              </w:rPr>
            </w:pPr>
            <w:r w:rsidRPr="00106E4D">
              <w:rPr>
                <w:sz w:val="20"/>
                <w:szCs w:val="20"/>
              </w:rPr>
              <w:t>0</w:t>
            </w:r>
          </w:p>
        </w:tc>
        <w:tc>
          <w:tcPr>
            <w:tcW w:w="894" w:type="dxa"/>
            <w:shd w:val="clear" w:color="auto" w:fill="auto"/>
          </w:tcPr>
          <w:p w14:paraId="54F98C02" w14:textId="5A4F3FD1" w:rsidR="00D76C29" w:rsidRPr="00DC7000" w:rsidRDefault="00D76C29" w:rsidP="00D76C29">
            <w:pPr>
              <w:keepNext/>
              <w:jc w:val="center"/>
              <w:rPr>
                <w:sz w:val="20"/>
                <w:szCs w:val="20"/>
              </w:rPr>
            </w:pPr>
            <w:r w:rsidRPr="00BB4DF1">
              <w:rPr>
                <w:sz w:val="20"/>
                <w:szCs w:val="20"/>
              </w:rPr>
              <w:t>0</w:t>
            </w:r>
          </w:p>
        </w:tc>
        <w:tc>
          <w:tcPr>
            <w:tcW w:w="616" w:type="dxa"/>
            <w:shd w:val="clear" w:color="auto" w:fill="auto"/>
          </w:tcPr>
          <w:p w14:paraId="047D19F2" w14:textId="2D5017E8" w:rsidR="00D76C29" w:rsidRPr="00DC7000" w:rsidRDefault="00D76C29" w:rsidP="00D76C29">
            <w:pPr>
              <w:keepNext/>
              <w:jc w:val="center"/>
              <w:rPr>
                <w:sz w:val="20"/>
                <w:szCs w:val="20"/>
              </w:rPr>
            </w:pPr>
            <w:r w:rsidRPr="00BB4DF1">
              <w:rPr>
                <w:sz w:val="20"/>
                <w:szCs w:val="20"/>
              </w:rPr>
              <w:t>0</w:t>
            </w:r>
          </w:p>
        </w:tc>
        <w:tc>
          <w:tcPr>
            <w:tcW w:w="914" w:type="dxa"/>
            <w:shd w:val="clear" w:color="auto" w:fill="auto"/>
          </w:tcPr>
          <w:p w14:paraId="4E591DFF" w14:textId="74B1F718" w:rsidR="00D76C29" w:rsidRPr="00DC7000" w:rsidRDefault="00D76C29" w:rsidP="00D76C29">
            <w:pPr>
              <w:keepNext/>
              <w:jc w:val="center"/>
              <w:rPr>
                <w:sz w:val="20"/>
                <w:szCs w:val="20"/>
              </w:rPr>
            </w:pPr>
            <w:r w:rsidRPr="00BB4DF1">
              <w:rPr>
                <w:sz w:val="20"/>
                <w:szCs w:val="20"/>
              </w:rPr>
              <w:t>0</w:t>
            </w:r>
          </w:p>
        </w:tc>
        <w:tc>
          <w:tcPr>
            <w:tcW w:w="616" w:type="dxa"/>
            <w:shd w:val="clear" w:color="auto" w:fill="auto"/>
          </w:tcPr>
          <w:p w14:paraId="4BE0AB9C" w14:textId="6A614F6C" w:rsidR="00D76C29" w:rsidRPr="00DC7000" w:rsidRDefault="00D76C29" w:rsidP="00D76C29">
            <w:pPr>
              <w:keepNext/>
              <w:jc w:val="center"/>
              <w:rPr>
                <w:sz w:val="20"/>
                <w:szCs w:val="20"/>
              </w:rPr>
            </w:pPr>
            <w:r w:rsidRPr="00BB4DF1">
              <w:rPr>
                <w:sz w:val="20"/>
                <w:szCs w:val="20"/>
              </w:rPr>
              <w:t>0</w:t>
            </w:r>
          </w:p>
        </w:tc>
        <w:tc>
          <w:tcPr>
            <w:tcW w:w="914" w:type="dxa"/>
            <w:shd w:val="clear" w:color="auto" w:fill="auto"/>
          </w:tcPr>
          <w:p w14:paraId="05244FB3" w14:textId="3230DE3E" w:rsidR="00D76C29" w:rsidRPr="00DC7000" w:rsidRDefault="00D76C29" w:rsidP="00D76C29">
            <w:pPr>
              <w:keepNext/>
              <w:jc w:val="center"/>
              <w:rPr>
                <w:sz w:val="20"/>
                <w:szCs w:val="20"/>
              </w:rPr>
            </w:pPr>
            <w:r w:rsidRPr="00BB4DF1">
              <w:rPr>
                <w:sz w:val="20"/>
                <w:szCs w:val="20"/>
              </w:rPr>
              <w:t>0</w:t>
            </w:r>
          </w:p>
        </w:tc>
        <w:tc>
          <w:tcPr>
            <w:tcW w:w="671" w:type="dxa"/>
            <w:shd w:val="clear" w:color="auto" w:fill="auto"/>
          </w:tcPr>
          <w:p w14:paraId="5D123934" w14:textId="17CABB9B" w:rsidR="00D76C29" w:rsidRPr="00DC7000" w:rsidRDefault="00D76C29" w:rsidP="00D76C29">
            <w:pPr>
              <w:keepNext/>
              <w:jc w:val="center"/>
              <w:rPr>
                <w:sz w:val="20"/>
                <w:szCs w:val="20"/>
              </w:rPr>
            </w:pPr>
            <w:r w:rsidRPr="00BB4DF1">
              <w:rPr>
                <w:sz w:val="20"/>
                <w:szCs w:val="20"/>
              </w:rPr>
              <w:t>0</w:t>
            </w:r>
          </w:p>
        </w:tc>
        <w:tc>
          <w:tcPr>
            <w:tcW w:w="949" w:type="dxa"/>
            <w:shd w:val="clear" w:color="auto" w:fill="auto"/>
          </w:tcPr>
          <w:p w14:paraId="1F295C0E" w14:textId="578BDCEF" w:rsidR="00D76C29" w:rsidRPr="00DC7000" w:rsidRDefault="00D76C29" w:rsidP="00D76C29">
            <w:pPr>
              <w:keepNext/>
              <w:jc w:val="center"/>
              <w:rPr>
                <w:sz w:val="20"/>
                <w:szCs w:val="20"/>
              </w:rPr>
            </w:pPr>
            <w:r w:rsidRPr="00BB4DF1">
              <w:rPr>
                <w:sz w:val="20"/>
                <w:szCs w:val="20"/>
              </w:rPr>
              <w:t>0</w:t>
            </w:r>
          </w:p>
        </w:tc>
        <w:tc>
          <w:tcPr>
            <w:tcW w:w="659" w:type="dxa"/>
            <w:shd w:val="clear" w:color="auto" w:fill="auto"/>
          </w:tcPr>
          <w:p w14:paraId="10BD4899" w14:textId="2BA79C6F" w:rsidR="00D76C29" w:rsidRPr="00E444B1" w:rsidRDefault="00D76C29" w:rsidP="00D76C29">
            <w:pPr>
              <w:keepNext/>
              <w:jc w:val="center"/>
              <w:rPr>
                <w:b/>
                <w:sz w:val="20"/>
                <w:szCs w:val="20"/>
              </w:rPr>
            </w:pPr>
            <w:r w:rsidRPr="0037354D">
              <w:rPr>
                <w:b/>
                <w:sz w:val="20"/>
                <w:szCs w:val="20"/>
              </w:rPr>
              <w:t>0</w:t>
            </w:r>
          </w:p>
        </w:tc>
        <w:tc>
          <w:tcPr>
            <w:tcW w:w="900" w:type="dxa"/>
            <w:shd w:val="clear" w:color="auto" w:fill="auto"/>
          </w:tcPr>
          <w:p w14:paraId="4896E24F" w14:textId="58291F78" w:rsidR="00D76C29" w:rsidRPr="00E444B1" w:rsidRDefault="00D76C29" w:rsidP="00D76C29">
            <w:pPr>
              <w:keepNext/>
              <w:jc w:val="center"/>
              <w:rPr>
                <w:b/>
                <w:sz w:val="20"/>
                <w:szCs w:val="20"/>
              </w:rPr>
            </w:pPr>
            <w:r w:rsidRPr="0037354D">
              <w:rPr>
                <w:b/>
                <w:sz w:val="20"/>
                <w:szCs w:val="20"/>
              </w:rPr>
              <w:t>0</w:t>
            </w:r>
          </w:p>
        </w:tc>
      </w:tr>
      <w:tr w:rsidR="00D76C29" w:rsidRPr="001D2881" w14:paraId="651A8FA0" w14:textId="77777777" w:rsidTr="0037354D">
        <w:trPr>
          <w:trHeight w:val="288"/>
          <w:jc w:val="center"/>
        </w:trPr>
        <w:tc>
          <w:tcPr>
            <w:tcW w:w="1987" w:type="dxa"/>
            <w:shd w:val="clear" w:color="auto" w:fill="auto"/>
            <w:vAlign w:val="center"/>
          </w:tcPr>
          <w:p w14:paraId="1E8AE1CF" w14:textId="77777777" w:rsidR="00D76C29" w:rsidRPr="00DC7000" w:rsidRDefault="00D76C29" w:rsidP="001324B7">
            <w:pPr>
              <w:keepNext/>
              <w:widowControl w:val="0"/>
              <w:rPr>
                <w:sz w:val="20"/>
                <w:szCs w:val="20"/>
              </w:rPr>
            </w:pPr>
            <w:r w:rsidRPr="00DC7000">
              <w:rPr>
                <w:sz w:val="20"/>
                <w:szCs w:val="20"/>
              </w:rPr>
              <w:t>2019</w:t>
            </w:r>
          </w:p>
        </w:tc>
        <w:tc>
          <w:tcPr>
            <w:tcW w:w="700" w:type="dxa"/>
            <w:shd w:val="clear" w:color="auto" w:fill="auto"/>
          </w:tcPr>
          <w:p w14:paraId="5105753A" w14:textId="77777777" w:rsidR="00D76C29" w:rsidRPr="00DC7000" w:rsidRDefault="00D76C29" w:rsidP="00D76C29">
            <w:pPr>
              <w:keepNext/>
              <w:jc w:val="center"/>
              <w:rPr>
                <w:sz w:val="20"/>
                <w:szCs w:val="20"/>
              </w:rPr>
            </w:pPr>
            <w:r w:rsidRPr="00DC7000">
              <w:rPr>
                <w:sz w:val="20"/>
                <w:szCs w:val="20"/>
              </w:rPr>
              <w:t>1</w:t>
            </w:r>
          </w:p>
        </w:tc>
        <w:tc>
          <w:tcPr>
            <w:tcW w:w="894" w:type="dxa"/>
            <w:shd w:val="clear" w:color="auto" w:fill="auto"/>
          </w:tcPr>
          <w:p w14:paraId="596F004B" w14:textId="77777777" w:rsidR="00D76C29" w:rsidRPr="00DC7000" w:rsidRDefault="00D76C29" w:rsidP="00D76C29">
            <w:pPr>
              <w:keepNext/>
              <w:jc w:val="center"/>
              <w:rPr>
                <w:sz w:val="20"/>
                <w:szCs w:val="20"/>
              </w:rPr>
            </w:pPr>
            <w:r w:rsidRPr="00DC7000">
              <w:rPr>
                <w:sz w:val="20"/>
                <w:szCs w:val="20"/>
              </w:rPr>
              <w:t>1,600</w:t>
            </w:r>
          </w:p>
        </w:tc>
        <w:tc>
          <w:tcPr>
            <w:tcW w:w="616" w:type="dxa"/>
            <w:shd w:val="clear" w:color="auto" w:fill="auto"/>
          </w:tcPr>
          <w:p w14:paraId="126B2F5D" w14:textId="3CA933EF" w:rsidR="00D76C29" w:rsidRPr="00DC7000" w:rsidRDefault="00D76C29" w:rsidP="00D76C29">
            <w:pPr>
              <w:keepNext/>
              <w:jc w:val="center"/>
              <w:rPr>
                <w:sz w:val="20"/>
                <w:szCs w:val="20"/>
              </w:rPr>
            </w:pPr>
            <w:r w:rsidRPr="00CD19E9">
              <w:rPr>
                <w:sz w:val="20"/>
                <w:szCs w:val="20"/>
              </w:rPr>
              <w:t>0</w:t>
            </w:r>
          </w:p>
        </w:tc>
        <w:tc>
          <w:tcPr>
            <w:tcW w:w="914" w:type="dxa"/>
            <w:shd w:val="clear" w:color="auto" w:fill="auto"/>
          </w:tcPr>
          <w:p w14:paraId="3504CEC3" w14:textId="423A1C89" w:rsidR="00D76C29" w:rsidRPr="00DC7000" w:rsidRDefault="00D76C29" w:rsidP="00D76C29">
            <w:pPr>
              <w:keepNext/>
              <w:jc w:val="center"/>
              <w:rPr>
                <w:sz w:val="20"/>
                <w:szCs w:val="20"/>
              </w:rPr>
            </w:pPr>
            <w:r w:rsidRPr="00CD19E9">
              <w:rPr>
                <w:sz w:val="20"/>
                <w:szCs w:val="20"/>
              </w:rPr>
              <w:t>0</w:t>
            </w:r>
          </w:p>
        </w:tc>
        <w:tc>
          <w:tcPr>
            <w:tcW w:w="616" w:type="dxa"/>
            <w:shd w:val="clear" w:color="auto" w:fill="auto"/>
          </w:tcPr>
          <w:p w14:paraId="147CEFBA" w14:textId="4A657CE6" w:rsidR="00D76C29" w:rsidRPr="00DC7000" w:rsidRDefault="00D76C29" w:rsidP="00D76C29">
            <w:pPr>
              <w:keepNext/>
              <w:jc w:val="center"/>
              <w:rPr>
                <w:sz w:val="20"/>
                <w:szCs w:val="20"/>
              </w:rPr>
            </w:pPr>
            <w:r w:rsidRPr="00320963">
              <w:rPr>
                <w:sz w:val="20"/>
                <w:szCs w:val="20"/>
              </w:rPr>
              <w:t>0</w:t>
            </w:r>
          </w:p>
        </w:tc>
        <w:tc>
          <w:tcPr>
            <w:tcW w:w="914" w:type="dxa"/>
            <w:shd w:val="clear" w:color="auto" w:fill="auto"/>
          </w:tcPr>
          <w:p w14:paraId="180560BB" w14:textId="3275682F" w:rsidR="00D76C29" w:rsidRPr="00DC7000" w:rsidRDefault="00D76C29" w:rsidP="00D76C29">
            <w:pPr>
              <w:keepNext/>
              <w:jc w:val="center"/>
              <w:rPr>
                <w:sz w:val="20"/>
                <w:szCs w:val="20"/>
              </w:rPr>
            </w:pPr>
            <w:r w:rsidRPr="00320963">
              <w:rPr>
                <w:sz w:val="20"/>
                <w:szCs w:val="20"/>
              </w:rPr>
              <w:t>0</w:t>
            </w:r>
          </w:p>
        </w:tc>
        <w:tc>
          <w:tcPr>
            <w:tcW w:w="671" w:type="dxa"/>
            <w:shd w:val="clear" w:color="auto" w:fill="auto"/>
          </w:tcPr>
          <w:p w14:paraId="215C9537" w14:textId="5D2AAABD" w:rsidR="00D76C29" w:rsidRPr="00DC7000" w:rsidRDefault="00D76C29" w:rsidP="00D76C29">
            <w:pPr>
              <w:keepNext/>
              <w:jc w:val="center"/>
              <w:rPr>
                <w:sz w:val="20"/>
                <w:szCs w:val="20"/>
              </w:rPr>
            </w:pPr>
            <w:r w:rsidRPr="00320963">
              <w:rPr>
                <w:sz w:val="20"/>
                <w:szCs w:val="20"/>
              </w:rPr>
              <w:t>0</w:t>
            </w:r>
          </w:p>
        </w:tc>
        <w:tc>
          <w:tcPr>
            <w:tcW w:w="949" w:type="dxa"/>
            <w:shd w:val="clear" w:color="auto" w:fill="auto"/>
          </w:tcPr>
          <w:p w14:paraId="77D52A0E" w14:textId="48E5026E" w:rsidR="00D76C29" w:rsidRPr="00DC7000" w:rsidRDefault="00D76C29" w:rsidP="00D76C29">
            <w:pPr>
              <w:keepNext/>
              <w:jc w:val="center"/>
              <w:rPr>
                <w:sz w:val="20"/>
                <w:szCs w:val="20"/>
              </w:rPr>
            </w:pPr>
            <w:r w:rsidRPr="00320963">
              <w:rPr>
                <w:sz w:val="20"/>
                <w:szCs w:val="20"/>
              </w:rPr>
              <w:t>0</w:t>
            </w:r>
          </w:p>
        </w:tc>
        <w:tc>
          <w:tcPr>
            <w:tcW w:w="659" w:type="dxa"/>
            <w:shd w:val="clear" w:color="auto" w:fill="auto"/>
          </w:tcPr>
          <w:p w14:paraId="47BB5B70" w14:textId="77777777" w:rsidR="00D76C29" w:rsidRPr="00E444B1" w:rsidRDefault="00D76C29" w:rsidP="00D76C29">
            <w:pPr>
              <w:keepNext/>
              <w:jc w:val="center"/>
              <w:rPr>
                <w:b/>
                <w:bCs/>
                <w:sz w:val="20"/>
                <w:szCs w:val="20"/>
              </w:rPr>
            </w:pPr>
            <w:r w:rsidRPr="00E444B1">
              <w:rPr>
                <w:b/>
                <w:sz w:val="20"/>
                <w:szCs w:val="20"/>
              </w:rPr>
              <w:t>1</w:t>
            </w:r>
          </w:p>
        </w:tc>
        <w:tc>
          <w:tcPr>
            <w:tcW w:w="900" w:type="dxa"/>
            <w:shd w:val="clear" w:color="auto" w:fill="auto"/>
          </w:tcPr>
          <w:p w14:paraId="79AFB75E" w14:textId="77777777" w:rsidR="00D76C29" w:rsidRPr="00E444B1" w:rsidRDefault="00D76C29" w:rsidP="00D76C29">
            <w:pPr>
              <w:keepNext/>
              <w:jc w:val="center"/>
              <w:rPr>
                <w:b/>
                <w:bCs/>
                <w:sz w:val="20"/>
                <w:szCs w:val="20"/>
              </w:rPr>
            </w:pPr>
            <w:r w:rsidRPr="00E444B1">
              <w:rPr>
                <w:b/>
                <w:sz w:val="20"/>
                <w:szCs w:val="20"/>
              </w:rPr>
              <w:t>1,600</w:t>
            </w:r>
          </w:p>
        </w:tc>
      </w:tr>
      <w:tr w:rsidR="00D76C29" w:rsidRPr="001D2881" w14:paraId="4147950A" w14:textId="77777777" w:rsidTr="0037354D">
        <w:trPr>
          <w:trHeight w:val="288"/>
          <w:jc w:val="center"/>
        </w:trPr>
        <w:tc>
          <w:tcPr>
            <w:tcW w:w="1987" w:type="dxa"/>
            <w:shd w:val="clear" w:color="auto" w:fill="auto"/>
            <w:vAlign w:val="center"/>
          </w:tcPr>
          <w:p w14:paraId="4704DE57" w14:textId="77777777" w:rsidR="00D76C29" w:rsidRPr="00DC7000" w:rsidRDefault="00D76C29" w:rsidP="001324B7">
            <w:pPr>
              <w:keepNext/>
              <w:widowControl w:val="0"/>
              <w:rPr>
                <w:sz w:val="20"/>
                <w:szCs w:val="20"/>
              </w:rPr>
            </w:pPr>
            <w:r w:rsidRPr="00DC7000">
              <w:rPr>
                <w:sz w:val="20"/>
                <w:szCs w:val="20"/>
              </w:rPr>
              <w:t>YTD 2020</w:t>
            </w:r>
          </w:p>
        </w:tc>
        <w:tc>
          <w:tcPr>
            <w:tcW w:w="700" w:type="dxa"/>
            <w:shd w:val="clear" w:color="auto" w:fill="auto"/>
          </w:tcPr>
          <w:p w14:paraId="20D29B0E" w14:textId="149B13C6" w:rsidR="00D76C29" w:rsidRPr="00DC7000" w:rsidRDefault="00D76C29" w:rsidP="00D76C29">
            <w:pPr>
              <w:keepNext/>
              <w:jc w:val="center"/>
              <w:rPr>
                <w:sz w:val="20"/>
                <w:szCs w:val="20"/>
              </w:rPr>
            </w:pPr>
            <w:r w:rsidRPr="00620A01">
              <w:rPr>
                <w:sz w:val="20"/>
                <w:szCs w:val="20"/>
              </w:rPr>
              <w:t>0</w:t>
            </w:r>
          </w:p>
        </w:tc>
        <w:tc>
          <w:tcPr>
            <w:tcW w:w="894" w:type="dxa"/>
            <w:shd w:val="clear" w:color="auto" w:fill="auto"/>
          </w:tcPr>
          <w:p w14:paraId="4A932DB2" w14:textId="1C52564B" w:rsidR="00D76C29" w:rsidRPr="00DC7000" w:rsidRDefault="00D76C29" w:rsidP="00D76C29">
            <w:pPr>
              <w:keepNext/>
              <w:jc w:val="center"/>
              <w:rPr>
                <w:sz w:val="20"/>
                <w:szCs w:val="20"/>
              </w:rPr>
            </w:pPr>
            <w:r w:rsidRPr="00620A01">
              <w:rPr>
                <w:sz w:val="20"/>
                <w:szCs w:val="20"/>
              </w:rPr>
              <w:t>0</w:t>
            </w:r>
          </w:p>
        </w:tc>
        <w:tc>
          <w:tcPr>
            <w:tcW w:w="616" w:type="dxa"/>
            <w:shd w:val="clear" w:color="auto" w:fill="auto"/>
          </w:tcPr>
          <w:p w14:paraId="0B4CD5B1" w14:textId="1DC53A0A" w:rsidR="00D76C29" w:rsidRPr="00DC7000" w:rsidRDefault="00D76C29" w:rsidP="00D76C29">
            <w:pPr>
              <w:keepNext/>
              <w:jc w:val="center"/>
              <w:rPr>
                <w:sz w:val="20"/>
                <w:szCs w:val="20"/>
              </w:rPr>
            </w:pPr>
            <w:r w:rsidRPr="00CD19E9">
              <w:rPr>
                <w:sz w:val="20"/>
                <w:szCs w:val="20"/>
              </w:rPr>
              <w:t>0</w:t>
            </w:r>
          </w:p>
        </w:tc>
        <w:tc>
          <w:tcPr>
            <w:tcW w:w="914" w:type="dxa"/>
            <w:shd w:val="clear" w:color="auto" w:fill="auto"/>
          </w:tcPr>
          <w:p w14:paraId="1DAE9A7B" w14:textId="32504D5A" w:rsidR="00D76C29" w:rsidRPr="00DC7000" w:rsidRDefault="00D76C29" w:rsidP="00D76C29">
            <w:pPr>
              <w:keepNext/>
              <w:jc w:val="center"/>
              <w:rPr>
                <w:sz w:val="20"/>
                <w:szCs w:val="20"/>
              </w:rPr>
            </w:pPr>
            <w:r w:rsidRPr="00CD19E9">
              <w:rPr>
                <w:sz w:val="20"/>
                <w:szCs w:val="20"/>
              </w:rPr>
              <w:t>0</w:t>
            </w:r>
          </w:p>
        </w:tc>
        <w:tc>
          <w:tcPr>
            <w:tcW w:w="616" w:type="dxa"/>
            <w:shd w:val="clear" w:color="auto" w:fill="auto"/>
          </w:tcPr>
          <w:p w14:paraId="4E69167B" w14:textId="77777777" w:rsidR="00D76C29" w:rsidRPr="00DC7000" w:rsidRDefault="00D76C29" w:rsidP="00D76C29">
            <w:pPr>
              <w:keepNext/>
              <w:jc w:val="center"/>
              <w:rPr>
                <w:sz w:val="20"/>
                <w:szCs w:val="20"/>
              </w:rPr>
            </w:pPr>
            <w:r w:rsidRPr="00DC7000">
              <w:rPr>
                <w:sz w:val="20"/>
                <w:szCs w:val="20"/>
              </w:rPr>
              <w:t>1</w:t>
            </w:r>
          </w:p>
        </w:tc>
        <w:tc>
          <w:tcPr>
            <w:tcW w:w="914" w:type="dxa"/>
            <w:shd w:val="clear" w:color="auto" w:fill="auto"/>
          </w:tcPr>
          <w:p w14:paraId="3090568F" w14:textId="77777777" w:rsidR="00D76C29" w:rsidRPr="00DC7000" w:rsidRDefault="00D76C29" w:rsidP="00D76C29">
            <w:pPr>
              <w:keepNext/>
              <w:jc w:val="center"/>
              <w:rPr>
                <w:sz w:val="20"/>
                <w:szCs w:val="20"/>
              </w:rPr>
            </w:pPr>
            <w:r w:rsidRPr="00DC7000">
              <w:rPr>
                <w:sz w:val="20"/>
                <w:szCs w:val="20"/>
              </w:rPr>
              <w:t>100</w:t>
            </w:r>
          </w:p>
        </w:tc>
        <w:tc>
          <w:tcPr>
            <w:tcW w:w="671" w:type="dxa"/>
            <w:shd w:val="clear" w:color="auto" w:fill="auto"/>
          </w:tcPr>
          <w:p w14:paraId="2C5578AD" w14:textId="4DB4469E" w:rsidR="00D76C29" w:rsidRPr="00DC7000" w:rsidRDefault="00D76C29" w:rsidP="00D76C29">
            <w:pPr>
              <w:keepNext/>
              <w:jc w:val="center"/>
              <w:rPr>
                <w:sz w:val="20"/>
                <w:szCs w:val="20"/>
              </w:rPr>
            </w:pPr>
            <w:r w:rsidRPr="00C95C6A">
              <w:rPr>
                <w:sz w:val="20"/>
                <w:szCs w:val="20"/>
              </w:rPr>
              <w:t>0</w:t>
            </w:r>
          </w:p>
        </w:tc>
        <w:tc>
          <w:tcPr>
            <w:tcW w:w="949" w:type="dxa"/>
            <w:shd w:val="clear" w:color="auto" w:fill="auto"/>
          </w:tcPr>
          <w:p w14:paraId="66035EAF" w14:textId="1805FBD5" w:rsidR="00D76C29" w:rsidRPr="00DC7000" w:rsidRDefault="00D76C29" w:rsidP="00D76C29">
            <w:pPr>
              <w:keepNext/>
              <w:jc w:val="center"/>
              <w:rPr>
                <w:sz w:val="20"/>
                <w:szCs w:val="20"/>
              </w:rPr>
            </w:pPr>
            <w:r w:rsidRPr="00C95C6A">
              <w:rPr>
                <w:sz w:val="20"/>
                <w:szCs w:val="20"/>
              </w:rPr>
              <w:t>0</w:t>
            </w:r>
          </w:p>
        </w:tc>
        <w:tc>
          <w:tcPr>
            <w:tcW w:w="659" w:type="dxa"/>
            <w:shd w:val="clear" w:color="auto" w:fill="auto"/>
          </w:tcPr>
          <w:p w14:paraId="2A54579C" w14:textId="77777777" w:rsidR="00D76C29" w:rsidRPr="00DC7000" w:rsidRDefault="00D76C29" w:rsidP="00D76C29">
            <w:pPr>
              <w:keepNext/>
              <w:jc w:val="center"/>
              <w:rPr>
                <w:b/>
                <w:bCs/>
                <w:sz w:val="20"/>
                <w:szCs w:val="20"/>
              </w:rPr>
            </w:pPr>
            <w:r w:rsidRPr="00DC7000">
              <w:rPr>
                <w:b/>
                <w:sz w:val="20"/>
                <w:szCs w:val="20"/>
              </w:rPr>
              <w:t>1</w:t>
            </w:r>
          </w:p>
        </w:tc>
        <w:tc>
          <w:tcPr>
            <w:tcW w:w="900" w:type="dxa"/>
            <w:shd w:val="clear" w:color="auto" w:fill="auto"/>
          </w:tcPr>
          <w:p w14:paraId="00B1D511" w14:textId="77777777" w:rsidR="00D76C29" w:rsidRPr="00DC7000" w:rsidRDefault="00D76C29" w:rsidP="00D76C29">
            <w:pPr>
              <w:keepNext/>
              <w:jc w:val="center"/>
              <w:rPr>
                <w:b/>
                <w:bCs/>
                <w:sz w:val="20"/>
                <w:szCs w:val="20"/>
              </w:rPr>
            </w:pPr>
            <w:r w:rsidRPr="00DC7000">
              <w:rPr>
                <w:b/>
                <w:sz w:val="20"/>
                <w:szCs w:val="20"/>
              </w:rPr>
              <w:t>100</w:t>
            </w:r>
          </w:p>
        </w:tc>
      </w:tr>
      <w:tr w:rsidR="00D76C29" w:rsidRPr="001D2881" w14:paraId="4574389C" w14:textId="77777777" w:rsidTr="0037354D">
        <w:trPr>
          <w:trHeight w:val="288"/>
          <w:jc w:val="center"/>
        </w:trPr>
        <w:tc>
          <w:tcPr>
            <w:tcW w:w="1987" w:type="dxa"/>
            <w:shd w:val="clear" w:color="auto" w:fill="auto"/>
            <w:vAlign w:val="center"/>
          </w:tcPr>
          <w:p w14:paraId="722D6C62" w14:textId="77777777" w:rsidR="00D76C29" w:rsidRPr="00DC7000" w:rsidRDefault="00D76C29" w:rsidP="001324B7">
            <w:pPr>
              <w:keepNext/>
              <w:widowControl w:val="0"/>
              <w:rPr>
                <w:b/>
                <w:sz w:val="20"/>
                <w:szCs w:val="20"/>
              </w:rPr>
            </w:pPr>
            <w:r w:rsidRPr="00DC7000">
              <w:rPr>
                <w:b/>
                <w:sz w:val="20"/>
                <w:szCs w:val="20"/>
              </w:rPr>
              <w:t>Subtotal</w:t>
            </w:r>
          </w:p>
        </w:tc>
        <w:tc>
          <w:tcPr>
            <w:tcW w:w="700" w:type="dxa"/>
            <w:shd w:val="clear" w:color="auto" w:fill="auto"/>
          </w:tcPr>
          <w:p w14:paraId="53A3E968" w14:textId="77777777" w:rsidR="00D76C29" w:rsidRPr="00D76C29" w:rsidRDefault="00D76C29" w:rsidP="00D76C29">
            <w:pPr>
              <w:keepNext/>
              <w:jc w:val="center"/>
              <w:rPr>
                <w:b/>
                <w:bCs/>
                <w:sz w:val="20"/>
                <w:szCs w:val="20"/>
              </w:rPr>
            </w:pPr>
            <w:r w:rsidRPr="0037354D">
              <w:rPr>
                <w:b/>
                <w:sz w:val="20"/>
                <w:szCs w:val="20"/>
              </w:rPr>
              <w:t>1</w:t>
            </w:r>
          </w:p>
        </w:tc>
        <w:tc>
          <w:tcPr>
            <w:tcW w:w="894" w:type="dxa"/>
            <w:shd w:val="clear" w:color="auto" w:fill="auto"/>
          </w:tcPr>
          <w:p w14:paraId="523E13B8" w14:textId="77777777" w:rsidR="00D76C29" w:rsidRPr="00D76C29" w:rsidRDefault="00D76C29" w:rsidP="00D76C29">
            <w:pPr>
              <w:keepNext/>
              <w:jc w:val="center"/>
              <w:rPr>
                <w:b/>
                <w:bCs/>
                <w:sz w:val="20"/>
                <w:szCs w:val="20"/>
              </w:rPr>
            </w:pPr>
            <w:r w:rsidRPr="0037354D">
              <w:rPr>
                <w:b/>
                <w:sz w:val="20"/>
                <w:szCs w:val="20"/>
              </w:rPr>
              <w:t>1,600</w:t>
            </w:r>
          </w:p>
        </w:tc>
        <w:tc>
          <w:tcPr>
            <w:tcW w:w="616" w:type="dxa"/>
            <w:shd w:val="clear" w:color="auto" w:fill="auto"/>
          </w:tcPr>
          <w:p w14:paraId="32876AFD" w14:textId="389AEB74" w:rsidR="00D76C29" w:rsidRPr="0037354D" w:rsidRDefault="00D76C29" w:rsidP="00D76C29">
            <w:pPr>
              <w:keepNext/>
              <w:jc w:val="center"/>
              <w:rPr>
                <w:b/>
                <w:sz w:val="20"/>
                <w:szCs w:val="20"/>
              </w:rPr>
            </w:pPr>
            <w:r w:rsidRPr="0037354D">
              <w:rPr>
                <w:b/>
                <w:sz w:val="20"/>
                <w:szCs w:val="20"/>
              </w:rPr>
              <w:t>0</w:t>
            </w:r>
          </w:p>
        </w:tc>
        <w:tc>
          <w:tcPr>
            <w:tcW w:w="914" w:type="dxa"/>
            <w:shd w:val="clear" w:color="auto" w:fill="auto"/>
          </w:tcPr>
          <w:p w14:paraId="10202A07" w14:textId="2A478926" w:rsidR="00D76C29" w:rsidRPr="0037354D" w:rsidRDefault="00D76C29" w:rsidP="00D76C29">
            <w:pPr>
              <w:keepNext/>
              <w:jc w:val="center"/>
              <w:rPr>
                <w:b/>
                <w:sz w:val="20"/>
                <w:szCs w:val="20"/>
              </w:rPr>
            </w:pPr>
            <w:r w:rsidRPr="0037354D">
              <w:rPr>
                <w:b/>
                <w:sz w:val="20"/>
                <w:szCs w:val="20"/>
              </w:rPr>
              <w:t>0</w:t>
            </w:r>
          </w:p>
        </w:tc>
        <w:tc>
          <w:tcPr>
            <w:tcW w:w="616" w:type="dxa"/>
            <w:shd w:val="clear" w:color="auto" w:fill="auto"/>
          </w:tcPr>
          <w:p w14:paraId="3CF91846" w14:textId="77777777" w:rsidR="00D76C29" w:rsidRPr="00D76C29" w:rsidRDefault="00D76C29" w:rsidP="00D76C29">
            <w:pPr>
              <w:keepNext/>
              <w:jc w:val="center"/>
              <w:rPr>
                <w:b/>
                <w:bCs/>
                <w:sz w:val="20"/>
                <w:szCs w:val="20"/>
              </w:rPr>
            </w:pPr>
            <w:r w:rsidRPr="0037354D">
              <w:rPr>
                <w:b/>
                <w:sz w:val="20"/>
                <w:szCs w:val="20"/>
              </w:rPr>
              <w:t>1</w:t>
            </w:r>
          </w:p>
        </w:tc>
        <w:tc>
          <w:tcPr>
            <w:tcW w:w="914" w:type="dxa"/>
            <w:shd w:val="clear" w:color="auto" w:fill="auto"/>
          </w:tcPr>
          <w:p w14:paraId="3B250514" w14:textId="77777777" w:rsidR="00D76C29" w:rsidRPr="00D76C29" w:rsidRDefault="00D76C29" w:rsidP="00D76C29">
            <w:pPr>
              <w:keepNext/>
              <w:jc w:val="center"/>
              <w:rPr>
                <w:b/>
                <w:bCs/>
                <w:sz w:val="20"/>
                <w:szCs w:val="20"/>
              </w:rPr>
            </w:pPr>
            <w:r w:rsidRPr="0037354D">
              <w:rPr>
                <w:b/>
                <w:sz w:val="20"/>
                <w:szCs w:val="20"/>
              </w:rPr>
              <w:t>100</w:t>
            </w:r>
          </w:p>
        </w:tc>
        <w:tc>
          <w:tcPr>
            <w:tcW w:w="671" w:type="dxa"/>
            <w:shd w:val="clear" w:color="auto" w:fill="auto"/>
          </w:tcPr>
          <w:p w14:paraId="1640AD54" w14:textId="15653FA3" w:rsidR="00D76C29" w:rsidRPr="0037354D" w:rsidRDefault="00D76C29" w:rsidP="00D76C29">
            <w:pPr>
              <w:keepNext/>
              <w:jc w:val="center"/>
              <w:rPr>
                <w:b/>
                <w:sz w:val="20"/>
                <w:szCs w:val="20"/>
              </w:rPr>
            </w:pPr>
            <w:r w:rsidRPr="0037354D">
              <w:rPr>
                <w:b/>
                <w:sz w:val="20"/>
                <w:szCs w:val="20"/>
              </w:rPr>
              <w:t>0</w:t>
            </w:r>
          </w:p>
        </w:tc>
        <w:tc>
          <w:tcPr>
            <w:tcW w:w="949" w:type="dxa"/>
            <w:shd w:val="clear" w:color="auto" w:fill="auto"/>
          </w:tcPr>
          <w:p w14:paraId="4A4639EB" w14:textId="684718F8" w:rsidR="00D76C29" w:rsidRPr="0037354D" w:rsidRDefault="00D76C29" w:rsidP="00D76C29">
            <w:pPr>
              <w:keepNext/>
              <w:jc w:val="center"/>
              <w:rPr>
                <w:b/>
                <w:sz w:val="20"/>
                <w:szCs w:val="20"/>
              </w:rPr>
            </w:pPr>
            <w:r w:rsidRPr="0037354D">
              <w:rPr>
                <w:b/>
                <w:sz w:val="20"/>
                <w:szCs w:val="20"/>
              </w:rPr>
              <w:t>0</w:t>
            </w:r>
          </w:p>
        </w:tc>
        <w:tc>
          <w:tcPr>
            <w:tcW w:w="659" w:type="dxa"/>
            <w:shd w:val="clear" w:color="auto" w:fill="auto"/>
          </w:tcPr>
          <w:p w14:paraId="0328D460" w14:textId="77777777" w:rsidR="00D76C29" w:rsidRPr="00D76C29" w:rsidRDefault="00D76C29" w:rsidP="00D76C29">
            <w:pPr>
              <w:keepNext/>
              <w:jc w:val="center"/>
              <w:rPr>
                <w:b/>
                <w:bCs/>
                <w:sz w:val="20"/>
                <w:szCs w:val="20"/>
              </w:rPr>
            </w:pPr>
            <w:r w:rsidRPr="00D76C29">
              <w:rPr>
                <w:b/>
                <w:sz w:val="20"/>
                <w:szCs w:val="20"/>
              </w:rPr>
              <w:t>2</w:t>
            </w:r>
          </w:p>
        </w:tc>
        <w:tc>
          <w:tcPr>
            <w:tcW w:w="900" w:type="dxa"/>
            <w:shd w:val="clear" w:color="auto" w:fill="auto"/>
          </w:tcPr>
          <w:p w14:paraId="50681ED9" w14:textId="77777777" w:rsidR="00D76C29" w:rsidRPr="00D76C29" w:rsidRDefault="00D76C29" w:rsidP="00D76C29">
            <w:pPr>
              <w:keepNext/>
              <w:jc w:val="center"/>
              <w:rPr>
                <w:b/>
                <w:bCs/>
                <w:sz w:val="20"/>
                <w:szCs w:val="20"/>
              </w:rPr>
            </w:pPr>
            <w:r w:rsidRPr="00D76C29">
              <w:rPr>
                <w:b/>
                <w:sz w:val="20"/>
                <w:szCs w:val="20"/>
              </w:rPr>
              <w:t>1,700</w:t>
            </w:r>
          </w:p>
        </w:tc>
      </w:tr>
      <w:tr w:rsidR="00D76C29" w:rsidRPr="001D2881" w14:paraId="0C8CF417" w14:textId="77777777" w:rsidTr="0037354D">
        <w:trPr>
          <w:trHeight w:val="377"/>
          <w:jc w:val="center"/>
        </w:trPr>
        <w:tc>
          <w:tcPr>
            <w:tcW w:w="1987" w:type="dxa"/>
            <w:shd w:val="clear" w:color="auto" w:fill="auto"/>
            <w:vAlign w:val="center"/>
          </w:tcPr>
          <w:p w14:paraId="16AC97FC" w14:textId="77777777" w:rsidR="00D76C29" w:rsidRPr="00DC7000" w:rsidRDefault="00D76C29" w:rsidP="001324B7">
            <w:pPr>
              <w:keepNext/>
              <w:widowControl w:val="0"/>
              <w:rPr>
                <w:sz w:val="20"/>
                <w:szCs w:val="20"/>
              </w:rPr>
            </w:pPr>
            <w:r w:rsidRPr="00DC7000">
              <w:rPr>
                <w:sz w:val="20"/>
                <w:szCs w:val="20"/>
              </w:rPr>
              <w:t>Qualified Grants &amp; Donations</w:t>
            </w:r>
          </w:p>
        </w:tc>
        <w:tc>
          <w:tcPr>
            <w:tcW w:w="700" w:type="dxa"/>
            <w:shd w:val="clear" w:color="auto" w:fill="auto"/>
            <w:vAlign w:val="center"/>
          </w:tcPr>
          <w:p w14:paraId="764F53D1" w14:textId="77777777" w:rsidR="00D76C29" w:rsidRPr="00DC7000" w:rsidRDefault="00D76C29" w:rsidP="00D76C29">
            <w:pPr>
              <w:keepNext/>
              <w:jc w:val="center"/>
              <w:rPr>
                <w:sz w:val="20"/>
                <w:szCs w:val="20"/>
              </w:rPr>
            </w:pPr>
            <w:r w:rsidRPr="00DC7000">
              <w:rPr>
                <w:sz w:val="20"/>
                <w:szCs w:val="20"/>
              </w:rPr>
              <w:t>14</w:t>
            </w:r>
          </w:p>
        </w:tc>
        <w:tc>
          <w:tcPr>
            <w:tcW w:w="894" w:type="dxa"/>
            <w:shd w:val="clear" w:color="auto" w:fill="auto"/>
            <w:vAlign w:val="center"/>
          </w:tcPr>
          <w:p w14:paraId="5C4F7EBF" w14:textId="77777777" w:rsidR="00D76C29" w:rsidRPr="00DC7000" w:rsidRDefault="00D76C29" w:rsidP="00D76C29">
            <w:pPr>
              <w:keepNext/>
              <w:jc w:val="center"/>
              <w:rPr>
                <w:sz w:val="20"/>
                <w:szCs w:val="20"/>
              </w:rPr>
            </w:pPr>
            <w:r w:rsidRPr="00DC7000">
              <w:rPr>
                <w:sz w:val="20"/>
                <w:szCs w:val="20"/>
              </w:rPr>
              <w:t>51</w:t>
            </w:r>
          </w:p>
        </w:tc>
        <w:tc>
          <w:tcPr>
            <w:tcW w:w="616" w:type="dxa"/>
            <w:shd w:val="clear" w:color="auto" w:fill="auto"/>
            <w:vAlign w:val="center"/>
          </w:tcPr>
          <w:p w14:paraId="70BE4F1C" w14:textId="77777777" w:rsidR="00D76C29" w:rsidRPr="00DC7000" w:rsidRDefault="00D76C29" w:rsidP="00D76C29">
            <w:pPr>
              <w:keepNext/>
              <w:jc w:val="center"/>
              <w:rPr>
                <w:sz w:val="20"/>
                <w:szCs w:val="20"/>
              </w:rPr>
            </w:pPr>
            <w:r w:rsidRPr="00DC7000">
              <w:rPr>
                <w:sz w:val="20"/>
                <w:szCs w:val="20"/>
              </w:rPr>
              <w:t>111</w:t>
            </w:r>
          </w:p>
        </w:tc>
        <w:tc>
          <w:tcPr>
            <w:tcW w:w="914" w:type="dxa"/>
            <w:shd w:val="clear" w:color="auto" w:fill="auto"/>
            <w:vAlign w:val="center"/>
          </w:tcPr>
          <w:p w14:paraId="4FEDCA53" w14:textId="77777777" w:rsidR="00D76C29" w:rsidRPr="00DC7000" w:rsidRDefault="00D76C29" w:rsidP="00D76C29">
            <w:pPr>
              <w:keepNext/>
              <w:jc w:val="center"/>
              <w:rPr>
                <w:sz w:val="20"/>
                <w:szCs w:val="20"/>
              </w:rPr>
            </w:pPr>
            <w:r w:rsidRPr="00DC7000">
              <w:rPr>
                <w:sz w:val="20"/>
                <w:szCs w:val="20"/>
              </w:rPr>
              <w:t>241</w:t>
            </w:r>
          </w:p>
        </w:tc>
        <w:tc>
          <w:tcPr>
            <w:tcW w:w="616" w:type="dxa"/>
            <w:shd w:val="clear" w:color="auto" w:fill="auto"/>
            <w:vAlign w:val="center"/>
          </w:tcPr>
          <w:p w14:paraId="7077B461" w14:textId="0A95CA3F" w:rsidR="00D76C29" w:rsidRPr="00DC7000" w:rsidRDefault="00D76C29">
            <w:pPr>
              <w:keepNext/>
              <w:jc w:val="center"/>
              <w:rPr>
                <w:sz w:val="20"/>
                <w:szCs w:val="20"/>
              </w:rPr>
            </w:pPr>
            <w:r>
              <w:rPr>
                <w:sz w:val="20"/>
                <w:szCs w:val="20"/>
              </w:rPr>
              <w:t>0</w:t>
            </w:r>
          </w:p>
        </w:tc>
        <w:tc>
          <w:tcPr>
            <w:tcW w:w="914" w:type="dxa"/>
            <w:shd w:val="clear" w:color="auto" w:fill="auto"/>
            <w:noWrap/>
            <w:vAlign w:val="center"/>
          </w:tcPr>
          <w:p w14:paraId="3B4FF276" w14:textId="2F7C98CC" w:rsidR="00D76C29" w:rsidRPr="00DC7000" w:rsidRDefault="00D76C29">
            <w:pPr>
              <w:keepNext/>
              <w:jc w:val="center"/>
              <w:rPr>
                <w:sz w:val="20"/>
                <w:szCs w:val="20"/>
              </w:rPr>
            </w:pPr>
            <w:r>
              <w:rPr>
                <w:sz w:val="20"/>
                <w:szCs w:val="20"/>
              </w:rPr>
              <w:t>0</w:t>
            </w:r>
          </w:p>
        </w:tc>
        <w:tc>
          <w:tcPr>
            <w:tcW w:w="671" w:type="dxa"/>
            <w:shd w:val="clear" w:color="auto" w:fill="auto"/>
            <w:vAlign w:val="center"/>
          </w:tcPr>
          <w:p w14:paraId="05157136" w14:textId="77777777" w:rsidR="00D76C29" w:rsidRPr="00DC7000" w:rsidRDefault="00D76C29" w:rsidP="00D76C29">
            <w:pPr>
              <w:keepNext/>
              <w:jc w:val="center"/>
              <w:rPr>
                <w:sz w:val="20"/>
                <w:szCs w:val="20"/>
              </w:rPr>
            </w:pPr>
            <w:r w:rsidRPr="00DC7000">
              <w:rPr>
                <w:sz w:val="20"/>
                <w:szCs w:val="20"/>
              </w:rPr>
              <w:t>4</w:t>
            </w:r>
          </w:p>
        </w:tc>
        <w:tc>
          <w:tcPr>
            <w:tcW w:w="949" w:type="dxa"/>
            <w:shd w:val="clear" w:color="auto" w:fill="auto"/>
            <w:vAlign w:val="center"/>
          </w:tcPr>
          <w:p w14:paraId="22A4DE04" w14:textId="77777777" w:rsidR="00D76C29" w:rsidRPr="00DC7000" w:rsidRDefault="00D76C29" w:rsidP="00D76C29">
            <w:pPr>
              <w:keepNext/>
              <w:jc w:val="center"/>
              <w:rPr>
                <w:sz w:val="20"/>
                <w:szCs w:val="20"/>
              </w:rPr>
            </w:pPr>
            <w:r w:rsidRPr="00DC7000">
              <w:rPr>
                <w:sz w:val="20"/>
                <w:szCs w:val="20"/>
              </w:rPr>
              <w:t>7</w:t>
            </w:r>
          </w:p>
        </w:tc>
        <w:tc>
          <w:tcPr>
            <w:tcW w:w="659" w:type="dxa"/>
            <w:shd w:val="clear" w:color="auto" w:fill="auto"/>
            <w:vAlign w:val="center"/>
          </w:tcPr>
          <w:p w14:paraId="29E5F82D" w14:textId="77777777" w:rsidR="00D76C29" w:rsidRPr="00DC7000" w:rsidRDefault="00D76C29" w:rsidP="00D76C29">
            <w:pPr>
              <w:keepNext/>
              <w:jc w:val="center"/>
              <w:rPr>
                <w:b/>
                <w:bCs/>
                <w:sz w:val="20"/>
                <w:szCs w:val="20"/>
              </w:rPr>
            </w:pPr>
            <w:r w:rsidRPr="00DC7000">
              <w:rPr>
                <w:b/>
                <w:sz w:val="20"/>
                <w:szCs w:val="20"/>
              </w:rPr>
              <w:t>129</w:t>
            </w:r>
          </w:p>
        </w:tc>
        <w:tc>
          <w:tcPr>
            <w:tcW w:w="900" w:type="dxa"/>
            <w:shd w:val="clear" w:color="auto" w:fill="auto"/>
            <w:vAlign w:val="center"/>
          </w:tcPr>
          <w:p w14:paraId="766E9D14" w14:textId="77777777" w:rsidR="00D76C29" w:rsidRPr="00DC7000" w:rsidRDefault="00D76C29" w:rsidP="00D76C29">
            <w:pPr>
              <w:keepNext/>
              <w:jc w:val="center"/>
              <w:rPr>
                <w:b/>
                <w:bCs/>
                <w:sz w:val="20"/>
                <w:szCs w:val="20"/>
              </w:rPr>
            </w:pPr>
            <w:r w:rsidRPr="00DC7000">
              <w:rPr>
                <w:b/>
                <w:sz w:val="20"/>
                <w:szCs w:val="20"/>
              </w:rPr>
              <w:t>299</w:t>
            </w:r>
          </w:p>
        </w:tc>
      </w:tr>
      <w:tr w:rsidR="00B707B7" w:rsidRPr="001D2881" w14:paraId="03A48011" w14:textId="77777777" w:rsidTr="0037354D">
        <w:trPr>
          <w:trHeight w:val="288"/>
          <w:jc w:val="center"/>
        </w:trPr>
        <w:tc>
          <w:tcPr>
            <w:tcW w:w="1987" w:type="dxa"/>
            <w:shd w:val="clear" w:color="auto" w:fill="auto"/>
            <w:vAlign w:val="center"/>
          </w:tcPr>
          <w:p w14:paraId="167CD885" w14:textId="77777777" w:rsidR="00B707B7" w:rsidRPr="00DC7000" w:rsidRDefault="00B707B7" w:rsidP="001324B7">
            <w:pPr>
              <w:keepNext/>
              <w:widowControl w:val="0"/>
              <w:rPr>
                <w:b/>
                <w:sz w:val="20"/>
                <w:szCs w:val="20"/>
                <w:highlight w:val="green"/>
              </w:rPr>
            </w:pPr>
            <w:r w:rsidRPr="00DC7000">
              <w:rPr>
                <w:b/>
                <w:sz w:val="20"/>
                <w:szCs w:val="20"/>
              </w:rPr>
              <w:t>Total</w:t>
            </w:r>
          </w:p>
        </w:tc>
        <w:tc>
          <w:tcPr>
            <w:tcW w:w="700" w:type="dxa"/>
            <w:shd w:val="clear" w:color="auto" w:fill="auto"/>
          </w:tcPr>
          <w:p w14:paraId="4E8B28B4" w14:textId="77777777" w:rsidR="00B707B7" w:rsidRPr="00DC7000" w:rsidRDefault="00B707B7" w:rsidP="00E444B1">
            <w:pPr>
              <w:keepNext/>
              <w:jc w:val="center"/>
              <w:rPr>
                <w:b/>
                <w:bCs/>
                <w:sz w:val="20"/>
                <w:szCs w:val="20"/>
              </w:rPr>
            </w:pPr>
            <w:r w:rsidRPr="00DC7000">
              <w:rPr>
                <w:b/>
                <w:sz w:val="20"/>
                <w:szCs w:val="20"/>
              </w:rPr>
              <w:t>15</w:t>
            </w:r>
          </w:p>
        </w:tc>
        <w:tc>
          <w:tcPr>
            <w:tcW w:w="894" w:type="dxa"/>
            <w:shd w:val="clear" w:color="auto" w:fill="auto"/>
          </w:tcPr>
          <w:p w14:paraId="4BA558AF" w14:textId="77777777" w:rsidR="00B707B7" w:rsidRPr="00DC7000" w:rsidRDefault="00B707B7" w:rsidP="00E444B1">
            <w:pPr>
              <w:keepNext/>
              <w:jc w:val="center"/>
              <w:rPr>
                <w:b/>
                <w:bCs/>
                <w:sz w:val="20"/>
                <w:szCs w:val="20"/>
              </w:rPr>
            </w:pPr>
            <w:r w:rsidRPr="00DC7000">
              <w:rPr>
                <w:b/>
                <w:sz w:val="20"/>
                <w:szCs w:val="20"/>
              </w:rPr>
              <w:t>1,651</w:t>
            </w:r>
          </w:p>
        </w:tc>
        <w:tc>
          <w:tcPr>
            <w:tcW w:w="616" w:type="dxa"/>
            <w:shd w:val="clear" w:color="auto" w:fill="auto"/>
          </w:tcPr>
          <w:p w14:paraId="2147FC81" w14:textId="77777777" w:rsidR="00B707B7" w:rsidRPr="00DC7000" w:rsidRDefault="00B707B7" w:rsidP="00E444B1">
            <w:pPr>
              <w:keepNext/>
              <w:jc w:val="center"/>
              <w:rPr>
                <w:b/>
                <w:bCs/>
                <w:sz w:val="20"/>
                <w:szCs w:val="20"/>
              </w:rPr>
            </w:pPr>
            <w:r w:rsidRPr="00DC7000">
              <w:rPr>
                <w:b/>
                <w:sz w:val="20"/>
                <w:szCs w:val="20"/>
              </w:rPr>
              <w:t>111</w:t>
            </w:r>
          </w:p>
        </w:tc>
        <w:tc>
          <w:tcPr>
            <w:tcW w:w="914" w:type="dxa"/>
            <w:shd w:val="clear" w:color="auto" w:fill="auto"/>
          </w:tcPr>
          <w:p w14:paraId="61AEACEA" w14:textId="77777777" w:rsidR="00B707B7" w:rsidRPr="00DC7000" w:rsidRDefault="00B707B7" w:rsidP="00E444B1">
            <w:pPr>
              <w:keepNext/>
              <w:jc w:val="center"/>
              <w:rPr>
                <w:b/>
                <w:bCs/>
                <w:sz w:val="20"/>
                <w:szCs w:val="20"/>
              </w:rPr>
            </w:pPr>
            <w:r w:rsidRPr="00DC7000">
              <w:rPr>
                <w:b/>
                <w:sz w:val="20"/>
                <w:szCs w:val="20"/>
              </w:rPr>
              <w:t>241</w:t>
            </w:r>
          </w:p>
        </w:tc>
        <w:tc>
          <w:tcPr>
            <w:tcW w:w="616" w:type="dxa"/>
            <w:shd w:val="clear" w:color="auto" w:fill="auto"/>
          </w:tcPr>
          <w:p w14:paraId="052C74DD" w14:textId="77777777" w:rsidR="00B707B7" w:rsidRPr="00DC7000" w:rsidRDefault="00B707B7" w:rsidP="00E444B1">
            <w:pPr>
              <w:keepNext/>
              <w:jc w:val="center"/>
              <w:rPr>
                <w:b/>
                <w:bCs/>
                <w:sz w:val="20"/>
                <w:szCs w:val="20"/>
              </w:rPr>
            </w:pPr>
            <w:r w:rsidRPr="00DC7000">
              <w:rPr>
                <w:b/>
                <w:sz w:val="20"/>
                <w:szCs w:val="20"/>
              </w:rPr>
              <w:t>1</w:t>
            </w:r>
          </w:p>
        </w:tc>
        <w:tc>
          <w:tcPr>
            <w:tcW w:w="914" w:type="dxa"/>
            <w:shd w:val="clear" w:color="auto" w:fill="auto"/>
          </w:tcPr>
          <w:p w14:paraId="158BEC53" w14:textId="77777777" w:rsidR="00B707B7" w:rsidRPr="00DC7000" w:rsidRDefault="00B707B7" w:rsidP="00E444B1">
            <w:pPr>
              <w:keepNext/>
              <w:jc w:val="center"/>
              <w:rPr>
                <w:b/>
                <w:bCs/>
                <w:sz w:val="20"/>
                <w:szCs w:val="20"/>
              </w:rPr>
            </w:pPr>
            <w:r w:rsidRPr="00DC7000">
              <w:rPr>
                <w:b/>
                <w:sz w:val="20"/>
                <w:szCs w:val="20"/>
              </w:rPr>
              <w:t>100</w:t>
            </w:r>
          </w:p>
        </w:tc>
        <w:tc>
          <w:tcPr>
            <w:tcW w:w="671" w:type="dxa"/>
            <w:shd w:val="clear" w:color="auto" w:fill="auto"/>
          </w:tcPr>
          <w:p w14:paraId="33F5DBCF" w14:textId="77777777" w:rsidR="00B707B7" w:rsidRPr="00DC7000" w:rsidRDefault="00B707B7" w:rsidP="00E444B1">
            <w:pPr>
              <w:keepNext/>
              <w:jc w:val="center"/>
              <w:rPr>
                <w:b/>
                <w:bCs/>
                <w:sz w:val="20"/>
                <w:szCs w:val="20"/>
              </w:rPr>
            </w:pPr>
            <w:r w:rsidRPr="00DC7000">
              <w:rPr>
                <w:b/>
                <w:sz w:val="20"/>
                <w:szCs w:val="20"/>
              </w:rPr>
              <w:t>4</w:t>
            </w:r>
          </w:p>
        </w:tc>
        <w:tc>
          <w:tcPr>
            <w:tcW w:w="949" w:type="dxa"/>
            <w:shd w:val="clear" w:color="auto" w:fill="auto"/>
          </w:tcPr>
          <w:p w14:paraId="79FE5BC1" w14:textId="77777777" w:rsidR="00B707B7" w:rsidRPr="00DC7000" w:rsidRDefault="00B707B7" w:rsidP="00E444B1">
            <w:pPr>
              <w:keepNext/>
              <w:jc w:val="center"/>
              <w:rPr>
                <w:b/>
                <w:bCs/>
                <w:sz w:val="20"/>
                <w:szCs w:val="20"/>
              </w:rPr>
            </w:pPr>
            <w:r w:rsidRPr="00DC7000">
              <w:rPr>
                <w:b/>
                <w:sz w:val="20"/>
                <w:szCs w:val="20"/>
              </w:rPr>
              <w:t>7</w:t>
            </w:r>
          </w:p>
        </w:tc>
        <w:tc>
          <w:tcPr>
            <w:tcW w:w="659" w:type="dxa"/>
            <w:shd w:val="clear" w:color="auto" w:fill="auto"/>
          </w:tcPr>
          <w:p w14:paraId="2E12E6DD" w14:textId="77777777" w:rsidR="00B707B7" w:rsidRPr="00DC7000" w:rsidRDefault="00B707B7" w:rsidP="00E444B1">
            <w:pPr>
              <w:keepNext/>
              <w:jc w:val="center"/>
              <w:rPr>
                <w:b/>
                <w:bCs/>
                <w:sz w:val="20"/>
                <w:szCs w:val="20"/>
              </w:rPr>
            </w:pPr>
            <w:r w:rsidRPr="00DC7000">
              <w:rPr>
                <w:b/>
                <w:sz w:val="20"/>
                <w:szCs w:val="20"/>
              </w:rPr>
              <w:t>131</w:t>
            </w:r>
          </w:p>
        </w:tc>
        <w:tc>
          <w:tcPr>
            <w:tcW w:w="900" w:type="dxa"/>
            <w:shd w:val="clear" w:color="auto" w:fill="auto"/>
          </w:tcPr>
          <w:p w14:paraId="262F678E" w14:textId="77777777" w:rsidR="00B707B7" w:rsidRPr="00DC7000" w:rsidRDefault="00B707B7" w:rsidP="00E444B1">
            <w:pPr>
              <w:keepNext/>
              <w:jc w:val="center"/>
              <w:rPr>
                <w:b/>
                <w:bCs/>
                <w:sz w:val="20"/>
                <w:szCs w:val="20"/>
              </w:rPr>
            </w:pPr>
            <w:r w:rsidRPr="00DC7000">
              <w:rPr>
                <w:b/>
                <w:sz w:val="20"/>
                <w:szCs w:val="20"/>
              </w:rPr>
              <w:t>1,999</w:t>
            </w:r>
          </w:p>
        </w:tc>
      </w:tr>
      <w:tr w:rsidR="00B707B7" w:rsidRPr="001D2881" w14:paraId="00A40780" w14:textId="77777777" w:rsidTr="0037354D">
        <w:trPr>
          <w:trHeight w:val="215"/>
          <w:jc w:val="center"/>
        </w:trPr>
        <w:tc>
          <w:tcPr>
            <w:tcW w:w="9820" w:type="dxa"/>
            <w:gridSpan w:val="11"/>
            <w:shd w:val="clear" w:color="auto" w:fill="auto"/>
            <w:vAlign w:val="center"/>
          </w:tcPr>
          <w:p w14:paraId="58D1B89B" w14:textId="77777777" w:rsidR="00B707B7" w:rsidRPr="001D2881" w:rsidRDefault="00B707B7" w:rsidP="00E444B1">
            <w:pPr>
              <w:keepNext/>
              <w:widowControl w:val="0"/>
              <w:rPr>
                <w:b/>
                <w:sz w:val="20"/>
                <w:szCs w:val="20"/>
              </w:rPr>
            </w:pPr>
            <w:r w:rsidRPr="001D2881">
              <w:rPr>
                <w:i/>
                <w:sz w:val="16"/>
                <w:szCs w:val="16"/>
              </w:rPr>
              <w:t>Source:  Bank Records</w:t>
            </w:r>
          </w:p>
        </w:tc>
      </w:tr>
    </w:tbl>
    <w:p w14:paraId="2FC07046" w14:textId="77777777" w:rsidR="00B707B7" w:rsidRPr="001D2881" w:rsidRDefault="00B707B7" w:rsidP="00B707B7">
      <w:pPr>
        <w:rPr>
          <w:bCs/>
        </w:rPr>
      </w:pPr>
    </w:p>
    <w:p w14:paraId="049FFECF" w14:textId="77777777" w:rsidR="00B707B7" w:rsidRPr="001D2881" w:rsidRDefault="00B707B7" w:rsidP="00B707B7">
      <w:pPr>
        <w:rPr>
          <w:bCs/>
        </w:rPr>
      </w:pPr>
      <w:r w:rsidRPr="001D2881">
        <w:rPr>
          <w:bCs/>
        </w:rPr>
        <w:t xml:space="preserve">The following are notable examples of the bank’s community development investments. </w:t>
      </w:r>
    </w:p>
    <w:p w14:paraId="08FEEDDB" w14:textId="77777777" w:rsidR="00B707B7" w:rsidRPr="001D2881" w:rsidRDefault="00B707B7" w:rsidP="00B707B7">
      <w:pPr>
        <w:rPr>
          <w:bCs/>
        </w:rPr>
      </w:pPr>
    </w:p>
    <w:p w14:paraId="36F7B18E" w14:textId="77777777" w:rsidR="00B707B7" w:rsidRPr="001D2881" w:rsidRDefault="00B707B7" w:rsidP="00B707B7">
      <w:pPr>
        <w:rPr>
          <w:b/>
          <w:bCs/>
          <w:i/>
        </w:rPr>
      </w:pPr>
      <w:r w:rsidRPr="001D2881">
        <w:rPr>
          <w:b/>
          <w:bCs/>
          <w:i/>
        </w:rPr>
        <w:t>Equity Investments</w:t>
      </w:r>
    </w:p>
    <w:p w14:paraId="57635F40" w14:textId="77777777" w:rsidR="00B707B7" w:rsidRPr="001D2881" w:rsidRDefault="00B707B7" w:rsidP="00B707B7">
      <w:pPr>
        <w:rPr>
          <w:bCs/>
          <w:i/>
        </w:rPr>
      </w:pPr>
    </w:p>
    <w:p w14:paraId="1A4A0780" w14:textId="02914A63" w:rsidR="00B707B7" w:rsidRDefault="00B707B7" w:rsidP="00B707B7">
      <w:pPr>
        <w:pStyle w:val="ListParagraph"/>
        <w:numPr>
          <w:ilvl w:val="0"/>
          <w:numId w:val="20"/>
        </w:numPr>
        <w:rPr>
          <w:bCs/>
        </w:rPr>
      </w:pPr>
      <w:r w:rsidRPr="00C61F8B">
        <w:rPr>
          <w:bCs/>
        </w:rPr>
        <w:t xml:space="preserve">In 2019, the bank invested $1.6 million in a </w:t>
      </w:r>
      <w:r w:rsidR="00753DF7">
        <w:rPr>
          <w:bCs/>
        </w:rPr>
        <w:t>10-year bond that supports a 49-</w:t>
      </w:r>
      <w:r w:rsidRPr="00C61F8B">
        <w:rPr>
          <w:bCs/>
        </w:rPr>
        <w:t xml:space="preserve">unit affordable housing development.  </w:t>
      </w:r>
      <w:r w:rsidR="001324B7">
        <w:rPr>
          <w:bCs/>
        </w:rPr>
        <w:t xml:space="preserve">All of the 49 </w:t>
      </w:r>
      <w:r>
        <w:rPr>
          <w:bCs/>
        </w:rPr>
        <w:t>units are for low- and moderate-income individuals, which is particularly responsive to the community development needs of the assessment area.</w:t>
      </w:r>
    </w:p>
    <w:p w14:paraId="250E6689" w14:textId="77777777" w:rsidR="00B707B7" w:rsidRPr="00C61F8B" w:rsidRDefault="00B707B7" w:rsidP="00B707B7">
      <w:pPr>
        <w:pStyle w:val="ListParagraph"/>
        <w:rPr>
          <w:bCs/>
        </w:rPr>
      </w:pPr>
    </w:p>
    <w:p w14:paraId="34804F9D" w14:textId="2C240D2B" w:rsidR="00B707B7" w:rsidRPr="001D2881" w:rsidRDefault="00B707B7" w:rsidP="00B707B7">
      <w:pPr>
        <w:pStyle w:val="ListParagraph"/>
        <w:numPr>
          <w:ilvl w:val="0"/>
          <w:numId w:val="20"/>
        </w:numPr>
        <w:rPr>
          <w:bCs/>
        </w:rPr>
      </w:pPr>
      <w:r w:rsidRPr="001D2881">
        <w:rPr>
          <w:bCs/>
        </w:rPr>
        <w:t xml:space="preserve">In 2020, the bank invested $100,000 in a loan fund managed by a non-profit organization.  The </w:t>
      </w:r>
      <w:r w:rsidR="009A2EF4">
        <w:rPr>
          <w:bCs/>
        </w:rPr>
        <w:t>loan fund</w:t>
      </w:r>
      <w:r w:rsidRPr="001D2881">
        <w:rPr>
          <w:bCs/>
        </w:rPr>
        <w:t xml:space="preserve"> promote</w:t>
      </w:r>
      <w:r w:rsidR="009A2EF4">
        <w:rPr>
          <w:bCs/>
        </w:rPr>
        <w:t>s</w:t>
      </w:r>
      <w:r w:rsidRPr="001D2881">
        <w:rPr>
          <w:bCs/>
        </w:rPr>
        <w:t xml:space="preserve"> economic development by providing non-traditional lending to small businesses. </w:t>
      </w:r>
    </w:p>
    <w:p w14:paraId="397B1C91" w14:textId="77777777" w:rsidR="00B707B7" w:rsidRPr="001D2881" w:rsidRDefault="00B707B7" w:rsidP="00B707B7">
      <w:pPr>
        <w:rPr>
          <w:bCs/>
        </w:rPr>
      </w:pPr>
    </w:p>
    <w:p w14:paraId="012B8312" w14:textId="411B328D" w:rsidR="00B707B7" w:rsidRPr="001D2881" w:rsidRDefault="00B707B7" w:rsidP="009A2EF4">
      <w:pPr>
        <w:rPr>
          <w:b/>
          <w:bCs/>
          <w:i/>
        </w:rPr>
      </w:pPr>
      <w:r w:rsidRPr="001D2881">
        <w:rPr>
          <w:b/>
          <w:bCs/>
          <w:i/>
        </w:rPr>
        <w:t xml:space="preserve">Donations </w:t>
      </w:r>
      <w:r w:rsidRPr="001D2881">
        <w:rPr>
          <w:b/>
          <w:bCs/>
          <w:i/>
        </w:rPr>
        <w:tab/>
      </w:r>
    </w:p>
    <w:p w14:paraId="7D4FF67E" w14:textId="77777777" w:rsidR="00B707B7" w:rsidRPr="001D2881" w:rsidRDefault="00B707B7" w:rsidP="00B707B7">
      <w:pPr>
        <w:rPr>
          <w:bCs/>
          <w:i/>
        </w:rPr>
      </w:pPr>
    </w:p>
    <w:p w14:paraId="7FB03F60" w14:textId="058FE28E" w:rsidR="00B707B7" w:rsidRPr="001D2881" w:rsidRDefault="00B707B7" w:rsidP="00B707B7">
      <w:pPr>
        <w:pStyle w:val="ListParagraph"/>
        <w:numPr>
          <w:ilvl w:val="0"/>
          <w:numId w:val="20"/>
        </w:numPr>
        <w:rPr>
          <w:bCs/>
        </w:rPr>
      </w:pPr>
      <w:r w:rsidRPr="001D2881">
        <w:rPr>
          <w:b/>
          <w:bCs/>
        </w:rPr>
        <w:t xml:space="preserve">Habitat For Humanity </w:t>
      </w:r>
      <w:r w:rsidRPr="0017376C">
        <w:rPr>
          <w:bCs/>
        </w:rPr>
        <w:t xml:space="preserve">– </w:t>
      </w:r>
      <w:r w:rsidRPr="001D2881">
        <w:rPr>
          <w:bCs/>
        </w:rPr>
        <w:t xml:space="preserve">This organization builds affordable housing for low- and moderate-income individuals within the assessment area.  The organization also offers homeownership education programs. </w:t>
      </w:r>
    </w:p>
    <w:p w14:paraId="277C3824" w14:textId="77777777" w:rsidR="00B707B7" w:rsidRPr="001D2881" w:rsidRDefault="00B707B7" w:rsidP="00B707B7">
      <w:pPr>
        <w:pStyle w:val="ListParagraph"/>
        <w:rPr>
          <w:bCs/>
        </w:rPr>
      </w:pPr>
    </w:p>
    <w:p w14:paraId="63829711" w14:textId="77777777" w:rsidR="00B707B7" w:rsidRPr="001D2881" w:rsidRDefault="00B707B7" w:rsidP="00B707B7">
      <w:pPr>
        <w:pStyle w:val="ListParagraph"/>
        <w:numPr>
          <w:ilvl w:val="0"/>
          <w:numId w:val="20"/>
        </w:numPr>
        <w:rPr>
          <w:bCs/>
        </w:rPr>
      </w:pPr>
      <w:r w:rsidRPr="001D2881">
        <w:rPr>
          <w:b/>
          <w:bCs/>
        </w:rPr>
        <w:t xml:space="preserve">Health Imperatives </w:t>
      </w:r>
      <w:r w:rsidRPr="001D2881">
        <w:rPr>
          <w:bCs/>
        </w:rPr>
        <w:t>– This organization</w:t>
      </w:r>
      <w:r>
        <w:rPr>
          <w:bCs/>
        </w:rPr>
        <w:t xml:space="preserve"> supports</w:t>
      </w:r>
      <w:r w:rsidRPr="001D2881">
        <w:rPr>
          <w:bCs/>
        </w:rPr>
        <w:t xml:space="preserve"> the health and well-being of low-income families and individuals in Southeastern Massachusetts.  The community services provided include emergency shelter and crisis counseling for survivors of domestic violence.  </w:t>
      </w:r>
    </w:p>
    <w:p w14:paraId="23EA46C9" w14:textId="77777777" w:rsidR="00B707B7" w:rsidRPr="001D2881" w:rsidRDefault="00B707B7" w:rsidP="00B707B7">
      <w:pPr>
        <w:pStyle w:val="ListParagraph"/>
        <w:rPr>
          <w:bCs/>
        </w:rPr>
      </w:pPr>
    </w:p>
    <w:p w14:paraId="6DAA5E2A" w14:textId="77777777" w:rsidR="00B707B7" w:rsidRPr="001D2881" w:rsidRDefault="00B707B7" w:rsidP="00B707B7">
      <w:pPr>
        <w:pStyle w:val="ListParagraph"/>
        <w:numPr>
          <w:ilvl w:val="0"/>
          <w:numId w:val="20"/>
        </w:numPr>
        <w:rPr>
          <w:bCs/>
        </w:rPr>
      </w:pPr>
      <w:r w:rsidRPr="001D2881">
        <w:rPr>
          <w:b/>
          <w:bCs/>
        </w:rPr>
        <w:t xml:space="preserve">Father Bill’s &amp; MainSpring </w:t>
      </w:r>
      <w:r w:rsidRPr="001D2881">
        <w:rPr>
          <w:bCs/>
        </w:rPr>
        <w:t xml:space="preserve">– This organization’s purpose is to end and prevent homelessness in Southern Massachusetts.  </w:t>
      </w:r>
      <w:r>
        <w:rPr>
          <w:bCs/>
        </w:rPr>
        <w:t>It</w:t>
      </w:r>
      <w:r w:rsidRPr="001D2881">
        <w:rPr>
          <w:bCs/>
        </w:rPr>
        <w:t xml:space="preserve"> provides community services such as emergency housing, permanent housing, and job training to low- and moderate-income individuals struggling with homelessness. </w:t>
      </w:r>
    </w:p>
    <w:p w14:paraId="3BEB6699" w14:textId="77777777" w:rsidR="00B707B7" w:rsidRPr="001D2881" w:rsidRDefault="00B707B7" w:rsidP="00B707B7">
      <w:pPr>
        <w:rPr>
          <w:b/>
          <w:bCs/>
          <w:u w:val="single"/>
        </w:rPr>
      </w:pPr>
    </w:p>
    <w:p w14:paraId="50CBC071" w14:textId="77777777" w:rsidR="00B707B7" w:rsidRPr="001D2881" w:rsidRDefault="00B707B7" w:rsidP="00B707B7">
      <w:pPr>
        <w:rPr>
          <w:bCs/>
        </w:rPr>
      </w:pPr>
      <w:r w:rsidRPr="001D2881">
        <w:rPr>
          <w:b/>
          <w:bCs/>
          <w:u w:val="single"/>
        </w:rPr>
        <w:t>Community Development Services</w:t>
      </w:r>
    </w:p>
    <w:p w14:paraId="33A2861E" w14:textId="77777777" w:rsidR="00B707B7" w:rsidRPr="001D2881" w:rsidRDefault="00B707B7" w:rsidP="00B707B7">
      <w:pPr>
        <w:pStyle w:val="BodyTXT"/>
        <w:rPr>
          <w:rFonts w:ascii="Times New Roman" w:hAnsi="Times New Roman" w:cs="Times New Roman"/>
          <w:sz w:val="24"/>
          <w:szCs w:val="24"/>
        </w:rPr>
      </w:pPr>
    </w:p>
    <w:p w14:paraId="7D000948" w14:textId="2399119F" w:rsidR="00B707B7" w:rsidRPr="001D2881" w:rsidRDefault="00B707B7" w:rsidP="00B707B7">
      <w:pPr>
        <w:pStyle w:val="BodyTXT"/>
        <w:rPr>
          <w:rFonts w:ascii="Times New Roman" w:hAnsi="Times New Roman" w:cs="Times New Roman"/>
          <w:sz w:val="24"/>
          <w:szCs w:val="24"/>
        </w:rPr>
      </w:pPr>
      <w:r w:rsidRPr="001D2881">
        <w:rPr>
          <w:rFonts w:ascii="Times New Roman" w:hAnsi="Times New Roman" w:cs="Times New Roman"/>
          <w:sz w:val="24"/>
          <w:szCs w:val="24"/>
        </w:rPr>
        <w:t xml:space="preserve">During the evaluation period, bank employees </w:t>
      </w:r>
      <w:r>
        <w:rPr>
          <w:rFonts w:ascii="Times New Roman" w:hAnsi="Times New Roman" w:cs="Times New Roman"/>
          <w:sz w:val="24"/>
          <w:szCs w:val="24"/>
        </w:rPr>
        <w:t>provided 43</w:t>
      </w:r>
      <w:r w:rsidRPr="001D2881">
        <w:rPr>
          <w:rFonts w:ascii="Times New Roman" w:hAnsi="Times New Roman" w:cs="Times New Roman"/>
          <w:sz w:val="24"/>
          <w:szCs w:val="24"/>
        </w:rPr>
        <w:t xml:space="preserve"> instances of financial expertise or technical assistance to community development organizations, which is lower than the previous evaluation.  However, the opportunity to provide community development services was limited in 2020</w:t>
      </w:r>
      <w:r>
        <w:rPr>
          <w:rFonts w:ascii="Times New Roman" w:hAnsi="Times New Roman" w:cs="Times New Roman"/>
          <w:sz w:val="24"/>
          <w:szCs w:val="24"/>
        </w:rPr>
        <w:t>,</w:t>
      </w:r>
      <w:r w:rsidRPr="001D2881">
        <w:rPr>
          <w:rFonts w:ascii="Times New Roman" w:hAnsi="Times New Roman" w:cs="Times New Roman"/>
          <w:sz w:val="24"/>
          <w:szCs w:val="24"/>
        </w:rPr>
        <w:t xml:space="preserve"> as the COVID-19 pandemic prevented employees from performing </w:t>
      </w:r>
      <w:r>
        <w:rPr>
          <w:rFonts w:ascii="Times New Roman" w:hAnsi="Times New Roman" w:cs="Times New Roman"/>
          <w:sz w:val="24"/>
          <w:szCs w:val="24"/>
        </w:rPr>
        <w:t xml:space="preserve">certain </w:t>
      </w:r>
      <w:r w:rsidRPr="001D2881">
        <w:rPr>
          <w:rFonts w:ascii="Times New Roman" w:hAnsi="Times New Roman" w:cs="Times New Roman"/>
          <w:sz w:val="24"/>
          <w:szCs w:val="24"/>
        </w:rPr>
        <w:t>activities in person.  The bank demonstrated its commitment to seek</w:t>
      </w:r>
      <w:r>
        <w:rPr>
          <w:rFonts w:ascii="Times New Roman" w:hAnsi="Times New Roman" w:cs="Times New Roman"/>
          <w:sz w:val="24"/>
          <w:szCs w:val="24"/>
        </w:rPr>
        <w:t>ing</w:t>
      </w:r>
      <w:r w:rsidRPr="001D2881">
        <w:rPr>
          <w:rFonts w:ascii="Times New Roman" w:hAnsi="Times New Roman" w:cs="Times New Roman"/>
          <w:sz w:val="24"/>
          <w:szCs w:val="24"/>
        </w:rPr>
        <w:t xml:space="preserve"> community development services throughout the assessment area.  The following table illustrates </w:t>
      </w:r>
      <w:r w:rsidR="00753DF7">
        <w:rPr>
          <w:rFonts w:ascii="Times New Roman" w:hAnsi="Times New Roman" w:cs="Times New Roman"/>
          <w:sz w:val="24"/>
          <w:szCs w:val="24"/>
        </w:rPr>
        <w:t xml:space="preserve">the bank’s </w:t>
      </w:r>
      <w:r w:rsidRPr="001D2881">
        <w:rPr>
          <w:rFonts w:ascii="Times New Roman" w:hAnsi="Times New Roman" w:cs="Times New Roman"/>
          <w:sz w:val="24"/>
          <w:szCs w:val="24"/>
        </w:rPr>
        <w:t>community development services by purpose</w:t>
      </w:r>
      <w:r>
        <w:rPr>
          <w:rFonts w:ascii="Times New Roman" w:hAnsi="Times New Roman" w:cs="Times New Roman"/>
          <w:sz w:val="24"/>
          <w:szCs w:val="24"/>
        </w:rPr>
        <w:t xml:space="preserve"> and year</w:t>
      </w:r>
      <w:r w:rsidRPr="001D2881">
        <w:rPr>
          <w:rFonts w:ascii="Times New Roman" w:hAnsi="Times New Roman" w:cs="Times New Roman"/>
          <w:sz w:val="24"/>
          <w:szCs w:val="24"/>
        </w:rPr>
        <w:t>.</w:t>
      </w:r>
    </w:p>
    <w:p w14:paraId="05710DF0" w14:textId="77777777" w:rsidR="00B707B7" w:rsidRPr="001D2881" w:rsidRDefault="00B707B7" w:rsidP="00B707B7">
      <w:pPr>
        <w:pStyle w:val="BodyTXT"/>
        <w:rPr>
          <w:rFonts w:ascii="Times New Roman" w:hAnsi="Times New Roman" w:cs="Times New Roman"/>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70"/>
        <w:gridCol w:w="1170"/>
        <w:gridCol w:w="1260"/>
        <w:gridCol w:w="1350"/>
        <w:gridCol w:w="1260"/>
        <w:gridCol w:w="1170"/>
      </w:tblGrid>
      <w:tr w:rsidR="00B707B7" w:rsidRPr="001D2881" w14:paraId="265AAC30" w14:textId="77777777" w:rsidTr="00E444B1">
        <w:trPr>
          <w:trHeight w:val="360"/>
          <w:jc w:val="center"/>
        </w:trPr>
        <w:tc>
          <w:tcPr>
            <w:tcW w:w="9180" w:type="dxa"/>
            <w:gridSpan w:val="6"/>
            <w:shd w:val="clear" w:color="auto" w:fill="auto"/>
            <w:vAlign w:val="center"/>
          </w:tcPr>
          <w:p w14:paraId="5D30708D" w14:textId="77777777" w:rsidR="00B707B7" w:rsidRPr="001D2881" w:rsidRDefault="00B707B7" w:rsidP="00E444B1">
            <w:pPr>
              <w:keepNext/>
              <w:widowControl w:val="0"/>
              <w:jc w:val="center"/>
              <w:rPr>
                <w:b/>
                <w:sz w:val="20"/>
                <w:szCs w:val="20"/>
              </w:rPr>
            </w:pPr>
            <w:r w:rsidRPr="001D2881">
              <w:rPr>
                <w:b/>
                <w:sz w:val="20"/>
                <w:szCs w:val="20"/>
              </w:rPr>
              <w:t>Community Development Services</w:t>
            </w:r>
          </w:p>
        </w:tc>
      </w:tr>
      <w:tr w:rsidR="00B707B7" w:rsidRPr="001D2881" w14:paraId="78154790" w14:textId="77777777" w:rsidTr="00E444B1">
        <w:trPr>
          <w:trHeight w:val="288"/>
          <w:jc w:val="center"/>
        </w:trPr>
        <w:tc>
          <w:tcPr>
            <w:tcW w:w="2970" w:type="dxa"/>
            <w:vMerge w:val="restart"/>
            <w:shd w:val="clear" w:color="auto" w:fill="auto"/>
            <w:vAlign w:val="center"/>
          </w:tcPr>
          <w:p w14:paraId="7F8C748A" w14:textId="77777777" w:rsidR="00B707B7" w:rsidRPr="001D2881" w:rsidRDefault="00B707B7" w:rsidP="00E444B1">
            <w:pPr>
              <w:keepNext/>
              <w:widowControl w:val="0"/>
              <w:rPr>
                <w:b/>
                <w:sz w:val="20"/>
                <w:szCs w:val="20"/>
              </w:rPr>
            </w:pPr>
            <w:r w:rsidRPr="001D2881">
              <w:rPr>
                <w:b/>
                <w:sz w:val="20"/>
                <w:szCs w:val="20"/>
              </w:rPr>
              <w:t>Activity Year</w:t>
            </w:r>
          </w:p>
        </w:tc>
        <w:tc>
          <w:tcPr>
            <w:tcW w:w="1170" w:type="dxa"/>
            <w:shd w:val="clear" w:color="auto" w:fill="auto"/>
            <w:vAlign w:val="center"/>
          </w:tcPr>
          <w:p w14:paraId="4A5FE0CC" w14:textId="77777777" w:rsidR="00B707B7" w:rsidRPr="001D2881" w:rsidRDefault="00B707B7" w:rsidP="00E444B1">
            <w:pPr>
              <w:keepNext/>
              <w:widowControl w:val="0"/>
              <w:jc w:val="center"/>
              <w:rPr>
                <w:sz w:val="20"/>
                <w:szCs w:val="20"/>
              </w:rPr>
            </w:pPr>
            <w:r w:rsidRPr="001D2881">
              <w:rPr>
                <w:b/>
                <w:sz w:val="20"/>
                <w:szCs w:val="20"/>
              </w:rPr>
              <w:t>Affordable Housing</w:t>
            </w:r>
          </w:p>
        </w:tc>
        <w:tc>
          <w:tcPr>
            <w:tcW w:w="1260" w:type="dxa"/>
            <w:shd w:val="clear" w:color="auto" w:fill="auto"/>
            <w:vAlign w:val="center"/>
          </w:tcPr>
          <w:p w14:paraId="5B3FC5F4" w14:textId="77777777" w:rsidR="00B707B7" w:rsidRPr="001D2881" w:rsidRDefault="00B707B7" w:rsidP="00E444B1">
            <w:pPr>
              <w:keepNext/>
              <w:widowControl w:val="0"/>
              <w:jc w:val="center"/>
              <w:rPr>
                <w:b/>
                <w:sz w:val="20"/>
                <w:szCs w:val="20"/>
              </w:rPr>
            </w:pPr>
            <w:r w:rsidRPr="001D2881">
              <w:rPr>
                <w:b/>
                <w:sz w:val="20"/>
                <w:szCs w:val="20"/>
              </w:rPr>
              <w:t>Community Services</w:t>
            </w:r>
          </w:p>
        </w:tc>
        <w:tc>
          <w:tcPr>
            <w:tcW w:w="1350" w:type="dxa"/>
            <w:shd w:val="clear" w:color="auto" w:fill="auto"/>
            <w:vAlign w:val="center"/>
          </w:tcPr>
          <w:p w14:paraId="389A054C" w14:textId="77777777" w:rsidR="00B707B7" w:rsidRPr="001D2881" w:rsidRDefault="00B707B7" w:rsidP="00E444B1">
            <w:pPr>
              <w:keepNext/>
              <w:widowControl w:val="0"/>
              <w:jc w:val="center"/>
              <w:rPr>
                <w:b/>
                <w:sz w:val="20"/>
                <w:szCs w:val="20"/>
              </w:rPr>
            </w:pPr>
            <w:r w:rsidRPr="001D2881">
              <w:rPr>
                <w:b/>
                <w:sz w:val="20"/>
                <w:szCs w:val="20"/>
              </w:rPr>
              <w:t>Economic Development</w:t>
            </w:r>
          </w:p>
        </w:tc>
        <w:tc>
          <w:tcPr>
            <w:tcW w:w="1260" w:type="dxa"/>
            <w:shd w:val="clear" w:color="auto" w:fill="auto"/>
            <w:vAlign w:val="center"/>
          </w:tcPr>
          <w:p w14:paraId="07C9FE6B" w14:textId="77777777" w:rsidR="00B707B7" w:rsidRPr="001D2881" w:rsidRDefault="00B707B7" w:rsidP="00E444B1">
            <w:pPr>
              <w:keepNext/>
              <w:widowControl w:val="0"/>
              <w:jc w:val="center"/>
              <w:rPr>
                <w:b/>
                <w:sz w:val="20"/>
                <w:szCs w:val="20"/>
              </w:rPr>
            </w:pPr>
            <w:r w:rsidRPr="001D2881">
              <w:rPr>
                <w:b/>
                <w:sz w:val="20"/>
                <w:szCs w:val="20"/>
              </w:rPr>
              <w:t>Revitalize or Stabilize</w:t>
            </w:r>
          </w:p>
        </w:tc>
        <w:tc>
          <w:tcPr>
            <w:tcW w:w="1170" w:type="dxa"/>
            <w:shd w:val="clear" w:color="auto" w:fill="auto"/>
            <w:vAlign w:val="center"/>
          </w:tcPr>
          <w:p w14:paraId="6B31FF1F" w14:textId="77777777" w:rsidR="00B707B7" w:rsidRPr="001D2881" w:rsidRDefault="00B707B7" w:rsidP="00E444B1">
            <w:pPr>
              <w:keepNext/>
              <w:widowControl w:val="0"/>
              <w:jc w:val="center"/>
              <w:rPr>
                <w:b/>
                <w:sz w:val="20"/>
                <w:szCs w:val="20"/>
              </w:rPr>
            </w:pPr>
            <w:r w:rsidRPr="001D2881">
              <w:rPr>
                <w:b/>
                <w:sz w:val="20"/>
                <w:szCs w:val="20"/>
              </w:rPr>
              <w:t>Totals</w:t>
            </w:r>
          </w:p>
        </w:tc>
      </w:tr>
      <w:tr w:rsidR="00B707B7" w:rsidRPr="001D2881" w14:paraId="4E4AC027" w14:textId="77777777" w:rsidTr="00E444B1">
        <w:trPr>
          <w:trHeight w:val="288"/>
          <w:jc w:val="center"/>
        </w:trPr>
        <w:tc>
          <w:tcPr>
            <w:tcW w:w="2970" w:type="dxa"/>
            <w:vMerge/>
            <w:shd w:val="clear" w:color="auto" w:fill="auto"/>
            <w:vAlign w:val="center"/>
          </w:tcPr>
          <w:p w14:paraId="63675087" w14:textId="77777777" w:rsidR="00B707B7" w:rsidRPr="001D2881" w:rsidRDefault="00B707B7" w:rsidP="00E444B1">
            <w:pPr>
              <w:keepNext/>
              <w:widowControl w:val="0"/>
              <w:rPr>
                <w:sz w:val="20"/>
                <w:szCs w:val="20"/>
              </w:rPr>
            </w:pPr>
          </w:p>
        </w:tc>
        <w:tc>
          <w:tcPr>
            <w:tcW w:w="1170" w:type="dxa"/>
            <w:shd w:val="clear" w:color="auto" w:fill="auto"/>
            <w:vAlign w:val="center"/>
          </w:tcPr>
          <w:p w14:paraId="0D893692" w14:textId="77777777" w:rsidR="00B707B7" w:rsidRPr="001D2881" w:rsidRDefault="00B707B7" w:rsidP="00E444B1">
            <w:pPr>
              <w:keepNext/>
              <w:widowControl w:val="0"/>
              <w:jc w:val="center"/>
              <w:rPr>
                <w:b/>
                <w:sz w:val="20"/>
                <w:szCs w:val="20"/>
              </w:rPr>
            </w:pPr>
            <w:r w:rsidRPr="001D2881">
              <w:rPr>
                <w:b/>
                <w:sz w:val="20"/>
                <w:szCs w:val="20"/>
              </w:rPr>
              <w:t>#</w:t>
            </w:r>
          </w:p>
        </w:tc>
        <w:tc>
          <w:tcPr>
            <w:tcW w:w="1260" w:type="dxa"/>
            <w:shd w:val="clear" w:color="auto" w:fill="auto"/>
            <w:vAlign w:val="center"/>
          </w:tcPr>
          <w:p w14:paraId="63FF2540" w14:textId="77777777" w:rsidR="00B707B7" w:rsidRPr="001D2881" w:rsidRDefault="00B707B7" w:rsidP="00E444B1">
            <w:pPr>
              <w:keepNext/>
              <w:widowControl w:val="0"/>
              <w:jc w:val="center"/>
              <w:rPr>
                <w:b/>
                <w:sz w:val="20"/>
                <w:szCs w:val="20"/>
              </w:rPr>
            </w:pPr>
            <w:r w:rsidRPr="001D2881">
              <w:rPr>
                <w:b/>
                <w:sz w:val="20"/>
                <w:szCs w:val="20"/>
              </w:rPr>
              <w:t>#</w:t>
            </w:r>
          </w:p>
        </w:tc>
        <w:tc>
          <w:tcPr>
            <w:tcW w:w="1350" w:type="dxa"/>
            <w:shd w:val="clear" w:color="auto" w:fill="auto"/>
            <w:vAlign w:val="center"/>
          </w:tcPr>
          <w:p w14:paraId="4E44FA84" w14:textId="77777777" w:rsidR="00B707B7" w:rsidRPr="001D2881" w:rsidRDefault="00B707B7" w:rsidP="00E444B1">
            <w:pPr>
              <w:keepNext/>
              <w:widowControl w:val="0"/>
              <w:jc w:val="center"/>
              <w:rPr>
                <w:b/>
                <w:sz w:val="20"/>
                <w:szCs w:val="20"/>
              </w:rPr>
            </w:pPr>
            <w:r w:rsidRPr="001D2881">
              <w:rPr>
                <w:b/>
                <w:sz w:val="20"/>
                <w:szCs w:val="20"/>
              </w:rPr>
              <w:t>#</w:t>
            </w:r>
          </w:p>
        </w:tc>
        <w:tc>
          <w:tcPr>
            <w:tcW w:w="1260" w:type="dxa"/>
            <w:shd w:val="clear" w:color="auto" w:fill="auto"/>
            <w:vAlign w:val="center"/>
          </w:tcPr>
          <w:p w14:paraId="474B73DE" w14:textId="77777777" w:rsidR="00B707B7" w:rsidRPr="001D2881" w:rsidRDefault="00B707B7" w:rsidP="00E444B1">
            <w:pPr>
              <w:keepNext/>
              <w:widowControl w:val="0"/>
              <w:jc w:val="center"/>
              <w:rPr>
                <w:b/>
                <w:sz w:val="20"/>
                <w:szCs w:val="20"/>
              </w:rPr>
            </w:pPr>
            <w:r w:rsidRPr="001D2881">
              <w:rPr>
                <w:b/>
                <w:sz w:val="20"/>
                <w:szCs w:val="20"/>
              </w:rPr>
              <w:t>#</w:t>
            </w:r>
          </w:p>
        </w:tc>
        <w:tc>
          <w:tcPr>
            <w:tcW w:w="1170" w:type="dxa"/>
            <w:shd w:val="clear" w:color="auto" w:fill="auto"/>
            <w:vAlign w:val="center"/>
          </w:tcPr>
          <w:p w14:paraId="34A8E44A" w14:textId="77777777" w:rsidR="00B707B7" w:rsidRPr="001D2881" w:rsidRDefault="00B707B7" w:rsidP="00E444B1">
            <w:pPr>
              <w:keepNext/>
              <w:widowControl w:val="0"/>
              <w:jc w:val="center"/>
              <w:rPr>
                <w:b/>
                <w:sz w:val="20"/>
                <w:szCs w:val="20"/>
              </w:rPr>
            </w:pPr>
            <w:r w:rsidRPr="001D2881">
              <w:rPr>
                <w:b/>
                <w:sz w:val="20"/>
                <w:szCs w:val="20"/>
              </w:rPr>
              <w:t>#</w:t>
            </w:r>
          </w:p>
        </w:tc>
      </w:tr>
      <w:tr w:rsidR="00B707B7" w:rsidRPr="001D2881" w14:paraId="738B3345" w14:textId="77777777" w:rsidTr="00E444B1">
        <w:trPr>
          <w:trHeight w:val="288"/>
          <w:jc w:val="center"/>
        </w:trPr>
        <w:tc>
          <w:tcPr>
            <w:tcW w:w="2970" w:type="dxa"/>
            <w:shd w:val="clear" w:color="auto" w:fill="auto"/>
            <w:vAlign w:val="center"/>
          </w:tcPr>
          <w:p w14:paraId="24BA66C5" w14:textId="52A8989C" w:rsidR="00B707B7" w:rsidRPr="001D2881" w:rsidRDefault="00B707B7" w:rsidP="00E444B1">
            <w:pPr>
              <w:keepNext/>
              <w:widowControl w:val="0"/>
              <w:rPr>
                <w:sz w:val="20"/>
                <w:szCs w:val="20"/>
              </w:rPr>
            </w:pPr>
            <w:r w:rsidRPr="001D2881">
              <w:rPr>
                <w:sz w:val="20"/>
                <w:szCs w:val="20"/>
              </w:rPr>
              <w:t>2017</w:t>
            </w:r>
          </w:p>
        </w:tc>
        <w:tc>
          <w:tcPr>
            <w:tcW w:w="1170" w:type="dxa"/>
            <w:shd w:val="clear" w:color="auto" w:fill="auto"/>
            <w:vAlign w:val="center"/>
          </w:tcPr>
          <w:p w14:paraId="1E055BCD" w14:textId="28F37788" w:rsidR="00B707B7" w:rsidRPr="001D2881" w:rsidRDefault="00D76C29" w:rsidP="00E444B1">
            <w:pPr>
              <w:jc w:val="center"/>
              <w:rPr>
                <w:sz w:val="20"/>
                <w:szCs w:val="20"/>
              </w:rPr>
            </w:pPr>
            <w:r>
              <w:rPr>
                <w:sz w:val="20"/>
                <w:szCs w:val="20"/>
              </w:rPr>
              <w:t>0</w:t>
            </w:r>
          </w:p>
        </w:tc>
        <w:tc>
          <w:tcPr>
            <w:tcW w:w="1260" w:type="dxa"/>
            <w:shd w:val="clear" w:color="auto" w:fill="auto"/>
            <w:vAlign w:val="center"/>
          </w:tcPr>
          <w:p w14:paraId="4E9F7ED8" w14:textId="77777777" w:rsidR="00B707B7" w:rsidRPr="001D2881" w:rsidRDefault="00B707B7" w:rsidP="00E444B1">
            <w:pPr>
              <w:jc w:val="center"/>
              <w:rPr>
                <w:sz w:val="20"/>
                <w:szCs w:val="20"/>
              </w:rPr>
            </w:pPr>
            <w:r w:rsidRPr="001D2881">
              <w:rPr>
                <w:sz w:val="20"/>
                <w:szCs w:val="20"/>
              </w:rPr>
              <w:t>3</w:t>
            </w:r>
          </w:p>
        </w:tc>
        <w:tc>
          <w:tcPr>
            <w:tcW w:w="1350" w:type="dxa"/>
            <w:shd w:val="clear" w:color="auto" w:fill="auto"/>
            <w:vAlign w:val="center"/>
          </w:tcPr>
          <w:p w14:paraId="57D20739" w14:textId="1F3D7499" w:rsidR="00B707B7" w:rsidRPr="001D2881" w:rsidRDefault="00D76C29" w:rsidP="00E444B1">
            <w:pPr>
              <w:jc w:val="center"/>
              <w:rPr>
                <w:sz w:val="20"/>
                <w:szCs w:val="20"/>
              </w:rPr>
            </w:pPr>
            <w:r>
              <w:rPr>
                <w:sz w:val="20"/>
                <w:szCs w:val="20"/>
              </w:rPr>
              <w:t>0</w:t>
            </w:r>
          </w:p>
        </w:tc>
        <w:tc>
          <w:tcPr>
            <w:tcW w:w="1260" w:type="dxa"/>
            <w:shd w:val="clear" w:color="auto" w:fill="auto"/>
            <w:vAlign w:val="center"/>
          </w:tcPr>
          <w:p w14:paraId="2F6BFEFC" w14:textId="13AEE368" w:rsidR="00B707B7" w:rsidRPr="001D2881" w:rsidRDefault="00D76C29" w:rsidP="00E444B1">
            <w:pPr>
              <w:jc w:val="center"/>
              <w:rPr>
                <w:sz w:val="20"/>
                <w:szCs w:val="20"/>
              </w:rPr>
            </w:pPr>
            <w:r>
              <w:rPr>
                <w:sz w:val="20"/>
                <w:szCs w:val="20"/>
              </w:rPr>
              <w:t>0</w:t>
            </w:r>
          </w:p>
        </w:tc>
        <w:tc>
          <w:tcPr>
            <w:tcW w:w="1170" w:type="dxa"/>
            <w:shd w:val="clear" w:color="auto" w:fill="auto"/>
            <w:vAlign w:val="center"/>
          </w:tcPr>
          <w:p w14:paraId="5D21C4E3" w14:textId="77777777" w:rsidR="00B707B7" w:rsidRPr="001D2881" w:rsidRDefault="00B707B7" w:rsidP="00E444B1">
            <w:pPr>
              <w:jc w:val="center"/>
              <w:rPr>
                <w:b/>
                <w:bCs/>
                <w:sz w:val="20"/>
                <w:szCs w:val="20"/>
              </w:rPr>
            </w:pPr>
            <w:r w:rsidRPr="001D2881">
              <w:rPr>
                <w:b/>
                <w:bCs/>
                <w:sz w:val="20"/>
                <w:szCs w:val="20"/>
              </w:rPr>
              <w:t>3</w:t>
            </w:r>
          </w:p>
        </w:tc>
      </w:tr>
      <w:tr w:rsidR="00B707B7" w:rsidRPr="001D2881" w14:paraId="7E5ADBED" w14:textId="77777777" w:rsidTr="00E444B1">
        <w:trPr>
          <w:trHeight w:val="288"/>
          <w:jc w:val="center"/>
        </w:trPr>
        <w:tc>
          <w:tcPr>
            <w:tcW w:w="2970" w:type="dxa"/>
            <w:shd w:val="clear" w:color="auto" w:fill="auto"/>
            <w:vAlign w:val="center"/>
          </w:tcPr>
          <w:p w14:paraId="3E3AD31B" w14:textId="77777777" w:rsidR="00B707B7" w:rsidRPr="001D2881" w:rsidRDefault="00B707B7" w:rsidP="00E444B1">
            <w:pPr>
              <w:keepNext/>
              <w:widowControl w:val="0"/>
              <w:rPr>
                <w:sz w:val="20"/>
                <w:szCs w:val="20"/>
              </w:rPr>
            </w:pPr>
            <w:r w:rsidRPr="001D2881">
              <w:rPr>
                <w:sz w:val="20"/>
                <w:szCs w:val="20"/>
              </w:rPr>
              <w:t>2018</w:t>
            </w:r>
          </w:p>
        </w:tc>
        <w:tc>
          <w:tcPr>
            <w:tcW w:w="1170" w:type="dxa"/>
            <w:shd w:val="clear" w:color="auto" w:fill="auto"/>
            <w:vAlign w:val="center"/>
          </w:tcPr>
          <w:p w14:paraId="71C18228" w14:textId="3756CDBF" w:rsidR="00B707B7" w:rsidRPr="001D2881" w:rsidRDefault="00D76C29" w:rsidP="00E444B1">
            <w:pPr>
              <w:jc w:val="center"/>
              <w:rPr>
                <w:sz w:val="20"/>
                <w:szCs w:val="20"/>
              </w:rPr>
            </w:pPr>
            <w:r>
              <w:rPr>
                <w:sz w:val="20"/>
                <w:szCs w:val="20"/>
              </w:rPr>
              <w:t>0</w:t>
            </w:r>
          </w:p>
        </w:tc>
        <w:tc>
          <w:tcPr>
            <w:tcW w:w="1260" w:type="dxa"/>
            <w:shd w:val="clear" w:color="auto" w:fill="auto"/>
            <w:vAlign w:val="center"/>
          </w:tcPr>
          <w:p w14:paraId="27AB2015" w14:textId="77777777" w:rsidR="00B707B7" w:rsidRPr="001D2881" w:rsidRDefault="00B707B7" w:rsidP="00E444B1">
            <w:pPr>
              <w:jc w:val="center"/>
              <w:rPr>
                <w:sz w:val="20"/>
                <w:szCs w:val="20"/>
              </w:rPr>
            </w:pPr>
            <w:r w:rsidRPr="001D2881">
              <w:rPr>
                <w:sz w:val="20"/>
                <w:szCs w:val="20"/>
              </w:rPr>
              <w:t>5</w:t>
            </w:r>
          </w:p>
        </w:tc>
        <w:tc>
          <w:tcPr>
            <w:tcW w:w="1350" w:type="dxa"/>
            <w:shd w:val="clear" w:color="auto" w:fill="auto"/>
            <w:vAlign w:val="center"/>
          </w:tcPr>
          <w:p w14:paraId="6AFAA0AA" w14:textId="181FDE5F" w:rsidR="00B707B7" w:rsidRPr="001D2881" w:rsidRDefault="00D76C29" w:rsidP="00E444B1">
            <w:pPr>
              <w:jc w:val="center"/>
              <w:rPr>
                <w:sz w:val="20"/>
                <w:szCs w:val="20"/>
              </w:rPr>
            </w:pPr>
            <w:r>
              <w:rPr>
                <w:sz w:val="20"/>
                <w:szCs w:val="20"/>
              </w:rPr>
              <w:t>0</w:t>
            </w:r>
          </w:p>
        </w:tc>
        <w:tc>
          <w:tcPr>
            <w:tcW w:w="1260" w:type="dxa"/>
            <w:shd w:val="clear" w:color="auto" w:fill="auto"/>
            <w:vAlign w:val="center"/>
          </w:tcPr>
          <w:p w14:paraId="2BF28E33" w14:textId="77777777" w:rsidR="00B707B7" w:rsidRPr="001D2881" w:rsidRDefault="00B707B7" w:rsidP="00E444B1">
            <w:pPr>
              <w:jc w:val="center"/>
              <w:rPr>
                <w:sz w:val="20"/>
                <w:szCs w:val="20"/>
              </w:rPr>
            </w:pPr>
            <w:r w:rsidRPr="001D2881">
              <w:rPr>
                <w:sz w:val="20"/>
                <w:szCs w:val="20"/>
              </w:rPr>
              <w:t>3</w:t>
            </w:r>
          </w:p>
        </w:tc>
        <w:tc>
          <w:tcPr>
            <w:tcW w:w="1170" w:type="dxa"/>
            <w:shd w:val="clear" w:color="auto" w:fill="auto"/>
            <w:vAlign w:val="center"/>
          </w:tcPr>
          <w:p w14:paraId="1345F87F" w14:textId="77777777" w:rsidR="00B707B7" w:rsidRPr="001D2881" w:rsidRDefault="00B707B7" w:rsidP="00E444B1">
            <w:pPr>
              <w:jc w:val="center"/>
              <w:rPr>
                <w:b/>
                <w:bCs/>
                <w:sz w:val="20"/>
                <w:szCs w:val="20"/>
              </w:rPr>
            </w:pPr>
            <w:r w:rsidRPr="001D2881">
              <w:rPr>
                <w:b/>
                <w:bCs/>
                <w:sz w:val="20"/>
                <w:szCs w:val="20"/>
              </w:rPr>
              <w:t>8</w:t>
            </w:r>
          </w:p>
        </w:tc>
      </w:tr>
      <w:tr w:rsidR="00B707B7" w:rsidRPr="001D2881" w14:paraId="0D041107" w14:textId="77777777" w:rsidTr="00E444B1">
        <w:trPr>
          <w:trHeight w:val="288"/>
          <w:jc w:val="center"/>
        </w:trPr>
        <w:tc>
          <w:tcPr>
            <w:tcW w:w="2970" w:type="dxa"/>
            <w:shd w:val="clear" w:color="auto" w:fill="auto"/>
            <w:vAlign w:val="center"/>
          </w:tcPr>
          <w:p w14:paraId="7EB41159" w14:textId="77777777" w:rsidR="00B707B7" w:rsidRPr="001D2881" w:rsidRDefault="00B707B7" w:rsidP="00E444B1">
            <w:pPr>
              <w:keepNext/>
              <w:widowControl w:val="0"/>
              <w:rPr>
                <w:sz w:val="20"/>
                <w:szCs w:val="20"/>
              </w:rPr>
            </w:pPr>
            <w:r w:rsidRPr="001D2881">
              <w:rPr>
                <w:sz w:val="20"/>
                <w:szCs w:val="20"/>
              </w:rPr>
              <w:t>2019</w:t>
            </w:r>
          </w:p>
        </w:tc>
        <w:tc>
          <w:tcPr>
            <w:tcW w:w="1170" w:type="dxa"/>
            <w:shd w:val="clear" w:color="auto" w:fill="auto"/>
            <w:vAlign w:val="center"/>
          </w:tcPr>
          <w:p w14:paraId="5D0A8615" w14:textId="77777777" w:rsidR="00B707B7" w:rsidRPr="001D2881" w:rsidRDefault="00B707B7" w:rsidP="00E444B1">
            <w:pPr>
              <w:jc w:val="center"/>
              <w:rPr>
                <w:sz w:val="20"/>
                <w:szCs w:val="20"/>
              </w:rPr>
            </w:pPr>
            <w:r>
              <w:rPr>
                <w:sz w:val="20"/>
                <w:szCs w:val="20"/>
              </w:rPr>
              <w:t>6</w:t>
            </w:r>
          </w:p>
        </w:tc>
        <w:tc>
          <w:tcPr>
            <w:tcW w:w="1260" w:type="dxa"/>
            <w:shd w:val="clear" w:color="auto" w:fill="auto"/>
            <w:vAlign w:val="center"/>
          </w:tcPr>
          <w:p w14:paraId="77C6AC1E" w14:textId="77777777" w:rsidR="00B707B7" w:rsidRPr="001D2881" w:rsidRDefault="00B707B7" w:rsidP="00E444B1">
            <w:pPr>
              <w:jc w:val="center"/>
              <w:rPr>
                <w:sz w:val="20"/>
                <w:szCs w:val="20"/>
              </w:rPr>
            </w:pPr>
            <w:r w:rsidRPr="001D2881">
              <w:rPr>
                <w:sz w:val="20"/>
                <w:szCs w:val="20"/>
              </w:rPr>
              <w:t>16</w:t>
            </w:r>
          </w:p>
        </w:tc>
        <w:tc>
          <w:tcPr>
            <w:tcW w:w="1350" w:type="dxa"/>
            <w:shd w:val="clear" w:color="auto" w:fill="auto"/>
            <w:vAlign w:val="center"/>
          </w:tcPr>
          <w:p w14:paraId="1BC5E899" w14:textId="19A2AF04" w:rsidR="00B707B7" w:rsidRPr="001D2881" w:rsidRDefault="00D76C29" w:rsidP="00E444B1">
            <w:pPr>
              <w:jc w:val="center"/>
              <w:rPr>
                <w:sz w:val="20"/>
                <w:szCs w:val="20"/>
              </w:rPr>
            </w:pPr>
            <w:r>
              <w:rPr>
                <w:sz w:val="20"/>
                <w:szCs w:val="20"/>
              </w:rPr>
              <w:t>0</w:t>
            </w:r>
          </w:p>
        </w:tc>
        <w:tc>
          <w:tcPr>
            <w:tcW w:w="1260" w:type="dxa"/>
            <w:shd w:val="clear" w:color="auto" w:fill="auto"/>
            <w:vAlign w:val="center"/>
          </w:tcPr>
          <w:p w14:paraId="1278E610" w14:textId="77777777" w:rsidR="00B707B7" w:rsidRPr="001D2881" w:rsidRDefault="00B707B7" w:rsidP="00E444B1">
            <w:pPr>
              <w:jc w:val="center"/>
              <w:rPr>
                <w:sz w:val="20"/>
                <w:szCs w:val="20"/>
              </w:rPr>
            </w:pPr>
            <w:r w:rsidRPr="001D2881">
              <w:rPr>
                <w:sz w:val="20"/>
                <w:szCs w:val="20"/>
              </w:rPr>
              <w:t>4</w:t>
            </w:r>
          </w:p>
        </w:tc>
        <w:tc>
          <w:tcPr>
            <w:tcW w:w="1170" w:type="dxa"/>
            <w:shd w:val="clear" w:color="auto" w:fill="auto"/>
            <w:vAlign w:val="center"/>
          </w:tcPr>
          <w:p w14:paraId="431EBB4B" w14:textId="77777777" w:rsidR="00B707B7" w:rsidRPr="001D2881" w:rsidRDefault="00B707B7" w:rsidP="00E444B1">
            <w:pPr>
              <w:jc w:val="center"/>
              <w:rPr>
                <w:b/>
                <w:bCs/>
                <w:sz w:val="20"/>
                <w:szCs w:val="20"/>
              </w:rPr>
            </w:pPr>
            <w:r>
              <w:rPr>
                <w:b/>
                <w:bCs/>
                <w:sz w:val="20"/>
                <w:szCs w:val="20"/>
              </w:rPr>
              <w:t>26</w:t>
            </w:r>
          </w:p>
        </w:tc>
      </w:tr>
      <w:tr w:rsidR="00B707B7" w:rsidRPr="001D2881" w14:paraId="0FB6ED5B" w14:textId="77777777" w:rsidTr="00E444B1">
        <w:trPr>
          <w:trHeight w:val="288"/>
          <w:jc w:val="center"/>
        </w:trPr>
        <w:tc>
          <w:tcPr>
            <w:tcW w:w="2970" w:type="dxa"/>
            <w:shd w:val="clear" w:color="auto" w:fill="auto"/>
            <w:vAlign w:val="center"/>
          </w:tcPr>
          <w:p w14:paraId="700DF8C8" w14:textId="77777777" w:rsidR="00B707B7" w:rsidRPr="001D2881" w:rsidRDefault="00B707B7" w:rsidP="00E444B1">
            <w:pPr>
              <w:keepNext/>
              <w:widowControl w:val="0"/>
              <w:rPr>
                <w:sz w:val="20"/>
                <w:szCs w:val="20"/>
              </w:rPr>
            </w:pPr>
            <w:r w:rsidRPr="001D2881">
              <w:rPr>
                <w:sz w:val="20"/>
                <w:szCs w:val="20"/>
              </w:rPr>
              <w:t>YTD 2020</w:t>
            </w:r>
          </w:p>
        </w:tc>
        <w:tc>
          <w:tcPr>
            <w:tcW w:w="1170" w:type="dxa"/>
            <w:shd w:val="clear" w:color="auto" w:fill="auto"/>
            <w:vAlign w:val="center"/>
          </w:tcPr>
          <w:p w14:paraId="630DF62F" w14:textId="77777777" w:rsidR="00B707B7" w:rsidRPr="001D2881" w:rsidRDefault="00B707B7" w:rsidP="00E444B1">
            <w:pPr>
              <w:jc w:val="center"/>
              <w:rPr>
                <w:sz w:val="20"/>
                <w:szCs w:val="20"/>
              </w:rPr>
            </w:pPr>
            <w:r w:rsidRPr="001D2881">
              <w:rPr>
                <w:sz w:val="20"/>
                <w:szCs w:val="20"/>
              </w:rPr>
              <w:t>1</w:t>
            </w:r>
          </w:p>
        </w:tc>
        <w:tc>
          <w:tcPr>
            <w:tcW w:w="1260" w:type="dxa"/>
            <w:shd w:val="clear" w:color="auto" w:fill="auto"/>
            <w:vAlign w:val="center"/>
          </w:tcPr>
          <w:p w14:paraId="29AA47B6" w14:textId="77777777" w:rsidR="00B707B7" w:rsidRPr="001D2881" w:rsidRDefault="00B707B7" w:rsidP="00E444B1">
            <w:pPr>
              <w:jc w:val="center"/>
              <w:rPr>
                <w:sz w:val="20"/>
                <w:szCs w:val="20"/>
              </w:rPr>
            </w:pPr>
            <w:r w:rsidRPr="001D2881">
              <w:rPr>
                <w:sz w:val="20"/>
                <w:szCs w:val="20"/>
              </w:rPr>
              <w:t>2</w:t>
            </w:r>
          </w:p>
        </w:tc>
        <w:tc>
          <w:tcPr>
            <w:tcW w:w="1350" w:type="dxa"/>
            <w:shd w:val="clear" w:color="auto" w:fill="auto"/>
            <w:vAlign w:val="center"/>
          </w:tcPr>
          <w:p w14:paraId="048DD468" w14:textId="1120F164" w:rsidR="00B707B7" w:rsidRPr="001D2881" w:rsidRDefault="00D76C29" w:rsidP="00E444B1">
            <w:pPr>
              <w:jc w:val="center"/>
              <w:rPr>
                <w:sz w:val="20"/>
                <w:szCs w:val="20"/>
              </w:rPr>
            </w:pPr>
            <w:r>
              <w:rPr>
                <w:sz w:val="20"/>
                <w:szCs w:val="20"/>
              </w:rPr>
              <w:t>0</w:t>
            </w:r>
          </w:p>
        </w:tc>
        <w:tc>
          <w:tcPr>
            <w:tcW w:w="1260" w:type="dxa"/>
            <w:shd w:val="clear" w:color="auto" w:fill="auto"/>
            <w:vAlign w:val="center"/>
          </w:tcPr>
          <w:p w14:paraId="501A519A" w14:textId="77777777" w:rsidR="00B707B7" w:rsidRPr="001D2881" w:rsidRDefault="00B707B7" w:rsidP="00E444B1">
            <w:pPr>
              <w:jc w:val="center"/>
              <w:rPr>
                <w:sz w:val="20"/>
                <w:szCs w:val="20"/>
              </w:rPr>
            </w:pPr>
            <w:r w:rsidRPr="001D2881">
              <w:rPr>
                <w:sz w:val="20"/>
                <w:szCs w:val="20"/>
              </w:rPr>
              <w:t>3</w:t>
            </w:r>
          </w:p>
        </w:tc>
        <w:tc>
          <w:tcPr>
            <w:tcW w:w="1170" w:type="dxa"/>
            <w:shd w:val="clear" w:color="auto" w:fill="auto"/>
            <w:vAlign w:val="center"/>
          </w:tcPr>
          <w:p w14:paraId="1CB96726" w14:textId="77777777" w:rsidR="00B707B7" w:rsidRPr="001D2881" w:rsidRDefault="00B707B7" w:rsidP="00E444B1">
            <w:pPr>
              <w:jc w:val="center"/>
              <w:rPr>
                <w:b/>
                <w:bCs/>
                <w:sz w:val="20"/>
                <w:szCs w:val="20"/>
              </w:rPr>
            </w:pPr>
            <w:r w:rsidRPr="001D2881">
              <w:rPr>
                <w:b/>
                <w:bCs/>
                <w:sz w:val="20"/>
                <w:szCs w:val="20"/>
              </w:rPr>
              <w:t>6</w:t>
            </w:r>
          </w:p>
        </w:tc>
      </w:tr>
      <w:tr w:rsidR="00B707B7" w:rsidRPr="001D2881" w14:paraId="080AE125" w14:textId="77777777" w:rsidTr="00E444B1">
        <w:trPr>
          <w:trHeight w:val="288"/>
          <w:jc w:val="center"/>
        </w:trPr>
        <w:tc>
          <w:tcPr>
            <w:tcW w:w="2970" w:type="dxa"/>
            <w:shd w:val="clear" w:color="auto" w:fill="auto"/>
            <w:vAlign w:val="center"/>
          </w:tcPr>
          <w:p w14:paraId="77BC79A6" w14:textId="77777777" w:rsidR="00B707B7" w:rsidRPr="001D2881" w:rsidRDefault="00B707B7" w:rsidP="00E444B1">
            <w:pPr>
              <w:keepNext/>
              <w:widowControl w:val="0"/>
              <w:rPr>
                <w:b/>
                <w:sz w:val="20"/>
                <w:szCs w:val="20"/>
                <w:highlight w:val="green"/>
              </w:rPr>
            </w:pPr>
            <w:r w:rsidRPr="001D2881">
              <w:rPr>
                <w:b/>
                <w:sz w:val="20"/>
                <w:szCs w:val="20"/>
              </w:rPr>
              <w:t>Total</w:t>
            </w:r>
          </w:p>
        </w:tc>
        <w:tc>
          <w:tcPr>
            <w:tcW w:w="1170" w:type="dxa"/>
            <w:shd w:val="clear" w:color="auto" w:fill="auto"/>
            <w:vAlign w:val="center"/>
          </w:tcPr>
          <w:p w14:paraId="1493BAFC" w14:textId="77777777" w:rsidR="00B707B7" w:rsidRPr="00D76C29" w:rsidRDefault="00B707B7" w:rsidP="00E444B1">
            <w:pPr>
              <w:jc w:val="center"/>
              <w:rPr>
                <w:b/>
                <w:bCs/>
                <w:sz w:val="20"/>
                <w:szCs w:val="20"/>
              </w:rPr>
            </w:pPr>
            <w:r w:rsidRPr="00D76C29">
              <w:rPr>
                <w:b/>
                <w:bCs/>
                <w:sz w:val="20"/>
                <w:szCs w:val="20"/>
              </w:rPr>
              <w:t>7</w:t>
            </w:r>
          </w:p>
        </w:tc>
        <w:tc>
          <w:tcPr>
            <w:tcW w:w="1260" w:type="dxa"/>
            <w:shd w:val="clear" w:color="auto" w:fill="auto"/>
            <w:vAlign w:val="center"/>
          </w:tcPr>
          <w:p w14:paraId="02791BC2" w14:textId="77777777" w:rsidR="00B707B7" w:rsidRPr="00D76C29" w:rsidRDefault="00B707B7" w:rsidP="00E444B1">
            <w:pPr>
              <w:jc w:val="center"/>
              <w:rPr>
                <w:b/>
                <w:bCs/>
                <w:sz w:val="20"/>
                <w:szCs w:val="20"/>
              </w:rPr>
            </w:pPr>
            <w:r w:rsidRPr="00D76C29">
              <w:rPr>
                <w:b/>
                <w:bCs/>
                <w:sz w:val="20"/>
                <w:szCs w:val="20"/>
              </w:rPr>
              <w:t>26</w:t>
            </w:r>
          </w:p>
        </w:tc>
        <w:tc>
          <w:tcPr>
            <w:tcW w:w="1350" w:type="dxa"/>
            <w:shd w:val="clear" w:color="auto" w:fill="auto"/>
            <w:vAlign w:val="center"/>
          </w:tcPr>
          <w:p w14:paraId="7B2A9C84" w14:textId="37D94100" w:rsidR="00B707B7" w:rsidRPr="0037354D" w:rsidRDefault="00D76C29" w:rsidP="00E444B1">
            <w:pPr>
              <w:jc w:val="center"/>
              <w:rPr>
                <w:b/>
                <w:sz w:val="20"/>
                <w:szCs w:val="20"/>
              </w:rPr>
            </w:pPr>
            <w:r w:rsidRPr="0037354D">
              <w:rPr>
                <w:b/>
                <w:sz w:val="20"/>
                <w:szCs w:val="20"/>
              </w:rPr>
              <w:t>0</w:t>
            </w:r>
          </w:p>
        </w:tc>
        <w:tc>
          <w:tcPr>
            <w:tcW w:w="1260" w:type="dxa"/>
            <w:shd w:val="clear" w:color="auto" w:fill="auto"/>
            <w:vAlign w:val="center"/>
          </w:tcPr>
          <w:p w14:paraId="2CC37941" w14:textId="77777777" w:rsidR="00B707B7" w:rsidRPr="00D76C29" w:rsidRDefault="00B707B7" w:rsidP="00E444B1">
            <w:pPr>
              <w:jc w:val="center"/>
              <w:rPr>
                <w:b/>
                <w:bCs/>
                <w:sz w:val="20"/>
                <w:szCs w:val="20"/>
              </w:rPr>
            </w:pPr>
            <w:r w:rsidRPr="00D76C29">
              <w:rPr>
                <w:b/>
                <w:bCs/>
                <w:sz w:val="20"/>
                <w:szCs w:val="20"/>
              </w:rPr>
              <w:t>10</w:t>
            </w:r>
          </w:p>
        </w:tc>
        <w:tc>
          <w:tcPr>
            <w:tcW w:w="1170" w:type="dxa"/>
            <w:shd w:val="clear" w:color="auto" w:fill="auto"/>
            <w:vAlign w:val="center"/>
          </w:tcPr>
          <w:p w14:paraId="620F8269" w14:textId="77777777" w:rsidR="00B707B7" w:rsidRPr="00D76C29" w:rsidRDefault="00B707B7" w:rsidP="00E444B1">
            <w:pPr>
              <w:jc w:val="center"/>
              <w:rPr>
                <w:b/>
                <w:bCs/>
                <w:sz w:val="20"/>
                <w:szCs w:val="20"/>
              </w:rPr>
            </w:pPr>
            <w:r w:rsidRPr="00D76C29">
              <w:rPr>
                <w:b/>
                <w:bCs/>
                <w:sz w:val="20"/>
                <w:szCs w:val="20"/>
              </w:rPr>
              <w:t>43</w:t>
            </w:r>
          </w:p>
        </w:tc>
      </w:tr>
      <w:tr w:rsidR="00B707B7" w:rsidRPr="001D2881" w14:paraId="5FDF9EB2" w14:textId="77777777" w:rsidTr="00E444B1">
        <w:trPr>
          <w:trHeight w:val="165"/>
          <w:jc w:val="center"/>
        </w:trPr>
        <w:tc>
          <w:tcPr>
            <w:tcW w:w="9180" w:type="dxa"/>
            <w:gridSpan w:val="6"/>
            <w:shd w:val="clear" w:color="auto" w:fill="auto"/>
            <w:vAlign w:val="center"/>
          </w:tcPr>
          <w:p w14:paraId="246C0A9B" w14:textId="77777777" w:rsidR="00B707B7" w:rsidRPr="001D2881" w:rsidRDefault="00B707B7" w:rsidP="00E444B1">
            <w:pPr>
              <w:keepNext/>
              <w:widowControl w:val="0"/>
              <w:rPr>
                <w:b/>
                <w:sz w:val="20"/>
                <w:szCs w:val="20"/>
              </w:rPr>
            </w:pPr>
            <w:r w:rsidRPr="001D2881">
              <w:rPr>
                <w:i/>
                <w:sz w:val="16"/>
                <w:szCs w:val="16"/>
              </w:rPr>
              <w:t>Source:  Bank Records</w:t>
            </w:r>
          </w:p>
        </w:tc>
      </w:tr>
    </w:tbl>
    <w:p w14:paraId="20D7E9F5" w14:textId="77777777" w:rsidR="00B707B7" w:rsidRPr="001D2881" w:rsidRDefault="00B707B7" w:rsidP="00B707B7">
      <w:pPr>
        <w:pStyle w:val="BodyTXT"/>
        <w:rPr>
          <w:rFonts w:ascii="Times New Roman" w:hAnsi="Times New Roman" w:cs="Times New Roman"/>
          <w:sz w:val="24"/>
          <w:szCs w:val="24"/>
        </w:rPr>
      </w:pPr>
    </w:p>
    <w:p w14:paraId="163726EF" w14:textId="77777777" w:rsidR="00B707B7" w:rsidRPr="001D2881" w:rsidRDefault="00B707B7" w:rsidP="00B707B7">
      <w:pPr>
        <w:pStyle w:val="BodyTXT"/>
        <w:rPr>
          <w:rFonts w:ascii="Times New Roman" w:hAnsi="Times New Roman" w:cs="Times New Roman"/>
          <w:sz w:val="24"/>
          <w:szCs w:val="24"/>
        </w:rPr>
      </w:pPr>
      <w:r w:rsidRPr="001D2881">
        <w:rPr>
          <w:rFonts w:ascii="Times New Roman" w:hAnsi="Times New Roman" w:cs="Times New Roman"/>
          <w:sz w:val="24"/>
          <w:szCs w:val="24"/>
        </w:rPr>
        <w:t>Bank employees are involved in local community development organizations in multiple capacities.  The following organizations are examples of bank employee involvement in community development services.</w:t>
      </w:r>
    </w:p>
    <w:p w14:paraId="5CDD6AE0" w14:textId="77777777" w:rsidR="00B707B7" w:rsidRPr="001D2881" w:rsidRDefault="00B707B7" w:rsidP="00B707B7">
      <w:pPr>
        <w:pStyle w:val="BodyTXT"/>
        <w:rPr>
          <w:rFonts w:ascii="Times New Roman" w:hAnsi="Times New Roman" w:cs="Times New Roman"/>
          <w:sz w:val="24"/>
          <w:szCs w:val="24"/>
        </w:rPr>
      </w:pPr>
    </w:p>
    <w:p w14:paraId="3559FB3A" w14:textId="0A53FE0A" w:rsidR="00B707B7" w:rsidRPr="001D2881" w:rsidRDefault="00B707B7" w:rsidP="00B707B7">
      <w:pPr>
        <w:pStyle w:val="BodyTXT"/>
        <w:numPr>
          <w:ilvl w:val="0"/>
          <w:numId w:val="11"/>
        </w:numPr>
        <w:rPr>
          <w:rFonts w:ascii="Times New Roman" w:hAnsi="Times New Roman" w:cs="Times New Roman"/>
          <w:b/>
          <w:sz w:val="24"/>
          <w:szCs w:val="24"/>
        </w:rPr>
      </w:pPr>
      <w:r w:rsidRPr="001D2881">
        <w:rPr>
          <w:rFonts w:ascii="Times New Roman" w:hAnsi="Times New Roman" w:cs="Times New Roman"/>
          <w:b/>
          <w:sz w:val="24"/>
          <w:szCs w:val="24"/>
        </w:rPr>
        <w:t xml:space="preserve">Brockton Redevelopment Authority </w:t>
      </w:r>
      <w:r w:rsidRPr="0017376C">
        <w:rPr>
          <w:rFonts w:ascii="Times New Roman" w:hAnsi="Times New Roman" w:cs="Times New Roman"/>
          <w:sz w:val="24"/>
          <w:szCs w:val="24"/>
        </w:rPr>
        <w:t>–</w:t>
      </w:r>
      <w:r w:rsidRPr="001D2881">
        <w:rPr>
          <w:rFonts w:ascii="Times New Roman" w:hAnsi="Times New Roman" w:cs="Times New Roman"/>
          <w:b/>
          <w:sz w:val="24"/>
          <w:szCs w:val="24"/>
        </w:rPr>
        <w:t xml:space="preserve"> </w:t>
      </w:r>
      <w:r w:rsidRPr="001D2881">
        <w:rPr>
          <w:rFonts w:ascii="Times New Roman" w:hAnsi="Times New Roman" w:cs="Times New Roman"/>
          <w:sz w:val="24"/>
          <w:szCs w:val="24"/>
        </w:rPr>
        <w:t>This quasi-public agency focuses on revitalizing and stabilizing Brockton</w:t>
      </w:r>
      <w:r w:rsidR="001324B7">
        <w:rPr>
          <w:rFonts w:ascii="Times New Roman" w:hAnsi="Times New Roman" w:cs="Times New Roman"/>
          <w:sz w:val="24"/>
          <w:szCs w:val="24"/>
        </w:rPr>
        <w:t xml:space="preserve"> by developing </w:t>
      </w:r>
      <w:r w:rsidRPr="001D2881">
        <w:rPr>
          <w:rFonts w:ascii="Times New Roman" w:hAnsi="Times New Roman" w:cs="Times New Roman"/>
          <w:sz w:val="24"/>
          <w:szCs w:val="24"/>
        </w:rPr>
        <w:t>affordable housing for low- and moderate-income individuals and commercial complexes in the downtown Brockton area to promote economic development</w:t>
      </w:r>
      <w:r>
        <w:rPr>
          <w:rFonts w:ascii="Times New Roman" w:hAnsi="Times New Roman" w:cs="Times New Roman"/>
          <w:sz w:val="24"/>
          <w:szCs w:val="24"/>
        </w:rPr>
        <w:t xml:space="preserve">.  An Assistant Vice President served as treasurer for the agency throughout the evaluation period. </w:t>
      </w:r>
    </w:p>
    <w:p w14:paraId="5807B078" w14:textId="77777777" w:rsidR="00B707B7" w:rsidRPr="001D2881" w:rsidRDefault="00B707B7" w:rsidP="00B707B7">
      <w:pPr>
        <w:rPr>
          <w:b/>
        </w:rPr>
      </w:pPr>
    </w:p>
    <w:p w14:paraId="3A09C19D" w14:textId="2F56E961" w:rsidR="00B707B7" w:rsidRPr="001D2881" w:rsidRDefault="00B707B7" w:rsidP="00B707B7">
      <w:pPr>
        <w:pStyle w:val="BodyTXT"/>
        <w:numPr>
          <w:ilvl w:val="0"/>
          <w:numId w:val="11"/>
        </w:numPr>
        <w:rPr>
          <w:bCs/>
        </w:rPr>
      </w:pPr>
      <w:r w:rsidRPr="001D2881">
        <w:rPr>
          <w:rFonts w:ascii="Times New Roman" w:hAnsi="Times New Roman" w:cs="Times New Roman"/>
          <w:b/>
          <w:sz w:val="24"/>
          <w:szCs w:val="24"/>
        </w:rPr>
        <w:t>Brockton Credit for Life Fair</w:t>
      </w:r>
      <w:r w:rsidRPr="0017376C">
        <w:rPr>
          <w:rFonts w:ascii="Times New Roman" w:hAnsi="Times New Roman" w:cs="Times New Roman"/>
          <w:sz w:val="24"/>
          <w:szCs w:val="24"/>
        </w:rPr>
        <w:t xml:space="preserve"> –</w:t>
      </w:r>
      <w:r w:rsidRPr="001D2881">
        <w:rPr>
          <w:rFonts w:ascii="Times New Roman" w:hAnsi="Times New Roman" w:cs="Times New Roman"/>
          <w:b/>
          <w:sz w:val="24"/>
          <w:szCs w:val="24"/>
        </w:rPr>
        <w:t xml:space="preserve"> </w:t>
      </w:r>
      <w:r w:rsidRPr="001D2881">
        <w:rPr>
          <w:rFonts w:ascii="Times New Roman" w:hAnsi="Times New Roman" w:cs="Times New Roman"/>
          <w:sz w:val="24"/>
          <w:szCs w:val="24"/>
        </w:rPr>
        <w:t>This program promotes financial literacy through annual financial education events funded by the Financial Education Innovation Fund.  The events at Brockton High School primarily benefited low- and moderate-income students, as the majority of students at the high school are economically disadvantaged</w:t>
      </w:r>
      <w:r w:rsidR="0037354D">
        <w:rPr>
          <w:rFonts w:ascii="Times New Roman" w:hAnsi="Times New Roman" w:cs="Times New Roman"/>
          <w:sz w:val="24"/>
          <w:szCs w:val="24"/>
        </w:rPr>
        <w:t xml:space="preserve"> and receive free or reduced price</w:t>
      </w:r>
      <w:r w:rsidR="00753DF7">
        <w:rPr>
          <w:rFonts w:ascii="Times New Roman" w:hAnsi="Times New Roman" w:cs="Times New Roman"/>
          <w:sz w:val="24"/>
          <w:szCs w:val="24"/>
        </w:rPr>
        <w:t>d</w:t>
      </w:r>
      <w:r w:rsidR="0037354D">
        <w:rPr>
          <w:rFonts w:ascii="Times New Roman" w:hAnsi="Times New Roman" w:cs="Times New Roman"/>
          <w:sz w:val="24"/>
          <w:szCs w:val="24"/>
        </w:rPr>
        <w:t xml:space="preserve"> lunch</w:t>
      </w:r>
      <w:r w:rsidRPr="001D2881">
        <w:rPr>
          <w:rFonts w:ascii="Times New Roman" w:hAnsi="Times New Roman" w:cs="Times New Roman"/>
          <w:sz w:val="24"/>
          <w:szCs w:val="24"/>
        </w:rPr>
        <w:t xml:space="preserve">. </w:t>
      </w:r>
      <w:r>
        <w:rPr>
          <w:rFonts w:ascii="Times New Roman" w:hAnsi="Times New Roman" w:cs="Times New Roman"/>
          <w:sz w:val="24"/>
          <w:szCs w:val="24"/>
        </w:rPr>
        <w:t xml:space="preserve"> Five bank employees presented at the annual event during the evaluation period. </w:t>
      </w:r>
    </w:p>
    <w:p w14:paraId="23556B98" w14:textId="77777777" w:rsidR="00B707B7" w:rsidRPr="001D2881" w:rsidRDefault="00B707B7" w:rsidP="00B707B7">
      <w:pPr>
        <w:pStyle w:val="BodyTXT"/>
        <w:ind w:left="720"/>
        <w:rPr>
          <w:bCs/>
        </w:rPr>
      </w:pPr>
      <w:r w:rsidRPr="001D2881">
        <w:rPr>
          <w:rFonts w:ascii="Times New Roman" w:hAnsi="Times New Roman" w:cs="Times New Roman"/>
          <w:sz w:val="24"/>
          <w:szCs w:val="24"/>
        </w:rPr>
        <w:t xml:space="preserve"> </w:t>
      </w:r>
    </w:p>
    <w:p w14:paraId="1F0D6B9B" w14:textId="77777777" w:rsidR="00B707B7" w:rsidRPr="001D2881" w:rsidRDefault="00B707B7" w:rsidP="00B707B7">
      <w:pPr>
        <w:pStyle w:val="BodyTXT"/>
        <w:numPr>
          <w:ilvl w:val="0"/>
          <w:numId w:val="11"/>
        </w:numPr>
        <w:rPr>
          <w:rFonts w:ascii="Times New Roman" w:hAnsi="Times New Roman" w:cs="Times New Roman"/>
          <w:b/>
          <w:sz w:val="24"/>
          <w:szCs w:val="24"/>
        </w:rPr>
      </w:pPr>
      <w:r w:rsidRPr="001D2881">
        <w:rPr>
          <w:rFonts w:ascii="Times New Roman" w:hAnsi="Times New Roman" w:cs="Times New Roman"/>
          <w:b/>
          <w:sz w:val="24"/>
          <w:szCs w:val="24"/>
        </w:rPr>
        <w:t xml:space="preserve">Help Us Get Safe (H.U.G.S.) </w:t>
      </w:r>
      <w:r w:rsidRPr="009A2EF4">
        <w:rPr>
          <w:rFonts w:ascii="Times New Roman" w:hAnsi="Times New Roman" w:cs="Times New Roman"/>
          <w:sz w:val="24"/>
          <w:szCs w:val="24"/>
        </w:rPr>
        <w:t>–</w:t>
      </w:r>
      <w:r w:rsidRPr="001D2881">
        <w:rPr>
          <w:rFonts w:ascii="Times New Roman" w:hAnsi="Times New Roman" w:cs="Times New Roman"/>
          <w:b/>
          <w:sz w:val="24"/>
          <w:szCs w:val="24"/>
        </w:rPr>
        <w:t xml:space="preserve"> </w:t>
      </w:r>
      <w:r w:rsidRPr="001D2881">
        <w:rPr>
          <w:rFonts w:ascii="Times New Roman" w:hAnsi="Times New Roman" w:cs="Times New Roman"/>
          <w:sz w:val="24"/>
          <w:szCs w:val="24"/>
        </w:rPr>
        <w:t>This non-profit organization focuses on eliminating family violence in Easton.  The organization’s community services include financial assistance, emergency supplies, emergency shelter, and legal assistance for low- and moderate-income individuals.  Two employees at the bank serve</w:t>
      </w:r>
      <w:r>
        <w:rPr>
          <w:rFonts w:ascii="Times New Roman" w:hAnsi="Times New Roman" w:cs="Times New Roman"/>
          <w:sz w:val="24"/>
          <w:szCs w:val="24"/>
        </w:rPr>
        <w:t>d</w:t>
      </w:r>
      <w:r w:rsidRPr="001D2881">
        <w:rPr>
          <w:rFonts w:ascii="Times New Roman" w:hAnsi="Times New Roman" w:cs="Times New Roman"/>
          <w:sz w:val="24"/>
          <w:szCs w:val="24"/>
        </w:rPr>
        <w:t xml:space="preserve"> as treasurers during the evaluation period.</w:t>
      </w:r>
    </w:p>
    <w:p w14:paraId="60E5D46D" w14:textId="77777777" w:rsidR="00B707B7" w:rsidRPr="001D2881" w:rsidRDefault="00B707B7" w:rsidP="00B707B7">
      <w:pPr>
        <w:pStyle w:val="ListParagraph"/>
        <w:rPr>
          <w:rFonts w:cs="Times New Roman"/>
          <w:b/>
        </w:rPr>
      </w:pPr>
    </w:p>
    <w:p w14:paraId="3A73C411" w14:textId="77777777" w:rsidR="001324B7" w:rsidRDefault="001324B7" w:rsidP="00B707B7">
      <w:pPr>
        <w:pStyle w:val="BodyTXT"/>
        <w:rPr>
          <w:rFonts w:ascii="Times New Roman" w:hAnsi="Times New Roman" w:cs="Times New Roman"/>
          <w:b/>
          <w:i/>
          <w:sz w:val="24"/>
          <w:szCs w:val="24"/>
        </w:rPr>
      </w:pPr>
    </w:p>
    <w:p w14:paraId="46D185EB" w14:textId="77777777" w:rsidR="00753DF7" w:rsidRDefault="00753DF7" w:rsidP="00B707B7">
      <w:pPr>
        <w:pStyle w:val="BodyTXT"/>
        <w:rPr>
          <w:rFonts w:ascii="Times New Roman" w:hAnsi="Times New Roman" w:cs="Times New Roman"/>
          <w:b/>
          <w:i/>
          <w:sz w:val="24"/>
          <w:szCs w:val="24"/>
        </w:rPr>
      </w:pPr>
    </w:p>
    <w:p w14:paraId="6C133F7F" w14:textId="4218A728" w:rsidR="00B707B7" w:rsidRPr="001D2881" w:rsidRDefault="00B707B7" w:rsidP="00B707B7">
      <w:pPr>
        <w:pStyle w:val="BodyTXT"/>
        <w:rPr>
          <w:rFonts w:ascii="Times New Roman" w:hAnsi="Times New Roman" w:cs="Times New Roman"/>
          <w:b/>
          <w:i/>
          <w:sz w:val="24"/>
          <w:szCs w:val="24"/>
        </w:rPr>
      </w:pPr>
      <w:r w:rsidRPr="001D2881">
        <w:rPr>
          <w:rFonts w:ascii="Times New Roman" w:hAnsi="Times New Roman" w:cs="Times New Roman"/>
          <w:b/>
          <w:i/>
          <w:sz w:val="24"/>
          <w:szCs w:val="24"/>
        </w:rPr>
        <w:lastRenderedPageBreak/>
        <w:t xml:space="preserve">Other Services </w:t>
      </w:r>
    </w:p>
    <w:p w14:paraId="3977EC8A" w14:textId="77777777" w:rsidR="00B707B7" w:rsidRPr="001D2881" w:rsidRDefault="00B707B7" w:rsidP="00B707B7">
      <w:pPr>
        <w:pStyle w:val="BodyTXT"/>
        <w:rPr>
          <w:rFonts w:ascii="Times New Roman" w:hAnsi="Times New Roman" w:cs="Times New Roman"/>
          <w:b/>
          <w:i/>
          <w:sz w:val="24"/>
          <w:szCs w:val="24"/>
        </w:rPr>
      </w:pPr>
    </w:p>
    <w:p w14:paraId="48BA3848" w14:textId="1FEB82F7" w:rsidR="00B707B7" w:rsidRPr="001D2881" w:rsidRDefault="00B707B7" w:rsidP="00685A96">
      <w:pPr>
        <w:pStyle w:val="BodyTXT"/>
        <w:numPr>
          <w:ilvl w:val="0"/>
          <w:numId w:val="21"/>
        </w:numPr>
        <w:rPr>
          <w:rFonts w:ascii="Times New Roman" w:hAnsi="Times New Roman" w:cs="Times New Roman"/>
          <w:sz w:val="24"/>
          <w:szCs w:val="24"/>
        </w:rPr>
      </w:pPr>
      <w:r w:rsidRPr="001D2881">
        <w:rPr>
          <w:rFonts w:ascii="Times New Roman" w:hAnsi="Times New Roman" w:cs="Times New Roman"/>
          <w:b/>
          <w:sz w:val="24"/>
          <w:szCs w:val="24"/>
        </w:rPr>
        <w:t>Basic Banking for Massachusetts</w:t>
      </w:r>
      <w:r>
        <w:rPr>
          <w:rFonts w:ascii="Times New Roman" w:hAnsi="Times New Roman" w:cs="Times New Roman"/>
          <w:sz w:val="24"/>
          <w:szCs w:val="24"/>
        </w:rPr>
        <w:t xml:space="preserve"> </w:t>
      </w:r>
      <w:r w:rsidR="00685A96" w:rsidRPr="00685A96">
        <w:rPr>
          <w:rFonts w:ascii="Times New Roman" w:hAnsi="Times New Roman" w:cs="Times New Roman"/>
          <w:sz w:val="24"/>
          <w:szCs w:val="24"/>
        </w:rPr>
        <w:t>-</w:t>
      </w:r>
      <w:r w:rsidRPr="001D2881">
        <w:rPr>
          <w:rFonts w:ascii="Times New Roman" w:hAnsi="Times New Roman" w:cs="Times New Roman"/>
          <w:sz w:val="24"/>
          <w:szCs w:val="24"/>
        </w:rPr>
        <w:t xml:space="preserve"> The bank continued its participation in this program during the evaluation period.  The program is voluntary for financial institutions and helps expand access to banking products and services to low- and moderate-income individuals.  The bank offers checking and savings accounts that meet the Massachusetts Community and Banking Council guidelines for low-cost accounts.</w:t>
      </w:r>
    </w:p>
    <w:p w14:paraId="2B0E0D4E" w14:textId="77777777" w:rsidR="00B707B7" w:rsidRPr="001D2881" w:rsidRDefault="00B707B7" w:rsidP="00B707B7">
      <w:pPr>
        <w:pStyle w:val="BodyTXT"/>
        <w:ind w:left="720"/>
        <w:rPr>
          <w:rFonts w:ascii="Times New Roman" w:hAnsi="Times New Roman" w:cs="Times New Roman"/>
          <w:sz w:val="24"/>
          <w:szCs w:val="24"/>
        </w:rPr>
      </w:pPr>
    </w:p>
    <w:p w14:paraId="5521396F" w14:textId="64F36C3C" w:rsidR="00B707B7" w:rsidRPr="001D2881" w:rsidRDefault="001324B7" w:rsidP="001324B7">
      <w:pPr>
        <w:pStyle w:val="ListParagraph"/>
        <w:numPr>
          <w:ilvl w:val="0"/>
          <w:numId w:val="21"/>
        </w:numPr>
        <w:tabs>
          <w:tab w:val="center" w:pos="4680"/>
        </w:tabs>
        <w:rPr>
          <w:b/>
          <w:spacing w:val="-4"/>
        </w:rPr>
      </w:pPr>
      <w:r w:rsidRPr="001324B7">
        <w:rPr>
          <w:b/>
          <w:spacing w:val="-4"/>
        </w:rPr>
        <w:t xml:space="preserve">Federal Home Loan Bank Equity Builder Program </w:t>
      </w:r>
      <w:r w:rsidR="00B707B7" w:rsidRPr="001D2881">
        <w:rPr>
          <w:b/>
          <w:spacing w:val="-4"/>
        </w:rPr>
        <w:t xml:space="preserve">- </w:t>
      </w:r>
      <w:r w:rsidR="00B707B7" w:rsidRPr="001D2881">
        <w:t xml:space="preserve">The Federal Home Loan Bank Equity Builder Program provides grant money for down payment and closing cost assistance </w:t>
      </w:r>
      <w:r w:rsidR="00834139">
        <w:t>to</w:t>
      </w:r>
      <w:r w:rsidR="00834139" w:rsidRPr="001D2881">
        <w:t xml:space="preserve"> </w:t>
      </w:r>
      <w:r w:rsidR="00B707B7" w:rsidRPr="001D2881">
        <w:t>low- and moderate-income homebuyers</w:t>
      </w:r>
      <w:r w:rsidR="00834139">
        <w:t xml:space="preserve"> </w:t>
      </w:r>
      <w:r w:rsidR="00B707B7" w:rsidRPr="001D2881">
        <w:rPr>
          <w:shd w:val="clear" w:color="auto" w:fill="FFFFFF"/>
        </w:rPr>
        <w:t xml:space="preserve">to purchase their primary residence.  Buyers must complete an approved homebuyer-counseling program.  </w:t>
      </w:r>
      <w:r w:rsidR="00B707B7" w:rsidRPr="001D2881">
        <w:t>The bank continued to offer loans under this program during the evaluation period.</w:t>
      </w:r>
    </w:p>
    <w:p w14:paraId="76A537D4" w14:textId="77777777" w:rsidR="00B707B7" w:rsidRPr="001D2881" w:rsidRDefault="00B707B7" w:rsidP="00B707B7">
      <w:pPr>
        <w:pStyle w:val="ListParagraph"/>
        <w:rPr>
          <w:b/>
          <w:spacing w:val="-4"/>
        </w:rPr>
      </w:pPr>
    </w:p>
    <w:p w14:paraId="3B5BBE6C" w14:textId="25633559" w:rsidR="00B707B7" w:rsidRPr="001D2881" w:rsidRDefault="00B707B7" w:rsidP="00B707B7">
      <w:pPr>
        <w:pStyle w:val="ListParagraph"/>
        <w:numPr>
          <w:ilvl w:val="0"/>
          <w:numId w:val="21"/>
        </w:numPr>
        <w:tabs>
          <w:tab w:val="center" w:pos="4680"/>
        </w:tabs>
        <w:rPr>
          <w:b/>
          <w:spacing w:val="-4"/>
        </w:rPr>
      </w:pPr>
      <w:r w:rsidRPr="001D2881">
        <w:rPr>
          <w:b/>
          <w:spacing w:val="-4"/>
        </w:rPr>
        <w:t xml:space="preserve">Live in Our Community Area Loan Program (L.O.C.A.L.) </w:t>
      </w:r>
      <w:r w:rsidRPr="001D2881">
        <w:rPr>
          <w:spacing w:val="-4"/>
        </w:rPr>
        <w:t xml:space="preserve">- The bank developed this program to provide discounted rates and low closing costs to low- and moderate-income borrowers within the bank’s assessment area.  </w:t>
      </w:r>
    </w:p>
    <w:p w14:paraId="49A4F932" w14:textId="77777777" w:rsidR="00B707B7" w:rsidRPr="001D2881" w:rsidRDefault="00B707B7" w:rsidP="00B707B7">
      <w:pPr>
        <w:pStyle w:val="BodyTXT"/>
        <w:ind w:left="720"/>
        <w:rPr>
          <w:rFonts w:ascii="Times New Roman" w:hAnsi="Times New Roman" w:cs="Times New Roman"/>
          <w:sz w:val="24"/>
          <w:szCs w:val="24"/>
        </w:rPr>
      </w:pPr>
    </w:p>
    <w:p w14:paraId="5A6AA1B8" w14:textId="77777777" w:rsidR="00B707B7" w:rsidRDefault="00B707B7" w:rsidP="00B707B7">
      <w:pPr>
        <w:pStyle w:val="BodyTXT"/>
        <w:rPr>
          <w:bCs/>
        </w:rPr>
      </w:pPr>
    </w:p>
    <w:p w14:paraId="47CAE3C3" w14:textId="77777777" w:rsidR="00B707B7" w:rsidRPr="001D2881" w:rsidRDefault="00B707B7" w:rsidP="00B707B7">
      <w:pPr>
        <w:pStyle w:val="BodyTXT"/>
        <w:rPr>
          <w:bCs/>
        </w:rPr>
      </w:pPr>
    </w:p>
    <w:p w14:paraId="4D909A76" w14:textId="77777777" w:rsidR="00B707B7" w:rsidRPr="00DA1CA4" w:rsidRDefault="00B707B7" w:rsidP="00B707B7">
      <w:pPr>
        <w:jc w:val="center"/>
      </w:pPr>
      <w:r w:rsidRPr="0017376C">
        <w:rPr>
          <w:b/>
          <w:sz w:val="28"/>
        </w:rPr>
        <w:t>DISCRIMINATORY OR OTHER ILLEGAL CREDIT PRACTICES REVIEW</w:t>
      </w:r>
    </w:p>
    <w:p w14:paraId="3F828CEA" w14:textId="77777777" w:rsidR="00B707B7" w:rsidRPr="001D2881" w:rsidRDefault="00B707B7" w:rsidP="00B707B7">
      <w:pPr>
        <w:widowControl w:val="0"/>
        <w:rPr>
          <w:iCs/>
        </w:rPr>
      </w:pPr>
    </w:p>
    <w:p w14:paraId="0E64C401" w14:textId="77777777" w:rsidR="00B707B7" w:rsidRPr="001D2881" w:rsidRDefault="00B707B7" w:rsidP="00B707B7">
      <w:pPr>
        <w:widowControl w:val="0"/>
        <w:rPr>
          <w:iCs/>
        </w:rPr>
      </w:pPr>
      <w:r w:rsidRPr="001D2881">
        <w:t xml:space="preserve">Examiners did not identify any evidence of discriminatory or other illegal credit practices inconsistent with helping meet community credit needs. </w:t>
      </w:r>
    </w:p>
    <w:p w14:paraId="4AC0096B" w14:textId="77777777" w:rsidR="00B707B7" w:rsidRPr="001D2881" w:rsidRDefault="00B707B7" w:rsidP="00B707B7">
      <w:pPr>
        <w:tabs>
          <w:tab w:val="left" w:pos="360"/>
        </w:tabs>
      </w:pPr>
    </w:p>
    <w:p w14:paraId="44362A68" w14:textId="77777777" w:rsidR="00B707B7" w:rsidRPr="001D2881" w:rsidRDefault="00B707B7" w:rsidP="00B707B7">
      <w:pPr>
        <w:rPr>
          <w:b/>
          <w:bCs/>
          <w:sz w:val="28"/>
          <w:szCs w:val="28"/>
        </w:rPr>
      </w:pPr>
      <w:r w:rsidRPr="001D2881">
        <w:rPr>
          <w:b/>
          <w:bCs/>
          <w:sz w:val="28"/>
          <w:szCs w:val="28"/>
        </w:rPr>
        <w:br w:type="page"/>
      </w:r>
    </w:p>
    <w:p w14:paraId="6D05BE22" w14:textId="77777777" w:rsidR="00B707B7" w:rsidRDefault="00B707B7" w:rsidP="00B707B7">
      <w:pPr>
        <w:pStyle w:val="Heading1"/>
      </w:pPr>
      <w:bookmarkStart w:id="6" w:name="_Toc62129963"/>
      <w:r>
        <w:lastRenderedPageBreak/>
        <w:t>DIVISION OF BANKS FAIR LENDING POLICIES AND PROCEDURES</w:t>
      </w:r>
      <w:bookmarkEnd w:id="6"/>
      <w:r>
        <w:t xml:space="preserve"> </w:t>
      </w:r>
    </w:p>
    <w:p w14:paraId="105BFCD7" w14:textId="77777777" w:rsidR="00B707B7" w:rsidRDefault="00B707B7" w:rsidP="00B707B7"/>
    <w:p w14:paraId="33FF7988" w14:textId="77777777" w:rsidR="00B707B7" w:rsidRPr="002C6D72" w:rsidRDefault="00B707B7" w:rsidP="00B707B7">
      <w:r w:rsidRPr="002C6D72">
        <w:t>The Division of Banks provides comments regarding the institution’s fair lending policies and procedures pursuant to Regulatory Bulletin 1.3-106.  The fair lending review was conducted in accordance with the Federal Financial Institutions Examination Council (FFIEC) Interagency Fair Lending Examination Procedures.  Based on these procedures, no evidence of disparate treatment was noted.</w:t>
      </w:r>
    </w:p>
    <w:p w14:paraId="6AE61D70" w14:textId="77777777" w:rsidR="00B707B7" w:rsidRPr="002C6D72" w:rsidRDefault="00B707B7" w:rsidP="00B707B7">
      <w:pPr>
        <w:tabs>
          <w:tab w:val="center" w:pos="4680"/>
        </w:tabs>
        <w:jc w:val="both"/>
        <w:rPr>
          <w:spacing w:val="-4"/>
        </w:rPr>
      </w:pPr>
    </w:p>
    <w:p w14:paraId="19043306" w14:textId="77777777" w:rsidR="00B707B7" w:rsidRDefault="00B707B7" w:rsidP="00B707B7">
      <w:pPr>
        <w:rPr>
          <w:b/>
          <w:i/>
        </w:rPr>
      </w:pPr>
      <w:r>
        <w:rPr>
          <w:b/>
          <w:i/>
        </w:rPr>
        <w:t>Minority Application Flow</w:t>
      </w:r>
    </w:p>
    <w:p w14:paraId="51261EDB" w14:textId="77777777" w:rsidR="00B707B7" w:rsidRDefault="00B707B7" w:rsidP="00B707B7">
      <w:pPr>
        <w:rPr>
          <w:b/>
          <w:i/>
        </w:rPr>
      </w:pPr>
    </w:p>
    <w:p w14:paraId="3E7AA1CF" w14:textId="77777777" w:rsidR="00B707B7" w:rsidRDefault="00B707B7" w:rsidP="00B707B7">
      <w:r>
        <w:t>Examiners reviewed the bank’s 2018 and 2019 HMDA LARs to determine if the bank’s application flow from different racial and ethnic groups reflected the assessment area’s demographics.</w:t>
      </w:r>
    </w:p>
    <w:p w14:paraId="019E4B69" w14:textId="77777777" w:rsidR="00B707B7" w:rsidRDefault="00B707B7" w:rsidP="00B707B7"/>
    <w:p w14:paraId="30BF9A04" w14:textId="77777777" w:rsidR="00B707B7" w:rsidRDefault="00B707B7" w:rsidP="00B707B7">
      <w:r>
        <w:t xml:space="preserve">According to 2015 ACS U.S. Census data, the bank’s assessment area contains a population of 728,486 individuals, of which 17.4 percent are minorities.  The assessment area’s minority population is 7.9 percent Black/African American, 2.2 percent Asian, 0.1 percent American </w:t>
      </w:r>
      <w:r w:rsidRPr="00680030">
        <w:t>Indian, 4.1 percent Hispanic or Latino, and 3.1 percent Other.</w:t>
      </w:r>
    </w:p>
    <w:p w14:paraId="41845F00" w14:textId="77777777" w:rsidR="00B707B7" w:rsidRPr="00680030" w:rsidRDefault="00B707B7" w:rsidP="00B707B7"/>
    <w:p w14:paraId="0E3D5649" w14:textId="77777777" w:rsidR="00B707B7" w:rsidRDefault="00B707B7" w:rsidP="00B707B7">
      <w:r w:rsidRPr="00680030">
        <w:t>In 2018, the bank received 167 HMDA-reportable loan applications from within its assessment area.  Of these applications, the bank received 11, or 6.6 percent, from racial minorities.  Compare to aggregate data, which indicates 12.7 percent of applications were received from racial minorities.  For the same period, the bank received 4 applications, or 2.4 percent, from Hispanic applicants.  The aggregate data indicated 4.5 percent of applications were received from Hispanic applicants.</w:t>
      </w:r>
    </w:p>
    <w:p w14:paraId="6223F10E" w14:textId="77777777" w:rsidR="00B707B7" w:rsidRPr="00680030" w:rsidRDefault="00B707B7" w:rsidP="00B707B7"/>
    <w:p w14:paraId="17E38B51" w14:textId="77777777" w:rsidR="00B707B7" w:rsidRDefault="00B707B7" w:rsidP="00B707B7">
      <w:r w:rsidRPr="00680030">
        <w:t>In 2019, the bank received 460 HMDA-reportable loan applications from within its assessment area.  Of all HMDA- reportable applications received in 2019, the bank received 29, or 6.3 percent, from racial minorities.  Compare to aggregate data, which indicates 11.9 percent of applications were received from racial minorities.  For the same period, the bank received 7 applications, or 1.5 percent, from Hispanic applicants.  Aggregate data indicates 4.4 percent of total applications were received from Hispanic applicants in 2019.</w:t>
      </w:r>
    </w:p>
    <w:p w14:paraId="0F64651E" w14:textId="77777777" w:rsidR="00B707B7" w:rsidRPr="00680030" w:rsidRDefault="00B707B7" w:rsidP="00B707B7"/>
    <w:p w14:paraId="1987D657" w14:textId="77777777" w:rsidR="00B707B7" w:rsidRDefault="00B707B7" w:rsidP="00B707B7">
      <w:r>
        <w:t>The following table details the bank’s minority application flow and aggregate data in its assessment area.</w:t>
      </w:r>
    </w:p>
    <w:p w14:paraId="0B36820E" w14:textId="77777777" w:rsidR="00B707B7" w:rsidRDefault="00B707B7" w:rsidP="00B707B7"/>
    <w:tbl>
      <w:tblPr>
        <w:tblW w:w="87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15"/>
        <w:gridCol w:w="753"/>
        <w:gridCol w:w="979"/>
        <w:gridCol w:w="1168"/>
        <w:gridCol w:w="720"/>
        <w:gridCol w:w="900"/>
        <w:gridCol w:w="1262"/>
      </w:tblGrid>
      <w:tr w:rsidR="00B707B7" w:rsidRPr="00F243B2" w14:paraId="29B92932" w14:textId="77777777" w:rsidTr="00E444B1">
        <w:trPr>
          <w:jc w:val="center"/>
        </w:trPr>
        <w:tc>
          <w:tcPr>
            <w:tcW w:w="8797" w:type="dxa"/>
            <w:gridSpan w:val="7"/>
            <w:tcBorders>
              <w:top w:val="single" w:sz="18" w:space="0" w:color="auto"/>
              <w:left w:val="single" w:sz="18" w:space="0" w:color="auto"/>
              <w:right w:val="single" w:sz="18" w:space="0" w:color="auto"/>
            </w:tcBorders>
          </w:tcPr>
          <w:p w14:paraId="4527FA46" w14:textId="77777777" w:rsidR="00B707B7" w:rsidRPr="00F243B2" w:rsidRDefault="00B707B7" w:rsidP="00E444B1">
            <w:pPr>
              <w:keepNext/>
              <w:jc w:val="center"/>
              <w:rPr>
                <w:b/>
                <w:sz w:val="20"/>
                <w:szCs w:val="20"/>
              </w:rPr>
            </w:pPr>
            <w:r w:rsidRPr="00F243B2">
              <w:rPr>
                <w:b/>
                <w:sz w:val="20"/>
                <w:szCs w:val="20"/>
              </w:rPr>
              <w:lastRenderedPageBreak/>
              <w:t>MINORITY APPLICATION FLOW</w:t>
            </w:r>
          </w:p>
        </w:tc>
      </w:tr>
      <w:tr w:rsidR="00B707B7" w:rsidRPr="00F243B2" w14:paraId="2DA70DF8" w14:textId="77777777" w:rsidTr="00E444B1">
        <w:trPr>
          <w:cantSplit/>
          <w:jc w:val="center"/>
        </w:trPr>
        <w:tc>
          <w:tcPr>
            <w:tcW w:w="3015" w:type="dxa"/>
            <w:vMerge w:val="restart"/>
            <w:tcBorders>
              <w:left w:val="single" w:sz="18" w:space="0" w:color="auto"/>
              <w:right w:val="single" w:sz="6" w:space="0" w:color="auto"/>
            </w:tcBorders>
          </w:tcPr>
          <w:p w14:paraId="3F6E2DDE" w14:textId="77777777" w:rsidR="00B707B7" w:rsidRPr="00CE4188" w:rsidRDefault="00B707B7" w:rsidP="00E444B1">
            <w:pPr>
              <w:keepNext/>
              <w:tabs>
                <w:tab w:val="left" w:pos="480"/>
                <w:tab w:val="left" w:pos="960"/>
                <w:tab w:val="left" w:pos="6840"/>
              </w:tabs>
              <w:jc w:val="both"/>
              <w:outlineLvl w:val="0"/>
              <w:rPr>
                <w:spacing w:val="-3"/>
                <w:sz w:val="20"/>
                <w:szCs w:val="20"/>
              </w:rPr>
            </w:pPr>
          </w:p>
          <w:p w14:paraId="00E27B2A" w14:textId="77777777" w:rsidR="00B707B7" w:rsidRPr="00CE4188" w:rsidRDefault="00B707B7" w:rsidP="00E444B1">
            <w:pPr>
              <w:keepNext/>
              <w:jc w:val="center"/>
              <w:rPr>
                <w:b/>
                <w:spacing w:val="-3"/>
                <w:sz w:val="20"/>
                <w:szCs w:val="20"/>
              </w:rPr>
            </w:pPr>
            <w:r w:rsidRPr="00CE4188">
              <w:rPr>
                <w:b/>
                <w:spacing w:val="-3"/>
                <w:sz w:val="20"/>
                <w:szCs w:val="20"/>
              </w:rPr>
              <w:t>RACE</w:t>
            </w:r>
          </w:p>
        </w:tc>
        <w:tc>
          <w:tcPr>
            <w:tcW w:w="1732" w:type="dxa"/>
            <w:gridSpan w:val="2"/>
            <w:tcBorders>
              <w:left w:val="single" w:sz="6" w:space="0" w:color="auto"/>
              <w:right w:val="single" w:sz="6" w:space="0" w:color="auto"/>
            </w:tcBorders>
          </w:tcPr>
          <w:p w14:paraId="0B9BA1C0" w14:textId="77777777" w:rsidR="00B707B7" w:rsidRPr="00CE4188" w:rsidRDefault="00B707B7" w:rsidP="00E444B1">
            <w:pPr>
              <w:keepNext/>
              <w:jc w:val="center"/>
              <w:rPr>
                <w:b/>
                <w:sz w:val="20"/>
                <w:szCs w:val="20"/>
              </w:rPr>
            </w:pPr>
          </w:p>
          <w:p w14:paraId="6C98EBA9" w14:textId="77777777" w:rsidR="00B707B7" w:rsidRPr="00CE4188" w:rsidRDefault="00B707B7" w:rsidP="00E444B1">
            <w:pPr>
              <w:keepNext/>
              <w:jc w:val="center"/>
              <w:rPr>
                <w:b/>
                <w:sz w:val="20"/>
                <w:szCs w:val="20"/>
              </w:rPr>
            </w:pPr>
            <w:r>
              <w:rPr>
                <w:b/>
                <w:sz w:val="20"/>
                <w:szCs w:val="20"/>
              </w:rPr>
              <w:t>Bank</w:t>
            </w:r>
            <w:r w:rsidRPr="00CE4188">
              <w:rPr>
                <w:b/>
                <w:sz w:val="20"/>
                <w:szCs w:val="20"/>
              </w:rPr>
              <w:t xml:space="preserve"> 2018</w:t>
            </w:r>
          </w:p>
        </w:tc>
        <w:tc>
          <w:tcPr>
            <w:tcW w:w="1168" w:type="dxa"/>
            <w:tcBorders>
              <w:left w:val="single" w:sz="6" w:space="0" w:color="auto"/>
              <w:right w:val="single" w:sz="6" w:space="0" w:color="auto"/>
            </w:tcBorders>
            <w:shd w:val="clear" w:color="auto" w:fill="D9D9D9"/>
          </w:tcPr>
          <w:p w14:paraId="41959E7B" w14:textId="77777777" w:rsidR="00B707B7" w:rsidRPr="00CE4188" w:rsidRDefault="00B707B7" w:rsidP="00E444B1">
            <w:pPr>
              <w:keepNext/>
              <w:jc w:val="center"/>
              <w:rPr>
                <w:b/>
                <w:spacing w:val="-3"/>
                <w:sz w:val="20"/>
                <w:szCs w:val="20"/>
              </w:rPr>
            </w:pPr>
            <w:r w:rsidRPr="00CE4188">
              <w:rPr>
                <w:b/>
                <w:spacing w:val="-3"/>
                <w:sz w:val="20"/>
                <w:szCs w:val="20"/>
              </w:rPr>
              <w:t>2018</w:t>
            </w:r>
          </w:p>
          <w:p w14:paraId="23ED9C18" w14:textId="77777777" w:rsidR="00B707B7" w:rsidRPr="00CE4188" w:rsidRDefault="00B707B7" w:rsidP="00E444B1">
            <w:pPr>
              <w:keepNext/>
              <w:jc w:val="center"/>
              <w:rPr>
                <w:b/>
                <w:spacing w:val="-3"/>
                <w:sz w:val="20"/>
                <w:szCs w:val="20"/>
              </w:rPr>
            </w:pPr>
            <w:r w:rsidRPr="00CE4188">
              <w:rPr>
                <w:b/>
                <w:spacing w:val="-3"/>
                <w:sz w:val="20"/>
                <w:szCs w:val="20"/>
              </w:rPr>
              <w:t>Aggregate Data</w:t>
            </w:r>
          </w:p>
        </w:tc>
        <w:tc>
          <w:tcPr>
            <w:tcW w:w="1620" w:type="dxa"/>
            <w:gridSpan w:val="2"/>
            <w:tcBorders>
              <w:left w:val="single" w:sz="6" w:space="0" w:color="auto"/>
              <w:right w:val="single" w:sz="4" w:space="0" w:color="auto"/>
            </w:tcBorders>
          </w:tcPr>
          <w:p w14:paraId="6D89FC2A" w14:textId="77777777" w:rsidR="00B707B7" w:rsidRPr="00CE4188" w:rsidRDefault="00B707B7" w:rsidP="00E444B1">
            <w:pPr>
              <w:keepNext/>
              <w:jc w:val="center"/>
              <w:rPr>
                <w:b/>
                <w:spacing w:val="-3"/>
                <w:sz w:val="20"/>
                <w:szCs w:val="20"/>
              </w:rPr>
            </w:pPr>
          </w:p>
          <w:p w14:paraId="619BC0FB" w14:textId="77777777" w:rsidR="00B707B7" w:rsidRPr="00CE4188" w:rsidRDefault="00B707B7" w:rsidP="00E444B1">
            <w:pPr>
              <w:keepNext/>
              <w:jc w:val="center"/>
              <w:rPr>
                <w:b/>
                <w:spacing w:val="-3"/>
                <w:sz w:val="20"/>
                <w:szCs w:val="20"/>
              </w:rPr>
            </w:pPr>
            <w:r>
              <w:rPr>
                <w:b/>
                <w:spacing w:val="-3"/>
                <w:sz w:val="20"/>
                <w:szCs w:val="20"/>
              </w:rPr>
              <w:t>Bank</w:t>
            </w:r>
            <w:r w:rsidRPr="00CE4188">
              <w:rPr>
                <w:b/>
                <w:spacing w:val="-3"/>
                <w:sz w:val="20"/>
                <w:szCs w:val="20"/>
              </w:rPr>
              <w:t xml:space="preserve"> 2019</w:t>
            </w:r>
          </w:p>
        </w:tc>
        <w:tc>
          <w:tcPr>
            <w:tcW w:w="1262" w:type="dxa"/>
            <w:tcBorders>
              <w:left w:val="single" w:sz="4" w:space="0" w:color="auto"/>
              <w:right w:val="single" w:sz="18" w:space="0" w:color="auto"/>
            </w:tcBorders>
            <w:shd w:val="clear" w:color="auto" w:fill="D9D9D9"/>
          </w:tcPr>
          <w:p w14:paraId="2F47426A" w14:textId="77777777" w:rsidR="00B707B7" w:rsidRPr="00CE4188" w:rsidRDefault="00B707B7" w:rsidP="00E444B1">
            <w:pPr>
              <w:keepNext/>
              <w:jc w:val="center"/>
              <w:rPr>
                <w:b/>
                <w:spacing w:val="-3"/>
                <w:sz w:val="20"/>
                <w:szCs w:val="20"/>
              </w:rPr>
            </w:pPr>
            <w:r w:rsidRPr="00CE4188">
              <w:rPr>
                <w:b/>
                <w:spacing w:val="-3"/>
                <w:sz w:val="20"/>
                <w:szCs w:val="20"/>
              </w:rPr>
              <w:t>2019</w:t>
            </w:r>
          </w:p>
          <w:p w14:paraId="5BCB9F31" w14:textId="77777777" w:rsidR="00B707B7" w:rsidRPr="00CE4188" w:rsidRDefault="00B707B7" w:rsidP="00E444B1">
            <w:pPr>
              <w:keepNext/>
              <w:jc w:val="center"/>
              <w:rPr>
                <w:b/>
                <w:spacing w:val="-3"/>
                <w:sz w:val="20"/>
                <w:szCs w:val="20"/>
              </w:rPr>
            </w:pPr>
            <w:r w:rsidRPr="00CE4188">
              <w:rPr>
                <w:b/>
                <w:spacing w:val="-3"/>
                <w:sz w:val="20"/>
                <w:szCs w:val="20"/>
              </w:rPr>
              <w:t>Aggregate Data</w:t>
            </w:r>
          </w:p>
        </w:tc>
      </w:tr>
      <w:tr w:rsidR="00B707B7" w:rsidRPr="00F243B2" w14:paraId="5E86AA23" w14:textId="77777777" w:rsidTr="00E444B1">
        <w:trPr>
          <w:cantSplit/>
          <w:jc w:val="center"/>
        </w:trPr>
        <w:tc>
          <w:tcPr>
            <w:tcW w:w="3015" w:type="dxa"/>
            <w:vMerge/>
            <w:tcBorders>
              <w:left w:val="single" w:sz="18" w:space="0" w:color="auto"/>
              <w:right w:val="single" w:sz="6" w:space="0" w:color="auto"/>
            </w:tcBorders>
          </w:tcPr>
          <w:p w14:paraId="7CCF9D89" w14:textId="77777777" w:rsidR="00B707B7" w:rsidRPr="00CE4188" w:rsidRDefault="00B707B7" w:rsidP="00E444B1">
            <w:pPr>
              <w:keepNext/>
              <w:tabs>
                <w:tab w:val="left" w:pos="480"/>
                <w:tab w:val="left" w:pos="960"/>
                <w:tab w:val="left" w:pos="6840"/>
              </w:tabs>
              <w:jc w:val="both"/>
              <w:outlineLvl w:val="0"/>
              <w:rPr>
                <w:color w:val="FF0000"/>
                <w:spacing w:val="-3"/>
                <w:sz w:val="20"/>
                <w:szCs w:val="20"/>
              </w:rPr>
            </w:pPr>
          </w:p>
        </w:tc>
        <w:tc>
          <w:tcPr>
            <w:tcW w:w="753" w:type="dxa"/>
            <w:tcBorders>
              <w:left w:val="single" w:sz="6" w:space="0" w:color="auto"/>
              <w:right w:val="single" w:sz="6" w:space="0" w:color="auto"/>
            </w:tcBorders>
          </w:tcPr>
          <w:p w14:paraId="43DB84AF" w14:textId="77777777" w:rsidR="00B707B7" w:rsidRPr="00CE4188" w:rsidRDefault="00B707B7" w:rsidP="00E444B1">
            <w:pPr>
              <w:keepNext/>
              <w:jc w:val="center"/>
              <w:rPr>
                <w:spacing w:val="-3"/>
                <w:sz w:val="20"/>
                <w:szCs w:val="20"/>
              </w:rPr>
            </w:pPr>
            <w:r w:rsidRPr="00CE4188">
              <w:rPr>
                <w:spacing w:val="-3"/>
                <w:sz w:val="20"/>
                <w:szCs w:val="20"/>
              </w:rPr>
              <w:t>#</w:t>
            </w:r>
          </w:p>
        </w:tc>
        <w:tc>
          <w:tcPr>
            <w:tcW w:w="979" w:type="dxa"/>
            <w:tcBorders>
              <w:left w:val="single" w:sz="6" w:space="0" w:color="auto"/>
              <w:right w:val="single" w:sz="6" w:space="0" w:color="auto"/>
            </w:tcBorders>
          </w:tcPr>
          <w:p w14:paraId="577E076A" w14:textId="77777777" w:rsidR="00B707B7" w:rsidRPr="004361AC" w:rsidRDefault="00B707B7" w:rsidP="00E444B1">
            <w:pPr>
              <w:keepNext/>
              <w:jc w:val="center"/>
              <w:rPr>
                <w:spacing w:val="-3"/>
                <w:sz w:val="20"/>
                <w:szCs w:val="20"/>
              </w:rPr>
            </w:pPr>
            <w:r w:rsidRPr="004361AC">
              <w:rPr>
                <w:spacing w:val="-3"/>
                <w:sz w:val="20"/>
                <w:szCs w:val="20"/>
              </w:rPr>
              <w:t>%</w:t>
            </w:r>
          </w:p>
        </w:tc>
        <w:tc>
          <w:tcPr>
            <w:tcW w:w="1168" w:type="dxa"/>
            <w:tcBorders>
              <w:left w:val="single" w:sz="6" w:space="0" w:color="auto"/>
              <w:right w:val="single" w:sz="6" w:space="0" w:color="auto"/>
            </w:tcBorders>
            <w:shd w:val="clear" w:color="auto" w:fill="D9D9D9"/>
          </w:tcPr>
          <w:p w14:paraId="18EF3F2F" w14:textId="77777777" w:rsidR="00B707B7" w:rsidRPr="007E2312" w:rsidRDefault="00B707B7" w:rsidP="00E444B1">
            <w:pPr>
              <w:keepNext/>
              <w:jc w:val="center"/>
              <w:rPr>
                <w:spacing w:val="-3"/>
                <w:sz w:val="20"/>
                <w:szCs w:val="20"/>
              </w:rPr>
            </w:pPr>
            <w:r w:rsidRPr="007E2312">
              <w:rPr>
                <w:spacing w:val="-3"/>
                <w:sz w:val="20"/>
                <w:szCs w:val="20"/>
              </w:rPr>
              <w:t>%</w:t>
            </w:r>
          </w:p>
        </w:tc>
        <w:tc>
          <w:tcPr>
            <w:tcW w:w="720" w:type="dxa"/>
            <w:tcBorders>
              <w:left w:val="single" w:sz="6" w:space="0" w:color="auto"/>
              <w:right w:val="single" w:sz="6" w:space="0" w:color="auto"/>
            </w:tcBorders>
          </w:tcPr>
          <w:p w14:paraId="2D57A11A" w14:textId="77777777" w:rsidR="00B707B7" w:rsidRPr="00F84609" w:rsidRDefault="00B707B7" w:rsidP="00E444B1">
            <w:pPr>
              <w:keepNext/>
              <w:jc w:val="center"/>
              <w:rPr>
                <w:spacing w:val="-3"/>
                <w:sz w:val="20"/>
                <w:szCs w:val="20"/>
              </w:rPr>
            </w:pPr>
            <w:r w:rsidRPr="00F84609">
              <w:rPr>
                <w:spacing w:val="-3"/>
                <w:sz w:val="20"/>
                <w:szCs w:val="20"/>
              </w:rPr>
              <w:t>#</w:t>
            </w:r>
          </w:p>
        </w:tc>
        <w:tc>
          <w:tcPr>
            <w:tcW w:w="900" w:type="dxa"/>
            <w:tcBorders>
              <w:left w:val="single" w:sz="6" w:space="0" w:color="auto"/>
              <w:right w:val="single" w:sz="4" w:space="0" w:color="auto"/>
            </w:tcBorders>
          </w:tcPr>
          <w:p w14:paraId="15CC30AC" w14:textId="77777777" w:rsidR="00B707B7" w:rsidRPr="004361AC" w:rsidRDefault="00B707B7" w:rsidP="00E444B1">
            <w:pPr>
              <w:keepNext/>
              <w:jc w:val="center"/>
              <w:rPr>
                <w:spacing w:val="-3"/>
                <w:sz w:val="20"/>
                <w:szCs w:val="20"/>
              </w:rPr>
            </w:pPr>
            <w:r w:rsidRPr="004361AC">
              <w:rPr>
                <w:spacing w:val="-3"/>
                <w:sz w:val="20"/>
                <w:szCs w:val="20"/>
              </w:rPr>
              <w:t>%</w:t>
            </w:r>
          </w:p>
        </w:tc>
        <w:tc>
          <w:tcPr>
            <w:tcW w:w="1262" w:type="dxa"/>
            <w:tcBorders>
              <w:left w:val="single" w:sz="4" w:space="0" w:color="auto"/>
              <w:right w:val="single" w:sz="18" w:space="0" w:color="auto"/>
            </w:tcBorders>
            <w:shd w:val="clear" w:color="auto" w:fill="D9D9D9"/>
          </w:tcPr>
          <w:p w14:paraId="5574023C" w14:textId="77777777" w:rsidR="00B707B7" w:rsidRPr="009B656A" w:rsidRDefault="00B707B7" w:rsidP="00E444B1">
            <w:pPr>
              <w:keepNext/>
              <w:jc w:val="center"/>
              <w:rPr>
                <w:spacing w:val="-3"/>
                <w:sz w:val="20"/>
                <w:szCs w:val="20"/>
              </w:rPr>
            </w:pPr>
            <w:r w:rsidRPr="009B656A">
              <w:rPr>
                <w:spacing w:val="-3"/>
                <w:sz w:val="20"/>
                <w:szCs w:val="20"/>
              </w:rPr>
              <w:t>%</w:t>
            </w:r>
          </w:p>
        </w:tc>
      </w:tr>
      <w:tr w:rsidR="00B707B7" w:rsidRPr="00F243B2" w14:paraId="68E26BD3" w14:textId="77777777" w:rsidTr="00E444B1">
        <w:trPr>
          <w:jc w:val="center"/>
        </w:trPr>
        <w:tc>
          <w:tcPr>
            <w:tcW w:w="3015" w:type="dxa"/>
            <w:tcBorders>
              <w:left w:val="single" w:sz="18" w:space="0" w:color="auto"/>
              <w:right w:val="single" w:sz="6" w:space="0" w:color="auto"/>
            </w:tcBorders>
          </w:tcPr>
          <w:p w14:paraId="6F39E198" w14:textId="77777777" w:rsidR="00B707B7" w:rsidRPr="00CE4188" w:rsidRDefault="00B707B7" w:rsidP="00E444B1">
            <w:pPr>
              <w:keepNext/>
              <w:rPr>
                <w:spacing w:val="-3"/>
                <w:sz w:val="20"/>
                <w:szCs w:val="20"/>
              </w:rPr>
            </w:pPr>
            <w:r w:rsidRPr="00CE4188">
              <w:rPr>
                <w:spacing w:val="-3"/>
                <w:sz w:val="20"/>
                <w:szCs w:val="20"/>
              </w:rPr>
              <w:t>American Indian/ Alaska Native</w:t>
            </w:r>
          </w:p>
        </w:tc>
        <w:tc>
          <w:tcPr>
            <w:tcW w:w="753" w:type="dxa"/>
            <w:tcBorders>
              <w:left w:val="single" w:sz="6" w:space="0" w:color="auto"/>
              <w:right w:val="single" w:sz="6" w:space="0" w:color="auto"/>
            </w:tcBorders>
          </w:tcPr>
          <w:p w14:paraId="1A907F1B" w14:textId="77777777" w:rsidR="00B707B7" w:rsidRPr="00CE4188" w:rsidRDefault="00B707B7" w:rsidP="00E444B1">
            <w:pPr>
              <w:keepNext/>
              <w:jc w:val="center"/>
              <w:rPr>
                <w:spacing w:val="-3"/>
                <w:sz w:val="20"/>
                <w:szCs w:val="20"/>
              </w:rPr>
            </w:pPr>
            <w:r>
              <w:rPr>
                <w:spacing w:val="-3"/>
                <w:sz w:val="20"/>
                <w:szCs w:val="20"/>
              </w:rPr>
              <w:t>0</w:t>
            </w:r>
          </w:p>
        </w:tc>
        <w:tc>
          <w:tcPr>
            <w:tcW w:w="979" w:type="dxa"/>
            <w:tcBorders>
              <w:left w:val="single" w:sz="6" w:space="0" w:color="auto"/>
              <w:right w:val="single" w:sz="6" w:space="0" w:color="auto"/>
            </w:tcBorders>
          </w:tcPr>
          <w:p w14:paraId="3468DE17" w14:textId="77777777" w:rsidR="00B707B7" w:rsidRPr="004361AC" w:rsidRDefault="00B707B7" w:rsidP="00E444B1">
            <w:pPr>
              <w:keepNext/>
              <w:jc w:val="center"/>
              <w:rPr>
                <w:spacing w:val="-3"/>
                <w:sz w:val="20"/>
                <w:szCs w:val="20"/>
              </w:rPr>
            </w:pPr>
            <w:r>
              <w:rPr>
                <w:spacing w:val="-3"/>
                <w:sz w:val="20"/>
                <w:szCs w:val="20"/>
              </w:rPr>
              <w:t>0.0</w:t>
            </w:r>
          </w:p>
        </w:tc>
        <w:tc>
          <w:tcPr>
            <w:tcW w:w="1168" w:type="dxa"/>
            <w:tcBorders>
              <w:left w:val="single" w:sz="6" w:space="0" w:color="auto"/>
              <w:right w:val="single" w:sz="6" w:space="0" w:color="auto"/>
            </w:tcBorders>
            <w:shd w:val="clear" w:color="auto" w:fill="D9D9D9"/>
          </w:tcPr>
          <w:p w14:paraId="361CE36F" w14:textId="77777777" w:rsidR="00B707B7" w:rsidRPr="007E2312" w:rsidRDefault="00B707B7" w:rsidP="00E444B1">
            <w:pPr>
              <w:keepNext/>
              <w:jc w:val="center"/>
              <w:rPr>
                <w:sz w:val="20"/>
                <w:szCs w:val="20"/>
              </w:rPr>
            </w:pPr>
            <w:r>
              <w:rPr>
                <w:sz w:val="20"/>
                <w:szCs w:val="20"/>
              </w:rPr>
              <w:t>0.3</w:t>
            </w:r>
          </w:p>
        </w:tc>
        <w:tc>
          <w:tcPr>
            <w:tcW w:w="720" w:type="dxa"/>
            <w:tcBorders>
              <w:left w:val="single" w:sz="6" w:space="0" w:color="auto"/>
              <w:right w:val="single" w:sz="6" w:space="0" w:color="auto"/>
            </w:tcBorders>
          </w:tcPr>
          <w:p w14:paraId="0D4DF351" w14:textId="77777777" w:rsidR="00B707B7" w:rsidRPr="00F84609" w:rsidRDefault="00B707B7" w:rsidP="00E444B1">
            <w:pPr>
              <w:keepNext/>
              <w:jc w:val="center"/>
              <w:rPr>
                <w:spacing w:val="-3"/>
                <w:sz w:val="20"/>
                <w:szCs w:val="20"/>
              </w:rPr>
            </w:pPr>
            <w:r>
              <w:rPr>
                <w:spacing w:val="-3"/>
                <w:sz w:val="20"/>
                <w:szCs w:val="20"/>
              </w:rPr>
              <w:t>0</w:t>
            </w:r>
          </w:p>
        </w:tc>
        <w:tc>
          <w:tcPr>
            <w:tcW w:w="900" w:type="dxa"/>
            <w:tcBorders>
              <w:left w:val="single" w:sz="6" w:space="0" w:color="auto"/>
              <w:right w:val="single" w:sz="4" w:space="0" w:color="auto"/>
            </w:tcBorders>
          </w:tcPr>
          <w:p w14:paraId="027C23AD" w14:textId="77777777" w:rsidR="00B707B7" w:rsidRPr="004361AC" w:rsidRDefault="00B707B7" w:rsidP="00E444B1">
            <w:pPr>
              <w:keepNext/>
              <w:jc w:val="center"/>
              <w:rPr>
                <w:spacing w:val="-3"/>
                <w:sz w:val="20"/>
                <w:szCs w:val="20"/>
              </w:rPr>
            </w:pPr>
            <w:r>
              <w:rPr>
                <w:spacing w:val="-3"/>
                <w:sz w:val="20"/>
                <w:szCs w:val="20"/>
              </w:rPr>
              <w:t>0.0</w:t>
            </w:r>
          </w:p>
        </w:tc>
        <w:tc>
          <w:tcPr>
            <w:tcW w:w="1262" w:type="dxa"/>
            <w:tcBorders>
              <w:left w:val="single" w:sz="4" w:space="0" w:color="auto"/>
              <w:right w:val="single" w:sz="18" w:space="0" w:color="auto"/>
            </w:tcBorders>
            <w:shd w:val="clear" w:color="auto" w:fill="D9D9D9"/>
          </w:tcPr>
          <w:p w14:paraId="6F714EA1" w14:textId="77777777" w:rsidR="00B707B7" w:rsidRPr="009B656A" w:rsidRDefault="00B707B7" w:rsidP="00E444B1">
            <w:pPr>
              <w:keepNext/>
              <w:jc w:val="center"/>
              <w:rPr>
                <w:spacing w:val="-3"/>
                <w:sz w:val="20"/>
                <w:szCs w:val="20"/>
              </w:rPr>
            </w:pPr>
            <w:r>
              <w:rPr>
                <w:spacing w:val="-3"/>
                <w:sz w:val="20"/>
                <w:szCs w:val="20"/>
              </w:rPr>
              <w:t>0.2</w:t>
            </w:r>
          </w:p>
        </w:tc>
      </w:tr>
      <w:tr w:rsidR="00B707B7" w:rsidRPr="00F243B2" w14:paraId="34047CBE" w14:textId="77777777" w:rsidTr="00E444B1">
        <w:trPr>
          <w:jc w:val="center"/>
        </w:trPr>
        <w:tc>
          <w:tcPr>
            <w:tcW w:w="3015" w:type="dxa"/>
            <w:tcBorders>
              <w:left w:val="single" w:sz="18" w:space="0" w:color="auto"/>
              <w:right w:val="single" w:sz="6" w:space="0" w:color="auto"/>
            </w:tcBorders>
          </w:tcPr>
          <w:p w14:paraId="514F7FCD" w14:textId="77777777" w:rsidR="00B707B7" w:rsidRPr="00CE4188" w:rsidRDefault="00B707B7" w:rsidP="00E444B1">
            <w:pPr>
              <w:keepNext/>
              <w:rPr>
                <w:spacing w:val="-3"/>
                <w:sz w:val="20"/>
                <w:szCs w:val="20"/>
              </w:rPr>
            </w:pPr>
            <w:r w:rsidRPr="00CE4188">
              <w:rPr>
                <w:spacing w:val="-3"/>
                <w:sz w:val="20"/>
                <w:szCs w:val="20"/>
              </w:rPr>
              <w:t>Asian</w:t>
            </w:r>
          </w:p>
        </w:tc>
        <w:tc>
          <w:tcPr>
            <w:tcW w:w="753" w:type="dxa"/>
            <w:tcBorders>
              <w:left w:val="single" w:sz="6" w:space="0" w:color="auto"/>
              <w:right w:val="single" w:sz="6" w:space="0" w:color="auto"/>
            </w:tcBorders>
          </w:tcPr>
          <w:p w14:paraId="71E6C8DE" w14:textId="77777777" w:rsidR="00B707B7" w:rsidRPr="00CE4188" w:rsidRDefault="00B707B7" w:rsidP="00E444B1">
            <w:pPr>
              <w:keepNext/>
              <w:jc w:val="center"/>
              <w:rPr>
                <w:spacing w:val="-3"/>
                <w:sz w:val="20"/>
                <w:szCs w:val="20"/>
              </w:rPr>
            </w:pPr>
            <w:r>
              <w:rPr>
                <w:spacing w:val="-3"/>
                <w:sz w:val="20"/>
                <w:szCs w:val="20"/>
              </w:rPr>
              <w:t>4</w:t>
            </w:r>
          </w:p>
        </w:tc>
        <w:tc>
          <w:tcPr>
            <w:tcW w:w="979" w:type="dxa"/>
            <w:tcBorders>
              <w:left w:val="single" w:sz="6" w:space="0" w:color="auto"/>
              <w:right w:val="single" w:sz="6" w:space="0" w:color="auto"/>
            </w:tcBorders>
          </w:tcPr>
          <w:p w14:paraId="3DB4CDFB" w14:textId="77777777" w:rsidR="00B707B7" w:rsidRPr="004361AC" w:rsidRDefault="00B707B7" w:rsidP="00E444B1">
            <w:pPr>
              <w:keepNext/>
              <w:jc w:val="center"/>
              <w:rPr>
                <w:spacing w:val="-3"/>
                <w:sz w:val="20"/>
                <w:szCs w:val="20"/>
              </w:rPr>
            </w:pPr>
            <w:r>
              <w:rPr>
                <w:spacing w:val="-3"/>
                <w:sz w:val="20"/>
                <w:szCs w:val="20"/>
              </w:rPr>
              <w:t>2.4</w:t>
            </w:r>
          </w:p>
        </w:tc>
        <w:tc>
          <w:tcPr>
            <w:tcW w:w="1168" w:type="dxa"/>
            <w:tcBorders>
              <w:left w:val="single" w:sz="6" w:space="0" w:color="auto"/>
              <w:right w:val="single" w:sz="6" w:space="0" w:color="auto"/>
            </w:tcBorders>
            <w:shd w:val="clear" w:color="auto" w:fill="D9D9D9"/>
          </w:tcPr>
          <w:p w14:paraId="5C4EEE39" w14:textId="77777777" w:rsidR="00B707B7" w:rsidRPr="007E2312" w:rsidRDefault="00B707B7" w:rsidP="00E444B1">
            <w:pPr>
              <w:keepNext/>
              <w:jc w:val="center"/>
              <w:rPr>
                <w:sz w:val="20"/>
                <w:szCs w:val="20"/>
              </w:rPr>
            </w:pPr>
            <w:r>
              <w:rPr>
                <w:sz w:val="20"/>
                <w:szCs w:val="20"/>
              </w:rPr>
              <w:t>2.2</w:t>
            </w:r>
          </w:p>
        </w:tc>
        <w:tc>
          <w:tcPr>
            <w:tcW w:w="720" w:type="dxa"/>
            <w:tcBorders>
              <w:left w:val="single" w:sz="6" w:space="0" w:color="auto"/>
              <w:right w:val="single" w:sz="6" w:space="0" w:color="auto"/>
            </w:tcBorders>
          </w:tcPr>
          <w:p w14:paraId="5B15EAF4" w14:textId="77777777" w:rsidR="00B707B7" w:rsidRPr="00F84609" w:rsidRDefault="00B707B7" w:rsidP="00E444B1">
            <w:pPr>
              <w:keepNext/>
              <w:jc w:val="center"/>
              <w:rPr>
                <w:spacing w:val="-3"/>
                <w:sz w:val="20"/>
                <w:szCs w:val="20"/>
              </w:rPr>
            </w:pPr>
            <w:r>
              <w:rPr>
                <w:spacing w:val="-3"/>
                <w:sz w:val="20"/>
                <w:szCs w:val="20"/>
              </w:rPr>
              <w:t>6</w:t>
            </w:r>
          </w:p>
        </w:tc>
        <w:tc>
          <w:tcPr>
            <w:tcW w:w="900" w:type="dxa"/>
            <w:tcBorders>
              <w:left w:val="single" w:sz="6" w:space="0" w:color="auto"/>
              <w:right w:val="single" w:sz="4" w:space="0" w:color="auto"/>
            </w:tcBorders>
          </w:tcPr>
          <w:p w14:paraId="72E38235" w14:textId="77777777" w:rsidR="00B707B7" w:rsidRPr="004361AC" w:rsidRDefault="00B707B7" w:rsidP="00E444B1">
            <w:pPr>
              <w:keepNext/>
              <w:jc w:val="center"/>
              <w:rPr>
                <w:spacing w:val="-3"/>
                <w:sz w:val="20"/>
                <w:szCs w:val="20"/>
              </w:rPr>
            </w:pPr>
            <w:r>
              <w:rPr>
                <w:spacing w:val="-3"/>
                <w:sz w:val="20"/>
                <w:szCs w:val="20"/>
              </w:rPr>
              <w:t>1.3</w:t>
            </w:r>
          </w:p>
        </w:tc>
        <w:tc>
          <w:tcPr>
            <w:tcW w:w="1262" w:type="dxa"/>
            <w:tcBorders>
              <w:left w:val="single" w:sz="4" w:space="0" w:color="auto"/>
              <w:right w:val="single" w:sz="18" w:space="0" w:color="auto"/>
            </w:tcBorders>
            <w:shd w:val="clear" w:color="auto" w:fill="D9D9D9"/>
          </w:tcPr>
          <w:p w14:paraId="1D0716DA" w14:textId="77777777" w:rsidR="00B707B7" w:rsidRPr="009B656A" w:rsidRDefault="00B707B7" w:rsidP="00E444B1">
            <w:pPr>
              <w:keepNext/>
              <w:jc w:val="center"/>
              <w:rPr>
                <w:spacing w:val="-3"/>
                <w:sz w:val="20"/>
                <w:szCs w:val="20"/>
              </w:rPr>
            </w:pPr>
            <w:r>
              <w:rPr>
                <w:spacing w:val="-3"/>
                <w:sz w:val="20"/>
                <w:szCs w:val="20"/>
              </w:rPr>
              <w:t>2.2</w:t>
            </w:r>
          </w:p>
        </w:tc>
      </w:tr>
      <w:tr w:rsidR="00B707B7" w:rsidRPr="00F243B2" w14:paraId="76A611B7" w14:textId="77777777" w:rsidTr="00E444B1">
        <w:trPr>
          <w:jc w:val="center"/>
        </w:trPr>
        <w:tc>
          <w:tcPr>
            <w:tcW w:w="3015" w:type="dxa"/>
            <w:tcBorders>
              <w:left w:val="single" w:sz="18" w:space="0" w:color="auto"/>
              <w:right w:val="single" w:sz="6" w:space="0" w:color="auto"/>
            </w:tcBorders>
          </w:tcPr>
          <w:p w14:paraId="2B324CCE" w14:textId="77777777" w:rsidR="00B707B7" w:rsidRPr="00CE4188" w:rsidRDefault="00B707B7" w:rsidP="00E444B1">
            <w:pPr>
              <w:keepNext/>
              <w:rPr>
                <w:spacing w:val="-3"/>
                <w:sz w:val="20"/>
                <w:szCs w:val="20"/>
              </w:rPr>
            </w:pPr>
            <w:r w:rsidRPr="00CE4188">
              <w:rPr>
                <w:spacing w:val="-3"/>
                <w:sz w:val="20"/>
                <w:szCs w:val="20"/>
              </w:rPr>
              <w:t>Black/ African American</w:t>
            </w:r>
          </w:p>
        </w:tc>
        <w:tc>
          <w:tcPr>
            <w:tcW w:w="753" w:type="dxa"/>
            <w:tcBorders>
              <w:left w:val="single" w:sz="6" w:space="0" w:color="auto"/>
              <w:right w:val="single" w:sz="6" w:space="0" w:color="auto"/>
            </w:tcBorders>
          </w:tcPr>
          <w:p w14:paraId="43B95520" w14:textId="77777777" w:rsidR="00B707B7" w:rsidRPr="00CE4188" w:rsidRDefault="00B707B7" w:rsidP="00E444B1">
            <w:pPr>
              <w:keepNext/>
              <w:jc w:val="center"/>
              <w:rPr>
                <w:spacing w:val="-3"/>
                <w:sz w:val="20"/>
                <w:szCs w:val="20"/>
              </w:rPr>
            </w:pPr>
            <w:r>
              <w:rPr>
                <w:spacing w:val="-3"/>
                <w:sz w:val="20"/>
                <w:szCs w:val="20"/>
              </w:rPr>
              <w:t>3</w:t>
            </w:r>
          </w:p>
        </w:tc>
        <w:tc>
          <w:tcPr>
            <w:tcW w:w="979" w:type="dxa"/>
            <w:tcBorders>
              <w:left w:val="single" w:sz="6" w:space="0" w:color="auto"/>
              <w:right w:val="single" w:sz="6" w:space="0" w:color="auto"/>
            </w:tcBorders>
          </w:tcPr>
          <w:p w14:paraId="380381BF" w14:textId="77777777" w:rsidR="00B707B7" w:rsidRPr="004361AC" w:rsidRDefault="00B707B7" w:rsidP="00E444B1">
            <w:pPr>
              <w:keepNext/>
              <w:jc w:val="center"/>
              <w:rPr>
                <w:spacing w:val="-3"/>
                <w:sz w:val="20"/>
                <w:szCs w:val="20"/>
              </w:rPr>
            </w:pPr>
            <w:r>
              <w:rPr>
                <w:spacing w:val="-3"/>
                <w:sz w:val="20"/>
                <w:szCs w:val="20"/>
              </w:rPr>
              <w:t>1.8</w:t>
            </w:r>
          </w:p>
        </w:tc>
        <w:tc>
          <w:tcPr>
            <w:tcW w:w="1168" w:type="dxa"/>
            <w:tcBorders>
              <w:left w:val="single" w:sz="6" w:space="0" w:color="auto"/>
              <w:right w:val="single" w:sz="6" w:space="0" w:color="auto"/>
            </w:tcBorders>
            <w:shd w:val="clear" w:color="auto" w:fill="D9D9D9"/>
          </w:tcPr>
          <w:p w14:paraId="79953D0C" w14:textId="77777777" w:rsidR="00B707B7" w:rsidRPr="007E2312" w:rsidRDefault="00B707B7" w:rsidP="00E444B1">
            <w:pPr>
              <w:keepNext/>
              <w:jc w:val="center"/>
              <w:rPr>
                <w:sz w:val="20"/>
                <w:szCs w:val="20"/>
              </w:rPr>
            </w:pPr>
            <w:r>
              <w:rPr>
                <w:sz w:val="20"/>
                <w:szCs w:val="20"/>
              </w:rPr>
              <w:t>8.6</w:t>
            </w:r>
          </w:p>
        </w:tc>
        <w:tc>
          <w:tcPr>
            <w:tcW w:w="720" w:type="dxa"/>
            <w:tcBorders>
              <w:left w:val="single" w:sz="6" w:space="0" w:color="auto"/>
              <w:right w:val="single" w:sz="6" w:space="0" w:color="auto"/>
            </w:tcBorders>
          </w:tcPr>
          <w:p w14:paraId="6D53EC31" w14:textId="77777777" w:rsidR="00B707B7" w:rsidRPr="00F84609" w:rsidRDefault="00B707B7" w:rsidP="00E444B1">
            <w:pPr>
              <w:keepNext/>
              <w:jc w:val="center"/>
              <w:rPr>
                <w:spacing w:val="-3"/>
                <w:sz w:val="20"/>
                <w:szCs w:val="20"/>
              </w:rPr>
            </w:pPr>
            <w:r>
              <w:rPr>
                <w:spacing w:val="-3"/>
                <w:sz w:val="20"/>
                <w:szCs w:val="20"/>
              </w:rPr>
              <w:t>17</w:t>
            </w:r>
          </w:p>
        </w:tc>
        <w:tc>
          <w:tcPr>
            <w:tcW w:w="900" w:type="dxa"/>
            <w:tcBorders>
              <w:left w:val="single" w:sz="6" w:space="0" w:color="auto"/>
              <w:right w:val="single" w:sz="4" w:space="0" w:color="auto"/>
            </w:tcBorders>
          </w:tcPr>
          <w:p w14:paraId="4799174D" w14:textId="77777777" w:rsidR="00B707B7" w:rsidRPr="004361AC" w:rsidRDefault="00B707B7" w:rsidP="00E444B1">
            <w:pPr>
              <w:keepNext/>
              <w:jc w:val="center"/>
              <w:rPr>
                <w:spacing w:val="-3"/>
                <w:sz w:val="20"/>
                <w:szCs w:val="20"/>
              </w:rPr>
            </w:pPr>
            <w:r>
              <w:rPr>
                <w:spacing w:val="-3"/>
                <w:sz w:val="20"/>
                <w:szCs w:val="20"/>
              </w:rPr>
              <w:t>3.7</w:t>
            </w:r>
          </w:p>
        </w:tc>
        <w:tc>
          <w:tcPr>
            <w:tcW w:w="1262" w:type="dxa"/>
            <w:tcBorders>
              <w:left w:val="single" w:sz="4" w:space="0" w:color="auto"/>
              <w:right w:val="single" w:sz="18" w:space="0" w:color="auto"/>
            </w:tcBorders>
            <w:shd w:val="clear" w:color="auto" w:fill="D9D9D9"/>
          </w:tcPr>
          <w:p w14:paraId="571FB66B" w14:textId="77777777" w:rsidR="00B707B7" w:rsidRPr="009B656A" w:rsidRDefault="00B707B7" w:rsidP="00E444B1">
            <w:pPr>
              <w:keepNext/>
              <w:jc w:val="center"/>
              <w:rPr>
                <w:spacing w:val="-3"/>
                <w:sz w:val="20"/>
                <w:szCs w:val="20"/>
              </w:rPr>
            </w:pPr>
            <w:r>
              <w:rPr>
                <w:spacing w:val="-3"/>
                <w:sz w:val="20"/>
                <w:szCs w:val="20"/>
              </w:rPr>
              <w:t>8.1</w:t>
            </w:r>
          </w:p>
        </w:tc>
      </w:tr>
      <w:tr w:rsidR="00B707B7" w:rsidRPr="00F243B2" w14:paraId="7BC54B25" w14:textId="77777777" w:rsidTr="00E444B1">
        <w:trPr>
          <w:jc w:val="center"/>
        </w:trPr>
        <w:tc>
          <w:tcPr>
            <w:tcW w:w="3015" w:type="dxa"/>
            <w:tcBorders>
              <w:left w:val="single" w:sz="18" w:space="0" w:color="auto"/>
              <w:right w:val="single" w:sz="6" w:space="0" w:color="auto"/>
            </w:tcBorders>
          </w:tcPr>
          <w:p w14:paraId="5C029A6E" w14:textId="77777777" w:rsidR="00B707B7" w:rsidRPr="00CE4188" w:rsidRDefault="00B707B7" w:rsidP="00E444B1">
            <w:pPr>
              <w:keepNext/>
              <w:rPr>
                <w:spacing w:val="-3"/>
                <w:sz w:val="20"/>
                <w:szCs w:val="20"/>
              </w:rPr>
            </w:pPr>
            <w:r w:rsidRPr="00CE4188">
              <w:rPr>
                <w:spacing w:val="-3"/>
                <w:sz w:val="20"/>
                <w:szCs w:val="20"/>
              </w:rPr>
              <w:t>Hawaiian/Pacific Islander</w:t>
            </w:r>
          </w:p>
        </w:tc>
        <w:tc>
          <w:tcPr>
            <w:tcW w:w="753" w:type="dxa"/>
            <w:tcBorders>
              <w:left w:val="single" w:sz="6" w:space="0" w:color="auto"/>
              <w:right w:val="single" w:sz="6" w:space="0" w:color="auto"/>
            </w:tcBorders>
          </w:tcPr>
          <w:p w14:paraId="6AEB5F07" w14:textId="77777777" w:rsidR="00B707B7" w:rsidRPr="00CE4188" w:rsidRDefault="00B707B7" w:rsidP="00E444B1">
            <w:pPr>
              <w:keepNext/>
              <w:jc w:val="center"/>
              <w:rPr>
                <w:spacing w:val="-3"/>
                <w:sz w:val="20"/>
                <w:szCs w:val="20"/>
              </w:rPr>
            </w:pPr>
            <w:r>
              <w:rPr>
                <w:spacing w:val="-3"/>
                <w:sz w:val="20"/>
                <w:szCs w:val="20"/>
              </w:rPr>
              <w:t>0</w:t>
            </w:r>
          </w:p>
        </w:tc>
        <w:tc>
          <w:tcPr>
            <w:tcW w:w="979" w:type="dxa"/>
            <w:tcBorders>
              <w:left w:val="single" w:sz="6" w:space="0" w:color="auto"/>
              <w:right w:val="single" w:sz="6" w:space="0" w:color="auto"/>
            </w:tcBorders>
          </w:tcPr>
          <w:p w14:paraId="62A96D0D" w14:textId="77777777" w:rsidR="00B707B7" w:rsidRPr="004361AC" w:rsidRDefault="00B707B7" w:rsidP="00E444B1">
            <w:pPr>
              <w:keepNext/>
              <w:jc w:val="center"/>
              <w:rPr>
                <w:spacing w:val="-3"/>
                <w:sz w:val="20"/>
                <w:szCs w:val="20"/>
              </w:rPr>
            </w:pPr>
            <w:r>
              <w:rPr>
                <w:spacing w:val="-3"/>
                <w:sz w:val="20"/>
                <w:szCs w:val="20"/>
              </w:rPr>
              <w:t>0.0</w:t>
            </w:r>
          </w:p>
        </w:tc>
        <w:tc>
          <w:tcPr>
            <w:tcW w:w="1168" w:type="dxa"/>
            <w:tcBorders>
              <w:left w:val="single" w:sz="6" w:space="0" w:color="auto"/>
              <w:right w:val="single" w:sz="6" w:space="0" w:color="auto"/>
            </w:tcBorders>
            <w:shd w:val="clear" w:color="auto" w:fill="D9D9D9"/>
          </w:tcPr>
          <w:p w14:paraId="18C97FF0" w14:textId="77777777" w:rsidR="00B707B7" w:rsidRPr="007E2312" w:rsidRDefault="00B707B7" w:rsidP="00E444B1">
            <w:pPr>
              <w:keepNext/>
              <w:jc w:val="center"/>
              <w:rPr>
                <w:sz w:val="20"/>
                <w:szCs w:val="20"/>
              </w:rPr>
            </w:pPr>
            <w:r>
              <w:rPr>
                <w:sz w:val="20"/>
                <w:szCs w:val="20"/>
              </w:rPr>
              <w:t>0.2</w:t>
            </w:r>
          </w:p>
        </w:tc>
        <w:tc>
          <w:tcPr>
            <w:tcW w:w="720" w:type="dxa"/>
            <w:tcBorders>
              <w:left w:val="single" w:sz="6" w:space="0" w:color="auto"/>
              <w:right w:val="single" w:sz="6" w:space="0" w:color="auto"/>
            </w:tcBorders>
          </w:tcPr>
          <w:p w14:paraId="053DE977" w14:textId="77777777" w:rsidR="00B707B7" w:rsidRPr="00F84609" w:rsidRDefault="00B707B7" w:rsidP="00E444B1">
            <w:pPr>
              <w:keepNext/>
              <w:jc w:val="center"/>
              <w:rPr>
                <w:spacing w:val="-3"/>
                <w:sz w:val="20"/>
                <w:szCs w:val="20"/>
              </w:rPr>
            </w:pPr>
            <w:r>
              <w:rPr>
                <w:spacing w:val="-3"/>
                <w:sz w:val="20"/>
                <w:szCs w:val="20"/>
              </w:rPr>
              <w:t>1</w:t>
            </w:r>
          </w:p>
        </w:tc>
        <w:tc>
          <w:tcPr>
            <w:tcW w:w="900" w:type="dxa"/>
            <w:tcBorders>
              <w:left w:val="single" w:sz="6" w:space="0" w:color="auto"/>
              <w:right w:val="single" w:sz="4" w:space="0" w:color="auto"/>
            </w:tcBorders>
          </w:tcPr>
          <w:p w14:paraId="33323473" w14:textId="77777777" w:rsidR="00B707B7" w:rsidRPr="004361AC" w:rsidRDefault="00B707B7" w:rsidP="00E444B1">
            <w:pPr>
              <w:keepNext/>
              <w:jc w:val="center"/>
              <w:rPr>
                <w:spacing w:val="-3"/>
                <w:sz w:val="20"/>
                <w:szCs w:val="20"/>
              </w:rPr>
            </w:pPr>
            <w:r>
              <w:rPr>
                <w:spacing w:val="-3"/>
                <w:sz w:val="20"/>
                <w:szCs w:val="20"/>
              </w:rPr>
              <w:t>0.2</w:t>
            </w:r>
          </w:p>
        </w:tc>
        <w:tc>
          <w:tcPr>
            <w:tcW w:w="1262" w:type="dxa"/>
            <w:tcBorders>
              <w:left w:val="single" w:sz="4" w:space="0" w:color="auto"/>
              <w:right w:val="single" w:sz="18" w:space="0" w:color="auto"/>
            </w:tcBorders>
            <w:shd w:val="clear" w:color="auto" w:fill="D9D9D9"/>
          </w:tcPr>
          <w:p w14:paraId="2812FECA" w14:textId="77777777" w:rsidR="00B707B7" w:rsidRPr="009B656A" w:rsidRDefault="00B707B7" w:rsidP="00E444B1">
            <w:pPr>
              <w:keepNext/>
              <w:jc w:val="center"/>
              <w:rPr>
                <w:spacing w:val="-3"/>
                <w:sz w:val="20"/>
                <w:szCs w:val="20"/>
              </w:rPr>
            </w:pPr>
            <w:r>
              <w:rPr>
                <w:spacing w:val="-3"/>
                <w:sz w:val="20"/>
                <w:szCs w:val="20"/>
              </w:rPr>
              <w:t>0.2</w:t>
            </w:r>
          </w:p>
        </w:tc>
      </w:tr>
      <w:tr w:rsidR="00B707B7" w:rsidRPr="00F243B2" w14:paraId="4F8B52AD" w14:textId="77777777" w:rsidTr="00E444B1">
        <w:trPr>
          <w:jc w:val="center"/>
        </w:trPr>
        <w:tc>
          <w:tcPr>
            <w:tcW w:w="3015" w:type="dxa"/>
            <w:tcBorders>
              <w:left w:val="single" w:sz="18" w:space="0" w:color="auto"/>
              <w:bottom w:val="single" w:sz="6" w:space="0" w:color="auto"/>
              <w:right w:val="single" w:sz="6" w:space="0" w:color="auto"/>
            </w:tcBorders>
          </w:tcPr>
          <w:p w14:paraId="5AE0BA62" w14:textId="77777777" w:rsidR="00B707B7" w:rsidRPr="00CE4188" w:rsidRDefault="00B707B7" w:rsidP="00E444B1">
            <w:pPr>
              <w:keepNext/>
              <w:rPr>
                <w:spacing w:val="-3"/>
                <w:sz w:val="20"/>
                <w:szCs w:val="20"/>
              </w:rPr>
            </w:pPr>
            <w:r w:rsidRPr="00CE4188">
              <w:rPr>
                <w:spacing w:val="-3"/>
                <w:sz w:val="20"/>
                <w:szCs w:val="20"/>
              </w:rPr>
              <w:t>2 or more Minority</w:t>
            </w:r>
          </w:p>
        </w:tc>
        <w:tc>
          <w:tcPr>
            <w:tcW w:w="753" w:type="dxa"/>
            <w:tcBorders>
              <w:left w:val="single" w:sz="6" w:space="0" w:color="auto"/>
              <w:bottom w:val="single" w:sz="6" w:space="0" w:color="auto"/>
              <w:right w:val="single" w:sz="6" w:space="0" w:color="auto"/>
            </w:tcBorders>
          </w:tcPr>
          <w:p w14:paraId="7A5B29D3" w14:textId="77777777" w:rsidR="00B707B7" w:rsidRPr="00CE4188" w:rsidRDefault="00B707B7" w:rsidP="00E444B1">
            <w:pPr>
              <w:keepNext/>
              <w:jc w:val="center"/>
              <w:rPr>
                <w:spacing w:val="-3"/>
                <w:sz w:val="20"/>
                <w:szCs w:val="20"/>
              </w:rPr>
            </w:pPr>
            <w:r>
              <w:rPr>
                <w:spacing w:val="-3"/>
                <w:sz w:val="20"/>
                <w:szCs w:val="20"/>
              </w:rPr>
              <w:t>1</w:t>
            </w:r>
          </w:p>
        </w:tc>
        <w:tc>
          <w:tcPr>
            <w:tcW w:w="979" w:type="dxa"/>
            <w:tcBorders>
              <w:left w:val="single" w:sz="6" w:space="0" w:color="auto"/>
              <w:bottom w:val="single" w:sz="6" w:space="0" w:color="auto"/>
              <w:right w:val="single" w:sz="6" w:space="0" w:color="auto"/>
            </w:tcBorders>
          </w:tcPr>
          <w:p w14:paraId="166076E5" w14:textId="77777777" w:rsidR="00B707B7" w:rsidRPr="004361AC" w:rsidRDefault="00B707B7" w:rsidP="00E444B1">
            <w:pPr>
              <w:keepNext/>
              <w:jc w:val="center"/>
              <w:rPr>
                <w:spacing w:val="-3"/>
                <w:sz w:val="20"/>
                <w:szCs w:val="20"/>
              </w:rPr>
            </w:pPr>
            <w:r>
              <w:rPr>
                <w:spacing w:val="-3"/>
                <w:sz w:val="20"/>
                <w:szCs w:val="20"/>
              </w:rPr>
              <w:t>0.6</w:t>
            </w:r>
          </w:p>
        </w:tc>
        <w:tc>
          <w:tcPr>
            <w:tcW w:w="1168" w:type="dxa"/>
            <w:tcBorders>
              <w:left w:val="single" w:sz="6" w:space="0" w:color="auto"/>
              <w:bottom w:val="single" w:sz="6" w:space="0" w:color="auto"/>
              <w:right w:val="single" w:sz="6" w:space="0" w:color="auto"/>
            </w:tcBorders>
            <w:shd w:val="clear" w:color="auto" w:fill="D9D9D9"/>
          </w:tcPr>
          <w:p w14:paraId="0DBDF0C2" w14:textId="77777777" w:rsidR="00B707B7" w:rsidRPr="007E2312" w:rsidRDefault="00B707B7" w:rsidP="00E444B1">
            <w:pPr>
              <w:keepNext/>
              <w:jc w:val="center"/>
              <w:rPr>
                <w:sz w:val="20"/>
                <w:szCs w:val="20"/>
              </w:rPr>
            </w:pPr>
            <w:r>
              <w:rPr>
                <w:sz w:val="20"/>
                <w:szCs w:val="20"/>
              </w:rPr>
              <w:t>0.2</w:t>
            </w:r>
          </w:p>
        </w:tc>
        <w:tc>
          <w:tcPr>
            <w:tcW w:w="720" w:type="dxa"/>
            <w:tcBorders>
              <w:left w:val="single" w:sz="6" w:space="0" w:color="auto"/>
              <w:bottom w:val="single" w:sz="6" w:space="0" w:color="auto"/>
              <w:right w:val="single" w:sz="6" w:space="0" w:color="auto"/>
            </w:tcBorders>
          </w:tcPr>
          <w:p w14:paraId="4AC9F37B" w14:textId="77777777" w:rsidR="00B707B7" w:rsidRPr="00F84609" w:rsidRDefault="00B707B7" w:rsidP="00E444B1">
            <w:pPr>
              <w:keepNext/>
              <w:jc w:val="center"/>
              <w:rPr>
                <w:spacing w:val="-3"/>
                <w:sz w:val="20"/>
                <w:szCs w:val="20"/>
              </w:rPr>
            </w:pPr>
            <w:r>
              <w:rPr>
                <w:spacing w:val="-3"/>
                <w:sz w:val="20"/>
                <w:szCs w:val="20"/>
              </w:rPr>
              <w:t>0</w:t>
            </w:r>
          </w:p>
        </w:tc>
        <w:tc>
          <w:tcPr>
            <w:tcW w:w="900" w:type="dxa"/>
            <w:tcBorders>
              <w:left w:val="single" w:sz="6" w:space="0" w:color="auto"/>
              <w:bottom w:val="single" w:sz="6" w:space="0" w:color="auto"/>
              <w:right w:val="single" w:sz="4" w:space="0" w:color="auto"/>
            </w:tcBorders>
          </w:tcPr>
          <w:p w14:paraId="408E8795" w14:textId="77777777" w:rsidR="00B707B7" w:rsidRPr="004361AC" w:rsidRDefault="00B707B7" w:rsidP="00E444B1">
            <w:pPr>
              <w:keepNext/>
              <w:jc w:val="center"/>
              <w:rPr>
                <w:spacing w:val="-3"/>
                <w:sz w:val="20"/>
                <w:szCs w:val="20"/>
              </w:rPr>
            </w:pPr>
            <w:r>
              <w:rPr>
                <w:spacing w:val="-3"/>
                <w:sz w:val="20"/>
                <w:szCs w:val="20"/>
              </w:rPr>
              <w:t>0.0</w:t>
            </w:r>
          </w:p>
        </w:tc>
        <w:tc>
          <w:tcPr>
            <w:tcW w:w="1262" w:type="dxa"/>
            <w:tcBorders>
              <w:left w:val="single" w:sz="4" w:space="0" w:color="auto"/>
              <w:bottom w:val="single" w:sz="6" w:space="0" w:color="auto"/>
              <w:right w:val="single" w:sz="18" w:space="0" w:color="auto"/>
            </w:tcBorders>
            <w:shd w:val="clear" w:color="auto" w:fill="D9D9D9"/>
          </w:tcPr>
          <w:p w14:paraId="36F42710" w14:textId="77777777" w:rsidR="00B707B7" w:rsidRPr="009B656A" w:rsidRDefault="00B707B7" w:rsidP="00E444B1">
            <w:pPr>
              <w:keepNext/>
              <w:jc w:val="center"/>
              <w:rPr>
                <w:spacing w:val="-3"/>
                <w:sz w:val="20"/>
                <w:szCs w:val="20"/>
              </w:rPr>
            </w:pPr>
            <w:r>
              <w:rPr>
                <w:spacing w:val="-3"/>
                <w:sz w:val="20"/>
                <w:szCs w:val="20"/>
              </w:rPr>
              <w:t>0.1</w:t>
            </w:r>
          </w:p>
        </w:tc>
      </w:tr>
      <w:tr w:rsidR="00B707B7" w:rsidRPr="00F243B2" w14:paraId="72F1D059" w14:textId="77777777" w:rsidTr="00E444B1">
        <w:trPr>
          <w:jc w:val="center"/>
        </w:trPr>
        <w:tc>
          <w:tcPr>
            <w:tcW w:w="3015" w:type="dxa"/>
            <w:tcBorders>
              <w:left w:val="single" w:sz="18" w:space="0" w:color="auto"/>
              <w:bottom w:val="single" w:sz="4" w:space="0" w:color="auto"/>
              <w:right w:val="single" w:sz="6" w:space="0" w:color="auto"/>
            </w:tcBorders>
          </w:tcPr>
          <w:p w14:paraId="2EEF83BA" w14:textId="77777777" w:rsidR="00B707B7" w:rsidRPr="00CE4188" w:rsidRDefault="00B707B7" w:rsidP="00E444B1">
            <w:pPr>
              <w:keepNext/>
              <w:rPr>
                <w:spacing w:val="-3"/>
                <w:sz w:val="20"/>
                <w:szCs w:val="20"/>
              </w:rPr>
            </w:pPr>
            <w:r w:rsidRPr="00CE4188">
              <w:rPr>
                <w:spacing w:val="-3"/>
                <w:sz w:val="20"/>
                <w:szCs w:val="20"/>
              </w:rPr>
              <w:t>Joint Race (White/Minority)</w:t>
            </w:r>
          </w:p>
        </w:tc>
        <w:tc>
          <w:tcPr>
            <w:tcW w:w="753" w:type="dxa"/>
            <w:tcBorders>
              <w:left w:val="single" w:sz="6" w:space="0" w:color="auto"/>
              <w:bottom w:val="single" w:sz="4" w:space="0" w:color="auto"/>
              <w:right w:val="single" w:sz="6" w:space="0" w:color="auto"/>
            </w:tcBorders>
          </w:tcPr>
          <w:p w14:paraId="359D37FC" w14:textId="77777777" w:rsidR="00B707B7" w:rsidRPr="00CE4188" w:rsidRDefault="00B707B7" w:rsidP="00E444B1">
            <w:pPr>
              <w:keepNext/>
              <w:jc w:val="center"/>
              <w:rPr>
                <w:spacing w:val="-3"/>
                <w:sz w:val="20"/>
                <w:szCs w:val="20"/>
              </w:rPr>
            </w:pPr>
            <w:r>
              <w:rPr>
                <w:spacing w:val="-3"/>
                <w:sz w:val="20"/>
                <w:szCs w:val="20"/>
              </w:rPr>
              <w:t>3</w:t>
            </w:r>
          </w:p>
        </w:tc>
        <w:tc>
          <w:tcPr>
            <w:tcW w:w="979" w:type="dxa"/>
            <w:tcBorders>
              <w:left w:val="single" w:sz="6" w:space="0" w:color="auto"/>
              <w:bottom w:val="single" w:sz="4" w:space="0" w:color="auto"/>
              <w:right w:val="single" w:sz="6" w:space="0" w:color="auto"/>
            </w:tcBorders>
          </w:tcPr>
          <w:p w14:paraId="6B7987F9" w14:textId="77777777" w:rsidR="00B707B7" w:rsidRPr="004361AC" w:rsidRDefault="00B707B7" w:rsidP="00E444B1">
            <w:pPr>
              <w:keepNext/>
              <w:jc w:val="center"/>
              <w:rPr>
                <w:spacing w:val="-3"/>
                <w:sz w:val="20"/>
                <w:szCs w:val="20"/>
              </w:rPr>
            </w:pPr>
            <w:r>
              <w:rPr>
                <w:spacing w:val="-3"/>
                <w:sz w:val="20"/>
                <w:szCs w:val="20"/>
              </w:rPr>
              <w:t>1.8</w:t>
            </w:r>
          </w:p>
        </w:tc>
        <w:tc>
          <w:tcPr>
            <w:tcW w:w="1168" w:type="dxa"/>
            <w:tcBorders>
              <w:left w:val="single" w:sz="6" w:space="0" w:color="auto"/>
              <w:bottom w:val="single" w:sz="4" w:space="0" w:color="auto"/>
              <w:right w:val="single" w:sz="6" w:space="0" w:color="auto"/>
            </w:tcBorders>
            <w:shd w:val="clear" w:color="auto" w:fill="D9D9D9"/>
          </w:tcPr>
          <w:p w14:paraId="30625BF6" w14:textId="77777777" w:rsidR="00B707B7" w:rsidRPr="007E2312" w:rsidRDefault="00B707B7" w:rsidP="00E444B1">
            <w:pPr>
              <w:keepNext/>
              <w:jc w:val="center"/>
              <w:rPr>
                <w:sz w:val="20"/>
                <w:szCs w:val="20"/>
              </w:rPr>
            </w:pPr>
            <w:r>
              <w:rPr>
                <w:sz w:val="20"/>
                <w:szCs w:val="20"/>
              </w:rPr>
              <w:t>1.2</w:t>
            </w:r>
          </w:p>
        </w:tc>
        <w:tc>
          <w:tcPr>
            <w:tcW w:w="720" w:type="dxa"/>
            <w:tcBorders>
              <w:left w:val="single" w:sz="6" w:space="0" w:color="auto"/>
              <w:bottom w:val="single" w:sz="4" w:space="0" w:color="auto"/>
              <w:right w:val="single" w:sz="6" w:space="0" w:color="auto"/>
            </w:tcBorders>
          </w:tcPr>
          <w:p w14:paraId="486EB3A0" w14:textId="77777777" w:rsidR="00B707B7" w:rsidRPr="00F84609" w:rsidRDefault="00B707B7" w:rsidP="00E444B1">
            <w:pPr>
              <w:keepNext/>
              <w:jc w:val="center"/>
              <w:rPr>
                <w:spacing w:val="-3"/>
                <w:sz w:val="20"/>
                <w:szCs w:val="20"/>
              </w:rPr>
            </w:pPr>
            <w:r>
              <w:rPr>
                <w:spacing w:val="-3"/>
                <w:sz w:val="20"/>
                <w:szCs w:val="20"/>
              </w:rPr>
              <w:t>5</w:t>
            </w:r>
          </w:p>
        </w:tc>
        <w:tc>
          <w:tcPr>
            <w:tcW w:w="900" w:type="dxa"/>
            <w:tcBorders>
              <w:left w:val="single" w:sz="6" w:space="0" w:color="auto"/>
              <w:bottom w:val="single" w:sz="4" w:space="0" w:color="auto"/>
              <w:right w:val="single" w:sz="4" w:space="0" w:color="auto"/>
            </w:tcBorders>
          </w:tcPr>
          <w:p w14:paraId="59EDD0FF" w14:textId="77777777" w:rsidR="00B707B7" w:rsidRPr="004361AC" w:rsidRDefault="00B707B7" w:rsidP="00E444B1">
            <w:pPr>
              <w:keepNext/>
              <w:jc w:val="center"/>
              <w:rPr>
                <w:spacing w:val="-3"/>
                <w:sz w:val="20"/>
                <w:szCs w:val="20"/>
              </w:rPr>
            </w:pPr>
            <w:r>
              <w:rPr>
                <w:spacing w:val="-3"/>
                <w:sz w:val="20"/>
                <w:szCs w:val="20"/>
              </w:rPr>
              <w:t>1.1</w:t>
            </w:r>
          </w:p>
        </w:tc>
        <w:tc>
          <w:tcPr>
            <w:tcW w:w="1262" w:type="dxa"/>
            <w:tcBorders>
              <w:left w:val="single" w:sz="4" w:space="0" w:color="auto"/>
              <w:bottom w:val="single" w:sz="4" w:space="0" w:color="auto"/>
              <w:right w:val="single" w:sz="18" w:space="0" w:color="auto"/>
            </w:tcBorders>
            <w:shd w:val="clear" w:color="auto" w:fill="D9D9D9"/>
          </w:tcPr>
          <w:p w14:paraId="1377B89B" w14:textId="77777777" w:rsidR="00B707B7" w:rsidRPr="009B656A" w:rsidRDefault="00B707B7" w:rsidP="00E444B1">
            <w:pPr>
              <w:keepNext/>
              <w:jc w:val="center"/>
              <w:rPr>
                <w:spacing w:val="-3"/>
                <w:sz w:val="20"/>
                <w:szCs w:val="20"/>
              </w:rPr>
            </w:pPr>
            <w:r>
              <w:rPr>
                <w:spacing w:val="-3"/>
                <w:sz w:val="20"/>
                <w:szCs w:val="20"/>
              </w:rPr>
              <w:t>1.1</w:t>
            </w:r>
          </w:p>
        </w:tc>
      </w:tr>
      <w:tr w:rsidR="00B707B7" w:rsidRPr="00F243B2" w14:paraId="371A117C" w14:textId="77777777" w:rsidTr="00E444B1">
        <w:trPr>
          <w:jc w:val="center"/>
        </w:trPr>
        <w:tc>
          <w:tcPr>
            <w:tcW w:w="3015" w:type="dxa"/>
            <w:tcBorders>
              <w:top w:val="single" w:sz="4" w:space="0" w:color="auto"/>
              <w:left w:val="single" w:sz="18" w:space="0" w:color="auto"/>
              <w:bottom w:val="nil"/>
              <w:right w:val="single" w:sz="6" w:space="0" w:color="auto"/>
            </w:tcBorders>
          </w:tcPr>
          <w:p w14:paraId="41D2CF75" w14:textId="77777777" w:rsidR="00B707B7" w:rsidRPr="00CE4188" w:rsidRDefault="00B707B7" w:rsidP="00E444B1">
            <w:pPr>
              <w:keepNext/>
              <w:jc w:val="center"/>
              <w:rPr>
                <w:b/>
                <w:spacing w:val="-3"/>
                <w:sz w:val="20"/>
                <w:szCs w:val="20"/>
              </w:rPr>
            </w:pPr>
            <w:r w:rsidRPr="00CE4188">
              <w:rPr>
                <w:b/>
                <w:spacing w:val="-3"/>
                <w:sz w:val="20"/>
                <w:szCs w:val="20"/>
              </w:rPr>
              <w:t>Total Minority</w:t>
            </w:r>
          </w:p>
        </w:tc>
        <w:tc>
          <w:tcPr>
            <w:tcW w:w="753" w:type="dxa"/>
            <w:tcBorders>
              <w:top w:val="single" w:sz="4" w:space="0" w:color="auto"/>
              <w:left w:val="single" w:sz="6" w:space="0" w:color="auto"/>
              <w:bottom w:val="nil"/>
              <w:right w:val="single" w:sz="6" w:space="0" w:color="auto"/>
            </w:tcBorders>
          </w:tcPr>
          <w:p w14:paraId="4F6D8F59" w14:textId="77777777" w:rsidR="00B707B7" w:rsidRPr="00CE4188" w:rsidRDefault="00B707B7" w:rsidP="00E444B1">
            <w:pPr>
              <w:keepNext/>
              <w:jc w:val="center"/>
              <w:rPr>
                <w:b/>
                <w:spacing w:val="-3"/>
                <w:sz w:val="20"/>
                <w:szCs w:val="20"/>
              </w:rPr>
            </w:pPr>
            <w:r>
              <w:rPr>
                <w:b/>
                <w:spacing w:val="-3"/>
                <w:sz w:val="20"/>
                <w:szCs w:val="20"/>
              </w:rPr>
              <w:t>11</w:t>
            </w:r>
          </w:p>
        </w:tc>
        <w:tc>
          <w:tcPr>
            <w:tcW w:w="979" w:type="dxa"/>
            <w:tcBorders>
              <w:top w:val="single" w:sz="4" w:space="0" w:color="auto"/>
              <w:left w:val="single" w:sz="6" w:space="0" w:color="auto"/>
              <w:bottom w:val="nil"/>
              <w:right w:val="single" w:sz="6" w:space="0" w:color="auto"/>
            </w:tcBorders>
          </w:tcPr>
          <w:p w14:paraId="39212CFD" w14:textId="77777777" w:rsidR="00B707B7" w:rsidRPr="004361AC" w:rsidRDefault="00B707B7" w:rsidP="00E444B1">
            <w:pPr>
              <w:keepNext/>
              <w:jc w:val="center"/>
              <w:rPr>
                <w:b/>
                <w:spacing w:val="-3"/>
                <w:sz w:val="20"/>
                <w:szCs w:val="20"/>
              </w:rPr>
            </w:pPr>
            <w:r>
              <w:rPr>
                <w:b/>
                <w:spacing w:val="-3"/>
                <w:sz w:val="20"/>
                <w:szCs w:val="20"/>
              </w:rPr>
              <w:t>6.6</w:t>
            </w:r>
          </w:p>
        </w:tc>
        <w:tc>
          <w:tcPr>
            <w:tcW w:w="1168" w:type="dxa"/>
            <w:tcBorders>
              <w:top w:val="single" w:sz="4" w:space="0" w:color="auto"/>
              <w:left w:val="single" w:sz="6" w:space="0" w:color="auto"/>
              <w:bottom w:val="nil"/>
              <w:right w:val="single" w:sz="6" w:space="0" w:color="auto"/>
            </w:tcBorders>
            <w:shd w:val="clear" w:color="auto" w:fill="D9D9D9"/>
          </w:tcPr>
          <w:p w14:paraId="48C7AFB7" w14:textId="77777777" w:rsidR="00B707B7" w:rsidRPr="007E2312" w:rsidRDefault="00B707B7" w:rsidP="00E444B1">
            <w:pPr>
              <w:keepNext/>
              <w:jc w:val="center"/>
              <w:rPr>
                <w:b/>
                <w:spacing w:val="-3"/>
                <w:sz w:val="20"/>
                <w:szCs w:val="20"/>
              </w:rPr>
            </w:pPr>
            <w:r>
              <w:rPr>
                <w:b/>
                <w:spacing w:val="-3"/>
                <w:sz w:val="20"/>
                <w:szCs w:val="20"/>
              </w:rPr>
              <w:t>12.7</w:t>
            </w:r>
          </w:p>
        </w:tc>
        <w:tc>
          <w:tcPr>
            <w:tcW w:w="720" w:type="dxa"/>
            <w:tcBorders>
              <w:top w:val="single" w:sz="4" w:space="0" w:color="auto"/>
              <w:left w:val="single" w:sz="6" w:space="0" w:color="auto"/>
              <w:bottom w:val="nil"/>
              <w:right w:val="single" w:sz="6" w:space="0" w:color="auto"/>
            </w:tcBorders>
          </w:tcPr>
          <w:p w14:paraId="2FACD619" w14:textId="77777777" w:rsidR="00B707B7" w:rsidRPr="00F84609" w:rsidRDefault="00B707B7" w:rsidP="00E444B1">
            <w:pPr>
              <w:keepNext/>
              <w:jc w:val="center"/>
              <w:rPr>
                <w:b/>
                <w:spacing w:val="-3"/>
                <w:sz w:val="20"/>
                <w:szCs w:val="20"/>
              </w:rPr>
            </w:pPr>
            <w:r>
              <w:rPr>
                <w:b/>
                <w:spacing w:val="-3"/>
                <w:sz w:val="20"/>
                <w:szCs w:val="20"/>
              </w:rPr>
              <w:t>29</w:t>
            </w:r>
          </w:p>
        </w:tc>
        <w:tc>
          <w:tcPr>
            <w:tcW w:w="900" w:type="dxa"/>
            <w:tcBorders>
              <w:top w:val="single" w:sz="4" w:space="0" w:color="auto"/>
              <w:left w:val="single" w:sz="6" w:space="0" w:color="auto"/>
              <w:bottom w:val="nil"/>
              <w:right w:val="single" w:sz="4" w:space="0" w:color="auto"/>
            </w:tcBorders>
          </w:tcPr>
          <w:p w14:paraId="149E5606" w14:textId="77777777" w:rsidR="00B707B7" w:rsidRPr="004361AC" w:rsidRDefault="00B707B7" w:rsidP="00E444B1">
            <w:pPr>
              <w:keepNext/>
              <w:jc w:val="center"/>
              <w:rPr>
                <w:b/>
                <w:spacing w:val="-3"/>
                <w:sz w:val="20"/>
                <w:szCs w:val="20"/>
              </w:rPr>
            </w:pPr>
            <w:r>
              <w:rPr>
                <w:b/>
                <w:spacing w:val="-3"/>
                <w:sz w:val="20"/>
                <w:szCs w:val="20"/>
              </w:rPr>
              <w:t>6.3</w:t>
            </w:r>
          </w:p>
        </w:tc>
        <w:tc>
          <w:tcPr>
            <w:tcW w:w="1262" w:type="dxa"/>
            <w:tcBorders>
              <w:top w:val="single" w:sz="4" w:space="0" w:color="auto"/>
              <w:left w:val="single" w:sz="4" w:space="0" w:color="auto"/>
              <w:bottom w:val="nil"/>
              <w:right w:val="single" w:sz="18" w:space="0" w:color="auto"/>
            </w:tcBorders>
            <w:shd w:val="clear" w:color="auto" w:fill="D9D9D9"/>
          </w:tcPr>
          <w:p w14:paraId="1956EEF6" w14:textId="77777777" w:rsidR="00B707B7" w:rsidRPr="009B656A" w:rsidRDefault="00B707B7" w:rsidP="00E444B1">
            <w:pPr>
              <w:keepNext/>
              <w:jc w:val="center"/>
              <w:rPr>
                <w:b/>
                <w:spacing w:val="-3"/>
                <w:sz w:val="20"/>
                <w:szCs w:val="20"/>
              </w:rPr>
            </w:pPr>
            <w:r>
              <w:rPr>
                <w:b/>
                <w:spacing w:val="-3"/>
                <w:sz w:val="20"/>
                <w:szCs w:val="20"/>
              </w:rPr>
              <w:t>11.9</w:t>
            </w:r>
          </w:p>
        </w:tc>
      </w:tr>
      <w:tr w:rsidR="00B707B7" w:rsidRPr="00F243B2" w14:paraId="60350C77" w14:textId="77777777" w:rsidTr="00E444B1">
        <w:trPr>
          <w:jc w:val="center"/>
        </w:trPr>
        <w:tc>
          <w:tcPr>
            <w:tcW w:w="3015" w:type="dxa"/>
            <w:tcBorders>
              <w:left w:val="single" w:sz="18" w:space="0" w:color="auto"/>
              <w:bottom w:val="single" w:sz="4" w:space="0" w:color="auto"/>
              <w:right w:val="single" w:sz="6" w:space="0" w:color="auto"/>
            </w:tcBorders>
          </w:tcPr>
          <w:p w14:paraId="7E1D8BC6" w14:textId="77777777" w:rsidR="00B707B7" w:rsidRPr="00CE4188" w:rsidRDefault="00B707B7" w:rsidP="00E444B1">
            <w:pPr>
              <w:keepNext/>
              <w:rPr>
                <w:spacing w:val="-3"/>
                <w:sz w:val="20"/>
                <w:szCs w:val="20"/>
              </w:rPr>
            </w:pPr>
            <w:r w:rsidRPr="00CE4188">
              <w:rPr>
                <w:spacing w:val="-3"/>
                <w:sz w:val="20"/>
                <w:szCs w:val="20"/>
              </w:rPr>
              <w:t>White</w:t>
            </w:r>
          </w:p>
        </w:tc>
        <w:tc>
          <w:tcPr>
            <w:tcW w:w="753" w:type="dxa"/>
            <w:tcBorders>
              <w:left w:val="single" w:sz="6" w:space="0" w:color="auto"/>
              <w:bottom w:val="single" w:sz="4" w:space="0" w:color="auto"/>
              <w:right w:val="single" w:sz="6" w:space="0" w:color="auto"/>
            </w:tcBorders>
          </w:tcPr>
          <w:p w14:paraId="4E8820F1" w14:textId="77777777" w:rsidR="00B707B7" w:rsidRPr="00CE4188" w:rsidRDefault="00B707B7" w:rsidP="00E444B1">
            <w:pPr>
              <w:keepNext/>
              <w:jc w:val="center"/>
              <w:rPr>
                <w:spacing w:val="-3"/>
                <w:sz w:val="20"/>
                <w:szCs w:val="20"/>
              </w:rPr>
            </w:pPr>
            <w:r>
              <w:rPr>
                <w:spacing w:val="-3"/>
                <w:sz w:val="20"/>
                <w:szCs w:val="20"/>
              </w:rPr>
              <w:t>128</w:t>
            </w:r>
          </w:p>
        </w:tc>
        <w:tc>
          <w:tcPr>
            <w:tcW w:w="979" w:type="dxa"/>
            <w:tcBorders>
              <w:left w:val="single" w:sz="6" w:space="0" w:color="auto"/>
              <w:bottom w:val="single" w:sz="4" w:space="0" w:color="auto"/>
              <w:right w:val="single" w:sz="6" w:space="0" w:color="auto"/>
            </w:tcBorders>
          </w:tcPr>
          <w:p w14:paraId="57649AAF" w14:textId="77777777" w:rsidR="00B707B7" w:rsidRPr="004361AC" w:rsidRDefault="00B707B7" w:rsidP="00E444B1">
            <w:pPr>
              <w:keepNext/>
              <w:jc w:val="center"/>
              <w:rPr>
                <w:spacing w:val="-3"/>
                <w:sz w:val="20"/>
                <w:szCs w:val="20"/>
              </w:rPr>
            </w:pPr>
            <w:r>
              <w:rPr>
                <w:spacing w:val="-3"/>
                <w:sz w:val="20"/>
                <w:szCs w:val="20"/>
              </w:rPr>
              <w:t>76.6</w:t>
            </w:r>
          </w:p>
        </w:tc>
        <w:tc>
          <w:tcPr>
            <w:tcW w:w="1168" w:type="dxa"/>
            <w:tcBorders>
              <w:left w:val="single" w:sz="6" w:space="0" w:color="auto"/>
              <w:bottom w:val="single" w:sz="4" w:space="0" w:color="auto"/>
              <w:right w:val="single" w:sz="6" w:space="0" w:color="auto"/>
            </w:tcBorders>
            <w:shd w:val="clear" w:color="auto" w:fill="D9D9D9"/>
          </w:tcPr>
          <w:p w14:paraId="498F234F" w14:textId="77777777" w:rsidR="00B707B7" w:rsidRPr="007E2312" w:rsidRDefault="00B707B7" w:rsidP="00E444B1">
            <w:pPr>
              <w:keepNext/>
              <w:jc w:val="center"/>
              <w:rPr>
                <w:spacing w:val="-3"/>
                <w:sz w:val="20"/>
                <w:szCs w:val="20"/>
              </w:rPr>
            </w:pPr>
            <w:r>
              <w:rPr>
                <w:spacing w:val="-3"/>
                <w:sz w:val="20"/>
                <w:szCs w:val="20"/>
              </w:rPr>
              <w:t>66.4</w:t>
            </w:r>
          </w:p>
        </w:tc>
        <w:tc>
          <w:tcPr>
            <w:tcW w:w="720" w:type="dxa"/>
            <w:tcBorders>
              <w:left w:val="single" w:sz="6" w:space="0" w:color="auto"/>
              <w:bottom w:val="single" w:sz="4" w:space="0" w:color="auto"/>
              <w:right w:val="single" w:sz="6" w:space="0" w:color="auto"/>
            </w:tcBorders>
          </w:tcPr>
          <w:p w14:paraId="134A7195" w14:textId="77777777" w:rsidR="00B707B7" w:rsidRPr="00F84609" w:rsidRDefault="00B707B7" w:rsidP="00E444B1">
            <w:pPr>
              <w:keepNext/>
              <w:jc w:val="center"/>
              <w:rPr>
                <w:spacing w:val="-3"/>
                <w:sz w:val="20"/>
                <w:szCs w:val="20"/>
              </w:rPr>
            </w:pPr>
            <w:r>
              <w:rPr>
                <w:spacing w:val="-3"/>
                <w:sz w:val="20"/>
                <w:szCs w:val="20"/>
              </w:rPr>
              <w:t>261</w:t>
            </w:r>
          </w:p>
        </w:tc>
        <w:tc>
          <w:tcPr>
            <w:tcW w:w="900" w:type="dxa"/>
            <w:tcBorders>
              <w:left w:val="single" w:sz="6" w:space="0" w:color="auto"/>
              <w:bottom w:val="single" w:sz="4" w:space="0" w:color="auto"/>
              <w:right w:val="single" w:sz="4" w:space="0" w:color="auto"/>
            </w:tcBorders>
          </w:tcPr>
          <w:p w14:paraId="29F4197A" w14:textId="77777777" w:rsidR="00B707B7" w:rsidRPr="004361AC" w:rsidRDefault="00B707B7" w:rsidP="00E444B1">
            <w:pPr>
              <w:keepNext/>
              <w:jc w:val="center"/>
              <w:rPr>
                <w:spacing w:val="-3"/>
                <w:sz w:val="20"/>
                <w:szCs w:val="20"/>
              </w:rPr>
            </w:pPr>
            <w:r>
              <w:rPr>
                <w:spacing w:val="-3"/>
                <w:sz w:val="20"/>
                <w:szCs w:val="20"/>
              </w:rPr>
              <w:t>56.7</w:t>
            </w:r>
          </w:p>
        </w:tc>
        <w:tc>
          <w:tcPr>
            <w:tcW w:w="1262" w:type="dxa"/>
            <w:tcBorders>
              <w:left w:val="single" w:sz="4" w:space="0" w:color="auto"/>
              <w:bottom w:val="single" w:sz="4" w:space="0" w:color="auto"/>
              <w:right w:val="single" w:sz="18" w:space="0" w:color="auto"/>
            </w:tcBorders>
            <w:shd w:val="clear" w:color="auto" w:fill="D9D9D9"/>
          </w:tcPr>
          <w:p w14:paraId="14822794" w14:textId="77777777" w:rsidR="00B707B7" w:rsidRPr="009B656A" w:rsidRDefault="00B707B7" w:rsidP="00E444B1">
            <w:pPr>
              <w:keepNext/>
              <w:jc w:val="center"/>
              <w:rPr>
                <w:spacing w:val="-3"/>
                <w:sz w:val="20"/>
                <w:szCs w:val="20"/>
              </w:rPr>
            </w:pPr>
            <w:r>
              <w:rPr>
                <w:spacing w:val="-3"/>
                <w:sz w:val="20"/>
                <w:szCs w:val="20"/>
              </w:rPr>
              <w:t>65.0</w:t>
            </w:r>
          </w:p>
        </w:tc>
      </w:tr>
      <w:tr w:rsidR="00B707B7" w:rsidRPr="00F243B2" w14:paraId="3E6078CF" w14:textId="77777777" w:rsidTr="00E444B1">
        <w:trPr>
          <w:jc w:val="center"/>
        </w:trPr>
        <w:tc>
          <w:tcPr>
            <w:tcW w:w="3015" w:type="dxa"/>
            <w:tcBorders>
              <w:left w:val="single" w:sz="18" w:space="0" w:color="auto"/>
              <w:bottom w:val="single" w:sz="4" w:space="0" w:color="auto"/>
              <w:right w:val="single" w:sz="6" w:space="0" w:color="auto"/>
            </w:tcBorders>
          </w:tcPr>
          <w:p w14:paraId="6E2C17CE" w14:textId="77777777" w:rsidR="00B707B7" w:rsidRPr="00CE4188" w:rsidRDefault="00B707B7" w:rsidP="00E444B1">
            <w:pPr>
              <w:keepNext/>
              <w:rPr>
                <w:spacing w:val="-3"/>
                <w:sz w:val="20"/>
                <w:szCs w:val="20"/>
              </w:rPr>
            </w:pPr>
            <w:r w:rsidRPr="00CE4188">
              <w:rPr>
                <w:spacing w:val="-3"/>
                <w:sz w:val="20"/>
                <w:szCs w:val="20"/>
              </w:rPr>
              <w:t>Race Not Available</w:t>
            </w:r>
          </w:p>
        </w:tc>
        <w:tc>
          <w:tcPr>
            <w:tcW w:w="753" w:type="dxa"/>
            <w:tcBorders>
              <w:left w:val="single" w:sz="6" w:space="0" w:color="auto"/>
              <w:bottom w:val="single" w:sz="4" w:space="0" w:color="auto"/>
              <w:right w:val="single" w:sz="6" w:space="0" w:color="auto"/>
            </w:tcBorders>
          </w:tcPr>
          <w:p w14:paraId="2C9A2D3A" w14:textId="77777777" w:rsidR="00B707B7" w:rsidRPr="00CE4188" w:rsidRDefault="00B707B7" w:rsidP="00E444B1">
            <w:pPr>
              <w:keepNext/>
              <w:jc w:val="center"/>
              <w:rPr>
                <w:spacing w:val="-3"/>
                <w:sz w:val="20"/>
                <w:szCs w:val="20"/>
              </w:rPr>
            </w:pPr>
            <w:r>
              <w:rPr>
                <w:spacing w:val="-3"/>
                <w:sz w:val="20"/>
                <w:szCs w:val="20"/>
              </w:rPr>
              <w:t>28</w:t>
            </w:r>
          </w:p>
        </w:tc>
        <w:tc>
          <w:tcPr>
            <w:tcW w:w="979" w:type="dxa"/>
            <w:tcBorders>
              <w:left w:val="single" w:sz="6" w:space="0" w:color="auto"/>
              <w:bottom w:val="single" w:sz="4" w:space="0" w:color="auto"/>
              <w:right w:val="single" w:sz="6" w:space="0" w:color="auto"/>
            </w:tcBorders>
          </w:tcPr>
          <w:p w14:paraId="31C5D96C" w14:textId="77777777" w:rsidR="00B707B7" w:rsidRPr="004361AC" w:rsidRDefault="00B707B7" w:rsidP="00E444B1">
            <w:pPr>
              <w:keepNext/>
              <w:jc w:val="center"/>
              <w:rPr>
                <w:spacing w:val="-3"/>
                <w:sz w:val="20"/>
                <w:szCs w:val="20"/>
              </w:rPr>
            </w:pPr>
            <w:r>
              <w:rPr>
                <w:spacing w:val="-3"/>
                <w:sz w:val="20"/>
                <w:szCs w:val="20"/>
              </w:rPr>
              <w:t>16.8</w:t>
            </w:r>
          </w:p>
        </w:tc>
        <w:tc>
          <w:tcPr>
            <w:tcW w:w="1168" w:type="dxa"/>
            <w:tcBorders>
              <w:left w:val="single" w:sz="6" w:space="0" w:color="auto"/>
              <w:bottom w:val="single" w:sz="4" w:space="0" w:color="auto"/>
              <w:right w:val="single" w:sz="6" w:space="0" w:color="auto"/>
            </w:tcBorders>
            <w:shd w:val="clear" w:color="auto" w:fill="D9D9D9"/>
          </w:tcPr>
          <w:p w14:paraId="0E32C56D" w14:textId="77777777" w:rsidR="00B707B7" w:rsidRPr="007E2312" w:rsidRDefault="00B707B7" w:rsidP="00E444B1">
            <w:pPr>
              <w:keepNext/>
              <w:jc w:val="center"/>
              <w:rPr>
                <w:spacing w:val="-3"/>
                <w:sz w:val="20"/>
                <w:szCs w:val="20"/>
              </w:rPr>
            </w:pPr>
            <w:r>
              <w:rPr>
                <w:spacing w:val="-3"/>
                <w:sz w:val="20"/>
                <w:szCs w:val="20"/>
              </w:rPr>
              <w:t>20.9</w:t>
            </w:r>
          </w:p>
        </w:tc>
        <w:tc>
          <w:tcPr>
            <w:tcW w:w="720" w:type="dxa"/>
            <w:tcBorders>
              <w:left w:val="single" w:sz="6" w:space="0" w:color="auto"/>
              <w:bottom w:val="single" w:sz="4" w:space="0" w:color="auto"/>
              <w:right w:val="single" w:sz="6" w:space="0" w:color="auto"/>
            </w:tcBorders>
          </w:tcPr>
          <w:p w14:paraId="4CCC9B1F" w14:textId="77777777" w:rsidR="00B707B7" w:rsidRPr="00F84609" w:rsidRDefault="00B707B7" w:rsidP="00E444B1">
            <w:pPr>
              <w:keepNext/>
              <w:jc w:val="center"/>
              <w:rPr>
                <w:spacing w:val="-3"/>
                <w:sz w:val="20"/>
                <w:szCs w:val="20"/>
              </w:rPr>
            </w:pPr>
            <w:r>
              <w:rPr>
                <w:spacing w:val="-3"/>
                <w:sz w:val="20"/>
                <w:szCs w:val="20"/>
              </w:rPr>
              <w:t>170</w:t>
            </w:r>
          </w:p>
        </w:tc>
        <w:tc>
          <w:tcPr>
            <w:tcW w:w="900" w:type="dxa"/>
            <w:tcBorders>
              <w:left w:val="single" w:sz="6" w:space="0" w:color="auto"/>
              <w:bottom w:val="single" w:sz="4" w:space="0" w:color="auto"/>
              <w:right w:val="single" w:sz="4" w:space="0" w:color="auto"/>
            </w:tcBorders>
          </w:tcPr>
          <w:p w14:paraId="6067DAC3" w14:textId="77777777" w:rsidR="00B707B7" w:rsidRPr="004361AC" w:rsidRDefault="00B707B7" w:rsidP="00E444B1">
            <w:pPr>
              <w:keepNext/>
              <w:jc w:val="center"/>
              <w:rPr>
                <w:spacing w:val="-3"/>
                <w:sz w:val="20"/>
                <w:szCs w:val="20"/>
              </w:rPr>
            </w:pPr>
            <w:r>
              <w:rPr>
                <w:spacing w:val="-3"/>
                <w:sz w:val="20"/>
                <w:szCs w:val="20"/>
              </w:rPr>
              <w:t>37.0</w:t>
            </w:r>
          </w:p>
        </w:tc>
        <w:tc>
          <w:tcPr>
            <w:tcW w:w="1262" w:type="dxa"/>
            <w:tcBorders>
              <w:left w:val="single" w:sz="4" w:space="0" w:color="auto"/>
              <w:bottom w:val="single" w:sz="4" w:space="0" w:color="auto"/>
              <w:right w:val="single" w:sz="18" w:space="0" w:color="auto"/>
            </w:tcBorders>
            <w:shd w:val="clear" w:color="auto" w:fill="D9D9D9"/>
          </w:tcPr>
          <w:p w14:paraId="0B405744" w14:textId="77777777" w:rsidR="00B707B7" w:rsidRPr="009B656A" w:rsidRDefault="00B707B7" w:rsidP="00E444B1">
            <w:pPr>
              <w:keepNext/>
              <w:jc w:val="center"/>
              <w:rPr>
                <w:spacing w:val="-3"/>
                <w:sz w:val="20"/>
                <w:szCs w:val="20"/>
              </w:rPr>
            </w:pPr>
            <w:r>
              <w:rPr>
                <w:spacing w:val="-3"/>
                <w:sz w:val="20"/>
                <w:szCs w:val="20"/>
              </w:rPr>
              <w:t>23.1</w:t>
            </w:r>
          </w:p>
        </w:tc>
      </w:tr>
      <w:tr w:rsidR="00B707B7" w:rsidRPr="00F243B2" w14:paraId="3475AD6E" w14:textId="77777777" w:rsidTr="00E444B1">
        <w:trPr>
          <w:jc w:val="center"/>
        </w:trPr>
        <w:tc>
          <w:tcPr>
            <w:tcW w:w="3015" w:type="dxa"/>
            <w:tcBorders>
              <w:top w:val="nil"/>
              <w:left w:val="single" w:sz="18" w:space="0" w:color="auto"/>
              <w:bottom w:val="single" w:sz="18" w:space="0" w:color="auto"/>
            </w:tcBorders>
          </w:tcPr>
          <w:p w14:paraId="16078461" w14:textId="77777777" w:rsidR="00B707B7" w:rsidRPr="00CE4188" w:rsidRDefault="00B707B7" w:rsidP="00E444B1">
            <w:pPr>
              <w:keepNext/>
              <w:jc w:val="center"/>
              <w:rPr>
                <w:b/>
                <w:spacing w:val="-3"/>
                <w:sz w:val="20"/>
                <w:szCs w:val="20"/>
              </w:rPr>
            </w:pPr>
            <w:r w:rsidRPr="00CE4188">
              <w:rPr>
                <w:b/>
                <w:spacing w:val="-3"/>
                <w:sz w:val="20"/>
                <w:szCs w:val="20"/>
              </w:rPr>
              <w:t>Total</w:t>
            </w:r>
          </w:p>
        </w:tc>
        <w:tc>
          <w:tcPr>
            <w:tcW w:w="753" w:type="dxa"/>
            <w:tcBorders>
              <w:top w:val="nil"/>
              <w:bottom w:val="single" w:sz="18" w:space="0" w:color="auto"/>
            </w:tcBorders>
          </w:tcPr>
          <w:p w14:paraId="396E3549" w14:textId="77777777" w:rsidR="00B707B7" w:rsidRPr="00CE4188" w:rsidRDefault="00B707B7" w:rsidP="00E444B1">
            <w:pPr>
              <w:keepNext/>
              <w:jc w:val="center"/>
              <w:rPr>
                <w:b/>
                <w:spacing w:val="-3"/>
                <w:sz w:val="20"/>
                <w:szCs w:val="20"/>
              </w:rPr>
            </w:pPr>
            <w:r>
              <w:rPr>
                <w:b/>
                <w:spacing w:val="-3"/>
                <w:sz w:val="20"/>
                <w:szCs w:val="20"/>
              </w:rPr>
              <w:t>167</w:t>
            </w:r>
          </w:p>
        </w:tc>
        <w:tc>
          <w:tcPr>
            <w:tcW w:w="979" w:type="dxa"/>
            <w:tcBorders>
              <w:top w:val="nil"/>
              <w:bottom w:val="single" w:sz="18" w:space="0" w:color="auto"/>
              <w:right w:val="single" w:sz="4" w:space="0" w:color="auto"/>
            </w:tcBorders>
          </w:tcPr>
          <w:p w14:paraId="53FF0643" w14:textId="77777777" w:rsidR="00B707B7" w:rsidRPr="004361AC" w:rsidRDefault="00B707B7" w:rsidP="00E444B1">
            <w:pPr>
              <w:keepNext/>
              <w:jc w:val="center"/>
              <w:rPr>
                <w:b/>
                <w:spacing w:val="-3"/>
                <w:sz w:val="20"/>
                <w:szCs w:val="20"/>
              </w:rPr>
            </w:pPr>
            <w:r w:rsidRPr="004361AC">
              <w:rPr>
                <w:b/>
                <w:spacing w:val="-3"/>
                <w:sz w:val="20"/>
                <w:szCs w:val="20"/>
              </w:rPr>
              <w:t>100.0</w:t>
            </w:r>
          </w:p>
        </w:tc>
        <w:tc>
          <w:tcPr>
            <w:tcW w:w="1168" w:type="dxa"/>
            <w:tcBorders>
              <w:top w:val="nil"/>
              <w:bottom w:val="single" w:sz="18" w:space="0" w:color="auto"/>
            </w:tcBorders>
            <w:shd w:val="clear" w:color="auto" w:fill="D9D9D9"/>
          </w:tcPr>
          <w:p w14:paraId="79A022E2" w14:textId="77777777" w:rsidR="00B707B7" w:rsidRPr="007E2312" w:rsidRDefault="00B707B7" w:rsidP="00E444B1">
            <w:pPr>
              <w:keepNext/>
              <w:jc w:val="center"/>
              <w:rPr>
                <w:b/>
                <w:spacing w:val="-3"/>
                <w:sz w:val="20"/>
                <w:szCs w:val="20"/>
              </w:rPr>
            </w:pPr>
            <w:r w:rsidRPr="007E2312">
              <w:rPr>
                <w:b/>
                <w:spacing w:val="-3"/>
                <w:sz w:val="20"/>
                <w:szCs w:val="20"/>
              </w:rPr>
              <w:t>100.0</w:t>
            </w:r>
          </w:p>
        </w:tc>
        <w:tc>
          <w:tcPr>
            <w:tcW w:w="720" w:type="dxa"/>
            <w:tcBorders>
              <w:top w:val="nil"/>
              <w:bottom w:val="single" w:sz="18" w:space="0" w:color="auto"/>
            </w:tcBorders>
          </w:tcPr>
          <w:p w14:paraId="0F67438C" w14:textId="77777777" w:rsidR="00B707B7" w:rsidRPr="00F84609" w:rsidRDefault="00B707B7" w:rsidP="00E444B1">
            <w:pPr>
              <w:keepNext/>
              <w:jc w:val="center"/>
              <w:rPr>
                <w:b/>
                <w:spacing w:val="-3"/>
                <w:sz w:val="20"/>
                <w:szCs w:val="20"/>
              </w:rPr>
            </w:pPr>
            <w:r>
              <w:rPr>
                <w:b/>
                <w:spacing w:val="-3"/>
                <w:sz w:val="20"/>
                <w:szCs w:val="20"/>
              </w:rPr>
              <w:t>460</w:t>
            </w:r>
          </w:p>
        </w:tc>
        <w:tc>
          <w:tcPr>
            <w:tcW w:w="900" w:type="dxa"/>
            <w:tcBorders>
              <w:top w:val="single" w:sz="4" w:space="0" w:color="auto"/>
              <w:bottom w:val="single" w:sz="18" w:space="0" w:color="auto"/>
              <w:right w:val="single" w:sz="4" w:space="0" w:color="auto"/>
            </w:tcBorders>
          </w:tcPr>
          <w:p w14:paraId="079706B0" w14:textId="77777777" w:rsidR="00B707B7" w:rsidRPr="004361AC" w:rsidRDefault="00B707B7" w:rsidP="00E444B1">
            <w:pPr>
              <w:keepNext/>
              <w:jc w:val="center"/>
              <w:rPr>
                <w:b/>
                <w:spacing w:val="-3"/>
                <w:sz w:val="20"/>
                <w:szCs w:val="20"/>
              </w:rPr>
            </w:pPr>
            <w:r w:rsidRPr="004361AC">
              <w:rPr>
                <w:b/>
                <w:spacing w:val="-3"/>
                <w:sz w:val="20"/>
                <w:szCs w:val="20"/>
              </w:rPr>
              <w:t>100.0</w:t>
            </w:r>
          </w:p>
        </w:tc>
        <w:tc>
          <w:tcPr>
            <w:tcW w:w="1262" w:type="dxa"/>
            <w:tcBorders>
              <w:top w:val="nil"/>
              <w:left w:val="single" w:sz="4" w:space="0" w:color="auto"/>
              <w:bottom w:val="single" w:sz="18" w:space="0" w:color="auto"/>
              <w:right w:val="single" w:sz="18" w:space="0" w:color="auto"/>
            </w:tcBorders>
            <w:shd w:val="clear" w:color="auto" w:fill="D9D9D9"/>
          </w:tcPr>
          <w:p w14:paraId="47E84396" w14:textId="77777777" w:rsidR="00B707B7" w:rsidRPr="009B656A" w:rsidRDefault="00B707B7" w:rsidP="00E444B1">
            <w:pPr>
              <w:keepNext/>
              <w:jc w:val="center"/>
              <w:rPr>
                <w:b/>
                <w:spacing w:val="-3"/>
                <w:sz w:val="20"/>
                <w:szCs w:val="20"/>
              </w:rPr>
            </w:pPr>
            <w:r w:rsidRPr="009B656A">
              <w:rPr>
                <w:b/>
                <w:spacing w:val="-3"/>
                <w:sz w:val="20"/>
                <w:szCs w:val="20"/>
              </w:rPr>
              <w:t>100.0</w:t>
            </w:r>
          </w:p>
        </w:tc>
      </w:tr>
      <w:tr w:rsidR="00B707B7" w:rsidRPr="00F243B2" w14:paraId="3A515F39" w14:textId="77777777" w:rsidTr="00E444B1">
        <w:trPr>
          <w:jc w:val="center"/>
        </w:trPr>
        <w:tc>
          <w:tcPr>
            <w:tcW w:w="3015" w:type="dxa"/>
            <w:tcBorders>
              <w:top w:val="nil"/>
              <w:left w:val="single" w:sz="18" w:space="0" w:color="auto"/>
              <w:bottom w:val="single" w:sz="4" w:space="0" w:color="auto"/>
            </w:tcBorders>
          </w:tcPr>
          <w:p w14:paraId="218B29EF" w14:textId="77777777" w:rsidR="00B707B7" w:rsidRPr="00CE4188" w:rsidRDefault="00B707B7" w:rsidP="00E444B1">
            <w:pPr>
              <w:keepNext/>
              <w:jc w:val="center"/>
              <w:rPr>
                <w:b/>
                <w:spacing w:val="-3"/>
                <w:sz w:val="20"/>
                <w:szCs w:val="20"/>
              </w:rPr>
            </w:pPr>
            <w:r w:rsidRPr="00CE4188">
              <w:rPr>
                <w:b/>
                <w:spacing w:val="-3"/>
                <w:sz w:val="20"/>
                <w:szCs w:val="20"/>
              </w:rPr>
              <w:t>ETHNICITY</w:t>
            </w:r>
          </w:p>
        </w:tc>
        <w:tc>
          <w:tcPr>
            <w:tcW w:w="753" w:type="dxa"/>
            <w:tcBorders>
              <w:top w:val="nil"/>
              <w:bottom w:val="single" w:sz="4" w:space="0" w:color="auto"/>
            </w:tcBorders>
          </w:tcPr>
          <w:p w14:paraId="72D4688C" w14:textId="77777777" w:rsidR="00B707B7" w:rsidRPr="00CE4188" w:rsidRDefault="00B707B7" w:rsidP="00E444B1">
            <w:pPr>
              <w:keepNext/>
              <w:jc w:val="center"/>
              <w:rPr>
                <w:b/>
                <w:spacing w:val="-3"/>
                <w:sz w:val="20"/>
                <w:szCs w:val="20"/>
              </w:rPr>
            </w:pPr>
          </w:p>
        </w:tc>
        <w:tc>
          <w:tcPr>
            <w:tcW w:w="979" w:type="dxa"/>
            <w:tcBorders>
              <w:top w:val="nil"/>
              <w:bottom w:val="single" w:sz="4" w:space="0" w:color="auto"/>
              <w:right w:val="single" w:sz="4" w:space="0" w:color="auto"/>
            </w:tcBorders>
          </w:tcPr>
          <w:p w14:paraId="59BBC1F0" w14:textId="77777777" w:rsidR="00B707B7" w:rsidRPr="004361AC" w:rsidRDefault="00B707B7" w:rsidP="00E444B1">
            <w:pPr>
              <w:keepNext/>
              <w:jc w:val="center"/>
              <w:rPr>
                <w:b/>
                <w:spacing w:val="-3"/>
                <w:sz w:val="20"/>
                <w:szCs w:val="20"/>
              </w:rPr>
            </w:pPr>
          </w:p>
        </w:tc>
        <w:tc>
          <w:tcPr>
            <w:tcW w:w="1168" w:type="dxa"/>
            <w:tcBorders>
              <w:top w:val="nil"/>
              <w:bottom w:val="single" w:sz="4" w:space="0" w:color="auto"/>
            </w:tcBorders>
            <w:shd w:val="clear" w:color="auto" w:fill="D9D9D9"/>
          </w:tcPr>
          <w:p w14:paraId="130BF06D" w14:textId="77777777" w:rsidR="00B707B7" w:rsidRPr="007E2312" w:rsidRDefault="00B707B7" w:rsidP="00E444B1">
            <w:pPr>
              <w:keepNext/>
              <w:jc w:val="center"/>
              <w:rPr>
                <w:b/>
                <w:spacing w:val="-3"/>
                <w:sz w:val="20"/>
                <w:szCs w:val="20"/>
              </w:rPr>
            </w:pPr>
          </w:p>
        </w:tc>
        <w:tc>
          <w:tcPr>
            <w:tcW w:w="720" w:type="dxa"/>
            <w:tcBorders>
              <w:top w:val="nil"/>
              <w:bottom w:val="single" w:sz="4" w:space="0" w:color="auto"/>
            </w:tcBorders>
          </w:tcPr>
          <w:p w14:paraId="4C135013" w14:textId="77777777" w:rsidR="00B707B7" w:rsidRPr="00F84609" w:rsidRDefault="00B707B7" w:rsidP="00E444B1">
            <w:pPr>
              <w:keepNext/>
              <w:jc w:val="center"/>
              <w:rPr>
                <w:b/>
                <w:spacing w:val="-3"/>
                <w:sz w:val="20"/>
                <w:szCs w:val="20"/>
              </w:rPr>
            </w:pPr>
          </w:p>
        </w:tc>
        <w:tc>
          <w:tcPr>
            <w:tcW w:w="900" w:type="dxa"/>
            <w:tcBorders>
              <w:top w:val="single" w:sz="18" w:space="0" w:color="auto"/>
              <w:bottom w:val="single" w:sz="4" w:space="0" w:color="auto"/>
              <w:right w:val="single" w:sz="4" w:space="0" w:color="auto"/>
            </w:tcBorders>
          </w:tcPr>
          <w:p w14:paraId="1BF3D7E0" w14:textId="77777777" w:rsidR="00B707B7" w:rsidRPr="004361AC" w:rsidRDefault="00B707B7" w:rsidP="00E444B1">
            <w:pPr>
              <w:keepNext/>
              <w:jc w:val="center"/>
              <w:rPr>
                <w:b/>
                <w:spacing w:val="-3"/>
                <w:sz w:val="20"/>
                <w:szCs w:val="20"/>
              </w:rPr>
            </w:pPr>
          </w:p>
        </w:tc>
        <w:tc>
          <w:tcPr>
            <w:tcW w:w="1262" w:type="dxa"/>
            <w:tcBorders>
              <w:top w:val="nil"/>
              <w:left w:val="single" w:sz="4" w:space="0" w:color="auto"/>
              <w:bottom w:val="single" w:sz="4" w:space="0" w:color="auto"/>
              <w:right w:val="single" w:sz="18" w:space="0" w:color="auto"/>
            </w:tcBorders>
            <w:shd w:val="clear" w:color="auto" w:fill="D9D9D9"/>
          </w:tcPr>
          <w:p w14:paraId="74AD6039" w14:textId="77777777" w:rsidR="00B707B7" w:rsidRPr="009B656A" w:rsidRDefault="00B707B7" w:rsidP="00E444B1">
            <w:pPr>
              <w:keepNext/>
              <w:jc w:val="center"/>
              <w:rPr>
                <w:b/>
                <w:spacing w:val="-3"/>
                <w:sz w:val="20"/>
                <w:szCs w:val="20"/>
              </w:rPr>
            </w:pPr>
          </w:p>
        </w:tc>
      </w:tr>
      <w:tr w:rsidR="00B707B7" w:rsidRPr="00F243B2" w14:paraId="21E83D6C" w14:textId="77777777" w:rsidTr="00E444B1">
        <w:trPr>
          <w:jc w:val="center"/>
        </w:trPr>
        <w:tc>
          <w:tcPr>
            <w:tcW w:w="3015" w:type="dxa"/>
            <w:tcBorders>
              <w:top w:val="single" w:sz="4" w:space="0" w:color="auto"/>
              <w:left w:val="single" w:sz="18" w:space="0" w:color="auto"/>
              <w:bottom w:val="single" w:sz="4" w:space="0" w:color="auto"/>
            </w:tcBorders>
          </w:tcPr>
          <w:p w14:paraId="5EBED291" w14:textId="77777777" w:rsidR="00B707B7" w:rsidRPr="00CE4188" w:rsidRDefault="00B707B7" w:rsidP="00E444B1">
            <w:pPr>
              <w:keepNext/>
              <w:rPr>
                <w:spacing w:val="-3"/>
                <w:sz w:val="20"/>
                <w:szCs w:val="20"/>
              </w:rPr>
            </w:pPr>
            <w:r w:rsidRPr="00CE4188">
              <w:rPr>
                <w:spacing w:val="-3"/>
                <w:sz w:val="20"/>
                <w:szCs w:val="20"/>
              </w:rPr>
              <w:t>Hispanic or Latino</w:t>
            </w:r>
          </w:p>
        </w:tc>
        <w:tc>
          <w:tcPr>
            <w:tcW w:w="753" w:type="dxa"/>
            <w:tcBorders>
              <w:top w:val="single" w:sz="4" w:space="0" w:color="auto"/>
              <w:bottom w:val="single" w:sz="4" w:space="0" w:color="auto"/>
            </w:tcBorders>
          </w:tcPr>
          <w:p w14:paraId="59A0DBBE" w14:textId="77777777" w:rsidR="00B707B7" w:rsidRPr="00CE4188" w:rsidRDefault="00B707B7" w:rsidP="00E444B1">
            <w:pPr>
              <w:keepNext/>
              <w:jc w:val="center"/>
              <w:rPr>
                <w:spacing w:val="-3"/>
                <w:sz w:val="20"/>
                <w:szCs w:val="20"/>
              </w:rPr>
            </w:pPr>
            <w:r>
              <w:rPr>
                <w:spacing w:val="-3"/>
                <w:sz w:val="20"/>
                <w:szCs w:val="20"/>
              </w:rPr>
              <w:t>3</w:t>
            </w:r>
          </w:p>
        </w:tc>
        <w:tc>
          <w:tcPr>
            <w:tcW w:w="979" w:type="dxa"/>
            <w:tcBorders>
              <w:top w:val="single" w:sz="4" w:space="0" w:color="auto"/>
              <w:bottom w:val="single" w:sz="4" w:space="0" w:color="auto"/>
              <w:right w:val="single" w:sz="4" w:space="0" w:color="auto"/>
            </w:tcBorders>
          </w:tcPr>
          <w:p w14:paraId="0B1AE46A" w14:textId="77777777" w:rsidR="00B707B7" w:rsidRPr="004361AC" w:rsidRDefault="00B707B7" w:rsidP="00E444B1">
            <w:pPr>
              <w:keepNext/>
              <w:jc w:val="center"/>
              <w:rPr>
                <w:spacing w:val="-3"/>
                <w:sz w:val="20"/>
                <w:szCs w:val="20"/>
              </w:rPr>
            </w:pPr>
            <w:r>
              <w:rPr>
                <w:spacing w:val="-3"/>
                <w:sz w:val="20"/>
                <w:szCs w:val="20"/>
              </w:rPr>
              <w:t>1.8</w:t>
            </w:r>
          </w:p>
        </w:tc>
        <w:tc>
          <w:tcPr>
            <w:tcW w:w="1168" w:type="dxa"/>
            <w:tcBorders>
              <w:top w:val="single" w:sz="4" w:space="0" w:color="auto"/>
              <w:bottom w:val="single" w:sz="4" w:space="0" w:color="auto"/>
            </w:tcBorders>
            <w:shd w:val="clear" w:color="auto" w:fill="D9D9D9"/>
          </w:tcPr>
          <w:p w14:paraId="21B96890" w14:textId="77777777" w:rsidR="00B707B7" w:rsidRPr="007E2312" w:rsidRDefault="00B707B7" w:rsidP="00E444B1">
            <w:pPr>
              <w:keepNext/>
              <w:jc w:val="center"/>
              <w:rPr>
                <w:spacing w:val="-3"/>
                <w:sz w:val="20"/>
                <w:szCs w:val="20"/>
              </w:rPr>
            </w:pPr>
            <w:r>
              <w:rPr>
                <w:spacing w:val="-3"/>
                <w:sz w:val="20"/>
                <w:szCs w:val="20"/>
              </w:rPr>
              <w:t>3.6</w:t>
            </w:r>
          </w:p>
        </w:tc>
        <w:tc>
          <w:tcPr>
            <w:tcW w:w="720" w:type="dxa"/>
            <w:tcBorders>
              <w:top w:val="single" w:sz="4" w:space="0" w:color="auto"/>
              <w:bottom w:val="single" w:sz="4" w:space="0" w:color="auto"/>
            </w:tcBorders>
          </w:tcPr>
          <w:p w14:paraId="60ED1CAD" w14:textId="77777777" w:rsidR="00B707B7" w:rsidRPr="00F84609" w:rsidRDefault="00B707B7" w:rsidP="00E444B1">
            <w:pPr>
              <w:keepNext/>
              <w:jc w:val="center"/>
              <w:rPr>
                <w:spacing w:val="-3"/>
                <w:sz w:val="20"/>
                <w:szCs w:val="20"/>
              </w:rPr>
            </w:pPr>
            <w:r>
              <w:rPr>
                <w:spacing w:val="-3"/>
                <w:sz w:val="20"/>
                <w:szCs w:val="20"/>
              </w:rPr>
              <w:t>2</w:t>
            </w:r>
          </w:p>
        </w:tc>
        <w:tc>
          <w:tcPr>
            <w:tcW w:w="900" w:type="dxa"/>
            <w:tcBorders>
              <w:top w:val="single" w:sz="4" w:space="0" w:color="auto"/>
              <w:bottom w:val="single" w:sz="4" w:space="0" w:color="auto"/>
              <w:right w:val="single" w:sz="4" w:space="0" w:color="auto"/>
            </w:tcBorders>
          </w:tcPr>
          <w:p w14:paraId="0371F3D1" w14:textId="77777777" w:rsidR="00B707B7" w:rsidRPr="004361AC" w:rsidRDefault="00B707B7" w:rsidP="00E444B1">
            <w:pPr>
              <w:keepNext/>
              <w:jc w:val="center"/>
              <w:rPr>
                <w:spacing w:val="-3"/>
                <w:sz w:val="20"/>
                <w:szCs w:val="20"/>
              </w:rPr>
            </w:pPr>
            <w:r>
              <w:rPr>
                <w:spacing w:val="-3"/>
                <w:sz w:val="20"/>
                <w:szCs w:val="20"/>
              </w:rPr>
              <w:t>0.4</w:t>
            </w:r>
          </w:p>
        </w:tc>
        <w:tc>
          <w:tcPr>
            <w:tcW w:w="1262" w:type="dxa"/>
            <w:tcBorders>
              <w:top w:val="single" w:sz="4" w:space="0" w:color="auto"/>
              <w:left w:val="single" w:sz="4" w:space="0" w:color="auto"/>
              <w:bottom w:val="single" w:sz="4" w:space="0" w:color="auto"/>
              <w:right w:val="single" w:sz="18" w:space="0" w:color="auto"/>
            </w:tcBorders>
            <w:shd w:val="clear" w:color="auto" w:fill="D9D9D9"/>
          </w:tcPr>
          <w:p w14:paraId="45A339AB" w14:textId="77777777" w:rsidR="00B707B7" w:rsidRPr="009B656A" w:rsidRDefault="00B707B7" w:rsidP="00E444B1">
            <w:pPr>
              <w:keepNext/>
              <w:jc w:val="center"/>
              <w:rPr>
                <w:spacing w:val="-3"/>
                <w:sz w:val="20"/>
                <w:szCs w:val="20"/>
              </w:rPr>
            </w:pPr>
            <w:r>
              <w:rPr>
                <w:spacing w:val="-3"/>
                <w:sz w:val="20"/>
                <w:szCs w:val="20"/>
              </w:rPr>
              <w:t>3.4</w:t>
            </w:r>
          </w:p>
        </w:tc>
      </w:tr>
      <w:tr w:rsidR="00B707B7" w:rsidRPr="00F243B2" w14:paraId="243F1C1E" w14:textId="77777777" w:rsidTr="00E444B1">
        <w:trPr>
          <w:jc w:val="center"/>
        </w:trPr>
        <w:tc>
          <w:tcPr>
            <w:tcW w:w="3015" w:type="dxa"/>
            <w:tcBorders>
              <w:top w:val="single" w:sz="4" w:space="0" w:color="auto"/>
              <w:left w:val="single" w:sz="18" w:space="0" w:color="auto"/>
              <w:bottom w:val="single" w:sz="4" w:space="0" w:color="auto"/>
            </w:tcBorders>
          </w:tcPr>
          <w:p w14:paraId="65892C14" w14:textId="77777777" w:rsidR="00B707B7" w:rsidRPr="00CE4188" w:rsidRDefault="00B707B7" w:rsidP="00E444B1">
            <w:pPr>
              <w:keepNext/>
              <w:rPr>
                <w:spacing w:val="-3"/>
                <w:sz w:val="20"/>
                <w:szCs w:val="20"/>
              </w:rPr>
            </w:pPr>
            <w:r w:rsidRPr="00CE4188">
              <w:rPr>
                <w:spacing w:val="-3"/>
                <w:sz w:val="20"/>
                <w:szCs w:val="20"/>
              </w:rPr>
              <w:t>Not Hispanic or Latino</w:t>
            </w:r>
          </w:p>
        </w:tc>
        <w:tc>
          <w:tcPr>
            <w:tcW w:w="753" w:type="dxa"/>
            <w:tcBorders>
              <w:top w:val="single" w:sz="4" w:space="0" w:color="auto"/>
              <w:bottom w:val="single" w:sz="4" w:space="0" w:color="auto"/>
            </w:tcBorders>
          </w:tcPr>
          <w:p w14:paraId="5A6CDEEB" w14:textId="77777777" w:rsidR="00B707B7" w:rsidRPr="00CE4188" w:rsidRDefault="00B707B7" w:rsidP="00E444B1">
            <w:pPr>
              <w:keepNext/>
              <w:jc w:val="center"/>
              <w:rPr>
                <w:spacing w:val="-3"/>
                <w:sz w:val="20"/>
                <w:szCs w:val="20"/>
              </w:rPr>
            </w:pPr>
            <w:r>
              <w:rPr>
                <w:spacing w:val="-3"/>
                <w:sz w:val="20"/>
                <w:szCs w:val="20"/>
              </w:rPr>
              <w:t>126</w:t>
            </w:r>
          </w:p>
        </w:tc>
        <w:tc>
          <w:tcPr>
            <w:tcW w:w="979" w:type="dxa"/>
            <w:tcBorders>
              <w:top w:val="single" w:sz="4" w:space="0" w:color="auto"/>
              <w:bottom w:val="single" w:sz="4" w:space="0" w:color="auto"/>
              <w:right w:val="single" w:sz="4" w:space="0" w:color="auto"/>
            </w:tcBorders>
          </w:tcPr>
          <w:p w14:paraId="1DB0CD8B" w14:textId="77777777" w:rsidR="00B707B7" w:rsidRPr="004361AC" w:rsidRDefault="00B707B7" w:rsidP="00E444B1">
            <w:pPr>
              <w:keepNext/>
              <w:jc w:val="center"/>
              <w:rPr>
                <w:spacing w:val="-3"/>
                <w:sz w:val="20"/>
                <w:szCs w:val="20"/>
              </w:rPr>
            </w:pPr>
            <w:r>
              <w:rPr>
                <w:spacing w:val="-3"/>
                <w:sz w:val="20"/>
                <w:szCs w:val="20"/>
              </w:rPr>
              <w:t>75.4</w:t>
            </w:r>
          </w:p>
        </w:tc>
        <w:tc>
          <w:tcPr>
            <w:tcW w:w="1168" w:type="dxa"/>
            <w:tcBorders>
              <w:top w:val="single" w:sz="4" w:space="0" w:color="auto"/>
              <w:bottom w:val="single" w:sz="4" w:space="0" w:color="auto"/>
            </w:tcBorders>
            <w:shd w:val="clear" w:color="auto" w:fill="D9D9D9"/>
          </w:tcPr>
          <w:p w14:paraId="22C9FDC1" w14:textId="77777777" w:rsidR="00B707B7" w:rsidRPr="007E2312" w:rsidRDefault="00B707B7" w:rsidP="00E444B1">
            <w:pPr>
              <w:keepNext/>
              <w:jc w:val="center"/>
              <w:rPr>
                <w:spacing w:val="-3"/>
                <w:sz w:val="20"/>
                <w:szCs w:val="20"/>
              </w:rPr>
            </w:pPr>
            <w:r>
              <w:rPr>
                <w:spacing w:val="-3"/>
                <w:sz w:val="20"/>
                <w:szCs w:val="20"/>
              </w:rPr>
              <w:t>74.3</w:t>
            </w:r>
          </w:p>
        </w:tc>
        <w:tc>
          <w:tcPr>
            <w:tcW w:w="720" w:type="dxa"/>
            <w:tcBorders>
              <w:top w:val="single" w:sz="4" w:space="0" w:color="auto"/>
              <w:bottom w:val="single" w:sz="4" w:space="0" w:color="auto"/>
            </w:tcBorders>
          </w:tcPr>
          <w:p w14:paraId="3A1887B1" w14:textId="77777777" w:rsidR="00B707B7" w:rsidRPr="00F84609" w:rsidRDefault="00B707B7" w:rsidP="00E444B1">
            <w:pPr>
              <w:keepNext/>
              <w:jc w:val="center"/>
              <w:rPr>
                <w:spacing w:val="-3"/>
                <w:sz w:val="20"/>
                <w:szCs w:val="20"/>
              </w:rPr>
            </w:pPr>
            <w:r>
              <w:rPr>
                <w:spacing w:val="-3"/>
                <w:sz w:val="20"/>
                <w:szCs w:val="20"/>
              </w:rPr>
              <w:t>264</w:t>
            </w:r>
          </w:p>
        </w:tc>
        <w:tc>
          <w:tcPr>
            <w:tcW w:w="900" w:type="dxa"/>
            <w:tcBorders>
              <w:top w:val="single" w:sz="4" w:space="0" w:color="auto"/>
              <w:bottom w:val="single" w:sz="4" w:space="0" w:color="auto"/>
              <w:right w:val="single" w:sz="4" w:space="0" w:color="auto"/>
            </w:tcBorders>
          </w:tcPr>
          <w:p w14:paraId="5A1A5C14" w14:textId="77777777" w:rsidR="00B707B7" w:rsidRPr="004361AC" w:rsidRDefault="00B707B7" w:rsidP="00E444B1">
            <w:pPr>
              <w:keepNext/>
              <w:jc w:val="center"/>
              <w:rPr>
                <w:spacing w:val="-3"/>
                <w:sz w:val="20"/>
                <w:szCs w:val="20"/>
              </w:rPr>
            </w:pPr>
            <w:r>
              <w:rPr>
                <w:spacing w:val="-3"/>
                <w:sz w:val="20"/>
                <w:szCs w:val="20"/>
              </w:rPr>
              <w:t>57.4</w:t>
            </w:r>
          </w:p>
        </w:tc>
        <w:tc>
          <w:tcPr>
            <w:tcW w:w="1262" w:type="dxa"/>
            <w:tcBorders>
              <w:top w:val="single" w:sz="4" w:space="0" w:color="auto"/>
              <w:left w:val="single" w:sz="4" w:space="0" w:color="auto"/>
              <w:bottom w:val="single" w:sz="4" w:space="0" w:color="auto"/>
              <w:right w:val="single" w:sz="18" w:space="0" w:color="auto"/>
            </w:tcBorders>
            <w:shd w:val="clear" w:color="auto" w:fill="D9D9D9"/>
          </w:tcPr>
          <w:p w14:paraId="404B4FBF" w14:textId="77777777" w:rsidR="00B707B7" w:rsidRPr="009B656A" w:rsidRDefault="00B707B7" w:rsidP="00E444B1">
            <w:pPr>
              <w:keepNext/>
              <w:jc w:val="center"/>
              <w:rPr>
                <w:spacing w:val="-3"/>
                <w:sz w:val="20"/>
                <w:szCs w:val="20"/>
              </w:rPr>
            </w:pPr>
            <w:r>
              <w:rPr>
                <w:spacing w:val="-3"/>
                <w:sz w:val="20"/>
                <w:szCs w:val="20"/>
              </w:rPr>
              <w:t>72.1</w:t>
            </w:r>
          </w:p>
        </w:tc>
      </w:tr>
      <w:tr w:rsidR="00B707B7" w:rsidRPr="00F243B2" w14:paraId="7DDC5DBC" w14:textId="77777777" w:rsidTr="00E444B1">
        <w:trPr>
          <w:jc w:val="center"/>
        </w:trPr>
        <w:tc>
          <w:tcPr>
            <w:tcW w:w="3015" w:type="dxa"/>
            <w:tcBorders>
              <w:top w:val="single" w:sz="4" w:space="0" w:color="auto"/>
              <w:left w:val="single" w:sz="18" w:space="0" w:color="auto"/>
              <w:bottom w:val="single" w:sz="4" w:space="0" w:color="auto"/>
            </w:tcBorders>
          </w:tcPr>
          <w:p w14:paraId="24267A8D" w14:textId="77777777" w:rsidR="00B707B7" w:rsidRPr="00CE4188" w:rsidRDefault="00B707B7" w:rsidP="00E444B1">
            <w:pPr>
              <w:keepNext/>
              <w:rPr>
                <w:spacing w:val="-3"/>
                <w:sz w:val="20"/>
                <w:szCs w:val="20"/>
              </w:rPr>
            </w:pPr>
            <w:r w:rsidRPr="00CE4188">
              <w:rPr>
                <w:spacing w:val="-3"/>
                <w:sz w:val="20"/>
                <w:szCs w:val="20"/>
              </w:rPr>
              <w:t>Joint (Hisp/Lat /Not Hisp/Lat)</w:t>
            </w:r>
          </w:p>
        </w:tc>
        <w:tc>
          <w:tcPr>
            <w:tcW w:w="753" w:type="dxa"/>
            <w:tcBorders>
              <w:top w:val="single" w:sz="4" w:space="0" w:color="auto"/>
              <w:bottom w:val="single" w:sz="4" w:space="0" w:color="auto"/>
            </w:tcBorders>
          </w:tcPr>
          <w:p w14:paraId="733829EB" w14:textId="77777777" w:rsidR="00B707B7" w:rsidRPr="00CE4188" w:rsidRDefault="00B707B7" w:rsidP="00E444B1">
            <w:pPr>
              <w:keepNext/>
              <w:jc w:val="center"/>
              <w:rPr>
                <w:spacing w:val="-3"/>
                <w:sz w:val="20"/>
                <w:szCs w:val="20"/>
              </w:rPr>
            </w:pPr>
            <w:r>
              <w:rPr>
                <w:spacing w:val="-3"/>
                <w:sz w:val="20"/>
                <w:szCs w:val="20"/>
              </w:rPr>
              <w:t>1</w:t>
            </w:r>
          </w:p>
        </w:tc>
        <w:tc>
          <w:tcPr>
            <w:tcW w:w="979" w:type="dxa"/>
            <w:tcBorders>
              <w:top w:val="single" w:sz="4" w:space="0" w:color="auto"/>
              <w:bottom w:val="single" w:sz="4" w:space="0" w:color="auto"/>
              <w:right w:val="single" w:sz="4" w:space="0" w:color="auto"/>
            </w:tcBorders>
          </w:tcPr>
          <w:p w14:paraId="4CAD0D23" w14:textId="77777777" w:rsidR="00B707B7" w:rsidRPr="004361AC" w:rsidRDefault="00B707B7" w:rsidP="00E444B1">
            <w:pPr>
              <w:keepNext/>
              <w:jc w:val="center"/>
              <w:rPr>
                <w:spacing w:val="-3"/>
                <w:sz w:val="20"/>
                <w:szCs w:val="20"/>
              </w:rPr>
            </w:pPr>
            <w:r>
              <w:rPr>
                <w:spacing w:val="-3"/>
                <w:sz w:val="20"/>
                <w:szCs w:val="20"/>
              </w:rPr>
              <w:t>0.6</w:t>
            </w:r>
          </w:p>
        </w:tc>
        <w:tc>
          <w:tcPr>
            <w:tcW w:w="1168" w:type="dxa"/>
            <w:tcBorders>
              <w:top w:val="single" w:sz="4" w:space="0" w:color="auto"/>
              <w:bottom w:val="single" w:sz="4" w:space="0" w:color="auto"/>
            </w:tcBorders>
            <w:shd w:val="clear" w:color="auto" w:fill="D9D9D9"/>
          </w:tcPr>
          <w:p w14:paraId="25DDDFCB" w14:textId="77777777" w:rsidR="00B707B7" w:rsidRPr="007E2312" w:rsidRDefault="00B707B7" w:rsidP="00E444B1">
            <w:pPr>
              <w:keepNext/>
              <w:jc w:val="center"/>
              <w:rPr>
                <w:spacing w:val="-3"/>
                <w:sz w:val="20"/>
                <w:szCs w:val="20"/>
              </w:rPr>
            </w:pPr>
            <w:r>
              <w:rPr>
                <w:spacing w:val="-3"/>
                <w:sz w:val="20"/>
                <w:szCs w:val="20"/>
              </w:rPr>
              <w:t>0.9</w:t>
            </w:r>
          </w:p>
        </w:tc>
        <w:tc>
          <w:tcPr>
            <w:tcW w:w="720" w:type="dxa"/>
            <w:tcBorders>
              <w:top w:val="single" w:sz="4" w:space="0" w:color="auto"/>
              <w:bottom w:val="single" w:sz="4" w:space="0" w:color="auto"/>
            </w:tcBorders>
          </w:tcPr>
          <w:p w14:paraId="4BDF2DAF" w14:textId="77777777" w:rsidR="00B707B7" w:rsidRPr="00F84609" w:rsidRDefault="00B707B7" w:rsidP="00E444B1">
            <w:pPr>
              <w:keepNext/>
              <w:jc w:val="center"/>
              <w:rPr>
                <w:spacing w:val="-3"/>
                <w:sz w:val="20"/>
                <w:szCs w:val="20"/>
              </w:rPr>
            </w:pPr>
            <w:r>
              <w:rPr>
                <w:spacing w:val="-3"/>
                <w:sz w:val="20"/>
                <w:szCs w:val="20"/>
              </w:rPr>
              <w:t>5</w:t>
            </w:r>
          </w:p>
        </w:tc>
        <w:tc>
          <w:tcPr>
            <w:tcW w:w="900" w:type="dxa"/>
            <w:tcBorders>
              <w:top w:val="single" w:sz="4" w:space="0" w:color="auto"/>
              <w:bottom w:val="single" w:sz="4" w:space="0" w:color="auto"/>
              <w:right w:val="single" w:sz="4" w:space="0" w:color="auto"/>
            </w:tcBorders>
          </w:tcPr>
          <w:p w14:paraId="4BE88297" w14:textId="77777777" w:rsidR="00B707B7" w:rsidRPr="004361AC" w:rsidRDefault="00B707B7" w:rsidP="00E444B1">
            <w:pPr>
              <w:keepNext/>
              <w:jc w:val="center"/>
              <w:rPr>
                <w:spacing w:val="-3"/>
                <w:sz w:val="20"/>
                <w:szCs w:val="20"/>
              </w:rPr>
            </w:pPr>
            <w:r>
              <w:rPr>
                <w:spacing w:val="-3"/>
                <w:sz w:val="20"/>
                <w:szCs w:val="20"/>
              </w:rPr>
              <w:t>1.1</w:t>
            </w:r>
          </w:p>
        </w:tc>
        <w:tc>
          <w:tcPr>
            <w:tcW w:w="1262" w:type="dxa"/>
            <w:tcBorders>
              <w:top w:val="single" w:sz="4" w:space="0" w:color="auto"/>
              <w:left w:val="single" w:sz="4" w:space="0" w:color="auto"/>
              <w:bottom w:val="single" w:sz="4" w:space="0" w:color="auto"/>
              <w:right w:val="single" w:sz="18" w:space="0" w:color="auto"/>
            </w:tcBorders>
            <w:shd w:val="clear" w:color="auto" w:fill="D9D9D9"/>
          </w:tcPr>
          <w:p w14:paraId="31E6C9E6" w14:textId="77777777" w:rsidR="00B707B7" w:rsidRPr="009B656A" w:rsidRDefault="00B707B7" w:rsidP="00E444B1">
            <w:pPr>
              <w:keepNext/>
              <w:jc w:val="center"/>
              <w:rPr>
                <w:spacing w:val="-3"/>
                <w:sz w:val="20"/>
                <w:szCs w:val="20"/>
              </w:rPr>
            </w:pPr>
            <w:r>
              <w:rPr>
                <w:spacing w:val="-3"/>
                <w:sz w:val="20"/>
                <w:szCs w:val="20"/>
              </w:rPr>
              <w:t>1.0</w:t>
            </w:r>
          </w:p>
        </w:tc>
      </w:tr>
      <w:tr w:rsidR="00B707B7" w:rsidRPr="00F243B2" w14:paraId="2370F8DF" w14:textId="77777777" w:rsidTr="00E444B1">
        <w:trPr>
          <w:jc w:val="center"/>
        </w:trPr>
        <w:tc>
          <w:tcPr>
            <w:tcW w:w="3015" w:type="dxa"/>
            <w:tcBorders>
              <w:top w:val="single" w:sz="4" w:space="0" w:color="auto"/>
              <w:left w:val="single" w:sz="18" w:space="0" w:color="auto"/>
              <w:bottom w:val="single" w:sz="18" w:space="0" w:color="auto"/>
            </w:tcBorders>
          </w:tcPr>
          <w:p w14:paraId="0A04E5B1" w14:textId="77777777" w:rsidR="00B707B7" w:rsidRPr="00CE4188" w:rsidRDefault="00B707B7" w:rsidP="00E444B1">
            <w:pPr>
              <w:keepNext/>
              <w:rPr>
                <w:spacing w:val="-3"/>
                <w:sz w:val="20"/>
                <w:szCs w:val="20"/>
              </w:rPr>
            </w:pPr>
            <w:r w:rsidRPr="00CE4188">
              <w:rPr>
                <w:spacing w:val="-3"/>
                <w:sz w:val="20"/>
                <w:szCs w:val="20"/>
              </w:rPr>
              <w:t>Ethnicity Not Available</w:t>
            </w:r>
          </w:p>
        </w:tc>
        <w:tc>
          <w:tcPr>
            <w:tcW w:w="753" w:type="dxa"/>
            <w:tcBorders>
              <w:top w:val="single" w:sz="4" w:space="0" w:color="auto"/>
              <w:bottom w:val="single" w:sz="18" w:space="0" w:color="auto"/>
            </w:tcBorders>
          </w:tcPr>
          <w:p w14:paraId="78EC7C75" w14:textId="77777777" w:rsidR="00B707B7" w:rsidRPr="00CE4188" w:rsidRDefault="00B707B7" w:rsidP="00E444B1">
            <w:pPr>
              <w:keepNext/>
              <w:jc w:val="center"/>
              <w:rPr>
                <w:spacing w:val="-3"/>
                <w:sz w:val="20"/>
                <w:szCs w:val="20"/>
              </w:rPr>
            </w:pPr>
            <w:r>
              <w:rPr>
                <w:spacing w:val="-3"/>
                <w:sz w:val="20"/>
                <w:szCs w:val="20"/>
              </w:rPr>
              <w:t>37</w:t>
            </w:r>
          </w:p>
        </w:tc>
        <w:tc>
          <w:tcPr>
            <w:tcW w:w="979" w:type="dxa"/>
            <w:tcBorders>
              <w:top w:val="single" w:sz="4" w:space="0" w:color="auto"/>
              <w:bottom w:val="single" w:sz="18" w:space="0" w:color="auto"/>
              <w:right w:val="single" w:sz="4" w:space="0" w:color="auto"/>
            </w:tcBorders>
          </w:tcPr>
          <w:p w14:paraId="236F8772" w14:textId="77777777" w:rsidR="00B707B7" w:rsidRPr="004361AC" w:rsidRDefault="00B707B7" w:rsidP="00E444B1">
            <w:pPr>
              <w:keepNext/>
              <w:jc w:val="center"/>
              <w:rPr>
                <w:spacing w:val="-3"/>
                <w:sz w:val="20"/>
                <w:szCs w:val="20"/>
              </w:rPr>
            </w:pPr>
            <w:r>
              <w:rPr>
                <w:spacing w:val="-3"/>
                <w:sz w:val="20"/>
                <w:szCs w:val="20"/>
              </w:rPr>
              <w:t>22.2</w:t>
            </w:r>
          </w:p>
        </w:tc>
        <w:tc>
          <w:tcPr>
            <w:tcW w:w="1168" w:type="dxa"/>
            <w:tcBorders>
              <w:top w:val="single" w:sz="4" w:space="0" w:color="auto"/>
              <w:bottom w:val="single" w:sz="18" w:space="0" w:color="auto"/>
            </w:tcBorders>
            <w:shd w:val="clear" w:color="auto" w:fill="D9D9D9"/>
          </w:tcPr>
          <w:p w14:paraId="08ABEC78" w14:textId="77777777" w:rsidR="00B707B7" w:rsidRPr="007E2312" w:rsidRDefault="00B707B7" w:rsidP="00E444B1">
            <w:pPr>
              <w:keepNext/>
              <w:jc w:val="center"/>
              <w:rPr>
                <w:spacing w:val="-3"/>
                <w:sz w:val="20"/>
                <w:szCs w:val="20"/>
              </w:rPr>
            </w:pPr>
            <w:r>
              <w:rPr>
                <w:spacing w:val="-3"/>
                <w:sz w:val="20"/>
                <w:szCs w:val="20"/>
              </w:rPr>
              <w:t>21.2</w:t>
            </w:r>
          </w:p>
        </w:tc>
        <w:tc>
          <w:tcPr>
            <w:tcW w:w="720" w:type="dxa"/>
            <w:tcBorders>
              <w:top w:val="single" w:sz="4" w:space="0" w:color="auto"/>
              <w:bottom w:val="single" w:sz="18" w:space="0" w:color="auto"/>
            </w:tcBorders>
          </w:tcPr>
          <w:p w14:paraId="469B7915" w14:textId="77777777" w:rsidR="00B707B7" w:rsidRPr="00F84609" w:rsidRDefault="00B707B7" w:rsidP="00E444B1">
            <w:pPr>
              <w:keepNext/>
              <w:jc w:val="center"/>
              <w:rPr>
                <w:spacing w:val="-3"/>
                <w:sz w:val="20"/>
                <w:szCs w:val="20"/>
              </w:rPr>
            </w:pPr>
            <w:r>
              <w:rPr>
                <w:spacing w:val="-3"/>
                <w:sz w:val="20"/>
                <w:szCs w:val="20"/>
              </w:rPr>
              <w:t>189</w:t>
            </w:r>
          </w:p>
        </w:tc>
        <w:tc>
          <w:tcPr>
            <w:tcW w:w="900" w:type="dxa"/>
            <w:tcBorders>
              <w:top w:val="single" w:sz="4" w:space="0" w:color="auto"/>
              <w:bottom w:val="single" w:sz="18" w:space="0" w:color="auto"/>
              <w:right w:val="single" w:sz="4" w:space="0" w:color="auto"/>
            </w:tcBorders>
          </w:tcPr>
          <w:p w14:paraId="5580EB07" w14:textId="77777777" w:rsidR="00B707B7" w:rsidRPr="004361AC" w:rsidRDefault="00B707B7" w:rsidP="00E444B1">
            <w:pPr>
              <w:keepNext/>
              <w:jc w:val="center"/>
              <w:rPr>
                <w:spacing w:val="-3"/>
                <w:sz w:val="20"/>
                <w:szCs w:val="20"/>
              </w:rPr>
            </w:pPr>
            <w:r>
              <w:rPr>
                <w:spacing w:val="-3"/>
                <w:sz w:val="20"/>
                <w:szCs w:val="20"/>
              </w:rPr>
              <w:t>41.1</w:t>
            </w:r>
          </w:p>
        </w:tc>
        <w:tc>
          <w:tcPr>
            <w:tcW w:w="1262" w:type="dxa"/>
            <w:tcBorders>
              <w:top w:val="single" w:sz="4" w:space="0" w:color="auto"/>
              <w:left w:val="single" w:sz="4" w:space="0" w:color="auto"/>
              <w:bottom w:val="single" w:sz="18" w:space="0" w:color="auto"/>
              <w:right w:val="single" w:sz="18" w:space="0" w:color="auto"/>
            </w:tcBorders>
            <w:shd w:val="clear" w:color="auto" w:fill="D9D9D9"/>
          </w:tcPr>
          <w:p w14:paraId="4DC5418F" w14:textId="77777777" w:rsidR="00B707B7" w:rsidRPr="009B656A" w:rsidRDefault="00B707B7" w:rsidP="00E444B1">
            <w:pPr>
              <w:keepNext/>
              <w:jc w:val="center"/>
              <w:rPr>
                <w:spacing w:val="-3"/>
                <w:sz w:val="20"/>
                <w:szCs w:val="20"/>
              </w:rPr>
            </w:pPr>
            <w:r>
              <w:rPr>
                <w:spacing w:val="-3"/>
                <w:sz w:val="20"/>
                <w:szCs w:val="20"/>
              </w:rPr>
              <w:t>23.5</w:t>
            </w:r>
          </w:p>
        </w:tc>
      </w:tr>
      <w:tr w:rsidR="00B707B7" w:rsidRPr="00F243B2" w14:paraId="7A8FA947" w14:textId="77777777" w:rsidTr="00E444B1">
        <w:trPr>
          <w:jc w:val="center"/>
        </w:trPr>
        <w:tc>
          <w:tcPr>
            <w:tcW w:w="3015" w:type="dxa"/>
            <w:tcBorders>
              <w:top w:val="nil"/>
              <w:left w:val="single" w:sz="18" w:space="0" w:color="auto"/>
              <w:bottom w:val="single" w:sz="18" w:space="0" w:color="auto"/>
            </w:tcBorders>
          </w:tcPr>
          <w:p w14:paraId="40084865" w14:textId="77777777" w:rsidR="00B707B7" w:rsidRPr="00CE4188" w:rsidRDefault="00B707B7" w:rsidP="00E444B1">
            <w:pPr>
              <w:keepNext/>
              <w:jc w:val="center"/>
              <w:rPr>
                <w:b/>
                <w:spacing w:val="-3"/>
                <w:sz w:val="20"/>
                <w:szCs w:val="20"/>
              </w:rPr>
            </w:pPr>
            <w:r w:rsidRPr="00CE4188">
              <w:rPr>
                <w:b/>
                <w:spacing w:val="-3"/>
                <w:sz w:val="20"/>
                <w:szCs w:val="20"/>
              </w:rPr>
              <w:t>Total</w:t>
            </w:r>
          </w:p>
        </w:tc>
        <w:tc>
          <w:tcPr>
            <w:tcW w:w="753" w:type="dxa"/>
            <w:tcBorders>
              <w:top w:val="nil"/>
              <w:bottom w:val="single" w:sz="18" w:space="0" w:color="auto"/>
            </w:tcBorders>
          </w:tcPr>
          <w:p w14:paraId="18CE2C2D" w14:textId="77777777" w:rsidR="00B707B7" w:rsidRPr="00CE4188" w:rsidRDefault="00B707B7" w:rsidP="00E444B1">
            <w:pPr>
              <w:keepNext/>
              <w:jc w:val="center"/>
              <w:rPr>
                <w:b/>
                <w:spacing w:val="-3"/>
                <w:sz w:val="20"/>
                <w:szCs w:val="20"/>
              </w:rPr>
            </w:pPr>
            <w:r>
              <w:rPr>
                <w:b/>
                <w:spacing w:val="-3"/>
                <w:sz w:val="20"/>
                <w:szCs w:val="20"/>
              </w:rPr>
              <w:t>167</w:t>
            </w:r>
          </w:p>
        </w:tc>
        <w:tc>
          <w:tcPr>
            <w:tcW w:w="979" w:type="dxa"/>
            <w:tcBorders>
              <w:top w:val="nil"/>
              <w:bottom w:val="single" w:sz="18" w:space="0" w:color="auto"/>
              <w:right w:val="single" w:sz="4" w:space="0" w:color="auto"/>
            </w:tcBorders>
          </w:tcPr>
          <w:p w14:paraId="388179E3" w14:textId="77777777" w:rsidR="00B707B7" w:rsidRPr="004361AC" w:rsidRDefault="00B707B7" w:rsidP="00E444B1">
            <w:pPr>
              <w:keepNext/>
              <w:jc w:val="center"/>
              <w:rPr>
                <w:b/>
                <w:spacing w:val="-3"/>
                <w:sz w:val="20"/>
                <w:szCs w:val="20"/>
              </w:rPr>
            </w:pPr>
            <w:r w:rsidRPr="004361AC">
              <w:rPr>
                <w:b/>
                <w:spacing w:val="-3"/>
                <w:sz w:val="20"/>
                <w:szCs w:val="20"/>
              </w:rPr>
              <w:t>100.0</w:t>
            </w:r>
          </w:p>
        </w:tc>
        <w:tc>
          <w:tcPr>
            <w:tcW w:w="1168" w:type="dxa"/>
            <w:tcBorders>
              <w:top w:val="nil"/>
              <w:bottom w:val="single" w:sz="18" w:space="0" w:color="auto"/>
            </w:tcBorders>
            <w:shd w:val="clear" w:color="auto" w:fill="D9D9D9"/>
          </w:tcPr>
          <w:p w14:paraId="5A2DD480" w14:textId="77777777" w:rsidR="00B707B7" w:rsidRPr="007E2312" w:rsidRDefault="00B707B7" w:rsidP="00E444B1">
            <w:pPr>
              <w:keepNext/>
              <w:jc w:val="center"/>
              <w:rPr>
                <w:b/>
                <w:spacing w:val="-3"/>
                <w:sz w:val="20"/>
                <w:szCs w:val="20"/>
              </w:rPr>
            </w:pPr>
            <w:r w:rsidRPr="007E2312">
              <w:rPr>
                <w:b/>
                <w:spacing w:val="-3"/>
                <w:sz w:val="20"/>
                <w:szCs w:val="20"/>
              </w:rPr>
              <w:t>100.0</w:t>
            </w:r>
          </w:p>
        </w:tc>
        <w:tc>
          <w:tcPr>
            <w:tcW w:w="720" w:type="dxa"/>
            <w:tcBorders>
              <w:top w:val="nil"/>
              <w:bottom w:val="single" w:sz="18" w:space="0" w:color="auto"/>
            </w:tcBorders>
          </w:tcPr>
          <w:p w14:paraId="2B3E26F1" w14:textId="77777777" w:rsidR="00B707B7" w:rsidRPr="00F84609" w:rsidRDefault="00B707B7" w:rsidP="00E444B1">
            <w:pPr>
              <w:keepNext/>
              <w:jc w:val="center"/>
              <w:rPr>
                <w:b/>
                <w:spacing w:val="-3"/>
                <w:sz w:val="20"/>
                <w:szCs w:val="20"/>
              </w:rPr>
            </w:pPr>
            <w:r>
              <w:rPr>
                <w:b/>
                <w:spacing w:val="-3"/>
                <w:sz w:val="20"/>
                <w:szCs w:val="20"/>
              </w:rPr>
              <w:t>460</w:t>
            </w:r>
          </w:p>
        </w:tc>
        <w:tc>
          <w:tcPr>
            <w:tcW w:w="900" w:type="dxa"/>
            <w:tcBorders>
              <w:top w:val="single" w:sz="18" w:space="0" w:color="auto"/>
              <w:bottom w:val="single" w:sz="18" w:space="0" w:color="auto"/>
              <w:right w:val="single" w:sz="4" w:space="0" w:color="auto"/>
            </w:tcBorders>
          </w:tcPr>
          <w:p w14:paraId="0A68A95F" w14:textId="77777777" w:rsidR="00B707B7" w:rsidRPr="004361AC" w:rsidRDefault="00B707B7" w:rsidP="00E444B1">
            <w:pPr>
              <w:keepNext/>
              <w:jc w:val="center"/>
              <w:rPr>
                <w:b/>
                <w:spacing w:val="-3"/>
                <w:sz w:val="20"/>
                <w:szCs w:val="20"/>
              </w:rPr>
            </w:pPr>
            <w:r w:rsidRPr="004361AC">
              <w:rPr>
                <w:b/>
                <w:spacing w:val="-3"/>
                <w:sz w:val="20"/>
                <w:szCs w:val="20"/>
              </w:rPr>
              <w:t>100.0</w:t>
            </w:r>
          </w:p>
        </w:tc>
        <w:tc>
          <w:tcPr>
            <w:tcW w:w="1262" w:type="dxa"/>
            <w:tcBorders>
              <w:top w:val="nil"/>
              <w:left w:val="single" w:sz="4" w:space="0" w:color="auto"/>
              <w:bottom w:val="single" w:sz="18" w:space="0" w:color="auto"/>
              <w:right w:val="single" w:sz="18" w:space="0" w:color="auto"/>
            </w:tcBorders>
            <w:shd w:val="clear" w:color="auto" w:fill="D9D9D9"/>
          </w:tcPr>
          <w:p w14:paraId="6C364F5E" w14:textId="77777777" w:rsidR="00B707B7" w:rsidRPr="009B656A" w:rsidRDefault="00B707B7" w:rsidP="00E444B1">
            <w:pPr>
              <w:keepNext/>
              <w:jc w:val="center"/>
              <w:rPr>
                <w:b/>
                <w:spacing w:val="-3"/>
                <w:sz w:val="20"/>
                <w:szCs w:val="20"/>
              </w:rPr>
            </w:pPr>
            <w:r w:rsidRPr="009B656A">
              <w:rPr>
                <w:b/>
                <w:spacing w:val="-3"/>
                <w:sz w:val="20"/>
                <w:szCs w:val="20"/>
              </w:rPr>
              <w:t>100.0</w:t>
            </w:r>
          </w:p>
        </w:tc>
      </w:tr>
    </w:tbl>
    <w:p w14:paraId="745E0ACA" w14:textId="77777777" w:rsidR="00B707B7" w:rsidRPr="00394216" w:rsidRDefault="00B707B7" w:rsidP="00B707B7">
      <w:pPr>
        <w:rPr>
          <w:i/>
          <w:sz w:val="16"/>
          <w:szCs w:val="16"/>
        </w:rPr>
      </w:pPr>
      <w:r>
        <w:tab/>
      </w:r>
      <w:r>
        <w:rPr>
          <w:i/>
          <w:sz w:val="16"/>
          <w:szCs w:val="16"/>
        </w:rPr>
        <w:t>Source: 2018 and 2019 HMDA Data, 2015 ACS Data</w:t>
      </w:r>
    </w:p>
    <w:p w14:paraId="56D0ED47" w14:textId="77777777" w:rsidR="00B707B7" w:rsidRDefault="00B707B7" w:rsidP="00B707B7"/>
    <w:p w14:paraId="282BAD69" w14:textId="77777777" w:rsidR="00B707B7" w:rsidRPr="00DA3441" w:rsidRDefault="00B707B7" w:rsidP="00B707B7">
      <w:r>
        <w:t>The bank’s minority application flow is adequate.</w:t>
      </w:r>
    </w:p>
    <w:p w14:paraId="2EA86F36" w14:textId="77777777" w:rsidR="00B707B7" w:rsidRPr="00753CFD" w:rsidRDefault="00B707B7" w:rsidP="00B707B7">
      <w:pPr>
        <w:rPr>
          <w:b/>
          <w:bCs/>
        </w:rPr>
      </w:pPr>
    </w:p>
    <w:p w14:paraId="0EBF2AD6" w14:textId="77777777" w:rsidR="00B707B7" w:rsidRPr="00753CFD" w:rsidRDefault="00B707B7" w:rsidP="00B707B7">
      <w:pPr>
        <w:rPr>
          <w:b/>
          <w:bCs/>
        </w:rPr>
      </w:pPr>
      <w:r w:rsidRPr="00753CFD">
        <w:rPr>
          <w:b/>
        </w:rPr>
        <w:br w:type="page"/>
      </w:r>
    </w:p>
    <w:p w14:paraId="56DAFA67" w14:textId="77777777" w:rsidR="00B707B7" w:rsidRPr="001D2881" w:rsidRDefault="00B707B7" w:rsidP="00B707B7">
      <w:pPr>
        <w:pStyle w:val="Heading1"/>
      </w:pPr>
      <w:bookmarkStart w:id="7" w:name="_Toc62129964"/>
      <w:r w:rsidRPr="001D2881">
        <w:lastRenderedPageBreak/>
        <w:t>GLOSSARY</w:t>
      </w:r>
      <w:bookmarkEnd w:id="7"/>
    </w:p>
    <w:p w14:paraId="29C53722" w14:textId="77777777" w:rsidR="00B707B7" w:rsidRPr="001D2881" w:rsidRDefault="00B707B7" w:rsidP="00B707B7">
      <w:pPr>
        <w:rPr>
          <w:b/>
          <w:bCs/>
        </w:rPr>
      </w:pPr>
    </w:p>
    <w:p w14:paraId="0DE0D48B" w14:textId="77777777" w:rsidR="00B707B7" w:rsidRPr="001D2881" w:rsidRDefault="00B707B7" w:rsidP="00B707B7">
      <w:r w:rsidRPr="001D2881">
        <w:rPr>
          <w:b/>
          <w:bCs/>
        </w:rPr>
        <w:t>Aggregate Lending:</w:t>
      </w:r>
      <w:r w:rsidRPr="001D2881">
        <w:t xml:space="preserve">  The number of loans originated and purchased by all reporting lenders in specified income categories as a percentage of the aggregate number of loans originated and purchased by all reporting lenders in the metropolitan area/assessment area.</w:t>
      </w:r>
    </w:p>
    <w:p w14:paraId="05468D06" w14:textId="77777777" w:rsidR="00B707B7" w:rsidRPr="001D2881" w:rsidRDefault="00B707B7" w:rsidP="00B707B7">
      <w:pPr>
        <w:rPr>
          <w:b/>
          <w:bCs/>
        </w:rPr>
      </w:pPr>
    </w:p>
    <w:p w14:paraId="7E9CDF51" w14:textId="77777777" w:rsidR="00B707B7" w:rsidRPr="001D2881" w:rsidRDefault="00B707B7" w:rsidP="00B707B7">
      <w:pPr>
        <w:rPr>
          <w:i/>
          <w:iCs/>
        </w:rPr>
      </w:pPr>
      <w:r w:rsidRPr="001D2881">
        <w:rPr>
          <w:b/>
          <w:bCs/>
        </w:rPr>
        <w:t xml:space="preserve">Area Median Income:  </w:t>
      </w:r>
      <w:r w:rsidRPr="001D2881">
        <w:t>The median family income for the MSA, if a person or geography is located in an MSA; or the statewide nonmetropolitan median family income, if a person or geography is located outside an MSA</w:t>
      </w:r>
      <w:r w:rsidRPr="001D2881">
        <w:rPr>
          <w:i/>
          <w:iCs/>
        </w:rPr>
        <w:t>.</w:t>
      </w:r>
    </w:p>
    <w:p w14:paraId="633012D8" w14:textId="77777777" w:rsidR="00B707B7" w:rsidRPr="001D2881" w:rsidRDefault="00B707B7" w:rsidP="00B707B7">
      <w:pPr>
        <w:rPr>
          <w:b/>
          <w:bCs/>
        </w:rPr>
      </w:pPr>
    </w:p>
    <w:p w14:paraId="464FE261" w14:textId="77777777" w:rsidR="00B707B7" w:rsidRPr="001D2881" w:rsidRDefault="00B707B7" w:rsidP="00B707B7">
      <w:r w:rsidRPr="001D2881">
        <w:rPr>
          <w:b/>
          <w:bCs/>
        </w:rPr>
        <w:t>Assessment Area:</w:t>
      </w:r>
      <w:r w:rsidRPr="001D2881">
        <w:t xml:space="preserve">  A geographic area delineated by the bank under the requirements of the Community Reinvestment Act.</w:t>
      </w:r>
    </w:p>
    <w:p w14:paraId="01AC6B06" w14:textId="77777777" w:rsidR="00B707B7" w:rsidRPr="001D2881" w:rsidRDefault="00B707B7" w:rsidP="00B707B7">
      <w:pPr>
        <w:rPr>
          <w:b/>
          <w:bCs/>
        </w:rPr>
      </w:pPr>
    </w:p>
    <w:p w14:paraId="4E92791B" w14:textId="77777777" w:rsidR="00B707B7" w:rsidRPr="001D2881" w:rsidRDefault="00B707B7" w:rsidP="00B707B7">
      <w:r w:rsidRPr="001D2881">
        <w:rPr>
          <w:b/>
          <w:bCs/>
        </w:rPr>
        <w:t xml:space="preserve">Census Tract:  </w:t>
      </w:r>
      <w:r w:rsidRPr="001D2881">
        <w:t xml:space="preserve">A small, relatively permanent statistical subdivision of a county or equivalent entity.  The primary purpose of census tracts is to provide a stable set of geographic units for the presentation of statistical data.  Census tracts generally have a population size between 1,200 and 8,000 people, with an optimum size of 4,000 people.  Census tract boundaries generally follow visible and identifiable features, but they may follow nonvisible legal boundaries in some instances.  State and county boundaries always are census tract boundaries.  </w:t>
      </w:r>
    </w:p>
    <w:p w14:paraId="643CD5ED" w14:textId="77777777" w:rsidR="00B707B7" w:rsidRPr="001D2881" w:rsidRDefault="00B707B7" w:rsidP="00B707B7">
      <w:pPr>
        <w:rPr>
          <w:b/>
          <w:bCs/>
        </w:rPr>
      </w:pPr>
    </w:p>
    <w:p w14:paraId="0CE7E321" w14:textId="77777777" w:rsidR="00B707B7" w:rsidRPr="001D2881" w:rsidRDefault="00B707B7" w:rsidP="00B707B7">
      <w:pPr>
        <w:widowControl w:val="0"/>
      </w:pPr>
      <w:r w:rsidRPr="001D2881">
        <w:rPr>
          <w:b/>
          <w:bCs/>
        </w:rPr>
        <w:t xml:space="preserve">Combined Statistical Area (CSA):  </w:t>
      </w:r>
      <w:r w:rsidRPr="001D2881">
        <w:t xml:space="preserve">A combination of several adjacent metropolitan statistical areas or micropolitan statistical areas or a mix of the two, which are linked by economic ties.  </w:t>
      </w:r>
    </w:p>
    <w:p w14:paraId="37013065" w14:textId="77777777" w:rsidR="00B707B7" w:rsidRPr="001D2881" w:rsidRDefault="00B707B7" w:rsidP="00B707B7"/>
    <w:p w14:paraId="43AA7080" w14:textId="77777777" w:rsidR="00B707B7" w:rsidRPr="001D2881" w:rsidRDefault="00B707B7" w:rsidP="00B707B7">
      <w:r w:rsidRPr="001D2881">
        <w:rPr>
          <w:b/>
          <w:bCs/>
        </w:rPr>
        <w:t xml:space="preserve">Community Development:  </w:t>
      </w:r>
      <w:r w:rsidRPr="001D2881">
        <w:t>For loans, investments, and services to qualify as community development activities, their primary purpose must:</w:t>
      </w:r>
    </w:p>
    <w:p w14:paraId="7CAAC838" w14:textId="77777777" w:rsidR="00B707B7" w:rsidRPr="001D2881" w:rsidRDefault="00B707B7" w:rsidP="00B707B7">
      <w:pPr>
        <w:tabs>
          <w:tab w:val="left" w:pos="720"/>
        </w:tabs>
        <w:ind w:left="720" w:hanging="360"/>
      </w:pPr>
      <w:r w:rsidRPr="001D2881">
        <w:t>(1)</w:t>
      </w:r>
      <w:r w:rsidRPr="001D2881">
        <w:tab/>
        <w:t xml:space="preserve">Support affordable housing for low- and moderate-income individuals; </w:t>
      </w:r>
    </w:p>
    <w:p w14:paraId="3ED017DC" w14:textId="77777777" w:rsidR="00B707B7" w:rsidRPr="001D2881" w:rsidRDefault="00B707B7" w:rsidP="00B707B7">
      <w:pPr>
        <w:tabs>
          <w:tab w:val="left" w:pos="720"/>
        </w:tabs>
        <w:ind w:left="720" w:hanging="360"/>
      </w:pPr>
      <w:r w:rsidRPr="001D2881">
        <w:t>(2)</w:t>
      </w:r>
      <w:r w:rsidRPr="001D2881">
        <w:tab/>
        <w:t xml:space="preserve">Target community services toward low- and moderate-income individuals; </w:t>
      </w:r>
    </w:p>
    <w:p w14:paraId="50303527" w14:textId="77777777" w:rsidR="00B707B7" w:rsidRPr="001D2881" w:rsidRDefault="00B707B7" w:rsidP="00B707B7">
      <w:pPr>
        <w:tabs>
          <w:tab w:val="left" w:pos="720"/>
        </w:tabs>
        <w:ind w:left="720" w:hanging="360"/>
      </w:pPr>
      <w:r w:rsidRPr="001D2881">
        <w:t>(3)</w:t>
      </w:r>
      <w:r w:rsidRPr="001D2881">
        <w:tab/>
        <w:t>Promote economic development by financing small businesses or farms; or</w:t>
      </w:r>
    </w:p>
    <w:p w14:paraId="6473F806" w14:textId="77777777" w:rsidR="00B707B7" w:rsidRPr="001D2881" w:rsidRDefault="00B707B7" w:rsidP="00B707B7">
      <w:pPr>
        <w:tabs>
          <w:tab w:val="left" w:pos="720"/>
        </w:tabs>
        <w:ind w:left="720" w:hanging="360"/>
      </w:pPr>
      <w:r w:rsidRPr="001D2881">
        <w:t>(4)</w:t>
      </w:r>
      <w:r w:rsidRPr="001D2881">
        <w:tab/>
        <w:t>Provide activities that revitalize or stabilize low- and moderate-income geographies, designated disaster areas, or distressed or underserved nonmetropolitan middle-income geographies.</w:t>
      </w:r>
    </w:p>
    <w:p w14:paraId="4FFEFCBC" w14:textId="77777777" w:rsidR="00B707B7" w:rsidRPr="001D2881" w:rsidRDefault="00B707B7" w:rsidP="00B707B7"/>
    <w:p w14:paraId="04328A1F" w14:textId="77777777" w:rsidR="00B707B7" w:rsidRPr="001D2881" w:rsidRDefault="00B707B7" w:rsidP="00B707B7">
      <w:r w:rsidRPr="001D2881">
        <w:rPr>
          <w:b/>
          <w:bCs/>
        </w:rPr>
        <w:t xml:space="preserve">Community Development Corporation (CDC):  </w:t>
      </w:r>
      <w:r w:rsidRPr="001D2881">
        <w:t xml:space="preserve">A CDC allows banks and holding companies to make equity type of investments in community development projects.  Institution CDCs can develop innovative debt instruments or provide near-equity investments tailored to the development needs of the community.  Institution CDCs are also tailored to their financial and marketing needs.  A CDC may purchase, own, rehabilitate, construct, manage, and sell real property.  Also, it may make equity or debt investments in development projects and in local businesses.  The CDC activities are expected to directly benefit low- and moderate-income groups, and the investment dollars should not represent an undue risk on the banking organization.  </w:t>
      </w:r>
    </w:p>
    <w:p w14:paraId="21E9883A" w14:textId="77777777" w:rsidR="00B707B7" w:rsidRPr="001D2881" w:rsidRDefault="00B707B7" w:rsidP="00B707B7"/>
    <w:p w14:paraId="171BDF0E" w14:textId="77777777" w:rsidR="00B707B7" w:rsidRPr="001D2881" w:rsidRDefault="00B707B7" w:rsidP="00B707B7">
      <w:pPr>
        <w:pStyle w:val="HTMLPreformatted"/>
        <w:rPr>
          <w:rFonts w:ascii="Times New Roman" w:hAnsi="Times New Roman"/>
          <w:sz w:val="24"/>
          <w:szCs w:val="24"/>
        </w:rPr>
      </w:pPr>
      <w:r w:rsidRPr="001D2881">
        <w:rPr>
          <w:rFonts w:ascii="Times New Roman" w:hAnsi="Times New Roman"/>
          <w:b/>
          <w:bCs/>
          <w:sz w:val="24"/>
          <w:szCs w:val="24"/>
        </w:rPr>
        <w:t>Community Development Financial Institutions (CDFIs):</w:t>
      </w:r>
      <w:r w:rsidRPr="001D2881">
        <w:rPr>
          <w:rFonts w:ascii="Times New Roman" w:hAnsi="Times New Roman"/>
          <w:sz w:val="24"/>
          <w:szCs w:val="24"/>
        </w:rPr>
        <w:t xml:space="preserve">  CDFIs are private intermediaries (either for profit or nonprofit) with community development as their primary mission.  A CDFI facilitates the flow of lending and investment capital into distressed communities and to individuals who have been unable to take advantage of the services offered by traditional financial institutions.  Some basic types of CDFIs include community development banks, community development loan </w:t>
      </w:r>
      <w:r w:rsidRPr="001D2881">
        <w:rPr>
          <w:rFonts w:ascii="Times New Roman" w:hAnsi="Times New Roman"/>
          <w:sz w:val="24"/>
          <w:szCs w:val="24"/>
        </w:rPr>
        <w:lastRenderedPageBreak/>
        <w:t xml:space="preserve">funds, community development credit unions, micro enterprise funds, and community development venture capital funds.  </w:t>
      </w:r>
    </w:p>
    <w:p w14:paraId="2348E897" w14:textId="77777777" w:rsidR="00B707B7" w:rsidRPr="001D2881" w:rsidRDefault="00B707B7" w:rsidP="00B707B7">
      <w:pPr>
        <w:pStyle w:val="HTMLPreformatted"/>
        <w:rPr>
          <w:rFonts w:ascii="Times New Roman" w:hAnsi="Times New Roman"/>
          <w:sz w:val="24"/>
          <w:szCs w:val="24"/>
        </w:rPr>
      </w:pPr>
    </w:p>
    <w:p w14:paraId="3F0FADCA" w14:textId="77777777" w:rsidR="00B707B7" w:rsidRPr="001D2881" w:rsidRDefault="00B707B7" w:rsidP="00B707B7">
      <w:pPr>
        <w:pStyle w:val="HTMLPreformatted"/>
        <w:rPr>
          <w:rFonts w:ascii="Times New Roman" w:hAnsi="Times New Roman"/>
          <w:sz w:val="24"/>
          <w:szCs w:val="24"/>
        </w:rPr>
      </w:pPr>
      <w:r w:rsidRPr="001D2881">
        <w:rPr>
          <w:rFonts w:ascii="Times New Roman" w:hAnsi="Times New Roman"/>
          <w:sz w:val="24"/>
          <w:szCs w:val="24"/>
        </w:rPr>
        <w:t>A certified CDFI must meet eligibility requirements.  These requirements include the following:</w:t>
      </w:r>
    </w:p>
    <w:p w14:paraId="578AFC6B" w14:textId="77777777" w:rsidR="00B707B7" w:rsidRPr="001D2881" w:rsidRDefault="00B707B7" w:rsidP="00B707B7">
      <w:pPr>
        <w:pStyle w:val="HTMLPreformatted"/>
        <w:numPr>
          <w:ilvl w:val="0"/>
          <w:numId w:val="1"/>
        </w:numPr>
        <w:rPr>
          <w:rFonts w:ascii="Times New Roman" w:hAnsi="Times New Roman"/>
          <w:sz w:val="24"/>
          <w:szCs w:val="24"/>
        </w:rPr>
      </w:pPr>
      <w:r w:rsidRPr="001D2881">
        <w:rPr>
          <w:rFonts w:ascii="Times New Roman" w:hAnsi="Times New Roman"/>
          <w:sz w:val="24"/>
          <w:szCs w:val="24"/>
        </w:rPr>
        <w:t xml:space="preserve">Having a primary mission of promoting community development; </w:t>
      </w:r>
    </w:p>
    <w:p w14:paraId="0A026D24" w14:textId="77777777" w:rsidR="00B707B7" w:rsidRPr="001D2881" w:rsidRDefault="00B707B7" w:rsidP="00B707B7">
      <w:pPr>
        <w:pStyle w:val="HTMLPreformatted"/>
        <w:numPr>
          <w:ilvl w:val="0"/>
          <w:numId w:val="1"/>
        </w:numPr>
        <w:rPr>
          <w:rFonts w:ascii="Times New Roman" w:hAnsi="Times New Roman"/>
          <w:sz w:val="24"/>
          <w:szCs w:val="24"/>
        </w:rPr>
      </w:pPr>
      <w:r w:rsidRPr="001D2881">
        <w:rPr>
          <w:rFonts w:ascii="Times New Roman" w:hAnsi="Times New Roman"/>
          <w:sz w:val="24"/>
          <w:szCs w:val="24"/>
        </w:rPr>
        <w:t xml:space="preserve">Serving an investment area or target population; </w:t>
      </w:r>
    </w:p>
    <w:p w14:paraId="1A21B082" w14:textId="77777777" w:rsidR="00B707B7" w:rsidRPr="001D2881" w:rsidRDefault="00B707B7" w:rsidP="00B707B7">
      <w:pPr>
        <w:pStyle w:val="HTMLPreformatted"/>
        <w:numPr>
          <w:ilvl w:val="0"/>
          <w:numId w:val="1"/>
        </w:numPr>
        <w:rPr>
          <w:rFonts w:ascii="Times New Roman" w:hAnsi="Times New Roman"/>
          <w:sz w:val="24"/>
          <w:szCs w:val="24"/>
        </w:rPr>
      </w:pPr>
      <w:r w:rsidRPr="001D2881">
        <w:rPr>
          <w:rFonts w:ascii="Times New Roman" w:hAnsi="Times New Roman"/>
          <w:sz w:val="24"/>
          <w:szCs w:val="24"/>
        </w:rPr>
        <w:t xml:space="preserve">Providing development services; </w:t>
      </w:r>
    </w:p>
    <w:p w14:paraId="197D2812" w14:textId="77777777" w:rsidR="00B707B7" w:rsidRPr="001D2881" w:rsidRDefault="00B707B7" w:rsidP="00B707B7">
      <w:pPr>
        <w:pStyle w:val="HTMLPreformatted"/>
        <w:numPr>
          <w:ilvl w:val="0"/>
          <w:numId w:val="1"/>
        </w:numPr>
        <w:rPr>
          <w:rFonts w:ascii="Times New Roman" w:hAnsi="Times New Roman"/>
          <w:sz w:val="24"/>
          <w:szCs w:val="24"/>
        </w:rPr>
      </w:pPr>
      <w:r w:rsidRPr="001D2881">
        <w:rPr>
          <w:rFonts w:ascii="Times New Roman" w:hAnsi="Times New Roman"/>
          <w:sz w:val="24"/>
          <w:szCs w:val="24"/>
        </w:rPr>
        <w:t xml:space="preserve">Maintaining accountability to residents of its investment area or targeted population through representation on its governing board of directors, or by other means; </w:t>
      </w:r>
    </w:p>
    <w:p w14:paraId="717700E5" w14:textId="77777777" w:rsidR="00B707B7" w:rsidRPr="001D2881" w:rsidRDefault="00B707B7" w:rsidP="00B707B7">
      <w:pPr>
        <w:pStyle w:val="HTMLPreformatted"/>
        <w:numPr>
          <w:ilvl w:val="0"/>
          <w:numId w:val="1"/>
        </w:numPr>
        <w:rPr>
          <w:rFonts w:ascii="Times New Roman" w:hAnsi="Times New Roman"/>
          <w:sz w:val="24"/>
          <w:szCs w:val="24"/>
        </w:rPr>
      </w:pPr>
      <w:r w:rsidRPr="001D2881">
        <w:rPr>
          <w:rFonts w:ascii="Times New Roman" w:hAnsi="Times New Roman"/>
          <w:sz w:val="24"/>
          <w:szCs w:val="24"/>
        </w:rPr>
        <w:t>Not constituting an agency or instrumentality of the United States, of any state or political subdivision of a state.</w:t>
      </w:r>
    </w:p>
    <w:p w14:paraId="7D6A4088" w14:textId="77777777" w:rsidR="00B707B7" w:rsidRPr="001D2881" w:rsidRDefault="00B707B7" w:rsidP="00B707B7">
      <w:pPr>
        <w:pStyle w:val="HTMLPreformatted"/>
        <w:rPr>
          <w:rFonts w:ascii="Times New Roman" w:hAnsi="Times New Roman"/>
          <w:b/>
          <w:bCs/>
          <w:sz w:val="24"/>
          <w:szCs w:val="24"/>
        </w:rPr>
      </w:pPr>
    </w:p>
    <w:p w14:paraId="703A9E9C" w14:textId="77777777" w:rsidR="00B707B7" w:rsidRPr="001D2881" w:rsidRDefault="00B707B7" w:rsidP="00B707B7">
      <w:pPr>
        <w:pStyle w:val="HTMLPreformatted"/>
        <w:rPr>
          <w:rFonts w:ascii="Times New Roman" w:hAnsi="Times New Roman"/>
          <w:sz w:val="24"/>
          <w:szCs w:val="24"/>
        </w:rPr>
      </w:pPr>
      <w:r w:rsidRPr="001D2881">
        <w:rPr>
          <w:rFonts w:ascii="Times New Roman" w:hAnsi="Times New Roman"/>
          <w:b/>
          <w:bCs/>
          <w:sz w:val="24"/>
          <w:szCs w:val="24"/>
        </w:rPr>
        <w:t>Community Development Loan:</w:t>
      </w:r>
      <w:r w:rsidRPr="001D2881">
        <w:rPr>
          <w:rFonts w:ascii="Times New Roman" w:hAnsi="Times New Roman"/>
          <w:sz w:val="24"/>
          <w:szCs w:val="24"/>
        </w:rPr>
        <w:t xml:space="preserve">  A loan that: </w:t>
      </w:r>
    </w:p>
    <w:p w14:paraId="13E3B498" w14:textId="77777777" w:rsidR="00B707B7" w:rsidRPr="001D2881" w:rsidRDefault="00B707B7" w:rsidP="00B707B7">
      <w:pPr>
        <w:pStyle w:val="HTMLPreformatted"/>
        <w:ind w:left="720" w:hanging="360"/>
        <w:rPr>
          <w:rFonts w:ascii="Times New Roman" w:hAnsi="Times New Roman"/>
          <w:sz w:val="24"/>
          <w:szCs w:val="24"/>
        </w:rPr>
      </w:pPr>
      <w:r w:rsidRPr="001D2881">
        <w:rPr>
          <w:rFonts w:ascii="Times New Roman" w:hAnsi="Times New Roman"/>
          <w:sz w:val="24"/>
          <w:szCs w:val="24"/>
        </w:rPr>
        <w:t xml:space="preserve">(1) Has as its primary purpose community development; and </w:t>
      </w:r>
    </w:p>
    <w:p w14:paraId="2193F0AE" w14:textId="77777777" w:rsidR="00B707B7" w:rsidRPr="001D2881" w:rsidRDefault="00B707B7" w:rsidP="00B707B7">
      <w:pPr>
        <w:pStyle w:val="HTMLPreformatted"/>
        <w:ind w:left="720" w:hanging="360"/>
        <w:rPr>
          <w:rFonts w:ascii="Times New Roman" w:hAnsi="Times New Roman"/>
          <w:sz w:val="24"/>
          <w:szCs w:val="24"/>
        </w:rPr>
      </w:pPr>
      <w:r w:rsidRPr="001D2881">
        <w:rPr>
          <w:rFonts w:ascii="Times New Roman" w:hAnsi="Times New Roman"/>
          <w:sz w:val="24"/>
          <w:szCs w:val="24"/>
        </w:rPr>
        <w:t xml:space="preserve">(2) Except in the case of a wholesale or limited purpose institution:  </w:t>
      </w:r>
    </w:p>
    <w:p w14:paraId="4385054C" w14:textId="77777777" w:rsidR="00B707B7" w:rsidRPr="001D2881" w:rsidRDefault="00B707B7" w:rsidP="00B707B7">
      <w:pPr>
        <w:pStyle w:val="HTMLPreformatted"/>
        <w:ind w:left="1080" w:hanging="360"/>
        <w:rPr>
          <w:rFonts w:ascii="Times New Roman" w:hAnsi="Times New Roman"/>
          <w:sz w:val="24"/>
          <w:szCs w:val="24"/>
        </w:rPr>
      </w:pPr>
      <w:r w:rsidRPr="001D2881">
        <w:rPr>
          <w:rFonts w:ascii="Times New Roman" w:hAnsi="Times New Roman"/>
          <w:sz w:val="24"/>
          <w:szCs w:val="24"/>
        </w:rPr>
        <w:t xml:space="preserve">(i) Has not been reported or collected by the institution or an affiliate for consideration in the institution’s assessment area as a home mortgage, small business, small farm, or consumer loan, unless it is a multifamily dwelling loan (as described in Appendix A to Part 203 of this title); and </w:t>
      </w:r>
    </w:p>
    <w:p w14:paraId="61291664" w14:textId="77777777" w:rsidR="00B707B7" w:rsidRPr="001D2881" w:rsidRDefault="00B707B7" w:rsidP="00B707B7">
      <w:pPr>
        <w:pStyle w:val="HTMLPreformatted"/>
        <w:ind w:left="1080" w:hanging="360"/>
        <w:rPr>
          <w:rFonts w:ascii="Times New Roman" w:hAnsi="Times New Roman"/>
          <w:sz w:val="24"/>
          <w:szCs w:val="24"/>
        </w:rPr>
      </w:pPr>
      <w:r w:rsidRPr="001D2881">
        <w:rPr>
          <w:rFonts w:ascii="Times New Roman" w:hAnsi="Times New Roman"/>
          <w:sz w:val="24"/>
          <w:szCs w:val="24"/>
        </w:rPr>
        <w:t xml:space="preserve">(ii) Benefits the institution’s assessment area(s) or a broader statewide or regional area including the institution’s assessment area(s).   </w:t>
      </w:r>
    </w:p>
    <w:p w14:paraId="004CD5BF" w14:textId="77777777" w:rsidR="00B707B7" w:rsidRPr="001D2881" w:rsidRDefault="00B707B7" w:rsidP="00B707B7">
      <w:pPr>
        <w:pStyle w:val="HTMLPreformatted"/>
        <w:rPr>
          <w:rFonts w:ascii="Times New Roman" w:hAnsi="Times New Roman"/>
          <w:b/>
          <w:bCs/>
          <w:sz w:val="24"/>
          <w:szCs w:val="24"/>
        </w:rPr>
      </w:pPr>
    </w:p>
    <w:p w14:paraId="1EB0A494" w14:textId="77777777" w:rsidR="00B707B7" w:rsidRPr="001D2881" w:rsidRDefault="00B707B7" w:rsidP="00B707B7">
      <w:pPr>
        <w:pStyle w:val="HTMLPreformatted"/>
        <w:rPr>
          <w:rFonts w:ascii="Times New Roman" w:hAnsi="Times New Roman"/>
          <w:sz w:val="24"/>
          <w:szCs w:val="24"/>
        </w:rPr>
      </w:pPr>
      <w:r w:rsidRPr="001D2881">
        <w:rPr>
          <w:rFonts w:ascii="Times New Roman" w:hAnsi="Times New Roman"/>
          <w:b/>
          <w:bCs/>
          <w:sz w:val="24"/>
          <w:szCs w:val="24"/>
        </w:rPr>
        <w:t>Community Development Service:</w:t>
      </w:r>
      <w:r w:rsidRPr="001D2881">
        <w:rPr>
          <w:rFonts w:ascii="Times New Roman" w:hAnsi="Times New Roman"/>
          <w:sz w:val="24"/>
          <w:szCs w:val="24"/>
        </w:rPr>
        <w:t xml:space="preserve">  A service that: </w:t>
      </w:r>
    </w:p>
    <w:p w14:paraId="79A69156" w14:textId="77777777" w:rsidR="00B707B7" w:rsidRPr="001D2881" w:rsidRDefault="00B707B7" w:rsidP="00B707B7">
      <w:pPr>
        <w:pStyle w:val="HTMLPreformatted"/>
        <w:ind w:left="720" w:hanging="360"/>
        <w:rPr>
          <w:rFonts w:ascii="Times New Roman" w:hAnsi="Times New Roman"/>
          <w:sz w:val="24"/>
          <w:szCs w:val="24"/>
        </w:rPr>
      </w:pPr>
      <w:r w:rsidRPr="001D2881">
        <w:rPr>
          <w:rFonts w:ascii="Times New Roman" w:hAnsi="Times New Roman"/>
          <w:sz w:val="24"/>
          <w:szCs w:val="24"/>
        </w:rPr>
        <w:t xml:space="preserve">(1) Has as its primary purpose community development; </w:t>
      </w:r>
    </w:p>
    <w:p w14:paraId="06229B17" w14:textId="77777777" w:rsidR="00B707B7" w:rsidRPr="001D2881" w:rsidRDefault="00B707B7" w:rsidP="00B707B7">
      <w:pPr>
        <w:pStyle w:val="HTMLPreformatted"/>
        <w:ind w:left="720" w:hanging="360"/>
        <w:rPr>
          <w:rFonts w:ascii="Times New Roman" w:hAnsi="Times New Roman"/>
          <w:sz w:val="24"/>
          <w:szCs w:val="24"/>
        </w:rPr>
      </w:pPr>
      <w:r w:rsidRPr="001D2881">
        <w:rPr>
          <w:rFonts w:ascii="Times New Roman" w:hAnsi="Times New Roman"/>
          <w:sz w:val="24"/>
          <w:szCs w:val="24"/>
        </w:rPr>
        <w:t xml:space="preserve">(2) Is related to the provision of </w:t>
      </w:r>
      <w:r w:rsidRPr="001D2881">
        <w:rPr>
          <w:rFonts w:ascii="Times New Roman" w:hAnsi="Times New Roman"/>
          <w:sz w:val="24"/>
          <w:szCs w:val="24"/>
          <w:u w:val="single"/>
        </w:rPr>
        <w:t>financial</w:t>
      </w:r>
      <w:r w:rsidRPr="001D2881">
        <w:rPr>
          <w:rFonts w:ascii="Times New Roman" w:hAnsi="Times New Roman"/>
          <w:sz w:val="24"/>
          <w:szCs w:val="24"/>
        </w:rPr>
        <w:t xml:space="preserve"> services; and </w:t>
      </w:r>
    </w:p>
    <w:p w14:paraId="78A464CB" w14:textId="77777777" w:rsidR="00B707B7" w:rsidRPr="001D2881" w:rsidRDefault="00B707B7" w:rsidP="00B707B7">
      <w:pPr>
        <w:pStyle w:val="HTMLPreformatted"/>
        <w:ind w:left="720" w:hanging="360"/>
        <w:rPr>
          <w:rFonts w:ascii="Times New Roman" w:hAnsi="Times New Roman"/>
          <w:sz w:val="24"/>
          <w:szCs w:val="24"/>
        </w:rPr>
      </w:pPr>
      <w:r w:rsidRPr="001D2881">
        <w:rPr>
          <w:rFonts w:ascii="Times New Roman" w:hAnsi="Times New Roman"/>
          <w:sz w:val="24"/>
          <w:szCs w:val="24"/>
        </w:rPr>
        <w:t xml:space="preserve">(3) Has not been considered in the evaluation of the institution’s retail banking services under § 345.24(d).  </w:t>
      </w:r>
    </w:p>
    <w:p w14:paraId="55BBBCBA" w14:textId="77777777" w:rsidR="00B707B7" w:rsidRPr="001D2881" w:rsidRDefault="00B707B7" w:rsidP="00B707B7">
      <w:pPr>
        <w:rPr>
          <w:b/>
          <w:bCs/>
        </w:rPr>
      </w:pPr>
    </w:p>
    <w:p w14:paraId="1E440483" w14:textId="77777777" w:rsidR="00B707B7" w:rsidRPr="001D2881" w:rsidRDefault="00B707B7" w:rsidP="00B707B7">
      <w:pPr>
        <w:rPr>
          <w:b/>
          <w:bCs/>
        </w:rPr>
      </w:pPr>
      <w:r w:rsidRPr="001D2881">
        <w:rPr>
          <w:b/>
          <w:bCs/>
        </w:rPr>
        <w:t xml:space="preserve">Consumer Loan(s):  </w:t>
      </w:r>
      <w:r w:rsidRPr="001D2881">
        <w:t>A loan(s) to one or more individuals for household, family, or other personal expenditures.  A consumer loan does not include a home mortgage, small business, or small farm loan.  This definition includes the following categories: motor vehicle loans, credit card loans, home equity loans, other secured consumer loans, and other unsecured consumer loans.</w:t>
      </w:r>
    </w:p>
    <w:p w14:paraId="326DE05F" w14:textId="77777777" w:rsidR="00B707B7" w:rsidRPr="001D2881" w:rsidRDefault="00B707B7" w:rsidP="00B707B7">
      <w:pPr>
        <w:rPr>
          <w:b/>
          <w:bCs/>
        </w:rPr>
      </w:pPr>
    </w:p>
    <w:p w14:paraId="3C455AA1" w14:textId="77777777" w:rsidR="00B707B7" w:rsidRPr="001D2881" w:rsidRDefault="00B707B7" w:rsidP="00B707B7">
      <w:r w:rsidRPr="001D2881">
        <w:rPr>
          <w:b/>
          <w:bCs/>
        </w:rPr>
        <w:t xml:space="preserve">Core Based Statistical Area (CBSA):  </w:t>
      </w:r>
      <w:r w:rsidRPr="001D2881">
        <w:t xml:space="preserve">The county or counties or equivalent entities associated with at least one core (urbanized area or urban cluster) of at least 10,000 population, plus adjacent counties having a high degree of social and economic integration with the core as measured through commuting ties with the counties associated with the core.  Metropolitan and Micropolitan Statistical Areas are the two categories of CBSAs. </w:t>
      </w:r>
    </w:p>
    <w:p w14:paraId="4BB29C38" w14:textId="77777777" w:rsidR="00B707B7" w:rsidRPr="001D2881" w:rsidRDefault="00B707B7" w:rsidP="00B707B7">
      <w:pPr>
        <w:pStyle w:val="HTMLPreformatted"/>
        <w:rPr>
          <w:rFonts w:ascii="Times New Roman" w:hAnsi="Times New Roman"/>
          <w:sz w:val="24"/>
          <w:szCs w:val="24"/>
        </w:rPr>
      </w:pPr>
    </w:p>
    <w:p w14:paraId="1E1FDFFF" w14:textId="77777777" w:rsidR="00B707B7" w:rsidRPr="001D2881" w:rsidRDefault="00B707B7" w:rsidP="00B707B7">
      <w:pPr>
        <w:pStyle w:val="HTMLPreformatted"/>
        <w:rPr>
          <w:rFonts w:ascii="Times New Roman" w:hAnsi="Times New Roman"/>
          <w:sz w:val="24"/>
          <w:szCs w:val="24"/>
        </w:rPr>
      </w:pPr>
      <w:r w:rsidRPr="001D2881">
        <w:rPr>
          <w:rFonts w:ascii="Times New Roman" w:hAnsi="Times New Roman"/>
          <w:b/>
          <w:bCs/>
          <w:sz w:val="24"/>
          <w:szCs w:val="24"/>
        </w:rPr>
        <w:t>Distressed Middle-Income Nonmetropolitan Geographies</w:t>
      </w:r>
      <w:r w:rsidRPr="001D2881">
        <w:rPr>
          <w:rFonts w:ascii="Times New Roman" w:hAnsi="Times New Roman"/>
          <w:sz w:val="24"/>
          <w:szCs w:val="24"/>
        </w:rPr>
        <w:t xml:space="preserve">:  A nonmetropolitan middle-income geography will be designated as distressed if it is in a county that meets one or more of the following triggers:  </w:t>
      </w:r>
    </w:p>
    <w:p w14:paraId="47E0F056" w14:textId="77777777" w:rsidR="00B707B7" w:rsidRPr="001D2881" w:rsidRDefault="00B707B7" w:rsidP="00B707B7">
      <w:pPr>
        <w:pStyle w:val="HTMLPreformatted"/>
        <w:ind w:left="720" w:hanging="360"/>
        <w:rPr>
          <w:rFonts w:ascii="Times New Roman" w:hAnsi="Times New Roman"/>
          <w:sz w:val="24"/>
          <w:szCs w:val="24"/>
        </w:rPr>
      </w:pPr>
      <w:r w:rsidRPr="001D2881">
        <w:rPr>
          <w:rFonts w:ascii="Times New Roman" w:hAnsi="Times New Roman"/>
          <w:sz w:val="24"/>
          <w:szCs w:val="24"/>
        </w:rPr>
        <w:t xml:space="preserve">(1) An unemployment rate of at least 1.5 times the national average; </w:t>
      </w:r>
    </w:p>
    <w:p w14:paraId="1B70DDA6" w14:textId="77777777" w:rsidR="00B707B7" w:rsidRPr="001D2881" w:rsidRDefault="00B707B7" w:rsidP="00B707B7">
      <w:pPr>
        <w:pStyle w:val="HTMLPreformatted"/>
        <w:ind w:left="720" w:hanging="360"/>
        <w:rPr>
          <w:rFonts w:ascii="Times New Roman" w:hAnsi="Times New Roman"/>
          <w:sz w:val="24"/>
          <w:szCs w:val="24"/>
        </w:rPr>
      </w:pPr>
      <w:r w:rsidRPr="001D2881">
        <w:rPr>
          <w:rFonts w:ascii="Times New Roman" w:hAnsi="Times New Roman"/>
          <w:sz w:val="24"/>
          <w:szCs w:val="24"/>
        </w:rPr>
        <w:t>(2) A poverty rate of 20 percent or more; or</w:t>
      </w:r>
    </w:p>
    <w:p w14:paraId="53F3EAF1" w14:textId="77777777" w:rsidR="00B707B7" w:rsidRPr="001D2881" w:rsidRDefault="00B707B7" w:rsidP="00B707B7">
      <w:pPr>
        <w:pStyle w:val="HTMLPreformatted"/>
        <w:ind w:left="720" w:hanging="360"/>
        <w:rPr>
          <w:rFonts w:ascii="Times New Roman" w:hAnsi="Times New Roman"/>
          <w:b/>
          <w:bCs/>
          <w:sz w:val="24"/>
          <w:szCs w:val="24"/>
        </w:rPr>
      </w:pPr>
      <w:r w:rsidRPr="001D2881">
        <w:rPr>
          <w:rFonts w:ascii="Times New Roman" w:hAnsi="Times New Roman"/>
          <w:sz w:val="24"/>
          <w:szCs w:val="24"/>
        </w:rPr>
        <w:lastRenderedPageBreak/>
        <w:t xml:space="preserve">(3) A population loss of 10 percent or more between the previous and most recent decennial census or a net migration loss of 5 percent or more over the 5-year period preceding the most recent census.  </w:t>
      </w:r>
    </w:p>
    <w:p w14:paraId="4F88FDE3" w14:textId="77777777" w:rsidR="00B707B7" w:rsidRPr="001D2881" w:rsidRDefault="00B707B7" w:rsidP="00B707B7"/>
    <w:p w14:paraId="5580BB3D" w14:textId="77777777" w:rsidR="00B707B7" w:rsidRPr="001D2881" w:rsidRDefault="00B707B7" w:rsidP="00B707B7">
      <w:r w:rsidRPr="001D2881">
        <w:rPr>
          <w:b/>
          <w:bCs/>
        </w:rPr>
        <w:t>Family:</w:t>
      </w:r>
      <w:r w:rsidRPr="001D2881">
        <w:t xml:space="preserve">  Includes a householder and one or more other persons living in the same household who are related to the householder by birth, marriage, or adoption.  The number of family households always equals the number of families; however, a family household may also include non-relatives living with the family.  Families are classified by type as either a married-couple family or other family.  Other family is further classified into “male householder” (a family with a male householder and no wife present) or “female householder” (a family with a female householder and no husband present).</w:t>
      </w:r>
    </w:p>
    <w:p w14:paraId="469C01D4" w14:textId="77777777" w:rsidR="00B707B7" w:rsidRPr="001D2881" w:rsidRDefault="00B707B7" w:rsidP="00B707B7"/>
    <w:p w14:paraId="69FF06B8" w14:textId="77777777" w:rsidR="00B707B7" w:rsidRPr="001D2881" w:rsidRDefault="00B707B7" w:rsidP="00B707B7">
      <w:r w:rsidRPr="001D2881">
        <w:rPr>
          <w:b/>
          <w:bCs/>
        </w:rPr>
        <w:t xml:space="preserve">FFIEC-Estimated Income Data:  </w:t>
      </w:r>
      <w:r w:rsidRPr="001D2881">
        <w:t>The Federal Financial Institutions Examination Council (FFIEC) issues annual estimates which update median family income from the metropolitan and nonmetropolitan areas.  The FFIEC uses American Community Survey data and factors in information from other sources to arrive at an annual estimate that more closely reflects current economic conditions.</w:t>
      </w:r>
    </w:p>
    <w:p w14:paraId="77B19F7A" w14:textId="77777777" w:rsidR="00B707B7" w:rsidRPr="001D2881" w:rsidRDefault="00B707B7" w:rsidP="00B707B7"/>
    <w:p w14:paraId="743FF4F7" w14:textId="77777777" w:rsidR="00B707B7" w:rsidRPr="001D2881" w:rsidRDefault="00B707B7" w:rsidP="00B707B7">
      <w:r w:rsidRPr="001D2881">
        <w:rPr>
          <w:b/>
          <w:bCs/>
        </w:rPr>
        <w:t xml:space="preserve">Full-Scope Review:  </w:t>
      </w:r>
      <w:r w:rsidRPr="001D2881">
        <w:t>A full-scope review is accomplished when examiners complete all applicable interagency examination procedures for an assessment area.  Performance under applicable tests is analyzed considering performance context, quantitative factors (e.g, geographic distribution, borrower profile, and total number and dollar amount of investments), and qualitative factors (e.g, innovativeness, complexity, and responsiveness).</w:t>
      </w:r>
    </w:p>
    <w:p w14:paraId="54A5AC6D" w14:textId="77777777" w:rsidR="00B707B7" w:rsidRPr="001D2881" w:rsidRDefault="00B707B7" w:rsidP="00B707B7"/>
    <w:p w14:paraId="72D4C5CF" w14:textId="77777777" w:rsidR="00B707B7" w:rsidRPr="001D2881" w:rsidRDefault="00B707B7" w:rsidP="00B707B7">
      <w:pPr>
        <w:rPr>
          <w:b/>
          <w:bCs/>
        </w:rPr>
      </w:pPr>
      <w:r w:rsidRPr="001D2881">
        <w:rPr>
          <w:b/>
          <w:bCs/>
        </w:rPr>
        <w:t xml:space="preserve">Geography:  </w:t>
      </w:r>
      <w:r w:rsidRPr="001D2881">
        <w:t xml:space="preserve">A census tract delineated by the United States Bureau of the Census in the most recent decennial census.  </w:t>
      </w:r>
      <w:r w:rsidRPr="001D2881">
        <w:br/>
      </w:r>
    </w:p>
    <w:p w14:paraId="67B58BD6" w14:textId="77777777" w:rsidR="00B707B7" w:rsidRPr="001D2881" w:rsidRDefault="00B707B7" w:rsidP="00B707B7">
      <w:r w:rsidRPr="001D2881">
        <w:rPr>
          <w:b/>
          <w:bCs/>
        </w:rPr>
        <w:t xml:space="preserve">Home Mortgage Disclosure Act (HMDA):  </w:t>
      </w:r>
      <w:r w:rsidRPr="001D2881">
        <w:t>The statute that requires certain mortgage lenders that do business or have banking offices in a metropolitan statistical area to file annual summary reports of their mortgage lending activity.  The reports include such data as the race, gender, and the income of applicants; the amount of loan requested; and the disposition of the application (approved, denied, and withdrawn).</w:t>
      </w:r>
    </w:p>
    <w:p w14:paraId="3AC2717A" w14:textId="77777777" w:rsidR="00B707B7" w:rsidRPr="001D2881" w:rsidRDefault="00B707B7" w:rsidP="00B707B7">
      <w:pPr>
        <w:rPr>
          <w:b/>
          <w:bCs/>
          <w:highlight w:val="yellow"/>
        </w:rPr>
      </w:pPr>
    </w:p>
    <w:p w14:paraId="50881BE7" w14:textId="77777777" w:rsidR="00B707B7" w:rsidRPr="001D2881" w:rsidRDefault="00B707B7" w:rsidP="00B707B7">
      <w:pPr>
        <w:spacing w:line="276" w:lineRule="auto"/>
        <w:rPr>
          <w:rFonts w:eastAsiaTheme="minorHAnsi"/>
        </w:rPr>
      </w:pPr>
      <w:r w:rsidRPr="001D2881">
        <w:rPr>
          <w:b/>
        </w:rPr>
        <w:t>Home Mortgage Loans:</w:t>
      </w:r>
      <w:r w:rsidRPr="001D2881">
        <w:t xml:space="preserve">  </w:t>
      </w:r>
      <w:r w:rsidRPr="001D2881">
        <w:rPr>
          <w:rFonts w:eastAsiaTheme="minorHAnsi"/>
        </w:rPr>
        <w:t>Includes closed-end mortgage loans or open-end line of credits as defined in the HMDA regulation that are not an excluded transaction per the HMDA regulation.</w:t>
      </w:r>
    </w:p>
    <w:p w14:paraId="10A34ACE" w14:textId="77777777" w:rsidR="00B707B7" w:rsidRPr="001D2881" w:rsidRDefault="00B707B7" w:rsidP="00B707B7">
      <w:pPr>
        <w:pStyle w:val="BodyText"/>
        <w:spacing w:after="0"/>
        <w:rPr>
          <w:rFonts w:ascii="Times New Roman" w:hAnsi="Times New Roman"/>
        </w:rPr>
      </w:pPr>
    </w:p>
    <w:p w14:paraId="63798B2A" w14:textId="77777777" w:rsidR="00B707B7" w:rsidRPr="001D2881" w:rsidRDefault="00B707B7" w:rsidP="00B707B7">
      <w:r w:rsidRPr="001D2881">
        <w:rPr>
          <w:b/>
          <w:bCs/>
        </w:rPr>
        <w:t xml:space="preserve">Housing Unit:  </w:t>
      </w:r>
      <w:r w:rsidRPr="001D2881">
        <w:t>Includes a house, an apartment, a mobile home, a group of rooms, or a single room that is occupied as separate living quarters.</w:t>
      </w:r>
    </w:p>
    <w:p w14:paraId="48DCAB4A" w14:textId="77777777" w:rsidR="00B707B7" w:rsidRPr="001D2881" w:rsidRDefault="00B707B7" w:rsidP="00B707B7">
      <w:pPr>
        <w:rPr>
          <w:b/>
          <w:bCs/>
        </w:rPr>
      </w:pPr>
    </w:p>
    <w:p w14:paraId="54A41856" w14:textId="77777777" w:rsidR="00B707B7" w:rsidRPr="001D2881" w:rsidRDefault="00B707B7" w:rsidP="00B707B7">
      <w:r w:rsidRPr="001D2881">
        <w:rPr>
          <w:b/>
          <w:bCs/>
        </w:rPr>
        <w:t xml:space="preserve">Limited-Scope Review:  </w:t>
      </w:r>
      <w:r w:rsidRPr="001D2881">
        <w:t xml:space="preserve">A limited scope review is accomplished when examiners do not complete all applicable interagency examination procedures for an assessment area.  </w:t>
      </w:r>
    </w:p>
    <w:p w14:paraId="36468F02" w14:textId="77777777" w:rsidR="00B707B7" w:rsidRPr="001D2881" w:rsidRDefault="00B707B7" w:rsidP="00B707B7">
      <w:r w:rsidRPr="001D2881">
        <w:t>Performance under applicable tests is often analyzed using only quantitative factors (e.g, geographic distribution, borrower profile, total number and dollar amount of investments, and branch distribution).</w:t>
      </w:r>
    </w:p>
    <w:p w14:paraId="4BE90B8E" w14:textId="77777777" w:rsidR="00B707B7" w:rsidRPr="001D2881" w:rsidRDefault="00B707B7" w:rsidP="00B707B7"/>
    <w:p w14:paraId="466D1988" w14:textId="77777777" w:rsidR="00B707B7" w:rsidRPr="001D2881" w:rsidRDefault="00B707B7" w:rsidP="00B707B7">
      <w:r w:rsidRPr="001D2881">
        <w:rPr>
          <w:b/>
          <w:bCs/>
        </w:rPr>
        <w:lastRenderedPageBreak/>
        <w:t xml:space="preserve">Low-Income:  </w:t>
      </w:r>
      <w:r w:rsidRPr="001D2881">
        <w:t xml:space="preserve">Individual income that is less than 50 percent of the area median income, or a median family income that is less than 50 percent in the case of a geography. </w:t>
      </w:r>
    </w:p>
    <w:p w14:paraId="6279532A" w14:textId="77777777" w:rsidR="00B707B7" w:rsidRPr="001D2881" w:rsidRDefault="00B707B7" w:rsidP="00B707B7">
      <w:pPr>
        <w:rPr>
          <w:b/>
          <w:bCs/>
        </w:rPr>
      </w:pPr>
    </w:p>
    <w:p w14:paraId="63786D83" w14:textId="77777777" w:rsidR="00B707B7" w:rsidRPr="001D2881" w:rsidRDefault="00B707B7" w:rsidP="00B707B7">
      <w:r w:rsidRPr="001D2881">
        <w:rPr>
          <w:b/>
          <w:bCs/>
        </w:rPr>
        <w:t>Low Income Housing Tax Credit:</w:t>
      </w:r>
      <w:r w:rsidRPr="001D2881">
        <w:t xml:space="preserve">  The Low-Income Housing Tax Credit Program is a housing program contained within the Internal Revenue Code of 1986, as amended.  It is administered by the U.S. Department of the Treasury and the Internal Revenue Service.  The U.S. Treasury Department distributes low-income housing tax credits to housing credit agencies through the Internal Revenue Service.  The housing agencies allocate tax credits on a competitive basis.</w:t>
      </w:r>
    </w:p>
    <w:p w14:paraId="1E0E3314" w14:textId="77777777" w:rsidR="00B707B7" w:rsidRPr="001D2881" w:rsidRDefault="00B707B7" w:rsidP="00B707B7">
      <w:r w:rsidRPr="001D2881">
        <w:t xml:space="preserve">  </w:t>
      </w:r>
    </w:p>
    <w:p w14:paraId="21CA3CBE" w14:textId="77777777" w:rsidR="00B707B7" w:rsidRPr="001D2881" w:rsidRDefault="00B707B7" w:rsidP="00B707B7">
      <w:pPr>
        <w:rPr>
          <w:b/>
          <w:bCs/>
        </w:rPr>
      </w:pPr>
      <w:r w:rsidRPr="001D2881">
        <w:t xml:space="preserve">Developers who acquire, rehabilitate, or construct low-income rental housing may keep their tax credits.  Or, they may sell them to corporations or investor groups, who, as owners of these properties, will be able to reduce their own federal tax payments.  The credit can be claimed annually for ten consecutive years.  For a project to be eligible, the developer must set aside a specific percentage of units for occupancy by low-income residents.  The set-aside requirement remains throughout the compliance period, usually 30 years. </w:t>
      </w:r>
    </w:p>
    <w:p w14:paraId="6688FA85" w14:textId="77777777" w:rsidR="00B707B7" w:rsidRPr="001D2881" w:rsidRDefault="00B707B7" w:rsidP="00B707B7">
      <w:pPr>
        <w:rPr>
          <w:b/>
          <w:bCs/>
        </w:rPr>
      </w:pPr>
    </w:p>
    <w:p w14:paraId="2FFFB4AE" w14:textId="77777777" w:rsidR="00B707B7" w:rsidRPr="001D2881" w:rsidRDefault="00B707B7" w:rsidP="00B707B7">
      <w:r w:rsidRPr="001D2881">
        <w:rPr>
          <w:b/>
          <w:bCs/>
        </w:rPr>
        <w:t xml:space="preserve">Market Share:  </w:t>
      </w:r>
      <w:r w:rsidRPr="001D2881">
        <w:t>The number of loans originated and purchased by the institution as a percentage of the aggregate number of loans originated and purchased by all reporting lenders in the metropolitan area/assessment area.</w:t>
      </w:r>
    </w:p>
    <w:p w14:paraId="7FC3546B" w14:textId="77777777" w:rsidR="00B707B7" w:rsidRPr="001D2881" w:rsidRDefault="00B707B7" w:rsidP="00B707B7">
      <w:pPr>
        <w:rPr>
          <w:b/>
          <w:bCs/>
        </w:rPr>
      </w:pPr>
    </w:p>
    <w:p w14:paraId="038A8B94" w14:textId="77777777" w:rsidR="00B707B7" w:rsidRPr="001D2881" w:rsidRDefault="00B707B7" w:rsidP="00B707B7">
      <w:r w:rsidRPr="001D2881">
        <w:rPr>
          <w:b/>
          <w:bCs/>
        </w:rPr>
        <w:t xml:space="preserve">Median Income:  </w:t>
      </w:r>
      <w:r w:rsidRPr="001D2881">
        <w:t>The median income divides the income distribution into two equal parts, one having incomes above the median and other having incomes below the median.</w:t>
      </w:r>
    </w:p>
    <w:p w14:paraId="7519663C" w14:textId="77777777" w:rsidR="00B707B7" w:rsidRPr="001D2881" w:rsidRDefault="00B707B7" w:rsidP="00B707B7"/>
    <w:p w14:paraId="6A73F1D9" w14:textId="77777777" w:rsidR="00B707B7" w:rsidRPr="001D2881" w:rsidRDefault="00B707B7" w:rsidP="00B707B7">
      <w:r w:rsidRPr="001D2881">
        <w:rPr>
          <w:b/>
          <w:bCs/>
        </w:rPr>
        <w:t xml:space="preserve">Metropolitan Division (MD):  </w:t>
      </w:r>
      <w:r w:rsidRPr="001D2881">
        <w:t xml:space="preserve">A county or group of counties within a CBSA that contain(s) an urbanized area with a population of at least 2.5 million.  A MD is one or more main/secondary counties representing an employment center or centers, plus adjacent counties associated with the main/secondary county or counties through commuting ties.  </w:t>
      </w:r>
    </w:p>
    <w:p w14:paraId="7D11FAF4" w14:textId="77777777" w:rsidR="00B707B7" w:rsidRPr="001D2881" w:rsidRDefault="00B707B7" w:rsidP="00B707B7">
      <w:pPr>
        <w:rPr>
          <w:b/>
          <w:bCs/>
        </w:rPr>
      </w:pPr>
    </w:p>
    <w:p w14:paraId="35D55CC6" w14:textId="77777777" w:rsidR="00B707B7" w:rsidRPr="001D2881" w:rsidRDefault="00B707B7" w:rsidP="00B707B7">
      <w:r w:rsidRPr="001D2881">
        <w:rPr>
          <w:b/>
          <w:bCs/>
        </w:rPr>
        <w:t xml:space="preserve">Metropolitan Statistical Area (MSA):  </w:t>
      </w:r>
      <w:r w:rsidRPr="001D2881">
        <w:t xml:space="preserve">CBSA associated with at least one urbanized area having a population of at least 50,000.  The MSA comprises the central county or counties or equivalent entities containing the core, plus adjacent outlying counties having a high degree of social and economic integration with the central county or counties as measured through commuting. </w:t>
      </w:r>
    </w:p>
    <w:p w14:paraId="5554F4C4" w14:textId="77777777" w:rsidR="00B707B7" w:rsidRPr="001D2881" w:rsidRDefault="00B707B7" w:rsidP="00B707B7"/>
    <w:p w14:paraId="373EDF11" w14:textId="77777777" w:rsidR="00B707B7" w:rsidRPr="001D2881" w:rsidRDefault="00B707B7" w:rsidP="00B707B7">
      <w:r w:rsidRPr="001D2881">
        <w:rPr>
          <w:b/>
          <w:bCs/>
        </w:rPr>
        <w:t xml:space="preserve">Middle-Income:  </w:t>
      </w:r>
      <w:r w:rsidRPr="001D2881">
        <w:t>Individual income that is at least 80 percent and less than 120 percent of the area median income, or a median family income that is at least 80 and less than 120 percent in the case of a geography.</w:t>
      </w:r>
    </w:p>
    <w:p w14:paraId="02005D2E" w14:textId="77777777" w:rsidR="00B707B7" w:rsidRPr="001D2881" w:rsidRDefault="00B707B7" w:rsidP="00B707B7"/>
    <w:p w14:paraId="6303648E" w14:textId="77777777" w:rsidR="00B707B7" w:rsidRPr="001D2881" w:rsidRDefault="00B707B7" w:rsidP="00B707B7">
      <w:pPr>
        <w:rPr>
          <w:b/>
          <w:bCs/>
        </w:rPr>
      </w:pPr>
      <w:r w:rsidRPr="001D2881">
        <w:rPr>
          <w:b/>
          <w:bCs/>
        </w:rPr>
        <w:t>Moderate-Income:</w:t>
      </w:r>
      <w:r w:rsidRPr="001D2881">
        <w:t xml:space="preserve">  Individual income that is at least 50 percent and less than 80 percent of the area median income, or a median family income that is at least 50 and less than 80 percent in the case of a geography.</w:t>
      </w:r>
    </w:p>
    <w:p w14:paraId="14359A4C" w14:textId="77777777" w:rsidR="00B707B7" w:rsidRPr="001D2881" w:rsidRDefault="00B707B7" w:rsidP="00B707B7">
      <w:pPr>
        <w:rPr>
          <w:b/>
          <w:bCs/>
        </w:rPr>
      </w:pPr>
    </w:p>
    <w:p w14:paraId="676CFFA4" w14:textId="77777777" w:rsidR="00B707B7" w:rsidRPr="001D2881" w:rsidRDefault="00B707B7" w:rsidP="00B707B7">
      <w:r w:rsidRPr="001D2881">
        <w:rPr>
          <w:b/>
          <w:bCs/>
        </w:rPr>
        <w:t xml:space="preserve">Multi-family:  </w:t>
      </w:r>
      <w:r w:rsidRPr="001D2881">
        <w:t>Refers to</w:t>
      </w:r>
      <w:r w:rsidRPr="001D2881">
        <w:rPr>
          <w:b/>
          <w:bCs/>
        </w:rPr>
        <w:t xml:space="preserve"> </w:t>
      </w:r>
      <w:r w:rsidRPr="001D2881">
        <w:t>a residential structure that contains five or more units.</w:t>
      </w:r>
    </w:p>
    <w:p w14:paraId="5B9832F5" w14:textId="77777777" w:rsidR="00B707B7" w:rsidRPr="001D2881" w:rsidRDefault="00B707B7" w:rsidP="00B707B7">
      <w:pPr>
        <w:rPr>
          <w:b/>
          <w:bCs/>
        </w:rPr>
      </w:pPr>
    </w:p>
    <w:p w14:paraId="78E7CEEC" w14:textId="77777777" w:rsidR="00B707B7" w:rsidRPr="001D2881" w:rsidRDefault="00B707B7" w:rsidP="00B707B7">
      <w:r w:rsidRPr="001D2881">
        <w:rPr>
          <w:b/>
          <w:bCs/>
        </w:rPr>
        <w:t>Nonmetropolitan Area (</w:t>
      </w:r>
      <w:r w:rsidRPr="001D2881">
        <w:rPr>
          <w:bCs/>
        </w:rPr>
        <w:t>also known as</w:t>
      </w:r>
      <w:r w:rsidRPr="001D2881">
        <w:rPr>
          <w:b/>
          <w:bCs/>
        </w:rPr>
        <w:t xml:space="preserve"> non-MSA):</w:t>
      </w:r>
      <w:r w:rsidRPr="001D2881">
        <w:t xml:space="preserve">  All areas outside of metropolitan areas.  The definition of nonmetropolitan area is not consistent with the definition of rural areas.  Urban and </w:t>
      </w:r>
      <w:r w:rsidRPr="001D2881">
        <w:lastRenderedPageBreak/>
        <w:t>rural classifications cut across the other hierarchies.  For example, there is generally urban and rural territory within metropolitan and nonmetropolitan areas.</w:t>
      </w:r>
    </w:p>
    <w:p w14:paraId="6FFA1F7B" w14:textId="77777777" w:rsidR="00B707B7" w:rsidRPr="001D2881" w:rsidRDefault="00B707B7" w:rsidP="00B707B7">
      <w:pPr>
        <w:rPr>
          <w:b/>
          <w:bCs/>
        </w:rPr>
      </w:pPr>
    </w:p>
    <w:p w14:paraId="69969350" w14:textId="77777777" w:rsidR="00B707B7" w:rsidRPr="001D2881" w:rsidRDefault="00B707B7" w:rsidP="00B707B7">
      <w:r w:rsidRPr="001D2881">
        <w:rPr>
          <w:b/>
          <w:bCs/>
        </w:rPr>
        <w:t>Owner-Occupied Units:</w:t>
      </w:r>
      <w:r w:rsidRPr="001D2881">
        <w:t xml:space="preserve">  Includes units occupied by the owner or co-owner, even if the unit has not been fully paid for or is mortgaged.</w:t>
      </w:r>
    </w:p>
    <w:p w14:paraId="509E57FA" w14:textId="77777777" w:rsidR="00B707B7" w:rsidRPr="001D2881" w:rsidRDefault="00B707B7" w:rsidP="00B707B7">
      <w:pPr>
        <w:rPr>
          <w:b/>
          <w:bCs/>
        </w:rPr>
      </w:pPr>
    </w:p>
    <w:p w14:paraId="65A1EB95" w14:textId="77777777" w:rsidR="00B707B7" w:rsidRPr="001D2881" w:rsidRDefault="00B707B7" w:rsidP="00B707B7">
      <w:pPr>
        <w:rPr>
          <w:bCs/>
        </w:rPr>
      </w:pPr>
      <w:r w:rsidRPr="001D2881">
        <w:rPr>
          <w:b/>
          <w:bCs/>
        </w:rPr>
        <w:t xml:space="preserve">Qualified Investment:  </w:t>
      </w:r>
      <w:r w:rsidRPr="001D2881">
        <w:rPr>
          <w:bCs/>
        </w:rPr>
        <w:t>A lawful investment, deposit, membership share, or grant that has as its primary purpose community development.</w:t>
      </w:r>
    </w:p>
    <w:p w14:paraId="0FD7A433" w14:textId="77777777" w:rsidR="00B707B7" w:rsidRPr="001D2881" w:rsidRDefault="00B707B7" w:rsidP="00B707B7">
      <w:pPr>
        <w:rPr>
          <w:b/>
          <w:bCs/>
        </w:rPr>
      </w:pPr>
    </w:p>
    <w:p w14:paraId="5EC2EFAC" w14:textId="77777777" w:rsidR="00B707B7" w:rsidRPr="001D2881" w:rsidRDefault="00B707B7" w:rsidP="00B707B7">
      <w:pPr>
        <w:rPr>
          <w:snapToGrid w:val="0"/>
        </w:rPr>
      </w:pPr>
      <w:r w:rsidRPr="001D2881">
        <w:rPr>
          <w:b/>
          <w:bCs/>
        </w:rPr>
        <w:t>Rated Area:</w:t>
      </w:r>
      <w:r w:rsidRPr="001D2881">
        <w:t xml:space="preserve">  </w:t>
      </w:r>
      <w:r w:rsidRPr="001D2881">
        <w:rPr>
          <w:snapToGrid w:val="0"/>
        </w:rPr>
        <w:t xml:space="preserve">A rated area is a state or multistate metropolitan area.  For an institution with domestic branches in only one state, the institution’s CRA rating would be the state rating.  If an institution maintains domestic branches in more than one state, the institution will receive a rating for each state in which those branches are located.  If an institution maintains domestic branches in two or more states within a multistate metropolitan area, the institution will receive a rating for the multistate metropolitan area.  </w:t>
      </w:r>
    </w:p>
    <w:p w14:paraId="77718DB2" w14:textId="77777777" w:rsidR="00B707B7" w:rsidRPr="001D2881" w:rsidRDefault="00B707B7" w:rsidP="00B707B7"/>
    <w:p w14:paraId="5A55DB4D" w14:textId="77777777" w:rsidR="00B707B7" w:rsidRPr="001D2881" w:rsidRDefault="00B707B7" w:rsidP="00B707B7">
      <w:r w:rsidRPr="001D2881">
        <w:rPr>
          <w:b/>
          <w:bCs/>
        </w:rPr>
        <w:t>Rural Area:</w:t>
      </w:r>
      <w:r w:rsidRPr="001D2881">
        <w:t xml:space="preserve">  Territories, populations, and housing units that are not classified as urban.</w:t>
      </w:r>
    </w:p>
    <w:p w14:paraId="2ACAF9B5" w14:textId="77777777" w:rsidR="00B707B7" w:rsidRPr="001D2881" w:rsidRDefault="00B707B7" w:rsidP="00B707B7">
      <w:pPr>
        <w:rPr>
          <w:b/>
          <w:bCs/>
        </w:rPr>
      </w:pPr>
    </w:p>
    <w:p w14:paraId="47DA5B56" w14:textId="77777777" w:rsidR="00B707B7" w:rsidRPr="001D2881" w:rsidRDefault="00B707B7" w:rsidP="00B707B7">
      <w:pPr>
        <w:pStyle w:val="NormalWeb"/>
        <w:spacing w:before="0" w:beforeAutospacing="0" w:after="0" w:afterAutospacing="0"/>
      </w:pPr>
      <w:r w:rsidRPr="001D2881">
        <w:rPr>
          <w:b/>
          <w:bCs/>
        </w:rPr>
        <w:t xml:space="preserve">Small Business Investment Company (SBIC):  </w:t>
      </w:r>
      <w:r w:rsidRPr="001D2881">
        <w:t xml:space="preserve">SBICs are privately-owned investment companies which are licensed and regulated by the Small Business Administration (SBA).  SBICs provide long-term loans and/or venture capital to small firms.  Because money for venture or risk investments is difficult for small firms to obtain, SBA provides assistance to SBICs to stimulate and supplement the flow of private equity and long-term loan funds to small companies.  Venture capitalists participate in the SBIC program to supplement their own private capital with funds borrowed at favorable rates through SBA’s guarantee of SBIC debentures.  These SBIC debentures are then sold to private investors.  An SBIC’s success is linked to the growth and profitability of the companies that it finances.  Therefore, some SBICs primarily assist businesses with significant growth potential, such as new firms in innovative industries.  SBICs finance small firms by providing straight loans and/or equity-type investments.  This kind of financing gives them partial ownership of those businesses and the possibility of sharing in the companies’ profits as they grow and prosper.  </w:t>
      </w:r>
    </w:p>
    <w:p w14:paraId="1EEED021" w14:textId="77777777" w:rsidR="00B707B7" w:rsidRPr="001D2881" w:rsidRDefault="00B707B7" w:rsidP="00B707B7">
      <w:pPr>
        <w:pStyle w:val="NormalWeb"/>
        <w:spacing w:before="0" w:beforeAutospacing="0" w:after="0" w:afterAutospacing="0"/>
      </w:pPr>
    </w:p>
    <w:p w14:paraId="4AB34C51" w14:textId="77777777" w:rsidR="00B707B7" w:rsidRPr="001D2881" w:rsidRDefault="00B707B7" w:rsidP="00B707B7">
      <w:r w:rsidRPr="001D2881">
        <w:rPr>
          <w:b/>
          <w:bCs/>
        </w:rPr>
        <w:t>Small Business Loan:</w:t>
      </w:r>
      <w:r w:rsidRPr="001D2881">
        <w:t xml:space="preserve">  A loan included in “loans to small businesses” as defined in the Consolidated Report of Condition and Income (Call Report).  These loans have original amounts of $1 million or less and are either secured by nonfarm nonresidential properties or are classified as commercial and industrial loans.</w:t>
      </w:r>
    </w:p>
    <w:p w14:paraId="5B83A075" w14:textId="77777777" w:rsidR="00B707B7" w:rsidRPr="001D2881" w:rsidRDefault="00B707B7" w:rsidP="00B707B7">
      <w:pPr>
        <w:rPr>
          <w:b/>
          <w:bCs/>
        </w:rPr>
      </w:pPr>
    </w:p>
    <w:p w14:paraId="63AF8AF5" w14:textId="77777777" w:rsidR="00B707B7" w:rsidRPr="001D2881" w:rsidRDefault="00B707B7" w:rsidP="00B707B7">
      <w:r w:rsidRPr="001D2881">
        <w:rPr>
          <w:b/>
          <w:bCs/>
        </w:rPr>
        <w:t xml:space="preserve">Small Farm Loan:  </w:t>
      </w:r>
      <w:r w:rsidRPr="001D2881">
        <w:t>A loan included in “loans to small farms” as defined in the instructions for preparation of the Consolidated Report of Condition and Income (Call Report).  These loans have original amounts of $500,000 or less and are either secured by farmland, including farm residential and other improvements, or are classified as loans to finance agricultural production and other loans to farmers.</w:t>
      </w:r>
    </w:p>
    <w:p w14:paraId="6072CCC4" w14:textId="77777777" w:rsidR="00B707B7" w:rsidRPr="001D2881" w:rsidRDefault="00B707B7" w:rsidP="00B707B7">
      <w:pPr>
        <w:rPr>
          <w:b/>
          <w:bCs/>
        </w:rPr>
      </w:pPr>
    </w:p>
    <w:p w14:paraId="2F266D65" w14:textId="77777777" w:rsidR="00B707B7" w:rsidRPr="001D2881" w:rsidRDefault="00B707B7" w:rsidP="00B707B7">
      <w:r w:rsidRPr="001D2881">
        <w:rPr>
          <w:b/>
          <w:bCs/>
        </w:rPr>
        <w:t>Underserved Middle-Income Nonmetropolitan Geographies:</w:t>
      </w:r>
      <w:r w:rsidRPr="001D2881">
        <w:t xml:space="preserve">  A nonmetropolitan middle-income geography will be designated as underserved if it meets criteria for population size, density, and dispersion indicating the area’s population is sufficiently small, thin, and distant from a </w:t>
      </w:r>
      <w:r w:rsidRPr="001D2881">
        <w:lastRenderedPageBreak/>
        <w:t xml:space="preserve">population center that the tract is likely to have difficulty financing the fixed costs of meeting essential community needs. </w:t>
      </w:r>
    </w:p>
    <w:p w14:paraId="703F8EA2" w14:textId="77777777" w:rsidR="00B707B7" w:rsidRPr="001D2881" w:rsidRDefault="00B707B7" w:rsidP="00B707B7">
      <w:pPr>
        <w:rPr>
          <w:b/>
          <w:bCs/>
        </w:rPr>
      </w:pPr>
    </w:p>
    <w:p w14:paraId="514FDFFA" w14:textId="77777777" w:rsidR="00B707B7" w:rsidRPr="001D2881" w:rsidRDefault="00B707B7" w:rsidP="00B707B7">
      <w:r w:rsidRPr="001D2881">
        <w:rPr>
          <w:b/>
          <w:bCs/>
        </w:rPr>
        <w:t>Upper-Income:</w:t>
      </w:r>
      <w:r w:rsidRPr="001D2881">
        <w:t xml:space="preserve">  Individual income that is 120 percent or more of the area median income, or a median family income that is 120 percent or more in the case of a geography. </w:t>
      </w:r>
    </w:p>
    <w:p w14:paraId="00504EDE" w14:textId="77777777" w:rsidR="00B707B7" w:rsidRPr="001D2881" w:rsidRDefault="00B707B7" w:rsidP="00B707B7">
      <w:pPr>
        <w:rPr>
          <w:b/>
          <w:bCs/>
        </w:rPr>
      </w:pPr>
    </w:p>
    <w:p w14:paraId="23EE5458" w14:textId="77777777" w:rsidR="00B707B7" w:rsidRPr="001D2881" w:rsidRDefault="00B707B7" w:rsidP="00B707B7">
      <w:r w:rsidRPr="001D2881">
        <w:rPr>
          <w:b/>
          <w:bCs/>
        </w:rPr>
        <w:t>Urban</w:t>
      </w:r>
      <w:r w:rsidRPr="001D2881">
        <w:t xml:space="preserve"> </w:t>
      </w:r>
      <w:r w:rsidRPr="001D2881">
        <w:rPr>
          <w:b/>
          <w:bCs/>
        </w:rPr>
        <w:t xml:space="preserve">Area:  </w:t>
      </w:r>
      <w:r w:rsidRPr="001D2881">
        <w:t xml:space="preserve">All territories, populations, and housing units in urbanized areas and in places of 2,500 or more persons outside urbanized areas.  More specifically, “urban” consists of territory, persons, and housing units in places of 2,500 or more persons incorporated as cities, villages, boroughs (except in Alaska and New York), and towns (except in the New England states, New York, and Wisconsin).  </w:t>
      </w:r>
    </w:p>
    <w:p w14:paraId="09268891" w14:textId="77777777" w:rsidR="00B707B7" w:rsidRPr="001D2881" w:rsidRDefault="00B707B7" w:rsidP="00B707B7"/>
    <w:p w14:paraId="2651E750" w14:textId="77777777" w:rsidR="00B707B7" w:rsidRPr="001D2881" w:rsidRDefault="00B707B7" w:rsidP="00B707B7">
      <w:r w:rsidRPr="001D2881">
        <w:t>“Urban” excludes the rural portions of “extended cities”; census designated place of 2,500 or more persons; and other territory, incorporated or unincorporated, including in urbanized areas.</w:t>
      </w:r>
    </w:p>
    <w:p w14:paraId="2F23AA3A" w14:textId="77777777" w:rsidR="00B707B7" w:rsidRPr="001D2881" w:rsidRDefault="00B707B7" w:rsidP="00B707B7"/>
    <w:p w14:paraId="2F01E855" w14:textId="77777777" w:rsidR="0099672C" w:rsidRPr="00B707B7" w:rsidRDefault="0099672C" w:rsidP="00B707B7"/>
    <w:sectPr w:rsidR="0099672C" w:rsidRPr="00B707B7" w:rsidSect="00897C2E">
      <w:headerReference w:type="default" r:id="rId17"/>
      <w:footerReference w:type="default" r:id="rId18"/>
      <w:pgSz w:w="12240" w:h="15840"/>
      <w:pgMar w:top="1440" w:right="1296" w:bottom="1440"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DC4A7" w14:textId="77777777" w:rsidR="00851EBC" w:rsidRDefault="00851EBC" w:rsidP="00A03CC1">
      <w:r>
        <w:separator/>
      </w:r>
    </w:p>
  </w:endnote>
  <w:endnote w:type="continuationSeparator" w:id="0">
    <w:p w14:paraId="43C7FEDE" w14:textId="77777777" w:rsidR="00851EBC" w:rsidRDefault="00851EBC" w:rsidP="00A03CC1">
      <w:r>
        <w:continuationSeparator/>
      </w:r>
    </w:p>
  </w:endnote>
  <w:endnote w:type="continuationNotice" w:id="1">
    <w:p w14:paraId="34A1786B" w14:textId="77777777" w:rsidR="00851EBC" w:rsidRDefault="00851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altName w:val="Arial 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3856C" w14:textId="77777777" w:rsidR="00851EBC" w:rsidRDefault="00851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BEAA8" w14:textId="77777777" w:rsidR="00851EBC" w:rsidRDefault="00851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A2E7A" w14:textId="77777777" w:rsidR="00851EBC" w:rsidRDefault="00851E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414C7" w14:textId="223894E4" w:rsidR="00851EBC" w:rsidRPr="008611CF" w:rsidRDefault="00851EBC" w:rsidP="008611CF">
    <w:pPr>
      <w:pStyle w:val="Footer"/>
      <w:jc w:val="center"/>
      <w:rPr>
        <w:sz w:val="24"/>
        <w:szCs w:val="24"/>
      </w:rPr>
    </w:pPr>
    <w:r w:rsidRPr="00624BC7">
      <w:rPr>
        <w:sz w:val="24"/>
        <w:szCs w:val="24"/>
      </w:rPr>
      <w:fldChar w:fldCharType="begin"/>
    </w:r>
    <w:r w:rsidRPr="00624BC7">
      <w:rPr>
        <w:sz w:val="24"/>
        <w:szCs w:val="24"/>
      </w:rPr>
      <w:instrText xml:space="preserve"> PAGE   \* MERGEFORMAT </w:instrText>
    </w:r>
    <w:r w:rsidRPr="00624BC7">
      <w:rPr>
        <w:sz w:val="24"/>
        <w:szCs w:val="24"/>
      </w:rPr>
      <w:fldChar w:fldCharType="separate"/>
    </w:r>
    <w:r w:rsidR="00340FDF">
      <w:rPr>
        <w:noProof/>
        <w:sz w:val="24"/>
        <w:szCs w:val="24"/>
      </w:rPr>
      <w:t>28</w:t>
    </w:r>
    <w:r w:rsidRPr="00624BC7">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14A24" w14:textId="77777777" w:rsidR="00851EBC" w:rsidRDefault="00851EBC" w:rsidP="00A03CC1">
      <w:r>
        <w:separator/>
      </w:r>
    </w:p>
  </w:footnote>
  <w:footnote w:type="continuationSeparator" w:id="0">
    <w:p w14:paraId="4A61E115" w14:textId="77777777" w:rsidR="00851EBC" w:rsidRDefault="00851EBC" w:rsidP="00A03CC1">
      <w:r>
        <w:continuationSeparator/>
      </w:r>
    </w:p>
  </w:footnote>
  <w:footnote w:type="continuationNotice" w:id="1">
    <w:p w14:paraId="579146D8" w14:textId="77777777" w:rsidR="00851EBC" w:rsidRDefault="00851E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3576" w14:textId="77777777" w:rsidR="00851EBC" w:rsidRDefault="00851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7D0A" w14:textId="77777777" w:rsidR="00851EBC" w:rsidRDefault="00851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C43D" w14:textId="77777777" w:rsidR="00851EBC" w:rsidRDefault="00851E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F298" w14:textId="77777777" w:rsidR="00851EBC" w:rsidRDefault="00851EBC" w:rsidP="00BA5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16"/>
    <w:multiLevelType w:val="hybridMultilevel"/>
    <w:tmpl w:val="4684CB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E44D6B"/>
    <w:multiLevelType w:val="hybridMultilevel"/>
    <w:tmpl w:val="74AEBB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E3F11"/>
    <w:multiLevelType w:val="hybridMultilevel"/>
    <w:tmpl w:val="80AA6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31D2B"/>
    <w:multiLevelType w:val="hybridMultilevel"/>
    <w:tmpl w:val="7AC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464AD"/>
    <w:multiLevelType w:val="hybridMultilevel"/>
    <w:tmpl w:val="2B26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C21A6"/>
    <w:multiLevelType w:val="hybridMultilevel"/>
    <w:tmpl w:val="F46A1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03565"/>
    <w:multiLevelType w:val="hybridMultilevel"/>
    <w:tmpl w:val="71E25436"/>
    <w:lvl w:ilvl="0" w:tplc="CD9696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462451"/>
    <w:multiLevelType w:val="hybridMultilevel"/>
    <w:tmpl w:val="D298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9141C"/>
    <w:multiLevelType w:val="hybridMultilevel"/>
    <w:tmpl w:val="BBF8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A0168"/>
    <w:multiLevelType w:val="hybridMultilevel"/>
    <w:tmpl w:val="33606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24002"/>
    <w:multiLevelType w:val="hybridMultilevel"/>
    <w:tmpl w:val="871C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90776"/>
    <w:multiLevelType w:val="hybridMultilevel"/>
    <w:tmpl w:val="BE3E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65F03"/>
    <w:multiLevelType w:val="hybridMultilevel"/>
    <w:tmpl w:val="712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96E50"/>
    <w:multiLevelType w:val="hybridMultilevel"/>
    <w:tmpl w:val="A48AD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F384C"/>
    <w:multiLevelType w:val="hybridMultilevel"/>
    <w:tmpl w:val="FB66072A"/>
    <w:lvl w:ilvl="0" w:tplc="CD96961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C2E268C"/>
    <w:multiLevelType w:val="hybridMultilevel"/>
    <w:tmpl w:val="0A9A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C5CD6"/>
    <w:multiLevelType w:val="hybridMultilevel"/>
    <w:tmpl w:val="AAE0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B3397"/>
    <w:multiLevelType w:val="hybridMultilevel"/>
    <w:tmpl w:val="FD66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C2016C"/>
    <w:multiLevelType w:val="hybridMultilevel"/>
    <w:tmpl w:val="8140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8D24BC"/>
    <w:multiLevelType w:val="hybridMultilevel"/>
    <w:tmpl w:val="140C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15957"/>
    <w:multiLevelType w:val="hybridMultilevel"/>
    <w:tmpl w:val="6FF2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D180F"/>
    <w:multiLevelType w:val="hybridMultilevel"/>
    <w:tmpl w:val="060E8D6C"/>
    <w:lvl w:ilvl="0" w:tplc="899CBBE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8C0387"/>
    <w:multiLevelType w:val="hybridMultilevel"/>
    <w:tmpl w:val="10F4A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B3CB9"/>
    <w:multiLevelType w:val="hybridMultilevel"/>
    <w:tmpl w:val="8C3C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9"/>
  </w:num>
  <w:num w:numId="4">
    <w:abstractNumId w:val="15"/>
  </w:num>
  <w:num w:numId="5">
    <w:abstractNumId w:val="3"/>
  </w:num>
  <w:num w:numId="6">
    <w:abstractNumId w:val="17"/>
  </w:num>
  <w:num w:numId="7">
    <w:abstractNumId w:val="8"/>
  </w:num>
  <w:num w:numId="8">
    <w:abstractNumId w:val="5"/>
  </w:num>
  <w:num w:numId="9">
    <w:abstractNumId w:val="9"/>
  </w:num>
  <w:num w:numId="10">
    <w:abstractNumId w:val="10"/>
  </w:num>
  <w:num w:numId="11">
    <w:abstractNumId w:val="22"/>
  </w:num>
  <w:num w:numId="12">
    <w:abstractNumId w:val="13"/>
  </w:num>
  <w:num w:numId="13">
    <w:abstractNumId w:val="7"/>
  </w:num>
  <w:num w:numId="14">
    <w:abstractNumId w:val="0"/>
  </w:num>
  <w:num w:numId="15">
    <w:abstractNumId w:val="11"/>
  </w:num>
  <w:num w:numId="16">
    <w:abstractNumId w:val="12"/>
  </w:num>
  <w:num w:numId="17">
    <w:abstractNumId w:val="2"/>
  </w:num>
  <w:num w:numId="18">
    <w:abstractNumId w:val="6"/>
  </w:num>
  <w:num w:numId="19">
    <w:abstractNumId w:val="18"/>
  </w:num>
  <w:num w:numId="20">
    <w:abstractNumId w:val="4"/>
  </w:num>
  <w:num w:numId="21">
    <w:abstractNumId w:val="23"/>
  </w:num>
  <w:num w:numId="22">
    <w:abstractNumId w:val="16"/>
  </w:num>
  <w:num w:numId="23">
    <w:abstractNumId w:val="21"/>
  </w:num>
  <w:num w:numId="2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3D"/>
    <w:rsid w:val="0000091A"/>
    <w:rsid w:val="0000160E"/>
    <w:rsid w:val="00005840"/>
    <w:rsid w:val="000104DD"/>
    <w:rsid w:val="0001149D"/>
    <w:rsid w:val="00014F79"/>
    <w:rsid w:val="0001657D"/>
    <w:rsid w:val="000245E9"/>
    <w:rsid w:val="00024828"/>
    <w:rsid w:val="000258D5"/>
    <w:rsid w:val="00027AD6"/>
    <w:rsid w:val="000315AA"/>
    <w:rsid w:val="00032B52"/>
    <w:rsid w:val="00034221"/>
    <w:rsid w:val="000442AE"/>
    <w:rsid w:val="00045B39"/>
    <w:rsid w:val="000463BF"/>
    <w:rsid w:val="00046820"/>
    <w:rsid w:val="000510CD"/>
    <w:rsid w:val="0005130E"/>
    <w:rsid w:val="000525BD"/>
    <w:rsid w:val="00052F76"/>
    <w:rsid w:val="000567FE"/>
    <w:rsid w:val="00057F21"/>
    <w:rsid w:val="0006183E"/>
    <w:rsid w:val="00061B1B"/>
    <w:rsid w:val="00064139"/>
    <w:rsid w:val="00064F13"/>
    <w:rsid w:val="00067441"/>
    <w:rsid w:val="000700D0"/>
    <w:rsid w:val="000722D8"/>
    <w:rsid w:val="0007543D"/>
    <w:rsid w:val="000758A6"/>
    <w:rsid w:val="0007670B"/>
    <w:rsid w:val="00080EA2"/>
    <w:rsid w:val="0008236A"/>
    <w:rsid w:val="000835EE"/>
    <w:rsid w:val="00083EEB"/>
    <w:rsid w:val="00090D0E"/>
    <w:rsid w:val="000927D4"/>
    <w:rsid w:val="0009557E"/>
    <w:rsid w:val="0009599E"/>
    <w:rsid w:val="00095CF0"/>
    <w:rsid w:val="000A05F0"/>
    <w:rsid w:val="000A355F"/>
    <w:rsid w:val="000A550E"/>
    <w:rsid w:val="000A6FC0"/>
    <w:rsid w:val="000A7AF0"/>
    <w:rsid w:val="000B0A22"/>
    <w:rsid w:val="000B1C70"/>
    <w:rsid w:val="000B5E7B"/>
    <w:rsid w:val="000C05D2"/>
    <w:rsid w:val="000C285E"/>
    <w:rsid w:val="000C3141"/>
    <w:rsid w:val="000C32CA"/>
    <w:rsid w:val="000C41A7"/>
    <w:rsid w:val="000D1684"/>
    <w:rsid w:val="000D1DE9"/>
    <w:rsid w:val="000D24AF"/>
    <w:rsid w:val="000D2885"/>
    <w:rsid w:val="000D3447"/>
    <w:rsid w:val="000D3647"/>
    <w:rsid w:val="000D5EC6"/>
    <w:rsid w:val="000E187C"/>
    <w:rsid w:val="000E4C2A"/>
    <w:rsid w:val="000E6C1E"/>
    <w:rsid w:val="000E6F14"/>
    <w:rsid w:val="000E7333"/>
    <w:rsid w:val="000F0568"/>
    <w:rsid w:val="000F2F25"/>
    <w:rsid w:val="000F655D"/>
    <w:rsid w:val="00102015"/>
    <w:rsid w:val="0010490B"/>
    <w:rsid w:val="0010690F"/>
    <w:rsid w:val="00110736"/>
    <w:rsid w:val="00112ABF"/>
    <w:rsid w:val="0011354F"/>
    <w:rsid w:val="00116387"/>
    <w:rsid w:val="0011797A"/>
    <w:rsid w:val="00117A39"/>
    <w:rsid w:val="001200C5"/>
    <w:rsid w:val="001257FE"/>
    <w:rsid w:val="001324B7"/>
    <w:rsid w:val="00132A3A"/>
    <w:rsid w:val="00133B12"/>
    <w:rsid w:val="00133F1E"/>
    <w:rsid w:val="00140C94"/>
    <w:rsid w:val="00144D01"/>
    <w:rsid w:val="00145CB9"/>
    <w:rsid w:val="00146A02"/>
    <w:rsid w:val="001500E8"/>
    <w:rsid w:val="00152F25"/>
    <w:rsid w:val="00160204"/>
    <w:rsid w:val="00160973"/>
    <w:rsid w:val="00160F82"/>
    <w:rsid w:val="0016168A"/>
    <w:rsid w:val="00161EC6"/>
    <w:rsid w:val="0016305F"/>
    <w:rsid w:val="00166FE2"/>
    <w:rsid w:val="001723B4"/>
    <w:rsid w:val="00172C12"/>
    <w:rsid w:val="001732B9"/>
    <w:rsid w:val="0017376C"/>
    <w:rsid w:val="001739C8"/>
    <w:rsid w:val="00177443"/>
    <w:rsid w:val="0018405F"/>
    <w:rsid w:val="001870B1"/>
    <w:rsid w:val="0019238F"/>
    <w:rsid w:val="00195B02"/>
    <w:rsid w:val="001969A4"/>
    <w:rsid w:val="001A1768"/>
    <w:rsid w:val="001A2E0C"/>
    <w:rsid w:val="001A3421"/>
    <w:rsid w:val="001A726F"/>
    <w:rsid w:val="001A7CCF"/>
    <w:rsid w:val="001B0818"/>
    <w:rsid w:val="001B6AEB"/>
    <w:rsid w:val="001B7374"/>
    <w:rsid w:val="001B7703"/>
    <w:rsid w:val="001C081B"/>
    <w:rsid w:val="001C1631"/>
    <w:rsid w:val="001C2B70"/>
    <w:rsid w:val="001C7E22"/>
    <w:rsid w:val="001D03A3"/>
    <w:rsid w:val="001D2371"/>
    <w:rsid w:val="001D2881"/>
    <w:rsid w:val="001D65B6"/>
    <w:rsid w:val="001D6C71"/>
    <w:rsid w:val="001E0E04"/>
    <w:rsid w:val="001E7204"/>
    <w:rsid w:val="001E78EA"/>
    <w:rsid w:val="001F03BB"/>
    <w:rsid w:val="001F084C"/>
    <w:rsid w:val="001F4C9E"/>
    <w:rsid w:val="001F4CF1"/>
    <w:rsid w:val="00200994"/>
    <w:rsid w:val="00200D49"/>
    <w:rsid w:val="002011AB"/>
    <w:rsid w:val="00201439"/>
    <w:rsid w:val="002016BF"/>
    <w:rsid w:val="00201D37"/>
    <w:rsid w:val="00201DCE"/>
    <w:rsid w:val="00202332"/>
    <w:rsid w:val="00205805"/>
    <w:rsid w:val="002139C2"/>
    <w:rsid w:val="002140F4"/>
    <w:rsid w:val="00215586"/>
    <w:rsid w:val="00216D26"/>
    <w:rsid w:val="002252E3"/>
    <w:rsid w:val="00232193"/>
    <w:rsid w:val="00232624"/>
    <w:rsid w:val="002343F3"/>
    <w:rsid w:val="00234C3A"/>
    <w:rsid w:val="00234F46"/>
    <w:rsid w:val="00237517"/>
    <w:rsid w:val="00237631"/>
    <w:rsid w:val="00240865"/>
    <w:rsid w:val="00240B18"/>
    <w:rsid w:val="002452C5"/>
    <w:rsid w:val="0024656E"/>
    <w:rsid w:val="00247054"/>
    <w:rsid w:val="002528B8"/>
    <w:rsid w:val="00254A6C"/>
    <w:rsid w:val="0026460E"/>
    <w:rsid w:val="00266C0F"/>
    <w:rsid w:val="00267583"/>
    <w:rsid w:val="00271ED7"/>
    <w:rsid w:val="00276A7F"/>
    <w:rsid w:val="00277509"/>
    <w:rsid w:val="00282619"/>
    <w:rsid w:val="00287E94"/>
    <w:rsid w:val="00290278"/>
    <w:rsid w:val="002A0E97"/>
    <w:rsid w:val="002A142F"/>
    <w:rsid w:val="002A29F8"/>
    <w:rsid w:val="002A4ABE"/>
    <w:rsid w:val="002B221C"/>
    <w:rsid w:val="002C2831"/>
    <w:rsid w:val="002C4B6E"/>
    <w:rsid w:val="002C671E"/>
    <w:rsid w:val="002C79E9"/>
    <w:rsid w:val="002D0E31"/>
    <w:rsid w:val="002D433F"/>
    <w:rsid w:val="002D516A"/>
    <w:rsid w:val="002D75ED"/>
    <w:rsid w:val="002E0448"/>
    <w:rsid w:val="002E0B17"/>
    <w:rsid w:val="002E325D"/>
    <w:rsid w:val="002E415C"/>
    <w:rsid w:val="002E5641"/>
    <w:rsid w:val="002E6445"/>
    <w:rsid w:val="002E7125"/>
    <w:rsid w:val="002E7EEB"/>
    <w:rsid w:val="002F1018"/>
    <w:rsid w:val="002F2A33"/>
    <w:rsid w:val="002F62C7"/>
    <w:rsid w:val="002F64D6"/>
    <w:rsid w:val="003061F9"/>
    <w:rsid w:val="00306718"/>
    <w:rsid w:val="00310415"/>
    <w:rsid w:val="0031161E"/>
    <w:rsid w:val="003116A3"/>
    <w:rsid w:val="00321CE4"/>
    <w:rsid w:val="003237EE"/>
    <w:rsid w:val="003311E1"/>
    <w:rsid w:val="0033395D"/>
    <w:rsid w:val="003358A7"/>
    <w:rsid w:val="00337D08"/>
    <w:rsid w:val="00340FDF"/>
    <w:rsid w:val="00351481"/>
    <w:rsid w:val="003515CF"/>
    <w:rsid w:val="0035375F"/>
    <w:rsid w:val="00353D11"/>
    <w:rsid w:val="00354552"/>
    <w:rsid w:val="003550CB"/>
    <w:rsid w:val="003608D0"/>
    <w:rsid w:val="003613AC"/>
    <w:rsid w:val="00361422"/>
    <w:rsid w:val="00364844"/>
    <w:rsid w:val="00364E44"/>
    <w:rsid w:val="0037354D"/>
    <w:rsid w:val="003750FB"/>
    <w:rsid w:val="003751D4"/>
    <w:rsid w:val="00376949"/>
    <w:rsid w:val="003809A5"/>
    <w:rsid w:val="00380D5D"/>
    <w:rsid w:val="00385EF8"/>
    <w:rsid w:val="003868EB"/>
    <w:rsid w:val="00390ECB"/>
    <w:rsid w:val="00391C15"/>
    <w:rsid w:val="00394EF3"/>
    <w:rsid w:val="00395FDF"/>
    <w:rsid w:val="003A0DDA"/>
    <w:rsid w:val="003A1A4B"/>
    <w:rsid w:val="003A2124"/>
    <w:rsid w:val="003A416F"/>
    <w:rsid w:val="003A41CD"/>
    <w:rsid w:val="003A5866"/>
    <w:rsid w:val="003A77E6"/>
    <w:rsid w:val="003B015F"/>
    <w:rsid w:val="003B1241"/>
    <w:rsid w:val="003B23C3"/>
    <w:rsid w:val="003B6539"/>
    <w:rsid w:val="003C054E"/>
    <w:rsid w:val="003C0E7B"/>
    <w:rsid w:val="003C2173"/>
    <w:rsid w:val="003C5B80"/>
    <w:rsid w:val="003C640E"/>
    <w:rsid w:val="003C6EA7"/>
    <w:rsid w:val="003C701D"/>
    <w:rsid w:val="003C7323"/>
    <w:rsid w:val="003C74EB"/>
    <w:rsid w:val="003C7D36"/>
    <w:rsid w:val="003D241C"/>
    <w:rsid w:val="003D2B81"/>
    <w:rsid w:val="003D3013"/>
    <w:rsid w:val="003E28DC"/>
    <w:rsid w:val="003E4776"/>
    <w:rsid w:val="003E6D17"/>
    <w:rsid w:val="003F05DE"/>
    <w:rsid w:val="003F0B95"/>
    <w:rsid w:val="003F10C0"/>
    <w:rsid w:val="003F2798"/>
    <w:rsid w:val="003F63E6"/>
    <w:rsid w:val="00400F0B"/>
    <w:rsid w:val="00401765"/>
    <w:rsid w:val="004039F2"/>
    <w:rsid w:val="00404CFB"/>
    <w:rsid w:val="00405A7A"/>
    <w:rsid w:val="00405A86"/>
    <w:rsid w:val="004111C6"/>
    <w:rsid w:val="00412048"/>
    <w:rsid w:val="0041509F"/>
    <w:rsid w:val="00415143"/>
    <w:rsid w:val="00416CE3"/>
    <w:rsid w:val="004276FD"/>
    <w:rsid w:val="00430FF4"/>
    <w:rsid w:val="004333A0"/>
    <w:rsid w:val="00444877"/>
    <w:rsid w:val="00455F98"/>
    <w:rsid w:val="00455FC7"/>
    <w:rsid w:val="00456074"/>
    <w:rsid w:val="004568C2"/>
    <w:rsid w:val="00457C2B"/>
    <w:rsid w:val="0046074D"/>
    <w:rsid w:val="00463E27"/>
    <w:rsid w:val="00464B71"/>
    <w:rsid w:val="00466968"/>
    <w:rsid w:val="004742F6"/>
    <w:rsid w:val="00476927"/>
    <w:rsid w:val="00476D0A"/>
    <w:rsid w:val="00476FAF"/>
    <w:rsid w:val="00480215"/>
    <w:rsid w:val="004842EC"/>
    <w:rsid w:val="00484BDA"/>
    <w:rsid w:val="00494A35"/>
    <w:rsid w:val="00496054"/>
    <w:rsid w:val="0049634F"/>
    <w:rsid w:val="00496BF4"/>
    <w:rsid w:val="004A14E6"/>
    <w:rsid w:val="004A3D54"/>
    <w:rsid w:val="004B06D0"/>
    <w:rsid w:val="004B1BC7"/>
    <w:rsid w:val="004B34E4"/>
    <w:rsid w:val="004B6180"/>
    <w:rsid w:val="004B7C0A"/>
    <w:rsid w:val="004C31A6"/>
    <w:rsid w:val="004C6826"/>
    <w:rsid w:val="004D1A94"/>
    <w:rsid w:val="004D23BD"/>
    <w:rsid w:val="004D7CD8"/>
    <w:rsid w:val="004E5E4F"/>
    <w:rsid w:val="004E7FE9"/>
    <w:rsid w:val="004F0587"/>
    <w:rsid w:val="004F0B6A"/>
    <w:rsid w:val="004F2665"/>
    <w:rsid w:val="004F2B82"/>
    <w:rsid w:val="004F5381"/>
    <w:rsid w:val="004F7B48"/>
    <w:rsid w:val="00502664"/>
    <w:rsid w:val="00504A96"/>
    <w:rsid w:val="005053FF"/>
    <w:rsid w:val="00506750"/>
    <w:rsid w:val="00513367"/>
    <w:rsid w:val="005147B4"/>
    <w:rsid w:val="005162D2"/>
    <w:rsid w:val="005217C3"/>
    <w:rsid w:val="00523EF2"/>
    <w:rsid w:val="005249B0"/>
    <w:rsid w:val="00524B96"/>
    <w:rsid w:val="00530CB5"/>
    <w:rsid w:val="00530CE6"/>
    <w:rsid w:val="005316C2"/>
    <w:rsid w:val="00532DD3"/>
    <w:rsid w:val="00544212"/>
    <w:rsid w:val="00544DC4"/>
    <w:rsid w:val="0054512B"/>
    <w:rsid w:val="005535EF"/>
    <w:rsid w:val="005562C7"/>
    <w:rsid w:val="00556B01"/>
    <w:rsid w:val="00556C36"/>
    <w:rsid w:val="0056125F"/>
    <w:rsid w:val="00563537"/>
    <w:rsid w:val="00563B03"/>
    <w:rsid w:val="0056585E"/>
    <w:rsid w:val="00565EF2"/>
    <w:rsid w:val="00566893"/>
    <w:rsid w:val="00567D59"/>
    <w:rsid w:val="00575A70"/>
    <w:rsid w:val="005765CE"/>
    <w:rsid w:val="00585302"/>
    <w:rsid w:val="005909F5"/>
    <w:rsid w:val="00593FD5"/>
    <w:rsid w:val="005953E6"/>
    <w:rsid w:val="00596363"/>
    <w:rsid w:val="00596CA7"/>
    <w:rsid w:val="005A1AD5"/>
    <w:rsid w:val="005A287A"/>
    <w:rsid w:val="005A3D2E"/>
    <w:rsid w:val="005A41C7"/>
    <w:rsid w:val="005A4BA1"/>
    <w:rsid w:val="005B3CCA"/>
    <w:rsid w:val="005B4D1B"/>
    <w:rsid w:val="005B558C"/>
    <w:rsid w:val="005B61FB"/>
    <w:rsid w:val="005C2B5F"/>
    <w:rsid w:val="005C4D39"/>
    <w:rsid w:val="005C737D"/>
    <w:rsid w:val="005D3062"/>
    <w:rsid w:val="005D3E66"/>
    <w:rsid w:val="005D44E1"/>
    <w:rsid w:val="005D5D9B"/>
    <w:rsid w:val="005E5226"/>
    <w:rsid w:val="005E672C"/>
    <w:rsid w:val="005F1220"/>
    <w:rsid w:val="005F4080"/>
    <w:rsid w:val="005F4913"/>
    <w:rsid w:val="005F6989"/>
    <w:rsid w:val="005F756E"/>
    <w:rsid w:val="0060731C"/>
    <w:rsid w:val="0061232D"/>
    <w:rsid w:val="006130F7"/>
    <w:rsid w:val="00613E06"/>
    <w:rsid w:val="00614E28"/>
    <w:rsid w:val="00614E50"/>
    <w:rsid w:val="00616930"/>
    <w:rsid w:val="006208CE"/>
    <w:rsid w:val="006220B3"/>
    <w:rsid w:val="00623ACC"/>
    <w:rsid w:val="00624BC7"/>
    <w:rsid w:val="006255BD"/>
    <w:rsid w:val="00626FB6"/>
    <w:rsid w:val="00627F4A"/>
    <w:rsid w:val="006326D1"/>
    <w:rsid w:val="006342A6"/>
    <w:rsid w:val="006344A3"/>
    <w:rsid w:val="00636A2B"/>
    <w:rsid w:val="006377E4"/>
    <w:rsid w:val="00637BDC"/>
    <w:rsid w:val="006400E4"/>
    <w:rsid w:val="0064126A"/>
    <w:rsid w:val="00642869"/>
    <w:rsid w:val="00644D13"/>
    <w:rsid w:val="00647968"/>
    <w:rsid w:val="00652D05"/>
    <w:rsid w:val="0065307E"/>
    <w:rsid w:val="00653B10"/>
    <w:rsid w:val="006540CE"/>
    <w:rsid w:val="00660B31"/>
    <w:rsid w:val="006612D5"/>
    <w:rsid w:val="0066294E"/>
    <w:rsid w:val="0066464A"/>
    <w:rsid w:val="0066516D"/>
    <w:rsid w:val="006678F8"/>
    <w:rsid w:val="006725AE"/>
    <w:rsid w:val="00672EB9"/>
    <w:rsid w:val="00674560"/>
    <w:rsid w:val="006768F6"/>
    <w:rsid w:val="006770CB"/>
    <w:rsid w:val="00677593"/>
    <w:rsid w:val="00677C81"/>
    <w:rsid w:val="006834CB"/>
    <w:rsid w:val="006835C3"/>
    <w:rsid w:val="00685A96"/>
    <w:rsid w:val="00687336"/>
    <w:rsid w:val="00690000"/>
    <w:rsid w:val="00692296"/>
    <w:rsid w:val="00695ADE"/>
    <w:rsid w:val="006976B4"/>
    <w:rsid w:val="006A0F69"/>
    <w:rsid w:val="006A2C54"/>
    <w:rsid w:val="006A4DA7"/>
    <w:rsid w:val="006A6020"/>
    <w:rsid w:val="006A702C"/>
    <w:rsid w:val="006B5C3A"/>
    <w:rsid w:val="006C02E8"/>
    <w:rsid w:val="006C1127"/>
    <w:rsid w:val="006C231C"/>
    <w:rsid w:val="006C4438"/>
    <w:rsid w:val="006C561B"/>
    <w:rsid w:val="006C5E79"/>
    <w:rsid w:val="006C6A2A"/>
    <w:rsid w:val="006D43F6"/>
    <w:rsid w:val="006D5C2B"/>
    <w:rsid w:val="006D6766"/>
    <w:rsid w:val="006E03D3"/>
    <w:rsid w:val="006E1E82"/>
    <w:rsid w:val="006F1A20"/>
    <w:rsid w:val="006F3EF1"/>
    <w:rsid w:val="006F42AD"/>
    <w:rsid w:val="006F607B"/>
    <w:rsid w:val="006F788F"/>
    <w:rsid w:val="006F7FEC"/>
    <w:rsid w:val="00700D65"/>
    <w:rsid w:val="00702003"/>
    <w:rsid w:val="0070295E"/>
    <w:rsid w:val="00704C8B"/>
    <w:rsid w:val="007058CB"/>
    <w:rsid w:val="0071373E"/>
    <w:rsid w:val="00713EE9"/>
    <w:rsid w:val="00716F49"/>
    <w:rsid w:val="0072113F"/>
    <w:rsid w:val="00722147"/>
    <w:rsid w:val="00723BA0"/>
    <w:rsid w:val="00727C44"/>
    <w:rsid w:val="007306FF"/>
    <w:rsid w:val="007307F1"/>
    <w:rsid w:val="00734253"/>
    <w:rsid w:val="00736F9A"/>
    <w:rsid w:val="007379CA"/>
    <w:rsid w:val="00741AB3"/>
    <w:rsid w:val="00742C9D"/>
    <w:rsid w:val="0074397C"/>
    <w:rsid w:val="00745181"/>
    <w:rsid w:val="007451E8"/>
    <w:rsid w:val="00751988"/>
    <w:rsid w:val="007525F3"/>
    <w:rsid w:val="00753CFD"/>
    <w:rsid w:val="00753DF7"/>
    <w:rsid w:val="007561E6"/>
    <w:rsid w:val="007601A4"/>
    <w:rsid w:val="00760303"/>
    <w:rsid w:val="00762567"/>
    <w:rsid w:val="007629B6"/>
    <w:rsid w:val="00767A6F"/>
    <w:rsid w:val="00770456"/>
    <w:rsid w:val="007719DA"/>
    <w:rsid w:val="00773886"/>
    <w:rsid w:val="0077513D"/>
    <w:rsid w:val="00776EE8"/>
    <w:rsid w:val="00777AE3"/>
    <w:rsid w:val="007875D2"/>
    <w:rsid w:val="007942D8"/>
    <w:rsid w:val="007978AF"/>
    <w:rsid w:val="007A00DA"/>
    <w:rsid w:val="007A0652"/>
    <w:rsid w:val="007A0E02"/>
    <w:rsid w:val="007A3FA7"/>
    <w:rsid w:val="007A6E51"/>
    <w:rsid w:val="007A7810"/>
    <w:rsid w:val="007B13D3"/>
    <w:rsid w:val="007B5472"/>
    <w:rsid w:val="007B7CD4"/>
    <w:rsid w:val="007C13A4"/>
    <w:rsid w:val="007C26CD"/>
    <w:rsid w:val="007C294A"/>
    <w:rsid w:val="007C72ED"/>
    <w:rsid w:val="007D0A52"/>
    <w:rsid w:val="007D0F4E"/>
    <w:rsid w:val="007D2BA7"/>
    <w:rsid w:val="007D45CE"/>
    <w:rsid w:val="007E134A"/>
    <w:rsid w:val="007E1857"/>
    <w:rsid w:val="007E1962"/>
    <w:rsid w:val="007E29BC"/>
    <w:rsid w:val="007E306F"/>
    <w:rsid w:val="007E3108"/>
    <w:rsid w:val="007E41C9"/>
    <w:rsid w:val="007E420E"/>
    <w:rsid w:val="007E5764"/>
    <w:rsid w:val="007F167A"/>
    <w:rsid w:val="007F3222"/>
    <w:rsid w:val="007F3E00"/>
    <w:rsid w:val="007F601F"/>
    <w:rsid w:val="00820FE2"/>
    <w:rsid w:val="00823113"/>
    <w:rsid w:val="00834139"/>
    <w:rsid w:val="00834AD0"/>
    <w:rsid w:val="008400AA"/>
    <w:rsid w:val="0084255A"/>
    <w:rsid w:val="0084416B"/>
    <w:rsid w:val="00844F41"/>
    <w:rsid w:val="00844FB4"/>
    <w:rsid w:val="00845FF1"/>
    <w:rsid w:val="00850010"/>
    <w:rsid w:val="008519C5"/>
    <w:rsid w:val="00851EBC"/>
    <w:rsid w:val="0085479B"/>
    <w:rsid w:val="008611CF"/>
    <w:rsid w:val="00862A6F"/>
    <w:rsid w:val="00866243"/>
    <w:rsid w:val="008670E7"/>
    <w:rsid w:val="00870F35"/>
    <w:rsid w:val="00874E0E"/>
    <w:rsid w:val="008756B2"/>
    <w:rsid w:val="00875BA5"/>
    <w:rsid w:val="0088213F"/>
    <w:rsid w:val="00886C8E"/>
    <w:rsid w:val="00886CC8"/>
    <w:rsid w:val="00886DC4"/>
    <w:rsid w:val="00887B8E"/>
    <w:rsid w:val="008911AE"/>
    <w:rsid w:val="008923A3"/>
    <w:rsid w:val="00897C2E"/>
    <w:rsid w:val="008A183B"/>
    <w:rsid w:val="008A19A4"/>
    <w:rsid w:val="008B12FD"/>
    <w:rsid w:val="008B51D2"/>
    <w:rsid w:val="008B64C0"/>
    <w:rsid w:val="008C02B6"/>
    <w:rsid w:val="008D1E7F"/>
    <w:rsid w:val="008D2FCF"/>
    <w:rsid w:val="008D69D5"/>
    <w:rsid w:val="008E14CA"/>
    <w:rsid w:val="008E215D"/>
    <w:rsid w:val="008F006E"/>
    <w:rsid w:val="008F2C80"/>
    <w:rsid w:val="008F7710"/>
    <w:rsid w:val="00901478"/>
    <w:rsid w:val="00903934"/>
    <w:rsid w:val="0090479A"/>
    <w:rsid w:val="009049B5"/>
    <w:rsid w:val="00905150"/>
    <w:rsid w:val="00905BE7"/>
    <w:rsid w:val="009074BB"/>
    <w:rsid w:val="0091000D"/>
    <w:rsid w:val="00914D09"/>
    <w:rsid w:val="009160F6"/>
    <w:rsid w:val="009223B2"/>
    <w:rsid w:val="00922A6B"/>
    <w:rsid w:val="0092436F"/>
    <w:rsid w:val="00924B78"/>
    <w:rsid w:val="0092736A"/>
    <w:rsid w:val="00932DC6"/>
    <w:rsid w:val="009344CF"/>
    <w:rsid w:val="0093697F"/>
    <w:rsid w:val="00947E39"/>
    <w:rsid w:val="009502AA"/>
    <w:rsid w:val="00950497"/>
    <w:rsid w:val="00950DDD"/>
    <w:rsid w:val="009536AF"/>
    <w:rsid w:val="00954E82"/>
    <w:rsid w:val="00964B37"/>
    <w:rsid w:val="00967B85"/>
    <w:rsid w:val="009700B7"/>
    <w:rsid w:val="00970163"/>
    <w:rsid w:val="00972351"/>
    <w:rsid w:val="0097257D"/>
    <w:rsid w:val="00973AB5"/>
    <w:rsid w:val="0098317D"/>
    <w:rsid w:val="00983E65"/>
    <w:rsid w:val="00986080"/>
    <w:rsid w:val="00986A1B"/>
    <w:rsid w:val="00992BA6"/>
    <w:rsid w:val="009935EF"/>
    <w:rsid w:val="00994D8B"/>
    <w:rsid w:val="00994FD2"/>
    <w:rsid w:val="0099672C"/>
    <w:rsid w:val="00997C33"/>
    <w:rsid w:val="009A16EB"/>
    <w:rsid w:val="009A2EF4"/>
    <w:rsid w:val="009A3680"/>
    <w:rsid w:val="009A3FAF"/>
    <w:rsid w:val="009A49AD"/>
    <w:rsid w:val="009A5439"/>
    <w:rsid w:val="009A76DC"/>
    <w:rsid w:val="009B1EDD"/>
    <w:rsid w:val="009B4C65"/>
    <w:rsid w:val="009B6E8A"/>
    <w:rsid w:val="009B7812"/>
    <w:rsid w:val="009C0620"/>
    <w:rsid w:val="009C3FAB"/>
    <w:rsid w:val="009C6989"/>
    <w:rsid w:val="009D29C4"/>
    <w:rsid w:val="009D5F34"/>
    <w:rsid w:val="009E0BFF"/>
    <w:rsid w:val="009E2E14"/>
    <w:rsid w:val="009E533D"/>
    <w:rsid w:val="009F094D"/>
    <w:rsid w:val="009F1954"/>
    <w:rsid w:val="009F29EF"/>
    <w:rsid w:val="009F3033"/>
    <w:rsid w:val="009F403A"/>
    <w:rsid w:val="009F4E35"/>
    <w:rsid w:val="009F6534"/>
    <w:rsid w:val="009F73FA"/>
    <w:rsid w:val="00A00A93"/>
    <w:rsid w:val="00A01D70"/>
    <w:rsid w:val="00A028E1"/>
    <w:rsid w:val="00A03524"/>
    <w:rsid w:val="00A03CC1"/>
    <w:rsid w:val="00A103F8"/>
    <w:rsid w:val="00A13DD4"/>
    <w:rsid w:val="00A15D09"/>
    <w:rsid w:val="00A21D17"/>
    <w:rsid w:val="00A23E08"/>
    <w:rsid w:val="00A23F19"/>
    <w:rsid w:val="00A25414"/>
    <w:rsid w:val="00A25A28"/>
    <w:rsid w:val="00A30712"/>
    <w:rsid w:val="00A309CF"/>
    <w:rsid w:val="00A32163"/>
    <w:rsid w:val="00A3369C"/>
    <w:rsid w:val="00A3404A"/>
    <w:rsid w:val="00A371EA"/>
    <w:rsid w:val="00A40144"/>
    <w:rsid w:val="00A40519"/>
    <w:rsid w:val="00A44201"/>
    <w:rsid w:val="00A44436"/>
    <w:rsid w:val="00A508DA"/>
    <w:rsid w:val="00A52E73"/>
    <w:rsid w:val="00A53951"/>
    <w:rsid w:val="00A55B87"/>
    <w:rsid w:val="00A568D6"/>
    <w:rsid w:val="00A620B4"/>
    <w:rsid w:val="00A629CE"/>
    <w:rsid w:val="00A657C2"/>
    <w:rsid w:val="00A66AD8"/>
    <w:rsid w:val="00A70E37"/>
    <w:rsid w:val="00A7211C"/>
    <w:rsid w:val="00A8242A"/>
    <w:rsid w:val="00A94BD7"/>
    <w:rsid w:val="00AA0BC0"/>
    <w:rsid w:val="00AA0CAD"/>
    <w:rsid w:val="00AA2722"/>
    <w:rsid w:val="00AA3688"/>
    <w:rsid w:val="00AA64CE"/>
    <w:rsid w:val="00AA72DD"/>
    <w:rsid w:val="00AA749A"/>
    <w:rsid w:val="00AB001F"/>
    <w:rsid w:val="00AB1CF7"/>
    <w:rsid w:val="00AB21E4"/>
    <w:rsid w:val="00AB23FE"/>
    <w:rsid w:val="00AB3610"/>
    <w:rsid w:val="00AB52F7"/>
    <w:rsid w:val="00AB6915"/>
    <w:rsid w:val="00AB798A"/>
    <w:rsid w:val="00AC3D87"/>
    <w:rsid w:val="00AC4FA3"/>
    <w:rsid w:val="00AC70FF"/>
    <w:rsid w:val="00AD2111"/>
    <w:rsid w:val="00AD4219"/>
    <w:rsid w:val="00AD68BD"/>
    <w:rsid w:val="00AE137F"/>
    <w:rsid w:val="00AE1F9E"/>
    <w:rsid w:val="00AE3846"/>
    <w:rsid w:val="00AE4ABC"/>
    <w:rsid w:val="00AE7062"/>
    <w:rsid w:val="00AE7779"/>
    <w:rsid w:val="00AF08DB"/>
    <w:rsid w:val="00AF1E37"/>
    <w:rsid w:val="00AF1F5F"/>
    <w:rsid w:val="00AF2BAE"/>
    <w:rsid w:val="00B00F88"/>
    <w:rsid w:val="00B01C9A"/>
    <w:rsid w:val="00B057C8"/>
    <w:rsid w:val="00B0623E"/>
    <w:rsid w:val="00B07ABA"/>
    <w:rsid w:val="00B14A5D"/>
    <w:rsid w:val="00B15592"/>
    <w:rsid w:val="00B20DE8"/>
    <w:rsid w:val="00B218C8"/>
    <w:rsid w:val="00B2216A"/>
    <w:rsid w:val="00B267FE"/>
    <w:rsid w:val="00B278FE"/>
    <w:rsid w:val="00B30536"/>
    <w:rsid w:val="00B30BC1"/>
    <w:rsid w:val="00B30BEB"/>
    <w:rsid w:val="00B33F13"/>
    <w:rsid w:val="00B3448E"/>
    <w:rsid w:val="00B3503E"/>
    <w:rsid w:val="00B36E83"/>
    <w:rsid w:val="00B37298"/>
    <w:rsid w:val="00B40E38"/>
    <w:rsid w:val="00B42FF8"/>
    <w:rsid w:val="00B43CD9"/>
    <w:rsid w:val="00B44116"/>
    <w:rsid w:val="00B44FD7"/>
    <w:rsid w:val="00B45083"/>
    <w:rsid w:val="00B51622"/>
    <w:rsid w:val="00B522C2"/>
    <w:rsid w:val="00B543C8"/>
    <w:rsid w:val="00B5578E"/>
    <w:rsid w:val="00B570D7"/>
    <w:rsid w:val="00B575F5"/>
    <w:rsid w:val="00B60800"/>
    <w:rsid w:val="00B6340F"/>
    <w:rsid w:val="00B707B7"/>
    <w:rsid w:val="00B71383"/>
    <w:rsid w:val="00B7380B"/>
    <w:rsid w:val="00B74A65"/>
    <w:rsid w:val="00B81151"/>
    <w:rsid w:val="00B81162"/>
    <w:rsid w:val="00B85488"/>
    <w:rsid w:val="00B86059"/>
    <w:rsid w:val="00B950D2"/>
    <w:rsid w:val="00B96F57"/>
    <w:rsid w:val="00BA138F"/>
    <w:rsid w:val="00BA264F"/>
    <w:rsid w:val="00BA58FB"/>
    <w:rsid w:val="00BA7915"/>
    <w:rsid w:val="00BB0592"/>
    <w:rsid w:val="00BB119B"/>
    <w:rsid w:val="00BB271C"/>
    <w:rsid w:val="00BB38B9"/>
    <w:rsid w:val="00BB53CE"/>
    <w:rsid w:val="00BB6B55"/>
    <w:rsid w:val="00BC45CE"/>
    <w:rsid w:val="00BC49FF"/>
    <w:rsid w:val="00BC6D5E"/>
    <w:rsid w:val="00BD2661"/>
    <w:rsid w:val="00BD2B16"/>
    <w:rsid w:val="00BE0A29"/>
    <w:rsid w:val="00BE544B"/>
    <w:rsid w:val="00BF00C5"/>
    <w:rsid w:val="00BF060B"/>
    <w:rsid w:val="00BF291B"/>
    <w:rsid w:val="00BF3F1B"/>
    <w:rsid w:val="00BF3FBF"/>
    <w:rsid w:val="00BF61ED"/>
    <w:rsid w:val="00C019F7"/>
    <w:rsid w:val="00C034FA"/>
    <w:rsid w:val="00C04A19"/>
    <w:rsid w:val="00C0547F"/>
    <w:rsid w:val="00C13A7E"/>
    <w:rsid w:val="00C150DD"/>
    <w:rsid w:val="00C17383"/>
    <w:rsid w:val="00C174A3"/>
    <w:rsid w:val="00C17C93"/>
    <w:rsid w:val="00C209D5"/>
    <w:rsid w:val="00C24649"/>
    <w:rsid w:val="00C24E8B"/>
    <w:rsid w:val="00C26EB2"/>
    <w:rsid w:val="00C319B3"/>
    <w:rsid w:val="00C31A51"/>
    <w:rsid w:val="00C31EC3"/>
    <w:rsid w:val="00C32964"/>
    <w:rsid w:val="00C33003"/>
    <w:rsid w:val="00C34E9D"/>
    <w:rsid w:val="00C36307"/>
    <w:rsid w:val="00C3679F"/>
    <w:rsid w:val="00C36C16"/>
    <w:rsid w:val="00C41F5A"/>
    <w:rsid w:val="00C423D9"/>
    <w:rsid w:val="00C46D03"/>
    <w:rsid w:val="00C53107"/>
    <w:rsid w:val="00C61F8B"/>
    <w:rsid w:val="00C64371"/>
    <w:rsid w:val="00C646D7"/>
    <w:rsid w:val="00C668BB"/>
    <w:rsid w:val="00C67064"/>
    <w:rsid w:val="00C7286D"/>
    <w:rsid w:val="00C72D52"/>
    <w:rsid w:val="00C74F92"/>
    <w:rsid w:val="00C76F4A"/>
    <w:rsid w:val="00C773E2"/>
    <w:rsid w:val="00C830CB"/>
    <w:rsid w:val="00C867ED"/>
    <w:rsid w:val="00C86FCF"/>
    <w:rsid w:val="00C95F56"/>
    <w:rsid w:val="00CA10D3"/>
    <w:rsid w:val="00CA40F7"/>
    <w:rsid w:val="00CA470F"/>
    <w:rsid w:val="00CA4D0A"/>
    <w:rsid w:val="00CA5108"/>
    <w:rsid w:val="00CB05C3"/>
    <w:rsid w:val="00CB198D"/>
    <w:rsid w:val="00CB4F29"/>
    <w:rsid w:val="00CB7EB4"/>
    <w:rsid w:val="00CC339E"/>
    <w:rsid w:val="00CC3E28"/>
    <w:rsid w:val="00CD0920"/>
    <w:rsid w:val="00CD3216"/>
    <w:rsid w:val="00CD461D"/>
    <w:rsid w:val="00CD5462"/>
    <w:rsid w:val="00CD5BA9"/>
    <w:rsid w:val="00CE1920"/>
    <w:rsid w:val="00CE4040"/>
    <w:rsid w:val="00CE5FA7"/>
    <w:rsid w:val="00CF3924"/>
    <w:rsid w:val="00CF4C69"/>
    <w:rsid w:val="00D00906"/>
    <w:rsid w:val="00D0161F"/>
    <w:rsid w:val="00D02BEE"/>
    <w:rsid w:val="00D05638"/>
    <w:rsid w:val="00D05710"/>
    <w:rsid w:val="00D066B4"/>
    <w:rsid w:val="00D06FCE"/>
    <w:rsid w:val="00D10DE7"/>
    <w:rsid w:val="00D117B5"/>
    <w:rsid w:val="00D11C3A"/>
    <w:rsid w:val="00D11EAD"/>
    <w:rsid w:val="00D12B41"/>
    <w:rsid w:val="00D13B95"/>
    <w:rsid w:val="00D17D0E"/>
    <w:rsid w:val="00D22D41"/>
    <w:rsid w:val="00D245C3"/>
    <w:rsid w:val="00D24D99"/>
    <w:rsid w:val="00D27855"/>
    <w:rsid w:val="00D333B2"/>
    <w:rsid w:val="00D3354F"/>
    <w:rsid w:val="00D34A01"/>
    <w:rsid w:val="00D35653"/>
    <w:rsid w:val="00D36515"/>
    <w:rsid w:val="00D41945"/>
    <w:rsid w:val="00D427B5"/>
    <w:rsid w:val="00D444C9"/>
    <w:rsid w:val="00D44642"/>
    <w:rsid w:val="00D4598F"/>
    <w:rsid w:val="00D46A90"/>
    <w:rsid w:val="00D46EC9"/>
    <w:rsid w:val="00D4770D"/>
    <w:rsid w:val="00D4779B"/>
    <w:rsid w:val="00D50C0E"/>
    <w:rsid w:val="00D50F8D"/>
    <w:rsid w:val="00D52365"/>
    <w:rsid w:val="00D52E29"/>
    <w:rsid w:val="00D539EC"/>
    <w:rsid w:val="00D55AEB"/>
    <w:rsid w:val="00D5623A"/>
    <w:rsid w:val="00D5668C"/>
    <w:rsid w:val="00D5773A"/>
    <w:rsid w:val="00D614D4"/>
    <w:rsid w:val="00D72B81"/>
    <w:rsid w:val="00D7559B"/>
    <w:rsid w:val="00D75C34"/>
    <w:rsid w:val="00D76C29"/>
    <w:rsid w:val="00D80646"/>
    <w:rsid w:val="00D82A2C"/>
    <w:rsid w:val="00D83C77"/>
    <w:rsid w:val="00D85996"/>
    <w:rsid w:val="00D90C29"/>
    <w:rsid w:val="00D94695"/>
    <w:rsid w:val="00D96535"/>
    <w:rsid w:val="00DA1CA4"/>
    <w:rsid w:val="00DA1D70"/>
    <w:rsid w:val="00DA2F86"/>
    <w:rsid w:val="00DA30E9"/>
    <w:rsid w:val="00DA4420"/>
    <w:rsid w:val="00DA7189"/>
    <w:rsid w:val="00DB4047"/>
    <w:rsid w:val="00DB4DCE"/>
    <w:rsid w:val="00DB5AE6"/>
    <w:rsid w:val="00DB6876"/>
    <w:rsid w:val="00DC5178"/>
    <w:rsid w:val="00DC7000"/>
    <w:rsid w:val="00DC7D17"/>
    <w:rsid w:val="00DC7F25"/>
    <w:rsid w:val="00DD31D0"/>
    <w:rsid w:val="00DD4F2B"/>
    <w:rsid w:val="00DE0B7B"/>
    <w:rsid w:val="00DE13E0"/>
    <w:rsid w:val="00DE2B4F"/>
    <w:rsid w:val="00DE44DE"/>
    <w:rsid w:val="00DE4C32"/>
    <w:rsid w:val="00DE4F14"/>
    <w:rsid w:val="00DE7B57"/>
    <w:rsid w:val="00DF0B5E"/>
    <w:rsid w:val="00DF18DC"/>
    <w:rsid w:val="00DF1DFB"/>
    <w:rsid w:val="00DF42B5"/>
    <w:rsid w:val="00DF5D87"/>
    <w:rsid w:val="00DF6C07"/>
    <w:rsid w:val="00DF6C63"/>
    <w:rsid w:val="00DF7276"/>
    <w:rsid w:val="00E003D1"/>
    <w:rsid w:val="00E02903"/>
    <w:rsid w:val="00E03670"/>
    <w:rsid w:val="00E0500E"/>
    <w:rsid w:val="00E05A91"/>
    <w:rsid w:val="00E05AAE"/>
    <w:rsid w:val="00E06E2B"/>
    <w:rsid w:val="00E10C8D"/>
    <w:rsid w:val="00E123C9"/>
    <w:rsid w:val="00E1342A"/>
    <w:rsid w:val="00E13746"/>
    <w:rsid w:val="00E138A2"/>
    <w:rsid w:val="00E155BB"/>
    <w:rsid w:val="00E15DD6"/>
    <w:rsid w:val="00E16ADE"/>
    <w:rsid w:val="00E174A4"/>
    <w:rsid w:val="00E214EC"/>
    <w:rsid w:val="00E231C5"/>
    <w:rsid w:val="00E27D40"/>
    <w:rsid w:val="00E31056"/>
    <w:rsid w:val="00E3573E"/>
    <w:rsid w:val="00E41020"/>
    <w:rsid w:val="00E41B06"/>
    <w:rsid w:val="00E42CE2"/>
    <w:rsid w:val="00E43D14"/>
    <w:rsid w:val="00E444B1"/>
    <w:rsid w:val="00E5466E"/>
    <w:rsid w:val="00E5655E"/>
    <w:rsid w:val="00E56E23"/>
    <w:rsid w:val="00E63040"/>
    <w:rsid w:val="00E63FA0"/>
    <w:rsid w:val="00E65E1D"/>
    <w:rsid w:val="00E67CDD"/>
    <w:rsid w:val="00E71DB9"/>
    <w:rsid w:val="00E74D38"/>
    <w:rsid w:val="00E804A1"/>
    <w:rsid w:val="00E81DCA"/>
    <w:rsid w:val="00E838D9"/>
    <w:rsid w:val="00E84BE8"/>
    <w:rsid w:val="00E928A9"/>
    <w:rsid w:val="00E97432"/>
    <w:rsid w:val="00EA6A76"/>
    <w:rsid w:val="00EA77F9"/>
    <w:rsid w:val="00EB0903"/>
    <w:rsid w:val="00EB27E7"/>
    <w:rsid w:val="00EB60A5"/>
    <w:rsid w:val="00EB6972"/>
    <w:rsid w:val="00EB6A6B"/>
    <w:rsid w:val="00EB7962"/>
    <w:rsid w:val="00EC08DA"/>
    <w:rsid w:val="00EC0EFF"/>
    <w:rsid w:val="00EC206B"/>
    <w:rsid w:val="00EC76E2"/>
    <w:rsid w:val="00ED00B5"/>
    <w:rsid w:val="00ED06AE"/>
    <w:rsid w:val="00ED5046"/>
    <w:rsid w:val="00ED6377"/>
    <w:rsid w:val="00ED6864"/>
    <w:rsid w:val="00EE1181"/>
    <w:rsid w:val="00EE1303"/>
    <w:rsid w:val="00EE501E"/>
    <w:rsid w:val="00EF0BBE"/>
    <w:rsid w:val="00EF0DBA"/>
    <w:rsid w:val="00EF32E6"/>
    <w:rsid w:val="00F006D0"/>
    <w:rsid w:val="00F00A4F"/>
    <w:rsid w:val="00F018BE"/>
    <w:rsid w:val="00F028AC"/>
    <w:rsid w:val="00F06B69"/>
    <w:rsid w:val="00F1173C"/>
    <w:rsid w:val="00F16AE3"/>
    <w:rsid w:val="00F244D3"/>
    <w:rsid w:val="00F25BFF"/>
    <w:rsid w:val="00F25DA7"/>
    <w:rsid w:val="00F275B5"/>
    <w:rsid w:val="00F27796"/>
    <w:rsid w:val="00F30DB0"/>
    <w:rsid w:val="00F31BF3"/>
    <w:rsid w:val="00F33742"/>
    <w:rsid w:val="00F352F8"/>
    <w:rsid w:val="00F40115"/>
    <w:rsid w:val="00F40738"/>
    <w:rsid w:val="00F41D01"/>
    <w:rsid w:val="00F46285"/>
    <w:rsid w:val="00F55A4D"/>
    <w:rsid w:val="00F57680"/>
    <w:rsid w:val="00F60EA1"/>
    <w:rsid w:val="00F63830"/>
    <w:rsid w:val="00F63C3D"/>
    <w:rsid w:val="00F64BC6"/>
    <w:rsid w:val="00F64EC4"/>
    <w:rsid w:val="00F673D6"/>
    <w:rsid w:val="00F71EDB"/>
    <w:rsid w:val="00F72663"/>
    <w:rsid w:val="00F72678"/>
    <w:rsid w:val="00F74554"/>
    <w:rsid w:val="00F74D3D"/>
    <w:rsid w:val="00F74F72"/>
    <w:rsid w:val="00F75805"/>
    <w:rsid w:val="00F759CA"/>
    <w:rsid w:val="00F76219"/>
    <w:rsid w:val="00F8145B"/>
    <w:rsid w:val="00F82DA4"/>
    <w:rsid w:val="00F85BE4"/>
    <w:rsid w:val="00F90CF6"/>
    <w:rsid w:val="00F91812"/>
    <w:rsid w:val="00F94671"/>
    <w:rsid w:val="00F978A1"/>
    <w:rsid w:val="00FA5E63"/>
    <w:rsid w:val="00FA61AA"/>
    <w:rsid w:val="00FA754A"/>
    <w:rsid w:val="00FB0902"/>
    <w:rsid w:val="00FB0E73"/>
    <w:rsid w:val="00FB528E"/>
    <w:rsid w:val="00FC2351"/>
    <w:rsid w:val="00FC2EE2"/>
    <w:rsid w:val="00FC2F2A"/>
    <w:rsid w:val="00FD0993"/>
    <w:rsid w:val="00FD38C7"/>
    <w:rsid w:val="00FD5ABC"/>
    <w:rsid w:val="00FD7368"/>
    <w:rsid w:val="00FD7EF5"/>
    <w:rsid w:val="00FE0B13"/>
    <w:rsid w:val="00FE141B"/>
    <w:rsid w:val="00FE2009"/>
    <w:rsid w:val="00FE6BD3"/>
    <w:rsid w:val="00FF36DD"/>
    <w:rsid w:val="00FF4374"/>
    <w:rsid w:val="00FF47DA"/>
    <w:rsid w:val="00FF49D7"/>
    <w:rsid w:val="00FF4E30"/>
    <w:rsid w:val="00FF5CCE"/>
    <w:rsid w:val="00FF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7A6BBCF"/>
  <w15:docId w15:val="{3F5E7D45-E69B-425F-8652-A35982AF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D1B"/>
    <w:rPr>
      <w:rFonts w:ascii="Times New Roman" w:hAnsi="Times New Roman"/>
      <w:sz w:val="24"/>
      <w:szCs w:val="24"/>
    </w:rPr>
  </w:style>
  <w:style w:type="paragraph" w:styleId="Heading1">
    <w:name w:val="heading 1"/>
    <w:basedOn w:val="Normal"/>
    <w:next w:val="Normal"/>
    <w:link w:val="Heading1Char"/>
    <w:uiPriority w:val="99"/>
    <w:qFormat/>
    <w:rsid w:val="000927D4"/>
    <w:pPr>
      <w:keepNext/>
      <w:tabs>
        <w:tab w:val="left" w:pos="480"/>
        <w:tab w:val="left" w:pos="960"/>
        <w:tab w:val="left" w:pos="6840"/>
      </w:tabs>
      <w:jc w:val="center"/>
      <w:outlineLvl w:val="0"/>
    </w:pPr>
    <w:rPr>
      <w:b/>
      <w:bCs/>
      <w:spacing w:val="-3"/>
      <w:sz w:val="28"/>
      <w:szCs w:val="20"/>
    </w:rPr>
  </w:style>
  <w:style w:type="paragraph" w:styleId="Heading2">
    <w:name w:val="heading 2"/>
    <w:basedOn w:val="Normal"/>
    <w:next w:val="Normal"/>
    <w:link w:val="Heading2Char"/>
    <w:uiPriority w:val="99"/>
    <w:qFormat/>
    <w:rsid w:val="000927D4"/>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27D4"/>
    <w:rPr>
      <w:rFonts w:ascii="Times New Roman" w:hAnsi="Times New Roman"/>
      <w:b/>
      <w:bCs/>
      <w:spacing w:val="-3"/>
      <w:sz w:val="28"/>
    </w:rPr>
  </w:style>
  <w:style w:type="character" w:customStyle="1" w:styleId="Heading2Char">
    <w:name w:val="Heading 2 Char"/>
    <w:link w:val="Heading2"/>
    <w:uiPriority w:val="99"/>
    <w:locked/>
    <w:rsid w:val="000927D4"/>
    <w:rPr>
      <w:rFonts w:ascii="Times New Roman" w:hAnsi="Times New Roman"/>
      <w:b/>
      <w:bCs/>
      <w:sz w:val="28"/>
    </w:rPr>
  </w:style>
  <w:style w:type="paragraph" w:styleId="PlainText">
    <w:name w:val="Plain Text"/>
    <w:basedOn w:val="Normal"/>
    <w:link w:val="PlainTextChar"/>
    <w:uiPriority w:val="99"/>
    <w:rsid w:val="00E02903"/>
    <w:rPr>
      <w:rFonts w:ascii="Courier New" w:hAnsi="Courier New"/>
      <w:sz w:val="20"/>
      <w:szCs w:val="20"/>
    </w:rPr>
  </w:style>
  <w:style w:type="character" w:customStyle="1" w:styleId="PlainTextChar">
    <w:name w:val="Plain Text Char"/>
    <w:link w:val="PlainText"/>
    <w:uiPriority w:val="99"/>
    <w:locked/>
    <w:rsid w:val="00E02903"/>
    <w:rPr>
      <w:rFonts w:ascii="Courier New" w:hAnsi="Courier New"/>
      <w:sz w:val="20"/>
    </w:rPr>
  </w:style>
  <w:style w:type="paragraph" w:styleId="FootnoteText">
    <w:name w:val="footnote text"/>
    <w:basedOn w:val="Normal"/>
    <w:link w:val="FootnoteTextChar"/>
    <w:uiPriority w:val="99"/>
    <w:semiHidden/>
    <w:rsid w:val="00E02903"/>
    <w:rPr>
      <w:rFonts w:ascii="Univers Condensed" w:hAnsi="Univers Condensed"/>
      <w:sz w:val="20"/>
      <w:szCs w:val="20"/>
    </w:rPr>
  </w:style>
  <w:style w:type="character" w:customStyle="1" w:styleId="FootnoteTextChar">
    <w:name w:val="Footnote Text Char"/>
    <w:link w:val="FootnoteText"/>
    <w:uiPriority w:val="99"/>
    <w:locked/>
    <w:rsid w:val="00E02903"/>
    <w:rPr>
      <w:rFonts w:ascii="Univers Condensed" w:hAnsi="Univers Condensed"/>
      <w:sz w:val="20"/>
    </w:rPr>
  </w:style>
  <w:style w:type="paragraph" w:customStyle="1" w:styleId="QuickFormat1">
    <w:name w:val="QuickFormat1"/>
    <w:basedOn w:val="Normal"/>
    <w:link w:val="QuickFormat1Char"/>
    <w:uiPriority w:val="99"/>
    <w:rsid w:val="009A16EB"/>
    <w:pPr>
      <w:widowControl w:val="0"/>
      <w:jc w:val="center"/>
    </w:pPr>
    <w:rPr>
      <w:b/>
      <w:snapToGrid w:val="0"/>
      <w:color w:val="000000"/>
      <w:sz w:val="20"/>
      <w:szCs w:val="20"/>
      <w:lang w:val="x-none" w:eastAsia="x-none"/>
    </w:rPr>
  </w:style>
  <w:style w:type="character" w:customStyle="1" w:styleId="QuickFormat1Char">
    <w:name w:val="QuickFormat1 Char"/>
    <w:link w:val="QuickFormat1"/>
    <w:uiPriority w:val="99"/>
    <w:locked/>
    <w:rsid w:val="009A16EB"/>
    <w:rPr>
      <w:rFonts w:ascii="Times New Roman" w:hAnsi="Times New Roman"/>
      <w:b/>
      <w:snapToGrid w:val="0"/>
      <w:color w:val="000000"/>
      <w:sz w:val="20"/>
    </w:rPr>
  </w:style>
  <w:style w:type="character" w:styleId="CommentReference">
    <w:name w:val="annotation reference"/>
    <w:uiPriority w:val="99"/>
    <w:semiHidden/>
    <w:rsid w:val="009A16EB"/>
    <w:rPr>
      <w:sz w:val="16"/>
    </w:rPr>
  </w:style>
  <w:style w:type="paragraph" w:styleId="HTMLPreformatted">
    <w:name w:val="HTML Preformatted"/>
    <w:basedOn w:val="Normal"/>
    <w:link w:val="HTMLPreformattedChar"/>
    <w:uiPriority w:val="99"/>
    <w:rsid w:val="0041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41509F"/>
    <w:rPr>
      <w:rFonts w:ascii="Courier New" w:hAnsi="Courier New"/>
      <w:sz w:val="20"/>
    </w:rPr>
  </w:style>
  <w:style w:type="paragraph" w:styleId="BodyText">
    <w:name w:val="Body Text"/>
    <w:basedOn w:val="Normal"/>
    <w:link w:val="BodyTextChar"/>
    <w:uiPriority w:val="99"/>
    <w:rsid w:val="0041509F"/>
    <w:pPr>
      <w:widowControl w:val="0"/>
      <w:spacing w:after="120"/>
    </w:pPr>
    <w:rPr>
      <w:rFonts w:ascii="Courier" w:hAnsi="Courier"/>
      <w:sz w:val="20"/>
      <w:szCs w:val="20"/>
    </w:rPr>
  </w:style>
  <w:style w:type="character" w:customStyle="1" w:styleId="BodyTextChar">
    <w:name w:val="Body Text Char"/>
    <w:link w:val="BodyText"/>
    <w:uiPriority w:val="99"/>
    <w:locked/>
    <w:rsid w:val="0041509F"/>
    <w:rPr>
      <w:rFonts w:ascii="Courier" w:hAnsi="Courier"/>
      <w:sz w:val="20"/>
    </w:rPr>
  </w:style>
  <w:style w:type="paragraph" w:styleId="Header">
    <w:name w:val="header"/>
    <w:basedOn w:val="Normal"/>
    <w:link w:val="HeaderChar"/>
    <w:uiPriority w:val="99"/>
    <w:rsid w:val="00A03CC1"/>
    <w:pPr>
      <w:tabs>
        <w:tab w:val="center" w:pos="4680"/>
        <w:tab w:val="right" w:pos="9360"/>
      </w:tabs>
    </w:pPr>
    <w:rPr>
      <w:sz w:val="20"/>
      <w:szCs w:val="20"/>
    </w:rPr>
  </w:style>
  <w:style w:type="character" w:customStyle="1" w:styleId="HeaderChar">
    <w:name w:val="Header Char"/>
    <w:link w:val="Header"/>
    <w:uiPriority w:val="99"/>
    <w:locked/>
    <w:rsid w:val="00A03CC1"/>
    <w:rPr>
      <w:rFonts w:ascii="Times New Roman" w:hAnsi="Times New Roman"/>
      <w:sz w:val="20"/>
    </w:rPr>
  </w:style>
  <w:style w:type="paragraph" w:styleId="Footer">
    <w:name w:val="footer"/>
    <w:basedOn w:val="Normal"/>
    <w:link w:val="FooterChar"/>
    <w:uiPriority w:val="99"/>
    <w:rsid w:val="00A03CC1"/>
    <w:pPr>
      <w:tabs>
        <w:tab w:val="center" w:pos="4680"/>
        <w:tab w:val="right" w:pos="9360"/>
      </w:tabs>
    </w:pPr>
    <w:rPr>
      <w:sz w:val="20"/>
      <w:szCs w:val="20"/>
    </w:rPr>
  </w:style>
  <w:style w:type="character" w:customStyle="1" w:styleId="FooterChar">
    <w:name w:val="Footer Char"/>
    <w:link w:val="Footer"/>
    <w:uiPriority w:val="99"/>
    <w:locked/>
    <w:rsid w:val="00A03CC1"/>
    <w:rPr>
      <w:rFonts w:ascii="Times New Roman" w:hAnsi="Times New Roman"/>
      <w:sz w:val="20"/>
    </w:rPr>
  </w:style>
  <w:style w:type="paragraph" w:styleId="ListParagraph">
    <w:name w:val="List Paragraph"/>
    <w:basedOn w:val="Normal"/>
    <w:uiPriority w:val="34"/>
    <w:qFormat/>
    <w:rsid w:val="007A0652"/>
    <w:pPr>
      <w:widowControl w:val="0"/>
      <w:ind w:left="720"/>
    </w:pPr>
    <w:rPr>
      <w:rFonts w:cs="Courier"/>
    </w:rPr>
  </w:style>
  <w:style w:type="table" w:styleId="TableGrid">
    <w:name w:val="Table Grid"/>
    <w:basedOn w:val="TableNormal"/>
    <w:uiPriority w:val="99"/>
    <w:rsid w:val="006C231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71EDB"/>
    <w:rPr>
      <w:rFonts w:ascii="Tahoma" w:hAnsi="Tahoma"/>
      <w:sz w:val="16"/>
      <w:szCs w:val="16"/>
    </w:rPr>
  </w:style>
  <w:style w:type="character" w:customStyle="1" w:styleId="BalloonTextChar">
    <w:name w:val="Balloon Text Char"/>
    <w:link w:val="BalloonText"/>
    <w:uiPriority w:val="99"/>
    <w:semiHidden/>
    <w:locked/>
    <w:rsid w:val="00F71EDB"/>
    <w:rPr>
      <w:rFonts w:ascii="Tahoma" w:hAnsi="Tahoma"/>
      <w:sz w:val="16"/>
    </w:rPr>
  </w:style>
  <w:style w:type="paragraph" w:styleId="CommentText">
    <w:name w:val="annotation text"/>
    <w:basedOn w:val="Normal"/>
    <w:link w:val="CommentTextChar"/>
    <w:uiPriority w:val="99"/>
    <w:semiHidden/>
    <w:rsid w:val="00061B1B"/>
    <w:rPr>
      <w:sz w:val="20"/>
      <w:szCs w:val="20"/>
    </w:rPr>
  </w:style>
  <w:style w:type="character" w:customStyle="1" w:styleId="CommentTextChar">
    <w:name w:val="Comment Text Char"/>
    <w:link w:val="CommentText"/>
    <w:uiPriority w:val="99"/>
    <w:semiHidden/>
    <w:locked/>
    <w:rsid w:val="00061B1B"/>
    <w:rPr>
      <w:rFonts w:ascii="Times New Roman" w:hAnsi="Times New Roman"/>
      <w:sz w:val="20"/>
    </w:rPr>
  </w:style>
  <w:style w:type="paragraph" w:styleId="CommentSubject">
    <w:name w:val="annotation subject"/>
    <w:basedOn w:val="CommentText"/>
    <w:next w:val="CommentText"/>
    <w:link w:val="CommentSubjectChar"/>
    <w:uiPriority w:val="99"/>
    <w:semiHidden/>
    <w:rsid w:val="00061B1B"/>
    <w:rPr>
      <w:b/>
      <w:bCs/>
    </w:rPr>
  </w:style>
  <w:style w:type="character" w:customStyle="1" w:styleId="CommentSubjectChar">
    <w:name w:val="Comment Subject Char"/>
    <w:link w:val="CommentSubject"/>
    <w:uiPriority w:val="99"/>
    <w:semiHidden/>
    <w:locked/>
    <w:rsid w:val="00061B1B"/>
    <w:rPr>
      <w:rFonts w:ascii="Times New Roman" w:hAnsi="Times New Roman"/>
      <w:b/>
      <w:sz w:val="20"/>
    </w:rPr>
  </w:style>
  <w:style w:type="paragraph" w:styleId="Revision">
    <w:name w:val="Revision"/>
    <w:hidden/>
    <w:uiPriority w:val="99"/>
    <w:semiHidden/>
    <w:rsid w:val="00986A1B"/>
    <w:rPr>
      <w:rFonts w:ascii="Times New Roman" w:hAnsi="Times New Roman"/>
      <w:sz w:val="24"/>
      <w:szCs w:val="24"/>
    </w:rPr>
  </w:style>
  <w:style w:type="paragraph" w:styleId="NormalWeb">
    <w:name w:val="Normal (Web)"/>
    <w:basedOn w:val="Normal"/>
    <w:uiPriority w:val="99"/>
    <w:semiHidden/>
    <w:rsid w:val="00D3354F"/>
    <w:pPr>
      <w:spacing w:before="100" w:beforeAutospacing="1" w:after="100" w:afterAutospacing="1"/>
    </w:pPr>
  </w:style>
  <w:style w:type="character" w:styleId="Hyperlink">
    <w:name w:val="Hyperlink"/>
    <w:uiPriority w:val="99"/>
    <w:rsid w:val="00BE0A29"/>
    <w:rPr>
      <w:color w:val="0000FF"/>
      <w:u w:val="single"/>
    </w:rPr>
  </w:style>
  <w:style w:type="paragraph" w:customStyle="1" w:styleId="BodyTXT">
    <w:name w:val="BodyTXT"/>
    <w:basedOn w:val="Normal"/>
    <w:qFormat/>
    <w:rsid w:val="00F33742"/>
    <w:rPr>
      <w:rFonts w:asciiTheme="minorHAnsi" w:hAnsiTheme="minorHAnsi" w:cs="Arial"/>
      <w:sz w:val="22"/>
      <w:szCs w:val="22"/>
    </w:rPr>
  </w:style>
  <w:style w:type="paragraph" w:styleId="TOCHeading">
    <w:name w:val="TOC Heading"/>
    <w:basedOn w:val="Heading1"/>
    <w:next w:val="Normal"/>
    <w:uiPriority w:val="39"/>
    <w:semiHidden/>
    <w:unhideWhenUsed/>
    <w:qFormat/>
    <w:rsid w:val="000927D4"/>
    <w:pPr>
      <w:keepLines/>
      <w:tabs>
        <w:tab w:val="clear" w:pos="480"/>
        <w:tab w:val="clear" w:pos="960"/>
        <w:tab w:val="clear" w:pos="6840"/>
      </w:tabs>
      <w:spacing w:before="480" w:line="276" w:lineRule="auto"/>
      <w:jc w:val="left"/>
      <w:outlineLvl w:val="9"/>
    </w:pPr>
    <w:rPr>
      <w:rFonts w:asciiTheme="majorHAnsi" w:eastAsiaTheme="majorEastAsia" w:hAnsiTheme="majorHAnsi" w:cstheme="majorBidi"/>
      <w:color w:val="365F91" w:themeColor="accent1" w:themeShade="BF"/>
      <w:spacing w:val="0"/>
      <w:szCs w:val="28"/>
      <w:lang w:eastAsia="ja-JP"/>
    </w:rPr>
  </w:style>
  <w:style w:type="paragraph" w:styleId="TOC2">
    <w:name w:val="toc 2"/>
    <w:basedOn w:val="Normal"/>
    <w:next w:val="Normal"/>
    <w:autoRedefine/>
    <w:uiPriority w:val="39"/>
    <w:locked/>
    <w:rsid w:val="000927D4"/>
    <w:pPr>
      <w:spacing w:after="100"/>
      <w:ind w:left="240"/>
    </w:pPr>
  </w:style>
  <w:style w:type="paragraph" w:styleId="TOC3">
    <w:name w:val="toc 3"/>
    <w:basedOn w:val="Normal"/>
    <w:next w:val="Normal"/>
    <w:autoRedefine/>
    <w:uiPriority w:val="39"/>
    <w:locked/>
    <w:rsid w:val="000927D4"/>
    <w:pPr>
      <w:spacing w:after="100"/>
      <w:ind w:left="480"/>
    </w:pPr>
  </w:style>
  <w:style w:type="paragraph" w:styleId="TOC1">
    <w:name w:val="toc 1"/>
    <w:basedOn w:val="Normal"/>
    <w:next w:val="Normal"/>
    <w:autoRedefine/>
    <w:uiPriority w:val="39"/>
    <w:locked/>
    <w:rsid w:val="0007543D"/>
    <w:pPr>
      <w:spacing w:after="100"/>
    </w:pPr>
  </w:style>
  <w:style w:type="character" w:customStyle="1" w:styleId="Style1">
    <w:name w:val="Style1"/>
    <w:basedOn w:val="DefaultParagraphFont"/>
    <w:uiPriority w:val="1"/>
    <w:rsid w:val="00C67064"/>
    <w:rPr>
      <w:rFonts w:ascii="Times New Roman" w:hAnsi="Times New Roman"/>
      <w:b/>
      <w:sz w:val="24"/>
      <w:u w:val="single"/>
    </w:rPr>
  </w:style>
  <w:style w:type="character" w:styleId="FollowedHyperlink">
    <w:name w:val="FollowedHyperlink"/>
    <w:basedOn w:val="DefaultParagraphFont"/>
    <w:uiPriority w:val="99"/>
    <w:semiHidden/>
    <w:unhideWhenUsed/>
    <w:rsid w:val="00F91812"/>
    <w:rPr>
      <w:color w:val="800080" w:themeColor="followedHyperlink"/>
      <w:u w:val="single"/>
    </w:rPr>
  </w:style>
  <w:style w:type="table" w:customStyle="1" w:styleId="TableGrid1">
    <w:name w:val="Table Grid1"/>
    <w:basedOn w:val="TableNormal"/>
    <w:next w:val="TableGrid"/>
    <w:rsid w:val="009160F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60E"/>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AB1CF7"/>
    <w:pPr>
      <w:widowControl w:val="0"/>
      <w:autoSpaceDE w:val="0"/>
      <w:autoSpaceDN w:val="0"/>
      <w:spacing w:before="32"/>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8834">
      <w:bodyDiv w:val="1"/>
      <w:marLeft w:val="0"/>
      <w:marRight w:val="0"/>
      <w:marTop w:val="0"/>
      <w:marBottom w:val="0"/>
      <w:divBdr>
        <w:top w:val="none" w:sz="0" w:space="0" w:color="auto"/>
        <w:left w:val="none" w:sz="0" w:space="0" w:color="auto"/>
        <w:bottom w:val="none" w:sz="0" w:space="0" w:color="auto"/>
        <w:right w:val="none" w:sz="0" w:space="0" w:color="auto"/>
      </w:divBdr>
    </w:div>
    <w:div w:id="322126056">
      <w:bodyDiv w:val="1"/>
      <w:marLeft w:val="0"/>
      <w:marRight w:val="0"/>
      <w:marTop w:val="0"/>
      <w:marBottom w:val="0"/>
      <w:divBdr>
        <w:top w:val="none" w:sz="0" w:space="0" w:color="auto"/>
        <w:left w:val="none" w:sz="0" w:space="0" w:color="auto"/>
        <w:bottom w:val="none" w:sz="0" w:space="0" w:color="auto"/>
        <w:right w:val="none" w:sz="0" w:space="0" w:color="auto"/>
      </w:divBdr>
    </w:div>
    <w:div w:id="368913871">
      <w:bodyDiv w:val="1"/>
      <w:marLeft w:val="0"/>
      <w:marRight w:val="0"/>
      <w:marTop w:val="0"/>
      <w:marBottom w:val="0"/>
      <w:divBdr>
        <w:top w:val="none" w:sz="0" w:space="0" w:color="auto"/>
        <w:left w:val="none" w:sz="0" w:space="0" w:color="auto"/>
        <w:bottom w:val="none" w:sz="0" w:space="0" w:color="auto"/>
        <w:right w:val="none" w:sz="0" w:space="0" w:color="auto"/>
      </w:divBdr>
    </w:div>
    <w:div w:id="558636596">
      <w:bodyDiv w:val="1"/>
      <w:marLeft w:val="0"/>
      <w:marRight w:val="0"/>
      <w:marTop w:val="0"/>
      <w:marBottom w:val="0"/>
      <w:divBdr>
        <w:top w:val="none" w:sz="0" w:space="0" w:color="auto"/>
        <w:left w:val="none" w:sz="0" w:space="0" w:color="auto"/>
        <w:bottom w:val="none" w:sz="0" w:space="0" w:color="auto"/>
        <w:right w:val="none" w:sz="0" w:space="0" w:color="auto"/>
      </w:divBdr>
    </w:div>
    <w:div w:id="576089432">
      <w:bodyDiv w:val="1"/>
      <w:marLeft w:val="0"/>
      <w:marRight w:val="0"/>
      <w:marTop w:val="0"/>
      <w:marBottom w:val="0"/>
      <w:divBdr>
        <w:top w:val="none" w:sz="0" w:space="0" w:color="auto"/>
        <w:left w:val="none" w:sz="0" w:space="0" w:color="auto"/>
        <w:bottom w:val="none" w:sz="0" w:space="0" w:color="auto"/>
        <w:right w:val="none" w:sz="0" w:space="0" w:color="auto"/>
      </w:divBdr>
    </w:div>
    <w:div w:id="919101808">
      <w:bodyDiv w:val="1"/>
      <w:marLeft w:val="0"/>
      <w:marRight w:val="0"/>
      <w:marTop w:val="0"/>
      <w:marBottom w:val="0"/>
      <w:divBdr>
        <w:top w:val="none" w:sz="0" w:space="0" w:color="auto"/>
        <w:left w:val="none" w:sz="0" w:space="0" w:color="auto"/>
        <w:bottom w:val="none" w:sz="0" w:space="0" w:color="auto"/>
        <w:right w:val="none" w:sz="0" w:space="0" w:color="auto"/>
      </w:divBdr>
    </w:div>
    <w:div w:id="941306654">
      <w:marLeft w:val="0"/>
      <w:marRight w:val="0"/>
      <w:marTop w:val="0"/>
      <w:marBottom w:val="0"/>
      <w:divBdr>
        <w:top w:val="none" w:sz="0" w:space="0" w:color="auto"/>
        <w:left w:val="none" w:sz="0" w:space="0" w:color="auto"/>
        <w:bottom w:val="none" w:sz="0" w:space="0" w:color="auto"/>
        <w:right w:val="none" w:sz="0" w:space="0" w:color="auto"/>
      </w:divBdr>
    </w:div>
    <w:div w:id="941306655">
      <w:marLeft w:val="0"/>
      <w:marRight w:val="0"/>
      <w:marTop w:val="0"/>
      <w:marBottom w:val="0"/>
      <w:divBdr>
        <w:top w:val="none" w:sz="0" w:space="0" w:color="auto"/>
        <w:left w:val="none" w:sz="0" w:space="0" w:color="auto"/>
        <w:bottom w:val="none" w:sz="0" w:space="0" w:color="auto"/>
        <w:right w:val="none" w:sz="0" w:space="0" w:color="auto"/>
      </w:divBdr>
    </w:div>
    <w:div w:id="941306656">
      <w:marLeft w:val="0"/>
      <w:marRight w:val="0"/>
      <w:marTop w:val="0"/>
      <w:marBottom w:val="0"/>
      <w:divBdr>
        <w:top w:val="none" w:sz="0" w:space="0" w:color="auto"/>
        <w:left w:val="none" w:sz="0" w:space="0" w:color="auto"/>
        <w:bottom w:val="none" w:sz="0" w:space="0" w:color="auto"/>
        <w:right w:val="none" w:sz="0" w:space="0" w:color="auto"/>
      </w:divBdr>
    </w:div>
    <w:div w:id="941306657">
      <w:marLeft w:val="0"/>
      <w:marRight w:val="0"/>
      <w:marTop w:val="0"/>
      <w:marBottom w:val="0"/>
      <w:divBdr>
        <w:top w:val="none" w:sz="0" w:space="0" w:color="auto"/>
        <w:left w:val="none" w:sz="0" w:space="0" w:color="auto"/>
        <w:bottom w:val="none" w:sz="0" w:space="0" w:color="auto"/>
        <w:right w:val="none" w:sz="0" w:space="0" w:color="auto"/>
      </w:divBdr>
    </w:div>
    <w:div w:id="941306658">
      <w:marLeft w:val="0"/>
      <w:marRight w:val="0"/>
      <w:marTop w:val="0"/>
      <w:marBottom w:val="0"/>
      <w:divBdr>
        <w:top w:val="none" w:sz="0" w:space="0" w:color="auto"/>
        <w:left w:val="none" w:sz="0" w:space="0" w:color="auto"/>
        <w:bottom w:val="none" w:sz="0" w:space="0" w:color="auto"/>
        <w:right w:val="none" w:sz="0" w:space="0" w:color="auto"/>
      </w:divBdr>
    </w:div>
    <w:div w:id="989288304">
      <w:bodyDiv w:val="1"/>
      <w:marLeft w:val="0"/>
      <w:marRight w:val="0"/>
      <w:marTop w:val="0"/>
      <w:marBottom w:val="0"/>
      <w:divBdr>
        <w:top w:val="none" w:sz="0" w:space="0" w:color="auto"/>
        <w:left w:val="none" w:sz="0" w:space="0" w:color="auto"/>
        <w:bottom w:val="none" w:sz="0" w:space="0" w:color="auto"/>
        <w:right w:val="none" w:sz="0" w:space="0" w:color="auto"/>
      </w:divBdr>
    </w:div>
    <w:div w:id="1074204884">
      <w:bodyDiv w:val="1"/>
      <w:marLeft w:val="0"/>
      <w:marRight w:val="0"/>
      <w:marTop w:val="0"/>
      <w:marBottom w:val="0"/>
      <w:divBdr>
        <w:top w:val="none" w:sz="0" w:space="0" w:color="auto"/>
        <w:left w:val="none" w:sz="0" w:space="0" w:color="auto"/>
        <w:bottom w:val="none" w:sz="0" w:space="0" w:color="auto"/>
        <w:right w:val="none" w:sz="0" w:space="0" w:color="auto"/>
      </w:divBdr>
    </w:div>
    <w:div w:id="1192260223">
      <w:bodyDiv w:val="1"/>
      <w:marLeft w:val="0"/>
      <w:marRight w:val="0"/>
      <w:marTop w:val="0"/>
      <w:marBottom w:val="0"/>
      <w:divBdr>
        <w:top w:val="none" w:sz="0" w:space="0" w:color="auto"/>
        <w:left w:val="none" w:sz="0" w:space="0" w:color="auto"/>
        <w:bottom w:val="none" w:sz="0" w:space="0" w:color="auto"/>
        <w:right w:val="none" w:sz="0" w:space="0" w:color="auto"/>
      </w:divBdr>
    </w:div>
    <w:div w:id="1194000416">
      <w:bodyDiv w:val="1"/>
      <w:marLeft w:val="0"/>
      <w:marRight w:val="0"/>
      <w:marTop w:val="0"/>
      <w:marBottom w:val="0"/>
      <w:divBdr>
        <w:top w:val="none" w:sz="0" w:space="0" w:color="auto"/>
        <w:left w:val="none" w:sz="0" w:space="0" w:color="auto"/>
        <w:bottom w:val="none" w:sz="0" w:space="0" w:color="auto"/>
        <w:right w:val="none" w:sz="0" w:space="0" w:color="auto"/>
      </w:divBdr>
    </w:div>
    <w:div w:id="1230577972">
      <w:bodyDiv w:val="1"/>
      <w:marLeft w:val="0"/>
      <w:marRight w:val="0"/>
      <w:marTop w:val="0"/>
      <w:marBottom w:val="0"/>
      <w:divBdr>
        <w:top w:val="none" w:sz="0" w:space="0" w:color="auto"/>
        <w:left w:val="none" w:sz="0" w:space="0" w:color="auto"/>
        <w:bottom w:val="none" w:sz="0" w:space="0" w:color="auto"/>
        <w:right w:val="none" w:sz="0" w:space="0" w:color="auto"/>
      </w:divBdr>
    </w:div>
    <w:div w:id="1296180548">
      <w:bodyDiv w:val="1"/>
      <w:marLeft w:val="0"/>
      <w:marRight w:val="0"/>
      <w:marTop w:val="0"/>
      <w:marBottom w:val="0"/>
      <w:divBdr>
        <w:top w:val="none" w:sz="0" w:space="0" w:color="auto"/>
        <w:left w:val="none" w:sz="0" w:space="0" w:color="auto"/>
        <w:bottom w:val="none" w:sz="0" w:space="0" w:color="auto"/>
        <w:right w:val="none" w:sz="0" w:space="0" w:color="auto"/>
      </w:divBdr>
    </w:div>
    <w:div w:id="1296566214">
      <w:bodyDiv w:val="1"/>
      <w:marLeft w:val="0"/>
      <w:marRight w:val="0"/>
      <w:marTop w:val="0"/>
      <w:marBottom w:val="0"/>
      <w:divBdr>
        <w:top w:val="none" w:sz="0" w:space="0" w:color="auto"/>
        <w:left w:val="none" w:sz="0" w:space="0" w:color="auto"/>
        <w:bottom w:val="none" w:sz="0" w:space="0" w:color="auto"/>
        <w:right w:val="none" w:sz="0" w:space="0" w:color="auto"/>
      </w:divBdr>
    </w:div>
    <w:div w:id="1333483245">
      <w:bodyDiv w:val="1"/>
      <w:marLeft w:val="0"/>
      <w:marRight w:val="0"/>
      <w:marTop w:val="0"/>
      <w:marBottom w:val="0"/>
      <w:divBdr>
        <w:top w:val="none" w:sz="0" w:space="0" w:color="auto"/>
        <w:left w:val="none" w:sz="0" w:space="0" w:color="auto"/>
        <w:bottom w:val="none" w:sz="0" w:space="0" w:color="auto"/>
        <w:right w:val="none" w:sz="0" w:space="0" w:color="auto"/>
      </w:divBdr>
    </w:div>
    <w:div w:id="1400787818">
      <w:bodyDiv w:val="1"/>
      <w:marLeft w:val="0"/>
      <w:marRight w:val="0"/>
      <w:marTop w:val="0"/>
      <w:marBottom w:val="0"/>
      <w:divBdr>
        <w:top w:val="none" w:sz="0" w:space="0" w:color="auto"/>
        <w:left w:val="none" w:sz="0" w:space="0" w:color="auto"/>
        <w:bottom w:val="none" w:sz="0" w:space="0" w:color="auto"/>
        <w:right w:val="none" w:sz="0" w:space="0" w:color="auto"/>
      </w:divBdr>
    </w:div>
    <w:div w:id="1439830959">
      <w:bodyDiv w:val="1"/>
      <w:marLeft w:val="0"/>
      <w:marRight w:val="0"/>
      <w:marTop w:val="0"/>
      <w:marBottom w:val="0"/>
      <w:divBdr>
        <w:top w:val="none" w:sz="0" w:space="0" w:color="auto"/>
        <w:left w:val="none" w:sz="0" w:space="0" w:color="auto"/>
        <w:bottom w:val="none" w:sz="0" w:space="0" w:color="auto"/>
        <w:right w:val="none" w:sz="0" w:space="0" w:color="auto"/>
      </w:divBdr>
    </w:div>
    <w:div w:id="1451510412">
      <w:bodyDiv w:val="1"/>
      <w:marLeft w:val="0"/>
      <w:marRight w:val="0"/>
      <w:marTop w:val="0"/>
      <w:marBottom w:val="0"/>
      <w:divBdr>
        <w:top w:val="none" w:sz="0" w:space="0" w:color="auto"/>
        <w:left w:val="none" w:sz="0" w:space="0" w:color="auto"/>
        <w:bottom w:val="none" w:sz="0" w:space="0" w:color="auto"/>
        <w:right w:val="none" w:sz="0" w:space="0" w:color="auto"/>
      </w:divBdr>
    </w:div>
    <w:div w:id="1467511054">
      <w:bodyDiv w:val="1"/>
      <w:marLeft w:val="0"/>
      <w:marRight w:val="0"/>
      <w:marTop w:val="0"/>
      <w:marBottom w:val="0"/>
      <w:divBdr>
        <w:top w:val="none" w:sz="0" w:space="0" w:color="auto"/>
        <w:left w:val="none" w:sz="0" w:space="0" w:color="auto"/>
        <w:bottom w:val="none" w:sz="0" w:space="0" w:color="auto"/>
        <w:right w:val="none" w:sz="0" w:space="0" w:color="auto"/>
      </w:divBdr>
    </w:div>
    <w:div w:id="1542783570">
      <w:bodyDiv w:val="1"/>
      <w:marLeft w:val="0"/>
      <w:marRight w:val="0"/>
      <w:marTop w:val="0"/>
      <w:marBottom w:val="0"/>
      <w:divBdr>
        <w:top w:val="none" w:sz="0" w:space="0" w:color="auto"/>
        <w:left w:val="none" w:sz="0" w:space="0" w:color="auto"/>
        <w:bottom w:val="none" w:sz="0" w:space="0" w:color="auto"/>
        <w:right w:val="none" w:sz="0" w:space="0" w:color="auto"/>
      </w:divBdr>
    </w:div>
    <w:div w:id="1591307213">
      <w:bodyDiv w:val="1"/>
      <w:marLeft w:val="0"/>
      <w:marRight w:val="0"/>
      <w:marTop w:val="0"/>
      <w:marBottom w:val="0"/>
      <w:divBdr>
        <w:top w:val="none" w:sz="0" w:space="0" w:color="auto"/>
        <w:left w:val="none" w:sz="0" w:space="0" w:color="auto"/>
        <w:bottom w:val="none" w:sz="0" w:space="0" w:color="auto"/>
        <w:right w:val="none" w:sz="0" w:space="0" w:color="auto"/>
      </w:divBdr>
    </w:div>
    <w:div w:id="1663728648">
      <w:bodyDiv w:val="1"/>
      <w:marLeft w:val="0"/>
      <w:marRight w:val="0"/>
      <w:marTop w:val="0"/>
      <w:marBottom w:val="0"/>
      <w:divBdr>
        <w:top w:val="none" w:sz="0" w:space="0" w:color="auto"/>
        <w:left w:val="none" w:sz="0" w:space="0" w:color="auto"/>
        <w:bottom w:val="none" w:sz="0" w:space="0" w:color="auto"/>
        <w:right w:val="none" w:sz="0" w:space="0" w:color="auto"/>
      </w:divBdr>
    </w:div>
    <w:div w:id="1801923474">
      <w:bodyDiv w:val="1"/>
      <w:marLeft w:val="0"/>
      <w:marRight w:val="0"/>
      <w:marTop w:val="0"/>
      <w:marBottom w:val="0"/>
      <w:divBdr>
        <w:top w:val="none" w:sz="0" w:space="0" w:color="auto"/>
        <w:left w:val="none" w:sz="0" w:space="0" w:color="auto"/>
        <w:bottom w:val="none" w:sz="0" w:space="0" w:color="auto"/>
        <w:right w:val="none" w:sz="0" w:space="0" w:color="auto"/>
      </w:divBdr>
    </w:div>
    <w:div w:id="208964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25520D38458B42A467308E16F6A6F7" ma:contentTypeVersion="2" ma:contentTypeDescription="Create a new document." ma:contentTypeScope="" ma:versionID="7454f93986beb44f174bf494dfe9702f">
  <xsd:schema xmlns:xsd="http://www.w3.org/2001/XMLSchema" xmlns:p="http://schemas.microsoft.com/office/2006/metadata/properties" xmlns:ns2="8e64d7ec-d05c-4af7-a45f-a77b5edfdef6" targetNamespace="http://schemas.microsoft.com/office/2006/metadata/properties" ma:root="true" ma:fieldsID="12aaf5719d564b8d6ce1e7d721aef6e4" ns2:_="">
    <xsd:import namespace="8e64d7ec-d05c-4af7-a45f-a77b5edfdef6"/>
    <xsd:element name="properties">
      <xsd:complexType>
        <xsd:sequence>
          <xsd:element name="documentManagement">
            <xsd:complexType>
              <xsd:all>
                <xsd:element ref="ns2:Sensitivity" minOccurs="0"/>
              </xsd:all>
            </xsd:complexType>
          </xsd:element>
        </xsd:sequence>
      </xsd:complexType>
    </xsd:element>
  </xsd:schema>
  <xsd:schema xmlns:xsd="http://www.w3.org/2001/XMLSchema" xmlns:dms="http://schemas.microsoft.com/office/2006/documentManagement/types" targetNamespace="8e64d7ec-d05c-4af7-a45f-a77b5edfdef6" elementFormDefault="qualified">
    <xsd:import namespace="http://schemas.microsoft.com/office/2006/documentManagement/types"/>
    <xsd:element name="Sensitivity" ma:index="8" nillable="true" ma:displayName="Sensitivity" ma:description="Sensitive Data = Any data that, if lost, stolen or misused, could adversely impact FDIC, insured institutions or individuals.&#10;http://fdic01/division/doa/adminservices/records/directives/1000/1360-9.doc&#10;&#10;Sensitive PII = SSN alone and/or an individual’s full name plus 1 or more additional items of personal data.&#10;http://fdic01/division/dit/ITGovernance/PrivacyProgram/PersonallyIdentifiableInformation/index.html&#10;Non-Sensitive Data = Data that can be shared or viewed with no restrictions internal or external to FDIC.&#10;http://www.fdic.gov/regulations/laws/rules/2000-3800.html" ma:format="Dropdown" ma:internalName="Sensitivity">
      <xsd:simpleType>
        <xsd:restriction base="dms:Choice">
          <xsd:enumeration value="Sensitive Data"/>
          <xsd:enumeration value="Sensitive PII"/>
          <xsd:enumeration value="Non-Sensitive Dat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e64d7ec-d05c-4af7-a45f-a77b5edfdef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3C679-7125-43C6-8EDF-C9E6C1E15BBD}">
  <ds:schemaRefs>
    <ds:schemaRef ds:uri="http://schemas.microsoft.com/sharepoint/v3/contenttype/forms"/>
  </ds:schemaRefs>
</ds:datastoreItem>
</file>

<file path=customXml/itemProps2.xml><?xml version="1.0" encoding="utf-8"?>
<ds:datastoreItem xmlns:ds="http://schemas.openxmlformats.org/officeDocument/2006/customXml" ds:itemID="{808273F7-0774-4110-8BB6-2E5E2A705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4d7ec-d05c-4af7-a45f-a77b5edfde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86DCC6B-69E2-4E1C-8FCD-439DBD2E9779}">
  <ds:schemaRef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8e64d7ec-d05c-4af7-a45f-a77b5edfdef6"/>
    <ds:schemaRef ds:uri="http://purl.org/dc/dcmitype/"/>
  </ds:schemaRefs>
</ds:datastoreItem>
</file>

<file path=customXml/itemProps4.xml><?xml version="1.0" encoding="utf-8"?>
<ds:datastoreItem xmlns:ds="http://schemas.openxmlformats.org/officeDocument/2006/customXml" ds:itemID="{379DBCD4-4DAB-4122-A9B3-8229E82E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8830</Words>
  <Characters>50332</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ISB Single Rated Area Writing Guide</vt:lpstr>
    </vt:vector>
  </TitlesOfParts>
  <Company>FDIC</Company>
  <LinksUpToDate>false</LinksUpToDate>
  <CharactersWithSpaces>59044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ISB Single Rated Area Writing Guide</dc:title>
  <dc:subject/>
  <dc:creator>tbressette@fdic.gov</dc:creator>
  <cp:keywords/>
  <dc:description/>
  <cp:lastModifiedBy>Weydt, Irene (DOB)</cp:lastModifiedBy>
  <cp:revision>3</cp:revision>
  <cp:lastPrinted>2021-02-22T16:23:00Z</cp:lastPrinted>
  <dcterms:created xsi:type="dcterms:W3CDTF">2021-02-18T14:54:00Z</dcterms:created>
  <dcterms:modified xsi:type="dcterms:W3CDTF">2021-02-22T16:24:00Z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0x0101007825520D38458B42A467308E16F6A6F7</vt:lpwstr>
  </property>
</Properties>
</file>