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C754E" w14:textId="77777777" w:rsidR="00332FD4" w:rsidRDefault="00332FD4"/>
    <w:tbl>
      <w:tblPr>
        <w:tblW w:w="0" w:type="auto"/>
        <w:tblLayout w:type="fixed"/>
        <w:tblLook w:val="0000" w:firstRow="0" w:lastRow="0" w:firstColumn="0" w:lastColumn="0" w:noHBand="0" w:noVBand="0"/>
      </w:tblPr>
      <w:tblGrid>
        <w:gridCol w:w="1680"/>
        <w:gridCol w:w="6645"/>
      </w:tblGrid>
      <w:tr w:rsidR="004E6A8B" w14:paraId="14C3AECB" w14:textId="77777777" w:rsidTr="005E74A6">
        <w:trPr>
          <w:cantSplit/>
          <w:trHeight w:val="1200"/>
        </w:trPr>
        <w:tc>
          <w:tcPr>
            <w:tcW w:w="1680" w:type="dxa"/>
          </w:tcPr>
          <w:p w14:paraId="315D0B7A" w14:textId="77777777" w:rsidR="004E6A8B" w:rsidRDefault="004E6A8B" w:rsidP="005E74A6">
            <w:pPr>
              <w:ind w:right="-36"/>
              <w:jc w:val="center"/>
            </w:pPr>
            <w:r>
              <w:object w:dxaOrig="10922" w:dyaOrig="11881" w14:anchorId="22AAC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7pt" o:ole="">
                  <v:imagedata r:id="rId8" o:title=""/>
                </v:shape>
                <o:OLEObject Type="Embed" ProgID="MSDraw" ShapeID="_x0000_i1025" DrawAspect="Content" ObjectID="_1668253408" r:id="rId9">
                  <o:FieldCodes>\* MERGEFORMAT</o:FieldCodes>
                </o:OLEObject>
              </w:object>
            </w:r>
          </w:p>
        </w:tc>
        <w:tc>
          <w:tcPr>
            <w:tcW w:w="6645" w:type="dxa"/>
          </w:tcPr>
          <w:p w14:paraId="598E0E80" w14:textId="77777777" w:rsidR="004E6A8B" w:rsidRDefault="004E6A8B" w:rsidP="005E74A6">
            <w:pPr>
              <w:jc w:val="center"/>
              <w:rPr>
                <w:b/>
                <w:sz w:val="28"/>
              </w:rPr>
            </w:pPr>
            <w:r>
              <w:rPr>
                <w:b/>
                <w:i/>
                <w:sz w:val="28"/>
              </w:rPr>
              <w:t>THE COMMONWEALTH OF MASSACHUSETTS</w:t>
            </w:r>
          </w:p>
          <w:p w14:paraId="39CF33C5" w14:textId="77777777" w:rsidR="004E6A8B" w:rsidRDefault="004E6A8B" w:rsidP="005E74A6">
            <w:pPr>
              <w:jc w:val="center"/>
              <w:rPr>
                <w:b/>
                <w:i/>
                <w:sz w:val="30"/>
              </w:rPr>
            </w:pPr>
            <w:r>
              <w:rPr>
                <w:b/>
                <w:i/>
                <w:sz w:val="30"/>
              </w:rPr>
              <w:t>Appellate Tax Board</w:t>
            </w:r>
          </w:p>
          <w:p w14:paraId="2B6CE6EA" w14:textId="77777777" w:rsidR="004E6A8B" w:rsidRDefault="004E6A8B" w:rsidP="005E74A6">
            <w:pPr>
              <w:jc w:val="center"/>
              <w:rPr>
                <w:i/>
              </w:rPr>
            </w:pPr>
            <w:r>
              <w:rPr>
                <w:i/>
              </w:rPr>
              <w:t>100 Cambridge Street</w:t>
            </w:r>
          </w:p>
          <w:p w14:paraId="36B27B6F" w14:textId="78361C79" w:rsidR="00654D5A" w:rsidRDefault="00654D5A" w:rsidP="005E74A6">
            <w:pPr>
              <w:jc w:val="center"/>
              <w:rPr>
                <w:i/>
              </w:rPr>
            </w:pPr>
            <w:r>
              <w:rPr>
                <w:i/>
              </w:rPr>
              <w:t>Suite 200</w:t>
            </w:r>
          </w:p>
          <w:p w14:paraId="0BE3654B" w14:textId="057DCB4C" w:rsidR="004E6A8B" w:rsidRDefault="004E6A8B" w:rsidP="005E74A6">
            <w:pPr>
              <w:jc w:val="center"/>
              <w:rPr>
                <w:i/>
              </w:rPr>
            </w:pPr>
            <w:r>
              <w:rPr>
                <w:i/>
              </w:rPr>
              <w:t>Boston, Massachusetts 02</w:t>
            </w:r>
            <w:r w:rsidR="00C91B45">
              <w:rPr>
                <w:i/>
              </w:rPr>
              <w:t>114</w:t>
            </w:r>
          </w:p>
          <w:p w14:paraId="2DB1B042" w14:textId="77777777" w:rsidR="004E6A8B" w:rsidRDefault="004E6A8B" w:rsidP="005E74A6"/>
        </w:tc>
      </w:tr>
    </w:tbl>
    <w:p w14:paraId="32155AEB" w14:textId="77777777" w:rsidR="004E6A8B" w:rsidRDefault="004E6A8B" w:rsidP="004E6A8B">
      <w:r>
        <w:t>(617) 727-3100</w:t>
      </w:r>
    </w:p>
    <w:p w14:paraId="784DB38C" w14:textId="77777777" w:rsidR="004E6A8B" w:rsidRDefault="004E6A8B" w:rsidP="004E6A8B">
      <w:r>
        <w:t>(617) 727-6234 FAX</w:t>
      </w:r>
    </w:p>
    <w:p w14:paraId="45ECE106" w14:textId="77777777" w:rsidR="00C91B45" w:rsidRDefault="00C91B45" w:rsidP="004E6A8B">
      <w:pPr>
        <w:jc w:val="both"/>
        <w:rPr>
          <w:rFonts w:ascii="Tribune" w:hAnsi="Tribune"/>
        </w:rPr>
      </w:pPr>
    </w:p>
    <w:p w14:paraId="5FCF3D32" w14:textId="60FDC8F5" w:rsidR="00774B69" w:rsidRDefault="004E6A8B" w:rsidP="004E6A8B">
      <w:pPr>
        <w:jc w:val="both"/>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8767E5">
        <w:rPr>
          <w:rFonts w:ascii="Arial" w:hAnsi="Arial" w:cs="Arial"/>
          <w:b/>
          <w:szCs w:val="24"/>
        </w:rPr>
        <w:tab/>
      </w:r>
      <w:r w:rsidR="008767E5">
        <w:rPr>
          <w:rFonts w:ascii="Arial" w:hAnsi="Arial" w:cs="Arial"/>
          <w:b/>
          <w:szCs w:val="24"/>
        </w:rPr>
        <w:tab/>
      </w:r>
      <w:r w:rsidR="008767E5">
        <w:rPr>
          <w:rFonts w:ascii="Arial" w:hAnsi="Arial" w:cs="Arial"/>
          <w:b/>
          <w:szCs w:val="24"/>
        </w:rPr>
        <w:tab/>
      </w:r>
      <w:r w:rsidRPr="003B68AC">
        <w:rPr>
          <w:rFonts w:ascii="Arial" w:hAnsi="Arial" w:cs="Arial"/>
          <w:b/>
          <w:szCs w:val="24"/>
        </w:rPr>
        <w:t>Docket No</w:t>
      </w:r>
      <w:r w:rsidR="007A6FFF">
        <w:rPr>
          <w:rFonts w:ascii="Arial" w:hAnsi="Arial" w:cs="Arial"/>
          <w:b/>
          <w:szCs w:val="24"/>
        </w:rPr>
        <w:t xml:space="preserve">. </w:t>
      </w:r>
      <w:r w:rsidR="002F6DF3">
        <w:rPr>
          <w:rFonts w:ascii="Arial" w:hAnsi="Arial" w:cs="Arial"/>
          <w:b/>
          <w:szCs w:val="24"/>
        </w:rPr>
        <w:t>F33</w:t>
      </w:r>
      <w:r w:rsidR="00643AB5">
        <w:rPr>
          <w:rFonts w:ascii="Arial" w:hAnsi="Arial" w:cs="Arial"/>
          <w:b/>
          <w:szCs w:val="24"/>
        </w:rPr>
        <w:t>9173</w:t>
      </w:r>
    </w:p>
    <w:p w14:paraId="2C6BA126" w14:textId="749713F4" w:rsidR="00774B69" w:rsidRDefault="00AE5383" w:rsidP="004E6A8B">
      <w:pPr>
        <w:jc w:val="both"/>
        <w:rPr>
          <w:rFonts w:ascii="Arial" w:hAnsi="Arial" w:cs="Arial"/>
          <w:b/>
          <w:szCs w:val="24"/>
        </w:rPr>
      </w:pPr>
      <w:r>
        <w:rPr>
          <w:rFonts w:ascii="Arial" w:hAnsi="Arial" w:cs="Arial"/>
          <w:b/>
          <w:szCs w:val="24"/>
        </w:rPr>
        <w:tab/>
      </w:r>
      <w:r>
        <w:rPr>
          <w:rFonts w:ascii="Arial" w:hAnsi="Arial" w:cs="Arial"/>
          <w:b/>
          <w:szCs w:val="24"/>
        </w:rPr>
        <w:tab/>
      </w:r>
    </w:p>
    <w:p w14:paraId="62E576A4" w14:textId="77777777" w:rsidR="001A76E5" w:rsidRPr="00AD4550" w:rsidRDefault="001A76E5" w:rsidP="004E6A8B">
      <w:pPr>
        <w:jc w:val="both"/>
        <w:rPr>
          <w:rFonts w:ascii="Arial" w:hAnsi="Arial" w:cs="Arial"/>
          <w:b/>
          <w:szCs w:val="24"/>
        </w:rPr>
      </w:pPr>
    </w:p>
    <w:p w14:paraId="253906C1" w14:textId="6156725F" w:rsidR="00560258" w:rsidRDefault="00643AB5" w:rsidP="004E6A8B">
      <w:pPr>
        <w:jc w:val="center"/>
        <w:rPr>
          <w:rFonts w:ascii="Arial" w:hAnsi="Arial" w:cs="Arial"/>
          <w:b/>
          <w:szCs w:val="24"/>
        </w:rPr>
      </w:pPr>
      <w:r>
        <w:rPr>
          <w:rFonts w:ascii="Arial" w:hAnsi="Arial" w:cs="Arial"/>
          <w:b/>
          <w:szCs w:val="24"/>
        </w:rPr>
        <w:t>MARY ANNE</w:t>
      </w:r>
      <w:r w:rsidR="002F6DF3">
        <w:rPr>
          <w:rFonts w:ascii="Arial" w:hAnsi="Arial" w:cs="Arial"/>
          <w:b/>
          <w:szCs w:val="24"/>
        </w:rPr>
        <w:t xml:space="preserve"> </w:t>
      </w:r>
      <w:r w:rsidR="00BF5E19">
        <w:rPr>
          <w:rFonts w:ascii="Arial" w:hAnsi="Arial" w:cs="Arial"/>
          <w:b/>
          <w:szCs w:val="24"/>
        </w:rPr>
        <w:t xml:space="preserve">AND </w:t>
      </w:r>
      <w:r>
        <w:rPr>
          <w:rFonts w:ascii="Arial" w:hAnsi="Arial" w:cs="Arial"/>
          <w:b/>
          <w:szCs w:val="24"/>
        </w:rPr>
        <w:t>JEFFREY S.</w:t>
      </w:r>
      <w:r w:rsidR="002F6DF3">
        <w:rPr>
          <w:rFonts w:ascii="Arial" w:hAnsi="Arial" w:cs="Arial"/>
          <w:b/>
          <w:szCs w:val="24"/>
        </w:rPr>
        <w:t xml:space="preserve"> </w:t>
      </w:r>
      <w:r>
        <w:rPr>
          <w:rFonts w:ascii="Arial" w:hAnsi="Arial" w:cs="Arial"/>
          <w:b/>
          <w:szCs w:val="24"/>
        </w:rPr>
        <w:t>NORTH</w:t>
      </w:r>
      <w:r w:rsidR="00BF5E19">
        <w:rPr>
          <w:rFonts w:ascii="Arial" w:hAnsi="Arial" w:cs="Arial"/>
          <w:b/>
          <w:szCs w:val="24"/>
        </w:rPr>
        <w:t>,</w:t>
      </w:r>
    </w:p>
    <w:p w14:paraId="17C4EF9C" w14:textId="77777777" w:rsidR="004E6A8B" w:rsidRPr="00DB1601" w:rsidRDefault="004E6A8B" w:rsidP="004E6A8B">
      <w:pPr>
        <w:ind w:left="2880" w:firstLine="720"/>
        <w:jc w:val="center"/>
        <w:rPr>
          <w:rFonts w:ascii="Arial" w:hAnsi="Arial" w:cs="Arial"/>
          <w:b/>
          <w:szCs w:val="24"/>
        </w:rPr>
      </w:pPr>
      <w:r w:rsidRPr="00DB1601">
        <w:rPr>
          <w:rFonts w:ascii="Arial" w:hAnsi="Arial" w:cs="Arial"/>
          <w:b/>
          <w:szCs w:val="24"/>
        </w:rPr>
        <w:t>Appellant</w:t>
      </w:r>
      <w:r w:rsidR="00456674">
        <w:rPr>
          <w:rFonts w:ascii="Arial" w:hAnsi="Arial" w:cs="Arial"/>
          <w:b/>
          <w:szCs w:val="24"/>
        </w:rPr>
        <w:t>s</w:t>
      </w:r>
    </w:p>
    <w:p w14:paraId="7928F0CF" w14:textId="18056D4A" w:rsidR="004E6A8B" w:rsidRDefault="004E6A8B" w:rsidP="004E6A8B">
      <w:pPr>
        <w:jc w:val="center"/>
        <w:rPr>
          <w:rFonts w:ascii="Arial" w:hAnsi="Arial" w:cs="Arial"/>
          <w:szCs w:val="24"/>
        </w:rPr>
      </w:pPr>
    </w:p>
    <w:p w14:paraId="233E5F17" w14:textId="77777777" w:rsidR="001A76E5" w:rsidRPr="00DB1601" w:rsidRDefault="001A76E5" w:rsidP="004E6A8B">
      <w:pPr>
        <w:jc w:val="center"/>
        <w:rPr>
          <w:rFonts w:ascii="Arial" w:hAnsi="Arial" w:cs="Arial"/>
          <w:szCs w:val="24"/>
        </w:rPr>
      </w:pPr>
    </w:p>
    <w:p w14:paraId="32AB3DCB" w14:textId="77777777" w:rsidR="00E37CA0" w:rsidRDefault="00774B69" w:rsidP="004E6A8B">
      <w:pPr>
        <w:jc w:val="center"/>
        <w:rPr>
          <w:rFonts w:ascii="Arial" w:hAnsi="Arial" w:cs="Arial"/>
          <w:b/>
          <w:szCs w:val="24"/>
        </w:rPr>
      </w:pPr>
      <w:r>
        <w:rPr>
          <w:rFonts w:ascii="Arial" w:hAnsi="Arial" w:cs="Arial"/>
          <w:b/>
          <w:szCs w:val="24"/>
        </w:rPr>
        <w:t xml:space="preserve">BOARD OF ASSESSORS OF </w:t>
      </w:r>
      <w:r w:rsidR="00E37CA0">
        <w:rPr>
          <w:rFonts w:ascii="Arial" w:hAnsi="Arial" w:cs="Arial"/>
          <w:b/>
          <w:szCs w:val="24"/>
        </w:rPr>
        <w:t xml:space="preserve">THE </w:t>
      </w:r>
    </w:p>
    <w:p w14:paraId="6E6E73AD" w14:textId="2E4DF5E0" w:rsidR="004E6A8B" w:rsidRPr="00DB1601" w:rsidRDefault="00E37CA0" w:rsidP="004E6A8B">
      <w:pPr>
        <w:jc w:val="center"/>
        <w:rPr>
          <w:rFonts w:ascii="Arial" w:hAnsi="Arial" w:cs="Arial"/>
          <w:b/>
          <w:szCs w:val="24"/>
        </w:rPr>
      </w:pPr>
      <w:r>
        <w:rPr>
          <w:rFonts w:ascii="Arial" w:hAnsi="Arial" w:cs="Arial"/>
          <w:b/>
          <w:szCs w:val="24"/>
        </w:rPr>
        <w:t xml:space="preserve">TOWN OF </w:t>
      </w:r>
      <w:r w:rsidR="00643AB5">
        <w:rPr>
          <w:rFonts w:ascii="Arial" w:hAnsi="Arial" w:cs="Arial"/>
          <w:b/>
          <w:szCs w:val="24"/>
        </w:rPr>
        <w:t>BELMONT</w:t>
      </w:r>
    </w:p>
    <w:p w14:paraId="1E58B95F" w14:textId="77777777" w:rsidR="004E6A8B" w:rsidRPr="00DB1601" w:rsidRDefault="004E6A8B" w:rsidP="004E6A8B">
      <w:pPr>
        <w:ind w:left="2160" w:firstLine="720"/>
        <w:jc w:val="center"/>
        <w:rPr>
          <w:rFonts w:ascii="Arial" w:hAnsi="Arial" w:cs="Arial"/>
          <w:b/>
          <w:szCs w:val="24"/>
        </w:rPr>
      </w:pPr>
      <w:r w:rsidRPr="00DB1601">
        <w:rPr>
          <w:rFonts w:ascii="Arial" w:hAnsi="Arial" w:cs="Arial"/>
          <w:b/>
          <w:szCs w:val="24"/>
        </w:rPr>
        <w:t>Appellee</w:t>
      </w:r>
    </w:p>
    <w:p w14:paraId="18B657A3" w14:textId="77777777" w:rsidR="00C91B45" w:rsidRDefault="00C91B45" w:rsidP="004E6A8B">
      <w:pPr>
        <w:rPr>
          <w:rFonts w:ascii="Arial" w:hAnsi="Arial" w:cs="Arial"/>
          <w:szCs w:val="24"/>
        </w:rPr>
      </w:pPr>
    </w:p>
    <w:p w14:paraId="2B8188C9" w14:textId="2AD2B978" w:rsidR="00C91B45" w:rsidRDefault="00C91B45" w:rsidP="004E6A8B">
      <w:pPr>
        <w:rPr>
          <w:rFonts w:ascii="Arial" w:hAnsi="Arial" w:cs="Arial"/>
          <w:szCs w:val="24"/>
        </w:rPr>
      </w:pPr>
    </w:p>
    <w:p w14:paraId="7121E856" w14:textId="77777777" w:rsidR="001A76E5" w:rsidRDefault="001A76E5" w:rsidP="004E6A8B">
      <w:pPr>
        <w:rPr>
          <w:rFonts w:ascii="Arial" w:hAnsi="Arial" w:cs="Arial"/>
          <w:szCs w:val="24"/>
        </w:rPr>
      </w:pPr>
    </w:p>
    <w:p w14:paraId="52A7A20F" w14:textId="77777777" w:rsidR="00B24A31" w:rsidRPr="00B24A31" w:rsidRDefault="00B24A31" w:rsidP="004E6A8B">
      <w:pPr>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t xml:space="preserve">        </w:t>
      </w:r>
      <w:r w:rsidRPr="00B24A31">
        <w:rPr>
          <w:rFonts w:ascii="Arial" w:hAnsi="Arial" w:cs="Arial"/>
          <w:b/>
          <w:szCs w:val="24"/>
        </w:rPr>
        <w:t>DECISION WITH FINDINGS</w:t>
      </w:r>
    </w:p>
    <w:p w14:paraId="0400FA09" w14:textId="3CDB30D7" w:rsidR="00B24A31" w:rsidRDefault="00B24A31" w:rsidP="00B24A31">
      <w:pPr>
        <w:rPr>
          <w:rFonts w:ascii="Arial" w:hAnsi="Arial" w:cs="Arial"/>
          <w:b/>
          <w:szCs w:val="24"/>
        </w:rPr>
      </w:pPr>
    </w:p>
    <w:p w14:paraId="3FED7CDA" w14:textId="77777777" w:rsidR="001A76E5" w:rsidRDefault="001A76E5" w:rsidP="00B24A31">
      <w:pPr>
        <w:rPr>
          <w:rFonts w:ascii="Arial" w:hAnsi="Arial" w:cs="Arial"/>
          <w:b/>
          <w:szCs w:val="24"/>
        </w:rPr>
      </w:pPr>
    </w:p>
    <w:p w14:paraId="31949FFC" w14:textId="26F50BFD" w:rsidR="00544A31" w:rsidRDefault="0097310F" w:rsidP="00091A28">
      <w:pPr>
        <w:ind w:firstLine="720"/>
        <w:jc w:val="both"/>
        <w:rPr>
          <w:rFonts w:ascii="Arial" w:hAnsi="Arial" w:cs="Arial"/>
          <w:szCs w:val="24"/>
        </w:rPr>
      </w:pPr>
      <w:r>
        <w:rPr>
          <w:rFonts w:ascii="Arial" w:hAnsi="Arial" w:cs="Arial"/>
          <w:szCs w:val="24"/>
        </w:rPr>
        <w:t xml:space="preserve">This appeal concerns the appellants’ overvaluation claim for fiscal year 2019 (“fiscal year at issue”) </w:t>
      </w:r>
      <w:r w:rsidR="0054127F">
        <w:rPr>
          <w:rFonts w:ascii="Arial" w:hAnsi="Arial" w:cs="Arial"/>
          <w:szCs w:val="24"/>
        </w:rPr>
        <w:t xml:space="preserve">with respect to </w:t>
      </w:r>
      <w:r w:rsidR="00811099">
        <w:rPr>
          <w:rFonts w:ascii="Arial" w:hAnsi="Arial" w:cs="Arial"/>
          <w:szCs w:val="24"/>
        </w:rPr>
        <w:t xml:space="preserve">residential property located in the </w:t>
      </w:r>
      <w:r w:rsidR="000421C0">
        <w:rPr>
          <w:rFonts w:ascii="Arial" w:hAnsi="Arial" w:cs="Arial"/>
          <w:szCs w:val="24"/>
        </w:rPr>
        <w:t>T</w:t>
      </w:r>
      <w:r w:rsidR="00811099">
        <w:rPr>
          <w:rFonts w:ascii="Arial" w:hAnsi="Arial" w:cs="Arial"/>
          <w:szCs w:val="24"/>
        </w:rPr>
        <w:t xml:space="preserve">own of </w:t>
      </w:r>
      <w:r w:rsidR="00643AB5">
        <w:rPr>
          <w:rFonts w:ascii="Arial" w:hAnsi="Arial" w:cs="Arial"/>
          <w:szCs w:val="24"/>
        </w:rPr>
        <w:t>Belmont</w:t>
      </w:r>
      <w:r w:rsidR="00811099">
        <w:rPr>
          <w:rFonts w:ascii="Arial" w:hAnsi="Arial" w:cs="Arial"/>
          <w:szCs w:val="24"/>
        </w:rPr>
        <w:t>. On January 1, 2018, the relevant valuation and assessment date, the appellants were the assessed owners of a</w:t>
      </w:r>
      <w:r w:rsidR="00643AB5">
        <w:rPr>
          <w:rFonts w:ascii="Arial" w:hAnsi="Arial" w:cs="Arial"/>
          <w:szCs w:val="24"/>
        </w:rPr>
        <w:t>n 8</w:t>
      </w:r>
      <w:r w:rsidR="008D0B1F">
        <w:rPr>
          <w:rFonts w:ascii="Arial" w:hAnsi="Arial" w:cs="Arial"/>
          <w:szCs w:val="24"/>
        </w:rPr>
        <w:t>,</w:t>
      </w:r>
      <w:r w:rsidR="00643AB5">
        <w:rPr>
          <w:rFonts w:ascii="Arial" w:hAnsi="Arial" w:cs="Arial"/>
          <w:szCs w:val="24"/>
        </w:rPr>
        <w:t>200</w:t>
      </w:r>
      <w:r w:rsidR="0038537A">
        <w:rPr>
          <w:rFonts w:ascii="Arial" w:hAnsi="Arial" w:cs="Arial"/>
          <w:szCs w:val="24"/>
        </w:rPr>
        <w:t>-</w:t>
      </w:r>
      <w:r w:rsidR="00643AB5">
        <w:rPr>
          <w:rFonts w:ascii="Arial" w:hAnsi="Arial" w:cs="Arial"/>
          <w:szCs w:val="24"/>
        </w:rPr>
        <w:t>square</w:t>
      </w:r>
      <w:r w:rsidR="0038537A">
        <w:rPr>
          <w:rFonts w:ascii="Arial" w:hAnsi="Arial" w:cs="Arial"/>
          <w:szCs w:val="24"/>
        </w:rPr>
        <w:t>-</w:t>
      </w:r>
      <w:r w:rsidR="00643AB5">
        <w:rPr>
          <w:rFonts w:ascii="Arial" w:hAnsi="Arial" w:cs="Arial"/>
          <w:szCs w:val="24"/>
        </w:rPr>
        <w:t>foot</w:t>
      </w:r>
      <w:r w:rsidR="00811099">
        <w:rPr>
          <w:rFonts w:ascii="Arial" w:hAnsi="Arial" w:cs="Arial"/>
          <w:szCs w:val="24"/>
        </w:rPr>
        <w:t xml:space="preserve"> parcel of real estate improved with a single-family, Colonial-style residence l</w:t>
      </w:r>
      <w:r w:rsidR="00C8103C">
        <w:rPr>
          <w:rFonts w:ascii="Arial" w:hAnsi="Arial" w:cs="Arial"/>
          <w:szCs w:val="24"/>
        </w:rPr>
        <w:t xml:space="preserve">ocated at </w:t>
      </w:r>
      <w:r w:rsidR="00643AB5">
        <w:rPr>
          <w:rFonts w:ascii="Arial" w:hAnsi="Arial" w:cs="Arial"/>
          <w:szCs w:val="24"/>
        </w:rPr>
        <w:t>13</w:t>
      </w:r>
      <w:r w:rsidR="0038537A">
        <w:rPr>
          <w:rFonts w:ascii="Arial" w:hAnsi="Arial" w:cs="Arial"/>
          <w:szCs w:val="24"/>
        </w:rPr>
        <w:t xml:space="preserve">8 School Street </w:t>
      </w:r>
      <w:r w:rsidR="00811099">
        <w:rPr>
          <w:rFonts w:ascii="Arial" w:hAnsi="Arial" w:cs="Arial"/>
          <w:szCs w:val="24"/>
        </w:rPr>
        <w:t xml:space="preserve">(“subject property”). </w:t>
      </w:r>
      <w:r w:rsidR="00544A31">
        <w:rPr>
          <w:rFonts w:ascii="Arial" w:hAnsi="Arial" w:cs="Arial"/>
          <w:szCs w:val="24"/>
        </w:rPr>
        <w:t>The subject dwelling ha</w:t>
      </w:r>
      <w:r w:rsidR="00083DDD">
        <w:rPr>
          <w:rFonts w:ascii="Arial" w:hAnsi="Arial" w:cs="Arial"/>
          <w:szCs w:val="24"/>
        </w:rPr>
        <w:t>d</w:t>
      </w:r>
      <w:r w:rsidR="00544A31">
        <w:rPr>
          <w:rFonts w:ascii="Arial" w:hAnsi="Arial" w:cs="Arial"/>
          <w:szCs w:val="24"/>
        </w:rPr>
        <w:t xml:space="preserve"> 2,028 square feet of finished living area, including three bedrooms and two bathrooms.   </w:t>
      </w:r>
    </w:p>
    <w:p w14:paraId="442072D5" w14:textId="77777777" w:rsidR="00544A31" w:rsidRDefault="00544A31" w:rsidP="00091A28">
      <w:pPr>
        <w:ind w:firstLine="720"/>
        <w:jc w:val="both"/>
        <w:rPr>
          <w:rFonts w:ascii="Arial" w:hAnsi="Arial" w:cs="Arial"/>
          <w:szCs w:val="24"/>
        </w:rPr>
      </w:pPr>
    </w:p>
    <w:p w14:paraId="3484E3EB" w14:textId="2E6020EF" w:rsidR="002460DF" w:rsidRDefault="00A16287" w:rsidP="00091A28">
      <w:pPr>
        <w:ind w:firstLine="720"/>
        <w:jc w:val="both"/>
        <w:rPr>
          <w:rFonts w:ascii="Arial" w:hAnsi="Arial" w:cs="Arial"/>
          <w:szCs w:val="24"/>
        </w:rPr>
      </w:pPr>
      <w:r>
        <w:rPr>
          <w:rFonts w:ascii="Arial" w:hAnsi="Arial" w:cs="Arial"/>
          <w:szCs w:val="24"/>
        </w:rPr>
        <w:t>For the fiscal year at issue, the assessors valued the subject property at $9</w:t>
      </w:r>
      <w:r w:rsidR="00643AB5">
        <w:rPr>
          <w:rFonts w:ascii="Arial" w:hAnsi="Arial" w:cs="Arial"/>
          <w:szCs w:val="24"/>
        </w:rPr>
        <w:t>52</w:t>
      </w:r>
      <w:r>
        <w:rPr>
          <w:rFonts w:ascii="Arial" w:hAnsi="Arial" w:cs="Arial"/>
          <w:szCs w:val="24"/>
        </w:rPr>
        <w:t>,</w:t>
      </w:r>
      <w:r w:rsidR="00643AB5">
        <w:rPr>
          <w:rFonts w:ascii="Arial" w:hAnsi="Arial" w:cs="Arial"/>
          <w:szCs w:val="24"/>
        </w:rPr>
        <w:t>0</w:t>
      </w:r>
      <w:r>
        <w:rPr>
          <w:rFonts w:ascii="Arial" w:hAnsi="Arial" w:cs="Arial"/>
          <w:szCs w:val="24"/>
        </w:rPr>
        <w:t xml:space="preserve">00. </w:t>
      </w:r>
      <w:r w:rsidR="005177C4">
        <w:rPr>
          <w:rFonts w:ascii="Arial" w:hAnsi="Arial" w:cs="Arial"/>
          <w:szCs w:val="24"/>
        </w:rPr>
        <w:t>The appellants timely paid the tax due and timely filed both their Application for Abatement with the assessors, which was denied, and their appeal with the Appellate Tax Board</w:t>
      </w:r>
      <w:r w:rsidR="00E43C70">
        <w:rPr>
          <w:rFonts w:ascii="Arial" w:hAnsi="Arial" w:cs="Arial"/>
          <w:szCs w:val="24"/>
        </w:rPr>
        <w:t xml:space="preserve"> (“Board”).  Accordingly, </w:t>
      </w:r>
      <w:r w:rsidR="005177C4">
        <w:rPr>
          <w:rFonts w:ascii="Arial" w:hAnsi="Arial" w:cs="Arial"/>
          <w:szCs w:val="24"/>
        </w:rPr>
        <w:t xml:space="preserve">the Board </w:t>
      </w:r>
      <w:r w:rsidR="00E43C70">
        <w:rPr>
          <w:rFonts w:ascii="Arial" w:hAnsi="Arial" w:cs="Arial"/>
          <w:szCs w:val="24"/>
        </w:rPr>
        <w:t xml:space="preserve">found that it </w:t>
      </w:r>
      <w:r w:rsidR="005177C4">
        <w:rPr>
          <w:rFonts w:ascii="Arial" w:hAnsi="Arial" w:cs="Arial"/>
          <w:szCs w:val="24"/>
        </w:rPr>
        <w:t>had jurisdiction to hear and decide th</w:t>
      </w:r>
      <w:r w:rsidR="0054127F">
        <w:rPr>
          <w:rFonts w:ascii="Arial" w:hAnsi="Arial" w:cs="Arial"/>
          <w:szCs w:val="24"/>
        </w:rPr>
        <w:t>is</w:t>
      </w:r>
      <w:r w:rsidR="005177C4">
        <w:rPr>
          <w:rFonts w:ascii="Arial" w:hAnsi="Arial" w:cs="Arial"/>
          <w:szCs w:val="24"/>
        </w:rPr>
        <w:t xml:space="preserve"> appeal.</w:t>
      </w:r>
    </w:p>
    <w:p w14:paraId="69286E22" w14:textId="77777777" w:rsidR="005177C4" w:rsidRDefault="005177C4" w:rsidP="00091A28">
      <w:pPr>
        <w:ind w:firstLine="720"/>
        <w:jc w:val="both"/>
        <w:rPr>
          <w:rFonts w:ascii="Arial" w:hAnsi="Arial" w:cs="Arial"/>
          <w:szCs w:val="24"/>
        </w:rPr>
      </w:pPr>
    </w:p>
    <w:p w14:paraId="2E5B957D" w14:textId="77777777" w:rsidR="001A76E5" w:rsidRDefault="009A2871" w:rsidP="008769F0">
      <w:pPr>
        <w:ind w:firstLine="720"/>
        <w:jc w:val="both"/>
        <w:rPr>
          <w:rFonts w:ascii="Arial" w:hAnsi="Arial" w:cs="Arial"/>
          <w:szCs w:val="24"/>
        </w:rPr>
      </w:pPr>
      <w:r>
        <w:rPr>
          <w:rFonts w:ascii="Arial" w:hAnsi="Arial" w:cs="Arial"/>
          <w:szCs w:val="24"/>
        </w:rPr>
        <w:t>In support of their claim for overvaluation, the appellants submitted</w:t>
      </w:r>
      <w:r w:rsidR="00D5031D">
        <w:rPr>
          <w:rFonts w:ascii="Arial" w:hAnsi="Arial" w:cs="Arial"/>
          <w:szCs w:val="24"/>
        </w:rPr>
        <w:t>, in addition to testimony,</w:t>
      </w:r>
      <w:r>
        <w:rPr>
          <w:rFonts w:ascii="Arial" w:hAnsi="Arial" w:cs="Arial"/>
          <w:szCs w:val="24"/>
        </w:rPr>
        <w:t xml:space="preserve"> </w:t>
      </w:r>
      <w:r w:rsidR="00D5031D">
        <w:rPr>
          <w:rFonts w:ascii="Arial" w:hAnsi="Arial" w:cs="Arial"/>
          <w:szCs w:val="24"/>
        </w:rPr>
        <w:t>the following:</w:t>
      </w:r>
      <w:r>
        <w:rPr>
          <w:rFonts w:ascii="Arial" w:hAnsi="Arial" w:cs="Arial"/>
          <w:szCs w:val="24"/>
        </w:rPr>
        <w:t xml:space="preserve"> </w:t>
      </w:r>
      <w:r w:rsidR="00D5031D">
        <w:rPr>
          <w:rFonts w:ascii="Arial" w:hAnsi="Arial" w:cs="Arial"/>
          <w:szCs w:val="24"/>
        </w:rPr>
        <w:t xml:space="preserve">a comparison of </w:t>
      </w:r>
      <w:r w:rsidR="00C85D53">
        <w:rPr>
          <w:rFonts w:ascii="Arial" w:hAnsi="Arial" w:cs="Arial"/>
          <w:szCs w:val="24"/>
        </w:rPr>
        <w:t xml:space="preserve">the assessed value of the subject property to </w:t>
      </w:r>
      <w:r w:rsidR="00566EF8">
        <w:rPr>
          <w:rFonts w:ascii="Arial" w:hAnsi="Arial" w:cs="Arial"/>
          <w:szCs w:val="24"/>
        </w:rPr>
        <w:t xml:space="preserve">the assessed values </w:t>
      </w:r>
      <w:r w:rsidR="00C85D53">
        <w:rPr>
          <w:rFonts w:ascii="Arial" w:hAnsi="Arial" w:cs="Arial"/>
          <w:szCs w:val="24"/>
        </w:rPr>
        <w:t xml:space="preserve">of nearby, similar </w:t>
      </w:r>
      <w:r w:rsidR="002212EF">
        <w:rPr>
          <w:rFonts w:ascii="Arial" w:hAnsi="Arial" w:cs="Arial"/>
          <w:szCs w:val="24"/>
        </w:rPr>
        <w:t>properties</w:t>
      </w:r>
      <w:r w:rsidR="00C85D53">
        <w:rPr>
          <w:rFonts w:ascii="Arial" w:hAnsi="Arial" w:cs="Arial"/>
          <w:szCs w:val="24"/>
        </w:rPr>
        <w:t xml:space="preserve">; </w:t>
      </w:r>
      <w:r w:rsidR="008B0CBD">
        <w:rPr>
          <w:rFonts w:ascii="Arial" w:hAnsi="Arial" w:cs="Arial"/>
          <w:szCs w:val="24"/>
        </w:rPr>
        <w:t>a sales-compari</w:t>
      </w:r>
      <w:r w:rsidR="00C85D53">
        <w:rPr>
          <w:rFonts w:ascii="Arial" w:hAnsi="Arial" w:cs="Arial"/>
          <w:szCs w:val="24"/>
        </w:rPr>
        <w:t>son analysis comparing the assessed value of the subject property to the sale prices o</w:t>
      </w:r>
      <w:r w:rsidR="00C639C7">
        <w:rPr>
          <w:rFonts w:ascii="Arial" w:hAnsi="Arial" w:cs="Arial"/>
          <w:szCs w:val="24"/>
        </w:rPr>
        <w:t xml:space="preserve">f </w:t>
      </w:r>
      <w:r w:rsidR="00566EF8">
        <w:rPr>
          <w:rFonts w:ascii="Arial" w:hAnsi="Arial" w:cs="Arial"/>
          <w:szCs w:val="24"/>
        </w:rPr>
        <w:t xml:space="preserve">nearby, </w:t>
      </w:r>
      <w:r w:rsidR="008B0CBD">
        <w:rPr>
          <w:rFonts w:ascii="Arial" w:hAnsi="Arial" w:cs="Arial"/>
          <w:szCs w:val="24"/>
        </w:rPr>
        <w:t xml:space="preserve">similar </w:t>
      </w:r>
      <w:r w:rsidR="002212EF">
        <w:rPr>
          <w:rFonts w:ascii="Arial" w:hAnsi="Arial" w:cs="Arial"/>
          <w:szCs w:val="24"/>
        </w:rPr>
        <w:t>properties;</w:t>
      </w:r>
      <w:r w:rsidR="00566EF8">
        <w:rPr>
          <w:rFonts w:ascii="Arial" w:hAnsi="Arial" w:cs="Arial"/>
          <w:szCs w:val="24"/>
        </w:rPr>
        <w:t xml:space="preserve"> and photographs illustrating </w:t>
      </w:r>
      <w:r w:rsidR="00083DDD">
        <w:rPr>
          <w:rFonts w:ascii="Arial" w:hAnsi="Arial" w:cs="Arial"/>
          <w:szCs w:val="24"/>
        </w:rPr>
        <w:t xml:space="preserve">various deficiencies in the condition of the subject </w:t>
      </w:r>
      <w:r w:rsidR="002212EF">
        <w:rPr>
          <w:rFonts w:ascii="Arial" w:hAnsi="Arial" w:cs="Arial"/>
          <w:szCs w:val="24"/>
        </w:rPr>
        <w:t>dwelling</w:t>
      </w:r>
      <w:r w:rsidR="00083DDD">
        <w:rPr>
          <w:rFonts w:ascii="Arial" w:hAnsi="Arial" w:cs="Arial"/>
          <w:szCs w:val="24"/>
        </w:rPr>
        <w:t>. The appellants noted that</w:t>
      </w:r>
    </w:p>
    <w:p w14:paraId="1D5154A9" w14:textId="78F77F83" w:rsidR="008769F0" w:rsidRDefault="00083DDD" w:rsidP="001A76E5">
      <w:pPr>
        <w:jc w:val="both"/>
        <w:rPr>
          <w:rFonts w:ascii="Arial" w:hAnsi="Arial" w:cs="Arial"/>
          <w:szCs w:val="24"/>
        </w:rPr>
      </w:pPr>
      <w:r>
        <w:rPr>
          <w:rFonts w:ascii="Arial" w:hAnsi="Arial" w:cs="Arial"/>
          <w:szCs w:val="24"/>
        </w:rPr>
        <w:lastRenderedPageBreak/>
        <w:t>these deficiencies were not accounted for in the subject property’s condition factor on its property record card. The appellants also noted that the property record card incorrectly indicated that the residence had nine rooms, when in reality it had seven.</w:t>
      </w:r>
      <w:r w:rsidR="00C32C1F">
        <w:rPr>
          <w:rFonts w:ascii="Arial" w:hAnsi="Arial" w:cs="Arial"/>
          <w:szCs w:val="24"/>
        </w:rPr>
        <w:t xml:space="preserve"> </w:t>
      </w:r>
    </w:p>
    <w:p w14:paraId="49E3B50F" w14:textId="77777777" w:rsidR="00145918" w:rsidRDefault="00145918" w:rsidP="001A76E5">
      <w:pPr>
        <w:jc w:val="both"/>
        <w:rPr>
          <w:rFonts w:ascii="Arial" w:hAnsi="Arial" w:cs="Arial"/>
          <w:szCs w:val="24"/>
        </w:rPr>
      </w:pPr>
    </w:p>
    <w:p w14:paraId="5B9AC38E" w14:textId="0662F4AD" w:rsidR="0060023E" w:rsidRDefault="0060023E" w:rsidP="008769F0">
      <w:pPr>
        <w:ind w:firstLine="720"/>
        <w:jc w:val="both"/>
        <w:rPr>
          <w:rFonts w:ascii="Arial" w:hAnsi="Arial" w:cs="Arial"/>
          <w:szCs w:val="24"/>
        </w:rPr>
      </w:pPr>
      <w:r>
        <w:rPr>
          <w:rFonts w:ascii="Arial" w:hAnsi="Arial" w:cs="Arial"/>
          <w:szCs w:val="24"/>
        </w:rPr>
        <w:t>At the conclusion of their case, the appellants expressed an opinion of value for the subject property of $</w:t>
      </w:r>
      <w:r w:rsidR="00643AB5">
        <w:rPr>
          <w:rFonts w:ascii="Arial" w:hAnsi="Arial" w:cs="Arial"/>
          <w:szCs w:val="24"/>
        </w:rPr>
        <w:t>770</w:t>
      </w:r>
      <w:r>
        <w:rPr>
          <w:rFonts w:ascii="Arial" w:hAnsi="Arial" w:cs="Arial"/>
          <w:szCs w:val="24"/>
        </w:rPr>
        <w:t>,</w:t>
      </w:r>
      <w:r w:rsidR="00643AB5">
        <w:rPr>
          <w:rFonts w:ascii="Arial" w:hAnsi="Arial" w:cs="Arial"/>
          <w:szCs w:val="24"/>
        </w:rPr>
        <w:t>0</w:t>
      </w:r>
      <w:r>
        <w:rPr>
          <w:rFonts w:ascii="Arial" w:hAnsi="Arial" w:cs="Arial"/>
          <w:szCs w:val="24"/>
        </w:rPr>
        <w:t>00.</w:t>
      </w:r>
    </w:p>
    <w:p w14:paraId="5B4CFFEB" w14:textId="77777777" w:rsidR="0060023E" w:rsidRDefault="0060023E" w:rsidP="0060023E">
      <w:pPr>
        <w:jc w:val="both"/>
        <w:rPr>
          <w:rFonts w:ascii="Arial" w:hAnsi="Arial" w:cs="Arial"/>
          <w:szCs w:val="24"/>
        </w:rPr>
      </w:pPr>
    </w:p>
    <w:p w14:paraId="3402B257" w14:textId="6EDCCF66" w:rsidR="0060023E" w:rsidRDefault="0060023E" w:rsidP="0060023E">
      <w:pPr>
        <w:jc w:val="both"/>
        <w:rPr>
          <w:rFonts w:ascii="Arial" w:hAnsi="Arial" w:cs="Arial"/>
          <w:szCs w:val="24"/>
        </w:rPr>
      </w:pPr>
      <w:r>
        <w:rPr>
          <w:rFonts w:ascii="Arial" w:hAnsi="Arial" w:cs="Arial"/>
          <w:szCs w:val="24"/>
        </w:rPr>
        <w:tab/>
        <w:t xml:space="preserve">The assessors offered </w:t>
      </w:r>
      <w:r w:rsidR="00083DDD">
        <w:rPr>
          <w:rFonts w:ascii="Arial" w:hAnsi="Arial" w:cs="Arial"/>
          <w:szCs w:val="24"/>
        </w:rPr>
        <w:t>r</w:t>
      </w:r>
      <w:r>
        <w:rPr>
          <w:rFonts w:ascii="Arial" w:hAnsi="Arial" w:cs="Arial"/>
          <w:szCs w:val="24"/>
        </w:rPr>
        <w:t xml:space="preserve">elevant jurisdictional documents, </w:t>
      </w:r>
      <w:r w:rsidR="00083DDD">
        <w:rPr>
          <w:rFonts w:ascii="Arial" w:hAnsi="Arial" w:cs="Arial"/>
          <w:szCs w:val="24"/>
        </w:rPr>
        <w:t xml:space="preserve">and after a brief cross-examination of the appellants’ witness, </w:t>
      </w:r>
      <w:r>
        <w:rPr>
          <w:rFonts w:ascii="Arial" w:hAnsi="Arial" w:cs="Arial"/>
          <w:szCs w:val="24"/>
        </w:rPr>
        <w:t>rested on the</w:t>
      </w:r>
      <w:r w:rsidR="00083DDD">
        <w:rPr>
          <w:rFonts w:ascii="Arial" w:hAnsi="Arial" w:cs="Arial"/>
          <w:szCs w:val="24"/>
        </w:rPr>
        <w:t xml:space="preserve"> presumed validity of the</w:t>
      </w:r>
      <w:r>
        <w:rPr>
          <w:rFonts w:ascii="Arial" w:hAnsi="Arial" w:cs="Arial"/>
          <w:szCs w:val="24"/>
        </w:rPr>
        <w:t xml:space="preserve"> subject property</w:t>
      </w:r>
      <w:r w:rsidR="00083DDD">
        <w:rPr>
          <w:rFonts w:ascii="Arial" w:hAnsi="Arial" w:cs="Arial"/>
          <w:szCs w:val="24"/>
        </w:rPr>
        <w:t>’s assessed value.</w:t>
      </w:r>
    </w:p>
    <w:p w14:paraId="66807085" w14:textId="77777777" w:rsidR="0060023E" w:rsidRDefault="0060023E" w:rsidP="0060023E">
      <w:pPr>
        <w:jc w:val="both"/>
        <w:rPr>
          <w:rFonts w:ascii="Arial" w:hAnsi="Arial" w:cs="Arial"/>
          <w:szCs w:val="24"/>
        </w:rPr>
      </w:pPr>
    </w:p>
    <w:p w14:paraId="08DAC5D6" w14:textId="0526EAF3" w:rsidR="004C2A4D" w:rsidRDefault="0060023E" w:rsidP="0060023E">
      <w:pPr>
        <w:jc w:val="both"/>
        <w:rPr>
          <w:rFonts w:ascii="Arial" w:hAnsi="Arial" w:cs="Arial"/>
          <w:szCs w:val="24"/>
        </w:rPr>
      </w:pPr>
      <w:r>
        <w:rPr>
          <w:rFonts w:ascii="Arial" w:hAnsi="Arial" w:cs="Arial"/>
          <w:szCs w:val="24"/>
        </w:rPr>
        <w:tab/>
      </w:r>
      <w:r w:rsidR="004C2A4D">
        <w:rPr>
          <w:rFonts w:ascii="Arial" w:hAnsi="Arial" w:cs="Arial"/>
          <w:szCs w:val="24"/>
        </w:rPr>
        <w:t xml:space="preserve">A taxpayer has the burden of proving that property has a lower value that that assessed. </w:t>
      </w:r>
      <w:r w:rsidR="00F478F7">
        <w:rPr>
          <w:rFonts w:ascii="Arial" w:hAnsi="Arial" w:cs="Arial"/>
          <w:szCs w:val="24"/>
        </w:rPr>
        <w:t xml:space="preserve">The burden of proof is upon the taxpayer to make out a right as a matter of law to an abatement of tax. </w:t>
      </w:r>
      <w:r w:rsidR="004C2A4D" w:rsidRPr="007F0112">
        <w:rPr>
          <w:rFonts w:ascii="Arial" w:hAnsi="Arial" w:cs="Arial"/>
          <w:b/>
          <w:i/>
          <w:szCs w:val="24"/>
        </w:rPr>
        <w:t>Schlaiker v. Assessors of Great Barrington</w:t>
      </w:r>
      <w:r w:rsidR="004C2A4D">
        <w:rPr>
          <w:rFonts w:ascii="Arial" w:hAnsi="Arial" w:cs="Arial"/>
          <w:szCs w:val="24"/>
        </w:rPr>
        <w:t xml:space="preserve">, 365. Mass. 243, 245 (1974). </w:t>
      </w:r>
      <w:r w:rsidR="00F478F7">
        <w:rPr>
          <w:rFonts w:ascii="Arial" w:hAnsi="Arial" w:cs="Arial"/>
          <w:szCs w:val="24"/>
        </w:rPr>
        <w:t>The Board is entitled to presume that the valuation made by the assessors is valid unless the taxpayer proves to the contrary</w:t>
      </w:r>
      <w:r w:rsidR="00F478F7" w:rsidRPr="00087CBF">
        <w:rPr>
          <w:rFonts w:ascii="Arial" w:hAnsi="Arial" w:cs="Arial"/>
          <w:b/>
          <w:i/>
          <w:szCs w:val="24"/>
        </w:rPr>
        <w:t xml:space="preserve">. General Electric Co. v. Assessors </w:t>
      </w:r>
      <w:r w:rsidR="00087CBF">
        <w:rPr>
          <w:rFonts w:ascii="Arial" w:hAnsi="Arial" w:cs="Arial"/>
          <w:b/>
          <w:i/>
          <w:szCs w:val="24"/>
        </w:rPr>
        <w:t>o</w:t>
      </w:r>
      <w:r w:rsidR="00F478F7" w:rsidRPr="00087CBF">
        <w:rPr>
          <w:rFonts w:ascii="Arial" w:hAnsi="Arial" w:cs="Arial"/>
          <w:b/>
          <w:i/>
          <w:szCs w:val="24"/>
        </w:rPr>
        <w:t>f Lynn</w:t>
      </w:r>
      <w:r w:rsidR="00F478F7">
        <w:rPr>
          <w:rFonts w:ascii="Arial" w:hAnsi="Arial" w:cs="Arial"/>
          <w:szCs w:val="24"/>
        </w:rPr>
        <w:t xml:space="preserve">, 393 Mass. 591, 598 (1984).  </w:t>
      </w:r>
    </w:p>
    <w:p w14:paraId="4BE45039" w14:textId="77777777" w:rsidR="00DC313C" w:rsidRDefault="00DC313C" w:rsidP="0060023E">
      <w:pPr>
        <w:jc w:val="both"/>
        <w:rPr>
          <w:rFonts w:ascii="Arial" w:hAnsi="Arial" w:cs="Arial"/>
          <w:szCs w:val="24"/>
        </w:rPr>
      </w:pPr>
    </w:p>
    <w:p w14:paraId="3BCF57D3" w14:textId="0097895C" w:rsidR="00B40D23" w:rsidRDefault="00962B9F" w:rsidP="00F31EAC">
      <w:pPr>
        <w:ind w:firstLine="720"/>
        <w:jc w:val="both"/>
        <w:rPr>
          <w:rFonts w:ascii="Arial" w:hAnsi="Arial" w:cs="Arial"/>
          <w:szCs w:val="24"/>
        </w:rPr>
      </w:pPr>
      <w:r w:rsidRPr="00F31EAC">
        <w:rPr>
          <w:rFonts w:ascii="Arial" w:hAnsi="Arial" w:cs="Arial"/>
          <w:szCs w:val="24"/>
        </w:rPr>
        <w:t>In appeals before th</w:t>
      </w:r>
      <w:r w:rsidR="001061D9">
        <w:rPr>
          <w:rFonts w:ascii="Arial" w:hAnsi="Arial" w:cs="Arial"/>
          <w:szCs w:val="24"/>
        </w:rPr>
        <w:t xml:space="preserve">e </w:t>
      </w:r>
      <w:r w:rsidRPr="00F31EAC">
        <w:rPr>
          <w:rFonts w:ascii="Arial" w:hAnsi="Arial" w:cs="Arial"/>
          <w:szCs w:val="24"/>
        </w:rPr>
        <w:t xml:space="preserve">Board, a taxpayer “‘may present persuasive evidence of overvaluation either by exposing flaws or errors in the assessors’ method of valuation, or by introducing affirmative evidence of value which undermines the assessors’ valuation.’” </w:t>
      </w:r>
      <w:r w:rsidRPr="00F31EAC">
        <w:rPr>
          <w:rFonts w:ascii="Arial" w:hAnsi="Arial" w:cs="Arial"/>
          <w:b/>
          <w:bCs/>
          <w:i/>
          <w:iCs/>
          <w:szCs w:val="24"/>
        </w:rPr>
        <w:t xml:space="preserve">General Electric Co., </w:t>
      </w:r>
      <w:r w:rsidRPr="00F31EAC">
        <w:rPr>
          <w:rFonts w:ascii="Arial" w:hAnsi="Arial" w:cs="Arial"/>
          <w:szCs w:val="24"/>
        </w:rPr>
        <w:t xml:space="preserve">393 Mass. at 600 (quoting </w:t>
      </w:r>
      <w:r w:rsidRPr="00F31EAC">
        <w:rPr>
          <w:rFonts w:ascii="Arial" w:hAnsi="Arial" w:cs="Arial"/>
          <w:b/>
          <w:bCs/>
          <w:i/>
          <w:iCs/>
          <w:szCs w:val="24"/>
        </w:rPr>
        <w:t>Donlon v. Assessors of Holliston</w:t>
      </w:r>
      <w:r w:rsidRPr="00F31EAC">
        <w:rPr>
          <w:rFonts w:ascii="Arial" w:hAnsi="Arial" w:cs="Arial"/>
          <w:szCs w:val="24"/>
        </w:rPr>
        <w:t>, 389 Mass. 848</w:t>
      </w:r>
      <w:r w:rsidR="002F5C49">
        <w:rPr>
          <w:rFonts w:ascii="Arial" w:hAnsi="Arial" w:cs="Arial"/>
          <w:szCs w:val="24"/>
        </w:rPr>
        <w:t xml:space="preserve">, 855 (1983)).  </w:t>
      </w:r>
    </w:p>
    <w:p w14:paraId="037A18D7" w14:textId="77777777" w:rsidR="00B40D23" w:rsidRDefault="00B40D23" w:rsidP="00F31EAC">
      <w:pPr>
        <w:ind w:firstLine="720"/>
        <w:jc w:val="both"/>
        <w:rPr>
          <w:rFonts w:ascii="Arial" w:hAnsi="Arial" w:cs="Arial"/>
          <w:szCs w:val="24"/>
        </w:rPr>
      </w:pPr>
    </w:p>
    <w:p w14:paraId="5D4D9A79" w14:textId="1DF9CB00" w:rsidR="007A2359" w:rsidRDefault="002F5C49" w:rsidP="00D875E3">
      <w:pPr>
        <w:ind w:firstLine="720"/>
        <w:jc w:val="both"/>
        <w:rPr>
          <w:rFonts w:ascii="Arial" w:hAnsi="Arial" w:cs="Arial"/>
          <w:color w:val="333333"/>
          <w:shd w:val="clear" w:color="auto" w:fill="FFFFFF"/>
        </w:rPr>
      </w:pPr>
      <w:r>
        <w:rPr>
          <w:rFonts w:ascii="Arial" w:hAnsi="Arial" w:cs="Arial"/>
          <w:szCs w:val="24"/>
        </w:rPr>
        <w:t>In this appeal</w:t>
      </w:r>
      <w:r w:rsidR="00962B9F" w:rsidRPr="00F31EAC">
        <w:rPr>
          <w:rFonts w:ascii="Arial" w:hAnsi="Arial" w:cs="Arial"/>
          <w:szCs w:val="24"/>
        </w:rPr>
        <w:t>, the appellant</w:t>
      </w:r>
      <w:r>
        <w:rPr>
          <w:rFonts w:ascii="Arial" w:hAnsi="Arial" w:cs="Arial"/>
          <w:szCs w:val="24"/>
        </w:rPr>
        <w:t>s</w:t>
      </w:r>
      <w:r w:rsidR="00962B9F" w:rsidRPr="00F31EAC">
        <w:rPr>
          <w:rFonts w:ascii="Arial" w:hAnsi="Arial" w:cs="Arial"/>
          <w:szCs w:val="24"/>
        </w:rPr>
        <w:t xml:space="preserve"> attempted</w:t>
      </w:r>
      <w:r w:rsidR="009E559D">
        <w:rPr>
          <w:rFonts w:ascii="Arial" w:hAnsi="Arial" w:cs="Arial"/>
          <w:szCs w:val="24"/>
        </w:rPr>
        <w:t xml:space="preserve"> to demonstrate overvaluation </w:t>
      </w:r>
      <w:r w:rsidR="00962B9F" w:rsidRPr="00F31EAC">
        <w:rPr>
          <w:rFonts w:ascii="Arial" w:hAnsi="Arial" w:cs="Arial"/>
          <w:szCs w:val="24"/>
        </w:rPr>
        <w:t>by introducing affirmative evidence o</w:t>
      </w:r>
      <w:r w:rsidR="003A3CE3">
        <w:rPr>
          <w:rFonts w:ascii="Arial" w:hAnsi="Arial" w:cs="Arial"/>
          <w:szCs w:val="24"/>
        </w:rPr>
        <w:t>f value</w:t>
      </w:r>
      <w:r w:rsidR="00B40D23">
        <w:rPr>
          <w:rFonts w:ascii="Arial" w:hAnsi="Arial" w:cs="Arial"/>
          <w:szCs w:val="24"/>
        </w:rPr>
        <w:t>, which</w:t>
      </w:r>
      <w:r w:rsidR="007A2359">
        <w:rPr>
          <w:rFonts w:ascii="Arial" w:hAnsi="Arial" w:cs="Arial"/>
          <w:color w:val="333333"/>
          <w:shd w:val="clear" w:color="auto" w:fill="FFFFFF"/>
        </w:rPr>
        <w:t xml:space="preserve"> included </w:t>
      </w:r>
      <w:r w:rsidR="004D3781">
        <w:rPr>
          <w:rFonts w:ascii="Arial" w:hAnsi="Arial" w:cs="Arial"/>
          <w:color w:val="333333"/>
          <w:shd w:val="clear" w:color="auto" w:fill="FFFFFF"/>
        </w:rPr>
        <w:t xml:space="preserve">sale prices of various </w:t>
      </w:r>
      <w:r w:rsidR="00B40D23">
        <w:rPr>
          <w:rFonts w:ascii="Arial" w:hAnsi="Arial" w:cs="Arial"/>
          <w:color w:val="333333"/>
          <w:shd w:val="clear" w:color="auto" w:fill="FFFFFF"/>
        </w:rPr>
        <w:t>similar nearby</w:t>
      </w:r>
      <w:r w:rsidR="007A2359">
        <w:rPr>
          <w:rFonts w:ascii="Arial" w:hAnsi="Arial" w:cs="Arial"/>
          <w:color w:val="333333"/>
          <w:shd w:val="clear" w:color="auto" w:fill="FFFFFF"/>
        </w:rPr>
        <w:t xml:space="preserve"> homes</w:t>
      </w:r>
      <w:r w:rsidR="004D3781">
        <w:rPr>
          <w:rFonts w:ascii="Arial" w:hAnsi="Arial" w:cs="Arial"/>
          <w:color w:val="333333"/>
          <w:shd w:val="clear" w:color="auto" w:fill="FFFFFF"/>
        </w:rPr>
        <w:t xml:space="preserve">. </w:t>
      </w:r>
      <w:r w:rsidRPr="00D875E3">
        <w:rPr>
          <w:rFonts w:ascii="Arial" w:hAnsi="Arial" w:cs="Arial"/>
          <w:color w:val="333333"/>
          <w:shd w:val="clear" w:color="auto" w:fill="FFFFFF"/>
        </w:rPr>
        <w:t>“[S]ales of property usually furnish strong evidence of market value, provided they are arm's-length transactions and thus fairly represent what a buyer has been willing to pay for the property to a willing seller.”</w:t>
      </w:r>
      <w:r w:rsidRPr="00D875E3">
        <w:rPr>
          <w:rStyle w:val="apple-converted-space"/>
          <w:rFonts w:ascii="Arial" w:hAnsi="Arial" w:cs="Arial"/>
          <w:color w:val="333333"/>
          <w:shd w:val="clear" w:color="auto" w:fill="FFFFFF"/>
        </w:rPr>
        <w:t> </w:t>
      </w:r>
      <w:r w:rsidR="00936E0C">
        <w:rPr>
          <w:rStyle w:val="apple-converted-space"/>
          <w:rFonts w:ascii="Arial" w:hAnsi="Arial" w:cs="Arial"/>
          <w:color w:val="333333"/>
          <w:shd w:val="clear" w:color="auto" w:fill="FFFFFF"/>
        </w:rPr>
        <w:t xml:space="preserve"> </w:t>
      </w:r>
      <w:r w:rsidRPr="00D875E3">
        <w:rPr>
          <w:rStyle w:val="apple-converted-space"/>
          <w:rFonts w:ascii="Arial" w:hAnsi="Arial" w:cs="Arial"/>
          <w:b/>
          <w:i/>
          <w:color w:val="333333"/>
          <w:shd w:val="clear" w:color="auto" w:fill="FFFFFF"/>
        </w:rPr>
        <w:t xml:space="preserve">Foxboro Associates v. Assessors of Foxborough, </w:t>
      </w:r>
      <w:r w:rsidRPr="00D875E3">
        <w:rPr>
          <w:rStyle w:val="apple-converted-space"/>
          <w:rFonts w:ascii="Arial" w:hAnsi="Arial" w:cs="Arial"/>
          <w:color w:val="333333"/>
          <w:shd w:val="clear" w:color="auto" w:fill="FFFFFF"/>
        </w:rPr>
        <w:t>385 Mass. 679, 682 (1982). </w:t>
      </w:r>
      <w:r w:rsidRPr="00D875E3">
        <w:rPr>
          <w:rFonts w:ascii="Arial" w:hAnsi="Arial" w:cs="Arial"/>
          <w:color w:val="333333"/>
          <w:shd w:val="clear" w:color="auto" w:fill="FFFFFF"/>
        </w:rPr>
        <w:t xml:space="preserve">Sales of comparable realty in the same geographic area and within a reasonable time of the assessment date generally contain probative evidence for determining the value of the property </w:t>
      </w:r>
      <w:r w:rsidRPr="00EF0B09">
        <w:rPr>
          <w:rFonts w:ascii="Arial" w:hAnsi="Arial" w:cs="Arial"/>
          <w:color w:val="333333"/>
          <w:shd w:val="clear" w:color="auto" w:fill="FFFFFF"/>
        </w:rPr>
        <w:t>at issue.</w:t>
      </w:r>
      <w:r w:rsidRPr="00EF0B09">
        <w:rPr>
          <w:rStyle w:val="apple-converted-space"/>
          <w:rFonts w:ascii="Arial" w:hAnsi="Arial" w:cs="Arial"/>
          <w:color w:val="333333"/>
          <w:shd w:val="clear" w:color="auto" w:fill="FFFFFF"/>
        </w:rPr>
        <w:t> </w:t>
      </w:r>
      <w:r w:rsidRPr="00EF0B09">
        <w:rPr>
          <w:rFonts w:ascii="Arial" w:hAnsi="Arial" w:cs="Arial"/>
          <w:b/>
          <w:bCs/>
          <w:i/>
          <w:iCs/>
          <w:color w:val="333333"/>
          <w:shd w:val="clear" w:color="auto" w:fill="FFFFFF"/>
        </w:rPr>
        <w:t>Graham v. Assessors of West Tisbury,</w:t>
      </w:r>
      <w:r w:rsidRPr="00EF0B09">
        <w:rPr>
          <w:rStyle w:val="apple-converted-space"/>
          <w:rFonts w:ascii="Arial" w:hAnsi="Arial" w:cs="Arial"/>
          <w:color w:val="333333"/>
          <w:shd w:val="clear" w:color="auto" w:fill="FFFFFF"/>
        </w:rPr>
        <w:t> </w:t>
      </w:r>
      <w:r w:rsidRPr="00EF0B09">
        <w:rPr>
          <w:rFonts w:ascii="Arial" w:hAnsi="Arial" w:cs="Arial"/>
          <w:color w:val="333333"/>
          <w:shd w:val="clear" w:color="auto" w:fill="FFFFFF"/>
        </w:rPr>
        <w:t xml:space="preserve">Mass. ATB Findings of </w:t>
      </w:r>
      <w:r w:rsidR="00E42EA6">
        <w:rPr>
          <w:rFonts w:ascii="Arial" w:hAnsi="Arial" w:cs="Arial"/>
          <w:color w:val="333333"/>
          <w:shd w:val="clear" w:color="auto" w:fill="FFFFFF"/>
        </w:rPr>
        <w:t>Fact and Reports 2007-321, 394</w:t>
      </w:r>
      <w:r w:rsidRPr="00EF0B09">
        <w:rPr>
          <w:rFonts w:ascii="Arial" w:hAnsi="Arial" w:cs="Arial"/>
          <w:color w:val="333333"/>
          <w:shd w:val="clear" w:color="auto" w:fill="FFFFFF"/>
        </w:rPr>
        <w:t xml:space="preserve"> (citing </w:t>
      </w:r>
      <w:r w:rsidRPr="00EF0B09">
        <w:rPr>
          <w:rFonts w:ascii="Arial" w:hAnsi="Arial" w:cs="Arial"/>
          <w:b/>
          <w:i/>
          <w:color w:val="333333"/>
          <w:shd w:val="clear" w:color="auto" w:fill="FFFFFF"/>
        </w:rPr>
        <w:t>McCabe v. Chelsea</w:t>
      </w:r>
      <w:r w:rsidRPr="00EF0B09">
        <w:rPr>
          <w:rFonts w:ascii="Arial" w:hAnsi="Arial" w:cs="Arial"/>
          <w:color w:val="333333"/>
          <w:shd w:val="clear" w:color="auto" w:fill="FFFFFF"/>
        </w:rPr>
        <w:t xml:space="preserve">, 265 Mass. 494, 496 (1929)), </w:t>
      </w:r>
      <w:r w:rsidRPr="00EF0B09">
        <w:rPr>
          <w:rFonts w:ascii="Arial" w:hAnsi="Arial" w:cs="Arial"/>
          <w:i/>
          <w:color w:val="333333"/>
          <w:shd w:val="clear" w:color="auto" w:fill="FFFFFF"/>
        </w:rPr>
        <w:t>aff’d</w:t>
      </w:r>
      <w:r w:rsidRPr="00EF0B09">
        <w:rPr>
          <w:rFonts w:ascii="Arial" w:hAnsi="Arial" w:cs="Arial"/>
          <w:color w:val="333333"/>
          <w:shd w:val="clear" w:color="auto" w:fill="FFFFFF"/>
        </w:rPr>
        <w:t xml:space="preserve"> 73 Mass. App. Ct. 1107</w:t>
      </w:r>
      <w:r w:rsidR="00E42EA6">
        <w:rPr>
          <w:rFonts w:ascii="Arial" w:hAnsi="Arial" w:cs="Arial"/>
          <w:color w:val="333333"/>
          <w:shd w:val="clear" w:color="auto" w:fill="FFFFFF"/>
        </w:rPr>
        <w:t>,</w:t>
      </w:r>
      <w:r w:rsidRPr="00EF0B09">
        <w:rPr>
          <w:rFonts w:ascii="Arial" w:hAnsi="Arial" w:cs="Arial"/>
          <w:color w:val="333333"/>
          <w:shd w:val="clear" w:color="auto" w:fill="FFFFFF"/>
        </w:rPr>
        <w:t xml:space="preserve"> </w:t>
      </w:r>
      <w:r w:rsidR="00E42EA6">
        <w:rPr>
          <w:rFonts w:ascii="Arial" w:hAnsi="Arial" w:cs="Arial"/>
          <w:color w:val="333333"/>
          <w:shd w:val="clear" w:color="auto" w:fill="FFFFFF"/>
        </w:rPr>
        <w:t xml:space="preserve">Decision Under Rule 1:28 </w:t>
      </w:r>
      <w:r w:rsidRPr="00EF0B09">
        <w:rPr>
          <w:rFonts w:ascii="Arial" w:hAnsi="Arial" w:cs="Arial"/>
          <w:color w:val="333333"/>
          <w:shd w:val="clear" w:color="auto" w:fill="FFFFFF"/>
        </w:rPr>
        <w:t>(2008).</w:t>
      </w:r>
      <w:r w:rsidR="00A123DF" w:rsidRPr="00EF0B09">
        <w:rPr>
          <w:rFonts w:ascii="Arial" w:hAnsi="Arial" w:cs="Arial"/>
          <w:color w:val="333333"/>
          <w:shd w:val="clear" w:color="auto" w:fill="FFFFFF"/>
        </w:rPr>
        <w:t xml:space="preserve">  </w:t>
      </w:r>
    </w:p>
    <w:p w14:paraId="20BFC7CA" w14:textId="77777777" w:rsidR="000D1342" w:rsidRDefault="000D1342" w:rsidP="00D875E3">
      <w:pPr>
        <w:ind w:firstLine="720"/>
        <w:jc w:val="both"/>
        <w:rPr>
          <w:rFonts w:ascii="Arial" w:hAnsi="Arial" w:cs="Arial"/>
          <w:color w:val="333333"/>
          <w:shd w:val="clear" w:color="auto" w:fill="FFFFFF"/>
        </w:rPr>
      </w:pPr>
    </w:p>
    <w:p w14:paraId="10749783" w14:textId="77777777" w:rsidR="00936E0C" w:rsidRDefault="00936E0C" w:rsidP="00936E0C">
      <w:pPr>
        <w:ind w:firstLine="720"/>
        <w:jc w:val="both"/>
        <w:rPr>
          <w:rFonts w:ascii="Arial" w:hAnsi="Arial" w:cs="Arial"/>
        </w:rPr>
      </w:pPr>
      <w:r>
        <w:rPr>
          <w:rFonts w:ascii="Arial" w:hAnsi="Arial" w:cs="Arial"/>
          <w:color w:val="333333"/>
          <w:shd w:val="clear" w:color="auto" w:fill="FFFFFF"/>
        </w:rPr>
        <w:t>The appellants also introduced assessment information for various properties.</w:t>
      </w:r>
      <w:r w:rsidRPr="00C530DA">
        <w:rPr>
          <w:rFonts w:ascii="Arial" w:hAnsi="Arial" w:cs="Arial"/>
          <w:color w:val="333333"/>
          <w:shd w:val="clear" w:color="auto" w:fill="FFFFFF"/>
        </w:rPr>
        <w:t xml:space="preserve"> “</w:t>
      </w:r>
      <w:r>
        <w:rPr>
          <w:rFonts w:ascii="Arial" w:hAnsi="Arial" w:cs="Arial"/>
          <w:color w:val="333333"/>
          <w:shd w:val="clear" w:color="auto" w:fill="FFFFFF"/>
        </w:rPr>
        <w:t>A</w:t>
      </w:r>
      <w:r w:rsidRPr="00C530DA">
        <w:rPr>
          <w:rFonts w:ascii="Arial" w:hAnsi="Arial" w:cs="Arial"/>
        </w:rPr>
        <w:t xml:space="preserve">t any hearing relative to the assessed fair cash valuation . . . of property, evidence as to the fair cash valuation . . . at which assessors have assessed other property of a comparable nature . . . shall be admissible.” G.L. c. 58A, § 12B.  </w:t>
      </w:r>
    </w:p>
    <w:p w14:paraId="69DF3471" w14:textId="77777777" w:rsidR="00936E0C" w:rsidRDefault="00936E0C" w:rsidP="00936E0C">
      <w:pPr>
        <w:ind w:firstLine="720"/>
        <w:jc w:val="both"/>
        <w:rPr>
          <w:rFonts w:ascii="Arial" w:hAnsi="Arial" w:cs="Arial"/>
        </w:rPr>
      </w:pPr>
    </w:p>
    <w:p w14:paraId="45CDD28A" w14:textId="77777777" w:rsidR="005B31B0" w:rsidRDefault="005B31B0" w:rsidP="00936E0C">
      <w:pPr>
        <w:ind w:firstLine="720"/>
        <w:jc w:val="both"/>
        <w:rPr>
          <w:rFonts w:ascii="Arial" w:hAnsi="Arial" w:cs="Arial"/>
          <w:szCs w:val="24"/>
        </w:rPr>
      </w:pPr>
    </w:p>
    <w:p w14:paraId="2841F0FC" w14:textId="79762DF4" w:rsidR="00083DDD" w:rsidRDefault="00083DDD" w:rsidP="00936E0C">
      <w:pPr>
        <w:ind w:firstLine="720"/>
        <w:jc w:val="both"/>
        <w:rPr>
          <w:rFonts w:ascii="Arial" w:hAnsi="Arial" w:cs="Arial"/>
          <w:szCs w:val="24"/>
        </w:rPr>
      </w:pPr>
      <w:r>
        <w:rPr>
          <w:rFonts w:ascii="Arial" w:hAnsi="Arial" w:cs="Arial"/>
          <w:szCs w:val="24"/>
        </w:rPr>
        <w:lastRenderedPageBreak/>
        <w:t xml:space="preserve">On the basis of the record as a whole, the Board finds and rules that the appellants met their burden of proving that the subject property’s assessed value exceeded its fair cash value for the fiscal year at issue. In reaching this conclusion, the Board gave weight to the various elements of the appellants’ </w:t>
      </w:r>
      <w:r w:rsidR="00936E0C">
        <w:rPr>
          <w:rFonts w:ascii="Arial" w:hAnsi="Arial" w:cs="Arial"/>
          <w:szCs w:val="24"/>
        </w:rPr>
        <w:t>evidence</w:t>
      </w:r>
      <w:r>
        <w:rPr>
          <w:rFonts w:ascii="Arial" w:hAnsi="Arial" w:cs="Arial"/>
          <w:szCs w:val="24"/>
        </w:rPr>
        <w:t xml:space="preserve">, with particular emphasis on their comparable-sales data as well as </w:t>
      </w:r>
      <w:r w:rsidR="001061D9">
        <w:rPr>
          <w:rFonts w:ascii="Arial" w:hAnsi="Arial" w:cs="Arial"/>
          <w:szCs w:val="24"/>
        </w:rPr>
        <w:t>photographs</w:t>
      </w:r>
      <w:r>
        <w:rPr>
          <w:rFonts w:ascii="Arial" w:hAnsi="Arial" w:cs="Arial"/>
          <w:szCs w:val="24"/>
        </w:rPr>
        <w:t xml:space="preserve"> </w:t>
      </w:r>
      <w:r w:rsidR="001061D9">
        <w:rPr>
          <w:rFonts w:ascii="Arial" w:hAnsi="Arial" w:cs="Arial"/>
          <w:szCs w:val="24"/>
        </w:rPr>
        <w:t>establishing</w:t>
      </w:r>
      <w:r>
        <w:rPr>
          <w:rFonts w:ascii="Arial" w:hAnsi="Arial" w:cs="Arial"/>
          <w:szCs w:val="24"/>
        </w:rPr>
        <w:t xml:space="preserve"> the assessors’ mischaracterization of the condition of the subject </w:t>
      </w:r>
      <w:r w:rsidR="002212EF">
        <w:rPr>
          <w:rFonts w:ascii="Arial" w:hAnsi="Arial" w:cs="Arial"/>
          <w:szCs w:val="24"/>
        </w:rPr>
        <w:t>dwelling</w:t>
      </w:r>
      <w:r w:rsidR="001061D9">
        <w:rPr>
          <w:rFonts w:ascii="Arial" w:hAnsi="Arial" w:cs="Arial"/>
          <w:szCs w:val="24"/>
        </w:rPr>
        <w:t>.</w:t>
      </w:r>
      <w:r>
        <w:rPr>
          <w:rFonts w:ascii="Arial" w:hAnsi="Arial" w:cs="Arial"/>
          <w:szCs w:val="24"/>
        </w:rPr>
        <w:t xml:space="preserve"> </w:t>
      </w:r>
    </w:p>
    <w:p w14:paraId="04C6C812" w14:textId="77777777" w:rsidR="00083DDD" w:rsidRDefault="00083DDD" w:rsidP="00D875E3">
      <w:pPr>
        <w:ind w:firstLine="720"/>
        <w:jc w:val="both"/>
        <w:rPr>
          <w:rStyle w:val="apple-converted-space"/>
          <w:rFonts w:ascii="Arial" w:hAnsi="Arial" w:cs="Arial"/>
          <w:color w:val="333333"/>
          <w:shd w:val="clear" w:color="auto" w:fill="FFFFFF"/>
        </w:rPr>
      </w:pPr>
    </w:p>
    <w:p w14:paraId="29607E27" w14:textId="1190C169" w:rsidR="007A2359" w:rsidRDefault="007A2359" w:rsidP="00D875E3">
      <w:pPr>
        <w:ind w:firstLine="720"/>
        <w:jc w:val="both"/>
        <w:rPr>
          <w:rStyle w:val="apple-converted-space"/>
          <w:rFonts w:ascii="Arial" w:hAnsi="Arial" w:cs="Arial"/>
          <w:color w:val="333333"/>
          <w:shd w:val="clear" w:color="auto" w:fill="FFFFFF"/>
        </w:rPr>
      </w:pPr>
      <w:r>
        <w:rPr>
          <w:rStyle w:val="apple-converted-space"/>
          <w:rFonts w:ascii="Arial" w:hAnsi="Arial" w:cs="Arial"/>
          <w:color w:val="333333"/>
          <w:shd w:val="clear" w:color="auto" w:fill="FFFFFF"/>
        </w:rPr>
        <w:t xml:space="preserve">After taking the appellants’ </w:t>
      </w:r>
      <w:r w:rsidR="00936E0C">
        <w:rPr>
          <w:rStyle w:val="apple-converted-space"/>
          <w:rFonts w:ascii="Arial" w:hAnsi="Arial" w:cs="Arial"/>
          <w:color w:val="333333"/>
          <w:shd w:val="clear" w:color="auto" w:fill="FFFFFF"/>
        </w:rPr>
        <w:t xml:space="preserve">evidence </w:t>
      </w:r>
      <w:r>
        <w:rPr>
          <w:rStyle w:val="apple-converted-space"/>
          <w:rFonts w:ascii="Arial" w:hAnsi="Arial" w:cs="Arial"/>
          <w:color w:val="333333"/>
          <w:shd w:val="clear" w:color="auto" w:fill="FFFFFF"/>
        </w:rPr>
        <w:t xml:space="preserve">into consideration, </w:t>
      </w:r>
      <w:r w:rsidR="007047A1">
        <w:rPr>
          <w:rStyle w:val="apple-converted-space"/>
          <w:rFonts w:ascii="Arial" w:hAnsi="Arial" w:cs="Arial"/>
          <w:color w:val="333333"/>
          <w:shd w:val="clear" w:color="auto" w:fill="FFFFFF"/>
        </w:rPr>
        <w:t xml:space="preserve">the Board </w:t>
      </w:r>
      <w:r>
        <w:rPr>
          <w:rStyle w:val="apple-converted-space"/>
          <w:rFonts w:ascii="Arial" w:hAnsi="Arial" w:cs="Arial"/>
          <w:color w:val="333333"/>
          <w:shd w:val="clear" w:color="auto" w:fill="FFFFFF"/>
        </w:rPr>
        <w:t>determined a fair cash value for the subject property of $</w:t>
      </w:r>
      <w:r w:rsidR="00B40D23">
        <w:rPr>
          <w:rStyle w:val="apple-converted-space"/>
          <w:rFonts w:ascii="Arial" w:hAnsi="Arial" w:cs="Arial"/>
          <w:color w:val="333333"/>
          <w:shd w:val="clear" w:color="auto" w:fill="FFFFFF"/>
        </w:rPr>
        <w:t>860,000</w:t>
      </w:r>
      <w:r>
        <w:rPr>
          <w:rStyle w:val="apple-converted-space"/>
          <w:rFonts w:ascii="Arial" w:hAnsi="Arial" w:cs="Arial"/>
          <w:color w:val="333333"/>
          <w:shd w:val="clear" w:color="auto" w:fill="FFFFFF"/>
        </w:rPr>
        <w:t xml:space="preserve"> for the fiscal year at issue.  </w:t>
      </w:r>
    </w:p>
    <w:p w14:paraId="75D47951" w14:textId="77777777" w:rsidR="004D3781" w:rsidRDefault="004D3781" w:rsidP="00D875E3">
      <w:pPr>
        <w:ind w:firstLine="720"/>
        <w:jc w:val="both"/>
        <w:rPr>
          <w:rStyle w:val="apple-converted-space"/>
          <w:rFonts w:ascii="Arial" w:hAnsi="Arial" w:cs="Arial"/>
          <w:color w:val="333333"/>
          <w:shd w:val="clear" w:color="auto" w:fill="FFFFFF"/>
        </w:rPr>
      </w:pPr>
    </w:p>
    <w:p w14:paraId="733F0422" w14:textId="53E01D77" w:rsidR="00296CFF" w:rsidRDefault="00C119FF" w:rsidP="00296CFF">
      <w:pPr>
        <w:ind w:firstLine="720"/>
        <w:jc w:val="both"/>
        <w:rPr>
          <w:rFonts w:ascii="Arial" w:hAnsi="Arial" w:cs="Arial"/>
        </w:rPr>
      </w:pPr>
      <w:r w:rsidRPr="00F7411E">
        <w:rPr>
          <w:rFonts w:ascii="Arial" w:hAnsi="Arial" w:cs="Arial"/>
        </w:rPr>
        <w:t>In reachi</w:t>
      </w:r>
      <w:r w:rsidR="000F40E3">
        <w:rPr>
          <w:rFonts w:ascii="Arial" w:hAnsi="Arial" w:cs="Arial"/>
        </w:rPr>
        <w:t xml:space="preserve">ng an </w:t>
      </w:r>
      <w:r w:rsidRPr="00F7411E">
        <w:rPr>
          <w:rFonts w:ascii="Arial" w:hAnsi="Arial" w:cs="Arial"/>
        </w:rPr>
        <w:t>opini</w:t>
      </w:r>
      <w:r w:rsidR="00296CFF">
        <w:rPr>
          <w:rFonts w:ascii="Arial" w:hAnsi="Arial" w:cs="Arial"/>
        </w:rPr>
        <w:t>on of fair cash v</w:t>
      </w:r>
      <w:r w:rsidR="007047A1">
        <w:rPr>
          <w:rFonts w:ascii="Arial" w:hAnsi="Arial" w:cs="Arial"/>
        </w:rPr>
        <w:t xml:space="preserve">alue, the Board </w:t>
      </w:r>
      <w:r w:rsidRPr="00F7411E">
        <w:rPr>
          <w:rFonts w:ascii="Arial" w:hAnsi="Arial" w:cs="Arial"/>
        </w:rPr>
        <w:t>was not required to believe the testimony of any particular witness or to adopt any particular method of valuation that a witnes</w:t>
      </w:r>
      <w:r w:rsidR="007047A1">
        <w:rPr>
          <w:rFonts w:ascii="Arial" w:hAnsi="Arial" w:cs="Arial"/>
        </w:rPr>
        <w:t xml:space="preserve">s suggested. Rather, the Board </w:t>
      </w:r>
      <w:r w:rsidRPr="00F7411E">
        <w:rPr>
          <w:rFonts w:ascii="Arial" w:hAnsi="Arial" w:cs="Arial"/>
        </w:rPr>
        <w:t xml:space="preserve">could accept those </w:t>
      </w:r>
      <w:r w:rsidR="00296CFF">
        <w:rPr>
          <w:rFonts w:ascii="Arial" w:hAnsi="Arial" w:cs="Arial"/>
        </w:rPr>
        <w:t>po</w:t>
      </w:r>
      <w:r w:rsidR="007047A1">
        <w:rPr>
          <w:rFonts w:ascii="Arial" w:hAnsi="Arial" w:cs="Arial"/>
        </w:rPr>
        <w:t xml:space="preserve">rtions of the evidence that it </w:t>
      </w:r>
      <w:r w:rsidRPr="00F7411E">
        <w:rPr>
          <w:rFonts w:ascii="Arial" w:hAnsi="Arial" w:cs="Arial"/>
        </w:rPr>
        <w:t>determin</w:t>
      </w:r>
      <w:r w:rsidR="00E42EA6">
        <w:rPr>
          <w:rFonts w:ascii="Arial" w:hAnsi="Arial" w:cs="Arial"/>
        </w:rPr>
        <w:t xml:space="preserve">ed had more convincing weight. </w:t>
      </w:r>
      <w:r w:rsidRPr="00F7411E">
        <w:rPr>
          <w:rFonts w:ascii="Arial" w:hAnsi="Arial" w:cs="Arial"/>
          <w:b/>
          <w:bCs/>
          <w:i/>
          <w:iCs/>
        </w:rPr>
        <w:t>New Boston Gar</w:t>
      </w:r>
      <w:r w:rsidR="00BE38D3">
        <w:rPr>
          <w:rFonts w:ascii="Arial" w:hAnsi="Arial" w:cs="Arial"/>
          <w:b/>
          <w:bCs/>
          <w:i/>
          <w:iCs/>
        </w:rPr>
        <w:t>den Corp.</w:t>
      </w:r>
      <w:r w:rsidR="002212EF">
        <w:rPr>
          <w:rFonts w:ascii="Arial" w:hAnsi="Arial" w:cs="Arial"/>
          <w:b/>
          <w:bCs/>
          <w:i/>
          <w:iCs/>
        </w:rPr>
        <w:t xml:space="preserve"> v. Board of Assessors</w:t>
      </w:r>
      <w:r w:rsidR="00BE38D3">
        <w:rPr>
          <w:rFonts w:ascii="Arial" w:hAnsi="Arial" w:cs="Arial"/>
          <w:b/>
          <w:bCs/>
          <w:i/>
          <w:iCs/>
        </w:rPr>
        <w:t xml:space="preserve">, </w:t>
      </w:r>
      <w:r w:rsidRPr="00F7411E">
        <w:rPr>
          <w:rFonts w:ascii="Arial" w:hAnsi="Arial" w:cs="Arial"/>
        </w:rPr>
        <w:t>383 Mass.</w:t>
      </w:r>
      <w:r w:rsidR="002212EF">
        <w:rPr>
          <w:rFonts w:ascii="Arial" w:hAnsi="Arial" w:cs="Arial"/>
        </w:rPr>
        <w:t xml:space="preserve"> 456,</w:t>
      </w:r>
      <w:r w:rsidR="00BE38D3">
        <w:rPr>
          <w:rFonts w:ascii="Arial" w:hAnsi="Arial" w:cs="Arial"/>
        </w:rPr>
        <w:t xml:space="preserve"> 473</w:t>
      </w:r>
      <w:r w:rsidR="002212EF">
        <w:rPr>
          <w:rFonts w:ascii="Arial" w:hAnsi="Arial" w:cs="Arial"/>
        </w:rPr>
        <w:t xml:space="preserve"> (1981)</w:t>
      </w:r>
      <w:r w:rsidR="004F6A6B">
        <w:rPr>
          <w:rFonts w:ascii="Arial" w:hAnsi="Arial" w:cs="Arial"/>
        </w:rPr>
        <w:t xml:space="preserve">; </w:t>
      </w:r>
      <w:r w:rsidR="002212EF" w:rsidRPr="002212EF">
        <w:rPr>
          <w:rFonts w:ascii="Arial" w:hAnsi="Arial" w:cs="Arial"/>
          <w:b/>
          <w:i/>
        </w:rPr>
        <w:t xml:space="preserve">Board of Assessors v. </w:t>
      </w:r>
      <w:r w:rsidRPr="002212EF">
        <w:rPr>
          <w:rFonts w:ascii="Arial" w:hAnsi="Arial" w:cs="Arial"/>
          <w:b/>
          <w:bCs/>
          <w:i/>
          <w:iCs/>
        </w:rPr>
        <w:t>New</w:t>
      </w:r>
      <w:r w:rsidRPr="00F7411E">
        <w:rPr>
          <w:rFonts w:ascii="Arial" w:hAnsi="Arial" w:cs="Arial"/>
          <w:b/>
          <w:bCs/>
          <w:i/>
          <w:iCs/>
        </w:rPr>
        <w:t xml:space="preserve"> England Oyster House, Inc.,</w:t>
      </w:r>
      <w:r w:rsidRPr="00F7411E">
        <w:rPr>
          <w:rFonts w:ascii="Arial" w:hAnsi="Arial" w:cs="Arial"/>
        </w:rPr>
        <w:t xml:space="preserve"> 362 Mass.</w:t>
      </w:r>
      <w:r w:rsidR="002212EF">
        <w:rPr>
          <w:rFonts w:ascii="Arial" w:hAnsi="Arial" w:cs="Arial"/>
        </w:rPr>
        <w:t xml:space="preserve"> 696, </w:t>
      </w:r>
      <w:r w:rsidR="004F6A6B">
        <w:rPr>
          <w:rFonts w:ascii="Arial" w:hAnsi="Arial" w:cs="Arial"/>
        </w:rPr>
        <w:t>701-02</w:t>
      </w:r>
      <w:r w:rsidR="002212EF">
        <w:rPr>
          <w:rFonts w:ascii="Arial" w:hAnsi="Arial" w:cs="Arial"/>
        </w:rPr>
        <w:t xml:space="preserve"> (1972)</w:t>
      </w:r>
      <w:r w:rsidRPr="00F7411E">
        <w:rPr>
          <w:rFonts w:ascii="Arial" w:hAnsi="Arial" w:cs="Arial"/>
        </w:rPr>
        <w:t xml:space="preserve">. </w:t>
      </w:r>
      <w:r w:rsidR="00296CFF">
        <w:rPr>
          <w:rFonts w:ascii="Arial" w:hAnsi="Arial" w:cs="Arial"/>
        </w:rPr>
        <w:t>Moreo</w:t>
      </w:r>
      <w:r w:rsidR="007047A1">
        <w:rPr>
          <w:rFonts w:ascii="Arial" w:hAnsi="Arial" w:cs="Arial"/>
        </w:rPr>
        <w:t xml:space="preserve">ver, the Board </w:t>
      </w:r>
      <w:r w:rsidR="00296CFF" w:rsidRPr="00F7411E">
        <w:rPr>
          <w:rFonts w:ascii="Arial" w:hAnsi="Arial" w:cs="Arial"/>
        </w:rPr>
        <w:t>need not specify the exact ma</w:t>
      </w:r>
      <w:r w:rsidR="00296CFF">
        <w:rPr>
          <w:rFonts w:ascii="Arial" w:hAnsi="Arial" w:cs="Arial"/>
        </w:rPr>
        <w:t xml:space="preserve">nner used to determine </w:t>
      </w:r>
      <w:r w:rsidR="00296CFF" w:rsidRPr="00F7411E">
        <w:rPr>
          <w:rFonts w:ascii="Arial" w:hAnsi="Arial" w:cs="Arial"/>
        </w:rPr>
        <w:t xml:space="preserve">valuation. </w:t>
      </w:r>
      <w:r w:rsidR="00296CFF" w:rsidRPr="00F7411E">
        <w:rPr>
          <w:rFonts w:ascii="Arial" w:hAnsi="Arial" w:cs="Arial"/>
          <w:b/>
          <w:bCs/>
          <w:i/>
          <w:iCs/>
        </w:rPr>
        <w:t>Jordan Marsh v. Assessors of Malden,</w:t>
      </w:r>
      <w:r w:rsidR="00296CFF" w:rsidRPr="00F7411E">
        <w:rPr>
          <w:rFonts w:ascii="Arial" w:hAnsi="Arial" w:cs="Arial"/>
        </w:rPr>
        <w:t xml:space="preserve"> 359 Mass. 196, 110 (1971). The fair cash value of property cannot be proven with “mathematical certainty and must ultimately rest in the realm of opinion, estimate and judgment.” </w:t>
      </w:r>
      <w:r w:rsidR="00296CFF" w:rsidRPr="00F7411E">
        <w:rPr>
          <w:rFonts w:ascii="Arial" w:hAnsi="Arial" w:cs="Arial"/>
          <w:b/>
          <w:bCs/>
          <w:i/>
          <w:iCs/>
        </w:rPr>
        <w:t>Assessors of Quincy v. Boston Consol. Gas Co.,</w:t>
      </w:r>
      <w:r w:rsidR="00296CFF" w:rsidRPr="00F7411E">
        <w:rPr>
          <w:rFonts w:ascii="Arial" w:hAnsi="Arial" w:cs="Arial"/>
        </w:rPr>
        <w:t xml:space="preserve"> 309 Mass. 60, 72 (1941). “The credibility of witnesses, the weight of evidence, and inferences to be drawn from the evide</w:t>
      </w:r>
      <w:r w:rsidR="00296CFF">
        <w:rPr>
          <w:rFonts w:ascii="Arial" w:hAnsi="Arial" w:cs="Arial"/>
        </w:rPr>
        <w:t xml:space="preserve">nce are matters </w:t>
      </w:r>
      <w:r w:rsidR="00DC109C">
        <w:rPr>
          <w:rFonts w:ascii="Arial" w:hAnsi="Arial" w:cs="Arial"/>
        </w:rPr>
        <w:t>for the board</w:t>
      </w:r>
      <w:r w:rsidR="002212EF">
        <w:rPr>
          <w:rFonts w:ascii="Arial" w:hAnsi="Arial" w:cs="Arial"/>
        </w:rPr>
        <w:t>.</w:t>
      </w:r>
      <w:r w:rsidR="00296CFF" w:rsidRPr="00F7411E">
        <w:rPr>
          <w:rFonts w:ascii="Arial" w:hAnsi="Arial" w:cs="Arial"/>
        </w:rPr>
        <w:t xml:space="preserve">”  </w:t>
      </w:r>
      <w:r w:rsidR="00296CFF" w:rsidRPr="00F7411E">
        <w:rPr>
          <w:rFonts w:ascii="Arial" w:hAnsi="Arial" w:cs="Arial"/>
          <w:b/>
          <w:bCs/>
          <w:i/>
          <w:iCs/>
        </w:rPr>
        <w:t xml:space="preserve">Cummington School of the Arts, Inc. v. Assessors of Cummington, </w:t>
      </w:r>
      <w:r w:rsidR="00296CFF" w:rsidRPr="00F7411E">
        <w:rPr>
          <w:rFonts w:ascii="Arial" w:hAnsi="Arial" w:cs="Arial"/>
        </w:rPr>
        <w:t>373 Mass. 597, 605 (1977).</w:t>
      </w:r>
    </w:p>
    <w:p w14:paraId="538E7D91" w14:textId="77777777" w:rsidR="00384AD2" w:rsidRPr="00F7411E" w:rsidRDefault="00384AD2" w:rsidP="00755926">
      <w:pPr>
        <w:jc w:val="both"/>
        <w:rPr>
          <w:rFonts w:ascii="Arial" w:hAnsi="Arial" w:cs="Arial"/>
        </w:rPr>
      </w:pPr>
    </w:p>
    <w:p w14:paraId="4F82F0A1" w14:textId="77777777" w:rsidR="008769F0" w:rsidRDefault="008769F0" w:rsidP="00296CFF">
      <w:pPr>
        <w:ind w:firstLine="720"/>
        <w:jc w:val="both"/>
        <w:rPr>
          <w:rStyle w:val="apple-converted-space"/>
          <w:rFonts w:ascii="Arial" w:hAnsi="Arial" w:cs="Arial"/>
          <w:color w:val="333333"/>
          <w:shd w:val="clear" w:color="auto" w:fill="FFFFFF"/>
        </w:rPr>
      </w:pPr>
    </w:p>
    <w:p w14:paraId="1FA5330A" w14:textId="77777777" w:rsidR="008769F0" w:rsidRDefault="008769F0" w:rsidP="00296CFF">
      <w:pPr>
        <w:ind w:firstLine="720"/>
        <w:jc w:val="both"/>
        <w:rPr>
          <w:rStyle w:val="apple-converted-space"/>
          <w:rFonts w:ascii="Arial" w:hAnsi="Arial" w:cs="Arial"/>
          <w:color w:val="333333"/>
          <w:shd w:val="clear" w:color="auto" w:fill="FFFFFF"/>
        </w:rPr>
      </w:pPr>
    </w:p>
    <w:p w14:paraId="6B88A367" w14:textId="77777777" w:rsidR="008769F0" w:rsidRDefault="008769F0" w:rsidP="00296CFF">
      <w:pPr>
        <w:ind w:firstLine="720"/>
        <w:jc w:val="both"/>
        <w:rPr>
          <w:rStyle w:val="apple-converted-space"/>
          <w:rFonts w:ascii="Arial" w:hAnsi="Arial" w:cs="Arial"/>
          <w:color w:val="333333"/>
          <w:shd w:val="clear" w:color="auto" w:fill="FFFFFF"/>
        </w:rPr>
      </w:pPr>
    </w:p>
    <w:p w14:paraId="191BED4E" w14:textId="77777777" w:rsidR="008769F0" w:rsidRDefault="008769F0" w:rsidP="00296CFF">
      <w:pPr>
        <w:ind w:firstLine="720"/>
        <w:jc w:val="both"/>
        <w:rPr>
          <w:rStyle w:val="apple-converted-space"/>
          <w:rFonts w:ascii="Arial" w:hAnsi="Arial" w:cs="Arial"/>
          <w:color w:val="333333"/>
          <w:shd w:val="clear" w:color="auto" w:fill="FFFFFF"/>
        </w:rPr>
      </w:pPr>
    </w:p>
    <w:p w14:paraId="39B70833" w14:textId="77777777" w:rsidR="008769F0" w:rsidRDefault="008769F0" w:rsidP="00296CFF">
      <w:pPr>
        <w:ind w:firstLine="720"/>
        <w:jc w:val="both"/>
        <w:rPr>
          <w:rStyle w:val="apple-converted-space"/>
          <w:rFonts w:ascii="Arial" w:hAnsi="Arial" w:cs="Arial"/>
          <w:color w:val="333333"/>
          <w:shd w:val="clear" w:color="auto" w:fill="FFFFFF"/>
        </w:rPr>
      </w:pPr>
    </w:p>
    <w:p w14:paraId="69C8C198" w14:textId="77777777" w:rsidR="008769F0" w:rsidRDefault="008769F0" w:rsidP="00296CFF">
      <w:pPr>
        <w:ind w:firstLine="720"/>
        <w:jc w:val="both"/>
        <w:rPr>
          <w:rStyle w:val="apple-converted-space"/>
          <w:rFonts w:ascii="Arial" w:hAnsi="Arial" w:cs="Arial"/>
          <w:color w:val="333333"/>
          <w:shd w:val="clear" w:color="auto" w:fill="FFFFFF"/>
        </w:rPr>
      </w:pPr>
    </w:p>
    <w:p w14:paraId="061CCA73" w14:textId="77777777" w:rsidR="008769F0" w:rsidRDefault="008769F0" w:rsidP="00296CFF">
      <w:pPr>
        <w:ind w:firstLine="720"/>
        <w:jc w:val="both"/>
        <w:rPr>
          <w:rStyle w:val="apple-converted-space"/>
          <w:rFonts w:ascii="Arial" w:hAnsi="Arial" w:cs="Arial"/>
          <w:color w:val="333333"/>
          <w:shd w:val="clear" w:color="auto" w:fill="FFFFFF"/>
        </w:rPr>
      </w:pPr>
    </w:p>
    <w:p w14:paraId="2CD35DC4" w14:textId="77777777" w:rsidR="008769F0" w:rsidRDefault="008769F0" w:rsidP="00296CFF">
      <w:pPr>
        <w:ind w:firstLine="720"/>
        <w:jc w:val="both"/>
        <w:rPr>
          <w:rStyle w:val="apple-converted-space"/>
          <w:rFonts w:ascii="Arial" w:hAnsi="Arial" w:cs="Arial"/>
          <w:color w:val="333333"/>
          <w:shd w:val="clear" w:color="auto" w:fill="FFFFFF"/>
        </w:rPr>
      </w:pPr>
    </w:p>
    <w:p w14:paraId="247D8CAC" w14:textId="77777777" w:rsidR="001A76E5" w:rsidRPr="003B4CCD" w:rsidRDefault="001A76E5" w:rsidP="001A76E5">
      <w:pPr>
        <w:overflowPunct/>
        <w:autoSpaceDE/>
        <w:autoSpaceDN/>
        <w:adjustRightInd/>
        <w:spacing w:line="480" w:lineRule="auto"/>
        <w:jc w:val="center"/>
        <w:textAlignment w:val="auto"/>
        <w:rPr>
          <w:rFonts w:ascii="Arial" w:hAnsi="Arial" w:cs="Arial"/>
          <w:b/>
          <w:bCs/>
          <w:szCs w:val="24"/>
        </w:rPr>
      </w:pPr>
      <w:r w:rsidRPr="003B4CCD">
        <w:rPr>
          <w:rFonts w:ascii="Arial" w:hAnsi="Arial" w:cs="Arial"/>
          <w:b/>
          <w:bCs/>
          <w:color w:val="000000"/>
          <w:szCs w:val="24"/>
        </w:rPr>
        <w:t>[This space intentionally left blank.]</w:t>
      </w:r>
    </w:p>
    <w:p w14:paraId="68B85097" w14:textId="77777777" w:rsidR="008769F0" w:rsidRDefault="008769F0" w:rsidP="00296CFF">
      <w:pPr>
        <w:ind w:firstLine="720"/>
        <w:jc w:val="both"/>
        <w:rPr>
          <w:rStyle w:val="apple-converted-space"/>
          <w:rFonts w:ascii="Arial" w:hAnsi="Arial" w:cs="Arial"/>
          <w:color w:val="333333"/>
          <w:shd w:val="clear" w:color="auto" w:fill="FFFFFF"/>
        </w:rPr>
      </w:pPr>
    </w:p>
    <w:p w14:paraId="3783199D" w14:textId="77777777" w:rsidR="008769F0" w:rsidRDefault="008769F0" w:rsidP="00296CFF">
      <w:pPr>
        <w:ind w:firstLine="720"/>
        <w:jc w:val="both"/>
        <w:rPr>
          <w:rStyle w:val="apple-converted-space"/>
          <w:rFonts w:ascii="Arial" w:hAnsi="Arial" w:cs="Arial"/>
          <w:color w:val="333333"/>
          <w:shd w:val="clear" w:color="auto" w:fill="FFFFFF"/>
        </w:rPr>
      </w:pPr>
    </w:p>
    <w:p w14:paraId="6099629F" w14:textId="77777777" w:rsidR="008769F0" w:rsidRDefault="008769F0" w:rsidP="00296CFF">
      <w:pPr>
        <w:ind w:firstLine="720"/>
        <w:jc w:val="both"/>
        <w:rPr>
          <w:rStyle w:val="apple-converted-space"/>
          <w:rFonts w:ascii="Arial" w:hAnsi="Arial" w:cs="Arial"/>
          <w:color w:val="333333"/>
          <w:shd w:val="clear" w:color="auto" w:fill="FFFFFF"/>
        </w:rPr>
      </w:pPr>
    </w:p>
    <w:p w14:paraId="2081A75D" w14:textId="77777777" w:rsidR="008769F0" w:rsidRDefault="008769F0" w:rsidP="00296CFF">
      <w:pPr>
        <w:ind w:firstLine="720"/>
        <w:jc w:val="both"/>
        <w:rPr>
          <w:rStyle w:val="apple-converted-space"/>
          <w:rFonts w:ascii="Arial" w:hAnsi="Arial" w:cs="Arial"/>
          <w:color w:val="333333"/>
          <w:shd w:val="clear" w:color="auto" w:fill="FFFFFF"/>
        </w:rPr>
      </w:pPr>
    </w:p>
    <w:p w14:paraId="4334C229" w14:textId="77777777" w:rsidR="008769F0" w:rsidRDefault="008769F0" w:rsidP="00296CFF">
      <w:pPr>
        <w:ind w:firstLine="720"/>
        <w:jc w:val="both"/>
        <w:rPr>
          <w:rStyle w:val="apple-converted-space"/>
          <w:rFonts w:ascii="Arial" w:hAnsi="Arial" w:cs="Arial"/>
          <w:color w:val="333333"/>
          <w:shd w:val="clear" w:color="auto" w:fill="FFFFFF"/>
        </w:rPr>
      </w:pPr>
    </w:p>
    <w:p w14:paraId="39CE05EF" w14:textId="77777777" w:rsidR="008769F0" w:rsidRDefault="008769F0" w:rsidP="00296CFF">
      <w:pPr>
        <w:ind w:firstLine="720"/>
        <w:jc w:val="both"/>
        <w:rPr>
          <w:rStyle w:val="apple-converted-space"/>
          <w:rFonts w:ascii="Arial" w:hAnsi="Arial" w:cs="Arial"/>
          <w:color w:val="333333"/>
          <w:shd w:val="clear" w:color="auto" w:fill="FFFFFF"/>
        </w:rPr>
      </w:pPr>
    </w:p>
    <w:p w14:paraId="6A9A506A" w14:textId="77777777" w:rsidR="008769F0" w:rsidRDefault="008769F0" w:rsidP="00296CFF">
      <w:pPr>
        <w:ind w:firstLine="720"/>
        <w:jc w:val="both"/>
        <w:rPr>
          <w:rStyle w:val="apple-converted-space"/>
          <w:rFonts w:ascii="Arial" w:hAnsi="Arial" w:cs="Arial"/>
          <w:color w:val="333333"/>
          <w:shd w:val="clear" w:color="auto" w:fill="FFFFFF"/>
        </w:rPr>
      </w:pPr>
    </w:p>
    <w:p w14:paraId="6B53CFFA" w14:textId="0A82AEDF" w:rsidR="008769F0" w:rsidRDefault="008769F0" w:rsidP="001A76E5">
      <w:pPr>
        <w:jc w:val="both"/>
        <w:rPr>
          <w:rStyle w:val="apple-converted-space"/>
          <w:rFonts w:ascii="Arial" w:hAnsi="Arial" w:cs="Arial"/>
          <w:color w:val="333333"/>
          <w:shd w:val="clear" w:color="auto" w:fill="FFFFFF"/>
        </w:rPr>
      </w:pPr>
    </w:p>
    <w:p w14:paraId="527B63A9" w14:textId="77777777" w:rsidR="001A76E5" w:rsidRDefault="001A76E5" w:rsidP="001A76E5">
      <w:pPr>
        <w:jc w:val="both"/>
        <w:rPr>
          <w:rStyle w:val="apple-converted-space"/>
          <w:rFonts w:ascii="Arial" w:hAnsi="Arial" w:cs="Arial"/>
          <w:color w:val="333333"/>
          <w:shd w:val="clear" w:color="auto" w:fill="FFFFFF"/>
        </w:rPr>
      </w:pPr>
    </w:p>
    <w:p w14:paraId="1C740F33" w14:textId="6F5D5A08" w:rsidR="00296CFF" w:rsidRDefault="00B40D23" w:rsidP="00296CFF">
      <w:pPr>
        <w:ind w:firstLine="720"/>
        <w:jc w:val="both"/>
        <w:rPr>
          <w:rStyle w:val="apple-converted-space"/>
          <w:rFonts w:ascii="Arial" w:hAnsi="Arial" w:cs="Arial"/>
          <w:color w:val="333333"/>
          <w:shd w:val="clear" w:color="auto" w:fill="FFFFFF"/>
        </w:rPr>
      </w:pPr>
      <w:r>
        <w:rPr>
          <w:rStyle w:val="apple-converted-space"/>
          <w:rFonts w:ascii="Arial" w:hAnsi="Arial" w:cs="Arial"/>
          <w:color w:val="333333"/>
          <w:shd w:val="clear" w:color="auto" w:fill="FFFFFF"/>
        </w:rPr>
        <w:lastRenderedPageBreak/>
        <w:t>Mindful of</w:t>
      </w:r>
      <w:r w:rsidR="00384AD2">
        <w:rPr>
          <w:rStyle w:val="apple-converted-space"/>
          <w:rFonts w:ascii="Arial" w:hAnsi="Arial" w:cs="Arial"/>
          <w:color w:val="333333"/>
          <w:shd w:val="clear" w:color="auto" w:fill="FFFFFF"/>
        </w:rPr>
        <w:t xml:space="preserve"> these principles, and </w:t>
      </w:r>
      <w:r>
        <w:rPr>
          <w:rStyle w:val="apple-converted-space"/>
          <w:rFonts w:ascii="Arial" w:hAnsi="Arial" w:cs="Arial"/>
          <w:color w:val="333333"/>
          <w:shd w:val="clear" w:color="auto" w:fill="FFFFFF"/>
        </w:rPr>
        <w:t>having</w:t>
      </w:r>
      <w:r w:rsidR="00384AD2">
        <w:rPr>
          <w:rStyle w:val="apple-converted-space"/>
          <w:rFonts w:ascii="Arial" w:hAnsi="Arial" w:cs="Arial"/>
          <w:color w:val="333333"/>
          <w:shd w:val="clear" w:color="auto" w:fill="FFFFFF"/>
        </w:rPr>
        <w:t xml:space="preserve"> consider</w:t>
      </w:r>
      <w:r>
        <w:rPr>
          <w:rStyle w:val="apple-converted-space"/>
          <w:rFonts w:ascii="Arial" w:hAnsi="Arial" w:cs="Arial"/>
          <w:color w:val="333333"/>
          <w:shd w:val="clear" w:color="auto" w:fill="FFFFFF"/>
        </w:rPr>
        <w:t>ed</w:t>
      </w:r>
      <w:r w:rsidR="007047A1">
        <w:rPr>
          <w:rStyle w:val="apple-converted-space"/>
          <w:rFonts w:ascii="Arial" w:hAnsi="Arial" w:cs="Arial"/>
          <w:color w:val="333333"/>
          <w:shd w:val="clear" w:color="auto" w:fill="FFFFFF"/>
        </w:rPr>
        <w:t xml:space="preserve"> the record as a whole, the Board</w:t>
      </w:r>
      <w:r>
        <w:rPr>
          <w:rStyle w:val="apple-converted-space"/>
          <w:rFonts w:ascii="Arial" w:hAnsi="Arial" w:cs="Arial"/>
          <w:color w:val="333333"/>
          <w:shd w:val="clear" w:color="auto" w:fill="FFFFFF"/>
        </w:rPr>
        <w:t>, as previously noted, found</w:t>
      </w:r>
      <w:r w:rsidR="00C32C1F">
        <w:rPr>
          <w:rStyle w:val="apple-converted-space"/>
          <w:rFonts w:ascii="Arial" w:hAnsi="Arial" w:cs="Arial"/>
          <w:color w:val="333333"/>
          <w:shd w:val="clear" w:color="auto" w:fill="FFFFFF"/>
        </w:rPr>
        <w:t xml:space="preserve"> </w:t>
      </w:r>
      <w:r w:rsidR="00384AD2">
        <w:rPr>
          <w:rStyle w:val="apple-converted-space"/>
          <w:rFonts w:ascii="Arial" w:hAnsi="Arial" w:cs="Arial"/>
          <w:color w:val="333333"/>
          <w:shd w:val="clear" w:color="auto" w:fill="FFFFFF"/>
        </w:rPr>
        <w:t>a fair cash value for the subject property of $</w:t>
      </w:r>
      <w:r>
        <w:rPr>
          <w:rStyle w:val="apple-converted-space"/>
          <w:rFonts w:ascii="Arial" w:hAnsi="Arial" w:cs="Arial"/>
          <w:color w:val="333333"/>
          <w:shd w:val="clear" w:color="auto" w:fill="FFFFFF"/>
        </w:rPr>
        <w:t>860</w:t>
      </w:r>
      <w:r w:rsidR="00384AD2">
        <w:rPr>
          <w:rStyle w:val="apple-converted-space"/>
          <w:rFonts w:ascii="Arial" w:hAnsi="Arial" w:cs="Arial"/>
          <w:color w:val="333333"/>
          <w:shd w:val="clear" w:color="auto" w:fill="FFFFFF"/>
        </w:rPr>
        <w:t>,000 for the fiscal year at issue. According</w:t>
      </w:r>
      <w:r w:rsidR="0029770C">
        <w:rPr>
          <w:rStyle w:val="apple-converted-space"/>
          <w:rFonts w:ascii="Arial" w:hAnsi="Arial" w:cs="Arial"/>
          <w:color w:val="333333"/>
          <w:shd w:val="clear" w:color="auto" w:fill="FFFFFF"/>
        </w:rPr>
        <w:t>ly</w:t>
      </w:r>
      <w:r w:rsidR="007047A1">
        <w:rPr>
          <w:rStyle w:val="apple-converted-space"/>
          <w:rFonts w:ascii="Arial" w:hAnsi="Arial" w:cs="Arial"/>
          <w:color w:val="333333"/>
          <w:shd w:val="clear" w:color="auto" w:fill="FFFFFF"/>
        </w:rPr>
        <w:t xml:space="preserve">, the Board </w:t>
      </w:r>
      <w:r w:rsidR="00384AD2">
        <w:rPr>
          <w:rStyle w:val="apple-converted-space"/>
          <w:rFonts w:ascii="Arial" w:hAnsi="Arial" w:cs="Arial"/>
          <w:color w:val="333333"/>
          <w:shd w:val="clear" w:color="auto" w:fill="FFFFFF"/>
        </w:rPr>
        <w:t>issues a decision for the appellants in this appeal</w:t>
      </w:r>
      <w:r w:rsidR="000D0B72">
        <w:rPr>
          <w:rStyle w:val="apple-converted-space"/>
          <w:rFonts w:ascii="Arial" w:hAnsi="Arial" w:cs="Arial"/>
          <w:color w:val="333333"/>
          <w:shd w:val="clear" w:color="auto" w:fill="FFFFFF"/>
        </w:rPr>
        <w:t>, and grants an abatement of $1,</w:t>
      </w:r>
      <w:r>
        <w:rPr>
          <w:rStyle w:val="apple-converted-space"/>
          <w:rFonts w:ascii="Arial" w:hAnsi="Arial" w:cs="Arial"/>
          <w:color w:val="333333"/>
          <w:shd w:val="clear" w:color="auto" w:fill="FFFFFF"/>
        </w:rPr>
        <w:t>089.74</w:t>
      </w:r>
      <w:r w:rsidR="000D0B72">
        <w:rPr>
          <w:rStyle w:val="apple-converted-space"/>
          <w:rFonts w:ascii="Arial" w:hAnsi="Arial" w:cs="Arial"/>
          <w:color w:val="333333"/>
          <w:shd w:val="clear" w:color="auto" w:fill="FFFFFF"/>
        </w:rPr>
        <w:t>, inclusive of the Community Preservation Act surcharge</w:t>
      </w:r>
      <w:r w:rsidR="00384AD2">
        <w:rPr>
          <w:rStyle w:val="apple-converted-space"/>
          <w:rFonts w:ascii="Arial" w:hAnsi="Arial" w:cs="Arial"/>
          <w:color w:val="333333"/>
          <w:shd w:val="clear" w:color="auto" w:fill="FFFFFF"/>
        </w:rPr>
        <w:t>.</w:t>
      </w:r>
    </w:p>
    <w:p w14:paraId="2B77E41B" w14:textId="62AB26E4" w:rsidR="00296CFF" w:rsidRDefault="00296CFF" w:rsidP="00A91AD3">
      <w:pPr>
        <w:jc w:val="both"/>
        <w:rPr>
          <w:rFonts w:ascii="Arial" w:hAnsi="Arial" w:cs="Arial"/>
        </w:rPr>
      </w:pPr>
    </w:p>
    <w:p w14:paraId="5AFFEEEA" w14:textId="77777777" w:rsidR="001A76E5" w:rsidRPr="00F7411E" w:rsidRDefault="001A76E5" w:rsidP="00A91AD3">
      <w:pPr>
        <w:jc w:val="both"/>
        <w:rPr>
          <w:rFonts w:ascii="Arial" w:hAnsi="Arial" w:cs="Arial"/>
        </w:rPr>
      </w:pPr>
    </w:p>
    <w:p w14:paraId="5955762D" w14:textId="54BCF1BA" w:rsidR="008769F0" w:rsidRPr="008769F0" w:rsidRDefault="008769F0" w:rsidP="008769F0">
      <w:pPr>
        <w:pStyle w:val="NoSpacing"/>
        <w:ind w:left="2160"/>
        <w:rPr>
          <w:rFonts w:ascii="Arial" w:eastAsia="Yu Gothic Light" w:hAnsi="Arial" w:cs="Arial"/>
          <w:b/>
          <w:bCs/>
          <w:szCs w:val="24"/>
        </w:rPr>
      </w:pPr>
      <w:r w:rsidRPr="008769F0">
        <w:rPr>
          <w:rFonts w:ascii="Arial" w:eastAsia="Yu Gothic Light" w:hAnsi="Arial" w:cs="Arial"/>
          <w:b/>
          <w:bCs/>
          <w:szCs w:val="24"/>
        </w:rPr>
        <w:t>APPELLATE TAX BOARD</w:t>
      </w:r>
    </w:p>
    <w:p w14:paraId="22A04297" w14:textId="277D6B0A" w:rsidR="008769F0" w:rsidRDefault="008769F0" w:rsidP="008769F0">
      <w:pPr>
        <w:pStyle w:val="NoSpacing"/>
        <w:rPr>
          <w:rFonts w:ascii="Arial" w:hAnsi="Arial" w:cs="Arial"/>
          <w:szCs w:val="24"/>
        </w:rPr>
      </w:pPr>
    </w:p>
    <w:p w14:paraId="118024EB" w14:textId="77777777" w:rsidR="001A76E5" w:rsidRPr="008769F0" w:rsidRDefault="001A76E5" w:rsidP="008769F0">
      <w:pPr>
        <w:pStyle w:val="NoSpacing"/>
        <w:rPr>
          <w:rFonts w:ascii="Arial" w:hAnsi="Arial" w:cs="Arial"/>
          <w:szCs w:val="24"/>
        </w:rPr>
      </w:pPr>
    </w:p>
    <w:p w14:paraId="792766C1" w14:textId="6A79FC22" w:rsidR="008769F0" w:rsidRPr="008769F0" w:rsidRDefault="008769F0" w:rsidP="008769F0">
      <w:pPr>
        <w:pStyle w:val="NoSpacing"/>
        <w:rPr>
          <w:rFonts w:ascii="Arial" w:hAnsi="Arial" w:cs="Arial"/>
          <w:szCs w:val="24"/>
        </w:rPr>
      </w:pPr>
      <w:r w:rsidRPr="008769F0">
        <w:rPr>
          <w:rFonts w:ascii="Arial" w:hAnsi="Arial" w:cs="Arial"/>
          <w:szCs w:val="24"/>
        </w:rPr>
        <w:tab/>
      </w:r>
      <w:r w:rsidRPr="008769F0">
        <w:rPr>
          <w:rFonts w:ascii="Arial" w:hAnsi="Arial" w:cs="Arial"/>
          <w:szCs w:val="24"/>
        </w:rPr>
        <w:tab/>
      </w:r>
      <w:r w:rsidRPr="008769F0">
        <w:rPr>
          <w:rFonts w:ascii="Arial" w:hAnsi="Arial" w:cs="Arial"/>
          <w:szCs w:val="24"/>
        </w:rPr>
        <w:tab/>
      </w:r>
      <w:r w:rsidRPr="008769F0">
        <w:rPr>
          <w:rFonts w:ascii="Arial" w:hAnsi="Arial" w:cs="Arial"/>
          <w:szCs w:val="24"/>
        </w:rPr>
        <w:tab/>
      </w:r>
      <w:r w:rsidRPr="008769F0">
        <w:rPr>
          <w:rFonts w:ascii="Arial" w:hAnsi="Arial" w:cs="Arial"/>
          <w:szCs w:val="24"/>
          <w:u w:val="single"/>
        </w:rPr>
        <w:t xml:space="preserve">/S/ </w:t>
      </w:r>
      <w:r w:rsidRPr="008769F0">
        <w:rPr>
          <w:rFonts w:ascii="Lucida Handwriting" w:hAnsi="Lucida Handwriting" w:cs="Arial"/>
          <w:b/>
          <w:bCs/>
          <w:szCs w:val="24"/>
          <w:u w:val="single"/>
        </w:rPr>
        <w:t>Thomas W. Hammond</w:t>
      </w:r>
      <w:r w:rsidRPr="008769F0">
        <w:rPr>
          <w:rFonts w:ascii="Arial" w:hAnsi="Arial" w:cs="Arial"/>
          <w:szCs w:val="24"/>
          <w:u w:val="single"/>
        </w:rPr>
        <w:tab/>
      </w:r>
      <w:r w:rsidRPr="008769F0">
        <w:rPr>
          <w:rFonts w:ascii="Arial" w:hAnsi="Arial" w:cs="Arial"/>
          <w:szCs w:val="24"/>
        </w:rPr>
        <w:t>Chairman</w:t>
      </w:r>
    </w:p>
    <w:p w14:paraId="779DFA63" w14:textId="34BA190B" w:rsidR="008769F0" w:rsidRPr="008769F0" w:rsidRDefault="008769F0" w:rsidP="008769F0">
      <w:pPr>
        <w:pStyle w:val="NoSpacing"/>
        <w:rPr>
          <w:rFonts w:ascii="Arial" w:hAnsi="Arial" w:cs="Arial"/>
          <w:szCs w:val="24"/>
        </w:rPr>
      </w:pPr>
      <w:r w:rsidRPr="008769F0">
        <w:rPr>
          <w:rFonts w:ascii="Arial" w:hAnsi="Arial" w:cs="Arial"/>
          <w:szCs w:val="24"/>
        </w:rPr>
        <w:tab/>
      </w:r>
      <w:r w:rsidRPr="008769F0">
        <w:rPr>
          <w:rFonts w:ascii="Arial" w:hAnsi="Arial" w:cs="Arial"/>
          <w:szCs w:val="24"/>
        </w:rPr>
        <w:tab/>
      </w:r>
      <w:r w:rsidRPr="008769F0">
        <w:rPr>
          <w:rFonts w:ascii="Arial" w:hAnsi="Arial" w:cs="Arial"/>
          <w:szCs w:val="24"/>
        </w:rPr>
        <w:tab/>
      </w:r>
      <w:r w:rsidRPr="008769F0">
        <w:rPr>
          <w:rFonts w:ascii="Arial" w:hAnsi="Arial" w:cs="Arial"/>
          <w:szCs w:val="24"/>
        </w:rPr>
        <w:tab/>
      </w:r>
      <w:r w:rsidRPr="008769F0">
        <w:rPr>
          <w:rFonts w:ascii="Arial" w:hAnsi="Arial" w:cs="Arial"/>
          <w:szCs w:val="24"/>
        </w:rPr>
        <w:tab/>
        <w:t>Thomas W. Hammond</w:t>
      </w:r>
    </w:p>
    <w:p w14:paraId="029BA6F9" w14:textId="77777777" w:rsidR="008769F0" w:rsidRPr="008769F0" w:rsidRDefault="008769F0" w:rsidP="008769F0">
      <w:pPr>
        <w:pStyle w:val="NoSpacing"/>
        <w:rPr>
          <w:rFonts w:ascii="Arial" w:hAnsi="Arial" w:cs="Arial"/>
          <w:szCs w:val="24"/>
        </w:rPr>
      </w:pPr>
    </w:p>
    <w:p w14:paraId="28614D70" w14:textId="5E547E31" w:rsidR="008769F0" w:rsidRPr="008769F0" w:rsidRDefault="008769F0" w:rsidP="008769F0">
      <w:pPr>
        <w:pStyle w:val="NoSpacing"/>
        <w:rPr>
          <w:rFonts w:ascii="Arial" w:hAnsi="Arial" w:cs="Arial"/>
          <w:szCs w:val="24"/>
        </w:rPr>
      </w:pPr>
      <w:r w:rsidRPr="008769F0">
        <w:rPr>
          <w:rFonts w:ascii="Arial" w:hAnsi="Arial" w:cs="Arial"/>
          <w:szCs w:val="24"/>
        </w:rPr>
        <w:tab/>
      </w:r>
      <w:r w:rsidRPr="008769F0">
        <w:rPr>
          <w:rFonts w:ascii="Arial" w:hAnsi="Arial" w:cs="Arial"/>
          <w:szCs w:val="24"/>
        </w:rPr>
        <w:tab/>
      </w:r>
      <w:r w:rsidRPr="008769F0">
        <w:rPr>
          <w:rFonts w:ascii="Arial" w:hAnsi="Arial" w:cs="Arial"/>
          <w:szCs w:val="24"/>
        </w:rPr>
        <w:tab/>
      </w:r>
      <w:r w:rsidRPr="008769F0">
        <w:rPr>
          <w:rFonts w:ascii="Arial" w:hAnsi="Arial" w:cs="Arial"/>
          <w:szCs w:val="24"/>
        </w:rPr>
        <w:tab/>
      </w:r>
      <w:r w:rsidRPr="008769F0">
        <w:rPr>
          <w:rFonts w:ascii="Arial" w:hAnsi="Arial" w:cs="Arial"/>
          <w:szCs w:val="24"/>
          <w:u w:val="single"/>
        </w:rPr>
        <w:t xml:space="preserve">/S/ </w:t>
      </w:r>
      <w:r w:rsidRPr="008769F0">
        <w:rPr>
          <w:rFonts w:ascii="Lucida Handwriting" w:hAnsi="Lucida Handwriting" w:cs="Arial"/>
          <w:b/>
          <w:bCs/>
          <w:szCs w:val="24"/>
          <w:u w:val="single"/>
        </w:rPr>
        <w:t>Patricia M. Good</w:t>
      </w:r>
      <w:r w:rsidRPr="008769F0">
        <w:rPr>
          <w:rFonts w:ascii="Lucida Handwriting" w:hAnsi="Lucida Handwriting" w:cs="Arial"/>
          <w:b/>
          <w:bCs/>
          <w:szCs w:val="24"/>
          <w:u w:val="single"/>
        </w:rPr>
        <w:tab/>
      </w:r>
      <w:r w:rsidRPr="008769F0">
        <w:rPr>
          <w:rFonts w:ascii="Arial" w:hAnsi="Arial" w:cs="Arial"/>
          <w:szCs w:val="24"/>
          <w:u w:val="single"/>
        </w:rPr>
        <w:tab/>
      </w:r>
      <w:r w:rsidRPr="008769F0">
        <w:rPr>
          <w:rFonts w:ascii="Arial" w:hAnsi="Arial" w:cs="Arial"/>
          <w:szCs w:val="24"/>
        </w:rPr>
        <w:t>Commissioner</w:t>
      </w:r>
    </w:p>
    <w:p w14:paraId="37E49742" w14:textId="625F852C" w:rsidR="008769F0" w:rsidRPr="008769F0" w:rsidRDefault="008769F0" w:rsidP="008769F0">
      <w:pPr>
        <w:pStyle w:val="NoSpacing"/>
        <w:rPr>
          <w:rFonts w:ascii="Arial" w:hAnsi="Arial" w:cs="Arial"/>
          <w:szCs w:val="24"/>
        </w:rPr>
      </w:pPr>
      <w:r w:rsidRPr="008769F0">
        <w:rPr>
          <w:rFonts w:ascii="Arial" w:hAnsi="Arial" w:cs="Arial"/>
          <w:szCs w:val="24"/>
        </w:rPr>
        <w:tab/>
      </w:r>
      <w:r w:rsidRPr="008769F0">
        <w:rPr>
          <w:rFonts w:ascii="Arial" w:hAnsi="Arial" w:cs="Arial"/>
          <w:szCs w:val="24"/>
        </w:rPr>
        <w:tab/>
      </w:r>
      <w:r w:rsidRPr="008769F0">
        <w:rPr>
          <w:rFonts w:ascii="Arial" w:hAnsi="Arial" w:cs="Arial"/>
          <w:szCs w:val="24"/>
        </w:rPr>
        <w:tab/>
      </w:r>
      <w:r w:rsidRPr="008769F0">
        <w:rPr>
          <w:rFonts w:ascii="Arial" w:hAnsi="Arial" w:cs="Arial"/>
          <w:szCs w:val="24"/>
        </w:rPr>
        <w:tab/>
      </w:r>
      <w:r w:rsidRPr="008769F0">
        <w:rPr>
          <w:rFonts w:ascii="Arial" w:hAnsi="Arial" w:cs="Arial"/>
          <w:szCs w:val="24"/>
        </w:rPr>
        <w:tab/>
        <w:t>Patricia M. Good</w:t>
      </w:r>
    </w:p>
    <w:p w14:paraId="578B9A17" w14:textId="77777777" w:rsidR="008769F0" w:rsidRPr="008769F0" w:rsidRDefault="008769F0" w:rsidP="008769F0">
      <w:pPr>
        <w:pStyle w:val="NoSpacing"/>
        <w:rPr>
          <w:rFonts w:ascii="Arial" w:hAnsi="Arial" w:cs="Arial"/>
          <w:szCs w:val="24"/>
        </w:rPr>
      </w:pPr>
    </w:p>
    <w:p w14:paraId="21A33967" w14:textId="6F925637" w:rsidR="008769F0" w:rsidRPr="008769F0" w:rsidRDefault="008769F0" w:rsidP="008769F0">
      <w:pPr>
        <w:pStyle w:val="NoSpacing"/>
        <w:rPr>
          <w:rFonts w:ascii="Arial" w:hAnsi="Arial" w:cs="Arial"/>
          <w:szCs w:val="24"/>
        </w:rPr>
      </w:pPr>
      <w:r w:rsidRPr="008769F0">
        <w:rPr>
          <w:rFonts w:ascii="Arial" w:hAnsi="Arial" w:cs="Arial"/>
          <w:szCs w:val="24"/>
        </w:rPr>
        <w:tab/>
      </w:r>
      <w:r w:rsidRPr="008769F0">
        <w:rPr>
          <w:rFonts w:ascii="Arial" w:hAnsi="Arial" w:cs="Arial"/>
          <w:szCs w:val="24"/>
        </w:rPr>
        <w:tab/>
      </w:r>
      <w:r w:rsidRPr="008769F0">
        <w:rPr>
          <w:rFonts w:ascii="Arial" w:hAnsi="Arial" w:cs="Arial"/>
          <w:szCs w:val="24"/>
        </w:rPr>
        <w:tab/>
      </w:r>
      <w:r w:rsidRPr="008769F0">
        <w:rPr>
          <w:rFonts w:ascii="Arial" w:hAnsi="Arial" w:cs="Arial"/>
          <w:szCs w:val="24"/>
        </w:rPr>
        <w:tab/>
      </w:r>
      <w:r w:rsidRPr="008769F0">
        <w:rPr>
          <w:rFonts w:ascii="Arial" w:hAnsi="Arial" w:cs="Arial"/>
          <w:szCs w:val="24"/>
          <w:u w:val="single"/>
        </w:rPr>
        <w:t xml:space="preserve">/S/ </w:t>
      </w:r>
      <w:r w:rsidRPr="008769F0">
        <w:rPr>
          <w:rFonts w:ascii="Lucida Handwriting" w:hAnsi="Lucida Handwriting" w:cs="Arial"/>
          <w:b/>
          <w:bCs/>
          <w:szCs w:val="24"/>
          <w:u w:val="single"/>
        </w:rPr>
        <w:t>Steven G. Elliott</w:t>
      </w:r>
      <w:r w:rsidRPr="008769F0">
        <w:rPr>
          <w:rFonts w:ascii="Lucida Handwriting" w:hAnsi="Lucida Handwriting" w:cs="Arial"/>
          <w:szCs w:val="24"/>
          <w:u w:val="single"/>
        </w:rPr>
        <w:tab/>
      </w:r>
      <w:r w:rsidRPr="008769F0">
        <w:rPr>
          <w:rFonts w:ascii="Arial" w:hAnsi="Arial" w:cs="Arial"/>
          <w:szCs w:val="24"/>
          <w:u w:val="single"/>
        </w:rPr>
        <w:tab/>
      </w:r>
      <w:r w:rsidRPr="008769F0">
        <w:rPr>
          <w:rFonts w:ascii="Arial" w:hAnsi="Arial" w:cs="Arial"/>
          <w:szCs w:val="24"/>
        </w:rPr>
        <w:t>Commissioner</w:t>
      </w:r>
    </w:p>
    <w:p w14:paraId="0DDDDE1E" w14:textId="0584E272" w:rsidR="008769F0" w:rsidRPr="008769F0" w:rsidRDefault="008769F0" w:rsidP="008769F0">
      <w:pPr>
        <w:pStyle w:val="NoSpacing"/>
        <w:rPr>
          <w:rFonts w:ascii="Arial" w:hAnsi="Arial" w:cs="Arial"/>
          <w:szCs w:val="24"/>
        </w:rPr>
      </w:pPr>
      <w:r w:rsidRPr="008769F0">
        <w:rPr>
          <w:rFonts w:ascii="Arial" w:hAnsi="Arial" w:cs="Arial"/>
          <w:szCs w:val="24"/>
        </w:rPr>
        <w:tab/>
      </w:r>
      <w:r w:rsidRPr="008769F0">
        <w:rPr>
          <w:rFonts w:ascii="Arial" w:hAnsi="Arial" w:cs="Arial"/>
          <w:szCs w:val="24"/>
        </w:rPr>
        <w:tab/>
      </w:r>
      <w:r w:rsidRPr="008769F0">
        <w:rPr>
          <w:rFonts w:ascii="Arial" w:hAnsi="Arial" w:cs="Arial"/>
          <w:szCs w:val="24"/>
        </w:rPr>
        <w:tab/>
      </w:r>
      <w:r w:rsidRPr="008769F0">
        <w:rPr>
          <w:rFonts w:ascii="Arial" w:hAnsi="Arial" w:cs="Arial"/>
          <w:szCs w:val="24"/>
        </w:rPr>
        <w:tab/>
      </w:r>
      <w:r w:rsidRPr="008769F0">
        <w:rPr>
          <w:rFonts w:ascii="Arial" w:hAnsi="Arial" w:cs="Arial"/>
          <w:szCs w:val="24"/>
        </w:rPr>
        <w:tab/>
        <w:t>Steven G. Elliott</w:t>
      </w:r>
    </w:p>
    <w:p w14:paraId="139ED322" w14:textId="77777777" w:rsidR="008769F0" w:rsidRPr="008769F0" w:rsidRDefault="008769F0" w:rsidP="008769F0">
      <w:pPr>
        <w:pStyle w:val="NoSpacing"/>
        <w:rPr>
          <w:rFonts w:ascii="Arial" w:hAnsi="Arial" w:cs="Arial"/>
          <w:szCs w:val="24"/>
        </w:rPr>
      </w:pPr>
    </w:p>
    <w:p w14:paraId="4F167599" w14:textId="5C028087" w:rsidR="008769F0" w:rsidRPr="008769F0" w:rsidRDefault="008769F0" w:rsidP="008769F0">
      <w:pPr>
        <w:pStyle w:val="NoSpacing"/>
        <w:rPr>
          <w:rFonts w:ascii="Arial" w:hAnsi="Arial" w:cs="Arial"/>
          <w:szCs w:val="24"/>
        </w:rPr>
      </w:pPr>
      <w:r w:rsidRPr="008769F0">
        <w:rPr>
          <w:rFonts w:ascii="Arial" w:hAnsi="Arial" w:cs="Arial"/>
          <w:szCs w:val="24"/>
        </w:rPr>
        <w:tab/>
      </w:r>
      <w:r w:rsidRPr="008769F0">
        <w:rPr>
          <w:rFonts w:ascii="Arial" w:hAnsi="Arial" w:cs="Arial"/>
          <w:szCs w:val="24"/>
        </w:rPr>
        <w:tab/>
      </w:r>
      <w:r w:rsidRPr="008769F0">
        <w:rPr>
          <w:rFonts w:ascii="Arial" w:hAnsi="Arial" w:cs="Arial"/>
          <w:szCs w:val="24"/>
        </w:rPr>
        <w:tab/>
      </w:r>
      <w:r w:rsidRPr="008769F0">
        <w:rPr>
          <w:rFonts w:ascii="Arial" w:hAnsi="Arial" w:cs="Arial"/>
          <w:szCs w:val="24"/>
        </w:rPr>
        <w:tab/>
      </w:r>
      <w:r w:rsidRPr="008769F0">
        <w:rPr>
          <w:rFonts w:ascii="Arial" w:hAnsi="Arial" w:cs="Arial"/>
          <w:szCs w:val="24"/>
          <w:u w:val="single"/>
        </w:rPr>
        <w:t xml:space="preserve">/S/ </w:t>
      </w:r>
      <w:r w:rsidRPr="008769F0">
        <w:rPr>
          <w:rFonts w:ascii="Lucida Handwriting" w:hAnsi="Lucida Handwriting" w:cs="Arial"/>
          <w:b/>
          <w:bCs/>
          <w:szCs w:val="24"/>
          <w:u w:val="single"/>
        </w:rPr>
        <w:t>Patricia Ann Metzer</w:t>
      </w:r>
      <w:r w:rsidRPr="008769F0">
        <w:rPr>
          <w:rFonts w:ascii="Arial" w:hAnsi="Arial" w:cs="Arial"/>
          <w:szCs w:val="24"/>
          <w:u w:val="single"/>
        </w:rPr>
        <w:tab/>
      </w:r>
      <w:r w:rsidRPr="008769F0">
        <w:rPr>
          <w:rFonts w:ascii="Arial" w:hAnsi="Arial" w:cs="Arial"/>
          <w:szCs w:val="24"/>
        </w:rPr>
        <w:t>Commissioner</w:t>
      </w:r>
    </w:p>
    <w:p w14:paraId="2BAA5BE7" w14:textId="55EFF3BF" w:rsidR="008769F0" w:rsidRPr="008769F0" w:rsidRDefault="008769F0" w:rsidP="008769F0">
      <w:pPr>
        <w:pStyle w:val="NoSpacing"/>
        <w:rPr>
          <w:rFonts w:ascii="Arial" w:hAnsi="Arial" w:cs="Arial"/>
          <w:szCs w:val="24"/>
        </w:rPr>
      </w:pPr>
      <w:r w:rsidRPr="008769F0">
        <w:rPr>
          <w:rFonts w:ascii="Arial" w:hAnsi="Arial" w:cs="Arial"/>
          <w:szCs w:val="24"/>
        </w:rPr>
        <w:tab/>
      </w:r>
      <w:r w:rsidRPr="008769F0">
        <w:rPr>
          <w:rFonts w:ascii="Arial" w:hAnsi="Arial" w:cs="Arial"/>
          <w:szCs w:val="24"/>
        </w:rPr>
        <w:tab/>
      </w:r>
      <w:r w:rsidRPr="008769F0">
        <w:rPr>
          <w:rFonts w:ascii="Arial" w:hAnsi="Arial" w:cs="Arial"/>
          <w:szCs w:val="24"/>
        </w:rPr>
        <w:tab/>
      </w:r>
      <w:r w:rsidRPr="008769F0">
        <w:rPr>
          <w:rFonts w:ascii="Arial" w:hAnsi="Arial" w:cs="Arial"/>
          <w:szCs w:val="24"/>
        </w:rPr>
        <w:tab/>
      </w:r>
      <w:r w:rsidRPr="008769F0">
        <w:rPr>
          <w:rFonts w:ascii="Arial" w:hAnsi="Arial" w:cs="Arial"/>
          <w:szCs w:val="24"/>
        </w:rPr>
        <w:tab/>
        <w:t>Patricia Ann Metzer</w:t>
      </w:r>
    </w:p>
    <w:p w14:paraId="41948748" w14:textId="77777777" w:rsidR="008769F0" w:rsidRPr="008769F0" w:rsidRDefault="008769F0" w:rsidP="008769F0">
      <w:pPr>
        <w:pStyle w:val="NoSpacing"/>
        <w:rPr>
          <w:rFonts w:ascii="Arial" w:hAnsi="Arial" w:cs="Arial"/>
          <w:szCs w:val="24"/>
        </w:rPr>
      </w:pPr>
    </w:p>
    <w:p w14:paraId="7A16B13D" w14:textId="4EAF436A" w:rsidR="008769F0" w:rsidRPr="008769F0" w:rsidRDefault="008769F0" w:rsidP="008769F0">
      <w:pPr>
        <w:pStyle w:val="NoSpacing"/>
        <w:rPr>
          <w:rFonts w:ascii="Arial" w:hAnsi="Arial" w:cs="Arial"/>
          <w:szCs w:val="24"/>
        </w:rPr>
      </w:pPr>
      <w:r w:rsidRPr="008769F0">
        <w:rPr>
          <w:rFonts w:ascii="Arial" w:hAnsi="Arial" w:cs="Arial"/>
          <w:szCs w:val="24"/>
        </w:rPr>
        <w:tab/>
      </w:r>
      <w:r w:rsidRPr="008769F0">
        <w:rPr>
          <w:rFonts w:ascii="Arial" w:hAnsi="Arial" w:cs="Arial"/>
          <w:szCs w:val="24"/>
        </w:rPr>
        <w:tab/>
      </w:r>
      <w:r w:rsidRPr="008769F0">
        <w:rPr>
          <w:rFonts w:ascii="Arial" w:hAnsi="Arial" w:cs="Arial"/>
          <w:szCs w:val="24"/>
        </w:rPr>
        <w:tab/>
      </w:r>
      <w:r w:rsidRPr="008769F0">
        <w:rPr>
          <w:rFonts w:ascii="Arial" w:hAnsi="Arial" w:cs="Arial"/>
          <w:szCs w:val="24"/>
        </w:rPr>
        <w:tab/>
      </w:r>
      <w:r w:rsidRPr="008769F0">
        <w:rPr>
          <w:rFonts w:ascii="Arial" w:hAnsi="Arial" w:cs="Arial"/>
          <w:szCs w:val="24"/>
          <w:u w:val="single"/>
        </w:rPr>
        <w:t xml:space="preserve">/S/ </w:t>
      </w:r>
      <w:r w:rsidRPr="008769F0">
        <w:rPr>
          <w:rFonts w:ascii="Lucida Handwriting" w:hAnsi="Lucida Handwriting" w:cs="Arial"/>
          <w:b/>
          <w:bCs/>
          <w:szCs w:val="24"/>
          <w:u w:val="single"/>
        </w:rPr>
        <w:t>Mark J. Defrancisco</w:t>
      </w:r>
      <w:r w:rsidRPr="008769F0">
        <w:rPr>
          <w:rFonts w:ascii="Arial" w:hAnsi="Arial" w:cs="Arial"/>
          <w:szCs w:val="24"/>
          <w:u w:val="single"/>
        </w:rPr>
        <w:tab/>
      </w:r>
      <w:r w:rsidRPr="008769F0">
        <w:rPr>
          <w:rFonts w:ascii="Arial" w:hAnsi="Arial" w:cs="Arial"/>
          <w:szCs w:val="24"/>
        </w:rPr>
        <w:t>Commissioner</w:t>
      </w:r>
    </w:p>
    <w:p w14:paraId="047444AB" w14:textId="7166D966" w:rsidR="008769F0" w:rsidRPr="008769F0" w:rsidRDefault="008769F0" w:rsidP="008769F0">
      <w:pPr>
        <w:pStyle w:val="NoSpacing"/>
        <w:rPr>
          <w:rFonts w:ascii="Arial" w:hAnsi="Arial" w:cs="Arial"/>
          <w:szCs w:val="24"/>
        </w:rPr>
      </w:pPr>
      <w:r w:rsidRPr="008769F0">
        <w:rPr>
          <w:rFonts w:ascii="Arial" w:hAnsi="Arial" w:cs="Arial"/>
          <w:szCs w:val="24"/>
        </w:rPr>
        <w:tab/>
      </w:r>
      <w:r w:rsidRPr="008769F0">
        <w:rPr>
          <w:rFonts w:ascii="Arial" w:hAnsi="Arial" w:cs="Arial"/>
          <w:szCs w:val="24"/>
        </w:rPr>
        <w:tab/>
      </w:r>
      <w:r w:rsidRPr="008769F0">
        <w:rPr>
          <w:rFonts w:ascii="Arial" w:hAnsi="Arial" w:cs="Arial"/>
          <w:szCs w:val="24"/>
        </w:rPr>
        <w:tab/>
      </w:r>
      <w:r w:rsidRPr="008769F0">
        <w:rPr>
          <w:rFonts w:ascii="Arial" w:hAnsi="Arial" w:cs="Arial"/>
          <w:szCs w:val="24"/>
        </w:rPr>
        <w:tab/>
      </w:r>
      <w:r w:rsidRPr="008769F0">
        <w:rPr>
          <w:rFonts w:ascii="Arial" w:hAnsi="Arial" w:cs="Arial"/>
          <w:szCs w:val="24"/>
        </w:rPr>
        <w:tab/>
        <w:t>Mark J. Francisco</w:t>
      </w:r>
    </w:p>
    <w:p w14:paraId="7B7B02F3" w14:textId="1DAB1E70" w:rsidR="008769F0" w:rsidRDefault="008769F0" w:rsidP="008769F0">
      <w:pPr>
        <w:pStyle w:val="NoSpacing"/>
        <w:rPr>
          <w:szCs w:val="24"/>
        </w:rPr>
      </w:pPr>
    </w:p>
    <w:p w14:paraId="48BB8348" w14:textId="77777777" w:rsidR="003B4CCD" w:rsidRDefault="003B4CCD" w:rsidP="008769F0">
      <w:pPr>
        <w:pStyle w:val="NoSpacing"/>
        <w:rPr>
          <w:szCs w:val="24"/>
        </w:rPr>
      </w:pPr>
    </w:p>
    <w:p w14:paraId="051D47D4" w14:textId="77777777" w:rsidR="001A76E5" w:rsidRPr="008769F0" w:rsidRDefault="001A76E5" w:rsidP="008769F0">
      <w:pPr>
        <w:pStyle w:val="NoSpacing"/>
        <w:rPr>
          <w:szCs w:val="24"/>
        </w:rPr>
      </w:pPr>
    </w:p>
    <w:p w14:paraId="392D1246" w14:textId="77777777" w:rsidR="008769F0" w:rsidRPr="008769F0" w:rsidRDefault="008769F0" w:rsidP="008769F0">
      <w:pPr>
        <w:pStyle w:val="NoSpacing"/>
        <w:rPr>
          <w:szCs w:val="24"/>
        </w:rPr>
      </w:pPr>
      <w:r w:rsidRPr="008769F0">
        <w:rPr>
          <w:szCs w:val="24"/>
        </w:rPr>
        <w:t>Attest:</w:t>
      </w:r>
      <w:r w:rsidRPr="008769F0">
        <w:rPr>
          <w:szCs w:val="24"/>
        </w:rPr>
        <w:tab/>
      </w:r>
      <w:r w:rsidRPr="008769F0">
        <w:rPr>
          <w:rFonts w:ascii="Courier New" w:hAnsi="Courier New" w:cs="Courier New"/>
          <w:szCs w:val="24"/>
          <w:u w:val="single"/>
        </w:rPr>
        <w:t>/S/</w:t>
      </w:r>
      <w:r w:rsidRPr="008769F0">
        <w:rPr>
          <w:rFonts w:ascii="Lucida Handwriting" w:hAnsi="Lucida Handwriting"/>
          <w:szCs w:val="24"/>
          <w:u w:val="single"/>
        </w:rPr>
        <w:t xml:space="preserve"> </w:t>
      </w:r>
      <w:r w:rsidRPr="008769F0">
        <w:rPr>
          <w:rFonts w:ascii="Lucida Handwriting" w:hAnsi="Lucida Handwriting"/>
          <w:b/>
          <w:bCs/>
          <w:szCs w:val="24"/>
          <w:u w:val="single"/>
        </w:rPr>
        <w:t>William J. Doherty</w:t>
      </w:r>
      <w:r w:rsidRPr="008769F0">
        <w:rPr>
          <w:rFonts w:ascii="Lucida Handwriting" w:hAnsi="Lucida Handwriting"/>
          <w:szCs w:val="24"/>
          <w:u w:val="single"/>
        </w:rPr>
        <w:tab/>
      </w:r>
      <w:r w:rsidRPr="008769F0">
        <w:rPr>
          <w:rFonts w:ascii="Lucida Handwriting" w:hAnsi="Lucida Handwriting"/>
          <w:szCs w:val="24"/>
          <w:u w:val="single"/>
        </w:rPr>
        <w:tab/>
      </w:r>
    </w:p>
    <w:p w14:paraId="1122D3C9" w14:textId="5F29CD61" w:rsidR="008769F0" w:rsidRPr="008769F0" w:rsidRDefault="008769F0" w:rsidP="008769F0">
      <w:pPr>
        <w:pStyle w:val="NoSpacing"/>
        <w:rPr>
          <w:rFonts w:cs="Arial"/>
          <w:szCs w:val="24"/>
        </w:rPr>
      </w:pPr>
      <w:r w:rsidRPr="008769F0">
        <w:rPr>
          <w:szCs w:val="24"/>
        </w:rPr>
        <w:tab/>
      </w:r>
      <w:r w:rsidRPr="008769F0">
        <w:rPr>
          <w:szCs w:val="24"/>
        </w:rPr>
        <w:tab/>
        <w:t xml:space="preserve">   </w:t>
      </w:r>
      <w:r w:rsidRPr="008769F0">
        <w:rPr>
          <w:rFonts w:cs="Arial"/>
          <w:szCs w:val="24"/>
        </w:rPr>
        <w:t>Clerk of the Board</w:t>
      </w:r>
    </w:p>
    <w:p w14:paraId="61B8DBED" w14:textId="4F59509A" w:rsidR="008769F0" w:rsidRDefault="008769F0" w:rsidP="008769F0">
      <w:pPr>
        <w:pStyle w:val="NoSpacing"/>
        <w:rPr>
          <w:rFonts w:cs="Arial"/>
          <w:szCs w:val="24"/>
        </w:rPr>
      </w:pPr>
    </w:p>
    <w:p w14:paraId="307613D1" w14:textId="5CA83DC4" w:rsidR="001A76E5" w:rsidRDefault="001A76E5" w:rsidP="008769F0">
      <w:pPr>
        <w:pStyle w:val="NoSpacing"/>
        <w:rPr>
          <w:rFonts w:cs="Arial"/>
          <w:szCs w:val="24"/>
        </w:rPr>
      </w:pPr>
    </w:p>
    <w:p w14:paraId="3D567586" w14:textId="77777777" w:rsidR="003B4CCD" w:rsidRPr="008769F0" w:rsidRDefault="003B4CCD" w:rsidP="008769F0">
      <w:pPr>
        <w:pStyle w:val="NoSpacing"/>
        <w:rPr>
          <w:rFonts w:cs="Arial"/>
          <w:szCs w:val="24"/>
        </w:rPr>
      </w:pPr>
    </w:p>
    <w:p w14:paraId="44D348CC" w14:textId="6D15EA24" w:rsidR="008769F0" w:rsidRPr="008769F0" w:rsidRDefault="008769F0" w:rsidP="008769F0">
      <w:pPr>
        <w:pStyle w:val="NoSpacing"/>
        <w:rPr>
          <w:rFonts w:ascii="Arial" w:hAnsi="Arial" w:cs="Arial"/>
          <w:szCs w:val="24"/>
        </w:rPr>
      </w:pPr>
      <w:r w:rsidRPr="008769F0">
        <w:rPr>
          <w:rFonts w:ascii="Arial" w:hAnsi="Arial" w:cs="Arial"/>
          <w:szCs w:val="24"/>
        </w:rPr>
        <w:t xml:space="preserve">Date: </w:t>
      </w:r>
      <w:r w:rsidRPr="008769F0">
        <w:rPr>
          <w:rFonts w:ascii="Arial" w:hAnsi="Arial" w:cs="Arial"/>
          <w:b/>
          <w:bCs/>
          <w:szCs w:val="24"/>
        </w:rPr>
        <w:t xml:space="preserve">November </w:t>
      </w:r>
      <w:r w:rsidR="0035501F">
        <w:rPr>
          <w:rFonts w:ascii="Arial" w:hAnsi="Arial" w:cs="Arial"/>
          <w:b/>
          <w:bCs/>
          <w:szCs w:val="24"/>
        </w:rPr>
        <w:t>30</w:t>
      </w:r>
      <w:r w:rsidRPr="008769F0">
        <w:rPr>
          <w:rFonts w:ascii="Arial" w:hAnsi="Arial" w:cs="Arial"/>
          <w:b/>
          <w:bCs/>
          <w:szCs w:val="24"/>
        </w:rPr>
        <w:t>, 2020</w:t>
      </w:r>
    </w:p>
    <w:p w14:paraId="198EC863" w14:textId="6FF67321" w:rsidR="00471B3A" w:rsidRDefault="00471B3A" w:rsidP="008769F0">
      <w:pPr>
        <w:ind w:firstLine="720"/>
        <w:jc w:val="both"/>
        <w:rPr>
          <w:rFonts w:ascii="Arial" w:hAnsi="Arial" w:cs="Arial"/>
          <w:szCs w:val="24"/>
        </w:rPr>
      </w:pPr>
    </w:p>
    <w:p w14:paraId="5CABBA63" w14:textId="431A5C7A" w:rsidR="007E244A" w:rsidRDefault="007E244A" w:rsidP="008769F0">
      <w:pPr>
        <w:ind w:firstLine="720"/>
        <w:jc w:val="both"/>
        <w:rPr>
          <w:rFonts w:ascii="Arial" w:hAnsi="Arial" w:cs="Arial"/>
          <w:szCs w:val="24"/>
        </w:rPr>
      </w:pPr>
    </w:p>
    <w:p w14:paraId="655A9F77" w14:textId="60A48EB1" w:rsidR="007E244A" w:rsidRDefault="007E244A" w:rsidP="008769F0">
      <w:pPr>
        <w:ind w:firstLine="720"/>
        <w:jc w:val="both"/>
        <w:rPr>
          <w:rFonts w:ascii="Arial" w:hAnsi="Arial" w:cs="Arial"/>
          <w:szCs w:val="24"/>
        </w:rPr>
      </w:pPr>
    </w:p>
    <w:p w14:paraId="2402FCCF" w14:textId="21A9693E" w:rsidR="007E244A" w:rsidRDefault="007E244A" w:rsidP="008769F0">
      <w:pPr>
        <w:ind w:firstLine="720"/>
        <w:jc w:val="both"/>
        <w:rPr>
          <w:rFonts w:ascii="Arial" w:hAnsi="Arial" w:cs="Arial"/>
          <w:szCs w:val="24"/>
        </w:rPr>
      </w:pPr>
    </w:p>
    <w:p w14:paraId="7B373368" w14:textId="0FBC0C5A" w:rsidR="007E244A" w:rsidRDefault="007E244A" w:rsidP="008769F0">
      <w:pPr>
        <w:ind w:firstLine="720"/>
        <w:jc w:val="both"/>
        <w:rPr>
          <w:rFonts w:ascii="Arial" w:hAnsi="Arial" w:cs="Arial"/>
          <w:szCs w:val="24"/>
        </w:rPr>
      </w:pPr>
    </w:p>
    <w:p w14:paraId="3C329E01" w14:textId="7CE466E0" w:rsidR="007E244A" w:rsidRDefault="007E244A" w:rsidP="008769F0">
      <w:pPr>
        <w:ind w:firstLine="720"/>
        <w:jc w:val="both"/>
        <w:rPr>
          <w:rFonts w:ascii="Arial" w:hAnsi="Arial" w:cs="Arial"/>
          <w:szCs w:val="24"/>
        </w:rPr>
      </w:pPr>
    </w:p>
    <w:p w14:paraId="614B8966" w14:textId="29E2E8CB" w:rsidR="007E244A" w:rsidRDefault="007E244A" w:rsidP="008769F0">
      <w:pPr>
        <w:ind w:firstLine="720"/>
        <w:jc w:val="both"/>
        <w:rPr>
          <w:rFonts w:ascii="Arial" w:hAnsi="Arial" w:cs="Arial"/>
          <w:szCs w:val="24"/>
        </w:rPr>
      </w:pPr>
    </w:p>
    <w:p w14:paraId="0B28EDD1" w14:textId="77777777" w:rsidR="007E244A" w:rsidRDefault="007E244A" w:rsidP="008769F0">
      <w:pPr>
        <w:ind w:firstLine="720"/>
        <w:jc w:val="both"/>
        <w:rPr>
          <w:rFonts w:ascii="Arial" w:hAnsi="Arial" w:cs="Arial"/>
          <w:szCs w:val="24"/>
        </w:rPr>
      </w:pPr>
    </w:p>
    <w:p w14:paraId="15AA4380" w14:textId="77777777" w:rsidR="00471B3A" w:rsidRDefault="00471B3A" w:rsidP="00471B3A">
      <w:pPr>
        <w:jc w:val="both"/>
        <w:rPr>
          <w:rFonts w:ascii="Arial" w:hAnsi="Arial" w:cs="Arial"/>
          <w:szCs w:val="24"/>
        </w:rPr>
      </w:pPr>
    </w:p>
    <w:p w14:paraId="72D2F916" w14:textId="74378624" w:rsidR="00811099" w:rsidRPr="00035781" w:rsidRDefault="00471B3A" w:rsidP="00936E0C">
      <w:pPr>
        <w:jc w:val="both"/>
        <w:rPr>
          <w:rFonts w:ascii="Arial" w:hAnsi="Arial" w:cs="Arial"/>
          <w:sz w:val="20"/>
        </w:rPr>
      </w:pPr>
      <w:r w:rsidRPr="001A76E5">
        <w:rPr>
          <w:rFonts w:ascii="Arial" w:hAnsi="Arial" w:cs="Arial"/>
          <w:b/>
          <w:sz w:val="20"/>
        </w:rPr>
        <w:t xml:space="preserve">NOTICE: </w:t>
      </w:r>
      <w:r w:rsidRPr="001A76E5">
        <w:rPr>
          <w:rFonts w:ascii="Courier New" w:hAnsi="Courier New" w:cs="Courier New"/>
          <w:b/>
          <w:sz w:val="20"/>
        </w:rPr>
        <w:t xml:space="preserve"> </w:t>
      </w:r>
      <w:r w:rsidR="00527761" w:rsidRPr="001A76E5">
        <w:rPr>
          <w:rFonts w:ascii="Arial" w:hAnsi="Arial" w:cs="Arial"/>
          <w:sz w:val="20"/>
        </w:rPr>
        <w:t xml:space="preserve">Either party </w:t>
      </w:r>
      <w:r w:rsidR="00A91AD3" w:rsidRPr="001A76E5">
        <w:rPr>
          <w:rFonts w:ascii="Arial" w:hAnsi="Arial" w:cs="Arial"/>
          <w:sz w:val="20"/>
        </w:rPr>
        <w:t xml:space="preserve">to these proceedings may appeal this decision to the Massachusetts Appeals Court by filing a Notice of Appeal with this Board in accordance with the Massachusetts Rules of Appellate Procedure.  Pursuant to G.L. c. 58A, § 13, no further findings of fact or report will be issued by the Board.  </w:t>
      </w:r>
    </w:p>
    <w:sectPr w:rsidR="00811099" w:rsidRPr="00035781" w:rsidSect="00035781">
      <w:footerReference w:type="default" r:id="rId10"/>
      <w:footerReference w:type="first" r:id="rId11"/>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90E20" w14:textId="77777777" w:rsidR="00654D5A" w:rsidRDefault="00654D5A">
      <w:r>
        <w:separator/>
      </w:r>
    </w:p>
  </w:endnote>
  <w:endnote w:type="continuationSeparator" w:id="0">
    <w:p w14:paraId="0A301A90" w14:textId="77777777" w:rsidR="00654D5A" w:rsidRDefault="0065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ibune">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Handwriting">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959F" w14:textId="77777777" w:rsidR="00654D5A" w:rsidRDefault="00654D5A">
    <w:pPr>
      <w:pStyle w:val="Footer"/>
      <w:jc w:val="center"/>
    </w:pPr>
    <w:r>
      <w:fldChar w:fldCharType="begin"/>
    </w:r>
    <w:r>
      <w:instrText>PAGE</w:instrText>
    </w:r>
    <w:r>
      <w:fldChar w:fldCharType="separate"/>
    </w:r>
    <w:r w:rsidR="00027C0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A97" w14:textId="53259877" w:rsidR="00035781" w:rsidRDefault="00035781">
    <w:pPr>
      <w:pStyle w:val="Footer"/>
    </w:pP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90A88" w14:textId="77777777" w:rsidR="00654D5A" w:rsidRDefault="00654D5A">
      <w:r>
        <w:separator/>
      </w:r>
    </w:p>
  </w:footnote>
  <w:footnote w:type="continuationSeparator" w:id="0">
    <w:p w14:paraId="19DED937" w14:textId="77777777" w:rsidR="00654D5A" w:rsidRDefault="00654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90984"/>
    <w:multiLevelType w:val="hybridMultilevel"/>
    <w:tmpl w:val="CA6E93E2"/>
    <w:lvl w:ilvl="0" w:tplc="13E0DC1C">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58F04579"/>
    <w:multiLevelType w:val="hybridMultilevel"/>
    <w:tmpl w:val="05CCE1C2"/>
    <w:lvl w:ilvl="0" w:tplc="4BF8DA2A">
      <w:start w:val="1"/>
      <w:numFmt w:val="lowerLetter"/>
      <w:lvlText w:val="(%1)"/>
      <w:lvlJc w:val="left"/>
      <w:pPr>
        <w:ind w:left="1845" w:hanging="40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79D70DBE"/>
    <w:multiLevelType w:val="hybridMultilevel"/>
    <w:tmpl w:val="C54ECE68"/>
    <w:lvl w:ilvl="0" w:tplc="1A080154">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8B"/>
    <w:rsid w:val="000025BB"/>
    <w:rsid w:val="00004F6C"/>
    <w:rsid w:val="000241D7"/>
    <w:rsid w:val="00027C08"/>
    <w:rsid w:val="00035781"/>
    <w:rsid w:val="000421C0"/>
    <w:rsid w:val="00057990"/>
    <w:rsid w:val="00066349"/>
    <w:rsid w:val="0007409E"/>
    <w:rsid w:val="00076856"/>
    <w:rsid w:val="00083DDD"/>
    <w:rsid w:val="00087817"/>
    <w:rsid w:val="00087CBF"/>
    <w:rsid w:val="00087F8A"/>
    <w:rsid w:val="0009108E"/>
    <w:rsid w:val="00091A28"/>
    <w:rsid w:val="000967AC"/>
    <w:rsid w:val="000A4963"/>
    <w:rsid w:val="000C3EC5"/>
    <w:rsid w:val="000D0B72"/>
    <w:rsid w:val="000D1342"/>
    <w:rsid w:val="000E18A8"/>
    <w:rsid w:val="000E6B0C"/>
    <w:rsid w:val="000F3A36"/>
    <w:rsid w:val="000F40E3"/>
    <w:rsid w:val="001061D9"/>
    <w:rsid w:val="001220E7"/>
    <w:rsid w:val="00130A58"/>
    <w:rsid w:val="001345F5"/>
    <w:rsid w:val="00145918"/>
    <w:rsid w:val="001562C1"/>
    <w:rsid w:val="001616CB"/>
    <w:rsid w:val="00172EA2"/>
    <w:rsid w:val="00191C87"/>
    <w:rsid w:val="001A76E5"/>
    <w:rsid w:val="001F40C2"/>
    <w:rsid w:val="002015DF"/>
    <w:rsid w:val="00203F44"/>
    <w:rsid w:val="00217F41"/>
    <w:rsid w:val="002212EF"/>
    <w:rsid w:val="00245AA1"/>
    <w:rsid w:val="002460DF"/>
    <w:rsid w:val="002466DC"/>
    <w:rsid w:val="002515DA"/>
    <w:rsid w:val="00261196"/>
    <w:rsid w:val="002625C8"/>
    <w:rsid w:val="00265B57"/>
    <w:rsid w:val="00273B90"/>
    <w:rsid w:val="0028630B"/>
    <w:rsid w:val="00296CFF"/>
    <w:rsid w:val="0029770C"/>
    <w:rsid w:val="002F5C49"/>
    <w:rsid w:val="002F6DF3"/>
    <w:rsid w:val="003108FC"/>
    <w:rsid w:val="00312D28"/>
    <w:rsid w:val="0031356B"/>
    <w:rsid w:val="00320F84"/>
    <w:rsid w:val="003252F1"/>
    <w:rsid w:val="00332FD4"/>
    <w:rsid w:val="00340A8A"/>
    <w:rsid w:val="00344941"/>
    <w:rsid w:val="0035501F"/>
    <w:rsid w:val="0036252F"/>
    <w:rsid w:val="003843C6"/>
    <w:rsid w:val="00384AD2"/>
    <w:rsid w:val="0038537A"/>
    <w:rsid w:val="00394068"/>
    <w:rsid w:val="00394DE6"/>
    <w:rsid w:val="003972D5"/>
    <w:rsid w:val="003A3CE3"/>
    <w:rsid w:val="003A3E71"/>
    <w:rsid w:val="003B3F64"/>
    <w:rsid w:val="003B4051"/>
    <w:rsid w:val="003B4CCD"/>
    <w:rsid w:val="003B68AC"/>
    <w:rsid w:val="003D14C0"/>
    <w:rsid w:val="003F2AA4"/>
    <w:rsid w:val="004073FB"/>
    <w:rsid w:val="00407CF2"/>
    <w:rsid w:val="00411F9D"/>
    <w:rsid w:val="00437C9F"/>
    <w:rsid w:val="00447EAA"/>
    <w:rsid w:val="00456674"/>
    <w:rsid w:val="00463DD3"/>
    <w:rsid w:val="004640CC"/>
    <w:rsid w:val="00471B3A"/>
    <w:rsid w:val="00476C93"/>
    <w:rsid w:val="00497B54"/>
    <w:rsid w:val="004A42A6"/>
    <w:rsid w:val="004A74B8"/>
    <w:rsid w:val="004B0EF2"/>
    <w:rsid w:val="004C2A4D"/>
    <w:rsid w:val="004C2E5D"/>
    <w:rsid w:val="004C5607"/>
    <w:rsid w:val="004C5EEE"/>
    <w:rsid w:val="004D045A"/>
    <w:rsid w:val="004D1FA4"/>
    <w:rsid w:val="004D3781"/>
    <w:rsid w:val="004E6A8B"/>
    <w:rsid w:val="004F02DB"/>
    <w:rsid w:val="004F6A6B"/>
    <w:rsid w:val="00501E6C"/>
    <w:rsid w:val="00504081"/>
    <w:rsid w:val="005177C4"/>
    <w:rsid w:val="00520C52"/>
    <w:rsid w:val="00527187"/>
    <w:rsid w:val="00527761"/>
    <w:rsid w:val="00527E80"/>
    <w:rsid w:val="00534BC8"/>
    <w:rsid w:val="0054127F"/>
    <w:rsid w:val="00544A31"/>
    <w:rsid w:val="00556B7A"/>
    <w:rsid w:val="00560258"/>
    <w:rsid w:val="005610F5"/>
    <w:rsid w:val="0056438A"/>
    <w:rsid w:val="00566EF8"/>
    <w:rsid w:val="00574B02"/>
    <w:rsid w:val="00585636"/>
    <w:rsid w:val="00596B57"/>
    <w:rsid w:val="005A3F72"/>
    <w:rsid w:val="005B31B0"/>
    <w:rsid w:val="005B7654"/>
    <w:rsid w:val="005E74A6"/>
    <w:rsid w:val="0060023E"/>
    <w:rsid w:val="00604EDD"/>
    <w:rsid w:val="00615AC6"/>
    <w:rsid w:val="00627EF3"/>
    <w:rsid w:val="00631B76"/>
    <w:rsid w:val="00642F3F"/>
    <w:rsid w:val="00643AB5"/>
    <w:rsid w:val="00654D5A"/>
    <w:rsid w:val="00657761"/>
    <w:rsid w:val="00660BE3"/>
    <w:rsid w:val="00674C2E"/>
    <w:rsid w:val="00681E6A"/>
    <w:rsid w:val="006820CE"/>
    <w:rsid w:val="00682869"/>
    <w:rsid w:val="00684312"/>
    <w:rsid w:val="00685E2B"/>
    <w:rsid w:val="006B26C9"/>
    <w:rsid w:val="006B68CF"/>
    <w:rsid w:val="006C19CF"/>
    <w:rsid w:val="006C305B"/>
    <w:rsid w:val="006D0BA9"/>
    <w:rsid w:val="006D2F0E"/>
    <w:rsid w:val="006D5F9E"/>
    <w:rsid w:val="006E0997"/>
    <w:rsid w:val="006F0760"/>
    <w:rsid w:val="006F773F"/>
    <w:rsid w:val="007047A1"/>
    <w:rsid w:val="007173AA"/>
    <w:rsid w:val="00736AA7"/>
    <w:rsid w:val="0074734E"/>
    <w:rsid w:val="00755926"/>
    <w:rsid w:val="0076238C"/>
    <w:rsid w:val="00774B69"/>
    <w:rsid w:val="00780684"/>
    <w:rsid w:val="00786842"/>
    <w:rsid w:val="00787465"/>
    <w:rsid w:val="00793083"/>
    <w:rsid w:val="007A2359"/>
    <w:rsid w:val="007A5683"/>
    <w:rsid w:val="007A66CF"/>
    <w:rsid w:val="007A6FFF"/>
    <w:rsid w:val="007D3028"/>
    <w:rsid w:val="007E244A"/>
    <w:rsid w:val="007F0112"/>
    <w:rsid w:val="007F77CB"/>
    <w:rsid w:val="008028FB"/>
    <w:rsid w:val="00805292"/>
    <w:rsid w:val="00811099"/>
    <w:rsid w:val="008157E6"/>
    <w:rsid w:val="0082282D"/>
    <w:rsid w:val="00823C03"/>
    <w:rsid w:val="0082797F"/>
    <w:rsid w:val="00851DA8"/>
    <w:rsid w:val="00860FE4"/>
    <w:rsid w:val="008678A2"/>
    <w:rsid w:val="00873DED"/>
    <w:rsid w:val="008767E5"/>
    <w:rsid w:val="008769F0"/>
    <w:rsid w:val="00876B5F"/>
    <w:rsid w:val="00895A08"/>
    <w:rsid w:val="008A7391"/>
    <w:rsid w:val="008A77DF"/>
    <w:rsid w:val="008B0CBD"/>
    <w:rsid w:val="008D0B1F"/>
    <w:rsid w:val="008E0A0F"/>
    <w:rsid w:val="008E4913"/>
    <w:rsid w:val="008E5BA2"/>
    <w:rsid w:val="008F4961"/>
    <w:rsid w:val="00903E1E"/>
    <w:rsid w:val="00917ECF"/>
    <w:rsid w:val="009214BF"/>
    <w:rsid w:val="009241C1"/>
    <w:rsid w:val="009333F8"/>
    <w:rsid w:val="009360AD"/>
    <w:rsid w:val="00936E0C"/>
    <w:rsid w:val="009436D5"/>
    <w:rsid w:val="00962B9F"/>
    <w:rsid w:val="00965406"/>
    <w:rsid w:val="0097310F"/>
    <w:rsid w:val="0097760B"/>
    <w:rsid w:val="009873CF"/>
    <w:rsid w:val="009A2871"/>
    <w:rsid w:val="009A6C7A"/>
    <w:rsid w:val="009E559D"/>
    <w:rsid w:val="009F0F47"/>
    <w:rsid w:val="009F49EC"/>
    <w:rsid w:val="00A00196"/>
    <w:rsid w:val="00A06532"/>
    <w:rsid w:val="00A123DF"/>
    <w:rsid w:val="00A13ECC"/>
    <w:rsid w:val="00A16287"/>
    <w:rsid w:val="00A1698E"/>
    <w:rsid w:val="00A20618"/>
    <w:rsid w:val="00A2664C"/>
    <w:rsid w:val="00A54A34"/>
    <w:rsid w:val="00A67D5D"/>
    <w:rsid w:val="00A76C5C"/>
    <w:rsid w:val="00A81266"/>
    <w:rsid w:val="00A868D1"/>
    <w:rsid w:val="00A91AD3"/>
    <w:rsid w:val="00AA71B7"/>
    <w:rsid w:val="00AC255E"/>
    <w:rsid w:val="00AC7540"/>
    <w:rsid w:val="00AD3291"/>
    <w:rsid w:val="00AD4550"/>
    <w:rsid w:val="00AE5383"/>
    <w:rsid w:val="00AF08BD"/>
    <w:rsid w:val="00AF6ED1"/>
    <w:rsid w:val="00B24A31"/>
    <w:rsid w:val="00B3331E"/>
    <w:rsid w:val="00B35353"/>
    <w:rsid w:val="00B40D23"/>
    <w:rsid w:val="00B442BD"/>
    <w:rsid w:val="00B51BB3"/>
    <w:rsid w:val="00B53833"/>
    <w:rsid w:val="00B578DF"/>
    <w:rsid w:val="00B622B9"/>
    <w:rsid w:val="00B80B8B"/>
    <w:rsid w:val="00B845A0"/>
    <w:rsid w:val="00B87F41"/>
    <w:rsid w:val="00B97134"/>
    <w:rsid w:val="00BB2143"/>
    <w:rsid w:val="00BB3876"/>
    <w:rsid w:val="00BC2937"/>
    <w:rsid w:val="00BC7933"/>
    <w:rsid w:val="00BD63ED"/>
    <w:rsid w:val="00BE38D3"/>
    <w:rsid w:val="00BF5E19"/>
    <w:rsid w:val="00C119FF"/>
    <w:rsid w:val="00C32C1F"/>
    <w:rsid w:val="00C338B9"/>
    <w:rsid w:val="00C530DA"/>
    <w:rsid w:val="00C5494C"/>
    <w:rsid w:val="00C639C7"/>
    <w:rsid w:val="00C8103C"/>
    <w:rsid w:val="00C85D53"/>
    <w:rsid w:val="00C91B45"/>
    <w:rsid w:val="00CA3144"/>
    <w:rsid w:val="00CA4AC7"/>
    <w:rsid w:val="00CA6BFC"/>
    <w:rsid w:val="00CB6EFB"/>
    <w:rsid w:val="00CB73FD"/>
    <w:rsid w:val="00CD760C"/>
    <w:rsid w:val="00CF379A"/>
    <w:rsid w:val="00D328D0"/>
    <w:rsid w:val="00D453F4"/>
    <w:rsid w:val="00D5031D"/>
    <w:rsid w:val="00D61640"/>
    <w:rsid w:val="00D77E23"/>
    <w:rsid w:val="00D875E3"/>
    <w:rsid w:val="00DA7BB1"/>
    <w:rsid w:val="00DB1601"/>
    <w:rsid w:val="00DC109C"/>
    <w:rsid w:val="00DC313C"/>
    <w:rsid w:val="00DC3755"/>
    <w:rsid w:val="00DE27E4"/>
    <w:rsid w:val="00E10699"/>
    <w:rsid w:val="00E17C3E"/>
    <w:rsid w:val="00E21EAA"/>
    <w:rsid w:val="00E31B44"/>
    <w:rsid w:val="00E37CA0"/>
    <w:rsid w:val="00E42EA6"/>
    <w:rsid w:val="00E43C70"/>
    <w:rsid w:val="00E4719F"/>
    <w:rsid w:val="00E516C4"/>
    <w:rsid w:val="00E55629"/>
    <w:rsid w:val="00E55D3B"/>
    <w:rsid w:val="00E61975"/>
    <w:rsid w:val="00EA79C8"/>
    <w:rsid w:val="00EC251B"/>
    <w:rsid w:val="00EC3BAD"/>
    <w:rsid w:val="00ED4709"/>
    <w:rsid w:val="00EE7E6B"/>
    <w:rsid w:val="00EF0B09"/>
    <w:rsid w:val="00F06BE0"/>
    <w:rsid w:val="00F13257"/>
    <w:rsid w:val="00F2709A"/>
    <w:rsid w:val="00F31EAC"/>
    <w:rsid w:val="00F352CC"/>
    <w:rsid w:val="00F4376A"/>
    <w:rsid w:val="00F43C4A"/>
    <w:rsid w:val="00F478F7"/>
    <w:rsid w:val="00F552CC"/>
    <w:rsid w:val="00F55AC2"/>
    <w:rsid w:val="00F571E2"/>
    <w:rsid w:val="00F710D0"/>
    <w:rsid w:val="00F7411E"/>
    <w:rsid w:val="00F8394B"/>
    <w:rsid w:val="00F875D0"/>
    <w:rsid w:val="00F9147F"/>
    <w:rsid w:val="00F92E7A"/>
    <w:rsid w:val="00FA15BC"/>
    <w:rsid w:val="00FB7F61"/>
    <w:rsid w:val="00FC05EC"/>
    <w:rsid w:val="00FD3523"/>
    <w:rsid w:val="00FE1E35"/>
    <w:rsid w:val="00FE4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A65FD3"/>
  <w14:defaultImageDpi w14:val="0"/>
  <w15:docId w15:val="{6E426033-2B4F-42BC-97A7-38F9D00A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A8B"/>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4">
    <w:name w:val="heading 4"/>
    <w:basedOn w:val="Normal"/>
    <w:next w:val="Normal"/>
    <w:link w:val="Heading4Char"/>
    <w:uiPriority w:val="9"/>
    <w:qFormat/>
    <w:rsid w:val="004E6A8B"/>
    <w:pPr>
      <w:keepNext/>
      <w:overflowPunct/>
      <w:autoSpaceDE/>
      <w:autoSpaceDN/>
      <w:adjustRightInd/>
      <w:spacing w:before="240" w:after="60"/>
      <w:textAlignment w:val="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4E6A8B"/>
    <w:rPr>
      <w:rFonts w:ascii="Times New Roman" w:hAnsi="Times New Roman" w:cs="Times New Roman"/>
      <w:b/>
      <w:bCs/>
      <w:sz w:val="28"/>
      <w:szCs w:val="28"/>
    </w:rPr>
  </w:style>
  <w:style w:type="paragraph" w:styleId="Footer">
    <w:name w:val="footer"/>
    <w:basedOn w:val="Normal"/>
    <w:link w:val="FooterChar"/>
    <w:uiPriority w:val="99"/>
    <w:rsid w:val="004E6A8B"/>
    <w:pPr>
      <w:tabs>
        <w:tab w:val="center" w:pos="4320"/>
        <w:tab w:val="right" w:pos="8640"/>
      </w:tabs>
    </w:pPr>
    <w:rPr>
      <w:sz w:val="20"/>
    </w:rPr>
  </w:style>
  <w:style w:type="character" w:customStyle="1" w:styleId="FooterChar">
    <w:name w:val="Footer Char"/>
    <w:basedOn w:val="DefaultParagraphFont"/>
    <w:link w:val="Footer"/>
    <w:uiPriority w:val="99"/>
    <w:locked/>
    <w:rsid w:val="004E6A8B"/>
    <w:rPr>
      <w:rFonts w:ascii="Times New Roman" w:hAnsi="Times New Roman" w:cs="Times New Roman"/>
      <w:sz w:val="20"/>
      <w:szCs w:val="20"/>
    </w:rPr>
  </w:style>
  <w:style w:type="paragraph" w:styleId="ListParagraph">
    <w:name w:val="List Paragraph"/>
    <w:basedOn w:val="Normal"/>
    <w:uiPriority w:val="34"/>
    <w:qFormat/>
    <w:rsid w:val="0074734E"/>
    <w:pPr>
      <w:ind w:left="720"/>
      <w:contextualSpacing/>
    </w:pPr>
  </w:style>
  <w:style w:type="table" w:styleId="TableGrid">
    <w:name w:val="Table Grid"/>
    <w:basedOn w:val="TableNormal"/>
    <w:uiPriority w:val="59"/>
    <w:rsid w:val="00F92E7A"/>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87817"/>
    <w:rPr>
      <w:sz w:val="20"/>
    </w:rPr>
  </w:style>
  <w:style w:type="character" w:customStyle="1" w:styleId="FootnoteTextChar">
    <w:name w:val="Footnote Text Char"/>
    <w:basedOn w:val="DefaultParagraphFont"/>
    <w:link w:val="FootnoteText"/>
    <w:uiPriority w:val="99"/>
    <w:semiHidden/>
    <w:locked/>
    <w:rsid w:val="0008781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87817"/>
    <w:rPr>
      <w:rFonts w:cs="Times New Roman"/>
      <w:vertAlign w:val="superscript"/>
    </w:rPr>
  </w:style>
  <w:style w:type="paragraph" w:styleId="BalloonText">
    <w:name w:val="Balloon Text"/>
    <w:basedOn w:val="Normal"/>
    <w:link w:val="BalloonTextChar"/>
    <w:uiPriority w:val="99"/>
    <w:semiHidden/>
    <w:unhideWhenUsed/>
    <w:rsid w:val="00265B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5B57"/>
    <w:rPr>
      <w:rFonts w:ascii="Tahoma" w:hAnsi="Tahoma" w:cs="Tahoma"/>
      <w:sz w:val="16"/>
      <w:szCs w:val="16"/>
    </w:rPr>
  </w:style>
  <w:style w:type="character" w:customStyle="1" w:styleId="term1">
    <w:name w:val="term1"/>
    <w:rsid w:val="00962B9F"/>
    <w:rPr>
      <w:b/>
      <w:bCs/>
    </w:rPr>
  </w:style>
  <w:style w:type="character" w:styleId="Hyperlink">
    <w:name w:val="Hyperlink"/>
    <w:basedOn w:val="DefaultParagraphFont"/>
    <w:uiPriority w:val="99"/>
    <w:semiHidden/>
    <w:unhideWhenUsed/>
    <w:rsid w:val="00962B9F"/>
    <w:rPr>
      <w:color w:val="0000FF"/>
      <w:u w:val="single"/>
    </w:rPr>
  </w:style>
  <w:style w:type="character" w:customStyle="1" w:styleId="apple-converted-space">
    <w:name w:val="apple-converted-space"/>
    <w:rsid w:val="002F5C49"/>
  </w:style>
  <w:style w:type="paragraph" w:styleId="Header">
    <w:name w:val="header"/>
    <w:basedOn w:val="Normal"/>
    <w:link w:val="HeaderChar"/>
    <w:uiPriority w:val="99"/>
    <w:unhideWhenUsed/>
    <w:rsid w:val="008767E5"/>
    <w:pPr>
      <w:tabs>
        <w:tab w:val="center" w:pos="4680"/>
        <w:tab w:val="right" w:pos="9360"/>
      </w:tabs>
    </w:pPr>
  </w:style>
  <w:style w:type="character" w:customStyle="1" w:styleId="HeaderChar">
    <w:name w:val="Header Char"/>
    <w:basedOn w:val="DefaultParagraphFont"/>
    <w:link w:val="Header"/>
    <w:uiPriority w:val="99"/>
    <w:rsid w:val="008767E5"/>
    <w:rPr>
      <w:rFonts w:ascii="Times New Roman" w:hAnsi="Times New Roman" w:cs="Times New Roman"/>
      <w:sz w:val="24"/>
      <w:szCs w:val="20"/>
    </w:rPr>
  </w:style>
  <w:style w:type="paragraph" w:styleId="NoSpacing">
    <w:name w:val="No Spacing"/>
    <w:uiPriority w:val="1"/>
    <w:qFormat/>
    <w:rsid w:val="008769F0"/>
    <w:pPr>
      <w:overflowPunct w:val="0"/>
      <w:autoSpaceDE w:val="0"/>
      <w:autoSpaceDN w:val="0"/>
      <w:adjustRightInd w:val="0"/>
      <w:spacing w:after="0" w:line="240" w:lineRule="auto"/>
      <w:textAlignment w:val="baseline"/>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185711">
      <w:bodyDiv w:val="1"/>
      <w:marLeft w:val="0"/>
      <w:marRight w:val="0"/>
      <w:marTop w:val="0"/>
      <w:marBottom w:val="0"/>
      <w:divBdr>
        <w:top w:val="none" w:sz="0" w:space="0" w:color="auto"/>
        <w:left w:val="none" w:sz="0" w:space="0" w:color="auto"/>
        <w:bottom w:val="none" w:sz="0" w:space="0" w:color="auto"/>
        <w:right w:val="none" w:sz="0" w:space="0" w:color="auto"/>
      </w:divBdr>
    </w:div>
    <w:div w:id="207258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4B28D-EB8A-BA47-9D9F-6009A476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1113</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Defrancisco, Mark (ATB)</dc:creator>
  <cp:lastModifiedBy>Mastropietro, Lisa M (ATB)</cp:lastModifiedBy>
  <cp:revision>11</cp:revision>
  <cp:lastPrinted>2020-11-19T21:48:00Z</cp:lastPrinted>
  <dcterms:created xsi:type="dcterms:W3CDTF">2020-11-25T12:36:00Z</dcterms:created>
  <dcterms:modified xsi:type="dcterms:W3CDTF">2020-11-30T19:57:00Z</dcterms:modified>
</cp:coreProperties>
</file>