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9022C1" w14:textId="77777777" w:rsidR="00AD3C42" w:rsidRPr="005C737D" w:rsidRDefault="00AD3C42" w:rsidP="00AD3C42">
      <w:pPr>
        <w:rPr>
          <w:color w:val="000000"/>
        </w:rPr>
      </w:pPr>
    </w:p>
    <w:p w14:paraId="4892123D" w14:textId="77777777" w:rsidR="00AD3C42" w:rsidRDefault="00AD3C42" w:rsidP="00AD3C42">
      <w:pPr>
        <w:jc w:val="both"/>
        <w:rPr>
          <w:color w:val="000000"/>
        </w:rPr>
      </w:pPr>
    </w:p>
    <w:p w14:paraId="26D29CFB" w14:textId="77777777" w:rsidR="00AD3C42" w:rsidRPr="005C737D" w:rsidRDefault="00AD3C42" w:rsidP="00AD3C42">
      <w:pPr>
        <w:jc w:val="both"/>
        <w:rPr>
          <w:color w:val="000000"/>
        </w:rPr>
      </w:pPr>
    </w:p>
    <w:p w14:paraId="78DD1575" w14:textId="77777777" w:rsidR="00AD3C42" w:rsidRPr="005C737D" w:rsidRDefault="00AD3C42" w:rsidP="00AD3C42">
      <w:pPr>
        <w:jc w:val="both"/>
        <w:rPr>
          <w:color w:val="000000"/>
        </w:rPr>
      </w:pPr>
    </w:p>
    <w:p w14:paraId="548D2642" w14:textId="77777777" w:rsidR="00AD3C42" w:rsidRPr="00161EC6" w:rsidRDefault="00AD3C42" w:rsidP="00AD3C42">
      <w:pPr>
        <w:tabs>
          <w:tab w:val="center" w:pos="4680"/>
        </w:tabs>
        <w:jc w:val="both"/>
        <w:rPr>
          <w:b/>
          <w:bCs/>
          <w:color w:val="000000"/>
          <w:sz w:val="36"/>
          <w:szCs w:val="36"/>
        </w:rPr>
      </w:pPr>
      <w:r w:rsidRPr="007601A4">
        <w:rPr>
          <w:color w:val="000000"/>
          <w:sz w:val="36"/>
          <w:szCs w:val="36"/>
        </w:rPr>
        <w:tab/>
      </w:r>
      <w:r w:rsidRPr="00161EC6">
        <w:rPr>
          <w:b/>
          <w:bCs/>
          <w:color w:val="000000"/>
          <w:sz w:val="36"/>
          <w:szCs w:val="36"/>
        </w:rPr>
        <w:t>PUBLIC DISCLOSURE</w:t>
      </w:r>
    </w:p>
    <w:p w14:paraId="46019C73" w14:textId="77777777" w:rsidR="00AD3C42" w:rsidRPr="00161EC6" w:rsidRDefault="00AD3C42" w:rsidP="00AD3C42">
      <w:pPr>
        <w:jc w:val="both"/>
        <w:rPr>
          <w:color w:val="000000"/>
        </w:rPr>
      </w:pPr>
    </w:p>
    <w:p w14:paraId="46DBC5E3" w14:textId="77777777" w:rsidR="00AD3C42" w:rsidRPr="00161EC6" w:rsidRDefault="00AD3C42" w:rsidP="00AD3C42">
      <w:pPr>
        <w:jc w:val="both"/>
        <w:rPr>
          <w:color w:val="000000"/>
        </w:rPr>
      </w:pPr>
    </w:p>
    <w:p w14:paraId="784374B2" w14:textId="77777777" w:rsidR="00AD3C42" w:rsidRPr="00161EC6" w:rsidRDefault="00AD3C42" w:rsidP="00AD3C42">
      <w:pPr>
        <w:jc w:val="both"/>
        <w:rPr>
          <w:color w:val="000000"/>
        </w:rPr>
      </w:pPr>
    </w:p>
    <w:p w14:paraId="4EE0CBB2" w14:textId="77777777" w:rsidR="00AD3C42" w:rsidRPr="00161EC6" w:rsidRDefault="00AD3C42" w:rsidP="00AD3C42">
      <w:pPr>
        <w:jc w:val="both"/>
        <w:rPr>
          <w:color w:val="000000"/>
        </w:rPr>
      </w:pPr>
    </w:p>
    <w:p w14:paraId="20F34F65" w14:textId="77777777" w:rsidR="00AD3C42" w:rsidRPr="00161EC6" w:rsidRDefault="00AD3C42" w:rsidP="00AD3C42">
      <w:pPr>
        <w:tabs>
          <w:tab w:val="center" w:pos="4680"/>
        </w:tabs>
        <w:jc w:val="both"/>
        <w:rPr>
          <w:color w:val="000000"/>
        </w:rPr>
      </w:pPr>
      <w:r w:rsidRPr="00161EC6">
        <w:rPr>
          <w:color w:val="000000"/>
          <w:sz w:val="36"/>
          <w:szCs w:val="36"/>
        </w:rPr>
        <w:tab/>
      </w:r>
      <w:r w:rsidR="00497556">
        <w:rPr>
          <w:color w:val="000000"/>
        </w:rPr>
        <w:t>April 27, 2020</w:t>
      </w:r>
    </w:p>
    <w:p w14:paraId="3139A677" w14:textId="77777777" w:rsidR="00AD3C42" w:rsidRPr="00161EC6" w:rsidRDefault="00AD3C42" w:rsidP="00AD3C42">
      <w:pPr>
        <w:jc w:val="both"/>
        <w:rPr>
          <w:color w:val="000000"/>
        </w:rPr>
      </w:pPr>
    </w:p>
    <w:p w14:paraId="0BB3F5BB" w14:textId="77777777" w:rsidR="00AD3C42" w:rsidRPr="00161EC6" w:rsidRDefault="00AD3C42" w:rsidP="00AD3C42">
      <w:pPr>
        <w:jc w:val="both"/>
        <w:rPr>
          <w:color w:val="000000"/>
        </w:rPr>
      </w:pPr>
    </w:p>
    <w:p w14:paraId="11E6B9E3" w14:textId="77777777" w:rsidR="00AD3C42" w:rsidRPr="00161EC6" w:rsidRDefault="00AD3C42" w:rsidP="00AD3C42">
      <w:pPr>
        <w:jc w:val="both"/>
        <w:rPr>
          <w:color w:val="000000"/>
        </w:rPr>
      </w:pPr>
    </w:p>
    <w:p w14:paraId="5B7600B8" w14:textId="77777777" w:rsidR="00AD3C42" w:rsidRPr="00161EC6" w:rsidRDefault="00AD3C42" w:rsidP="00AD3C42">
      <w:pPr>
        <w:jc w:val="both"/>
        <w:rPr>
          <w:color w:val="000000"/>
        </w:rPr>
      </w:pPr>
    </w:p>
    <w:p w14:paraId="59068914" w14:textId="77777777" w:rsidR="00AD3C42" w:rsidRPr="00161EC6" w:rsidRDefault="00AD3C42" w:rsidP="00AD3C42">
      <w:pPr>
        <w:tabs>
          <w:tab w:val="center" w:pos="4680"/>
        </w:tabs>
        <w:jc w:val="both"/>
        <w:rPr>
          <w:b/>
          <w:bCs/>
          <w:color w:val="000000"/>
          <w:sz w:val="36"/>
          <w:szCs w:val="36"/>
        </w:rPr>
      </w:pPr>
      <w:r w:rsidRPr="00161EC6">
        <w:rPr>
          <w:color w:val="000000"/>
        </w:rPr>
        <w:tab/>
      </w:r>
      <w:r w:rsidRPr="00161EC6">
        <w:rPr>
          <w:b/>
          <w:bCs/>
          <w:color w:val="000000"/>
          <w:sz w:val="36"/>
          <w:szCs w:val="36"/>
        </w:rPr>
        <w:t>COMMUNITY REINVESTMENT ACT</w:t>
      </w:r>
    </w:p>
    <w:p w14:paraId="6AC5B63B" w14:textId="77777777" w:rsidR="00AD3C42" w:rsidRPr="00161EC6" w:rsidRDefault="00AD3C42" w:rsidP="00AD3C42">
      <w:pPr>
        <w:tabs>
          <w:tab w:val="center" w:pos="4680"/>
        </w:tabs>
        <w:jc w:val="both"/>
        <w:rPr>
          <w:color w:val="000000"/>
          <w:sz w:val="36"/>
          <w:szCs w:val="36"/>
        </w:rPr>
      </w:pPr>
      <w:r w:rsidRPr="00161EC6">
        <w:rPr>
          <w:b/>
          <w:bCs/>
          <w:color w:val="000000"/>
          <w:sz w:val="36"/>
          <w:szCs w:val="36"/>
        </w:rPr>
        <w:tab/>
        <w:t>PERFORMANCE EVALUATION</w:t>
      </w:r>
    </w:p>
    <w:p w14:paraId="3DECD9D7" w14:textId="77777777" w:rsidR="00AD3C42" w:rsidRPr="00161EC6" w:rsidRDefault="00AD3C42" w:rsidP="00AD3C42">
      <w:pPr>
        <w:rPr>
          <w:color w:val="000000"/>
        </w:rPr>
      </w:pPr>
    </w:p>
    <w:p w14:paraId="426DCFDE" w14:textId="77777777" w:rsidR="00AD3C42" w:rsidRPr="00161EC6" w:rsidRDefault="00AD3C42" w:rsidP="00AD3C42">
      <w:pPr>
        <w:tabs>
          <w:tab w:val="center" w:pos="4680"/>
        </w:tabs>
        <w:rPr>
          <w:color w:val="000000"/>
        </w:rPr>
      </w:pPr>
    </w:p>
    <w:p w14:paraId="09CC4B6C" w14:textId="77777777" w:rsidR="00AD3C42" w:rsidRPr="00161EC6" w:rsidRDefault="00AD3C42" w:rsidP="00AD3C42">
      <w:pPr>
        <w:rPr>
          <w:color w:val="000000"/>
        </w:rPr>
      </w:pPr>
    </w:p>
    <w:p w14:paraId="7D76248E" w14:textId="77777777" w:rsidR="00AD3C42" w:rsidRPr="00161EC6" w:rsidRDefault="00AD3C42" w:rsidP="00AD3C42">
      <w:pPr>
        <w:tabs>
          <w:tab w:val="center" w:pos="4680"/>
        </w:tabs>
        <w:jc w:val="both"/>
        <w:rPr>
          <w:color w:val="000000"/>
        </w:rPr>
      </w:pPr>
      <w:r w:rsidRPr="00161EC6">
        <w:rPr>
          <w:b/>
          <w:bCs/>
          <w:color w:val="000000"/>
        </w:rPr>
        <w:tab/>
      </w:r>
      <w:r w:rsidR="00497556">
        <w:rPr>
          <w:color w:val="000000"/>
        </w:rPr>
        <w:t>Northern Bank &amp; Trust Company</w:t>
      </w:r>
    </w:p>
    <w:p w14:paraId="38654FE0" w14:textId="77777777" w:rsidR="00AD3C42" w:rsidRPr="00161EC6" w:rsidRDefault="00497556" w:rsidP="00AD3C42">
      <w:pPr>
        <w:tabs>
          <w:tab w:val="center" w:pos="4680"/>
        </w:tabs>
        <w:jc w:val="both"/>
        <w:rPr>
          <w:color w:val="000000"/>
        </w:rPr>
      </w:pPr>
      <w:r>
        <w:rPr>
          <w:color w:val="000000"/>
        </w:rPr>
        <w:tab/>
        <w:t>Certificate Number:  18266</w:t>
      </w:r>
    </w:p>
    <w:p w14:paraId="21B61A9F" w14:textId="77777777" w:rsidR="00AD3C42" w:rsidRPr="00161EC6" w:rsidRDefault="00AD3C42" w:rsidP="00AD3C42">
      <w:pPr>
        <w:jc w:val="both"/>
        <w:rPr>
          <w:color w:val="000000"/>
        </w:rPr>
      </w:pPr>
    </w:p>
    <w:p w14:paraId="6227FBDC" w14:textId="77777777" w:rsidR="00AD3C42" w:rsidRPr="00161EC6" w:rsidRDefault="00497556" w:rsidP="00AD3C42">
      <w:pPr>
        <w:tabs>
          <w:tab w:val="center" w:pos="4680"/>
        </w:tabs>
        <w:jc w:val="center"/>
      </w:pPr>
      <w:r>
        <w:t xml:space="preserve">275 </w:t>
      </w:r>
      <w:proofErr w:type="spellStart"/>
      <w:r>
        <w:t>Mishawum</w:t>
      </w:r>
      <w:proofErr w:type="spellEnd"/>
      <w:r>
        <w:t xml:space="preserve"> Road</w:t>
      </w:r>
    </w:p>
    <w:p w14:paraId="32F6064F" w14:textId="77777777" w:rsidR="00AD3C42" w:rsidRPr="00161EC6" w:rsidRDefault="00497556" w:rsidP="00AD3C42">
      <w:pPr>
        <w:tabs>
          <w:tab w:val="left" w:pos="5175"/>
        </w:tabs>
        <w:jc w:val="center"/>
      </w:pPr>
      <w:r>
        <w:t>Woburn, Massachusetts  01801</w:t>
      </w:r>
    </w:p>
    <w:p w14:paraId="235CC0F2" w14:textId="77777777" w:rsidR="00AD3C42" w:rsidRPr="00161EC6" w:rsidRDefault="00AD3C42" w:rsidP="00AD3C42">
      <w:pPr>
        <w:tabs>
          <w:tab w:val="center" w:pos="4680"/>
        </w:tabs>
        <w:rPr>
          <w:color w:val="000000"/>
        </w:rPr>
      </w:pPr>
    </w:p>
    <w:p w14:paraId="3862B8E4" w14:textId="77777777" w:rsidR="00AD3C42" w:rsidRPr="00161EC6" w:rsidRDefault="00AD3C42" w:rsidP="00AD3C42">
      <w:pPr>
        <w:tabs>
          <w:tab w:val="center" w:pos="4680"/>
        </w:tabs>
        <w:rPr>
          <w:color w:val="000000"/>
        </w:rPr>
      </w:pPr>
    </w:p>
    <w:p w14:paraId="3E5BC66A" w14:textId="77777777" w:rsidR="00AD3C42" w:rsidRPr="00161EC6" w:rsidRDefault="00AD3C42" w:rsidP="00AD3C42">
      <w:pPr>
        <w:tabs>
          <w:tab w:val="center" w:pos="4680"/>
        </w:tabs>
        <w:rPr>
          <w:color w:val="000000"/>
        </w:rPr>
      </w:pPr>
    </w:p>
    <w:p w14:paraId="61D7A433" w14:textId="77777777" w:rsidR="00AD3C42" w:rsidRPr="00161EC6" w:rsidRDefault="00AD3C42" w:rsidP="00AD3C42">
      <w:pPr>
        <w:rPr>
          <w:color w:val="000000"/>
        </w:rPr>
      </w:pPr>
    </w:p>
    <w:tbl>
      <w:tblPr>
        <w:tblW w:w="0" w:type="auto"/>
        <w:tblLayout w:type="fixed"/>
        <w:tblLook w:val="01E0" w:firstRow="1" w:lastRow="1" w:firstColumn="1" w:lastColumn="1" w:noHBand="0" w:noVBand="0"/>
      </w:tblPr>
      <w:tblGrid>
        <w:gridCol w:w="4552"/>
        <w:gridCol w:w="4553"/>
      </w:tblGrid>
      <w:tr w:rsidR="00AD3C42" w:rsidRPr="00214332" w14:paraId="416266B6" w14:textId="77777777" w:rsidTr="00564E5E">
        <w:trPr>
          <w:cantSplit/>
        </w:trPr>
        <w:tc>
          <w:tcPr>
            <w:tcW w:w="4552" w:type="dxa"/>
            <w:shd w:val="clear" w:color="auto" w:fill="auto"/>
          </w:tcPr>
          <w:p w14:paraId="28C3349C" w14:textId="77777777" w:rsidR="00AD3C42" w:rsidRPr="00043BA5" w:rsidRDefault="00AD3C42" w:rsidP="00564E5E">
            <w:pPr>
              <w:tabs>
                <w:tab w:val="left" w:pos="360"/>
                <w:tab w:val="left" w:pos="840"/>
                <w:tab w:val="left" w:pos="6720"/>
              </w:tabs>
              <w:suppressAutoHyphens/>
              <w:jc w:val="center"/>
              <w:rPr>
                <w:spacing w:val="-3"/>
              </w:rPr>
            </w:pPr>
            <w:r w:rsidRPr="00043BA5">
              <w:rPr>
                <w:spacing w:val="-3"/>
              </w:rPr>
              <w:t>Division of Banks</w:t>
            </w:r>
          </w:p>
        </w:tc>
        <w:tc>
          <w:tcPr>
            <w:tcW w:w="4553" w:type="dxa"/>
            <w:shd w:val="clear" w:color="auto" w:fill="auto"/>
          </w:tcPr>
          <w:p w14:paraId="63C616B7" w14:textId="77777777" w:rsidR="00AD3C42" w:rsidRPr="00043BA5" w:rsidRDefault="00AD3C42" w:rsidP="00564E5E">
            <w:pPr>
              <w:tabs>
                <w:tab w:val="left" w:pos="360"/>
                <w:tab w:val="left" w:pos="840"/>
                <w:tab w:val="left" w:pos="6720"/>
              </w:tabs>
              <w:suppressAutoHyphens/>
              <w:jc w:val="center"/>
              <w:rPr>
                <w:spacing w:val="-3"/>
              </w:rPr>
            </w:pPr>
            <w:r w:rsidRPr="00043BA5">
              <w:rPr>
                <w:spacing w:val="-3"/>
              </w:rPr>
              <w:t>Federal Deposit Insurance Corporation</w:t>
            </w:r>
          </w:p>
        </w:tc>
      </w:tr>
      <w:tr w:rsidR="00AD3C42" w:rsidRPr="00214332" w14:paraId="73E26E45" w14:textId="77777777" w:rsidTr="00564E5E">
        <w:trPr>
          <w:cantSplit/>
        </w:trPr>
        <w:tc>
          <w:tcPr>
            <w:tcW w:w="4552" w:type="dxa"/>
            <w:shd w:val="clear" w:color="auto" w:fill="auto"/>
          </w:tcPr>
          <w:p w14:paraId="770B3419" w14:textId="77777777" w:rsidR="00AD3C42" w:rsidRPr="00043BA5" w:rsidRDefault="00AD3C42" w:rsidP="00564E5E">
            <w:pPr>
              <w:tabs>
                <w:tab w:val="left" w:pos="360"/>
                <w:tab w:val="left" w:pos="840"/>
                <w:tab w:val="left" w:pos="6720"/>
              </w:tabs>
              <w:suppressAutoHyphens/>
              <w:jc w:val="center"/>
              <w:rPr>
                <w:spacing w:val="-3"/>
              </w:rPr>
            </w:pPr>
            <w:r w:rsidRPr="00043BA5">
              <w:rPr>
                <w:spacing w:val="-3"/>
              </w:rPr>
              <w:t>1000 Washington Street, 10</w:t>
            </w:r>
            <w:r w:rsidRPr="00043BA5">
              <w:rPr>
                <w:spacing w:val="-3"/>
                <w:vertAlign w:val="superscript"/>
              </w:rPr>
              <w:t>th</w:t>
            </w:r>
            <w:r w:rsidRPr="00043BA5">
              <w:rPr>
                <w:spacing w:val="-3"/>
              </w:rPr>
              <w:t xml:space="preserve"> Floor</w:t>
            </w:r>
          </w:p>
        </w:tc>
        <w:tc>
          <w:tcPr>
            <w:tcW w:w="4553" w:type="dxa"/>
            <w:shd w:val="clear" w:color="auto" w:fill="auto"/>
          </w:tcPr>
          <w:p w14:paraId="03DA9713" w14:textId="77777777" w:rsidR="00AD3C42" w:rsidRPr="00043BA5" w:rsidRDefault="00AD3C42" w:rsidP="00564E5E">
            <w:pPr>
              <w:tabs>
                <w:tab w:val="left" w:pos="360"/>
                <w:tab w:val="left" w:pos="840"/>
                <w:tab w:val="left" w:pos="6720"/>
              </w:tabs>
              <w:suppressAutoHyphens/>
              <w:jc w:val="center"/>
              <w:rPr>
                <w:spacing w:val="-3"/>
              </w:rPr>
            </w:pPr>
            <w:r w:rsidRPr="00043BA5">
              <w:rPr>
                <w:spacing w:val="-3"/>
              </w:rPr>
              <w:t>350 Fifth Avenue, Suite 1200</w:t>
            </w:r>
          </w:p>
        </w:tc>
      </w:tr>
      <w:tr w:rsidR="00AD3C42" w:rsidRPr="00214332" w14:paraId="6AC29AE3" w14:textId="77777777" w:rsidTr="00564E5E">
        <w:trPr>
          <w:cantSplit/>
        </w:trPr>
        <w:tc>
          <w:tcPr>
            <w:tcW w:w="4552" w:type="dxa"/>
            <w:shd w:val="clear" w:color="auto" w:fill="auto"/>
          </w:tcPr>
          <w:p w14:paraId="50AD3A03" w14:textId="77777777" w:rsidR="00AD3C42" w:rsidRPr="00043BA5" w:rsidRDefault="00AD3C42" w:rsidP="00564E5E">
            <w:pPr>
              <w:tabs>
                <w:tab w:val="left" w:pos="360"/>
                <w:tab w:val="left" w:pos="840"/>
                <w:tab w:val="left" w:pos="6720"/>
              </w:tabs>
              <w:suppressAutoHyphens/>
              <w:jc w:val="center"/>
              <w:rPr>
                <w:spacing w:val="-3"/>
              </w:rPr>
            </w:pPr>
            <w:r w:rsidRPr="00043BA5">
              <w:rPr>
                <w:spacing w:val="-3"/>
              </w:rPr>
              <w:t>Boston, Massachusetts 02118</w:t>
            </w:r>
          </w:p>
        </w:tc>
        <w:tc>
          <w:tcPr>
            <w:tcW w:w="4553" w:type="dxa"/>
            <w:shd w:val="clear" w:color="auto" w:fill="auto"/>
          </w:tcPr>
          <w:p w14:paraId="20976321" w14:textId="77777777" w:rsidR="00AD3C42" w:rsidRPr="00043BA5" w:rsidRDefault="00AD3C42" w:rsidP="00564E5E">
            <w:pPr>
              <w:tabs>
                <w:tab w:val="left" w:pos="360"/>
                <w:tab w:val="left" w:pos="840"/>
                <w:tab w:val="left" w:pos="6720"/>
              </w:tabs>
              <w:suppressAutoHyphens/>
              <w:jc w:val="center"/>
              <w:rPr>
                <w:spacing w:val="-3"/>
              </w:rPr>
            </w:pPr>
            <w:r w:rsidRPr="00043BA5">
              <w:rPr>
                <w:spacing w:val="-3"/>
              </w:rPr>
              <w:t>New York, New York 10118</w:t>
            </w:r>
          </w:p>
        </w:tc>
      </w:tr>
    </w:tbl>
    <w:p w14:paraId="46BCF59E" w14:textId="77777777" w:rsidR="00AD3C42" w:rsidRPr="00161EC6" w:rsidRDefault="00AD3C42" w:rsidP="00AD3C42">
      <w:pPr>
        <w:tabs>
          <w:tab w:val="left" w:pos="-1440"/>
        </w:tabs>
        <w:ind w:left="1440" w:hanging="1440"/>
        <w:rPr>
          <w:color w:val="000000"/>
        </w:rPr>
      </w:pPr>
    </w:p>
    <w:p w14:paraId="5A27919A" w14:textId="77777777" w:rsidR="00AD3C42" w:rsidRPr="00161EC6" w:rsidRDefault="00AD3C42" w:rsidP="00AD3C42">
      <w:pPr>
        <w:tabs>
          <w:tab w:val="left" w:pos="-1440"/>
        </w:tabs>
        <w:ind w:left="1440" w:hanging="1440"/>
        <w:rPr>
          <w:color w:val="000000"/>
        </w:rPr>
      </w:pPr>
    </w:p>
    <w:p w14:paraId="3B09ADAB" w14:textId="77777777" w:rsidR="00AD3C42" w:rsidRPr="00161EC6" w:rsidRDefault="00AD3C42" w:rsidP="00AD3C42">
      <w:pPr>
        <w:tabs>
          <w:tab w:val="left" w:pos="-1440"/>
        </w:tabs>
        <w:ind w:left="1440" w:hanging="1440"/>
        <w:rPr>
          <w:color w:val="000000"/>
        </w:rPr>
      </w:pPr>
    </w:p>
    <w:p w14:paraId="7D584219" w14:textId="77777777" w:rsidR="00AD3C42" w:rsidRPr="00161EC6" w:rsidRDefault="00AD3C42" w:rsidP="00AD3C42">
      <w:pPr>
        <w:tabs>
          <w:tab w:val="left" w:pos="-1440"/>
        </w:tabs>
        <w:ind w:left="1440" w:hanging="1440"/>
        <w:rPr>
          <w:color w:val="000000"/>
        </w:rPr>
      </w:pPr>
    </w:p>
    <w:p w14:paraId="3DECB623" w14:textId="77777777" w:rsidR="00AD3C42" w:rsidRPr="00161EC6" w:rsidRDefault="00AD3C42" w:rsidP="00AD3C42">
      <w:pPr>
        <w:tabs>
          <w:tab w:val="left" w:pos="-1440"/>
        </w:tabs>
        <w:ind w:left="1440" w:hanging="1440"/>
        <w:rPr>
          <w:color w:val="000000"/>
        </w:rPr>
      </w:pPr>
    </w:p>
    <w:p w14:paraId="3D143CB3" w14:textId="77777777" w:rsidR="00AD3C42" w:rsidRPr="00161EC6" w:rsidRDefault="00AD3C42" w:rsidP="00AD3C42">
      <w:pPr>
        <w:jc w:val="both"/>
        <w:rPr>
          <w:color w:val="000000"/>
        </w:rPr>
      </w:pPr>
      <w:r w:rsidRPr="00161EC6">
        <w:rPr>
          <w:color w:val="000000"/>
        </w:rPr>
        <w:t xml:space="preserve">This document is an evaluation of this institution’s record of meeting the credit needs of its entire community, including low- and moderate-income neighborhoods, consistent with </w:t>
      </w:r>
      <w:proofErr w:type="gramStart"/>
      <w:r w:rsidRPr="00161EC6">
        <w:rPr>
          <w:color w:val="000000"/>
        </w:rPr>
        <w:t>safe and sound</w:t>
      </w:r>
      <w:proofErr w:type="gramEnd"/>
      <w:r w:rsidRPr="00161EC6">
        <w:rPr>
          <w:color w:val="000000"/>
        </w:rPr>
        <w:t xml:space="preserve"> operation of the institution.</w:t>
      </w:r>
      <w:r w:rsidRPr="00161EC6">
        <w:rPr>
          <w:i/>
          <w:iCs/>
          <w:color w:val="000000"/>
        </w:rPr>
        <w:t xml:space="preserve">  </w:t>
      </w:r>
      <w:r w:rsidRPr="00161EC6">
        <w:rPr>
          <w:color w:val="000000"/>
        </w:rPr>
        <w:t xml:space="preserve">This evaluation is not, nor </w:t>
      </w:r>
      <w:proofErr w:type="gramStart"/>
      <w:r w:rsidRPr="00161EC6">
        <w:rPr>
          <w:color w:val="000000"/>
        </w:rPr>
        <w:t>should it be construed</w:t>
      </w:r>
      <w:proofErr w:type="gramEnd"/>
      <w:r w:rsidRPr="00161EC6">
        <w:rPr>
          <w:color w:val="000000"/>
        </w:rPr>
        <w:t xml:space="preserve"> as, an assessment of the financial condition of this institution.  The rating assigned to this institution does not represent an analysis, conclusion, or opinion of the </w:t>
      </w:r>
      <w:r>
        <w:rPr>
          <w:color w:val="000000"/>
        </w:rPr>
        <w:t xml:space="preserve">Division of Banks or the Federal Deposit Insurance Corporation </w:t>
      </w:r>
      <w:r w:rsidRPr="00161EC6">
        <w:rPr>
          <w:color w:val="000000"/>
        </w:rPr>
        <w:t>concerning the safety and soundness of this financial institution.</w:t>
      </w:r>
    </w:p>
    <w:p w14:paraId="4C696CA7" w14:textId="77777777" w:rsidR="00AD3C42" w:rsidRDefault="00AD3C42" w:rsidP="00AD3C42">
      <w:pPr>
        <w:jc w:val="both"/>
        <w:rPr>
          <w:color w:val="000000"/>
        </w:rPr>
      </w:pPr>
    </w:p>
    <w:p w14:paraId="037A2368" w14:textId="77777777" w:rsidR="00AD3C42" w:rsidRDefault="00AD3C42" w:rsidP="00AD3C42">
      <w:pPr>
        <w:jc w:val="both"/>
        <w:rPr>
          <w:color w:val="000000"/>
        </w:rPr>
      </w:pPr>
    </w:p>
    <w:p w14:paraId="7FACECFF" w14:textId="77777777" w:rsidR="00AD3C42" w:rsidRPr="00161EC6" w:rsidRDefault="00AD3C42" w:rsidP="00AD3C42">
      <w:pPr>
        <w:jc w:val="both"/>
        <w:rPr>
          <w:color w:val="000000"/>
        </w:rPr>
      </w:pPr>
    </w:p>
    <w:p w14:paraId="280CF6E3" w14:textId="77777777" w:rsidR="0099672C" w:rsidRPr="00161EC6" w:rsidRDefault="0099672C" w:rsidP="00E02903">
      <w:pPr>
        <w:tabs>
          <w:tab w:val="left" w:pos="-1440"/>
        </w:tabs>
        <w:jc w:val="center"/>
        <w:rPr>
          <w:b/>
          <w:bCs/>
          <w:sz w:val="28"/>
          <w:szCs w:val="28"/>
        </w:rPr>
      </w:pPr>
      <w:r w:rsidRPr="00161EC6">
        <w:rPr>
          <w:b/>
          <w:bCs/>
          <w:sz w:val="28"/>
          <w:szCs w:val="28"/>
        </w:rPr>
        <w:lastRenderedPageBreak/>
        <w:t>TABLE OF CONTENTS</w:t>
      </w:r>
    </w:p>
    <w:p w14:paraId="14682CDF" w14:textId="77777777" w:rsidR="0099672C" w:rsidRPr="00161EC6" w:rsidRDefault="0099672C" w:rsidP="00F63C3D">
      <w:pPr>
        <w:tabs>
          <w:tab w:val="left" w:pos="-1440"/>
          <w:tab w:val="left" w:pos="-720"/>
          <w:tab w:val="left" w:pos="0"/>
          <w:tab w:val="left" w:pos="720"/>
          <w:tab w:val="right" w:leader="dot" w:pos="9360"/>
        </w:tabs>
      </w:pPr>
    </w:p>
    <w:p w14:paraId="7B8E28A5" w14:textId="77777777" w:rsidR="0033456F" w:rsidRPr="0033456F" w:rsidRDefault="0033456F" w:rsidP="0033456F">
      <w:pPr>
        <w:tabs>
          <w:tab w:val="left" w:pos="-1440"/>
        </w:tabs>
        <w:ind w:left="720" w:hanging="720"/>
      </w:pPr>
      <w:r w:rsidRPr="0033456F">
        <w:t>Institution Rating</w:t>
      </w:r>
    </w:p>
    <w:p w14:paraId="17BA46A4" w14:textId="36BE2E39" w:rsidR="0033456F" w:rsidRPr="0033456F" w:rsidRDefault="0033456F" w:rsidP="007911D2">
      <w:pPr>
        <w:tabs>
          <w:tab w:val="left" w:pos="-1440"/>
          <w:tab w:val="left" w:pos="-720"/>
          <w:tab w:val="left" w:pos="0"/>
          <w:tab w:val="left" w:pos="720"/>
          <w:tab w:val="left" w:pos="1440"/>
          <w:tab w:val="right" w:leader="dot" w:pos="9360"/>
        </w:tabs>
      </w:pPr>
      <w:r w:rsidRPr="0033456F">
        <w:tab/>
        <w:t>Overall Rating</w:t>
      </w:r>
      <w:r w:rsidRPr="0033456F">
        <w:tab/>
      </w:r>
      <w:r w:rsidR="003B31FF">
        <w:t>1</w:t>
      </w:r>
    </w:p>
    <w:p w14:paraId="6034CF6D" w14:textId="72D154B5" w:rsidR="0033456F" w:rsidRPr="0033456F" w:rsidRDefault="0033456F" w:rsidP="007911D2">
      <w:pPr>
        <w:tabs>
          <w:tab w:val="left" w:pos="-1440"/>
          <w:tab w:val="left" w:pos="-720"/>
          <w:tab w:val="left" w:pos="0"/>
          <w:tab w:val="left" w:pos="720"/>
          <w:tab w:val="left" w:pos="1440"/>
          <w:tab w:val="right" w:leader="dot" w:pos="9360"/>
        </w:tabs>
      </w:pPr>
      <w:r w:rsidRPr="0033456F">
        <w:tab/>
        <w:t xml:space="preserve">Performance Test Ratings Table </w:t>
      </w:r>
      <w:r w:rsidRPr="0033456F">
        <w:tab/>
      </w:r>
      <w:r w:rsidR="003B31FF">
        <w:t>1</w:t>
      </w:r>
    </w:p>
    <w:p w14:paraId="65067E3C" w14:textId="1C24D2F3" w:rsidR="0033456F" w:rsidRPr="0033456F" w:rsidRDefault="0033456F" w:rsidP="007911D2">
      <w:pPr>
        <w:tabs>
          <w:tab w:val="left" w:pos="-1440"/>
          <w:tab w:val="left" w:pos="-720"/>
          <w:tab w:val="left" w:pos="0"/>
          <w:tab w:val="left" w:pos="720"/>
          <w:tab w:val="left" w:pos="1440"/>
          <w:tab w:val="right" w:leader="dot" w:pos="9360"/>
        </w:tabs>
      </w:pPr>
      <w:r w:rsidRPr="0033456F">
        <w:tab/>
        <w:t>Summary of Major Factors Supporting Rating</w:t>
      </w:r>
      <w:r w:rsidRPr="0033456F">
        <w:tab/>
      </w:r>
      <w:r w:rsidR="003B31FF">
        <w:t>1</w:t>
      </w:r>
    </w:p>
    <w:p w14:paraId="4525A461" w14:textId="77777777" w:rsidR="0033456F" w:rsidRPr="0033456F" w:rsidRDefault="0033456F" w:rsidP="0033456F"/>
    <w:p w14:paraId="501FFC3F" w14:textId="77777777" w:rsidR="0033456F" w:rsidRPr="0033456F" w:rsidRDefault="0033456F" w:rsidP="007911D2">
      <w:pPr>
        <w:tabs>
          <w:tab w:val="left" w:pos="-1440"/>
        </w:tabs>
      </w:pPr>
      <w:r w:rsidRPr="0033456F">
        <w:t>Institution</w:t>
      </w:r>
    </w:p>
    <w:p w14:paraId="761CE303" w14:textId="1F9FB375" w:rsidR="00B4706B" w:rsidRPr="0033456F" w:rsidRDefault="0033456F" w:rsidP="00B4706B">
      <w:pPr>
        <w:tabs>
          <w:tab w:val="left" w:pos="-1440"/>
          <w:tab w:val="left" w:pos="-720"/>
          <w:tab w:val="left" w:pos="0"/>
          <w:tab w:val="left" w:pos="720"/>
          <w:tab w:val="left" w:pos="1440"/>
          <w:tab w:val="right" w:leader="dot" w:pos="9360"/>
        </w:tabs>
      </w:pPr>
      <w:r w:rsidRPr="0033456F">
        <w:tab/>
      </w:r>
      <w:r w:rsidR="00B4706B" w:rsidRPr="0033456F">
        <w:t>Scope of Evaluation</w:t>
      </w:r>
      <w:r w:rsidR="00B4706B" w:rsidRPr="0033456F">
        <w:tab/>
      </w:r>
      <w:r w:rsidR="003B31FF">
        <w:t>3</w:t>
      </w:r>
    </w:p>
    <w:p w14:paraId="4D3DDA08" w14:textId="2D3DC97C" w:rsidR="0033456F" w:rsidRPr="0033456F" w:rsidRDefault="00B4706B" w:rsidP="007911D2">
      <w:pPr>
        <w:tabs>
          <w:tab w:val="left" w:pos="-1440"/>
          <w:tab w:val="left" w:pos="-720"/>
          <w:tab w:val="left" w:pos="0"/>
          <w:tab w:val="left" w:pos="720"/>
          <w:tab w:val="left" w:pos="1440"/>
          <w:tab w:val="right" w:leader="dot" w:pos="9360"/>
        </w:tabs>
      </w:pPr>
      <w:r>
        <w:tab/>
      </w:r>
      <w:r w:rsidR="0033456F" w:rsidRPr="0033456F">
        <w:t>Description of Institution</w:t>
      </w:r>
      <w:r w:rsidR="0033456F" w:rsidRPr="0033456F">
        <w:tab/>
      </w:r>
      <w:r w:rsidR="003B31FF">
        <w:t>4</w:t>
      </w:r>
    </w:p>
    <w:p w14:paraId="58E24D21" w14:textId="1E7FB73A" w:rsidR="007B2663" w:rsidRDefault="0033456F" w:rsidP="007911D2">
      <w:pPr>
        <w:tabs>
          <w:tab w:val="left" w:pos="-1440"/>
          <w:tab w:val="left" w:pos="-720"/>
          <w:tab w:val="left" w:pos="0"/>
          <w:tab w:val="left" w:pos="720"/>
          <w:tab w:val="left" w:pos="1440"/>
          <w:tab w:val="right" w:leader="dot" w:pos="9360"/>
        </w:tabs>
      </w:pPr>
      <w:r w:rsidRPr="0033456F">
        <w:tab/>
      </w:r>
      <w:r w:rsidR="007B2663">
        <w:t>Description of Assessment Area</w:t>
      </w:r>
      <w:r w:rsidR="007B2663" w:rsidRPr="0033456F">
        <w:tab/>
      </w:r>
      <w:r w:rsidR="003B31FF">
        <w:t>5</w:t>
      </w:r>
    </w:p>
    <w:p w14:paraId="7CB5DE3A" w14:textId="25EBD53C" w:rsidR="0033456F" w:rsidRPr="0033456F" w:rsidRDefault="007B2663" w:rsidP="007911D2">
      <w:pPr>
        <w:tabs>
          <w:tab w:val="left" w:pos="-1440"/>
          <w:tab w:val="left" w:pos="-720"/>
          <w:tab w:val="left" w:pos="0"/>
          <w:tab w:val="left" w:pos="720"/>
          <w:tab w:val="left" w:pos="1440"/>
          <w:tab w:val="right" w:leader="dot" w:pos="9360"/>
        </w:tabs>
      </w:pPr>
      <w:r>
        <w:tab/>
      </w:r>
      <w:r w:rsidR="0033456F" w:rsidRPr="0033456F">
        <w:t>Conclusions on Performance Criteria</w:t>
      </w:r>
      <w:r w:rsidR="0033456F" w:rsidRPr="0033456F">
        <w:tab/>
      </w:r>
      <w:r w:rsidR="003B31FF">
        <w:t>9</w:t>
      </w:r>
    </w:p>
    <w:p w14:paraId="681B3ED8" w14:textId="77777777" w:rsidR="0033456F" w:rsidRPr="0033456F" w:rsidRDefault="0033456F" w:rsidP="0033456F"/>
    <w:p w14:paraId="7846D455" w14:textId="77777777" w:rsidR="0033456F" w:rsidRPr="0033456F" w:rsidRDefault="0033456F" w:rsidP="0033456F">
      <w:pPr>
        <w:tabs>
          <w:tab w:val="left" w:pos="-1440"/>
        </w:tabs>
        <w:ind w:left="720" w:hanging="720"/>
      </w:pPr>
      <w:r w:rsidRPr="0033456F">
        <w:t>Appendix</w:t>
      </w:r>
    </w:p>
    <w:p w14:paraId="504CC859" w14:textId="254954F0" w:rsidR="0033456F" w:rsidRPr="0033456F" w:rsidRDefault="00F34B31" w:rsidP="0033456F">
      <w:pPr>
        <w:tabs>
          <w:tab w:val="left" w:pos="-1440"/>
          <w:tab w:val="left" w:pos="-720"/>
          <w:tab w:val="left" w:pos="0"/>
          <w:tab w:val="left" w:pos="720"/>
          <w:tab w:val="left" w:pos="1440"/>
          <w:tab w:val="right" w:leader="dot" w:pos="9360"/>
        </w:tabs>
        <w:ind w:left="1440" w:hanging="720"/>
      </w:pPr>
      <w:r>
        <w:t>Scope of Evalu</w:t>
      </w:r>
      <w:r w:rsidR="0033456F" w:rsidRPr="0033456F">
        <w:t>ation</w:t>
      </w:r>
      <w:r w:rsidR="0033456F" w:rsidRPr="0033456F">
        <w:tab/>
      </w:r>
      <w:r w:rsidR="003B31FF">
        <w:t>2</w:t>
      </w:r>
      <w:r w:rsidR="00CE726D">
        <w:t>5</w:t>
      </w:r>
    </w:p>
    <w:p w14:paraId="4CFDC6C2" w14:textId="3CE830BB" w:rsidR="00871151" w:rsidRDefault="00871151" w:rsidP="007B2663">
      <w:pPr>
        <w:tabs>
          <w:tab w:val="left" w:pos="-1440"/>
          <w:tab w:val="left" w:pos="-720"/>
          <w:tab w:val="left" w:pos="0"/>
          <w:tab w:val="left" w:pos="720"/>
          <w:tab w:val="left" w:pos="1440"/>
          <w:tab w:val="right" w:leader="dot" w:pos="9360"/>
        </w:tabs>
        <w:ind w:left="1440" w:hanging="720"/>
      </w:pPr>
      <w:r>
        <w:t>Division of Banks Fair Lending Policies and Procedures</w:t>
      </w:r>
      <w:r>
        <w:tab/>
      </w:r>
      <w:r w:rsidR="003B31FF">
        <w:t>2</w:t>
      </w:r>
      <w:r w:rsidR="00CE726D">
        <w:t>5</w:t>
      </w:r>
    </w:p>
    <w:p w14:paraId="3EBECCAE" w14:textId="4C8FAB72" w:rsidR="007B2663" w:rsidRPr="0033456F" w:rsidRDefault="007B2663" w:rsidP="007B2663">
      <w:pPr>
        <w:tabs>
          <w:tab w:val="left" w:pos="-1440"/>
          <w:tab w:val="left" w:pos="-720"/>
          <w:tab w:val="left" w:pos="0"/>
          <w:tab w:val="left" w:pos="720"/>
          <w:tab w:val="left" w:pos="1440"/>
          <w:tab w:val="right" w:leader="dot" w:pos="9360"/>
        </w:tabs>
        <w:ind w:left="1440" w:hanging="720"/>
      </w:pPr>
      <w:r w:rsidRPr="0033456F">
        <w:t>Glossary</w:t>
      </w:r>
      <w:r w:rsidRPr="0033456F">
        <w:tab/>
      </w:r>
      <w:r w:rsidR="00CE726D">
        <w:t>27</w:t>
      </w:r>
    </w:p>
    <w:p w14:paraId="38BEFEA3" w14:textId="77777777" w:rsidR="007B2663" w:rsidRPr="0033456F" w:rsidRDefault="007B2663" w:rsidP="0033456F">
      <w:pPr>
        <w:tabs>
          <w:tab w:val="left" w:pos="-1440"/>
          <w:tab w:val="left" w:pos="-720"/>
          <w:tab w:val="left" w:pos="0"/>
          <w:tab w:val="left" w:pos="720"/>
          <w:tab w:val="left" w:pos="1440"/>
          <w:tab w:val="right" w:leader="dot" w:pos="9360"/>
        </w:tabs>
        <w:ind w:left="1440" w:hanging="720"/>
      </w:pPr>
    </w:p>
    <w:p w14:paraId="123B7B60" w14:textId="77777777" w:rsidR="0099672C" w:rsidRPr="00161EC6" w:rsidRDefault="0099672C">
      <w:pPr>
        <w:sectPr w:rsidR="0099672C" w:rsidRPr="00161EC6">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pPr>
      <w:bookmarkStart w:id="0" w:name="_GoBack"/>
      <w:bookmarkEnd w:id="0"/>
    </w:p>
    <w:p w14:paraId="0EF8C248" w14:textId="77777777" w:rsidR="00D84391" w:rsidRPr="008D6B18" w:rsidRDefault="00D84391" w:rsidP="00D84391">
      <w:pPr>
        <w:keepNext/>
        <w:tabs>
          <w:tab w:val="left" w:pos="480"/>
          <w:tab w:val="left" w:pos="960"/>
          <w:tab w:val="left" w:pos="6840"/>
        </w:tabs>
        <w:jc w:val="center"/>
        <w:outlineLvl w:val="0"/>
        <w:rPr>
          <w:b/>
          <w:bCs/>
          <w:spacing w:val="-3"/>
          <w:sz w:val="28"/>
          <w:szCs w:val="20"/>
        </w:rPr>
      </w:pPr>
      <w:bookmarkStart w:id="1" w:name="_Toc40445650"/>
      <w:r w:rsidRPr="008D6B18">
        <w:rPr>
          <w:b/>
          <w:bCs/>
          <w:spacing w:val="-3"/>
          <w:sz w:val="28"/>
          <w:szCs w:val="20"/>
        </w:rPr>
        <w:lastRenderedPageBreak/>
        <w:t>INSTITUTION RATING</w:t>
      </w:r>
      <w:bookmarkEnd w:id="1"/>
    </w:p>
    <w:p w14:paraId="784204AB" w14:textId="77777777" w:rsidR="00D84391" w:rsidRPr="008D6B18" w:rsidRDefault="00D84391" w:rsidP="00D84391">
      <w:pPr>
        <w:rPr>
          <w:i/>
          <w:iCs/>
        </w:rPr>
      </w:pPr>
    </w:p>
    <w:p w14:paraId="17B9FD06" w14:textId="77777777" w:rsidR="00D84391" w:rsidRPr="008D6B18" w:rsidRDefault="00D84391" w:rsidP="00D84391">
      <w:proofErr w:type="gramStart"/>
      <w:r w:rsidRPr="008D6B18">
        <w:rPr>
          <w:b/>
          <w:bCs/>
        </w:rPr>
        <w:t>INSTITUTION’S</w:t>
      </w:r>
      <w:proofErr w:type="gramEnd"/>
      <w:r w:rsidRPr="008D6B18">
        <w:rPr>
          <w:b/>
          <w:bCs/>
        </w:rPr>
        <w:t xml:space="preserve"> CRA RATING:  </w:t>
      </w:r>
      <w:r w:rsidRPr="008D6B18">
        <w:t>This institution is rated</w:t>
      </w:r>
      <w:r w:rsidRPr="008D6B18">
        <w:rPr>
          <w:b/>
          <w:bCs/>
        </w:rPr>
        <w:t xml:space="preserve"> </w:t>
      </w:r>
      <w:sdt>
        <w:sdtPr>
          <w:rPr>
            <w:b/>
            <w:bCs/>
            <w:u w:val="single"/>
          </w:rPr>
          <w:alias w:val="CRA Ratings"/>
          <w:tag w:val="CRA Ratings"/>
          <w:id w:val="1613856217"/>
          <w:dropDownList>
            <w:listItem w:displayText="Select a Rating" w:value="Select a Rating"/>
            <w:listItem w:displayText="Outstanding" w:value="Outstanding"/>
            <w:listItem w:displayText="Satisfactory" w:value="Satisfactory"/>
            <w:listItem w:displayText="Needs to Improve" w:value="Needs to Improve"/>
            <w:listItem w:displayText="Substantial Noncompliance" w:value="Substantial Noncompliance"/>
          </w:dropDownList>
        </w:sdtPr>
        <w:sdtEndPr/>
        <w:sdtContent>
          <w:r w:rsidR="005459E0">
            <w:rPr>
              <w:b/>
              <w:bCs/>
              <w:u w:val="single"/>
            </w:rPr>
            <w:t>Satisfactory</w:t>
          </w:r>
        </w:sdtContent>
      </w:sdt>
      <w:r w:rsidRPr="008D6B18">
        <w:rPr>
          <w:b/>
          <w:bCs/>
        </w:rPr>
        <w:t xml:space="preserve">.  </w:t>
      </w:r>
    </w:p>
    <w:p w14:paraId="552C8E0B" w14:textId="77777777" w:rsidR="00D84391" w:rsidRPr="008D6B18" w:rsidRDefault="00D84391" w:rsidP="00D84391">
      <w:pPr>
        <w:contextualSpacing/>
        <w:rPr>
          <w:color w:val="0070C0"/>
        </w:rPr>
      </w:pPr>
    </w:p>
    <w:p w14:paraId="2952250C" w14:textId="641F2930" w:rsidR="00D84391" w:rsidRPr="00687F6D" w:rsidRDefault="00D84391" w:rsidP="00D84391">
      <w:r w:rsidRPr="00687F6D">
        <w:t xml:space="preserve">An institution in this group </w:t>
      </w:r>
      <w:sdt>
        <w:sdtPr>
          <w:alias w:val="Ratings Descriptions"/>
          <w:tag w:val="Ratings Descriptions"/>
          <w:id w:val="-272709703"/>
          <w:dropDownList>
            <w:listItem w:displayText="*Select a Rating Description*" w:value="*Select a Rating Description*"/>
            <w:listItem w:displayText="has an outstanding record of helping to meet the credit needs of its assessment area, including low- and moderate-income neighborhoods, in a manner consistent with its resources and capabilities." w:value="has an outstanding record of helping to meet the credit needs of its assessment area, including low- and moderate-income neighborhoods, in a manner consistent with its resources and capabilities."/>
            <w:listItem w:displayText="has a satisfactory record of helping to meet the credit needs of its assessment area, including low- and moderate-income neighborhoods, in a manner consistent with its resources and capabilities. " w:value="has a satisfactory record of helping to meet the credit needs of its assessment area, including low- and moderate-income neighborhoods, in a manner consistent with its resources and capabilities. "/>
            <w:listItem w:displayText="needs to improve its overall record of helping to meet the credit needs of its assessment area, including low- and moderate-income neighborhoods, in a manner consistent with its resources and capabilities. " w:value="needs to improve its overall record of helping to meet the credit needs of its assessment area, including low- and moderate-income neighborhoods, in a manner consistent with its resources and capabilities. "/>
            <w:listItem w:displayText="has a substantially deficient record of helping to meet the credit needs of its assessment area, including low- and moderate-income neighborhoods, in a manner consistent with its resources and capabilities." w:value="has a substantially deficient record of helping to meet the credit needs of its assessment area, including low- and moderate-income neighborhoods, in a manner consistent with its resources and capabilities."/>
          </w:dropDownList>
        </w:sdtPr>
        <w:sdtEndPr/>
        <w:sdtContent>
          <w:r w:rsidR="005459E0">
            <w:t xml:space="preserve">has a satisfactory record of helping to meet the credit needs of its assessment area, including low- and moderate-income neighborhoods, in a manner consistent with its resources and capabilities. </w:t>
          </w:r>
        </w:sdtContent>
      </w:sdt>
    </w:p>
    <w:p w14:paraId="4F640A29" w14:textId="77777777" w:rsidR="00D84391" w:rsidRPr="008D6B18" w:rsidRDefault="00D84391" w:rsidP="00D84391">
      <w:pPr>
        <w:contextualSpacing/>
        <w:rPr>
          <w:lang w:val="en"/>
        </w:rPr>
      </w:pPr>
    </w:p>
    <w:tbl>
      <w:tblPr>
        <w:tblW w:w="0" w:type="auto"/>
        <w:tblInd w:w="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16" w:type="dxa"/>
          <w:right w:w="216" w:type="dxa"/>
        </w:tblCellMar>
        <w:tblLook w:val="04A0" w:firstRow="1" w:lastRow="0" w:firstColumn="1" w:lastColumn="0" w:noHBand="0" w:noVBand="1"/>
      </w:tblPr>
      <w:tblGrid>
        <w:gridCol w:w="2160"/>
        <w:gridCol w:w="2160"/>
        <w:gridCol w:w="2160"/>
        <w:gridCol w:w="2160"/>
      </w:tblGrid>
      <w:tr w:rsidR="00D84391" w:rsidRPr="008D6B18" w14:paraId="7CEE6220" w14:textId="77777777" w:rsidTr="00CB3811">
        <w:trPr>
          <w:cantSplit/>
          <w:trHeight w:val="922"/>
        </w:trPr>
        <w:tc>
          <w:tcPr>
            <w:tcW w:w="2160" w:type="dxa"/>
            <w:vAlign w:val="center"/>
          </w:tcPr>
          <w:p w14:paraId="4BE6A7B4" w14:textId="77777777" w:rsidR="00D84391" w:rsidRPr="008D6B18" w:rsidRDefault="00D84391" w:rsidP="00CB3811">
            <w:pPr>
              <w:spacing w:line="216" w:lineRule="exact"/>
              <w:rPr>
                <w:sz w:val="20"/>
              </w:rPr>
            </w:pPr>
          </w:p>
          <w:p w14:paraId="6ABC71F0" w14:textId="77777777" w:rsidR="00D84391" w:rsidRPr="008D6B18" w:rsidRDefault="00D84391" w:rsidP="00CB3811">
            <w:pPr>
              <w:keepNext/>
              <w:keepLines/>
              <w:rPr>
                <w:b/>
                <w:sz w:val="20"/>
              </w:rPr>
            </w:pPr>
            <w:r w:rsidRPr="008D6B18">
              <w:rPr>
                <w:b/>
                <w:sz w:val="20"/>
              </w:rPr>
              <w:t>PERFORMANCE LEVELS</w:t>
            </w:r>
          </w:p>
        </w:tc>
        <w:tc>
          <w:tcPr>
            <w:tcW w:w="6480" w:type="dxa"/>
            <w:gridSpan w:val="3"/>
            <w:vAlign w:val="center"/>
          </w:tcPr>
          <w:p w14:paraId="5A6C0450" w14:textId="77777777" w:rsidR="00D84391" w:rsidRPr="008D6B18" w:rsidRDefault="00D84391" w:rsidP="00CB3811">
            <w:pPr>
              <w:keepNext/>
              <w:keepLines/>
              <w:jc w:val="center"/>
              <w:rPr>
                <w:sz w:val="20"/>
              </w:rPr>
            </w:pPr>
            <w:r w:rsidRPr="008D6B18">
              <w:rPr>
                <w:b/>
                <w:sz w:val="20"/>
              </w:rPr>
              <w:t>PERFORMANCE TESTS</w:t>
            </w:r>
          </w:p>
        </w:tc>
      </w:tr>
      <w:tr w:rsidR="00D84391" w:rsidRPr="008D6B18" w14:paraId="0517C713" w14:textId="77777777" w:rsidTr="00CB3811">
        <w:tc>
          <w:tcPr>
            <w:tcW w:w="2160" w:type="dxa"/>
            <w:shd w:val="clear" w:color="000000" w:fill="auto"/>
            <w:vAlign w:val="bottom"/>
          </w:tcPr>
          <w:p w14:paraId="6037697F" w14:textId="77777777" w:rsidR="00D84391" w:rsidRPr="008D6B18" w:rsidRDefault="00D84391" w:rsidP="00CB3811">
            <w:pPr>
              <w:spacing w:line="216" w:lineRule="exact"/>
              <w:rPr>
                <w:sz w:val="20"/>
              </w:rPr>
            </w:pPr>
          </w:p>
          <w:p w14:paraId="48D7215A" w14:textId="77777777" w:rsidR="00D84391" w:rsidRPr="008D6B18" w:rsidRDefault="00D84391" w:rsidP="00CB3811">
            <w:pPr>
              <w:keepNext/>
              <w:keepLines/>
              <w:jc w:val="center"/>
              <w:rPr>
                <w:b/>
                <w:sz w:val="20"/>
              </w:rPr>
            </w:pPr>
          </w:p>
        </w:tc>
        <w:tc>
          <w:tcPr>
            <w:tcW w:w="2160" w:type="dxa"/>
            <w:vAlign w:val="center"/>
          </w:tcPr>
          <w:p w14:paraId="002748F9" w14:textId="77777777" w:rsidR="00D84391" w:rsidRPr="008D6B18" w:rsidRDefault="00D84391" w:rsidP="00CB3811">
            <w:pPr>
              <w:keepNext/>
              <w:keepLines/>
              <w:jc w:val="center"/>
              <w:rPr>
                <w:b/>
                <w:sz w:val="20"/>
              </w:rPr>
            </w:pPr>
            <w:r w:rsidRPr="008D6B18">
              <w:rPr>
                <w:b/>
                <w:sz w:val="20"/>
              </w:rPr>
              <w:t>Lending Test*</w:t>
            </w:r>
          </w:p>
        </w:tc>
        <w:tc>
          <w:tcPr>
            <w:tcW w:w="2160" w:type="dxa"/>
            <w:vAlign w:val="center"/>
          </w:tcPr>
          <w:p w14:paraId="7E2732AC" w14:textId="77777777" w:rsidR="00D84391" w:rsidRPr="008D6B18" w:rsidRDefault="00D84391" w:rsidP="00CB3811">
            <w:pPr>
              <w:keepNext/>
              <w:keepLines/>
              <w:jc w:val="center"/>
              <w:rPr>
                <w:b/>
                <w:sz w:val="20"/>
              </w:rPr>
            </w:pPr>
            <w:r w:rsidRPr="008D6B18">
              <w:rPr>
                <w:b/>
                <w:sz w:val="20"/>
              </w:rPr>
              <w:t>Investment Test</w:t>
            </w:r>
          </w:p>
        </w:tc>
        <w:tc>
          <w:tcPr>
            <w:tcW w:w="2160" w:type="dxa"/>
            <w:vAlign w:val="center"/>
          </w:tcPr>
          <w:p w14:paraId="40CFF5DC" w14:textId="77777777" w:rsidR="00D84391" w:rsidRPr="008D6B18" w:rsidRDefault="00D84391" w:rsidP="00CB3811">
            <w:pPr>
              <w:keepNext/>
              <w:keepLines/>
              <w:jc w:val="center"/>
              <w:rPr>
                <w:sz w:val="20"/>
              </w:rPr>
            </w:pPr>
            <w:r w:rsidRPr="008D6B18">
              <w:rPr>
                <w:b/>
                <w:sz w:val="20"/>
              </w:rPr>
              <w:t>Service Test</w:t>
            </w:r>
          </w:p>
        </w:tc>
      </w:tr>
      <w:tr w:rsidR="00D84391" w:rsidRPr="008D6B18" w14:paraId="26B0EC05" w14:textId="77777777" w:rsidTr="00CB3811">
        <w:trPr>
          <w:trHeight w:val="511"/>
        </w:trPr>
        <w:tc>
          <w:tcPr>
            <w:tcW w:w="2160" w:type="dxa"/>
            <w:vAlign w:val="center"/>
            <w:hideMark/>
          </w:tcPr>
          <w:p w14:paraId="7C3CE8AF" w14:textId="77777777" w:rsidR="00D84391" w:rsidRPr="008D6B18" w:rsidRDefault="00D84391" w:rsidP="00CB3811">
            <w:pPr>
              <w:keepNext/>
              <w:keepLines/>
              <w:rPr>
                <w:sz w:val="20"/>
              </w:rPr>
            </w:pPr>
            <w:r w:rsidRPr="008D6B18">
              <w:rPr>
                <w:sz w:val="20"/>
              </w:rPr>
              <w:t>Outstanding</w:t>
            </w:r>
          </w:p>
        </w:tc>
        <w:tc>
          <w:tcPr>
            <w:tcW w:w="2160" w:type="dxa"/>
            <w:vAlign w:val="center"/>
          </w:tcPr>
          <w:p w14:paraId="47B77809" w14:textId="77777777" w:rsidR="00D84391" w:rsidRPr="008D6B18" w:rsidRDefault="00D84391" w:rsidP="00CB3811">
            <w:pPr>
              <w:keepNext/>
              <w:keepLines/>
              <w:jc w:val="center"/>
              <w:rPr>
                <w:sz w:val="20"/>
              </w:rPr>
            </w:pPr>
          </w:p>
        </w:tc>
        <w:tc>
          <w:tcPr>
            <w:tcW w:w="2160" w:type="dxa"/>
            <w:vAlign w:val="center"/>
          </w:tcPr>
          <w:p w14:paraId="6484D1DA" w14:textId="77777777" w:rsidR="00D84391" w:rsidRPr="008D6B18" w:rsidRDefault="00D84391" w:rsidP="00CB3811">
            <w:pPr>
              <w:keepNext/>
              <w:keepLines/>
              <w:jc w:val="center"/>
              <w:rPr>
                <w:sz w:val="20"/>
              </w:rPr>
            </w:pPr>
          </w:p>
        </w:tc>
        <w:tc>
          <w:tcPr>
            <w:tcW w:w="2160" w:type="dxa"/>
            <w:vAlign w:val="center"/>
          </w:tcPr>
          <w:p w14:paraId="56737734" w14:textId="77777777" w:rsidR="00D84391" w:rsidRPr="008D6B18" w:rsidRDefault="00D84391" w:rsidP="00CB3811">
            <w:pPr>
              <w:keepNext/>
              <w:keepLines/>
              <w:jc w:val="center"/>
              <w:rPr>
                <w:sz w:val="20"/>
              </w:rPr>
            </w:pPr>
          </w:p>
        </w:tc>
      </w:tr>
      <w:tr w:rsidR="00D84391" w:rsidRPr="008D6B18" w14:paraId="6F4BAFAC" w14:textId="77777777" w:rsidTr="00CB3811">
        <w:trPr>
          <w:trHeight w:val="529"/>
        </w:trPr>
        <w:tc>
          <w:tcPr>
            <w:tcW w:w="2160" w:type="dxa"/>
            <w:vAlign w:val="center"/>
            <w:hideMark/>
          </w:tcPr>
          <w:p w14:paraId="6C5B4565" w14:textId="77777777" w:rsidR="00D84391" w:rsidRPr="008D6B18" w:rsidRDefault="00D84391" w:rsidP="00CB3811">
            <w:pPr>
              <w:keepNext/>
              <w:keepLines/>
              <w:rPr>
                <w:sz w:val="20"/>
              </w:rPr>
            </w:pPr>
            <w:r w:rsidRPr="008D6B18">
              <w:rPr>
                <w:sz w:val="20"/>
              </w:rPr>
              <w:t>High Satisfactory</w:t>
            </w:r>
          </w:p>
        </w:tc>
        <w:tc>
          <w:tcPr>
            <w:tcW w:w="2160" w:type="dxa"/>
            <w:vAlign w:val="center"/>
          </w:tcPr>
          <w:p w14:paraId="04821BC5" w14:textId="77777777" w:rsidR="00D84391" w:rsidRPr="008D6B18" w:rsidRDefault="00D84391" w:rsidP="00CB3811">
            <w:pPr>
              <w:keepNext/>
              <w:keepLines/>
              <w:jc w:val="center"/>
              <w:rPr>
                <w:sz w:val="20"/>
              </w:rPr>
            </w:pPr>
          </w:p>
        </w:tc>
        <w:tc>
          <w:tcPr>
            <w:tcW w:w="2160" w:type="dxa"/>
            <w:vAlign w:val="center"/>
          </w:tcPr>
          <w:p w14:paraId="0E701396" w14:textId="77777777" w:rsidR="00D84391" w:rsidRPr="008D6B18" w:rsidRDefault="00D84391" w:rsidP="00CB3811">
            <w:pPr>
              <w:keepNext/>
              <w:keepLines/>
              <w:jc w:val="center"/>
              <w:rPr>
                <w:sz w:val="20"/>
              </w:rPr>
            </w:pPr>
            <w:r>
              <w:rPr>
                <w:sz w:val="20"/>
              </w:rPr>
              <w:t>X</w:t>
            </w:r>
          </w:p>
        </w:tc>
        <w:tc>
          <w:tcPr>
            <w:tcW w:w="2160" w:type="dxa"/>
            <w:vAlign w:val="center"/>
          </w:tcPr>
          <w:p w14:paraId="7CAC0BC0" w14:textId="77777777" w:rsidR="00D84391" w:rsidRPr="008D6B18" w:rsidRDefault="00D84391" w:rsidP="00CB3811">
            <w:pPr>
              <w:keepNext/>
              <w:keepLines/>
              <w:jc w:val="center"/>
              <w:rPr>
                <w:sz w:val="20"/>
              </w:rPr>
            </w:pPr>
            <w:r>
              <w:rPr>
                <w:sz w:val="20"/>
              </w:rPr>
              <w:t>X</w:t>
            </w:r>
          </w:p>
        </w:tc>
      </w:tr>
      <w:tr w:rsidR="00D84391" w:rsidRPr="008D6B18" w14:paraId="1577690A" w14:textId="77777777" w:rsidTr="00CB3811">
        <w:trPr>
          <w:trHeight w:val="511"/>
        </w:trPr>
        <w:tc>
          <w:tcPr>
            <w:tcW w:w="2160" w:type="dxa"/>
            <w:vAlign w:val="center"/>
            <w:hideMark/>
          </w:tcPr>
          <w:p w14:paraId="459F3B1E" w14:textId="77777777" w:rsidR="00D84391" w:rsidRPr="008D6B18" w:rsidRDefault="00D84391" w:rsidP="00CB3811">
            <w:pPr>
              <w:keepNext/>
              <w:keepLines/>
              <w:rPr>
                <w:sz w:val="20"/>
              </w:rPr>
            </w:pPr>
            <w:r w:rsidRPr="008D6B18">
              <w:rPr>
                <w:sz w:val="20"/>
              </w:rPr>
              <w:t>Satisfactory</w:t>
            </w:r>
            <w:r>
              <w:rPr>
                <w:sz w:val="20"/>
              </w:rPr>
              <w:t>**</w:t>
            </w:r>
          </w:p>
        </w:tc>
        <w:tc>
          <w:tcPr>
            <w:tcW w:w="2160" w:type="dxa"/>
            <w:vAlign w:val="center"/>
          </w:tcPr>
          <w:p w14:paraId="08ABBB74" w14:textId="77777777" w:rsidR="00D84391" w:rsidRPr="008D6B18" w:rsidRDefault="00D84391" w:rsidP="00CB3811">
            <w:pPr>
              <w:keepNext/>
              <w:keepLines/>
              <w:jc w:val="center"/>
              <w:rPr>
                <w:sz w:val="20"/>
              </w:rPr>
            </w:pPr>
            <w:r>
              <w:rPr>
                <w:sz w:val="20"/>
              </w:rPr>
              <w:t>X</w:t>
            </w:r>
          </w:p>
        </w:tc>
        <w:tc>
          <w:tcPr>
            <w:tcW w:w="2160" w:type="dxa"/>
            <w:vAlign w:val="center"/>
          </w:tcPr>
          <w:p w14:paraId="3F43048B" w14:textId="77777777" w:rsidR="00D84391" w:rsidRPr="008D6B18" w:rsidRDefault="00D84391" w:rsidP="00CB3811">
            <w:pPr>
              <w:keepNext/>
              <w:keepLines/>
              <w:jc w:val="center"/>
              <w:rPr>
                <w:sz w:val="20"/>
              </w:rPr>
            </w:pPr>
          </w:p>
        </w:tc>
        <w:tc>
          <w:tcPr>
            <w:tcW w:w="2160" w:type="dxa"/>
            <w:vAlign w:val="center"/>
          </w:tcPr>
          <w:p w14:paraId="09121334" w14:textId="77777777" w:rsidR="00D84391" w:rsidRPr="008D6B18" w:rsidRDefault="00D84391" w:rsidP="00CB3811">
            <w:pPr>
              <w:keepNext/>
              <w:keepLines/>
              <w:jc w:val="center"/>
              <w:rPr>
                <w:sz w:val="20"/>
              </w:rPr>
            </w:pPr>
          </w:p>
        </w:tc>
      </w:tr>
      <w:tr w:rsidR="00D84391" w:rsidRPr="008D6B18" w14:paraId="0ACCA372" w14:textId="77777777" w:rsidTr="00CB3811">
        <w:trPr>
          <w:trHeight w:val="520"/>
        </w:trPr>
        <w:tc>
          <w:tcPr>
            <w:tcW w:w="2160" w:type="dxa"/>
            <w:vAlign w:val="center"/>
            <w:hideMark/>
          </w:tcPr>
          <w:p w14:paraId="2105727C" w14:textId="77777777" w:rsidR="00D84391" w:rsidRPr="008D6B18" w:rsidRDefault="00D84391" w:rsidP="00CB3811">
            <w:pPr>
              <w:keepNext/>
              <w:keepLines/>
              <w:rPr>
                <w:sz w:val="20"/>
              </w:rPr>
            </w:pPr>
            <w:r w:rsidRPr="008D6B18">
              <w:rPr>
                <w:sz w:val="20"/>
              </w:rPr>
              <w:t>Needs to Improve</w:t>
            </w:r>
          </w:p>
        </w:tc>
        <w:tc>
          <w:tcPr>
            <w:tcW w:w="2160" w:type="dxa"/>
            <w:vAlign w:val="center"/>
          </w:tcPr>
          <w:p w14:paraId="6905CE52" w14:textId="77777777" w:rsidR="00D84391" w:rsidRPr="008D6B18" w:rsidRDefault="00D84391" w:rsidP="00CB3811">
            <w:pPr>
              <w:keepNext/>
              <w:keepLines/>
              <w:jc w:val="center"/>
              <w:rPr>
                <w:sz w:val="20"/>
              </w:rPr>
            </w:pPr>
          </w:p>
        </w:tc>
        <w:tc>
          <w:tcPr>
            <w:tcW w:w="2160" w:type="dxa"/>
            <w:vAlign w:val="center"/>
          </w:tcPr>
          <w:p w14:paraId="1EC90060" w14:textId="77777777" w:rsidR="00D84391" w:rsidRPr="008D6B18" w:rsidRDefault="00D84391" w:rsidP="00CB3811">
            <w:pPr>
              <w:keepNext/>
              <w:keepLines/>
              <w:jc w:val="center"/>
              <w:rPr>
                <w:sz w:val="20"/>
              </w:rPr>
            </w:pPr>
          </w:p>
        </w:tc>
        <w:tc>
          <w:tcPr>
            <w:tcW w:w="2160" w:type="dxa"/>
            <w:vAlign w:val="center"/>
          </w:tcPr>
          <w:p w14:paraId="20201B86" w14:textId="77777777" w:rsidR="00D84391" w:rsidRPr="008D6B18" w:rsidRDefault="00D84391" w:rsidP="00CB3811">
            <w:pPr>
              <w:keepNext/>
              <w:keepLines/>
              <w:jc w:val="center"/>
              <w:rPr>
                <w:sz w:val="20"/>
              </w:rPr>
            </w:pPr>
          </w:p>
        </w:tc>
      </w:tr>
      <w:tr w:rsidR="00D84391" w:rsidRPr="008D6B18" w14:paraId="627821C4" w14:textId="77777777" w:rsidTr="00CB3811">
        <w:trPr>
          <w:trHeight w:val="520"/>
        </w:trPr>
        <w:tc>
          <w:tcPr>
            <w:tcW w:w="2160" w:type="dxa"/>
            <w:vAlign w:val="center"/>
            <w:hideMark/>
          </w:tcPr>
          <w:p w14:paraId="67A715FE" w14:textId="77777777" w:rsidR="00D84391" w:rsidRPr="008D6B18" w:rsidRDefault="00D84391" w:rsidP="00CB3811">
            <w:pPr>
              <w:keepNext/>
              <w:keepLines/>
              <w:rPr>
                <w:sz w:val="20"/>
              </w:rPr>
            </w:pPr>
            <w:r w:rsidRPr="008D6B18">
              <w:rPr>
                <w:sz w:val="20"/>
              </w:rPr>
              <w:t>Substantial Noncompliance</w:t>
            </w:r>
          </w:p>
        </w:tc>
        <w:tc>
          <w:tcPr>
            <w:tcW w:w="2160" w:type="dxa"/>
            <w:vAlign w:val="center"/>
          </w:tcPr>
          <w:p w14:paraId="1003995A" w14:textId="77777777" w:rsidR="00D84391" w:rsidRPr="008D6B18" w:rsidRDefault="00D84391" w:rsidP="00CB3811">
            <w:pPr>
              <w:keepNext/>
              <w:keepLines/>
              <w:jc w:val="center"/>
              <w:rPr>
                <w:sz w:val="20"/>
              </w:rPr>
            </w:pPr>
          </w:p>
        </w:tc>
        <w:tc>
          <w:tcPr>
            <w:tcW w:w="2160" w:type="dxa"/>
            <w:vAlign w:val="center"/>
          </w:tcPr>
          <w:p w14:paraId="751ED0A2" w14:textId="77777777" w:rsidR="00D84391" w:rsidRPr="008D6B18" w:rsidRDefault="00D84391" w:rsidP="00CB3811">
            <w:pPr>
              <w:keepNext/>
              <w:keepLines/>
              <w:jc w:val="center"/>
              <w:rPr>
                <w:sz w:val="20"/>
              </w:rPr>
            </w:pPr>
          </w:p>
        </w:tc>
        <w:tc>
          <w:tcPr>
            <w:tcW w:w="2160" w:type="dxa"/>
            <w:vAlign w:val="center"/>
          </w:tcPr>
          <w:p w14:paraId="3A36C6DF" w14:textId="77777777" w:rsidR="00D84391" w:rsidRPr="008D6B18" w:rsidRDefault="00D84391" w:rsidP="00CB3811">
            <w:pPr>
              <w:keepNext/>
              <w:keepLines/>
              <w:jc w:val="center"/>
              <w:rPr>
                <w:sz w:val="20"/>
              </w:rPr>
            </w:pPr>
          </w:p>
        </w:tc>
      </w:tr>
      <w:tr w:rsidR="00D84391" w:rsidRPr="008D6B18" w14:paraId="5BF71BA0" w14:textId="77777777" w:rsidTr="00CB3811">
        <w:trPr>
          <w:trHeight w:val="520"/>
        </w:trPr>
        <w:tc>
          <w:tcPr>
            <w:tcW w:w="8640" w:type="dxa"/>
            <w:gridSpan w:val="4"/>
            <w:vAlign w:val="center"/>
          </w:tcPr>
          <w:p w14:paraId="35B4445B" w14:textId="77777777" w:rsidR="00D84391" w:rsidRDefault="00D84391" w:rsidP="00CB3811">
            <w:pPr>
              <w:keepNext/>
              <w:keepLines/>
              <w:rPr>
                <w:i/>
                <w:sz w:val="20"/>
              </w:rPr>
            </w:pPr>
            <w:r w:rsidRPr="008D6B18">
              <w:rPr>
                <w:sz w:val="20"/>
              </w:rPr>
              <w:t xml:space="preserve">* </w:t>
            </w:r>
            <w:r>
              <w:rPr>
                <w:i/>
                <w:sz w:val="20"/>
              </w:rPr>
              <w:t xml:space="preserve">The Lending Test </w:t>
            </w:r>
            <w:r w:rsidRPr="008D6B18">
              <w:rPr>
                <w:i/>
                <w:sz w:val="20"/>
              </w:rPr>
              <w:t>weighted more heavily than the Investment and Service Tests when arriving at an overall rating.</w:t>
            </w:r>
          </w:p>
          <w:p w14:paraId="5FAF1CF7" w14:textId="77777777" w:rsidR="00D84391" w:rsidRPr="008D6B18" w:rsidRDefault="00D84391" w:rsidP="00CB3811">
            <w:pPr>
              <w:keepNext/>
              <w:keepLines/>
              <w:rPr>
                <w:sz w:val="20"/>
              </w:rPr>
            </w:pPr>
            <w:r w:rsidRPr="00A05EFE">
              <w:rPr>
                <w:sz w:val="20"/>
              </w:rPr>
              <w:t>**</w:t>
            </w:r>
            <w:r w:rsidRPr="00BC20EE">
              <w:rPr>
                <w:i/>
                <w:sz w:val="20"/>
              </w:rPr>
              <w:t xml:space="preserve"> FDIC rules and regulations stipulate use of a “high satisfactory” and “low satisfactory” rating for the three tests.  This jointly issued public evaluation uses the terms “satisfactory” in lieu of “low satisfactory” for the Lending, Investment, and Service Test ratings, as the Division does not have a “low satisfactory” rating.</w:t>
            </w:r>
          </w:p>
        </w:tc>
      </w:tr>
    </w:tbl>
    <w:p w14:paraId="31EBB88B" w14:textId="77777777" w:rsidR="00D84391" w:rsidRPr="008D6B18" w:rsidRDefault="00D84391" w:rsidP="00D84391">
      <w:pPr>
        <w:ind w:left="720"/>
        <w:contextualSpacing/>
        <w:rPr>
          <w:color w:val="0070C0"/>
        </w:rPr>
      </w:pPr>
    </w:p>
    <w:p w14:paraId="3B138A28" w14:textId="77777777" w:rsidR="00D84391" w:rsidRPr="008D6B18" w:rsidRDefault="00D84391" w:rsidP="00D84391">
      <w:pPr>
        <w:rPr>
          <w:b/>
          <w:bCs/>
        </w:rPr>
      </w:pPr>
      <w:r w:rsidRPr="008D6B18">
        <w:rPr>
          <w:b/>
          <w:bCs/>
        </w:rPr>
        <w:t xml:space="preserve">The Lending Test </w:t>
      </w:r>
      <w:proofErr w:type="gramStart"/>
      <w:r w:rsidRPr="008D6B18">
        <w:rPr>
          <w:b/>
          <w:bCs/>
        </w:rPr>
        <w:t>is rated</w:t>
      </w:r>
      <w:proofErr w:type="gramEnd"/>
      <w:r w:rsidRPr="00BF2B47">
        <w:rPr>
          <w:b/>
          <w:bCs/>
        </w:rPr>
        <w:t xml:space="preserve"> </w:t>
      </w:r>
      <w:r w:rsidRPr="00BF2B47">
        <w:rPr>
          <w:b/>
          <w:bCs/>
          <w:u w:val="single"/>
        </w:rPr>
        <w:t>Satisfactory</w:t>
      </w:r>
      <w:r w:rsidRPr="008D6B18">
        <w:rPr>
          <w:b/>
          <w:bCs/>
        </w:rPr>
        <w:t>.</w:t>
      </w:r>
    </w:p>
    <w:p w14:paraId="77A7FC51" w14:textId="77777777" w:rsidR="00D84391" w:rsidRDefault="00D84391" w:rsidP="00D84391">
      <w:pPr>
        <w:rPr>
          <w:snapToGrid w:val="0"/>
        </w:rPr>
      </w:pPr>
    </w:p>
    <w:p w14:paraId="02879CD3" w14:textId="77777777" w:rsidR="00D84391" w:rsidRPr="00BF7B86" w:rsidRDefault="00D84391" w:rsidP="00D84391">
      <w:pPr>
        <w:numPr>
          <w:ilvl w:val="0"/>
          <w:numId w:val="13"/>
        </w:numPr>
        <w:tabs>
          <w:tab w:val="clear" w:pos="360"/>
        </w:tabs>
        <w:ind w:left="720"/>
        <w:rPr>
          <w:snapToGrid w:val="0"/>
        </w:rPr>
      </w:pPr>
      <w:r w:rsidRPr="00BF7B86">
        <w:rPr>
          <w:snapToGrid w:val="0"/>
        </w:rPr>
        <w:t xml:space="preserve">Lending levels reflect </w:t>
      </w:r>
      <w:r>
        <w:rPr>
          <w:snapToGrid w:val="0"/>
        </w:rPr>
        <w:t>adequate</w:t>
      </w:r>
      <w:r w:rsidRPr="00BF7B86">
        <w:rPr>
          <w:snapToGrid w:val="0"/>
        </w:rPr>
        <w:t xml:space="preserve"> responsiveness to assessment area credit needs.  </w:t>
      </w:r>
    </w:p>
    <w:p w14:paraId="2798059F" w14:textId="77777777" w:rsidR="00D84391" w:rsidRPr="00BF7B86" w:rsidRDefault="00D84391" w:rsidP="00D84391">
      <w:pPr>
        <w:rPr>
          <w:snapToGrid w:val="0"/>
        </w:rPr>
      </w:pPr>
    </w:p>
    <w:p w14:paraId="0E1C7CBC" w14:textId="77777777" w:rsidR="00D84391" w:rsidRPr="00BF7B86" w:rsidRDefault="00D84391" w:rsidP="00D84391">
      <w:pPr>
        <w:numPr>
          <w:ilvl w:val="0"/>
          <w:numId w:val="13"/>
        </w:numPr>
        <w:tabs>
          <w:tab w:val="clear" w:pos="360"/>
        </w:tabs>
        <w:ind w:left="720"/>
        <w:rPr>
          <w:b/>
          <w:bCs/>
          <w:snapToGrid w:val="0"/>
        </w:rPr>
      </w:pPr>
      <w:r w:rsidRPr="00BF7B86">
        <w:rPr>
          <w:snapToGrid w:val="0"/>
        </w:rPr>
        <w:t xml:space="preserve">An </w:t>
      </w:r>
      <w:r>
        <w:rPr>
          <w:snapToGrid w:val="0"/>
        </w:rPr>
        <w:t>adequate</w:t>
      </w:r>
      <w:r w:rsidRPr="00BF7B86">
        <w:rPr>
          <w:snapToGrid w:val="0"/>
        </w:rPr>
        <w:t xml:space="preserve"> percentage of loans </w:t>
      </w:r>
      <w:proofErr w:type="gramStart"/>
      <w:r w:rsidRPr="00BF7B86">
        <w:rPr>
          <w:snapToGrid w:val="0"/>
        </w:rPr>
        <w:t>are made</w:t>
      </w:r>
      <w:proofErr w:type="gramEnd"/>
      <w:r w:rsidRPr="00BF7B86">
        <w:rPr>
          <w:snapToGrid w:val="0"/>
        </w:rPr>
        <w:t xml:space="preserve"> in the institution’s assessment area.</w:t>
      </w:r>
    </w:p>
    <w:p w14:paraId="75E9E5DA" w14:textId="77777777" w:rsidR="00D84391" w:rsidRPr="00BF7B86" w:rsidRDefault="00D84391" w:rsidP="00D84391">
      <w:pPr>
        <w:rPr>
          <w:b/>
          <w:bCs/>
          <w:snapToGrid w:val="0"/>
        </w:rPr>
      </w:pPr>
    </w:p>
    <w:p w14:paraId="2923C6D2" w14:textId="390FB324" w:rsidR="00D84391" w:rsidRPr="00BF7B86" w:rsidRDefault="00D84391" w:rsidP="00D84391">
      <w:pPr>
        <w:numPr>
          <w:ilvl w:val="0"/>
          <w:numId w:val="13"/>
        </w:numPr>
        <w:tabs>
          <w:tab w:val="clear" w:pos="360"/>
        </w:tabs>
        <w:ind w:left="720"/>
        <w:rPr>
          <w:b/>
          <w:bCs/>
          <w:snapToGrid w:val="0"/>
        </w:rPr>
      </w:pPr>
      <w:r w:rsidRPr="00BF7B86">
        <w:rPr>
          <w:snapToGrid w:val="0"/>
        </w:rPr>
        <w:t>The geographic distribution of loans reflects</w:t>
      </w:r>
      <w:r w:rsidRPr="00DD161B">
        <w:rPr>
          <w:snapToGrid w:val="0"/>
        </w:rPr>
        <w:t xml:space="preserve"> </w:t>
      </w:r>
      <w:r w:rsidR="00D52F86">
        <w:rPr>
          <w:snapToGrid w:val="0"/>
        </w:rPr>
        <w:t>adequate</w:t>
      </w:r>
      <w:r w:rsidR="00DD161B" w:rsidRPr="00DD161B">
        <w:rPr>
          <w:snapToGrid w:val="0"/>
        </w:rPr>
        <w:t xml:space="preserve"> </w:t>
      </w:r>
      <w:r w:rsidRPr="00BF7B86">
        <w:rPr>
          <w:snapToGrid w:val="0"/>
        </w:rPr>
        <w:t xml:space="preserve">penetration throughout the assessment area.  </w:t>
      </w:r>
    </w:p>
    <w:p w14:paraId="5C8F2C0C" w14:textId="77777777" w:rsidR="00D84391" w:rsidRPr="00BF7B86" w:rsidRDefault="00D84391" w:rsidP="00D84391">
      <w:pPr>
        <w:rPr>
          <w:b/>
          <w:bCs/>
          <w:snapToGrid w:val="0"/>
        </w:rPr>
      </w:pPr>
    </w:p>
    <w:p w14:paraId="7B99A651" w14:textId="77777777" w:rsidR="00D84391" w:rsidRPr="00BF7B86" w:rsidRDefault="00D84391" w:rsidP="00D84391">
      <w:pPr>
        <w:numPr>
          <w:ilvl w:val="0"/>
          <w:numId w:val="13"/>
        </w:numPr>
        <w:tabs>
          <w:tab w:val="clear" w:pos="360"/>
        </w:tabs>
        <w:ind w:left="720"/>
        <w:rPr>
          <w:b/>
          <w:bCs/>
          <w:snapToGrid w:val="0"/>
        </w:rPr>
      </w:pPr>
      <w:r w:rsidRPr="00BF7B86">
        <w:rPr>
          <w:snapToGrid w:val="0"/>
        </w:rPr>
        <w:t xml:space="preserve">The distribution of borrowers reflects, given the product lines offered by the institution, </w:t>
      </w:r>
      <w:r>
        <w:rPr>
          <w:snapToGrid w:val="0"/>
        </w:rPr>
        <w:t>good</w:t>
      </w:r>
      <w:r w:rsidRPr="00BF7B86">
        <w:rPr>
          <w:snapToGrid w:val="0"/>
        </w:rPr>
        <w:t xml:space="preserve"> penetration among retail customers of different income levels and business customers of different size. </w:t>
      </w:r>
    </w:p>
    <w:p w14:paraId="508E6916" w14:textId="77777777" w:rsidR="00D84391" w:rsidRPr="00BF7B86" w:rsidRDefault="00D84391" w:rsidP="00D84391">
      <w:pPr>
        <w:rPr>
          <w:b/>
          <w:bCs/>
          <w:snapToGrid w:val="0"/>
        </w:rPr>
      </w:pPr>
    </w:p>
    <w:p w14:paraId="02624DFB" w14:textId="77777777" w:rsidR="00D84391" w:rsidRDefault="00D84391" w:rsidP="00D84391">
      <w:pPr>
        <w:numPr>
          <w:ilvl w:val="0"/>
          <w:numId w:val="13"/>
        </w:numPr>
        <w:tabs>
          <w:tab w:val="clear" w:pos="360"/>
        </w:tabs>
        <w:ind w:left="720"/>
        <w:rPr>
          <w:b/>
          <w:bCs/>
          <w:snapToGrid w:val="0"/>
        </w:rPr>
      </w:pPr>
      <w:r w:rsidRPr="00BF7B86">
        <w:rPr>
          <w:snapToGrid w:val="0"/>
        </w:rPr>
        <w:t xml:space="preserve">The institution exhibits </w:t>
      </w:r>
      <w:r>
        <w:rPr>
          <w:snapToGrid w:val="0"/>
        </w:rPr>
        <w:t>adequate</w:t>
      </w:r>
      <w:r w:rsidRPr="00BF7B86">
        <w:rPr>
          <w:snapToGrid w:val="0"/>
        </w:rPr>
        <w:t xml:space="preserve"> record of serving the credit needs of the most economically disadvantaged areas of its assessment area, low-income individuals and/or very small businesses, consistent with </w:t>
      </w:r>
      <w:proofErr w:type="gramStart"/>
      <w:r w:rsidRPr="00BF7B86">
        <w:rPr>
          <w:snapToGrid w:val="0"/>
        </w:rPr>
        <w:t>safe and sound</w:t>
      </w:r>
      <w:proofErr w:type="gramEnd"/>
      <w:r w:rsidRPr="00BF7B86">
        <w:rPr>
          <w:snapToGrid w:val="0"/>
        </w:rPr>
        <w:t xml:space="preserve"> banking practices.</w:t>
      </w:r>
    </w:p>
    <w:p w14:paraId="1056599F" w14:textId="77777777" w:rsidR="00EA4565" w:rsidRDefault="00EA4565" w:rsidP="00EA4565">
      <w:pPr>
        <w:rPr>
          <w:i/>
          <w:iCs/>
        </w:rPr>
      </w:pPr>
    </w:p>
    <w:p w14:paraId="5BB8EE85" w14:textId="457F9BB2" w:rsidR="00D84391" w:rsidRPr="00B63F38" w:rsidRDefault="00D84391" w:rsidP="00D84391">
      <w:pPr>
        <w:numPr>
          <w:ilvl w:val="0"/>
          <w:numId w:val="13"/>
        </w:numPr>
        <w:tabs>
          <w:tab w:val="clear" w:pos="360"/>
        </w:tabs>
        <w:ind w:left="720"/>
        <w:rPr>
          <w:snapToGrid w:val="0"/>
        </w:rPr>
      </w:pPr>
      <w:r w:rsidRPr="00BF7B86">
        <w:rPr>
          <w:bCs/>
          <w:snapToGrid w:val="0"/>
        </w:rPr>
        <w:lastRenderedPageBreak/>
        <w:t>The institution uses innovative and</w:t>
      </w:r>
      <w:r>
        <w:rPr>
          <w:bCs/>
          <w:snapToGrid w:val="0"/>
        </w:rPr>
        <w:t>/or</w:t>
      </w:r>
      <w:r w:rsidRPr="00BF7B86">
        <w:rPr>
          <w:bCs/>
          <w:snapToGrid w:val="0"/>
        </w:rPr>
        <w:t xml:space="preserve"> flexible lending practices in order to ser</w:t>
      </w:r>
      <w:r w:rsidR="000701F4">
        <w:rPr>
          <w:bCs/>
          <w:snapToGrid w:val="0"/>
        </w:rPr>
        <w:t>ve assessment area credit needs</w:t>
      </w:r>
      <w:r w:rsidR="00B663CB">
        <w:rPr>
          <w:bCs/>
          <w:snapToGrid w:val="0"/>
        </w:rPr>
        <w:t>.</w:t>
      </w:r>
      <w:r w:rsidR="000701F4">
        <w:rPr>
          <w:bCs/>
          <w:snapToGrid w:val="0"/>
        </w:rPr>
        <w:t xml:space="preserve"> </w:t>
      </w:r>
    </w:p>
    <w:p w14:paraId="60A35947" w14:textId="77777777" w:rsidR="00D84391" w:rsidRPr="003248A7" w:rsidRDefault="00D84391" w:rsidP="00D84391">
      <w:pPr>
        <w:rPr>
          <w:b/>
          <w:bCs/>
          <w:snapToGrid w:val="0"/>
        </w:rPr>
      </w:pPr>
    </w:p>
    <w:p w14:paraId="75A4E762" w14:textId="4B84E696" w:rsidR="00D84391" w:rsidRPr="00BF7B86" w:rsidRDefault="00D84391" w:rsidP="00D84391">
      <w:pPr>
        <w:numPr>
          <w:ilvl w:val="0"/>
          <w:numId w:val="13"/>
        </w:numPr>
        <w:tabs>
          <w:tab w:val="clear" w:pos="360"/>
        </w:tabs>
        <w:ind w:left="720"/>
        <w:rPr>
          <w:b/>
          <w:bCs/>
          <w:snapToGrid w:val="0"/>
        </w:rPr>
      </w:pPr>
      <w:r w:rsidRPr="00BF7B86">
        <w:rPr>
          <w:bCs/>
          <w:snapToGrid w:val="0"/>
        </w:rPr>
        <w:t xml:space="preserve">The </w:t>
      </w:r>
      <w:proofErr w:type="gramStart"/>
      <w:r w:rsidRPr="00BF7B86">
        <w:rPr>
          <w:bCs/>
          <w:snapToGrid w:val="0"/>
        </w:rPr>
        <w:t>institution  made</w:t>
      </w:r>
      <w:proofErr w:type="gramEnd"/>
      <w:r w:rsidRPr="00BF7B86">
        <w:rPr>
          <w:bCs/>
          <w:snapToGrid w:val="0"/>
        </w:rPr>
        <w:t xml:space="preserve"> a relatively high level of community development loans.  </w:t>
      </w:r>
    </w:p>
    <w:p w14:paraId="524D9EB3" w14:textId="77777777" w:rsidR="00D84391" w:rsidRPr="00BF7B86" w:rsidRDefault="00D84391" w:rsidP="00D84391">
      <w:pPr>
        <w:ind w:left="720"/>
        <w:rPr>
          <w:snapToGrid w:val="0"/>
        </w:rPr>
      </w:pPr>
    </w:p>
    <w:p w14:paraId="06CE1BDD" w14:textId="77777777" w:rsidR="00D84391" w:rsidRPr="008D6B18" w:rsidRDefault="00D84391" w:rsidP="00D84391">
      <w:pPr>
        <w:rPr>
          <w:snapToGrid w:val="0"/>
        </w:rPr>
      </w:pPr>
    </w:p>
    <w:p w14:paraId="2C0F90CD" w14:textId="7774A2A0" w:rsidR="00D84391" w:rsidRDefault="00D84391" w:rsidP="00D84391">
      <w:pPr>
        <w:rPr>
          <w:b/>
          <w:bCs/>
        </w:rPr>
      </w:pPr>
      <w:r w:rsidRPr="008D6B18">
        <w:rPr>
          <w:b/>
          <w:bCs/>
        </w:rPr>
        <w:t xml:space="preserve">The Investment Test </w:t>
      </w:r>
      <w:proofErr w:type="gramStart"/>
      <w:r w:rsidRPr="008D6B18">
        <w:rPr>
          <w:b/>
          <w:bCs/>
        </w:rPr>
        <w:t>is rated</w:t>
      </w:r>
      <w:proofErr w:type="gramEnd"/>
      <w:r w:rsidRPr="008D6B18">
        <w:rPr>
          <w:b/>
          <w:bCs/>
        </w:rPr>
        <w:t xml:space="preserve"> </w:t>
      </w:r>
      <w:sdt>
        <w:sdtPr>
          <w:rPr>
            <w:b/>
            <w:bCs/>
            <w:u w:val="single"/>
          </w:rPr>
          <w:alias w:val="CRA Ratings"/>
          <w:tag w:val="CRA Ratings"/>
          <w:id w:val="-60484224"/>
          <w:dropDownList>
            <w:listItem w:displayText="Select a Rating" w:value="Select a Rating"/>
            <w:listItem w:displayText="Outstanding" w:value="Outstanding"/>
            <w:listItem w:displayText="High Satisfactory" w:value="High Satisfactory"/>
            <w:listItem w:displayText="Needs to Improve" w:value="Needs to Improve"/>
            <w:listItem w:displayText="Substantial Noncompliance" w:value="Substantial Noncompliance"/>
            <w:listItem w:displayText="Low Satisfactory" w:value="Low Satisfactory"/>
          </w:dropDownList>
        </w:sdtPr>
        <w:sdtEndPr/>
        <w:sdtContent>
          <w:r w:rsidR="005459E0">
            <w:rPr>
              <w:b/>
              <w:bCs/>
              <w:u w:val="single"/>
            </w:rPr>
            <w:t>High Satisfactory</w:t>
          </w:r>
        </w:sdtContent>
      </w:sdt>
      <w:r w:rsidRPr="008D6B18">
        <w:rPr>
          <w:b/>
          <w:bCs/>
        </w:rPr>
        <w:t>.</w:t>
      </w:r>
    </w:p>
    <w:p w14:paraId="6C32E60E" w14:textId="77777777" w:rsidR="00D84391" w:rsidRDefault="00D84391" w:rsidP="00D84391">
      <w:pPr>
        <w:rPr>
          <w:b/>
          <w:bCs/>
        </w:rPr>
      </w:pPr>
    </w:p>
    <w:p w14:paraId="77B0A244" w14:textId="77777777" w:rsidR="00D84391" w:rsidRPr="00DE64E5" w:rsidRDefault="00D84391" w:rsidP="00D84391">
      <w:pPr>
        <w:pStyle w:val="ListParagraph"/>
        <w:widowControl/>
        <w:numPr>
          <w:ilvl w:val="0"/>
          <w:numId w:val="24"/>
        </w:numPr>
        <w:contextualSpacing/>
        <w:rPr>
          <w:rFonts w:ascii="Times New Roman" w:hAnsi="Times New Roman" w:cs="Times New Roman"/>
        </w:rPr>
      </w:pPr>
      <w:r>
        <w:rPr>
          <w:rFonts w:ascii="Times New Roman" w:hAnsi="Times New Roman" w:cs="Times New Roman"/>
          <w:bCs/>
        </w:rPr>
        <w:t>The institution</w:t>
      </w:r>
      <w:r w:rsidR="00BF2B47">
        <w:rPr>
          <w:rFonts w:ascii="Times New Roman" w:hAnsi="Times New Roman" w:cs="Times New Roman"/>
          <w:bCs/>
        </w:rPr>
        <w:t xml:space="preserve"> has a significant</w:t>
      </w:r>
      <w:r w:rsidRPr="00233332">
        <w:rPr>
          <w:rFonts w:ascii="Times New Roman" w:hAnsi="Times New Roman" w:cs="Times New Roman"/>
          <w:bCs/>
        </w:rPr>
        <w:t xml:space="preserve"> level of qualified community development investments and grants, </w:t>
      </w:r>
      <w:r w:rsidR="00BF2B47">
        <w:rPr>
          <w:rFonts w:ascii="Times New Roman" w:hAnsi="Times New Roman" w:cs="Times New Roman"/>
          <w:bCs/>
        </w:rPr>
        <w:t xml:space="preserve">occasionally in a leadership position, particularly those that </w:t>
      </w:r>
      <w:proofErr w:type="gramStart"/>
      <w:r w:rsidR="00BF2B47">
        <w:rPr>
          <w:rFonts w:ascii="Times New Roman" w:hAnsi="Times New Roman" w:cs="Times New Roman"/>
          <w:bCs/>
        </w:rPr>
        <w:t>are not routinely provided</w:t>
      </w:r>
      <w:proofErr w:type="gramEnd"/>
      <w:r w:rsidR="00BF2B47">
        <w:rPr>
          <w:rFonts w:ascii="Times New Roman" w:hAnsi="Times New Roman" w:cs="Times New Roman"/>
          <w:bCs/>
        </w:rPr>
        <w:t xml:space="preserve"> by private investors.  </w:t>
      </w:r>
      <w:r w:rsidRPr="00233332">
        <w:rPr>
          <w:rFonts w:ascii="Times New Roman" w:hAnsi="Times New Roman" w:cs="Times New Roman"/>
          <w:bCs/>
        </w:rPr>
        <w:t xml:space="preserve"> </w:t>
      </w:r>
    </w:p>
    <w:p w14:paraId="4E4DFC38" w14:textId="77777777" w:rsidR="00D84391" w:rsidRPr="00DE64E5" w:rsidRDefault="00D84391" w:rsidP="00D84391">
      <w:pPr>
        <w:pStyle w:val="ListParagraph"/>
        <w:rPr>
          <w:rFonts w:ascii="Times New Roman" w:hAnsi="Times New Roman" w:cs="Times New Roman"/>
        </w:rPr>
      </w:pPr>
    </w:p>
    <w:p w14:paraId="20D1D161" w14:textId="77777777" w:rsidR="00D84391" w:rsidRPr="00DE64E5" w:rsidRDefault="00BF2B47" w:rsidP="00D84391">
      <w:pPr>
        <w:pStyle w:val="ListParagraph"/>
        <w:widowControl/>
        <w:numPr>
          <w:ilvl w:val="0"/>
          <w:numId w:val="24"/>
        </w:numPr>
        <w:contextualSpacing/>
        <w:rPr>
          <w:rFonts w:ascii="Times New Roman" w:hAnsi="Times New Roman" w:cs="Times New Roman"/>
        </w:rPr>
      </w:pPr>
      <w:r>
        <w:rPr>
          <w:rFonts w:ascii="Times New Roman" w:hAnsi="Times New Roman" w:cs="Times New Roman"/>
          <w:bCs/>
        </w:rPr>
        <w:t xml:space="preserve">The institution </w:t>
      </w:r>
      <w:r w:rsidR="00D84391" w:rsidRPr="00233332">
        <w:rPr>
          <w:rFonts w:ascii="Times New Roman" w:hAnsi="Times New Roman" w:cs="Times New Roman"/>
          <w:bCs/>
        </w:rPr>
        <w:t xml:space="preserve">exhibits adequate responsiveness to credit and community economic development needs.  </w:t>
      </w:r>
    </w:p>
    <w:p w14:paraId="2C5A3255" w14:textId="77777777" w:rsidR="00D84391" w:rsidRPr="00DE64E5" w:rsidRDefault="00D84391" w:rsidP="00D84391">
      <w:pPr>
        <w:pStyle w:val="ListParagraph"/>
        <w:rPr>
          <w:rFonts w:ascii="Times New Roman" w:hAnsi="Times New Roman" w:cs="Times New Roman"/>
        </w:rPr>
      </w:pPr>
    </w:p>
    <w:p w14:paraId="1B49B448" w14:textId="1F955A9E" w:rsidR="00D84391" w:rsidRPr="00DE64E5" w:rsidRDefault="00701692" w:rsidP="00D84391">
      <w:pPr>
        <w:pStyle w:val="ListParagraph"/>
        <w:widowControl/>
        <w:numPr>
          <w:ilvl w:val="0"/>
          <w:numId w:val="24"/>
        </w:numPr>
        <w:contextualSpacing/>
        <w:rPr>
          <w:rFonts w:ascii="Times New Roman" w:hAnsi="Times New Roman" w:cs="Times New Roman"/>
        </w:rPr>
      </w:pPr>
      <w:r>
        <w:rPr>
          <w:rFonts w:ascii="Times New Roman" w:hAnsi="Times New Roman" w:cs="Times New Roman"/>
          <w:bCs/>
        </w:rPr>
        <w:t>The institution</w:t>
      </w:r>
      <w:r w:rsidR="00D84391" w:rsidRPr="00233332">
        <w:rPr>
          <w:rFonts w:ascii="Times New Roman" w:hAnsi="Times New Roman" w:cs="Times New Roman"/>
          <w:bCs/>
        </w:rPr>
        <w:t xml:space="preserve"> </w:t>
      </w:r>
      <w:proofErr w:type="spellStart"/>
      <w:r w:rsidR="000E68A0">
        <w:rPr>
          <w:rFonts w:ascii="Times New Roman" w:hAnsi="Times New Roman" w:cs="Times New Roman"/>
          <w:bCs/>
        </w:rPr>
        <w:t>occassionally</w:t>
      </w:r>
      <w:proofErr w:type="spellEnd"/>
      <w:r w:rsidR="00AF189B">
        <w:rPr>
          <w:rFonts w:ascii="Times New Roman" w:hAnsi="Times New Roman" w:cs="Times New Roman"/>
          <w:bCs/>
        </w:rPr>
        <w:t xml:space="preserve"> </w:t>
      </w:r>
      <w:r w:rsidR="00D84391" w:rsidRPr="00233332">
        <w:rPr>
          <w:rFonts w:ascii="Times New Roman" w:hAnsi="Times New Roman" w:cs="Times New Roman"/>
          <w:bCs/>
        </w:rPr>
        <w:t xml:space="preserve">uses innovative and/or complex investments to support community development initiatives.  </w:t>
      </w:r>
    </w:p>
    <w:p w14:paraId="7595F9FB" w14:textId="77777777" w:rsidR="00D84391" w:rsidRDefault="00D84391" w:rsidP="00D84391"/>
    <w:p w14:paraId="15A40B7F" w14:textId="77777777" w:rsidR="00D84391" w:rsidRDefault="00D84391" w:rsidP="00D84391"/>
    <w:p w14:paraId="5159BD9C" w14:textId="3C04FBD2" w:rsidR="00D84391" w:rsidRPr="008D6B18" w:rsidRDefault="00D84391" w:rsidP="00D84391">
      <w:r w:rsidRPr="008D6B18">
        <w:rPr>
          <w:b/>
          <w:bCs/>
        </w:rPr>
        <w:t xml:space="preserve">The Service Test </w:t>
      </w:r>
      <w:proofErr w:type="gramStart"/>
      <w:r w:rsidRPr="008D6B18">
        <w:rPr>
          <w:b/>
          <w:bCs/>
        </w:rPr>
        <w:t>is rated</w:t>
      </w:r>
      <w:proofErr w:type="gramEnd"/>
      <w:r w:rsidRPr="008D6B18">
        <w:rPr>
          <w:b/>
          <w:bCs/>
        </w:rPr>
        <w:t xml:space="preserve"> </w:t>
      </w:r>
      <w:sdt>
        <w:sdtPr>
          <w:rPr>
            <w:b/>
            <w:bCs/>
            <w:u w:val="single"/>
          </w:rPr>
          <w:alias w:val="CRA Ratings"/>
          <w:tag w:val="CRA Ratings"/>
          <w:id w:val="1032075689"/>
          <w:dropDownList>
            <w:listItem w:displayText="Select a Rating" w:value="Select a Rating"/>
            <w:listItem w:displayText="Outstanding" w:value="Outstanding"/>
            <w:listItem w:displayText="High Satisfactory" w:value="High Satisfactory"/>
            <w:listItem w:displayText="Needs to Improve" w:value="Needs to Improve"/>
            <w:listItem w:displayText="Substantial Noncompliance" w:value="Substantial Noncompliance"/>
            <w:listItem w:displayText="Low Satisfactory" w:value="Low Satisfactory"/>
          </w:dropDownList>
        </w:sdtPr>
        <w:sdtEndPr/>
        <w:sdtContent>
          <w:r w:rsidR="005459E0">
            <w:rPr>
              <w:b/>
              <w:bCs/>
              <w:u w:val="single"/>
            </w:rPr>
            <w:t>High Satisfactory</w:t>
          </w:r>
        </w:sdtContent>
      </w:sdt>
      <w:r w:rsidRPr="008D6B18">
        <w:rPr>
          <w:b/>
          <w:bCs/>
        </w:rPr>
        <w:t>.</w:t>
      </w:r>
    </w:p>
    <w:p w14:paraId="7ACBE588" w14:textId="77777777" w:rsidR="00D84391" w:rsidRDefault="00D84391" w:rsidP="00D84391"/>
    <w:p w14:paraId="7B3186C4" w14:textId="77777777" w:rsidR="00D84391" w:rsidRPr="00C01FDC" w:rsidRDefault="0074454B" w:rsidP="00D84391">
      <w:pPr>
        <w:pStyle w:val="ListParagraph"/>
        <w:widowControl/>
        <w:numPr>
          <w:ilvl w:val="0"/>
          <w:numId w:val="25"/>
        </w:numPr>
        <w:contextualSpacing/>
        <w:rPr>
          <w:rFonts w:ascii="Times New Roman" w:hAnsi="Times New Roman" w:cs="Times New Roman"/>
          <w:snapToGrid w:val="0"/>
        </w:rPr>
      </w:pPr>
      <w:r>
        <w:rPr>
          <w:rFonts w:ascii="Times New Roman" w:hAnsi="Times New Roman" w:cs="Times New Roman"/>
          <w:bCs/>
        </w:rPr>
        <w:t>D</w:t>
      </w:r>
      <w:r w:rsidR="00D84391" w:rsidRPr="00233332">
        <w:rPr>
          <w:rFonts w:ascii="Times New Roman" w:hAnsi="Times New Roman" w:cs="Times New Roman"/>
          <w:bCs/>
        </w:rPr>
        <w:t>elivery systems are reasonably accessible to</w:t>
      </w:r>
      <w:r>
        <w:rPr>
          <w:rFonts w:ascii="Times New Roman" w:hAnsi="Times New Roman" w:cs="Times New Roman"/>
          <w:bCs/>
        </w:rPr>
        <w:t xml:space="preserve"> essentially all portions of the institution’s</w:t>
      </w:r>
      <w:r w:rsidR="00D84391" w:rsidRPr="00233332">
        <w:rPr>
          <w:rFonts w:ascii="Times New Roman" w:hAnsi="Times New Roman" w:cs="Times New Roman"/>
          <w:bCs/>
        </w:rPr>
        <w:t xml:space="preserve"> assessment area.</w:t>
      </w:r>
    </w:p>
    <w:p w14:paraId="360C10DA" w14:textId="77777777" w:rsidR="00D84391" w:rsidRPr="00C01FDC" w:rsidRDefault="00D84391" w:rsidP="00D84391">
      <w:pPr>
        <w:pStyle w:val="ListParagraph"/>
        <w:rPr>
          <w:rFonts w:ascii="Times New Roman" w:hAnsi="Times New Roman" w:cs="Times New Roman"/>
          <w:snapToGrid w:val="0"/>
        </w:rPr>
      </w:pPr>
    </w:p>
    <w:p w14:paraId="07EF5A95" w14:textId="3CF2378D" w:rsidR="00D84391" w:rsidRPr="001B31BC" w:rsidRDefault="00D84391" w:rsidP="00D84391">
      <w:pPr>
        <w:pStyle w:val="ListParagraph"/>
        <w:widowControl/>
        <w:numPr>
          <w:ilvl w:val="0"/>
          <w:numId w:val="25"/>
        </w:numPr>
        <w:contextualSpacing/>
        <w:rPr>
          <w:rFonts w:ascii="Times New Roman" w:hAnsi="Times New Roman" w:cs="Times New Roman"/>
          <w:snapToGrid w:val="0"/>
        </w:rPr>
      </w:pPr>
      <w:r w:rsidRPr="00233332">
        <w:rPr>
          <w:rFonts w:ascii="Times New Roman" w:hAnsi="Times New Roman" w:cs="Times New Roman"/>
          <w:bCs/>
        </w:rPr>
        <w:t>To the exte</w:t>
      </w:r>
      <w:r w:rsidR="0074454B">
        <w:rPr>
          <w:rFonts w:ascii="Times New Roman" w:hAnsi="Times New Roman" w:cs="Times New Roman"/>
          <w:bCs/>
        </w:rPr>
        <w:t xml:space="preserve">nt changes have been made, the </w:t>
      </w:r>
      <w:proofErr w:type="gramStart"/>
      <w:r w:rsidR="0074454B">
        <w:rPr>
          <w:rFonts w:ascii="Times New Roman" w:hAnsi="Times New Roman" w:cs="Times New Roman"/>
          <w:bCs/>
        </w:rPr>
        <w:t>institution</w:t>
      </w:r>
      <w:r w:rsidRPr="00233332">
        <w:rPr>
          <w:rFonts w:ascii="Times New Roman" w:hAnsi="Times New Roman" w:cs="Times New Roman"/>
          <w:bCs/>
        </w:rPr>
        <w:t>’s</w:t>
      </w:r>
      <w:proofErr w:type="gramEnd"/>
      <w:r w:rsidRPr="00233332">
        <w:rPr>
          <w:rFonts w:ascii="Times New Roman" w:hAnsi="Times New Roman" w:cs="Times New Roman"/>
          <w:bCs/>
        </w:rPr>
        <w:t xml:space="preserve"> opening and closing of branches has</w:t>
      </w:r>
      <w:r w:rsidR="00E8665B">
        <w:rPr>
          <w:rFonts w:ascii="Times New Roman" w:hAnsi="Times New Roman" w:cs="Times New Roman"/>
          <w:bCs/>
        </w:rPr>
        <w:t xml:space="preserve"> generally</w:t>
      </w:r>
      <w:r w:rsidRPr="00233332">
        <w:rPr>
          <w:rFonts w:ascii="Times New Roman" w:hAnsi="Times New Roman" w:cs="Times New Roman"/>
          <w:bCs/>
        </w:rPr>
        <w:t xml:space="preserve"> not adversely affected the accessibility of its delivery systems, par</w:t>
      </w:r>
      <w:r w:rsidR="0074454B">
        <w:rPr>
          <w:rFonts w:ascii="Times New Roman" w:hAnsi="Times New Roman" w:cs="Times New Roman"/>
          <w:bCs/>
        </w:rPr>
        <w:t>ticularly in low- and moderate-</w:t>
      </w:r>
      <w:r w:rsidRPr="00233332">
        <w:rPr>
          <w:rFonts w:ascii="Times New Roman" w:hAnsi="Times New Roman" w:cs="Times New Roman"/>
          <w:bCs/>
        </w:rPr>
        <w:t xml:space="preserve">income geographies </w:t>
      </w:r>
      <w:r w:rsidR="0074454B">
        <w:rPr>
          <w:rFonts w:ascii="Times New Roman" w:hAnsi="Times New Roman" w:cs="Times New Roman"/>
          <w:bCs/>
        </w:rPr>
        <w:t xml:space="preserve">and/or to low- </w:t>
      </w:r>
      <w:r w:rsidRPr="00233332">
        <w:rPr>
          <w:rFonts w:ascii="Times New Roman" w:hAnsi="Times New Roman" w:cs="Times New Roman"/>
          <w:bCs/>
        </w:rPr>
        <w:t xml:space="preserve">and moderate-income individuals.  </w:t>
      </w:r>
    </w:p>
    <w:p w14:paraId="0472C260" w14:textId="77777777" w:rsidR="00D84391" w:rsidRPr="001B31BC" w:rsidRDefault="00D84391" w:rsidP="00D84391">
      <w:pPr>
        <w:pStyle w:val="ListParagraph"/>
        <w:rPr>
          <w:rFonts w:ascii="Times New Roman" w:hAnsi="Times New Roman" w:cs="Times New Roman"/>
          <w:snapToGrid w:val="0"/>
        </w:rPr>
      </w:pPr>
    </w:p>
    <w:p w14:paraId="419791D9" w14:textId="4B3F3F7F" w:rsidR="00D84391" w:rsidRPr="003F3171" w:rsidRDefault="00D84391" w:rsidP="00D84391">
      <w:pPr>
        <w:pStyle w:val="ListParagraph"/>
        <w:widowControl/>
        <w:numPr>
          <w:ilvl w:val="0"/>
          <w:numId w:val="25"/>
        </w:numPr>
        <w:contextualSpacing/>
        <w:rPr>
          <w:rFonts w:ascii="Times New Roman" w:hAnsi="Times New Roman" w:cs="Times New Roman"/>
          <w:snapToGrid w:val="0"/>
        </w:rPr>
      </w:pPr>
      <w:r w:rsidRPr="00233332">
        <w:rPr>
          <w:rFonts w:ascii="Times New Roman" w:hAnsi="Times New Roman" w:cs="Times New Roman"/>
          <w:iCs/>
          <w:color w:val="000000"/>
        </w:rPr>
        <w:t>Services, including, where appropriate, business hours, do not vary in a way that inconveniences portions of the ass</w:t>
      </w:r>
      <w:r w:rsidR="0074454B">
        <w:rPr>
          <w:rFonts w:ascii="Times New Roman" w:hAnsi="Times New Roman" w:cs="Times New Roman"/>
          <w:iCs/>
          <w:color w:val="000000"/>
        </w:rPr>
        <w:t xml:space="preserve">essment area, particularly low- </w:t>
      </w:r>
      <w:r w:rsidRPr="00233332">
        <w:rPr>
          <w:rFonts w:ascii="Times New Roman" w:hAnsi="Times New Roman" w:cs="Times New Roman"/>
          <w:iCs/>
          <w:color w:val="000000"/>
        </w:rPr>
        <w:t>and moderate-income geographies and</w:t>
      </w:r>
      <w:r w:rsidR="00B663CB">
        <w:rPr>
          <w:rFonts w:ascii="Times New Roman" w:hAnsi="Times New Roman" w:cs="Times New Roman"/>
          <w:iCs/>
          <w:color w:val="000000"/>
        </w:rPr>
        <w:t>/or</w:t>
      </w:r>
      <w:r w:rsidRPr="00233332">
        <w:rPr>
          <w:rFonts w:ascii="Times New Roman" w:hAnsi="Times New Roman" w:cs="Times New Roman"/>
          <w:iCs/>
          <w:color w:val="000000"/>
        </w:rPr>
        <w:t xml:space="preserve"> individuals.  </w:t>
      </w:r>
    </w:p>
    <w:p w14:paraId="6EC31BC7" w14:textId="77777777" w:rsidR="00D84391" w:rsidRPr="003F3171" w:rsidRDefault="00D84391" w:rsidP="00D84391">
      <w:pPr>
        <w:pStyle w:val="ListParagraph"/>
        <w:rPr>
          <w:rFonts w:ascii="Times New Roman" w:hAnsi="Times New Roman" w:cs="Times New Roman"/>
          <w:snapToGrid w:val="0"/>
        </w:rPr>
      </w:pPr>
    </w:p>
    <w:p w14:paraId="4E0D9B5A" w14:textId="77777777" w:rsidR="00D84391" w:rsidRPr="00C01FDC" w:rsidRDefault="00D84391" w:rsidP="00D84391">
      <w:pPr>
        <w:pStyle w:val="ListParagraph"/>
        <w:widowControl/>
        <w:numPr>
          <w:ilvl w:val="0"/>
          <w:numId w:val="25"/>
        </w:numPr>
        <w:contextualSpacing/>
        <w:rPr>
          <w:rFonts w:ascii="Times New Roman" w:hAnsi="Times New Roman" w:cs="Times New Roman"/>
          <w:snapToGrid w:val="0"/>
        </w:rPr>
      </w:pPr>
      <w:r>
        <w:rPr>
          <w:rFonts w:ascii="Times New Roman" w:hAnsi="Times New Roman" w:cs="Times New Roman"/>
          <w:snapToGrid w:val="0"/>
          <w:color w:val="000000"/>
          <w:lang w:eastAsia="x-none"/>
        </w:rPr>
        <w:t xml:space="preserve">The institution </w:t>
      </w:r>
      <w:r w:rsidRPr="00233332">
        <w:rPr>
          <w:rFonts w:ascii="Times New Roman" w:hAnsi="Times New Roman" w:cs="Times New Roman"/>
          <w:snapToGrid w:val="0"/>
          <w:color w:val="000000"/>
          <w:lang w:eastAsia="x-none"/>
        </w:rPr>
        <w:t>provide</w:t>
      </w:r>
      <w:r>
        <w:rPr>
          <w:rFonts w:ascii="Times New Roman" w:hAnsi="Times New Roman" w:cs="Times New Roman"/>
          <w:snapToGrid w:val="0"/>
          <w:color w:val="000000"/>
          <w:lang w:eastAsia="x-none"/>
        </w:rPr>
        <w:t>s a r</w:t>
      </w:r>
      <w:r w:rsidRPr="00233332">
        <w:rPr>
          <w:rFonts w:ascii="Times New Roman" w:hAnsi="Times New Roman" w:cs="Times New Roman"/>
          <w:snapToGrid w:val="0"/>
          <w:color w:val="000000"/>
          <w:lang w:eastAsia="x-none"/>
        </w:rPr>
        <w:t xml:space="preserve">elatively high level of community development services.  </w:t>
      </w:r>
    </w:p>
    <w:p w14:paraId="7B0DA17C" w14:textId="77777777" w:rsidR="00D84391" w:rsidRDefault="00D84391" w:rsidP="00D84391"/>
    <w:p w14:paraId="54F9116D" w14:textId="77777777" w:rsidR="00D84391" w:rsidRPr="008D6B18" w:rsidRDefault="00D84391" w:rsidP="00D84391"/>
    <w:p w14:paraId="721E5457" w14:textId="77777777" w:rsidR="00D84391" w:rsidRDefault="00D84391" w:rsidP="00D84391">
      <w:pPr>
        <w:widowControl w:val="0"/>
        <w:rPr>
          <w:bCs/>
          <w:snapToGrid w:val="0"/>
          <w:color w:val="000000"/>
          <w:lang w:eastAsia="x-none"/>
        </w:rPr>
      </w:pPr>
    </w:p>
    <w:p w14:paraId="10969454" w14:textId="77777777" w:rsidR="00D84391" w:rsidRDefault="00D84391" w:rsidP="00D84391">
      <w:pPr>
        <w:widowControl w:val="0"/>
        <w:rPr>
          <w:bCs/>
          <w:snapToGrid w:val="0"/>
          <w:color w:val="000000"/>
          <w:lang w:eastAsia="x-none"/>
        </w:rPr>
      </w:pPr>
    </w:p>
    <w:p w14:paraId="7BC524C4" w14:textId="77777777" w:rsidR="00D84391" w:rsidRDefault="00D84391" w:rsidP="00D84391">
      <w:pPr>
        <w:widowControl w:val="0"/>
        <w:rPr>
          <w:bCs/>
          <w:snapToGrid w:val="0"/>
          <w:color w:val="000000"/>
          <w:lang w:eastAsia="x-none"/>
        </w:rPr>
      </w:pPr>
    </w:p>
    <w:p w14:paraId="552073A1" w14:textId="77777777" w:rsidR="007B2663" w:rsidRPr="0074454B" w:rsidRDefault="007B2663" w:rsidP="007B2663">
      <w:pPr>
        <w:numPr>
          <w:ilvl w:val="0"/>
          <w:numId w:val="14"/>
        </w:numPr>
        <w:rPr>
          <w:snapToGrid w:val="0"/>
        </w:rPr>
        <w:sectPr w:rsidR="007B2663" w:rsidRPr="0074454B" w:rsidSect="007B2663">
          <w:headerReference w:type="default" r:id="rId18"/>
          <w:footerReference w:type="default" r:id="rId19"/>
          <w:pgSz w:w="12240" w:h="15840"/>
          <w:pgMar w:top="1440" w:right="1440" w:bottom="1440" w:left="1440" w:header="720" w:footer="720" w:gutter="0"/>
          <w:pgNumType w:start="1"/>
          <w:cols w:space="720"/>
          <w:docGrid w:linePitch="360"/>
        </w:sectPr>
      </w:pPr>
    </w:p>
    <w:p w14:paraId="5900CE37" w14:textId="77777777" w:rsidR="004A1A9F" w:rsidRPr="00161EC6" w:rsidRDefault="00B4706B" w:rsidP="004A1A9F">
      <w:pPr>
        <w:tabs>
          <w:tab w:val="left" w:pos="720"/>
          <w:tab w:val="left" w:pos="1440"/>
          <w:tab w:val="left" w:pos="2160"/>
          <w:tab w:val="left" w:pos="2880"/>
          <w:tab w:val="left" w:pos="3600"/>
          <w:tab w:val="left" w:pos="5328"/>
          <w:tab w:val="left" w:pos="11520"/>
        </w:tabs>
        <w:jc w:val="center"/>
        <w:rPr>
          <w:b/>
          <w:bCs/>
          <w:spacing w:val="-3"/>
          <w:sz w:val="28"/>
          <w:szCs w:val="28"/>
        </w:rPr>
      </w:pPr>
      <w:r w:rsidRPr="00161EC6">
        <w:rPr>
          <w:b/>
          <w:bCs/>
          <w:spacing w:val="-3"/>
          <w:sz w:val="28"/>
          <w:szCs w:val="28"/>
        </w:rPr>
        <w:lastRenderedPageBreak/>
        <w:t>SCOPE OF EVALUATION</w:t>
      </w:r>
    </w:p>
    <w:p w14:paraId="3F228105" w14:textId="5AB6D3E8" w:rsidR="004A1A9F" w:rsidRPr="00DA58D1" w:rsidRDefault="004A1A9F" w:rsidP="004A1A9F">
      <w:pPr>
        <w:keepNext/>
        <w:tabs>
          <w:tab w:val="left" w:pos="480"/>
          <w:tab w:val="left" w:pos="960"/>
          <w:tab w:val="left" w:pos="6840"/>
        </w:tabs>
        <w:outlineLvl w:val="0"/>
        <w:rPr>
          <w:b/>
          <w:bCs/>
          <w:spacing w:val="-3"/>
          <w:sz w:val="28"/>
          <w:szCs w:val="20"/>
        </w:rPr>
      </w:pPr>
    </w:p>
    <w:p w14:paraId="29BC851E" w14:textId="77777777" w:rsidR="004A1A9F" w:rsidRPr="008D6B18" w:rsidRDefault="004A1A9F" w:rsidP="004A1A9F">
      <w:pPr>
        <w:tabs>
          <w:tab w:val="left" w:pos="1260"/>
        </w:tabs>
        <w:rPr>
          <w:b/>
          <w:bCs/>
          <w:iCs/>
          <w:u w:val="single"/>
        </w:rPr>
      </w:pPr>
      <w:r w:rsidRPr="008D6B18">
        <w:rPr>
          <w:b/>
          <w:bCs/>
          <w:iCs/>
          <w:u w:val="single"/>
        </w:rPr>
        <w:t>General Information</w:t>
      </w:r>
    </w:p>
    <w:p w14:paraId="404BA3BE" w14:textId="77777777" w:rsidR="004A1A9F" w:rsidRDefault="004A1A9F" w:rsidP="004A1A9F">
      <w:pPr>
        <w:tabs>
          <w:tab w:val="left" w:pos="1260"/>
        </w:tabs>
        <w:rPr>
          <w:bCs/>
          <w:iCs/>
        </w:rPr>
      </w:pPr>
    </w:p>
    <w:p w14:paraId="30D593AE" w14:textId="687616B8" w:rsidR="004A1A9F" w:rsidRPr="007F4E39" w:rsidRDefault="004A1A9F" w:rsidP="004A1A9F">
      <w:pPr>
        <w:tabs>
          <w:tab w:val="left" w:pos="1260"/>
        </w:tabs>
        <w:rPr>
          <w:bCs/>
          <w:iCs/>
        </w:rPr>
      </w:pPr>
      <w:r w:rsidRPr="007F4E39">
        <w:rPr>
          <w:bCs/>
          <w:iCs/>
        </w:rPr>
        <w:t xml:space="preserve">This evaluation covers the period from the prior evaluation dated </w:t>
      </w:r>
      <w:r>
        <w:rPr>
          <w:bCs/>
          <w:iCs/>
        </w:rPr>
        <w:t>May 1</w:t>
      </w:r>
      <w:r w:rsidRPr="007F4E39">
        <w:rPr>
          <w:bCs/>
          <w:iCs/>
        </w:rPr>
        <w:t xml:space="preserve">, 2017, to the current evaluation dated </w:t>
      </w:r>
      <w:r>
        <w:rPr>
          <w:bCs/>
          <w:iCs/>
        </w:rPr>
        <w:t>April 27</w:t>
      </w:r>
      <w:r w:rsidRPr="007F4E39">
        <w:rPr>
          <w:bCs/>
          <w:iCs/>
        </w:rPr>
        <w:t>, 2020.  Examiners used the Interagency Large Institution Examination</w:t>
      </w:r>
      <w:r>
        <w:rPr>
          <w:bCs/>
          <w:iCs/>
        </w:rPr>
        <w:t xml:space="preserve"> Procedures to evaluate Northern Bank &amp; Trust Company’s (NBTC</w:t>
      </w:r>
      <w:r w:rsidRPr="007F4E39">
        <w:rPr>
          <w:bCs/>
          <w:iCs/>
        </w:rPr>
        <w:t>’s</w:t>
      </w:r>
      <w:r>
        <w:rPr>
          <w:bCs/>
          <w:iCs/>
        </w:rPr>
        <w:t>)</w:t>
      </w:r>
      <w:r w:rsidRPr="007F4E39">
        <w:rPr>
          <w:bCs/>
          <w:iCs/>
        </w:rPr>
        <w:t xml:space="preserve"> </w:t>
      </w:r>
      <w:r>
        <w:rPr>
          <w:bCs/>
          <w:iCs/>
        </w:rPr>
        <w:t xml:space="preserve">CRA </w:t>
      </w:r>
      <w:r w:rsidRPr="007F4E39">
        <w:rPr>
          <w:bCs/>
          <w:iCs/>
        </w:rPr>
        <w:t xml:space="preserve">performance.  </w:t>
      </w:r>
      <w:r w:rsidRPr="00A87BDE">
        <w:rPr>
          <w:bCs/>
          <w:iCs/>
        </w:rPr>
        <w:t>The procedures</w:t>
      </w:r>
      <w:r>
        <w:rPr>
          <w:bCs/>
          <w:iCs/>
        </w:rPr>
        <w:t xml:space="preserve"> include </w:t>
      </w:r>
      <w:r w:rsidRPr="00A87BDE">
        <w:rPr>
          <w:bCs/>
          <w:iCs/>
        </w:rPr>
        <w:t xml:space="preserve">the Lending, Investment, and Service Tests.  </w:t>
      </w:r>
      <w:r w:rsidRPr="00A87BDE">
        <w:t>Examiners used full-scope procedures to evaluate the bank’s</w:t>
      </w:r>
      <w:r>
        <w:t xml:space="preserve"> CRA</w:t>
      </w:r>
      <w:r w:rsidRPr="00A87BDE">
        <w:t xml:space="preserve"> performance</w:t>
      </w:r>
      <w:r>
        <w:t xml:space="preserve"> in its assessment area.</w:t>
      </w:r>
      <w:r w:rsidRPr="00A87BDE">
        <w:rPr>
          <w:color w:val="000000"/>
        </w:rPr>
        <w:t xml:space="preserve">  </w:t>
      </w:r>
      <w:r w:rsidRPr="007F4E39">
        <w:rPr>
          <w:bCs/>
          <w:iCs/>
        </w:rPr>
        <w:t xml:space="preserve">This evaluation does not include any lending activity performed by affiliates.  </w:t>
      </w:r>
    </w:p>
    <w:p w14:paraId="0C8F4405" w14:textId="77777777" w:rsidR="004A1A9F" w:rsidRPr="008D6B18" w:rsidRDefault="004A1A9F" w:rsidP="004A1A9F">
      <w:pPr>
        <w:tabs>
          <w:tab w:val="left" w:pos="1260"/>
        </w:tabs>
        <w:rPr>
          <w:bCs/>
          <w:iCs/>
        </w:rPr>
      </w:pPr>
    </w:p>
    <w:p w14:paraId="6F312411" w14:textId="77777777" w:rsidR="004A1A9F" w:rsidRPr="008D6B18" w:rsidRDefault="004A1A9F" w:rsidP="004A1A9F">
      <w:pPr>
        <w:tabs>
          <w:tab w:val="left" w:pos="1260"/>
        </w:tabs>
        <w:rPr>
          <w:b/>
          <w:bCs/>
          <w:iCs/>
          <w:u w:val="single"/>
        </w:rPr>
      </w:pPr>
      <w:r>
        <w:rPr>
          <w:b/>
          <w:bCs/>
          <w:iCs/>
          <w:u w:val="single"/>
        </w:rPr>
        <w:t>Loan Products</w:t>
      </w:r>
      <w:r w:rsidRPr="008D6B18">
        <w:rPr>
          <w:b/>
          <w:bCs/>
          <w:iCs/>
          <w:u w:val="single"/>
        </w:rPr>
        <w:t xml:space="preserve"> Reviewed</w:t>
      </w:r>
    </w:p>
    <w:p w14:paraId="4B419F7B" w14:textId="77777777" w:rsidR="004A1A9F" w:rsidRDefault="004A1A9F" w:rsidP="004A1A9F">
      <w:pPr>
        <w:tabs>
          <w:tab w:val="left" w:pos="1260"/>
        </w:tabs>
        <w:rPr>
          <w:bCs/>
          <w:iCs/>
          <w:color w:val="0070C0"/>
        </w:rPr>
      </w:pPr>
    </w:p>
    <w:p w14:paraId="2F8FFC8A" w14:textId="155276AD" w:rsidR="004A1A9F" w:rsidRPr="00AF189B" w:rsidRDefault="004A1A9F" w:rsidP="00AF189B">
      <w:pPr>
        <w:pStyle w:val="CommentText"/>
        <w:rPr>
          <w:sz w:val="24"/>
          <w:szCs w:val="24"/>
        </w:rPr>
      </w:pPr>
      <w:r w:rsidRPr="00AF189B">
        <w:rPr>
          <w:bCs/>
          <w:iCs/>
          <w:sz w:val="24"/>
          <w:szCs w:val="24"/>
        </w:rPr>
        <w:t>Examiners determined that the bank’s two major product lines are home mortgage and small business loans.  This conclusion considered the bank’s business strategy and the number and dollar volume of loans originated during the evaluation period.</w:t>
      </w:r>
      <w:r>
        <w:rPr>
          <w:bCs/>
          <w:iCs/>
        </w:rPr>
        <w:t xml:space="preserve">  </w:t>
      </w:r>
      <w:r w:rsidR="00AF189B" w:rsidRPr="00AF189B">
        <w:rPr>
          <w:sz w:val="24"/>
          <w:szCs w:val="24"/>
        </w:rPr>
        <w:t>Although the bank originated more residential mortgage loans by number</w:t>
      </w:r>
      <w:r w:rsidR="00CC6CBF">
        <w:rPr>
          <w:sz w:val="24"/>
          <w:szCs w:val="24"/>
        </w:rPr>
        <w:t xml:space="preserve"> and dollar</w:t>
      </w:r>
      <w:r w:rsidR="00AF189B" w:rsidRPr="00AF189B">
        <w:rPr>
          <w:sz w:val="24"/>
          <w:szCs w:val="24"/>
        </w:rPr>
        <w:t xml:space="preserve"> during the evaluation period than small business loans, the commercial loan portfolio (72.2 percent) </w:t>
      </w:r>
      <w:r w:rsidR="005A5B27">
        <w:rPr>
          <w:sz w:val="24"/>
          <w:szCs w:val="24"/>
        </w:rPr>
        <w:t>is larger</w:t>
      </w:r>
      <w:r w:rsidR="00AF189B" w:rsidRPr="00AF189B">
        <w:rPr>
          <w:sz w:val="24"/>
          <w:szCs w:val="24"/>
        </w:rPr>
        <w:t xml:space="preserve"> than the residential mortgage loan portfolio (15.4 percent).  Therefore, for this evaluation, </w:t>
      </w:r>
      <w:r w:rsidR="00CC6CBF">
        <w:rPr>
          <w:sz w:val="24"/>
          <w:szCs w:val="24"/>
        </w:rPr>
        <w:t xml:space="preserve">examiners weighted </w:t>
      </w:r>
      <w:r w:rsidR="00AF189B" w:rsidRPr="00AF189B">
        <w:rPr>
          <w:sz w:val="24"/>
          <w:szCs w:val="24"/>
        </w:rPr>
        <w:t xml:space="preserve">home mortgage and small business lending equally when determining overall conclusions.  </w:t>
      </w:r>
      <w:r w:rsidRPr="00AF189B">
        <w:rPr>
          <w:sz w:val="24"/>
          <w:szCs w:val="24"/>
        </w:rPr>
        <w:t xml:space="preserve">Small farm and consumer loans do not represent major product lines and provide no material support for conclusions or ratings; therefore, examiners did not analyze these loan types.  </w:t>
      </w:r>
    </w:p>
    <w:p w14:paraId="41D7FF38" w14:textId="77777777" w:rsidR="004A1A9F" w:rsidRDefault="004A1A9F" w:rsidP="004A1A9F">
      <w:pPr>
        <w:tabs>
          <w:tab w:val="left" w:pos="1260"/>
        </w:tabs>
        <w:rPr>
          <w:bCs/>
          <w:iCs/>
        </w:rPr>
      </w:pPr>
    </w:p>
    <w:p w14:paraId="1666CCF4" w14:textId="5BE0B1C8" w:rsidR="004A1A9F" w:rsidRPr="001649CD" w:rsidRDefault="004A1A9F" w:rsidP="004A1A9F">
      <w:pPr>
        <w:tabs>
          <w:tab w:val="left" w:pos="1260"/>
        </w:tabs>
        <w:rPr>
          <w:bCs/>
          <w:iCs/>
        </w:rPr>
      </w:pPr>
      <w:r w:rsidRPr="001649CD">
        <w:rPr>
          <w:bCs/>
          <w:iCs/>
        </w:rPr>
        <w:t xml:space="preserve">Examiners analyzed </w:t>
      </w:r>
      <w:r>
        <w:rPr>
          <w:bCs/>
          <w:iCs/>
        </w:rPr>
        <w:t xml:space="preserve">three years of loan data (2017, 2018 and 2019).  </w:t>
      </w:r>
      <w:r w:rsidR="00CD0C05" w:rsidRPr="00F26BA0">
        <w:rPr>
          <w:rFonts w:eastAsia="Calibri"/>
        </w:rPr>
        <w:t>Although the Assessment Area Concentration table presents activity for 2017, 2018, and 2019, examiners did not include 2017 data under the Geographic Distribution or Borrower Profile criteria, as</w:t>
      </w:r>
      <w:r w:rsidR="00CD0C05">
        <w:rPr>
          <w:bCs/>
          <w:iCs/>
        </w:rPr>
        <w:t xml:space="preserve"> examiners </w:t>
      </w:r>
      <w:r w:rsidRPr="001649CD">
        <w:rPr>
          <w:bCs/>
          <w:iCs/>
        </w:rPr>
        <w:t xml:space="preserve">did not identify any trends between 2017, 2018, and 2019 </w:t>
      </w:r>
      <w:r w:rsidRPr="001649CD">
        <w:rPr>
          <w:bCs/>
          <w:iCs/>
          <w:lang w:val="x-none"/>
        </w:rPr>
        <w:t>that materially affect</w:t>
      </w:r>
      <w:r>
        <w:rPr>
          <w:bCs/>
          <w:iCs/>
        </w:rPr>
        <w:t>ed</w:t>
      </w:r>
      <w:r>
        <w:rPr>
          <w:bCs/>
          <w:iCs/>
          <w:lang w:val="x-none"/>
        </w:rPr>
        <w:t xml:space="preserve"> conclusions</w:t>
      </w:r>
      <w:r w:rsidR="00A82F9F">
        <w:rPr>
          <w:bCs/>
          <w:iCs/>
        </w:rPr>
        <w:t xml:space="preserve">.  </w:t>
      </w:r>
      <w:r>
        <w:rPr>
          <w:bCs/>
          <w:iCs/>
        </w:rPr>
        <w:t xml:space="preserve">The </w:t>
      </w:r>
      <w:r w:rsidRPr="001649CD">
        <w:rPr>
          <w:bCs/>
          <w:iCs/>
          <w:lang w:val="x-none"/>
        </w:rPr>
        <w:t>2018 data, the most recent year for which aggregate data is available, contributed more weight to overall conclusions</w:t>
      </w:r>
      <w:r w:rsidR="00CD0C05">
        <w:rPr>
          <w:bCs/>
          <w:iCs/>
        </w:rPr>
        <w:t xml:space="preserve"> than other years</w:t>
      </w:r>
      <w:r w:rsidRPr="001649CD">
        <w:rPr>
          <w:bCs/>
          <w:iCs/>
          <w:lang w:val="x-none"/>
        </w:rPr>
        <w:t>.</w:t>
      </w:r>
      <w:r w:rsidRPr="001649CD">
        <w:rPr>
          <w:bCs/>
          <w:iCs/>
        </w:rPr>
        <w:t xml:space="preserve">  </w:t>
      </w:r>
    </w:p>
    <w:p w14:paraId="00D17CAB" w14:textId="77777777" w:rsidR="004A1A9F" w:rsidRDefault="004A1A9F" w:rsidP="004A1A9F">
      <w:pPr>
        <w:tabs>
          <w:tab w:val="left" w:pos="1260"/>
        </w:tabs>
        <w:rPr>
          <w:bCs/>
          <w:iCs/>
        </w:rPr>
      </w:pPr>
    </w:p>
    <w:p w14:paraId="7FA85F4B" w14:textId="6FE3624C" w:rsidR="004A1A9F" w:rsidRDefault="004A1A9F" w:rsidP="004A1A9F">
      <w:pPr>
        <w:tabs>
          <w:tab w:val="left" w:pos="1260"/>
        </w:tabs>
        <w:rPr>
          <w:bCs/>
          <w:iCs/>
        </w:rPr>
      </w:pPr>
      <w:r w:rsidRPr="00525A49">
        <w:rPr>
          <w:bCs/>
          <w:iCs/>
        </w:rPr>
        <w:t xml:space="preserve">This evaluation considered all home mortgage entries on the bank’s </w:t>
      </w:r>
      <w:r>
        <w:rPr>
          <w:bCs/>
          <w:iCs/>
        </w:rPr>
        <w:t xml:space="preserve">2017, </w:t>
      </w:r>
      <w:r w:rsidRPr="00525A49">
        <w:rPr>
          <w:bCs/>
          <w:iCs/>
        </w:rPr>
        <w:t>201</w:t>
      </w:r>
      <w:r>
        <w:rPr>
          <w:bCs/>
          <w:iCs/>
        </w:rPr>
        <w:t>8</w:t>
      </w:r>
      <w:r w:rsidRPr="00525A49">
        <w:rPr>
          <w:bCs/>
          <w:iCs/>
        </w:rPr>
        <w:t xml:space="preserve"> and 201</w:t>
      </w:r>
      <w:r>
        <w:rPr>
          <w:bCs/>
          <w:iCs/>
        </w:rPr>
        <w:t>9</w:t>
      </w:r>
      <w:r w:rsidRPr="00525A49">
        <w:rPr>
          <w:bCs/>
          <w:iCs/>
        </w:rPr>
        <w:t xml:space="preserve"> </w:t>
      </w:r>
      <w:r>
        <w:rPr>
          <w:bCs/>
          <w:iCs/>
        </w:rPr>
        <w:t>Home Mortgage Disclosure Act (HMDA)</w:t>
      </w:r>
      <w:r w:rsidRPr="00525A49">
        <w:rPr>
          <w:bCs/>
          <w:iCs/>
        </w:rPr>
        <w:t xml:space="preserve"> Loan Application Registers (LARs).  </w:t>
      </w:r>
      <w:r>
        <w:rPr>
          <w:bCs/>
          <w:iCs/>
        </w:rPr>
        <w:t xml:space="preserve">In 2017, the bank reported 298 total loans totaling approximately $180.3 million.  </w:t>
      </w:r>
      <w:r w:rsidRPr="00525A49">
        <w:rPr>
          <w:bCs/>
          <w:iCs/>
        </w:rPr>
        <w:t>In 201</w:t>
      </w:r>
      <w:r>
        <w:rPr>
          <w:bCs/>
          <w:iCs/>
        </w:rPr>
        <w:t>8</w:t>
      </w:r>
      <w:r w:rsidRPr="00525A49">
        <w:rPr>
          <w:bCs/>
          <w:iCs/>
        </w:rPr>
        <w:t xml:space="preserve">, the bank reported </w:t>
      </w:r>
      <w:r>
        <w:rPr>
          <w:bCs/>
          <w:iCs/>
        </w:rPr>
        <w:t>321</w:t>
      </w:r>
      <w:r w:rsidRPr="00525A49">
        <w:rPr>
          <w:bCs/>
          <w:iCs/>
        </w:rPr>
        <w:t xml:space="preserve"> loans totaling approximately $</w:t>
      </w:r>
      <w:r>
        <w:rPr>
          <w:bCs/>
          <w:iCs/>
        </w:rPr>
        <w:t>168.8</w:t>
      </w:r>
      <w:r w:rsidRPr="00525A49">
        <w:rPr>
          <w:bCs/>
          <w:iCs/>
        </w:rPr>
        <w:t xml:space="preserve"> million</w:t>
      </w:r>
      <w:r w:rsidRPr="008A2CBC">
        <w:rPr>
          <w:bCs/>
          <w:iCs/>
        </w:rPr>
        <w:t xml:space="preserve">.  </w:t>
      </w:r>
      <w:r w:rsidR="00090959" w:rsidRPr="008A2CBC">
        <w:rPr>
          <w:bCs/>
          <w:iCs/>
        </w:rPr>
        <w:t>However, i</w:t>
      </w:r>
      <w:r w:rsidRPr="008A2CBC">
        <w:rPr>
          <w:bCs/>
          <w:iCs/>
        </w:rPr>
        <w:t>n 2019</w:t>
      </w:r>
      <w:r w:rsidR="00F007E1" w:rsidRPr="008A2CBC">
        <w:rPr>
          <w:bCs/>
          <w:iCs/>
        </w:rPr>
        <w:t>,</w:t>
      </w:r>
      <w:r w:rsidR="008A2CBC" w:rsidRPr="008A2CBC">
        <w:rPr>
          <w:bCs/>
          <w:iCs/>
        </w:rPr>
        <w:t xml:space="preserve"> due to</w:t>
      </w:r>
      <w:r w:rsidR="00F007E1" w:rsidRPr="008A2CBC">
        <w:rPr>
          <w:bCs/>
          <w:iCs/>
        </w:rPr>
        <w:t xml:space="preserve"> a refocused lending </w:t>
      </w:r>
      <w:r w:rsidR="00137170" w:rsidRPr="008A2CBC">
        <w:rPr>
          <w:bCs/>
          <w:iCs/>
        </w:rPr>
        <w:t xml:space="preserve">and marketing </w:t>
      </w:r>
      <w:r w:rsidR="00F007E1" w:rsidRPr="008A2CBC">
        <w:rPr>
          <w:bCs/>
          <w:iCs/>
        </w:rPr>
        <w:t>strategy</w:t>
      </w:r>
      <w:r w:rsidR="008A2CBC" w:rsidRPr="008A2CBC">
        <w:rPr>
          <w:bCs/>
          <w:iCs/>
        </w:rPr>
        <w:t>, the</w:t>
      </w:r>
      <w:r w:rsidR="00090959">
        <w:rPr>
          <w:bCs/>
          <w:iCs/>
        </w:rPr>
        <w:t xml:space="preserve"> </w:t>
      </w:r>
      <w:r w:rsidRPr="00525A49">
        <w:rPr>
          <w:bCs/>
          <w:iCs/>
        </w:rPr>
        <w:t xml:space="preserve">bank reported </w:t>
      </w:r>
      <w:r>
        <w:rPr>
          <w:bCs/>
          <w:iCs/>
        </w:rPr>
        <w:t>693</w:t>
      </w:r>
      <w:r w:rsidRPr="00525A49">
        <w:rPr>
          <w:bCs/>
          <w:iCs/>
        </w:rPr>
        <w:t xml:space="preserve"> loans totaling $27</w:t>
      </w:r>
      <w:r>
        <w:rPr>
          <w:bCs/>
          <w:iCs/>
        </w:rPr>
        <w:t xml:space="preserve">4.2 </w:t>
      </w:r>
      <w:r w:rsidRPr="00525A49">
        <w:rPr>
          <w:bCs/>
          <w:iCs/>
        </w:rPr>
        <w:t>million</w:t>
      </w:r>
      <w:r w:rsidR="00F007E1">
        <w:rPr>
          <w:bCs/>
          <w:iCs/>
        </w:rPr>
        <w:t xml:space="preserve"> in 2019</w:t>
      </w:r>
      <w:r w:rsidRPr="00525A49">
        <w:rPr>
          <w:bCs/>
          <w:iCs/>
        </w:rPr>
        <w:t xml:space="preserve">.  Examiners compared the bank’s 2018 HMDA lending performance to the 2018 aggregate lending data.  Aggregate lending data was not available for 2019.  In addition, examiners compared the </w:t>
      </w:r>
      <w:r>
        <w:rPr>
          <w:bCs/>
          <w:iCs/>
        </w:rPr>
        <w:t>bank</w:t>
      </w:r>
      <w:r w:rsidRPr="00525A49">
        <w:rPr>
          <w:bCs/>
          <w:iCs/>
        </w:rPr>
        <w:t xml:space="preserve">’s home mortgage lending performance under the Geographic Distribution and Borrower Profile criteria to 2015 </w:t>
      </w:r>
      <w:r w:rsidR="00A306BA">
        <w:rPr>
          <w:bCs/>
          <w:iCs/>
        </w:rPr>
        <w:t xml:space="preserve">American Community </w:t>
      </w:r>
      <w:r w:rsidR="00C774D2">
        <w:rPr>
          <w:bCs/>
          <w:iCs/>
        </w:rPr>
        <w:t>Survey (</w:t>
      </w:r>
      <w:r w:rsidRPr="00525A49">
        <w:rPr>
          <w:bCs/>
          <w:iCs/>
        </w:rPr>
        <w:t>ACS</w:t>
      </w:r>
      <w:r w:rsidR="00C774D2">
        <w:rPr>
          <w:bCs/>
          <w:iCs/>
        </w:rPr>
        <w:t>)</w:t>
      </w:r>
      <w:r w:rsidR="005A1E21">
        <w:rPr>
          <w:bCs/>
          <w:iCs/>
        </w:rPr>
        <w:t xml:space="preserve"> </w:t>
      </w:r>
      <w:r w:rsidRPr="00525A49">
        <w:rPr>
          <w:bCs/>
          <w:iCs/>
        </w:rPr>
        <w:t>demographic data.</w:t>
      </w:r>
    </w:p>
    <w:p w14:paraId="795CC2C5" w14:textId="77777777" w:rsidR="004A1A9F" w:rsidRPr="00525A49" w:rsidRDefault="004A1A9F" w:rsidP="004A1A9F">
      <w:pPr>
        <w:tabs>
          <w:tab w:val="left" w:pos="1260"/>
        </w:tabs>
        <w:rPr>
          <w:bCs/>
          <w:iCs/>
        </w:rPr>
      </w:pPr>
    </w:p>
    <w:p w14:paraId="76A8F4FA" w14:textId="54F67955" w:rsidR="004A1A9F" w:rsidRPr="00525A49" w:rsidRDefault="004A1A9F" w:rsidP="004A1A9F">
      <w:pPr>
        <w:tabs>
          <w:tab w:val="left" w:pos="1260"/>
        </w:tabs>
        <w:rPr>
          <w:bCs/>
          <w:iCs/>
        </w:rPr>
      </w:pPr>
      <w:r w:rsidRPr="00525A49">
        <w:rPr>
          <w:bCs/>
          <w:iCs/>
        </w:rPr>
        <w:t>This evaluation also considered small business loans reported on the bank’s</w:t>
      </w:r>
      <w:r w:rsidR="005A5B27">
        <w:rPr>
          <w:bCs/>
          <w:iCs/>
        </w:rPr>
        <w:t xml:space="preserve"> 2017, 2018, and 2019</w:t>
      </w:r>
      <w:r w:rsidRPr="00525A49">
        <w:rPr>
          <w:bCs/>
          <w:iCs/>
        </w:rPr>
        <w:t xml:space="preserve"> CRA Loan Register</w:t>
      </w:r>
      <w:r w:rsidR="005A5B27">
        <w:rPr>
          <w:bCs/>
          <w:iCs/>
        </w:rPr>
        <w:t>s</w:t>
      </w:r>
      <w:r w:rsidRPr="00525A49">
        <w:rPr>
          <w:bCs/>
          <w:iCs/>
        </w:rPr>
        <w:t xml:space="preserve">.  </w:t>
      </w:r>
      <w:r>
        <w:rPr>
          <w:bCs/>
          <w:iCs/>
        </w:rPr>
        <w:t xml:space="preserve">In 2017, the bank reported 217 small business loans totaling approximately $46.6 million.  </w:t>
      </w:r>
      <w:r w:rsidRPr="00525A49">
        <w:rPr>
          <w:bCs/>
          <w:iCs/>
        </w:rPr>
        <w:t>In 201</w:t>
      </w:r>
      <w:r>
        <w:rPr>
          <w:bCs/>
          <w:iCs/>
        </w:rPr>
        <w:t>8</w:t>
      </w:r>
      <w:r w:rsidRPr="00525A49">
        <w:rPr>
          <w:bCs/>
          <w:iCs/>
        </w:rPr>
        <w:t xml:space="preserve">, the bank reported </w:t>
      </w:r>
      <w:r>
        <w:rPr>
          <w:bCs/>
          <w:iCs/>
        </w:rPr>
        <w:t>192</w:t>
      </w:r>
      <w:r w:rsidRPr="00525A49">
        <w:rPr>
          <w:bCs/>
          <w:iCs/>
        </w:rPr>
        <w:t xml:space="preserve"> small business loans totaling approximately $</w:t>
      </w:r>
      <w:r>
        <w:rPr>
          <w:bCs/>
          <w:iCs/>
        </w:rPr>
        <w:t>46</w:t>
      </w:r>
      <w:r w:rsidRPr="00525A49">
        <w:rPr>
          <w:bCs/>
          <w:iCs/>
        </w:rPr>
        <w:t>.</w:t>
      </w:r>
      <w:r>
        <w:rPr>
          <w:bCs/>
          <w:iCs/>
        </w:rPr>
        <w:t>2</w:t>
      </w:r>
      <w:r w:rsidRPr="00525A49">
        <w:rPr>
          <w:bCs/>
          <w:iCs/>
        </w:rPr>
        <w:t xml:space="preserve"> million.  </w:t>
      </w:r>
      <w:r w:rsidRPr="008A2CBC">
        <w:rPr>
          <w:bCs/>
          <w:iCs/>
        </w:rPr>
        <w:t xml:space="preserve">In 2019, </w:t>
      </w:r>
      <w:r w:rsidR="00137170" w:rsidRPr="008A2CBC">
        <w:rPr>
          <w:bCs/>
          <w:iCs/>
        </w:rPr>
        <w:t xml:space="preserve">as stated previously, a refocused lending </w:t>
      </w:r>
      <w:r w:rsidR="008A2CBC" w:rsidRPr="008A2CBC">
        <w:rPr>
          <w:bCs/>
          <w:iCs/>
        </w:rPr>
        <w:t xml:space="preserve">strategy including hiring additional loan officers </w:t>
      </w:r>
      <w:r w:rsidR="00137170" w:rsidRPr="008A2CBC">
        <w:rPr>
          <w:bCs/>
          <w:iCs/>
        </w:rPr>
        <w:t xml:space="preserve">led to increases in loans, by number and dollar amount.  </w:t>
      </w:r>
      <w:r w:rsidR="005A5B27">
        <w:rPr>
          <w:bCs/>
          <w:iCs/>
        </w:rPr>
        <w:t>As a result</w:t>
      </w:r>
      <w:r w:rsidR="00137170" w:rsidRPr="008A2CBC">
        <w:rPr>
          <w:bCs/>
          <w:iCs/>
        </w:rPr>
        <w:t>, the bank reported 344 loa</w:t>
      </w:r>
      <w:r w:rsidRPr="008A2CBC">
        <w:rPr>
          <w:bCs/>
          <w:iCs/>
        </w:rPr>
        <w:t>ns totaling approximately $52.2 million</w:t>
      </w:r>
      <w:r w:rsidR="00137170" w:rsidRPr="008A2CBC">
        <w:rPr>
          <w:bCs/>
          <w:iCs/>
        </w:rPr>
        <w:t xml:space="preserve"> in 2019</w:t>
      </w:r>
      <w:r w:rsidRPr="008A2CBC">
        <w:rPr>
          <w:bCs/>
          <w:iCs/>
        </w:rPr>
        <w:t>.</w:t>
      </w:r>
      <w:r w:rsidRPr="00525A49">
        <w:rPr>
          <w:bCs/>
          <w:iCs/>
        </w:rPr>
        <w:t xml:space="preserve">  </w:t>
      </w:r>
      <w:r w:rsidRPr="00525A49">
        <w:rPr>
          <w:bCs/>
          <w:iCs/>
        </w:rPr>
        <w:lastRenderedPageBreak/>
        <w:t>Examiners compared the bank’s 201</w:t>
      </w:r>
      <w:r>
        <w:rPr>
          <w:bCs/>
          <w:iCs/>
        </w:rPr>
        <w:t>8</w:t>
      </w:r>
      <w:r w:rsidRPr="00525A49">
        <w:rPr>
          <w:bCs/>
          <w:iCs/>
        </w:rPr>
        <w:t xml:space="preserve"> small business lending performance to aggregate</w:t>
      </w:r>
      <w:r>
        <w:rPr>
          <w:bCs/>
          <w:iCs/>
        </w:rPr>
        <w:t xml:space="preserve"> lending</w:t>
      </w:r>
      <w:r w:rsidRPr="00525A49">
        <w:rPr>
          <w:bCs/>
          <w:iCs/>
        </w:rPr>
        <w:t xml:space="preserve"> data</w:t>
      </w:r>
      <w:r>
        <w:rPr>
          <w:bCs/>
          <w:iCs/>
        </w:rPr>
        <w:t>.  Aggregate lending data was not available for 2019.  In addition, examiners compared the bank’s small business lending performance to</w:t>
      </w:r>
      <w:r w:rsidRPr="00525A49">
        <w:rPr>
          <w:bCs/>
          <w:iCs/>
        </w:rPr>
        <w:t xml:space="preserve"> D&amp;B business demographic data.  </w:t>
      </w:r>
    </w:p>
    <w:p w14:paraId="4ACB0CF0" w14:textId="77777777" w:rsidR="004A1A9F" w:rsidRPr="00525A49" w:rsidRDefault="004A1A9F" w:rsidP="004A1A9F">
      <w:pPr>
        <w:tabs>
          <w:tab w:val="left" w:pos="1260"/>
        </w:tabs>
        <w:rPr>
          <w:bCs/>
          <w:iCs/>
          <w:color w:val="0070C0"/>
        </w:rPr>
      </w:pPr>
    </w:p>
    <w:p w14:paraId="6ABC1F3D" w14:textId="35FD39EE" w:rsidR="004A1A9F" w:rsidRDefault="004A1A9F" w:rsidP="004A1A9F">
      <w:r>
        <w:rPr>
          <w:bCs/>
          <w:iCs/>
        </w:rPr>
        <w:t>For</w:t>
      </w:r>
      <w:r w:rsidRPr="00525A49">
        <w:rPr>
          <w:bCs/>
          <w:iCs/>
        </w:rPr>
        <w:t xml:space="preserve"> the </w:t>
      </w:r>
      <w:r>
        <w:rPr>
          <w:bCs/>
          <w:iCs/>
        </w:rPr>
        <w:t>Lending Test, examiners reviewed</w:t>
      </w:r>
      <w:r w:rsidRPr="00525A49">
        <w:rPr>
          <w:bCs/>
          <w:iCs/>
        </w:rPr>
        <w:t xml:space="preserve"> the number and dollar volume of</w:t>
      </w:r>
      <w:r>
        <w:rPr>
          <w:bCs/>
          <w:iCs/>
        </w:rPr>
        <w:t xml:space="preserve"> home mortgage and small business</w:t>
      </w:r>
      <w:r w:rsidRPr="00525A49">
        <w:rPr>
          <w:bCs/>
          <w:iCs/>
        </w:rPr>
        <w:t xml:space="preserve"> loans.  Although the evaluation presents the number and dollar volume of loans, examiners placed more emphasis </w:t>
      </w:r>
      <w:r>
        <w:rPr>
          <w:bCs/>
          <w:iCs/>
        </w:rPr>
        <w:t xml:space="preserve">on the bank’s performance by </w:t>
      </w:r>
      <w:r w:rsidRPr="00525A49">
        <w:rPr>
          <w:bCs/>
          <w:iCs/>
        </w:rPr>
        <w:t xml:space="preserve">the number of loans as it is a better indicator of the number of individuals and businesses served.  </w:t>
      </w:r>
      <w:r>
        <w:rPr>
          <w:bCs/>
          <w:iCs/>
        </w:rPr>
        <w:t xml:space="preserve">Examiners compared the bank’s </w:t>
      </w:r>
      <w:r w:rsidRPr="00525A49">
        <w:t xml:space="preserve">Geographic Distribution and Borrower Profile </w:t>
      </w:r>
      <w:r w:rsidR="0040587C">
        <w:t>performances to 2</w:t>
      </w:r>
      <w:r>
        <w:t>018 aggr</w:t>
      </w:r>
      <w:r w:rsidR="00A306BA">
        <w:t xml:space="preserve">egate loan data and the 2015 </w:t>
      </w:r>
      <w:r>
        <w:t>ACS</w:t>
      </w:r>
      <w:r w:rsidR="00A306BA">
        <w:t xml:space="preserve"> demographic data</w:t>
      </w:r>
      <w:r>
        <w:t xml:space="preserve">. </w:t>
      </w:r>
    </w:p>
    <w:p w14:paraId="21D14112" w14:textId="77777777" w:rsidR="0040587C" w:rsidRPr="00543B5C" w:rsidRDefault="0040587C" w:rsidP="004A1A9F"/>
    <w:p w14:paraId="4E074F03" w14:textId="77777777" w:rsidR="004A1A9F" w:rsidRPr="00525A49" w:rsidRDefault="004A1A9F" w:rsidP="004A1A9F">
      <w:pPr>
        <w:tabs>
          <w:tab w:val="left" w:pos="1260"/>
        </w:tabs>
        <w:rPr>
          <w:bCs/>
          <w:iCs/>
        </w:rPr>
      </w:pPr>
      <w:r w:rsidRPr="00525A49">
        <w:t xml:space="preserve">Examiners </w:t>
      </w:r>
      <w:r>
        <w:t xml:space="preserve">also </w:t>
      </w:r>
      <w:r w:rsidRPr="00525A49">
        <w:t xml:space="preserve">reviewed community development loans, </w:t>
      </w:r>
      <w:r>
        <w:t>innovative and flexible lending practices, qualified investments, and community development services, since the previous evaluation dated</w:t>
      </w:r>
      <w:r w:rsidRPr="00525A49">
        <w:t xml:space="preserve"> </w:t>
      </w:r>
      <w:r>
        <w:t xml:space="preserve">May 1, 2017, to the </w:t>
      </w:r>
      <w:r w:rsidRPr="00525A49">
        <w:t xml:space="preserve">current </w:t>
      </w:r>
      <w:r>
        <w:t xml:space="preserve">evaluation </w:t>
      </w:r>
      <w:r w:rsidRPr="00525A49">
        <w:t>date</w:t>
      </w:r>
      <w:r>
        <w:t>d</w:t>
      </w:r>
      <w:r w:rsidRPr="00525A49">
        <w:t xml:space="preserve"> of </w:t>
      </w:r>
      <w:r>
        <w:t>April</w:t>
      </w:r>
      <w:r w:rsidRPr="00525A49">
        <w:t xml:space="preserve"> 27, 2020.</w:t>
      </w:r>
      <w:r w:rsidRPr="00525A49">
        <w:rPr>
          <w:bCs/>
          <w:iCs/>
        </w:rPr>
        <w:t xml:space="preserve"> </w:t>
      </w:r>
    </w:p>
    <w:p w14:paraId="54F748CA" w14:textId="16195EB7" w:rsidR="00A306BA" w:rsidRDefault="00A306BA" w:rsidP="00A306BA">
      <w:pPr>
        <w:keepNext/>
        <w:tabs>
          <w:tab w:val="left" w:pos="480"/>
          <w:tab w:val="left" w:pos="960"/>
          <w:tab w:val="left" w:pos="6840"/>
        </w:tabs>
        <w:outlineLvl w:val="0"/>
        <w:rPr>
          <w:b/>
          <w:bCs/>
          <w:spacing w:val="-3"/>
          <w:sz w:val="28"/>
          <w:szCs w:val="20"/>
        </w:rPr>
      </w:pPr>
    </w:p>
    <w:p w14:paraId="2DB060B3" w14:textId="77777777" w:rsidR="00A306BA" w:rsidRPr="008D6B18" w:rsidRDefault="00A306BA" w:rsidP="00A306BA">
      <w:pPr>
        <w:keepNext/>
        <w:tabs>
          <w:tab w:val="left" w:pos="480"/>
          <w:tab w:val="left" w:pos="960"/>
          <w:tab w:val="left" w:pos="6840"/>
        </w:tabs>
        <w:jc w:val="center"/>
        <w:outlineLvl w:val="0"/>
        <w:rPr>
          <w:b/>
          <w:bCs/>
          <w:spacing w:val="-3"/>
          <w:sz w:val="28"/>
          <w:szCs w:val="20"/>
        </w:rPr>
      </w:pPr>
      <w:r w:rsidRPr="008D6B18">
        <w:rPr>
          <w:b/>
          <w:bCs/>
          <w:spacing w:val="-3"/>
          <w:sz w:val="28"/>
          <w:szCs w:val="20"/>
        </w:rPr>
        <w:t>DESCRIPTION OF INSTITUTION</w:t>
      </w:r>
    </w:p>
    <w:p w14:paraId="627A7B68" w14:textId="77777777" w:rsidR="00A306BA" w:rsidRDefault="00A306BA" w:rsidP="00A306BA"/>
    <w:p w14:paraId="0FDD3075" w14:textId="77777777" w:rsidR="00A306BA" w:rsidRPr="00B500C0" w:rsidRDefault="00A306BA" w:rsidP="00A306BA">
      <w:pPr>
        <w:autoSpaceDE w:val="0"/>
        <w:autoSpaceDN w:val="0"/>
        <w:adjustRightInd w:val="0"/>
        <w:rPr>
          <w:b/>
          <w:color w:val="000000"/>
          <w:u w:val="single"/>
        </w:rPr>
      </w:pPr>
      <w:bookmarkStart w:id="2" w:name="_Toc40445652"/>
      <w:r>
        <w:rPr>
          <w:b/>
          <w:color w:val="000000"/>
          <w:u w:val="single"/>
        </w:rPr>
        <w:t>Background</w:t>
      </w:r>
    </w:p>
    <w:p w14:paraId="3398ACA8" w14:textId="5AC35A97" w:rsidR="00A306BA" w:rsidRPr="00B26330" w:rsidRDefault="00A306BA" w:rsidP="00A306BA">
      <w:pPr>
        <w:autoSpaceDE w:val="0"/>
        <w:autoSpaceDN w:val="0"/>
        <w:adjustRightInd w:val="0"/>
        <w:rPr>
          <w:color w:val="000000"/>
        </w:rPr>
      </w:pPr>
      <w:r>
        <w:rPr>
          <w:color w:val="000000"/>
        </w:rPr>
        <w:t>NBTC is a $2.2</w:t>
      </w:r>
      <w:r w:rsidRPr="00B26330">
        <w:rPr>
          <w:color w:val="000000"/>
        </w:rPr>
        <w:t xml:space="preserve"> billion Massachusetts chartered institution headquartered in Woburn, Massachusetts.  The bank </w:t>
      </w:r>
      <w:proofErr w:type="gramStart"/>
      <w:r w:rsidRPr="00B26330">
        <w:rPr>
          <w:color w:val="000000"/>
        </w:rPr>
        <w:t>is wholly</w:t>
      </w:r>
      <w:r w:rsidR="00965118">
        <w:rPr>
          <w:color w:val="000000"/>
        </w:rPr>
        <w:t xml:space="preserve"> </w:t>
      </w:r>
      <w:r w:rsidRPr="00B26330">
        <w:rPr>
          <w:color w:val="000000"/>
        </w:rPr>
        <w:t>owned</w:t>
      </w:r>
      <w:proofErr w:type="gramEnd"/>
      <w:r w:rsidRPr="00B26330">
        <w:rPr>
          <w:color w:val="000000"/>
        </w:rPr>
        <w:t xml:space="preserve"> by Northern Bancorp, Inc., a single bank </w:t>
      </w:r>
      <w:r w:rsidR="00CD0C05">
        <w:rPr>
          <w:color w:val="000000"/>
        </w:rPr>
        <w:t>h</w:t>
      </w:r>
      <w:r w:rsidRPr="00B26330">
        <w:rPr>
          <w:color w:val="000000"/>
        </w:rPr>
        <w:t xml:space="preserve">olding </w:t>
      </w:r>
      <w:r w:rsidR="00CD0C05">
        <w:rPr>
          <w:color w:val="000000"/>
        </w:rPr>
        <w:t>c</w:t>
      </w:r>
      <w:r w:rsidRPr="00B26330">
        <w:rPr>
          <w:color w:val="000000"/>
        </w:rPr>
        <w:t>ompany.  The bank has ten subsidiaries</w:t>
      </w:r>
      <w:r>
        <w:rPr>
          <w:color w:val="000000"/>
        </w:rPr>
        <w:t xml:space="preserve">: </w:t>
      </w:r>
      <w:r w:rsidRPr="00B26330">
        <w:rPr>
          <w:color w:val="000000"/>
        </w:rPr>
        <w:t xml:space="preserve">five </w:t>
      </w:r>
      <w:r w:rsidR="008A2CBC">
        <w:rPr>
          <w:color w:val="000000"/>
        </w:rPr>
        <w:t>hold bank premises</w:t>
      </w:r>
      <w:r w:rsidR="00CD0C05">
        <w:rPr>
          <w:color w:val="000000"/>
        </w:rPr>
        <w:t>,</w:t>
      </w:r>
      <w:r w:rsidRPr="00B26330">
        <w:rPr>
          <w:color w:val="000000"/>
        </w:rPr>
        <w:t xml:space="preserve"> two are Massachusetts securities corporations</w:t>
      </w:r>
      <w:r w:rsidR="00CD0C05">
        <w:rPr>
          <w:color w:val="000000"/>
        </w:rPr>
        <w:t>,</w:t>
      </w:r>
      <w:r w:rsidRPr="00B26330">
        <w:rPr>
          <w:color w:val="000000"/>
        </w:rPr>
        <w:t xml:space="preserve"> </w:t>
      </w:r>
      <w:proofErr w:type="gramStart"/>
      <w:r w:rsidRPr="00B26330">
        <w:rPr>
          <w:color w:val="000000"/>
        </w:rPr>
        <w:t>one entity</w:t>
      </w:r>
      <w:proofErr w:type="gramEnd"/>
      <w:r w:rsidRPr="00B26330">
        <w:rPr>
          <w:color w:val="000000"/>
        </w:rPr>
        <w:t xml:space="preserve"> hold</w:t>
      </w:r>
      <w:r>
        <w:rPr>
          <w:color w:val="000000"/>
        </w:rPr>
        <w:t>s</w:t>
      </w:r>
      <w:r w:rsidRPr="00B26330">
        <w:rPr>
          <w:color w:val="000000"/>
        </w:rPr>
        <w:t xml:space="preserve"> other real estate owne</w:t>
      </w:r>
      <w:r>
        <w:rPr>
          <w:color w:val="000000"/>
        </w:rPr>
        <w:t>d</w:t>
      </w:r>
      <w:r w:rsidR="00CD0C05">
        <w:rPr>
          <w:color w:val="000000"/>
        </w:rPr>
        <w:t>,</w:t>
      </w:r>
      <w:r w:rsidRPr="00B26330">
        <w:rPr>
          <w:color w:val="000000"/>
        </w:rPr>
        <w:t xml:space="preserve"> one </w:t>
      </w:r>
      <w:r>
        <w:rPr>
          <w:color w:val="000000"/>
        </w:rPr>
        <w:t xml:space="preserve">was </w:t>
      </w:r>
      <w:r w:rsidRPr="00B26330">
        <w:rPr>
          <w:color w:val="000000"/>
        </w:rPr>
        <w:t>created for charitable purposes</w:t>
      </w:r>
      <w:r w:rsidR="00CD0C05">
        <w:rPr>
          <w:color w:val="000000"/>
        </w:rPr>
        <w:t>,</w:t>
      </w:r>
      <w:r w:rsidRPr="00B26330">
        <w:rPr>
          <w:color w:val="000000"/>
        </w:rPr>
        <w:t xml:space="preserve"> and one </w:t>
      </w:r>
      <w:r>
        <w:rPr>
          <w:color w:val="000000"/>
        </w:rPr>
        <w:t xml:space="preserve">was established </w:t>
      </w:r>
      <w:r w:rsidRPr="00B26330">
        <w:rPr>
          <w:color w:val="000000"/>
        </w:rPr>
        <w:t xml:space="preserve">for </w:t>
      </w:r>
      <w:r w:rsidR="008A2CBC">
        <w:rPr>
          <w:color w:val="000000"/>
        </w:rPr>
        <w:t xml:space="preserve">the </w:t>
      </w:r>
      <w:r w:rsidRPr="00B26330">
        <w:rPr>
          <w:color w:val="000000"/>
        </w:rPr>
        <w:t xml:space="preserve">1031 </w:t>
      </w:r>
      <w:r w:rsidR="008A2CBC">
        <w:rPr>
          <w:color w:val="000000"/>
        </w:rPr>
        <w:t>e</w:t>
      </w:r>
      <w:r w:rsidRPr="00B26330">
        <w:rPr>
          <w:color w:val="000000"/>
        </w:rPr>
        <w:t>xchange</w:t>
      </w:r>
      <w:r w:rsidR="008A2CBC">
        <w:rPr>
          <w:color w:val="000000"/>
        </w:rPr>
        <w:t xml:space="preserve"> deposit program</w:t>
      </w:r>
      <w:r w:rsidRPr="00B26330">
        <w:rPr>
          <w:color w:val="000000"/>
        </w:rPr>
        <w:t xml:space="preserve">.  </w:t>
      </w:r>
    </w:p>
    <w:p w14:paraId="03246CB2" w14:textId="77777777" w:rsidR="00A306BA" w:rsidRPr="00B26330" w:rsidRDefault="00A306BA" w:rsidP="00A306BA">
      <w:pPr>
        <w:autoSpaceDE w:val="0"/>
        <w:autoSpaceDN w:val="0"/>
        <w:adjustRightInd w:val="0"/>
        <w:rPr>
          <w:color w:val="000000"/>
        </w:rPr>
      </w:pPr>
    </w:p>
    <w:p w14:paraId="276A9CF7" w14:textId="04214FD6" w:rsidR="00A306BA" w:rsidRPr="00B26330" w:rsidRDefault="00A306BA" w:rsidP="00A306BA">
      <w:pPr>
        <w:autoSpaceDE w:val="0"/>
        <w:autoSpaceDN w:val="0"/>
        <w:adjustRightInd w:val="0"/>
        <w:rPr>
          <w:color w:val="000000"/>
        </w:rPr>
      </w:pPr>
      <w:r w:rsidRPr="00B26330">
        <w:rPr>
          <w:bCs/>
          <w:iCs/>
          <w:color w:val="000000"/>
        </w:rPr>
        <w:t>The bank received a Satisfactory CRA rating at its previous evaluation dated July 1,</w:t>
      </w:r>
      <w:r w:rsidR="00CD0C05">
        <w:rPr>
          <w:bCs/>
          <w:iCs/>
          <w:color w:val="000000"/>
        </w:rPr>
        <w:t xml:space="preserve"> </w:t>
      </w:r>
      <w:r w:rsidRPr="00B26330">
        <w:rPr>
          <w:bCs/>
          <w:iCs/>
          <w:color w:val="000000"/>
        </w:rPr>
        <w:t xml:space="preserve">2017.  The Massachusetts Division of Banks (DOB) and Federal Deposit Insurance Corporation (FDIC) </w:t>
      </w:r>
      <w:r w:rsidR="00CD0C05">
        <w:rPr>
          <w:bCs/>
          <w:iCs/>
          <w:color w:val="000000"/>
        </w:rPr>
        <w:t xml:space="preserve">conducted the evaluation </w:t>
      </w:r>
      <w:r w:rsidRPr="00B26330">
        <w:rPr>
          <w:bCs/>
          <w:iCs/>
          <w:color w:val="000000"/>
        </w:rPr>
        <w:t xml:space="preserve">utilizing Interagency Large Institution Examination Procedures.  </w:t>
      </w:r>
    </w:p>
    <w:p w14:paraId="40148154" w14:textId="77777777" w:rsidR="00A306BA" w:rsidRDefault="00A306BA" w:rsidP="00A306BA">
      <w:pPr>
        <w:autoSpaceDE w:val="0"/>
        <w:autoSpaceDN w:val="0"/>
        <w:adjustRightInd w:val="0"/>
        <w:rPr>
          <w:color w:val="000000"/>
        </w:rPr>
      </w:pPr>
    </w:p>
    <w:p w14:paraId="6DB25CF0" w14:textId="77777777" w:rsidR="00A306BA" w:rsidRPr="00B500C0" w:rsidRDefault="00A306BA" w:rsidP="00A306BA">
      <w:pPr>
        <w:autoSpaceDE w:val="0"/>
        <w:autoSpaceDN w:val="0"/>
        <w:adjustRightInd w:val="0"/>
        <w:rPr>
          <w:b/>
          <w:color w:val="000000"/>
          <w:u w:val="single"/>
        </w:rPr>
      </w:pPr>
      <w:r>
        <w:rPr>
          <w:b/>
          <w:color w:val="000000"/>
          <w:u w:val="single"/>
        </w:rPr>
        <w:t>Operations</w:t>
      </w:r>
    </w:p>
    <w:p w14:paraId="4403C9B5" w14:textId="48709FB9" w:rsidR="0018529D" w:rsidRPr="0018529D" w:rsidRDefault="00A306BA" w:rsidP="0018529D">
      <w:pPr>
        <w:autoSpaceDE w:val="0"/>
        <w:autoSpaceDN w:val="0"/>
        <w:adjustRightInd w:val="0"/>
        <w:rPr>
          <w:color w:val="000000"/>
        </w:rPr>
      </w:pPr>
      <w:r w:rsidRPr="00B26330">
        <w:rPr>
          <w:color w:val="000000"/>
        </w:rPr>
        <w:t xml:space="preserve">The bank operates primarily throughout Middlesex County and maintains 12 full-service offices including the main office headquartered in Woburn.  </w:t>
      </w:r>
      <w:r w:rsidR="008A067D">
        <w:rPr>
          <w:color w:val="000000"/>
        </w:rPr>
        <w:t xml:space="preserve">In addition, the bank operates </w:t>
      </w:r>
      <w:r w:rsidRPr="00B26330">
        <w:rPr>
          <w:color w:val="000000"/>
        </w:rPr>
        <w:t xml:space="preserve">two </w:t>
      </w:r>
      <w:r w:rsidR="008A067D">
        <w:rPr>
          <w:color w:val="000000"/>
        </w:rPr>
        <w:t xml:space="preserve">websites, </w:t>
      </w:r>
      <w:hyperlink r:id="rId20" w:history="1">
        <w:r w:rsidRPr="00B26330">
          <w:rPr>
            <w:color w:val="0000FF"/>
            <w:u w:val="single"/>
          </w:rPr>
          <w:t>www.nbtc.com</w:t>
        </w:r>
      </w:hyperlink>
      <w:r w:rsidR="0018529D">
        <w:rPr>
          <w:color w:val="000000"/>
        </w:rPr>
        <w:t xml:space="preserve"> and </w:t>
      </w:r>
      <w:hyperlink r:id="rId21" w:history="1">
        <w:r w:rsidRPr="00B26330">
          <w:rPr>
            <w:color w:val="0000FF"/>
            <w:u w:val="single"/>
          </w:rPr>
          <w:t>www.northernbankdirect.com</w:t>
        </w:r>
      </w:hyperlink>
      <w:r w:rsidRPr="00B26330">
        <w:rPr>
          <w:color w:val="000000"/>
        </w:rPr>
        <w:t xml:space="preserve">.  </w:t>
      </w:r>
      <w:r w:rsidR="0018529D">
        <w:rPr>
          <w:color w:val="000000"/>
        </w:rPr>
        <w:t>All</w:t>
      </w:r>
      <w:r w:rsidR="005A5B27">
        <w:rPr>
          <w:color w:val="000000"/>
        </w:rPr>
        <w:t xml:space="preserve"> offices</w:t>
      </w:r>
      <w:r w:rsidR="0018529D">
        <w:rPr>
          <w:color w:val="000000"/>
        </w:rPr>
        <w:t xml:space="preserve"> have drive-up facilities, except</w:t>
      </w:r>
      <w:r w:rsidR="00CD0C05">
        <w:rPr>
          <w:color w:val="000000"/>
        </w:rPr>
        <w:t xml:space="preserve"> for the </w:t>
      </w:r>
      <w:r w:rsidR="0018529D">
        <w:rPr>
          <w:color w:val="000000"/>
        </w:rPr>
        <w:t>Burlington and Melrose</w:t>
      </w:r>
      <w:r w:rsidR="00CD0C05">
        <w:rPr>
          <w:color w:val="000000"/>
        </w:rPr>
        <w:t xml:space="preserve"> offices</w:t>
      </w:r>
      <w:r w:rsidR="0018529D">
        <w:rPr>
          <w:color w:val="000000"/>
        </w:rPr>
        <w:t xml:space="preserve">.  </w:t>
      </w:r>
      <w:r w:rsidR="0018529D" w:rsidRPr="00B26330">
        <w:rPr>
          <w:bCs/>
          <w:iCs/>
          <w:snapToGrid w:val="0"/>
          <w:lang w:val="x-none" w:eastAsia="x-none"/>
        </w:rPr>
        <w:t>Al</w:t>
      </w:r>
      <w:r w:rsidR="0018529D">
        <w:rPr>
          <w:bCs/>
          <w:iCs/>
          <w:snapToGrid w:val="0"/>
          <w:lang w:val="x-none" w:eastAsia="x-none"/>
        </w:rPr>
        <w:t xml:space="preserve">l branches have </w:t>
      </w:r>
      <w:r w:rsidR="0018529D" w:rsidRPr="00B26330">
        <w:rPr>
          <w:bCs/>
          <w:iCs/>
          <w:snapToGrid w:val="0"/>
          <w:lang w:val="x-none" w:eastAsia="x-none"/>
        </w:rPr>
        <w:t>Automated Teller Machine</w:t>
      </w:r>
      <w:r w:rsidR="0018529D">
        <w:rPr>
          <w:bCs/>
          <w:iCs/>
          <w:snapToGrid w:val="0"/>
          <w:lang w:eastAsia="x-none"/>
        </w:rPr>
        <w:t>s</w:t>
      </w:r>
      <w:r w:rsidR="0018529D" w:rsidRPr="00B26330">
        <w:rPr>
          <w:bCs/>
          <w:iCs/>
          <w:snapToGrid w:val="0"/>
          <w:lang w:val="x-none" w:eastAsia="x-none"/>
        </w:rPr>
        <w:t xml:space="preserve"> (ATM</w:t>
      </w:r>
      <w:r w:rsidR="0018529D">
        <w:rPr>
          <w:bCs/>
          <w:iCs/>
          <w:snapToGrid w:val="0"/>
          <w:lang w:eastAsia="x-none"/>
        </w:rPr>
        <w:t>s</w:t>
      </w:r>
      <w:r w:rsidR="0018529D">
        <w:rPr>
          <w:bCs/>
          <w:iCs/>
          <w:snapToGrid w:val="0"/>
          <w:lang w:val="x-none" w:eastAsia="x-none"/>
        </w:rPr>
        <w:t>)</w:t>
      </w:r>
      <w:r w:rsidR="0018529D" w:rsidRPr="00B26330">
        <w:rPr>
          <w:bCs/>
          <w:iCs/>
          <w:snapToGrid w:val="0"/>
          <w:lang w:eastAsia="x-none"/>
        </w:rPr>
        <w:t xml:space="preserve">.  </w:t>
      </w:r>
      <w:r w:rsidR="0018529D">
        <w:rPr>
          <w:bCs/>
          <w:iCs/>
          <w:snapToGrid w:val="0"/>
          <w:lang w:eastAsia="x-none"/>
        </w:rPr>
        <w:t xml:space="preserve">In addition, the bank </w:t>
      </w:r>
      <w:r w:rsidR="0018529D" w:rsidRPr="00B26330">
        <w:rPr>
          <w:bCs/>
          <w:iCs/>
          <w:snapToGrid w:val="0"/>
          <w:lang w:eastAsia="x-none"/>
        </w:rPr>
        <w:t xml:space="preserve">participates in the SUM </w:t>
      </w:r>
      <w:r w:rsidR="0018529D">
        <w:rPr>
          <w:bCs/>
          <w:iCs/>
          <w:snapToGrid w:val="0"/>
          <w:lang w:eastAsia="x-none"/>
        </w:rPr>
        <w:t xml:space="preserve">program.  </w:t>
      </w:r>
      <w:r w:rsidR="0018529D" w:rsidRPr="0018529D">
        <w:rPr>
          <w:bCs/>
          <w:iCs/>
          <w:snapToGrid w:val="0"/>
          <w:lang w:eastAsia="x-none"/>
        </w:rPr>
        <w:t xml:space="preserve">Cardholders of financial institutions who </w:t>
      </w:r>
      <w:r w:rsidR="005A5B27">
        <w:rPr>
          <w:bCs/>
          <w:iCs/>
          <w:snapToGrid w:val="0"/>
          <w:lang w:eastAsia="x-none"/>
        </w:rPr>
        <w:t xml:space="preserve">are part of the SUM program </w:t>
      </w:r>
      <w:r w:rsidR="0018529D" w:rsidRPr="0018529D">
        <w:rPr>
          <w:bCs/>
          <w:iCs/>
          <w:snapToGrid w:val="0"/>
          <w:lang w:eastAsia="x-none"/>
        </w:rPr>
        <w:t>can withdraw funds from designated ATMs belonging to other SUM program members, without a surcharge fee.</w:t>
      </w:r>
      <w:r w:rsidR="0018529D">
        <w:rPr>
          <w:bCs/>
          <w:iCs/>
          <w:snapToGrid w:val="0"/>
          <w:lang w:eastAsia="x-none"/>
        </w:rPr>
        <w:t xml:space="preserve">  </w:t>
      </w:r>
      <w:r w:rsidR="0018529D" w:rsidRPr="00B26330">
        <w:rPr>
          <w:bCs/>
          <w:iCs/>
          <w:snapToGrid w:val="0"/>
          <w:lang w:eastAsia="x-none"/>
        </w:rPr>
        <w:t xml:space="preserve">Other alternative banking services include mobile banking, online banking, </w:t>
      </w:r>
      <w:r w:rsidR="00B83D19">
        <w:rPr>
          <w:bCs/>
          <w:iCs/>
          <w:snapToGrid w:val="0"/>
          <w:lang w:eastAsia="x-none"/>
        </w:rPr>
        <w:t xml:space="preserve">and </w:t>
      </w:r>
      <w:r w:rsidR="0018529D" w:rsidRPr="00B26330">
        <w:rPr>
          <w:bCs/>
          <w:iCs/>
          <w:snapToGrid w:val="0"/>
          <w:lang w:eastAsia="x-none"/>
        </w:rPr>
        <w:t xml:space="preserve">remote deposit capture.  </w:t>
      </w:r>
    </w:p>
    <w:p w14:paraId="310A81BB" w14:textId="1D22B639" w:rsidR="00A306BA" w:rsidRPr="00B26330" w:rsidRDefault="00A306BA" w:rsidP="00A306BA">
      <w:pPr>
        <w:autoSpaceDE w:val="0"/>
        <w:autoSpaceDN w:val="0"/>
        <w:adjustRightInd w:val="0"/>
        <w:rPr>
          <w:color w:val="000000"/>
        </w:rPr>
      </w:pPr>
    </w:p>
    <w:p w14:paraId="7B1FC05E" w14:textId="47B2F5DC" w:rsidR="00A306BA" w:rsidRPr="00B26330" w:rsidRDefault="00A306BA" w:rsidP="00A306BA">
      <w:pPr>
        <w:autoSpaceDE w:val="0"/>
        <w:autoSpaceDN w:val="0"/>
        <w:adjustRightInd w:val="0"/>
      </w:pPr>
      <w:r w:rsidRPr="00A16B8F">
        <w:rPr>
          <w:color w:val="000000"/>
        </w:rPr>
        <w:t>The bank</w:t>
      </w:r>
      <w:r>
        <w:rPr>
          <w:color w:val="000000"/>
        </w:rPr>
        <w:t xml:space="preserve"> </w:t>
      </w:r>
      <w:r w:rsidRPr="00A16B8F">
        <w:rPr>
          <w:color w:val="000000"/>
        </w:rPr>
        <w:t xml:space="preserve">focuses on </w:t>
      </w:r>
      <w:r w:rsidRPr="00A16B8F">
        <w:t>commercial and industrial and commercial real estate lending, as well as residential home mortgage lending.</w:t>
      </w:r>
      <w:r w:rsidRPr="00B26330">
        <w:t xml:space="preserve">  The bank’s assets are concentrated in commercial loans.  As of </w:t>
      </w:r>
      <w:r>
        <w:t xml:space="preserve">December 31, </w:t>
      </w:r>
      <w:r w:rsidRPr="00B26330">
        <w:t>2019, commercial loans represented 72.2 percent, and residential loans represented 15.</w:t>
      </w:r>
      <w:r>
        <w:t>4</w:t>
      </w:r>
      <w:r w:rsidRPr="00B26330">
        <w:t xml:space="preserve"> percent of the bank’s total loan portfolio.  Consumer loans represented </w:t>
      </w:r>
      <w:r>
        <w:t>0.1</w:t>
      </w:r>
      <w:r w:rsidRPr="00B26330">
        <w:t xml:space="preserve"> percent.  The bank offers both business and personal deposit products, </w:t>
      </w:r>
      <w:r>
        <w:t xml:space="preserve">including </w:t>
      </w:r>
      <w:r w:rsidRPr="00B26330">
        <w:t>business checking accounts</w:t>
      </w:r>
      <w:r>
        <w:t>, m</w:t>
      </w:r>
      <w:r w:rsidRPr="00B26330">
        <w:t xml:space="preserve">oney </w:t>
      </w:r>
      <w:r>
        <w:t>m</w:t>
      </w:r>
      <w:r w:rsidRPr="00B26330">
        <w:t xml:space="preserve">arket </w:t>
      </w:r>
      <w:r>
        <w:t xml:space="preserve">accounts, </w:t>
      </w:r>
      <w:r w:rsidRPr="00B26330">
        <w:t xml:space="preserve">and </w:t>
      </w:r>
      <w:r>
        <w:t>s</w:t>
      </w:r>
      <w:r w:rsidRPr="00B26330">
        <w:t xml:space="preserve">avings </w:t>
      </w:r>
      <w:r>
        <w:t>a</w:t>
      </w:r>
      <w:r w:rsidRPr="00B26330">
        <w:t>ccounts</w:t>
      </w:r>
      <w:r>
        <w:t>, as well as</w:t>
      </w:r>
      <w:r w:rsidRPr="00B26330">
        <w:t xml:space="preserve"> </w:t>
      </w:r>
      <w:r>
        <w:t>p</w:t>
      </w:r>
      <w:r w:rsidRPr="00B26330">
        <w:t xml:space="preserve">ersonal checking, savings, </w:t>
      </w:r>
      <w:r>
        <w:t>h</w:t>
      </w:r>
      <w:r w:rsidRPr="00B26330">
        <w:t xml:space="preserve">ealth </w:t>
      </w:r>
      <w:r>
        <w:t>s</w:t>
      </w:r>
      <w:r w:rsidRPr="00B26330">
        <w:t xml:space="preserve">avings, and </w:t>
      </w:r>
      <w:r>
        <w:t>m</w:t>
      </w:r>
      <w:r w:rsidRPr="00B26330">
        <w:t xml:space="preserve">oney </w:t>
      </w:r>
      <w:r>
        <w:t>m</w:t>
      </w:r>
      <w:r w:rsidRPr="00B26330">
        <w:t xml:space="preserve">arket </w:t>
      </w:r>
      <w:r>
        <w:t>a</w:t>
      </w:r>
      <w:r w:rsidRPr="00B26330">
        <w:t>ccounts.</w:t>
      </w:r>
    </w:p>
    <w:p w14:paraId="0C23C366" w14:textId="77777777" w:rsidR="00A306BA" w:rsidRPr="00B26330" w:rsidRDefault="00A306BA" w:rsidP="00A306BA">
      <w:pPr>
        <w:autoSpaceDE w:val="0"/>
        <w:autoSpaceDN w:val="0"/>
        <w:adjustRightInd w:val="0"/>
        <w:rPr>
          <w:color w:val="000000"/>
        </w:rPr>
      </w:pPr>
    </w:p>
    <w:p w14:paraId="530BCD3C" w14:textId="3FA6BB2A" w:rsidR="00A306BA" w:rsidRPr="00B26330" w:rsidRDefault="00A306BA" w:rsidP="00A306BA">
      <w:pPr>
        <w:autoSpaceDE w:val="0"/>
        <w:autoSpaceDN w:val="0"/>
        <w:adjustRightInd w:val="0"/>
        <w:rPr>
          <w:color w:val="FF0000"/>
        </w:rPr>
      </w:pPr>
      <w:r w:rsidRPr="00B26330">
        <w:rPr>
          <w:color w:val="000000"/>
        </w:rPr>
        <w:lastRenderedPageBreak/>
        <w:t xml:space="preserve">In </w:t>
      </w:r>
      <w:r>
        <w:rPr>
          <w:color w:val="000000"/>
        </w:rPr>
        <w:t>April 2017, NBTC introduced</w:t>
      </w:r>
      <w:r w:rsidRPr="00B26330">
        <w:rPr>
          <w:color w:val="000000"/>
        </w:rPr>
        <w:t xml:space="preserve"> a new website</w:t>
      </w:r>
      <w:r>
        <w:rPr>
          <w:color w:val="000000"/>
        </w:rPr>
        <w:t>:</w:t>
      </w:r>
      <w:r w:rsidRPr="00B26330">
        <w:rPr>
          <w:color w:val="000000"/>
        </w:rPr>
        <w:t xml:space="preserve"> www.northernbankdirect.com.  Northern Bank Direct (NBD) is the bank's nationwide online </w:t>
      </w:r>
      <w:r w:rsidR="008A2CBC">
        <w:rPr>
          <w:color w:val="000000"/>
        </w:rPr>
        <w:t xml:space="preserve">deposit gathering </w:t>
      </w:r>
      <w:r w:rsidRPr="00B26330">
        <w:rPr>
          <w:color w:val="000000"/>
        </w:rPr>
        <w:t>platform and division of N</w:t>
      </w:r>
      <w:r>
        <w:rPr>
          <w:color w:val="000000"/>
        </w:rPr>
        <w:t>BTC</w:t>
      </w:r>
      <w:r w:rsidRPr="00B26330">
        <w:rPr>
          <w:color w:val="000000"/>
        </w:rPr>
        <w:t>.  N</w:t>
      </w:r>
      <w:r w:rsidR="00965118">
        <w:rPr>
          <w:color w:val="000000"/>
        </w:rPr>
        <w:t xml:space="preserve">BD </w:t>
      </w:r>
      <w:r w:rsidR="005257E0">
        <w:rPr>
          <w:color w:val="000000"/>
        </w:rPr>
        <w:t xml:space="preserve">resulted from </w:t>
      </w:r>
      <w:r w:rsidRPr="00B26330">
        <w:rPr>
          <w:color w:val="000000"/>
        </w:rPr>
        <w:t xml:space="preserve">management's strategy to attract new </w:t>
      </w:r>
      <w:r w:rsidR="00965118">
        <w:rPr>
          <w:color w:val="000000"/>
        </w:rPr>
        <w:t xml:space="preserve">nationwide </w:t>
      </w:r>
      <w:r w:rsidRPr="00B26330">
        <w:rPr>
          <w:color w:val="000000"/>
        </w:rPr>
        <w:t xml:space="preserve">depositors.  NBD account offerings include </w:t>
      </w:r>
      <w:r>
        <w:rPr>
          <w:color w:val="000000"/>
        </w:rPr>
        <w:t>c</w:t>
      </w:r>
      <w:r w:rsidRPr="00B26330">
        <w:rPr>
          <w:color w:val="000000"/>
        </w:rPr>
        <w:t xml:space="preserve">ertificates of </w:t>
      </w:r>
      <w:r>
        <w:rPr>
          <w:color w:val="000000"/>
        </w:rPr>
        <w:t>d</w:t>
      </w:r>
      <w:r w:rsidRPr="00B26330">
        <w:rPr>
          <w:color w:val="000000"/>
        </w:rPr>
        <w:t>eposits</w:t>
      </w:r>
      <w:r w:rsidR="005257E0">
        <w:rPr>
          <w:color w:val="000000"/>
        </w:rPr>
        <w:t xml:space="preserve"> and</w:t>
      </w:r>
      <w:r w:rsidR="00A82F9F">
        <w:rPr>
          <w:color w:val="000000"/>
        </w:rPr>
        <w:t xml:space="preserve"> </w:t>
      </w:r>
      <w:r>
        <w:rPr>
          <w:color w:val="000000"/>
        </w:rPr>
        <w:t>m</w:t>
      </w:r>
      <w:r w:rsidRPr="00B26330">
        <w:rPr>
          <w:color w:val="000000"/>
        </w:rPr>
        <w:t xml:space="preserve">oney </w:t>
      </w:r>
      <w:r>
        <w:rPr>
          <w:color w:val="000000"/>
        </w:rPr>
        <w:t>m</w:t>
      </w:r>
      <w:r w:rsidRPr="00B26330">
        <w:rPr>
          <w:color w:val="000000"/>
        </w:rPr>
        <w:t>arket</w:t>
      </w:r>
      <w:r>
        <w:rPr>
          <w:color w:val="000000"/>
        </w:rPr>
        <w:t xml:space="preserve"> and</w:t>
      </w:r>
      <w:r w:rsidRPr="00B26330">
        <w:rPr>
          <w:color w:val="000000"/>
        </w:rPr>
        <w:t xml:space="preserve"> </w:t>
      </w:r>
      <w:r>
        <w:rPr>
          <w:color w:val="000000"/>
        </w:rPr>
        <w:t>h</w:t>
      </w:r>
      <w:r w:rsidRPr="00B26330">
        <w:rPr>
          <w:color w:val="000000"/>
        </w:rPr>
        <w:t xml:space="preserve">ealth </w:t>
      </w:r>
      <w:r>
        <w:rPr>
          <w:color w:val="000000"/>
        </w:rPr>
        <w:t>s</w:t>
      </w:r>
      <w:r w:rsidRPr="00B26330">
        <w:rPr>
          <w:color w:val="000000"/>
        </w:rPr>
        <w:t xml:space="preserve">avings </w:t>
      </w:r>
      <w:r>
        <w:rPr>
          <w:color w:val="000000"/>
        </w:rPr>
        <w:t>a</w:t>
      </w:r>
      <w:r w:rsidR="004D1215">
        <w:rPr>
          <w:color w:val="000000"/>
        </w:rPr>
        <w:t>ccounts.</w:t>
      </w:r>
      <w:r w:rsidRPr="00B26330">
        <w:rPr>
          <w:color w:val="000000"/>
        </w:rPr>
        <w:t xml:space="preserve">  </w:t>
      </w:r>
    </w:p>
    <w:p w14:paraId="56B84C39" w14:textId="4B404BDC" w:rsidR="00A306BA" w:rsidRPr="00B26330" w:rsidRDefault="00A306BA" w:rsidP="00A306BA">
      <w:pPr>
        <w:widowControl w:val="0"/>
        <w:rPr>
          <w:bCs/>
          <w:i/>
          <w:iCs/>
          <w:snapToGrid w:val="0"/>
          <w:color w:val="FF0000"/>
          <w:lang w:eastAsia="x-none"/>
        </w:rPr>
      </w:pPr>
    </w:p>
    <w:p w14:paraId="77510DBB" w14:textId="77777777" w:rsidR="00A306BA" w:rsidRPr="00B500C0" w:rsidRDefault="00A306BA" w:rsidP="00A306BA">
      <w:pPr>
        <w:autoSpaceDE w:val="0"/>
        <w:autoSpaceDN w:val="0"/>
        <w:adjustRightInd w:val="0"/>
        <w:rPr>
          <w:b/>
          <w:bCs/>
          <w:iCs/>
          <w:u w:val="single"/>
        </w:rPr>
      </w:pPr>
      <w:r>
        <w:rPr>
          <w:b/>
          <w:bCs/>
          <w:iCs/>
          <w:u w:val="single"/>
        </w:rPr>
        <w:t>Ability and Capacity</w:t>
      </w:r>
    </w:p>
    <w:p w14:paraId="7B88B5C4" w14:textId="6CB0A35A" w:rsidR="00A306BA" w:rsidRPr="00B26330" w:rsidRDefault="00A306BA" w:rsidP="00A306BA">
      <w:pPr>
        <w:autoSpaceDE w:val="0"/>
        <w:autoSpaceDN w:val="0"/>
        <w:adjustRightInd w:val="0"/>
        <w:rPr>
          <w:bCs/>
          <w:iCs/>
        </w:rPr>
      </w:pPr>
      <w:r w:rsidRPr="00B26330">
        <w:rPr>
          <w:bCs/>
          <w:iCs/>
        </w:rPr>
        <w:t xml:space="preserve">NBTC’s assets totaled approximately $2.2 </w:t>
      </w:r>
      <w:r w:rsidR="005257E0">
        <w:rPr>
          <w:bCs/>
          <w:iCs/>
        </w:rPr>
        <w:t>b</w:t>
      </w:r>
      <w:r w:rsidRPr="00B26330">
        <w:rPr>
          <w:bCs/>
          <w:iCs/>
        </w:rPr>
        <w:t xml:space="preserve">illion as of </w:t>
      </w:r>
      <w:r w:rsidRPr="00BC7CBA">
        <w:rPr>
          <w:bCs/>
          <w:iCs/>
        </w:rPr>
        <w:t>December 31, 2019 consisting</w:t>
      </w:r>
      <w:r w:rsidRPr="00B26330">
        <w:rPr>
          <w:bCs/>
          <w:iCs/>
        </w:rPr>
        <w:t xml:space="preserve"> total loans of approximately $1.9 million, and U</w:t>
      </w:r>
      <w:r w:rsidR="005257E0">
        <w:rPr>
          <w:bCs/>
          <w:iCs/>
        </w:rPr>
        <w:t xml:space="preserve">nited </w:t>
      </w:r>
      <w:r w:rsidRPr="00B26330">
        <w:rPr>
          <w:bCs/>
          <w:iCs/>
        </w:rPr>
        <w:t>S</w:t>
      </w:r>
      <w:r w:rsidR="005257E0">
        <w:rPr>
          <w:bCs/>
          <w:iCs/>
        </w:rPr>
        <w:t>tates (U</w:t>
      </w:r>
      <w:r w:rsidR="00514CB8">
        <w:rPr>
          <w:bCs/>
          <w:iCs/>
        </w:rPr>
        <w:t>.</w:t>
      </w:r>
      <w:r w:rsidR="005257E0">
        <w:rPr>
          <w:bCs/>
          <w:iCs/>
        </w:rPr>
        <w:t>S</w:t>
      </w:r>
      <w:r w:rsidR="00514CB8">
        <w:rPr>
          <w:bCs/>
          <w:iCs/>
        </w:rPr>
        <w:t>.</w:t>
      </w:r>
      <w:r w:rsidR="005257E0">
        <w:rPr>
          <w:bCs/>
          <w:iCs/>
        </w:rPr>
        <w:t>)</w:t>
      </w:r>
      <w:r w:rsidRPr="00B26330">
        <w:rPr>
          <w:bCs/>
          <w:iCs/>
        </w:rPr>
        <w:t xml:space="preserve"> </w:t>
      </w:r>
      <w:r w:rsidR="00514CB8">
        <w:rPr>
          <w:bCs/>
          <w:iCs/>
        </w:rPr>
        <w:t>T</w:t>
      </w:r>
      <w:r w:rsidRPr="00B26330">
        <w:rPr>
          <w:bCs/>
          <w:iCs/>
        </w:rPr>
        <w:t xml:space="preserve">reasury &amp; </w:t>
      </w:r>
      <w:r w:rsidR="00514CB8">
        <w:rPr>
          <w:bCs/>
          <w:iCs/>
        </w:rPr>
        <w:t>A</w:t>
      </w:r>
      <w:r w:rsidRPr="00B26330">
        <w:rPr>
          <w:bCs/>
          <w:iCs/>
        </w:rPr>
        <w:t xml:space="preserve">gency </w:t>
      </w:r>
      <w:r w:rsidR="005257E0">
        <w:rPr>
          <w:bCs/>
          <w:iCs/>
        </w:rPr>
        <w:t>s</w:t>
      </w:r>
      <w:r w:rsidRPr="00B26330">
        <w:rPr>
          <w:bCs/>
          <w:iCs/>
        </w:rPr>
        <w:t>ecurities and other investments totaling</w:t>
      </w:r>
      <w:r>
        <w:rPr>
          <w:bCs/>
          <w:iCs/>
        </w:rPr>
        <w:t xml:space="preserve"> approximat</w:t>
      </w:r>
      <w:r w:rsidRPr="00B26330">
        <w:rPr>
          <w:bCs/>
          <w:iCs/>
        </w:rPr>
        <w:t>e</w:t>
      </w:r>
      <w:r>
        <w:rPr>
          <w:bCs/>
          <w:iCs/>
        </w:rPr>
        <w:t>l</w:t>
      </w:r>
      <w:r w:rsidRPr="00B26330">
        <w:rPr>
          <w:bCs/>
          <w:iCs/>
        </w:rPr>
        <w:t>y $51 million.</w:t>
      </w:r>
    </w:p>
    <w:p w14:paraId="46B223B4" w14:textId="77777777" w:rsidR="00A306BA" w:rsidRPr="00B26330" w:rsidRDefault="00A306BA" w:rsidP="00A306BA">
      <w:pPr>
        <w:autoSpaceDE w:val="0"/>
        <w:autoSpaceDN w:val="0"/>
        <w:adjustRightInd w:val="0"/>
        <w:rPr>
          <w:bCs/>
          <w:iCs/>
        </w:rPr>
      </w:pPr>
    </w:p>
    <w:p w14:paraId="3B1081D7" w14:textId="77777777" w:rsidR="00A306BA" w:rsidRPr="00B26330" w:rsidRDefault="00A306BA" w:rsidP="00A306BA">
      <w:pPr>
        <w:autoSpaceDE w:val="0"/>
        <w:autoSpaceDN w:val="0"/>
        <w:adjustRightInd w:val="0"/>
        <w:rPr>
          <w:bCs/>
          <w:iCs/>
        </w:rPr>
      </w:pPr>
      <w:r w:rsidRPr="00B26330">
        <w:rPr>
          <w:bCs/>
          <w:iCs/>
        </w:rPr>
        <w:t>The following table illustrates the loan portfolio.</w:t>
      </w:r>
    </w:p>
    <w:p w14:paraId="0351D998" w14:textId="77777777" w:rsidR="00A306BA" w:rsidRPr="00B26330" w:rsidRDefault="00A306BA" w:rsidP="00A306BA">
      <w:pPr>
        <w:autoSpaceDE w:val="0"/>
        <w:autoSpaceDN w:val="0"/>
        <w:adjustRightInd w:val="0"/>
        <w:rPr>
          <w:bCs/>
          <w:iCs/>
        </w:rPr>
      </w:pPr>
    </w:p>
    <w:tbl>
      <w:tblPr>
        <w:tblW w:w="8668" w:type="dxa"/>
        <w:jc w:val="center"/>
        <w:tblBorders>
          <w:top w:val="single" w:sz="4" w:space="0" w:color="auto"/>
          <w:left w:val="single" w:sz="4" w:space="0" w:color="auto"/>
          <w:bottom w:val="single" w:sz="4" w:space="0" w:color="auto"/>
          <w:right w:val="single" w:sz="4" w:space="0" w:color="auto"/>
          <w:insideH w:val="single" w:sz="8" w:space="0" w:color="auto"/>
          <w:insideV w:val="single" w:sz="4" w:space="0" w:color="auto"/>
        </w:tblBorders>
        <w:tblLayout w:type="fixed"/>
        <w:tblLook w:val="0000" w:firstRow="0" w:lastRow="0" w:firstColumn="0" w:lastColumn="0" w:noHBand="0" w:noVBand="0"/>
      </w:tblPr>
      <w:tblGrid>
        <w:gridCol w:w="5040"/>
        <w:gridCol w:w="1890"/>
        <w:gridCol w:w="1738"/>
      </w:tblGrid>
      <w:tr w:rsidR="00A306BA" w:rsidRPr="00B26330" w14:paraId="2ABBF00C" w14:textId="77777777" w:rsidTr="005D6976">
        <w:trPr>
          <w:trHeight w:hRule="exact" w:val="360"/>
          <w:jc w:val="center"/>
        </w:trPr>
        <w:tc>
          <w:tcPr>
            <w:tcW w:w="8668" w:type="dxa"/>
            <w:gridSpan w:val="3"/>
            <w:tcBorders>
              <w:top w:val="single" w:sz="4" w:space="0" w:color="auto"/>
              <w:bottom w:val="single" w:sz="4" w:space="0" w:color="auto"/>
            </w:tcBorders>
            <w:shd w:val="clear" w:color="auto" w:fill="auto"/>
            <w:vAlign w:val="center"/>
          </w:tcPr>
          <w:p w14:paraId="76155071" w14:textId="77777777" w:rsidR="00A306BA" w:rsidRPr="00B26330" w:rsidRDefault="00A306BA" w:rsidP="005D6976">
            <w:pPr>
              <w:keepNext/>
              <w:spacing w:line="276" w:lineRule="auto"/>
              <w:jc w:val="center"/>
              <w:rPr>
                <w:b/>
                <w:color w:val="000000"/>
                <w:sz w:val="20"/>
                <w:szCs w:val="20"/>
              </w:rPr>
            </w:pPr>
            <w:r w:rsidRPr="00B26330">
              <w:rPr>
                <w:color w:val="FF0000"/>
                <w:sz w:val="20"/>
                <w:szCs w:val="20"/>
              </w:rPr>
              <w:br w:type="page"/>
            </w:r>
            <w:r w:rsidRPr="00B26330">
              <w:rPr>
                <w:color w:val="FF0000"/>
                <w:sz w:val="20"/>
                <w:szCs w:val="20"/>
              </w:rPr>
              <w:br w:type="page"/>
            </w:r>
            <w:r w:rsidRPr="00B26330">
              <w:rPr>
                <w:color w:val="FF0000"/>
                <w:sz w:val="20"/>
                <w:szCs w:val="20"/>
              </w:rPr>
              <w:br w:type="page"/>
            </w:r>
            <w:r w:rsidRPr="00B26330">
              <w:rPr>
                <w:color w:val="FF0000"/>
                <w:sz w:val="20"/>
                <w:szCs w:val="20"/>
              </w:rPr>
              <w:br w:type="page"/>
              <w:t xml:space="preserve"> </w:t>
            </w:r>
            <w:r w:rsidRPr="00B26330">
              <w:rPr>
                <w:b/>
                <w:color w:val="000000"/>
                <w:sz w:val="20"/>
                <w:szCs w:val="20"/>
              </w:rPr>
              <w:t>Loan Portfolio Distribution as of 12/31/2019</w:t>
            </w:r>
          </w:p>
        </w:tc>
      </w:tr>
      <w:tr w:rsidR="00A306BA" w:rsidRPr="00B26330" w14:paraId="7E689062" w14:textId="77777777" w:rsidTr="005D6976">
        <w:trPr>
          <w:trHeight w:val="288"/>
          <w:jc w:val="center"/>
        </w:trPr>
        <w:tc>
          <w:tcPr>
            <w:tcW w:w="5040" w:type="dxa"/>
            <w:tcBorders>
              <w:top w:val="single" w:sz="4" w:space="0" w:color="auto"/>
              <w:bottom w:val="single" w:sz="4" w:space="0" w:color="auto"/>
            </w:tcBorders>
            <w:vAlign w:val="center"/>
          </w:tcPr>
          <w:p w14:paraId="06F4C39F" w14:textId="77777777" w:rsidR="00A306BA" w:rsidRPr="00B26330" w:rsidRDefault="00A306BA" w:rsidP="005D6976">
            <w:pPr>
              <w:keepNext/>
              <w:rPr>
                <w:b/>
                <w:color w:val="000000"/>
                <w:sz w:val="20"/>
              </w:rPr>
            </w:pPr>
            <w:r w:rsidRPr="00B26330">
              <w:rPr>
                <w:b/>
                <w:color w:val="000000"/>
                <w:sz w:val="20"/>
              </w:rPr>
              <w:t>Loan Category</w:t>
            </w:r>
          </w:p>
        </w:tc>
        <w:tc>
          <w:tcPr>
            <w:tcW w:w="1890" w:type="dxa"/>
            <w:tcBorders>
              <w:top w:val="single" w:sz="4" w:space="0" w:color="auto"/>
              <w:bottom w:val="single" w:sz="4" w:space="0" w:color="auto"/>
            </w:tcBorders>
            <w:vAlign w:val="center"/>
          </w:tcPr>
          <w:p w14:paraId="77015445" w14:textId="77777777" w:rsidR="00A306BA" w:rsidRPr="00B26330" w:rsidRDefault="00A306BA" w:rsidP="005D6976">
            <w:pPr>
              <w:keepNext/>
              <w:jc w:val="center"/>
              <w:rPr>
                <w:b/>
                <w:color w:val="000000"/>
                <w:sz w:val="20"/>
              </w:rPr>
            </w:pPr>
            <w:r w:rsidRPr="00B26330">
              <w:rPr>
                <w:b/>
                <w:color w:val="000000"/>
                <w:sz w:val="20"/>
              </w:rPr>
              <w:t>$(000s)</w:t>
            </w:r>
          </w:p>
        </w:tc>
        <w:tc>
          <w:tcPr>
            <w:tcW w:w="1738" w:type="dxa"/>
            <w:tcBorders>
              <w:top w:val="single" w:sz="4" w:space="0" w:color="auto"/>
              <w:bottom w:val="single" w:sz="4" w:space="0" w:color="auto"/>
            </w:tcBorders>
            <w:vAlign w:val="center"/>
          </w:tcPr>
          <w:p w14:paraId="090ACD09" w14:textId="77777777" w:rsidR="00A306BA" w:rsidRPr="00B26330" w:rsidRDefault="00A306BA" w:rsidP="005D6976">
            <w:pPr>
              <w:keepNext/>
              <w:jc w:val="center"/>
              <w:rPr>
                <w:b/>
                <w:color w:val="000000"/>
                <w:sz w:val="20"/>
              </w:rPr>
            </w:pPr>
            <w:r w:rsidRPr="00B26330">
              <w:rPr>
                <w:b/>
                <w:color w:val="000000"/>
                <w:sz w:val="20"/>
              </w:rPr>
              <w:t>%</w:t>
            </w:r>
          </w:p>
        </w:tc>
      </w:tr>
      <w:tr w:rsidR="00A306BA" w:rsidRPr="00B26330" w14:paraId="0E10CF2F" w14:textId="77777777" w:rsidTr="005D6976">
        <w:trPr>
          <w:trHeight w:val="288"/>
          <w:jc w:val="center"/>
        </w:trPr>
        <w:tc>
          <w:tcPr>
            <w:tcW w:w="5040" w:type="dxa"/>
            <w:tcBorders>
              <w:top w:val="single" w:sz="4" w:space="0" w:color="auto"/>
              <w:bottom w:val="single" w:sz="4" w:space="0" w:color="auto"/>
            </w:tcBorders>
            <w:vAlign w:val="center"/>
          </w:tcPr>
          <w:p w14:paraId="0C77EFB3" w14:textId="77777777" w:rsidR="00A306BA" w:rsidRPr="00B26330" w:rsidRDefault="00A306BA" w:rsidP="005D6976">
            <w:pPr>
              <w:keepNext/>
              <w:rPr>
                <w:color w:val="000000"/>
                <w:sz w:val="20"/>
              </w:rPr>
            </w:pPr>
            <w:r w:rsidRPr="00B26330">
              <w:rPr>
                <w:color w:val="000000"/>
                <w:sz w:val="20"/>
              </w:rPr>
              <w:t>Construction, Land Development, and Other Land Loans</w:t>
            </w:r>
          </w:p>
        </w:tc>
        <w:tc>
          <w:tcPr>
            <w:tcW w:w="1890" w:type="dxa"/>
            <w:tcBorders>
              <w:top w:val="single" w:sz="4" w:space="0" w:color="auto"/>
              <w:bottom w:val="single" w:sz="4" w:space="0" w:color="auto"/>
            </w:tcBorders>
            <w:vAlign w:val="center"/>
          </w:tcPr>
          <w:p w14:paraId="70334F4F" w14:textId="77777777" w:rsidR="00A306BA" w:rsidRPr="00B26330" w:rsidRDefault="00A306BA" w:rsidP="005D6976">
            <w:pPr>
              <w:keepNext/>
              <w:jc w:val="center"/>
              <w:rPr>
                <w:color w:val="000000"/>
                <w:sz w:val="20"/>
              </w:rPr>
            </w:pPr>
            <w:r w:rsidRPr="00B26330">
              <w:rPr>
                <w:color w:val="000000"/>
                <w:sz w:val="20"/>
              </w:rPr>
              <w:t>213,487</w:t>
            </w:r>
          </w:p>
        </w:tc>
        <w:tc>
          <w:tcPr>
            <w:tcW w:w="1738" w:type="dxa"/>
            <w:tcBorders>
              <w:top w:val="single" w:sz="4" w:space="0" w:color="auto"/>
              <w:bottom w:val="single" w:sz="4" w:space="0" w:color="auto"/>
            </w:tcBorders>
            <w:vAlign w:val="center"/>
          </w:tcPr>
          <w:p w14:paraId="7B768D1F" w14:textId="77777777" w:rsidR="00A306BA" w:rsidRPr="00B26330" w:rsidRDefault="00A306BA" w:rsidP="005D6976">
            <w:pPr>
              <w:keepNext/>
              <w:jc w:val="center"/>
              <w:rPr>
                <w:color w:val="000000"/>
                <w:sz w:val="20"/>
              </w:rPr>
            </w:pPr>
            <w:r w:rsidRPr="00B26330">
              <w:rPr>
                <w:color w:val="000000"/>
                <w:sz w:val="20"/>
              </w:rPr>
              <w:t>11.1</w:t>
            </w:r>
          </w:p>
        </w:tc>
      </w:tr>
      <w:tr w:rsidR="00A306BA" w:rsidRPr="00B26330" w14:paraId="531C7FC7" w14:textId="77777777" w:rsidTr="005D6976">
        <w:trPr>
          <w:trHeight w:val="288"/>
          <w:jc w:val="center"/>
        </w:trPr>
        <w:tc>
          <w:tcPr>
            <w:tcW w:w="5040" w:type="dxa"/>
            <w:tcBorders>
              <w:top w:val="single" w:sz="4" w:space="0" w:color="auto"/>
              <w:bottom w:val="single" w:sz="4" w:space="0" w:color="auto"/>
            </w:tcBorders>
            <w:vAlign w:val="center"/>
          </w:tcPr>
          <w:p w14:paraId="35E8E75C" w14:textId="77777777" w:rsidR="00A306BA" w:rsidRPr="00B26330" w:rsidRDefault="00A306BA" w:rsidP="005D6976">
            <w:pPr>
              <w:keepNext/>
              <w:rPr>
                <w:color w:val="000000"/>
                <w:sz w:val="20"/>
              </w:rPr>
            </w:pPr>
            <w:r w:rsidRPr="00B26330">
              <w:rPr>
                <w:color w:val="000000"/>
                <w:sz w:val="20"/>
              </w:rPr>
              <w:t>Secured by Farmland</w:t>
            </w:r>
          </w:p>
        </w:tc>
        <w:tc>
          <w:tcPr>
            <w:tcW w:w="1890" w:type="dxa"/>
            <w:tcBorders>
              <w:top w:val="single" w:sz="4" w:space="0" w:color="auto"/>
              <w:bottom w:val="single" w:sz="4" w:space="0" w:color="auto"/>
            </w:tcBorders>
            <w:vAlign w:val="center"/>
          </w:tcPr>
          <w:p w14:paraId="4300917C" w14:textId="77777777" w:rsidR="00A306BA" w:rsidRPr="00B26330" w:rsidRDefault="00A306BA" w:rsidP="005D6976">
            <w:pPr>
              <w:keepNext/>
              <w:jc w:val="center"/>
              <w:rPr>
                <w:color w:val="000000"/>
                <w:sz w:val="20"/>
              </w:rPr>
            </w:pPr>
            <w:r w:rsidRPr="00B26330">
              <w:rPr>
                <w:color w:val="000000"/>
                <w:sz w:val="20"/>
              </w:rPr>
              <w:t>0</w:t>
            </w:r>
          </w:p>
        </w:tc>
        <w:tc>
          <w:tcPr>
            <w:tcW w:w="1738" w:type="dxa"/>
            <w:tcBorders>
              <w:top w:val="single" w:sz="4" w:space="0" w:color="auto"/>
              <w:bottom w:val="single" w:sz="4" w:space="0" w:color="auto"/>
            </w:tcBorders>
            <w:vAlign w:val="center"/>
          </w:tcPr>
          <w:p w14:paraId="07DA0C74" w14:textId="77777777" w:rsidR="00A306BA" w:rsidRPr="00B26330" w:rsidRDefault="00A306BA" w:rsidP="005D6976">
            <w:pPr>
              <w:keepNext/>
              <w:jc w:val="center"/>
              <w:rPr>
                <w:color w:val="000000"/>
                <w:sz w:val="20"/>
              </w:rPr>
            </w:pPr>
            <w:r w:rsidRPr="00B26330">
              <w:rPr>
                <w:color w:val="000000"/>
                <w:sz w:val="20"/>
              </w:rPr>
              <w:t>0.0</w:t>
            </w:r>
          </w:p>
        </w:tc>
      </w:tr>
      <w:tr w:rsidR="00A306BA" w:rsidRPr="00B26330" w14:paraId="23C2A36F" w14:textId="77777777" w:rsidTr="005D6976">
        <w:trPr>
          <w:trHeight w:val="288"/>
          <w:jc w:val="center"/>
        </w:trPr>
        <w:tc>
          <w:tcPr>
            <w:tcW w:w="5040" w:type="dxa"/>
            <w:tcBorders>
              <w:top w:val="single" w:sz="4" w:space="0" w:color="auto"/>
              <w:bottom w:val="single" w:sz="4" w:space="0" w:color="auto"/>
            </w:tcBorders>
            <w:vAlign w:val="center"/>
          </w:tcPr>
          <w:p w14:paraId="075ED3A2" w14:textId="77777777" w:rsidR="00A306BA" w:rsidRPr="00B26330" w:rsidRDefault="00A306BA" w:rsidP="005D6976">
            <w:pPr>
              <w:keepNext/>
              <w:rPr>
                <w:color w:val="000000"/>
                <w:sz w:val="20"/>
              </w:rPr>
            </w:pPr>
            <w:r w:rsidRPr="00B26330">
              <w:rPr>
                <w:color w:val="000000"/>
                <w:sz w:val="20"/>
              </w:rPr>
              <w:t>Secured by 1-4 Family Residential Properties</w:t>
            </w:r>
          </w:p>
        </w:tc>
        <w:tc>
          <w:tcPr>
            <w:tcW w:w="1890" w:type="dxa"/>
            <w:tcBorders>
              <w:top w:val="single" w:sz="4" w:space="0" w:color="auto"/>
              <w:bottom w:val="single" w:sz="4" w:space="0" w:color="auto"/>
            </w:tcBorders>
            <w:vAlign w:val="center"/>
          </w:tcPr>
          <w:p w14:paraId="5BE99543" w14:textId="77777777" w:rsidR="00A306BA" w:rsidRPr="00B26330" w:rsidRDefault="00A306BA" w:rsidP="005D6976">
            <w:pPr>
              <w:keepNext/>
              <w:jc w:val="center"/>
              <w:rPr>
                <w:color w:val="000000"/>
                <w:sz w:val="20"/>
              </w:rPr>
            </w:pPr>
            <w:r w:rsidRPr="00B26330">
              <w:rPr>
                <w:color w:val="000000"/>
                <w:sz w:val="20"/>
              </w:rPr>
              <w:t>290,074</w:t>
            </w:r>
          </w:p>
        </w:tc>
        <w:tc>
          <w:tcPr>
            <w:tcW w:w="1738" w:type="dxa"/>
            <w:tcBorders>
              <w:top w:val="single" w:sz="4" w:space="0" w:color="auto"/>
              <w:bottom w:val="single" w:sz="4" w:space="0" w:color="auto"/>
            </w:tcBorders>
            <w:vAlign w:val="center"/>
          </w:tcPr>
          <w:p w14:paraId="2B101A03" w14:textId="77777777" w:rsidR="00A306BA" w:rsidRPr="00B26330" w:rsidRDefault="00A306BA" w:rsidP="005D6976">
            <w:pPr>
              <w:keepNext/>
              <w:jc w:val="center"/>
              <w:rPr>
                <w:color w:val="000000"/>
                <w:sz w:val="20"/>
              </w:rPr>
            </w:pPr>
            <w:r w:rsidRPr="00B26330">
              <w:rPr>
                <w:color w:val="000000"/>
                <w:sz w:val="20"/>
              </w:rPr>
              <w:t>15.2</w:t>
            </w:r>
          </w:p>
        </w:tc>
      </w:tr>
      <w:tr w:rsidR="00A306BA" w:rsidRPr="00B26330" w14:paraId="5154F052" w14:textId="77777777" w:rsidTr="005D6976">
        <w:trPr>
          <w:trHeight w:val="288"/>
          <w:jc w:val="center"/>
        </w:trPr>
        <w:tc>
          <w:tcPr>
            <w:tcW w:w="5040" w:type="dxa"/>
            <w:tcBorders>
              <w:top w:val="single" w:sz="4" w:space="0" w:color="auto"/>
              <w:bottom w:val="single" w:sz="4" w:space="0" w:color="auto"/>
            </w:tcBorders>
            <w:vAlign w:val="center"/>
          </w:tcPr>
          <w:p w14:paraId="7D049198" w14:textId="77777777" w:rsidR="00A306BA" w:rsidRPr="00B26330" w:rsidRDefault="00A306BA" w:rsidP="005D6976">
            <w:pPr>
              <w:keepNext/>
              <w:rPr>
                <w:color w:val="000000"/>
                <w:sz w:val="20"/>
              </w:rPr>
            </w:pPr>
            <w:r w:rsidRPr="00B26330">
              <w:rPr>
                <w:color w:val="000000"/>
                <w:sz w:val="20"/>
              </w:rPr>
              <w:t>Secured by Multifamily (5 or more) Residential Properties</w:t>
            </w:r>
          </w:p>
        </w:tc>
        <w:tc>
          <w:tcPr>
            <w:tcW w:w="1890" w:type="dxa"/>
            <w:tcBorders>
              <w:top w:val="single" w:sz="4" w:space="0" w:color="auto"/>
              <w:bottom w:val="single" w:sz="4" w:space="0" w:color="auto"/>
            </w:tcBorders>
            <w:vAlign w:val="center"/>
          </w:tcPr>
          <w:p w14:paraId="33525DDE" w14:textId="77777777" w:rsidR="00A306BA" w:rsidRPr="00B26330" w:rsidRDefault="00A306BA" w:rsidP="005D6976">
            <w:pPr>
              <w:keepNext/>
              <w:jc w:val="center"/>
              <w:rPr>
                <w:color w:val="000000"/>
                <w:sz w:val="20"/>
              </w:rPr>
            </w:pPr>
            <w:r w:rsidRPr="00B26330">
              <w:rPr>
                <w:color w:val="000000"/>
                <w:sz w:val="20"/>
              </w:rPr>
              <w:t>4,115</w:t>
            </w:r>
          </w:p>
        </w:tc>
        <w:tc>
          <w:tcPr>
            <w:tcW w:w="1738" w:type="dxa"/>
            <w:tcBorders>
              <w:top w:val="single" w:sz="4" w:space="0" w:color="auto"/>
              <w:bottom w:val="single" w:sz="4" w:space="0" w:color="auto"/>
            </w:tcBorders>
            <w:vAlign w:val="center"/>
          </w:tcPr>
          <w:p w14:paraId="79E7EBFB" w14:textId="77777777" w:rsidR="00A306BA" w:rsidRPr="00B26330" w:rsidRDefault="00A306BA" w:rsidP="005D6976">
            <w:pPr>
              <w:keepNext/>
              <w:jc w:val="center"/>
              <w:rPr>
                <w:color w:val="000000"/>
                <w:sz w:val="20"/>
              </w:rPr>
            </w:pPr>
            <w:r w:rsidRPr="00B26330">
              <w:rPr>
                <w:color w:val="000000"/>
                <w:sz w:val="20"/>
              </w:rPr>
              <w:t>0.2</w:t>
            </w:r>
          </w:p>
        </w:tc>
      </w:tr>
      <w:tr w:rsidR="00A306BA" w:rsidRPr="00B26330" w14:paraId="19935E86" w14:textId="77777777" w:rsidTr="005D6976">
        <w:trPr>
          <w:trHeight w:val="288"/>
          <w:jc w:val="center"/>
        </w:trPr>
        <w:tc>
          <w:tcPr>
            <w:tcW w:w="5040" w:type="dxa"/>
            <w:tcBorders>
              <w:top w:val="single" w:sz="4" w:space="0" w:color="auto"/>
              <w:bottom w:val="single" w:sz="4" w:space="0" w:color="auto"/>
            </w:tcBorders>
            <w:vAlign w:val="center"/>
          </w:tcPr>
          <w:p w14:paraId="4294689C" w14:textId="77777777" w:rsidR="00A306BA" w:rsidRPr="00B26330" w:rsidRDefault="00A306BA" w:rsidP="005D6976">
            <w:pPr>
              <w:keepNext/>
              <w:rPr>
                <w:color w:val="000000"/>
                <w:sz w:val="20"/>
              </w:rPr>
            </w:pPr>
            <w:r w:rsidRPr="00B26330">
              <w:rPr>
                <w:color w:val="000000"/>
                <w:sz w:val="20"/>
              </w:rPr>
              <w:t>Secured by Nonfarm Nonresidential Properties</w:t>
            </w:r>
          </w:p>
        </w:tc>
        <w:tc>
          <w:tcPr>
            <w:tcW w:w="1890" w:type="dxa"/>
            <w:tcBorders>
              <w:top w:val="single" w:sz="4" w:space="0" w:color="auto"/>
              <w:bottom w:val="single" w:sz="4" w:space="0" w:color="auto"/>
            </w:tcBorders>
            <w:vAlign w:val="center"/>
          </w:tcPr>
          <w:p w14:paraId="527DF4F3" w14:textId="77777777" w:rsidR="00A306BA" w:rsidRPr="00B26330" w:rsidRDefault="00A306BA" w:rsidP="005D6976">
            <w:pPr>
              <w:keepNext/>
              <w:jc w:val="center"/>
              <w:rPr>
                <w:color w:val="000000"/>
                <w:sz w:val="20"/>
              </w:rPr>
            </w:pPr>
            <w:r w:rsidRPr="00B26330">
              <w:rPr>
                <w:color w:val="000000"/>
                <w:sz w:val="20"/>
              </w:rPr>
              <w:t>619,678</w:t>
            </w:r>
          </w:p>
        </w:tc>
        <w:tc>
          <w:tcPr>
            <w:tcW w:w="1738" w:type="dxa"/>
            <w:tcBorders>
              <w:top w:val="single" w:sz="4" w:space="0" w:color="auto"/>
              <w:bottom w:val="single" w:sz="4" w:space="0" w:color="auto"/>
            </w:tcBorders>
            <w:vAlign w:val="center"/>
          </w:tcPr>
          <w:p w14:paraId="452AE4AB" w14:textId="77777777" w:rsidR="00A306BA" w:rsidRPr="00B26330" w:rsidRDefault="00A306BA" w:rsidP="005D6976">
            <w:pPr>
              <w:keepNext/>
              <w:jc w:val="center"/>
              <w:rPr>
                <w:color w:val="000000"/>
                <w:sz w:val="20"/>
              </w:rPr>
            </w:pPr>
            <w:r w:rsidRPr="00B26330">
              <w:rPr>
                <w:color w:val="000000"/>
                <w:sz w:val="20"/>
              </w:rPr>
              <w:t>32.4</w:t>
            </w:r>
          </w:p>
        </w:tc>
      </w:tr>
      <w:tr w:rsidR="00A306BA" w:rsidRPr="00B26330" w14:paraId="488EDB15" w14:textId="77777777" w:rsidTr="005D6976">
        <w:trPr>
          <w:trHeight w:val="288"/>
          <w:jc w:val="center"/>
        </w:trPr>
        <w:tc>
          <w:tcPr>
            <w:tcW w:w="5040" w:type="dxa"/>
            <w:tcBorders>
              <w:top w:val="single" w:sz="4" w:space="0" w:color="auto"/>
              <w:bottom w:val="single" w:sz="4" w:space="0" w:color="auto"/>
            </w:tcBorders>
            <w:vAlign w:val="center"/>
          </w:tcPr>
          <w:p w14:paraId="459DEB75" w14:textId="77777777" w:rsidR="00A306BA" w:rsidRPr="00B26330" w:rsidRDefault="00A306BA" w:rsidP="005D6976">
            <w:pPr>
              <w:keepNext/>
              <w:rPr>
                <w:b/>
                <w:color w:val="000000"/>
                <w:sz w:val="20"/>
              </w:rPr>
            </w:pPr>
            <w:r w:rsidRPr="00B26330">
              <w:rPr>
                <w:b/>
                <w:color w:val="000000"/>
                <w:sz w:val="20"/>
              </w:rPr>
              <w:t>Total Real Estate Loans</w:t>
            </w:r>
          </w:p>
        </w:tc>
        <w:tc>
          <w:tcPr>
            <w:tcW w:w="1890" w:type="dxa"/>
            <w:tcBorders>
              <w:top w:val="single" w:sz="4" w:space="0" w:color="auto"/>
              <w:bottom w:val="single" w:sz="4" w:space="0" w:color="auto"/>
            </w:tcBorders>
            <w:vAlign w:val="center"/>
          </w:tcPr>
          <w:p w14:paraId="565ECADC" w14:textId="77777777" w:rsidR="00A306BA" w:rsidRPr="00B26330" w:rsidRDefault="00A306BA" w:rsidP="005D6976">
            <w:pPr>
              <w:keepNext/>
              <w:jc w:val="center"/>
              <w:rPr>
                <w:b/>
                <w:color w:val="000000"/>
                <w:sz w:val="20"/>
              </w:rPr>
            </w:pPr>
            <w:r w:rsidRPr="00B26330">
              <w:rPr>
                <w:b/>
                <w:color w:val="000000"/>
                <w:sz w:val="20"/>
              </w:rPr>
              <w:t>1,127,353</w:t>
            </w:r>
          </w:p>
        </w:tc>
        <w:tc>
          <w:tcPr>
            <w:tcW w:w="1738" w:type="dxa"/>
            <w:tcBorders>
              <w:top w:val="single" w:sz="4" w:space="0" w:color="auto"/>
              <w:bottom w:val="single" w:sz="4" w:space="0" w:color="auto"/>
            </w:tcBorders>
            <w:vAlign w:val="center"/>
          </w:tcPr>
          <w:p w14:paraId="0D992E38" w14:textId="77777777" w:rsidR="00A306BA" w:rsidRPr="00B26330" w:rsidRDefault="00A306BA" w:rsidP="005D6976">
            <w:pPr>
              <w:keepNext/>
              <w:jc w:val="center"/>
              <w:rPr>
                <w:b/>
                <w:color w:val="000000"/>
                <w:sz w:val="20"/>
              </w:rPr>
            </w:pPr>
            <w:r w:rsidRPr="00B26330">
              <w:rPr>
                <w:b/>
                <w:color w:val="000000"/>
                <w:sz w:val="20"/>
              </w:rPr>
              <w:t>58.9</w:t>
            </w:r>
          </w:p>
        </w:tc>
      </w:tr>
      <w:tr w:rsidR="00A306BA" w:rsidRPr="00B26330" w14:paraId="3A2EBD75" w14:textId="77777777" w:rsidTr="005D6976">
        <w:trPr>
          <w:trHeight w:val="288"/>
          <w:jc w:val="center"/>
        </w:trPr>
        <w:tc>
          <w:tcPr>
            <w:tcW w:w="5040" w:type="dxa"/>
            <w:tcBorders>
              <w:top w:val="single" w:sz="4" w:space="0" w:color="auto"/>
              <w:bottom w:val="single" w:sz="4" w:space="0" w:color="auto"/>
            </w:tcBorders>
            <w:vAlign w:val="center"/>
          </w:tcPr>
          <w:p w14:paraId="2B778C12" w14:textId="77777777" w:rsidR="00A306BA" w:rsidRPr="00B26330" w:rsidRDefault="00A306BA" w:rsidP="005D6976">
            <w:pPr>
              <w:keepNext/>
              <w:rPr>
                <w:color w:val="000000"/>
                <w:sz w:val="20"/>
              </w:rPr>
            </w:pPr>
            <w:r w:rsidRPr="00B26330">
              <w:rPr>
                <w:color w:val="000000"/>
                <w:sz w:val="20"/>
              </w:rPr>
              <w:t>Commercial and Industrial Loans</w:t>
            </w:r>
          </w:p>
        </w:tc>
        <w:tc>
          <w:tcPr>
            <w:tcW w:w="1890" w:type="dxa"/>
            <w:tcBorders>
              <w:top w:val="single" w:sz="4" w:space="0" w:color="auto"/>
              <w:bottom w:val="single" w:sz="4" w:space="0" w:color="auto"/>
            </w:tcBorders>
            <w:vAlign w:val="center"/>
          </w:tcPr>
          <w:p w14:paraId="24456768" w14:textId="77777777" w:rsidR="00A306BA" w:rsidRPr="00B26330" w:rsidRDefault="00A306BA" w:rsidP="005D6976">
            <w:pPr>
              <w:keepNext/>
              <w:jc w:val="center"/>
              <w:rPr>
                <w:color w:val="000000"/>
                <w:sz w:val="20"/>
              </w:rPr>
            </w:pPr>
            <w:r w:rsidRPr="00B26330">
              <w:rPr>
                <w:color w:val="000000"/>
                <w:sz w:val="20"/>
              </w:rPr>
              <w:t>761,875</w:t>
            </w:r>
          </w:p>
        </w:tc>
        <w:tc>
          <w:tcPr>
            <w:tcW w:w="1738" w:type="dxa"/>
            <w:tcBorders>
              <w:top w:val="single" w:sz="4" w:space="0" w:color="auto"/>
              <w:bottom w:val="single" w:sz="4" w:space="0" w:color="auto"/>
            </w:tcBorders>
            <w:vAlign w:val="center"/>
          </w:tcPr>
          <w:p w14:paraId="159CC498" w14:textId="77777777" w:rsidR="00A306BA" w:rsidRPr="00B26330" w:rsidRDefault="00A306BA" w:rsidP="005D6976">
            <w:pPr>
              <w:keepNext/>
              <w:jc w:val="center"/>
              <w:rPr>
                <w:color w:val="000000"/>
                <w:sz w:val="20"/>
              </w:rPr>
            </w:pPr>
            <w:r w:rsidRPr="00B26330">
              <w:rPr>
                <w:color w:val="000000"/>
                <w:sz w:val="20"/>
              </w:rPr>
              <w:t>39.8</w:t>
            </w:r>
          </w:p>
        </w:tc>
      </w:tr>
      <w:tr w:rsidR="005257E0" w:rsidRPr="00B26330" w14:paraId="449D6169" w14:textId="77777777" w:rsidTr="005D6976">
        <w:trPr>
          <w:trHeight w:val="288"/>
          <w:jc w:val="center"/>
        </w:trPr>
        <w:tc>
          <w:tcPr>
            <w:tcW w:w="5040" w:type="dxa"/>
            <w:tcBorders>
              <w:top w:val="single" w:sz="4" w:space="0" w:color="auto"/>
              <w:bottom w:val="single" w:sz="4" w:space="0" w:color="auto"/>
            </w:tcBorders>
            <w:vAlign w:val="center"/>
          </w:tcPr>
          <w:p w14:paraId="1B7BA833" w14:textId="6324A970" w:rsidR="005257E0" w:rsidRPr="003B2A80" w:rsidRDefault="005257E0" w:rsidP="005D6976">
            <w:pPr>
              <w:keepNext/>
              <w:rPr>
                <w:color w:val="000000"/>
                <w:sz w:val="20"/>
                <w:szCs w:val="20"/>
                <w:highlight w:val="yellow"/>
              </w:rPr>
            </w:pPr>
            <w:r w:rsidRPr="00CC6CBF">
              <w:rPr>
                <w:color w:val="000000"/>
                <w:sz w:val="20"/>
                <w:szCs w:val="20"/>
              </w:rPr>
              <w:t>Agricultural Production and Other Loans to Farmers</w:t>
            </w:r>
          </w:p>
        </w:tc>
        <w:tc>
          <w:tcPr>
            <w:tcW w:w="1890" w:type="dxa"/>
            <w:tcBorders>
              <w:top w:val="single" w:sz="4" w:space="0" w:color="auto"/>
              <w:bottom w:val="single" w:sz="4" w:space="0" w:color="auto"/>
            </w:tcBorders>
            <w:vAlign w:val="center"/>
          </w:tcPr>
          <w:p w14:paraId="71F06505" w14:textId="2CE9A8A6" w:rsidR="005257E0" w:rsidRPr="003B2A80" w:rsidRDefault="00AF189B" w:rsidP="005D6976">
            <w:pPr>
              <w:keepNext/>
              <w:jc w:val="center"/>
              <w:rPr>
                <w:color w:val="000000"/>
                <w:sz w:val="20"/>
                <w:highlight w:val="yellow"/>
              </w:rPr>
            </w:pPr>
            <w:r w:rsidRPr="00CC6CBF">
              <w:rPr>
                <w:color w:val="000000"/>
                <w:sz w:val="20"/>
              </w:rPr>
              <w:t>0</w:t>
            </w:r>
          </w:p>
        </w:tc>
        <w:tc>
          <w:tcPr>
            <w:tcW w:w="1738" w:type="dxa"/>
            <w:tcBorders>
              <w:top w:val="single" w:sz="4" w:space="0" w:color="auto"/>
              <w:bottom w:val="single" w:sz="4" w:space="0" w:color="auto"/>
            </w:tcBorders>
            <w:vAlign w:val="center"/>
          </w:tcPr>
          <w:p w14:paraId="2E606F5F" w14:textId="3989ADE5" w:rsidR="005257E0" w:rsidRPr="00B26330" w:rsidRDefault="00AF189B" w:rsidP="005D6976">
            <w:pPr>
              <w:keepNext/>
              <w:jc w:val="center"/>
              <w:rPr>
                <w:color w:val="000000"/>
                <w:sz w:val="20"/>
              </w:rPr>
            </w:pPr>
            <w:r>
              <w:rPr>
                <w:color w:val="000000"/>
                <w:sz w:val="20"/>
              </w:rPr>
              <w:t>0.0</w:t>
            </w:r>
          </w:p>
        </w:tc>
      </w:tr>
      <w:tr w:rsidR="005257E0" w:rsidRPr="00B26330" w14:paraId="2907232E" w14:textId="77777777" w:rsidTr="005D6976">
        <w:trPr>
          <w:trHeight w:val="288"/>
          <w:jc w:val="center"/>
        </w:trPr>
        <w:tc>
          <w:tcPr>
            <w:tcW w:w="5040" w:type="dxa"/>
            <w:tcBorders>
              <w:top w:val="single" w:sz="4" w:space="0" w:color="auto"/>
              <w:bottom w:val="single" w:sz="4" w:space="0" w:color="auto"/>
            </w:tcBorders>
            <w:vAlign w:val="center"/>
          </w:tcPr>
          <w:p w14:paraId="082C0C0F" w14:textId="55CADDC2" w:rsidR="005257E0" w:rsidRPr="00B26330" w:rsidRDefault="005257E0" w:rsidP="005D6976">
            <w:pPr>
              <w:keepNext/>
              <w:rPr>
                <w:color w:val="000000"/>
                <w:sz w:val="20"/>
                <w:szCs w:val="20"/>
              </w:rPr>
            </w:pPr>
            <w:r>
              <w:rPr>
                <w:color w:val="000000"/>
                <w:sz w:val="20"/>
                <w:szCs w:val="20"/>
              </w:rPr>
              <w:t>Consumer Loans</w:t>
            </w:r>
          </w:p>
        </w:tc>
        <w:tc>
          <w:tcPr>
            <w:tcW w:w="1890" w:type="dxa"/>
            <w:tcBorders>
              <w:top w:val="single" w:sz="4" w:space="0" w:color="auto"/>
              <w:bottom w:val="single" w:sz="4" w:space="0" w:color="auto"/>
            </w:tcBorders>
            <w:vAlign w:val="center"/>
          </w:tcPr>
          <w:p w14:paraId="1CD75393" w14:textId="4DD55D9F" w:rsidR="005257E0" w:rsidRPr="00B26330" w:rsidRDefault="005257E0" w:rsidP="005D6976">
            <w:pPr>
              <w:keepNext/>
              <w:jc w:val="center"/>
              <w:rPr>
                <w:color w:val="000000"/>
                <w:sz w:val="20"/>
              </w:rPr>
            </w:pPr>
            <w:r>
              <w:rPr>
                <w:color w:val="000000"/>
                <w:sz w:val="20"/>
              </w:rPr>
              <w:t>1,598</w:t>
            </w:r>
          </w:p>
        </w:tc>
        <w:tc>
          <w:tcPr>
            <w:tcW w:w="1738" w:type="dxa"/>
            <w:tcBorders>
              <w:top w:val="single" w:sz="4" w:space="0" w:color="auto"/>
              <w:bottom w:val="single" w:sz="4" w:space="0" w:color="auto"/>
            </w:tcBorders>
            <w:vAlign w:val="center"/>
          </w:tcPr>
          <w:p w14:paraId="0BADE3C1" w14:textId="3689FEB1" w:rsidR="005257E0" w:rsidRPr="00B26330" w:rsidRDefault="005257E0" w:rsidP="005D6976">
            <w:pPr>
              <w:keepNext/>
              <w:jc w:val="center"/>
              <w:rPr>
                <w:color w:val="000000"/>
                <w:sz w:val="20"/>
              </w:rPr>
            </w:pPr>
            <w:r>
              <w:rPr>
                <w:color w:val="000000"/>
                <w:sz w:val="20"/>
              </w:rPr>
              <w:t>0.1</w:t>
            </w:r>
          </w:p>
        </w:tc>
      </w:tr>
      <w:tr w:rsidR="00A306BA" w:rsidRPr="00B26330" w14:paraId="61C047B5" w14:textId="77777777" w:rsidTr="005D6976">
        <w:trPr>
          <w:trHeight w:val="288"/>
          <w:jc w:val="center"/>
        </w:trPr>
        <w:tc>
          <w:tcPr>
            <w:tcW w:w="5040" w:type="dxa"/>
            <w:tcBorders>
              <w:top w:val="single" w:sz="4" w:space="0" w:color="auto"/>
              <w:bottom w:val="single" w:sz="4" w:space="0" w:color="auto"/>
            </w:tcBorders>
            <w:vAlign w:val="center"/>
          </w:tcPr>
          <w:p w14:paraId="2E26FADC" w14:textId="77777777" w:rsidR="00A306BA" w:rsidRPr="00B26330" w:rsidRDefault="00A306BA" w:rsidP="005D6976">
            <w:pPr>
              <w:keepNext/>
              <w:rPr>
                <w:color w:val="000000"/>
                <w:sz w:val="20"/>
                <w:szCs w:val="20"/>
              </w:rPr>
            </w:pPr>
            <w:r w:rsidRPr="00B26330">
              <w:rPr>
                <w:color w:val="000000"/>
                <w:sz w:val="20"/>
                <w:szCs w:val="20"/>
              </w:rPr>
              <w:t>Obligations of State and Political Subdivisions in the U.S.</w:t>
            </w:r>
          </w:p>
        </w:tc>
        <w:tc>
          <w:tcPr>
            <w:tcW w:w="1890" w:type="dxa"/>
            <w:tcBorders>
              <w:top w:val="single" w:sz="4" w:space="0" w:color="auto"/>
              <w:bottom w:val="single" w:sz="4" w:space="0" w:color="auto"/>
            </w:tcBorders>
            <w:vAlign w:val="center"/>
          </w:tcPr>
          <w:p w14:paraId="28729D18" w14:textId="77777777" w:rsidR="00A306BA" w:rsidRPr="00B26330" w:rsidRDefault="00A306BA" w:rsidP="005D6976">
            <w:pPr>
              <w:keepNext/>
              <w:jc w:val="center"/>
              <w:rPr>
                <w:color w:val="000000"/>
                <w:sz w:val="20"/>
              </w:rPr>
            </w:pPr>
            <w:r w:rsidRPr="00B26330">
              <w:rPr>
                <w:color w:val="000000"/>
                <w:sz w:val="20"/>
              </w:rPr>
              <w:t>23,679</w:t>
            </w:r>
          </w:p>
        </w:tc>
        <w:tc>
          <w:tcPr>
            <w:tcW w:w="1738" w:type="dxa"/>
            <w:tcBorders>
              <w:top w:val="single" w:sz="4" w:space="0" w:color="auto"/>
              <w:bottom w:val="single" w:sz="4" w:space="0" w:color="auto"/>
            </w:tcBorders>
            <w:vAlign w:val="center"/>
          </w:tcPr>
          <w:p w14:paraId="50016D05" w14:textId="77777777" w:rsidR="00A306BA" w:rsidRPr="00B26330" w:rsidRDefault="00A306BA" w:rsidP="005D6976">
            <w:pPr>
              <w:keepNext/>
              <w:jc w:val="center"/>
              <w:rPr>
                <w:color w:val="000000"/>
                <w:sz w:val="20"/>
              </w:rPr>
            </w:pPr>
            <w:r w:rsidRPr="00B26330">
              <w:rPr>
                <w:color w:val="000000"/>
                <w:sz w:val="20"/>
              </w:rPr>
              <w:t>1.2</w:t>
            </w:r>
          </w:p>
        </w:tc>
      </w:tr>
      <w:tr w:rsidR="005257E0" w:rsidRPr="00B26330" w14:paraId="3DFE9AFC" w14:textId="77777777" w:rsidTr="005D6976">
        <w:trPr>
          <w:trHeight w:val="288"/>
          <w:jc w:val="center"/>
        </w:trPr>
        <w:tc>
          <w:tcPr>
            <w:tcW w:w="5040" w:type="dxa"/>
            <w:tcBorders>
              <w:top w:val="single" w:sz="4" w:space="0" w:color="auto"/>
              <w:bottom w:val="single" w:sz="4" w:space="0" w:color="auto"/>
            </w:tcBorders>
          </w:tcPr>
          <w:p w14:paraId="2E532FF9" w14:textId="744CDB09" w:rsidR="005257E0" w:rsidRPr="003B2A80" w:rsidRDefault="005257E0" w:rsidP="005D6976">
            <w:pPr>
              <w:keepNext/>
              <w:rPr>
                <w:color w:val="000000"/>
                <w:sz w:val="20"/>
                <w:highlight w:val="yellow"/>
              </w:rPr>
            </w:pPr>
            <w:r w:rsidRPr="00CC6CBF">
              <w:rPr>
                <w:color w:val="000000"/>
                <w:sz w:val="20"/>
              </w:rPr>
              <w:t>Other Loans</w:t>
            </w:r>
          </w:p>
        </w:tc>
        <w:tc>
          <w:tcPr>
            <w:tcW w:w="1890" w:type="dxa"/>
            <w:tcBorders>
              <w:top w:val="single" w:sz="4" w:space="0" w:color="auto"/>
              <w:bottom w:val="single" w:sz="4" w:space="0" w:color="auto"/>
            </w:tcBorders>
            <w:vAlign w:val="center"/>
          </w:tcPr>
          <w:p w14:paraId="486441CB" w14:textId="3F6DA08D" w:rsidR="005257E0" w:rsidRPr="00B26330" w:rsidRDefault="00AF189B" w:rsidP="005D6976">
            <w:pPr>
              <w:keepNext/>
              <w:jc w:val="center"/>
              <w:rPr>
                <w:color w:val="000000"/>
                <w:sz w:val="20"/>
              </w:rPr>
            </w:pPr>
            <w:r>
              <w:rPr>
                <w:color w:val="000000"/>
                <w:sz w:val="20"/>
              </w:rPr>
              <w:t>603</w:t>
            </w:r>
          </w:p>
        </w:tc>
        <w:tc>
          <w:tcPr>
            <w:tcW w:w="1738" w:type="dxa"/>
            <w:tcBorders>
              <w:top w:val="single" w:sz="4" w:space="0" w:color="auto"/>
              <w:bottom w:val="single" w:sz="4" w:space="0" w:color="auto"/>
            </w:tcBorders>
            <w:vAlign w:val="center"/>
          </w:tcPr>
          <w:p w14:paraId="493CD685" w14:textId="7D14C67D" w:rsidR="005257E0" w:rsidRPr="00B26330" w:rsidRDefault="00AF189B" w:rsidP="005D6976">
            <w:pPr>
              <w:keepNext/>
              <w:jc w:val="center"/>
              <w:rPr>
                <w:color w:val="000000"/>
                <w:sz w:val="20"/>
              </w:rPr>
            </w:pPr>
            <w:r>
              <w:rPr>
                <w:color w:val="000000"/>
                <w:sz w:val="20"/>
              </w:rPr>
              <w:t>.04</w:t>
            </w:r>
          </w:p>
        </w:tc>
      </w:tr>
      <w:tr w:rsidR="00A306BA" w:rsidRPr="00B26330" w14:paraId="722BA88A" w14:textId="77777777" w:rsidTr="005D6976">
        <w:trPr>
          <w:trHeight w:val="288"/>
          <w:jc w:val="center"/>
        </w:trPr>
        <w:tc>
          <w:tcPr>
            <w:tcW w:w="5040" w:type="dxa"/>
            <w:tcBorders>
              <w:top w:val="single" w:sz="4" w:space="0" w:color="auto"/>
              <w:bottom w:val="single" w:sz="4" w:space="0" w:color="auto"/>
            </w:tcBorders>
          </w:tcPr>
          <w:p w14:paraId="288BE45D" w14:textId="76375F56" w:rsidR="00A306BA" w:rsidRPr="00CC6CBF" w:rsidRDefault="00AD4B11" w:rsidP="005D6976">
            <w:pPr>
              <w:keepNext/>
              <w:rPr>
                <w:color w:val="000000"/>
                <w:sz w:val="20"/>
                <w:szCs w:val="20"/>
              </w:rPr>
            </w:pPr>
            <w:r w:rsidRPr="00CC6CBF">
              <w:rPr>
                <w:color w:val="000000"/>
                <w:sz w:val="20"/>
              </w:rPr>
              <w:t>Lease Financing Receivable (net of unearned income)</w:t>
            </w:r>
          </w:p>
        </w:tc>
        <w:tc>
          <w:tcPr>
            <w:tcW w:w="1890" w:type="dxa"/>
            <w:tcBorders>
              <w:top w:val="single" w:sz="4" w:space="0" w:color="auto"/>
              <w:bottom w:val="single" w:sz="4" w:space="0" w:color="auto"/>
            </w:tcBorders>
            <w:vAlign w:val="center"/>
          </w:tcPr>
          <w:p w14:paraId="19C4960F" w14:textId="30F2F7A4" w:rsidR="00A306BA" w:rsidRPr="00B26330" w:rsidRDefault="00AF189B" w:rsidP="005D6976">
            <w:pPr>
              <w:keepNext/>
              <w:jc w:val="center"/>
              <w:rPr>
                <w:color w:val="000000"/>
                <w:sz w:val="20"/>
              </w:rPr>
            </w:pPr>
            <w:r>
              <w:rPr>
                <w:color w:val="000000"/>
                <w:sz w:val="20"/>
              </w:rPr>
              <w:t>0</w:t>
            </w:r>
          </w:p>
        </w:tc>
        <w:tc>
          <w:tcPr>
            <w:tcW w:w="1738" w:type="dxa"/>
            <w:tcBorders>
              <w:top w:val="single" w:sz="4" w:space="0" w:color="auto"/>
              <w:bottom w:val="single" w:sz="4" w:space="0" w:color="auto"/>
            </w:tcBorders>
            <w:vAlign w:val="center"/>
          </w:tcPr>
          <w:p w14:paraId="25BD81DC" w14:textId="17E73116" w:rsidR="00A306BA" w:rsidRPr="00B26330" w:rsidRDefault="00AF189B" w:rsidP="005D6976">
            <w:pPr>
              <w:keepNext/>
              <w:jc w:val="center"/>
              <w:rPr>
                <w:color w:val="000000"/>
                <w:sz w:val="20"/>
              </w:rPr>
            </w:pPr>
            <w:r>
              <w:rPr>
                <w:color w:val="000000"/>
                <w:sz w:val="20"/>
              </w:rPr>
              <w:t>0.0</w:t>
            </w:r>
          </w:p>
        </w:tc>
      </w:tr>
      <w:tr w:rsidR="00A306BA" w:rsidRPr="00B26330" w14:paraId="334F072A" w14:textId="77777777" w:rsidTr="005D6976">
        <w:trPr>
          <w:trHeight w:val="288"/>
          <w:jc w:val="center"/>
        </w:trPr>
        <w:tc>
          <w:tcPr>
            <w:tcW w:w="5040" w:type="dxa"/>
            <w:tcBorders>
              <w:top w:val="single" w:sz="4" w:space="0" w:color="auto"/>
              <w:bottom w:val="single" w:sz="4" w:space="0" w:color="auto"/>
            </w:tcBorders>
          </w:tcPr>
          <w:p w14:paraId="0FEDAB40" w14:textId="77777777" w:rsidR="00A306BA" w:rsidRPr="00B26330" w:rsidRDefault="00A306BA" w:rsidP="005D6976">
            <w:pPr>
              <w:keepNext/>
              <w:rPr>
                <w:color w:val="000000"/>
                <w:sz w:val="20"/>
                <w:szCs w:val="20"/>
              </w:rPr>
            </w:pPr>
            <w:r w:rsidRPr="00B26330">
              <w:rPr>
                <w:color w:val="000000"/>
                <w:sz w:val="20"/>
                <w:szCs w:val="20"/>
              </w:rPr>
              <w:t>Less: Unearned Income</w:t>
            </w:r>
          </w:p>
        </w:tc>
        <w:tc>
          <w:tcPr>
            <w:tcW w:w="1890" w:type="dxa"/>
            <w:tcBorders>
              <w:top w:val="single" w:sz="4" w:space="0" w:color="auto"/>
              <w:bottom w:val="single" w:sz="4" w:space="0" w:color="auto"/>
            </w:tcBorders>
            <w:vAlign w:val="center"/>
          </w:tcPr>
          <w:p w14:paraId="2BCF6621" w14:textId="77777777" w:rsidR="00A306BA" w:rsidRPr="00B26330" w:rsidRDefault="00A306BA" w:rsidP="005D6976">
            <w:pPr>
              <w:keepNext/>
              <w:jc w:val="center"/>
              <w:rPr>
                <w:color w:val="000000"/>
                <w:sz w:val="20"/>
              </w:rPr>
            </w:pPr>
            <w:r w:rsidRPr="00B26330">
              <w:rPr>
                <w:color w:val="000000"/>
                <w:sz w:val="20"/>
              </w:rPr>
              <w:t>0</w:t>
            </w:r>
          </w:p>
        </w:tc>
        <w:tc>
          <w:tcPr>
            <w:tcW w:w="1738" w:type="dxa"/>
            <w:tcBorders>
              <w:top w:val="single" w:sz="4" w:space="0" w:color="auto"/>
              <w:bottom w:val="single" w:sz="4" w:space="0" w:color="auto"/>
            </w:tcBorders>
            <w:vAlign w:val="center"/>
          </w:tcPr>
          <w:p w14:paraId="4E8DDC73" w14:textId="77777777" w:rsidR="00A306BA" w:rsidRPr="00B26330" w:rsidRDefault="00A306BA" w:rsidP="005D6976">
            <w:pPr>
              <w:keepNext/>
              <w:jc w:val="center"/>
              <w:rPr>
                <w:color w:val="000000"/>
                <w:sz w:val="20"/>
              </w:rPr>
            </w:pPr>
            <w:r w:rsidRPr="00B26330">
              <w:rPr>
                <w:color w:val="000000"/>
                <w:sz w:val="20"/>
              </w:rPr>
              <w:t>0.0</w:t>
            </w:r>
          </w:p>
        </w:tc>
      </w:tr>
      <w:tr w:rsidR="00A306BA" w:rsidRPr="00B26330" w14:paraId="0ABC53DF" w14:textId="77777777" w:rsidTr="005D6976">
        <w:trPr>
          <w:trHeight w:val="288"/>
          <w:jc w:val="center"/>
        </w:trPr>
        <w:tc>
          <w:tcPr>
            <w:tcW w:w="5040" w:type="dxa"/>
            <w:tcBorders>
              <w:top w:val="single" w:sz="4" w:space="0" w:color="auto"/>
              <w:bottom w:val="single" w:sz="4" w:space="0" w:color="auto"/>
            </w:tcBorders>
            <w:vAlign w:val="center"/>
          </w:tcPr>
          <w:p w14:paraId="79D2927F" w14:textId="77777777" w:rsidR="00A306BA" w:rsidRPr="00B26330" w:rsidRDefault="00A306BA" w:rsidP="005D6976">
            <w:pPr>
              <w:keepNext/>
              <w:jc w:val="center"/>
              <w:outlineLvl w:val="5"/>
              <w:rPr>
                <w:b/>
                <w:color w:val="000000"/>
                <w:sz w:val="20"/>
                <w:szCs w:val="20"/>
              </w:rPr>
            </w:pPr>
            <w:r w:rsidRPr="00B26330">
              <w:rPr>
                <w:b/>
                <w:color w:val="000000"/>
                <w:sz w:val="20"/>
                <w:szCs w:val="20"/>
              </w:rPr>
              <w:t>Total Loans</w:t>
            </w:r>
          </w:p>
        </w:tc>
        <w:tc>
          <w:tcPr>
            <w:tcW w:w="1890" w:type="dxa"/>
            <w:tcBorders>
              <w:top w:val="single" w:sz="4" w:space="0" w:color="auto"/>
              <w:bottom w:val="single" w:sz="4" w:space="0" w:color="auto"/>
            </w:tcBorders>
            <w:vAlign w:val="center"/>
          </w:tcPr>
          <w:p w14:paraId="1E4B13D7" w14:textId="77777777" w:rsidR="00A306BA" w:rsidRPr="00B26330" w:rsidRDefault="00A306BA" w:rsidP="005D6976">
            <w:pPr>
              <w:keepNext/>
              <w:jc w:val="center"/>
              <w:rPr>
                <w:b/>
                <w:color w:val="000000"/>
                <w:sz w:val="20"/>
              </w:rPr>
            </w:pPr>
            <w:r w:rsidRPr="00B26330">
              <w:rPr>
                <w:b/>
                <w:color w:val="000000"/>
                <w:sz w:val="20"/>
              </w:rPr>
              <w:t>1,914,505</w:t>
            </w:r>
          </w:p>
        </w:tc>
        <w:tc>
          <w:tcPr>
            <w:tcW w:w="1738" w:type="dxa"/>
            <w:tcBorders>
              <w:top w:val="single" w:sz="4" w:space="0" w:color="auto"/>
              <w:bottom w:val="single" w:sz="4" w:space="0" w:color="auto"/>
            </w:tcBorders>
            <w:vAlign w:val="center"/>
          </w:tcPr>
          <w:p w14:paraId="4144E2C4" w14:textId="77777777" w:rsidR="00A306BA" w:rsidRPr="00B26330" w:rsidRDefault="00A306BA" w:rsidP="005D6976">
            <w:pPr>
              <w:keepNext/>
              <w:jc w:val="center"/>
              <w:rPr>
                <w:b/>
                <w:color w:val="000000"/>
                <w:sz w:val="20"/>
              </w:rPr>
            </w:pPr>
            <w:r w:rsidRPr="00B26330">
              <w:rPr>
                <w:b/>
                <w:color w:val="000000"/>
                <w:sz w:val="20"/>
              </w:rPr>
              <w:t>100.0</w:t>
            </w:r>
          </w:p>
        </w:tc>
      </w:tr>
      <w:tr w:rsidR="00A306BA" w:rsidRPr="00B26330" w14:paraId="363C6C4F" w14:textId="77777777" w:rsidTr="005D6976">
        <w:trPr>
          <w:trHeight w:val="288"/>
          <w:jc w:val="center"/>
        </w:trPr>
        <w:tc>
          <w:tcPr>
            <w:tcW w:w="8668" w:type="dxa"/>
            <w:gridSpan w:val="3"/>
            <w:tcBorders>
              <w:top w:val="single" w:sz="4" w:space="0" w:color="auto"/>
              <w:bottom w:val="single" w:sz="4" w:space="0" w:color="auto"/>
            </w:tcBorders>
            <w:vAlign w:val="center"/>
          </w:tcPr>
          <w:p w14:paraId="75EA3D3E" w14:textId="77777777" w:rsidR="00A306BA" w:rsidRPr="00B26330" w:rsidRDefault="00A306BA" w:rsidP="005D6976">
            <w:pPr>
              <w:keepNext/>
              <w:outlineLvl w:val="6"/>
              <w:rPr>
                <w:color w:val="000000"/>
                <w:sz w:val="16"/>
                <w:szCs w:val="16"/>
              </w:rPr>
            </w:pPr>
            <w:r w:rsidRPr="00B26330">
              <w:rPr>
                <w:color w:val="000000"/>
                <w:sz w:val="16"/>
                <w:szCs w:val="16"/>
              </w:rPr>
              <w:t>Source:  Reports of Condition and Income</w:t>
            </w:r>
          </w:p>
        </w:tc>
      </w:tr>
    </w:tbl>
    <w:p w14:paraId="4713E50C" w14:textId="77777777" w:rsidR="00A306BA" w:rsidRPr="00B26330" w:rsidRDefault="00A306BA" w:rsidP="00A306BA">
      <w:pPr>
        <w:autoSpaceDE w:val="0"/>
        <w:autoSpaceDN w:val="0"/>
        <w:adjustRightInd w:val="0"/>
        <w:rPr>
          <w:color w:val="FF0000"/>
        </w:rPr>
      </w:pPr>
    </w:p>
    <w:p w14:paraId="6146C8BC" w14:textId="77777777" w:rsidR="00A306BA" w:rsidRPr="00B26330" w:rsidRDefault="00A306BA" w:rsidP="00A306BA">
      <w:pPr>
        <w:tabs>
          <w:tab w:val="center" w:pos="4680"/>
        </w:tabs>
        <w:rPr>
          <w:bCs/>
          <w:color w:val="000000"/>
          <w:spacing w:val="-4"/>
        </w:rPr>
      </w:pPr>
      <w:r w:rsidRPr="00B26330">
        <w:rPr>
          <w:bCs/>
          <w:color w:val="000000"/>
          <w:spacing w:val="-4"/>
        </w:rPr>
        <w:t>Examiners did not identify any financial, legal, or other impediments that affect the bank’s ability to meet assessment area credit needs.</w:t>
      </w:r>
    </w:p>
    <w:p w14:paraId="738FCA28" w14:textId="77777777" w:rsidR="00A306BA" w:rsidRDefault="00A306BA" w:rsidP="00A306BA">
      <w:pPr>
        <w:keepNext/>
        <w:tabs>
          <w:tab w:val="left" w:pos="480"/>
          <w:tab w:val="left" w:pos="960"/>
          <w:tab w:val="left" w:pos="6840"/>
        </w:tabs>
        <w:outlineLvl w:val="0"/>
        <w:rPr>
          <w:b/>
          <w:bCs/>
          <w:spacing w:val="-3"/>
          <w:sz w:val="28"/>
          <w:szCs w:val="20"/>
        </w:rPr>
      </w:pPr>
    </w:p>
    <w:p w14:paraId="6E4B5604" w14:textId="77777777" w:rsidR="00A306BA" w:rsidRDefault="00A306BA" w:rsidP="00A306BA">
      <w:pPr>
        <w:keepNext/>
        <w:tabs>
          <w:tab w:val="left" w:pos="480"/>
          <w:tab w:val="left" w:pos="960"/>
          <w:tab w:val="left" w:pos="6840"/>
        </w:tabs>
        <w:outlineLvl w:val="0"/>
        <w:rPr>
          <w:b/>
          <w:bCs/>
          <w:spacing w:val="-3"/>
          <w:sz w:val="28"/>
          <w:szCs w:val="20"/>
        </w:rPr>
      </w:pPr>
    </w:p>
    <w:p w14:paraId="5B2FD076" w14:textId="77777777" w:rsidR="00A306BA" w:rsidRPr="008D6B18" w:rsidRDefault="00A306BA" w:rsidP="00A306BA">
      <w:pPr>
        <w:keepNext/>
        <w:tabs>
          <w:tab w:val="left" w:pos="480"/>
          <w:tab w:val="left" w:pos="960"/>
          <w:tab w:val="left" w:pos="6840"/>
        </w:tabs>
        <w:jc w:val="center"/>
        <w:outlineLvl w:val="0"/>
        <w:rPr>
          <w:b/>
          <w:bCs/>
          <w:spacing w:val="-3"/>
          <w:sz w:val="28"/>
          <w:szCs w:val="20"/>
        </w:rPr>
      </w:pPr>
      <w:r w:rsidRPr="008D6B18">
        <w:rPr>
          <w:b/>
          <w:bCs/>
          <w:spacing w:val="-3"/>
          <w:sz w:val="28"/>
          <w:szCs w:val="20"/>
        </w:rPr>
        <w:t>DESCRIPTION OF ASSESSMENT AREA</w:t>
      </w:r>
      <w:bookmarkEnd w:id="2"/>
    </w:p>
    <w:p w14:paraId="545D2631" w14:textId="77777777" w:rsidR="00A306BA" w:rsidRDefault="00A306BA" w:rsidP="00A306BA">
      <w:pPr>
        <w:tabs>
          <w:tab w:val="center" w:pos="4680"/>
        </w:tabs>
      </w:pPr>
    </w:p>
    <w:p w14:paraId="08D4CD70" w14:textId="730604F2" w:rsidR="00C25A47" w:rsidRDefault="00A306BA" w:rsidP="00BD6F1C">
      <w:pPr>
        <w:widowControl w:val="0"/>
        <w:ind w:right="-360"/>
        <w:rPr>
          <w:iCs/>
        </w:rPr>
      </w:pPr>
      <w:r w:rsidRPr="00C45ABB">
        <w:rPr>
          <w:iCs/>
        </w:rPr>
        <w:t>The CRA requires each financial institution to define one or more assessment areas within which examiners will evaluate its CRA performance.  NBTC designated a single assessment area in the Cambridge-Newton-Framingham, M</w:t>
      </w:r>
      <w:r w:rsidR="00AD4B11">
        <w:rPr>
          <w:iCs/>
        </w:rPr>
        <w:t>assachusetts (M</w:t>
      </w:r>
      <w:r w:rsidRPr="00C45ABB">
        <w:rPr>
          <w:iCs/>
        </w:rPr>
        <w:t>A</w:t>
      </w:r>
      <w:r w:rsidR="00AD4B11">
        <w:rPr>
          <w:iCs/>
        </w:rPr>
        <w:t>)</w:t>
      </w:r>
      <w:r w:rsidRPr="00C45ABB">
        <w:rPr>
          <w:iCs/>
        </w:rPr>
        <w:t xml:space="preserve"> Metropolitan Division (MD), which is part of the</w:t>
      </w:r>
      <w:r w:rsidRPr="00C45ABB">
        <w:t xml:space="preserve"> </w:t>
      </w:r>
      <w:r w:rsidRPr="00C45ABB">
        <w:rPr>
          <w:iCs/>
        </w:rPr>
        <w:t>M</w:t>
      </w:r>
      <w:r>
        <w:rPr>
          <w:iCs/>
        </w:rPr>
        <w:t>assachusetts-New Hampshire Metropo</w:t>
      </w:r>
      <w:r w:rsidRPr="00C45ABB">
        <w:rPr>
          <w:iCs/>
        </w:rPr>
        <w:t xml:space="preserve">litan Statistical Area (MSA).  </w:t>
      </w:r>
      <w:r>
        <w:rPr>
          <w:iCs/>
        </w:rPr>
        <w:t>NBTC’</w:t>
      </w:r>
      <w:r w:rsidR="004D1215">
        <w:rPr>
          <w:iCs/>
        </w:rPr>
        <w:t xml:space="preserve">s assessment area is </w:t>
      </w:r>
      <w:r>
        <w:rPr>
          <w:iCs/>
        </w:rPr>
        <w:t xml:space="preserve">Middlesex County.  The assessment area did not change since the previous evaluation. </w:t>
      </w:r>
    </w:p>
    <w:p w14:paraId="579604A6" w14:textId="77777777" w:rsidR="00C25A47" w:rsidRDefault="00C25A47" w:rsidP="00BD6F1C">
      <w:pPr>
        <w:widowControl w:val="0"/>
        <w:ind w:right="-360"/>
        <w:rPr>
          <w:iCs/>
        </w:rPr>
      </w:pPr>
    </w:p>
    <w:p w14:paraId="0C0BD0A6" w14:textId="77777777" w:rsidR="005A5B27" w:rsidRDefault="005A5B27" w:rsidP="00BD6F1C">
      <w:pPr>
        <w:widowControl w:val="0"/>
        <w:ind w:right="-360"/>
        <w:rPr>
          <w:b/>
          <w:bCs/>
          <w:iCs/>
          <w:u w:val="single"/>
        </w:rPr>
      </w:pPr>
    </w:p>
    <w:p w14:paraId="4A7A2A42" w14:textId="77777777" w:rsidR="005A5B27" w:rsidRDefault="005A5B27" w:rsidP="00BD6F1C">
      <w:pPr>
        <w:widowControl w:val="0"/>
        <w:ind w:right="-360"/>
        <w:rPr>
          <w:b/>
          <w:bCs/>
          <w:iCs/>
          <w:u w:val="single"/>
        </w:rPr>
      </w:pPr>
    </w:p>
    <w:p w14:paraId="622383A2" w14:textId="1456369F" w:rsidR="00A306BA" w:rsidRPr="00BD6F1C" w:rsidRDefault="00A306BA" w:rsidP="00BD6F1C">
      <w:pPr>
        <w:widowControl w:val="0"/>
        <w:ind w:right="-360"/>
        <w:rPr>
          <w:iCs/>
        </w:rPr>
      </w:pPr>
      <w:r w:rsidRPr="00B500C0">
        <w:rPr>
          <w:b/>
          <w:bCs/>
          <w:iCs/>
          <w:u w:val="single"/>
        </w:rPr>
        <w:lastRenderedPageBreak/>
        <w:t>Economic and Demographic Data</w:t>
      </w:r>
    </w:p>
    <w:p w14:paraId="299D9DBA" w14:textId="2CEA1CF8" w:rsidR="00A306BA" w:rsidRDefault="00A306BA" w:rsidP="00A306BA">
      <w:pPr>
        <w:tabs>
          <w:tab w:val="center" w:pos="4680"/>
        </w:tabs>
        <w:rPr>
          <w:bCs/>
          <w:iCs/>
        </w:rPr>
      </w:pPr>
      <w:r w:rsidRPr="0044422E">
        <w:rPr>
          <w:bCs/>
          <w:iCs/>
        </w:rPr>
        <w:t>The assessment area</w:t>
      </w:r>
      <w:r>
        <w:rPr>
          <w:bCs/>
          <w:iCs/>
        </w:rPr>
        <w:t xml:space="preserve"> </w:t>
      </w:r>
      <w:r w:rsidR="00AD4B11">
        <w:rPr>
          <w:bCs/>
          <w:iCs/>
        </w:rPr>
        <w:t xml:space="preserve">consists </w:t>
      </w:r>
      <w:r w:rsidRPr="0044422E">
        <w:rPr>
          <w:bCs/>
          <w:iCs/>
        </w:rPr>
        <w:t>of 54 municipalities</w:t>
      </w:r>
      <w:r w:rsidR="00AD4B11">
        <w:rPr>
          <w:bCs/>
          <w:iCs/>
        </w:rPr>
        <w:t xml:space="preserve"> and</w:t>
      </w:r>
      <w:r w:rsidRPr="0044422E">
        <w:rPr>
          <w:bCs/>
          <w:iCs/>
        </w:rPr>
        <w:t xml:space="preserve"> 318 census tracts</w:t>
      </w:r>
      <w:r w:rsidR="00AD4B11">
        <w:rPr>
          <w:bCs/>
          <w:iCs/>
        </w:rPr>
        <w:t xml:space="preserve">.  These tracts </w:t>
      </w:r>
      <w:r w:rsidRPr="0044422E">
        <w:rPr>
          <w:bCs/>
          <w:iCs/>
        </w:rPr>
        <w:t>reflect the following income designations according to 2015 ACS data:</w:t>
      </w:r>
    </w:p>
    <w:p w14:paraId="41993B19" w14:textId="77777777" w:rsidR="004D1215" w:rsidRPr="0044422E" w:rsidRDefault="004D1215" w:rsidP="00A306BA">
      <w:pPr>
        <w:tabs>
          <w:tab w:val="center" w:pos="4680"/>
        </w:tabs>
        <w:rPr>
          <w:bCs/>
          <w:iCs/>
        </w:rPr>
      </w:pPr>
    </w:p>
    <w:p w14:paraId="1EB8A57D" w14:textId="77777777" w:rsidR="00A306BA" w:rsidRPr="0044422E" w:rsidRDefault="00A306BA" w:rsidP="00A306BA">
      <w:pPr>
        <w:numPr>
          <w:ilvl w:val="0"/>
          <w:numId w:val="13"/>
        </w:numPr>
        <w:tabs>
          <w:tab w:val="clear" w:pos="360"/>
          <w:tab w:val="center" w:pos="4680"/>
        </w:tabs>
        <w:ind w:left="720"/>
        <w:rPr>
          <w:bCs/>
          <w:iCs/>
        </w:rPr>
      </w:pPr>
      <w:r w:rsidRPr="0044422E">
        <w:rPr>
          <w:bCs/>
          <w:iCs/>
        </w:rPr>
        <w:t>22 low-income census tracts,</w:t>
      </w:r>
    </w:p>
    <w:p w14:paraId="2CB179BD" w14:textId="77777777" w:rsidR="00A306BA" w:rsidRPr="0044422E" w:rsidRDefault="00A306BA" w:rsidP="00A306BA">
      <w:pPr>
        <w:numPr>
          <w:ilvl w:val="0"/>
          <w:numId w:val="13"/>
        </w:numPr>
        <w:tabs>
          <w:tab w:val="clear" w:pos="360"/>
          <w:tab w:val="center" w:pos="4680"/>
        </w:tabs>
        <w:ind w:left="720"/>
        <w:rPr>
          <w:bCs/>
          <w:iCs/>
        </w:rPr>
      </w:pPr>
      <w:r w:rsidRPr="0044422E">
        <w:rPr>
          <w:bCs/>
          <w:iCs/>
        </w:rPr>
        <w:t>55 moderate-income census tracts,</w:t>
      </w:r>
    </w:p>
    <w:p w14:paraId="2F980C85" w14:textId="77777777" w:rsidR="00A306BA" w:rsidRPr="0044422E" w:rsidRDefault="00A306BA" w:rsidP="00A306BA">
      <w:pPr>
        <w:numPr>
          <w:ilvl w:val="0"/>
          <w:numId w:val="13"/>
        </w:numPr>
        <w:tabs>
          <w:tab w:val="clear" w:pos="360"/>
          <w:tab w:val="center" w:pos="4680"/>
        </w:tabs>
        <w:ind w:left="720"/>
        <w:rPr>
          <w:bCs/>
          <w:iCs/>
        </w:rPr>
      </w:pPr>
      <w:r w:rsidRPr="0044422E">
        <w:rPr>
          <w:bCs/>
          <w:iCs/>
        </w:rPr>
        <w:t>126 middle-income census tracts,</w:t>
      </w:r>
    </w:p>
    <w:p w14:paraId="77252161" w14:textId="77777777" w:rsidR="00A306BA" w:rsidRPr="0044422E" w:rsidRDefault="00A306BA" w:rsidP="00A306BA">
      <w:pPr>
        <w:numPr>
          <w:ilvl w:val="0"/>
          <w:numId w:val="13"/>
        </w:numPr>
        <w:tabs>
          <w:tab w:val="clear" w:pos="360"/>
          <w:tab w:val="center" w:pos="4680"/>
        </w:tabs>
        <w:ind w:left="720"/>
        <w:rPr>
          <w:bCs/>
          <w:iCs/>
        </w:rPr>
      </w:pPr>
      <w:r w:rsidRPr="0044422E">
        <w:rPr>
          <w:bCs/>
          <w:iCs/>
        </w:rPr>
        <w:t>114 upper-income census tracts, and</w:t>
      </w:r>
    </w:p>
    <w:p w14:paraId="667E88FC" w14:textId="77777777" w:rsidR="00A306BA" w:rsidRPr="0044422E" w:rsidRDefault="00A306BA" w:rsidP="00A306BA">
      <w:pPr>
        <w:numPr>
          <w:ilvl w:val="0"/>
          <w:numId w:val="13"/>
        </w:numPr>
        <w:tabs>
          <w:tab w:val="clear" w:pos="360"/>
          <w:tab w:val="center" w:pos="4680"/>
        </w:tabs>
        <w:ind w:left="720"/>
        <w:rPr>
          <w:bCs/>
          <w:iCs/>
        </w:rPr>
      </w:pPr>
      <w:proofErr w:type="gramStart"/>
      <w:r w:rsidRPr="0044422E">
        <w:rPr>
          <w:bCs/>
          <w:iCs/>
        </w:rPr>
        <w:t>1</w:t>
      </w:r>
      <w:proofErr w:type="gramEnd"/>
      <w:r w:rsidRPr="0044422E">
        <w:rPr>
          <w:bCs/>
          <w:iCs/>
        </w:rPr>
        <w:t xml:space="preserve"> census tract without an income designation.</w:t>
      </w:r>
    </w:p>
    <w:p w14:paraId="1F5A2A67" w14:textId="77777777" w:rsidR="00A306BA" w:rsidRDefault="00A306BA" w:rsidP="00A306BA">
      <w:pPr>
        <w:tabs>
          <w:tab w:val="center" w:pos="4680"/>
        </w:tabs>
        <w:rPr>
          <w:bCs/>
          <w:iCs/>
        </w:rPr>
      </w:pPr>
    </w:p>
    <w:p w14:paraId="423C4025" w14:textId="2C661DA7" w:rsidR="00BD6F1C" w:rsidRDefault="00A306BA" w:rsidP="00A306BA">
      <w:pPr>
        <w:tabs>
          <w:tab w:val="center" w:pos="4680"/>
        </w:tabs>
        <w:rPr>
          <w:bCs/>
          <w:iCs/>
        </w:rPr>
      </w:pPr>
      <w:r w:rsidRPr="0044422E">
        <w:rPr>
          <w:bCs/>
          <w:iCs/>
        </w:rPr>
        <w:t>The U.S. Census Bureau updates census data every five years.  Th</w:t>
      </w:r>
      <w:r>
        <w:rPr>
          <w:bCs/>
          <w:iCs/>
        </w:rPr>
        <w:t xml:space="preserve">e most recent update was </w:t>
      </w:r>
      <w:r w:rsidRPr="0044422E">
        <w:rPr>
          <w:bCs/>
          <w:iCs/>
        </w:rPr>
        <w:t xml:space="preserve">the 2015 ACS, which became effective in 2017.  As a result, several census tract designations within the assessment area </w:t>
      </w:r>
      <w:r>
        <w:rPr>
          <w:bCs/>
          <w:iCs/>
        </w:rPr>
        <w:t>changed since the previous e</w:t>
      </w:r>
      <w:r w:rsidR="00BD6F1C">
        <w:rPr>
          <w:bCs/>
          <w:iCs/>
        </w:rPr>
        <w:t>valuation</w:t>
      </w:r>
      <w:r w:rsidR="00AD4B11">
        <w:rPr>
          <w:bCs/>
          <w:iCs/>
        </w:rPr>
        <w:t>.  S</w:t>
      </w:r>
      <w:r w:rsidR="00BD6F1C">
        <w:rPr>
          <w:bCs/>
          <w:iCs/>
        </w:rPr>
        <w:t>pecifically,</w:t>
      </w:r>
      <w:r w:rsidRPr="0044422E">
        <w:rPr>
          <w:bCs/>
          <w:iCs/>
        </w:rPr>
        <w:t xml:space="preserve"> </w:t>
      </w:r>
      <w:r w:rsidR="006835EB">
        <w:rPr>
          <w:bCs/>
          <w:iCs/>
        </w:rPr>
        <w:t xml:space="preserve">the 2015 ACS reclassified </w:t>
      </w:r>
      <w:r w:rsidR="00965118">
        <w:rPr>
          <w:bCs/>
          <w:iCs/>
        </w:rPr>
        <w:t>nine moderate-income and one middle-income census tract to low-income.</w:t>
      </w:r>
      <w:r>
        <w:rPr>
          <w:bCs/>
          <w:iCs/>
        </w:rPr>
        <w:t xml:space="preserve">  Examiners evaluated the bank’s lending performance considering the demographic</w:t>
      </w:r>
      <w:r w:rsidR="00BD6F1C">
        <w:rPr>
          <w:bCs/>
          <w:iCs/>
        </w:rPr>
        <w:t xml:space="preserve"> data applicable in each year.  </w:t>
      </w:r>
      <w:r>
        <w:rPr>
          <w:bCs/>
          <w:iCs/>
        </w:rPr>
        <w:t xml:space="preserve">There are no designated underserved or distressed census tracts in the assessment area.  </w:t>
      </w:r>
    </w:p>
    <w:p w14:paraId="521BF467" w14:textId="77777777" w:rsidR="00BD6F1C" w:rsidRDefault="00BD6F1C" w:rsidP="00A306BA">
      <w:pPr>
        <w:tabs>
          <w:tab w:val="center" w:pos="4680"/>
        </w:tabs>
        <w:rPr>
          <w:bCs/>
          <w:iCs/>
        </w:rPr>
      </w:pPr>
    </w:p>
    <w:p w14:paraId="390072B3" w14:textId="5778D8A4" w:rsidR="00A306BA" w:rsidRDefault="00A306BA" w:rsidP="00A306BA">
      <w:pPr>
        <w:tabs>
          <w:tab w:val="center" w:pos="4680"/>
        </w:tabs>
        <w:rPr>
          <w:bCs/>
          <w:iCs/>
        </w:rPr>
      </w:pPr>
      <w:r w:rsidRPr="0044422E">
        <w:rPr>
          <w:bCs/>
          <w:iCs/>
        </w:rPr>
        <w:t>The following table illustrates select demographic characte</w:t>
      </w:r>
      <w:r>
        <w:rPr>
          <w:bCs/>
          <w:iCs/>
        </w:rPr>
        <w:t>ristics of the assessment area.</w:t>
      </w:r>
    </w:p>
    <w:p w14:paraId="613D21CE" w14:textId="77777777" w:rsidR="00A306BA" w:rsidRDefault="00A306BA" w:rsidP="00A306BA">
      <w:pPr>
        <w:tabs>
          <w:tab w:val="center" w:pos="4680"/>
        </w:tabs>
        <w:rPr>
          <w:bCs/>
          <w:iCs/>
        </w:rPr>
      </w:pPr>
    </w:p>
    <w:tbl>
      <w:tblPr>
        <w:tblW w:w="0" w:type="auto"/>
        <w:tblCellMar>
          <w:left w:w="0" w:type="dxa"/>
          <w:right w:w="0" w:type="dxa"/>
        </w:tblCellMar>
        <w:tblLook w:val="0000" w:firstRow="0" w:lastRow="0" w:firstColumn="0" w:lastColumn="0" w:noHBand="0" w:noVBand="0"/>
      </w:tblPr>
      <w:tblGrid>
        <w:gridCol w:w="3171"/>
        <w:gridCol w:w="1022"/>
        <w:gridCol w:w="988"/>
        <w:gridCol w:w="1095"/>
        <w:gridCol w:w="1010"/>
        <w:gridCol w:w="984"/>
        <w:gridCol w:w="1072"/>
      </w:tblGrid>
      <w:tr w:rsidR="00A306BA" w:rsidRPr="0044422E" w14:paraId="1277CB38" w14:textId="77777777" w:rsidTr="005D6976">
        <w:trPr>
          <w:trHeight w:val="282"/>
        </w:trPr>
        <w:tc>
          <w:tcPr>
            <w:tcW w:w="9630" w:type="dxa"/>
            <w:gridSpan w:val="7"/>
            <w:tcBorders>
              <w:top w:val="single" w:sz="7" w:space="0" w:color="000000"/>
              <w:left w:val="single" w:sz="7" w:space="0" w:color="000000"/>
              <w:right w:val="single" w:sz="7" w:space="0" w:color="000000"/>
            </w:tcBorders>
            <w:tcMar>
              <w:top w:w="39" w:type="dxa"/>
              <w:left w:w="39" w:type="dxa"/>
              <w:bottom w:w="39" w:type="dxa"/>
              <w:right w:w="39" w:type="dxa"/>
            </w:tcMar>
          </w:tcPr>
          <w:p w14:paraId="0146C171" w14:textId="77777777" w:rsidR="00A306BA" w:rsidRPr="0044422E" w:rsidRDefault="00A306BA" w:rsidP="005D6976">
            <w:pPr>
              <w:jc w:val="center"/>
              <w:rPr>
                <w:sz w:val="20"/>
                <w:szCs w:val="20"/>
              </w:rPr>
            </w:pPr>
            <w:r w:rsidRPr="0044422E">
              <w:rPr>
                <w:b/>
                <w:color w:val="000000"/>
                <w:sz w:val="20"/>
                <w:szCs w:val="20"/>
              </w:rPr>
              <w:t>Demographic Information of the Assessment Area</w:t>
            </w:r>
          </w:p>
        </w:tc>
      </w:tr>
      <w:tr w:rsidR="00A306BA" w:rsidRPr="0044422E" w14:paraId="300D1C63" w14:textId="77777777" w:rsidTr="005D6976">
        <w:trPr>
          <w:trHeight w:val="426"/>
        </w:trPr>
        <w:tc>
          <w:tcPr>
            <w:tcW w:w="333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18BBDB8B" w14:textId="77777777" w:rsidR="00A306BA" w:rsidRPr="0044422E" w:rsidRDefault="00A306BA" w:rsidP="005D6976">
            <w:pPr>
              <w:rPr>
                <w:sz w:val="20"/>
                <w:szCs w:val="20"/>
              </w:rPr>
            </w:pPr>
            <w:r w:rsidRPr="0044422E">
              <w:rPr>
                <w:b/>
                <w:color w:val="000000"/>
                <w:sz w:val="20"/>
                <w:szCs w:val="20"/>
              </w:rPr>
              <w:t>Demographic Characteristics</w:t>
            </w:r>
          </w:p>
        </w:tc>
        <w:tc>
          <w:tcPr>
            <w:tcW w:w="103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79E22B50" w14:textId="77777777" w:rsidR="00A306BA" w:rsidRPr="0044422E" w:rsidRDefault="00A306BA" w:rsidP="005D6976">
            <w:pPr>
              <w:jc w:val="center"/>
              <w:rPr>
                <w:sz w:val="20"/>
                <w:szCs w:val="20"/>
              </w:rPr>
            </w:pPr>
            <w:r w:rsidRPr="0044422E">
              <w:rPr>
                <w:b/>
                <w:color w:val="000000"/>
                <w:sz w:val="20"/>
                <w:szCs w:val="20"/>
              </w:rPr>
              <w:t>#</w:t>
            </w:r>
          </w:p>
        </w:tc>
        <w:tc>
          <w:tcPr>
            <w:tcW w:w="1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74A48D04" w14:textId="77777777" w:rsidR="00A306BA" w:rsidRPr="0044422E" w:rsidRDefault="00A306BA" w:rsidP="005D6976">
            <w:pPr>
              <w:jc w:val="center"/>
              <w:rPr>
                <w:sz w:val="20"/>
                <w:szCs w:val="20"/>
              </w:rPr>
            </w:pPr>
            <w:r w:rsidRPr="0044422E">
              <w:rPr>
                <w:b/>
                <w:color w:val="000000"/>
                <w:sz w:val="20"/>
                <w:szCs w:val="20"/>
              </w:rPr>
              <w:t>Low</w:t>
            </w:r>
            <w:r w:rsidRPr="0044422E">
              <w:rPr>
                <w:b/>
                <w:color w:val="000000"/>
                <w:sz w:val="20"/>
                <w:szCs w:val="20"/>
              </w:rPr>
              <w:br/>
              <w:t xml:space="preserve"> % of #</w:t>
            </w:r>
          </w:p>
        </w:tc>
        <w:tc>
          <w:tcPr>
            <w:tcW w:w="11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67C2B8BA" w14:textId="77777777" w:rsidR="00A306BA" w:rsidRPr="0044422E" w:rsidRDefault="00A306BA" w:rsidP="005D6976">
            <w:pPr>
              <w:jc w:val="center"/>
              <w:rPr>
                <w:sz w:val="20"/>
                <w:szCs w:val="20"/>
              </w:rPr>
            </w:pPr>
            <w:r w:rsidRPr="0044422E">
              <w:rPr>
                <w:b/>
                <w:color w:val="000000"/>
                <w:sz w:val="20"/>
                <w:szCs w:val="20"/>
              </w:rPr>
              <w:t>Moderate</w:t>
            </w:r>
            <w:r w:rsidRPr="0044422E">
              <w:rPr>
                <w:b/>
                <w:color w:val="000000"/>
                <w:sz w:val="20"/>
                <w:szCs w:val="20"/>
              </w:rPr>
              <w:br/>
              <w:t xml:space="preserve"> % of #</w:t>
            </w:r>
          </w:p>
        </w:tc>
        <w:tc>
          <w:tcPr>
            <w:tcW w:w="103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3435B587" w14:textId="77777777" w:rsidR="00A306BA" w:rsidRPr="0044422E" w:rsidRDefault="00A306BA" w:rsidP="005D6976">
            <w:pPr>
              <w:jc w:val="center"/>
              <w:rPr>
                <w:sz w:val="20"/>
                <w:szCs w:val="20"/>
              </w:rPr>
            </w:pPr>
            <w:r w:rsidRPr="0044422E">
              <w:rPr>
                <w:b/>
                <w:color w:val="000000"/>
                <w:sz w:val="20"/>
                <w:szCs w:val="20"/>
              </w:rPr>
              <w:t>Middle</w:t>
            </w:r>
            <w:r w:rsidRPr="0044422E">
              <w:rPr>
                <w:b/>
                <w:color w:val="000000"/>
                <w:sz w:val="20"/>
                <w:szCs w:val="20"/>
              </w:rPr>
              <w:br/>
              <w:t xml:space="preserve"> % of #</w:t>
            </w:r>
          </w:p>
        </w:tc>
        <w:tc>
          <w:tcPr>
            <w:tcW w:w="101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0B81BC7C" w14:textId="77777777" w:rsidR="00A306BA" w:rsidRPr="0044422E" w:rsidRDefault="00A306BA" w:rsidP="005D6976">
            <w:pPr>
              <w:jc w:val="center"/>
              <w:rPr>
                <w:sz w:val="20"/>
                <w:szCs w:val="20"/>
              </w:rPr>
            </w:pPr>
            <w:r w:rsidRPr="0044422E">
              <w:rPr>
                <w:b/>
                <w:color w:val="000000"/>
                <w:sz w:val="20"/>
                <w:szCs w:val="20"/>
              </w:rPr>
              <w:t>Upper</w:t>
            </w:r>
            <w:r w:rsidRPr="0044422E">
              <w:rPr>
                <w:b/>
                <w:color w:val="000000"/>
                <w:sz w:val="20"/>
                <w:szCs w:val="20"/>
              </w:rPr>
              <w:br/>
              <w:t>% of #</w:t>
            </w:r>
          </w:p>
        </w:tc>
        <w:tc>
          <w:tcPr>
            <w:tcW w:w="109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0B289C9E" w14:textId="77777777" w:rsidR="00A306BA" w:rsidRPr="0044422E" w:rsidRDefault="00A306BA" w:rsidP="005D6976">
            <w:pPr>
              <w:jc w:val="center"/>
              <w:rPr>
                <w:sz w:val="20"/>
                <w:szCs w:val="20"/>
              </w:rPr>
            </w:pPr>
            <w:r w:rsidRPr="0044422E">
              <w:rPr>
                <w:b/>
                <w:color w:val="000000"/>
                <w:sz w:val="20"/>
                <w:szCs w:val="20"/>
              </w:rPr>
              <w:t xml:space="preserve">NA* </w:t>
            </w:r>
            <w:r w:rsidRPr="0044422E">
              <w:rPr>
                <w:b/>
                <w:color w:val="000000"/>
                <w:sz w:val="20"/>
                <w:szCs w:val="20"/>
              </w:rPr>
              <w:br/>
              <w:t>% of #</w:t>
            </w:r>
          </w:p>
        </w:tc>
      </w:tr>
      <w:tr w:rsidR="00A306BA" w:rsidRPr="0044422E" w14:paraId="6C6F6C1A" w14:textId="77777777" w:rsidTr="005D6976">
        <w:trPr>
          <w:trHeight w:val="188"/>
        </w:trPr>
        <w:tc>
          <w:tcPr>
            <w:tcW w:w="3332"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tcPr>
          <w:p w14:paraId="0206C448" w14:textId="77777777" w:rsidR="00A306BA" w:rsidRPr="0044422E" w:rsidRDefault="00A306BA" w:rsidP="005D6976">
            <w:pPr>
              <w:rPr>
                <w:sz w:val="20"/>
                <w:szCs w:val="20"/>
              </w:rPr>
            </w:pPr>
            <w:r w:rsidRPr="0044422E">
              <w:rPr>
                <w:color w:val="000000"/>
                <w:sz w:val="20"/>
                <w:szCs w:val="20"/>
              </w:rPr>
              <w:t>Geographies (Census Tracts)</w:t>
            </w:r>
          </w:p>
        </w:tc>
        <w:tc>
          <w:tcPr>
            <w:tcW w:w="103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8A4A81D" w14:textId="77777777" w:rsidR="00A306BA" w:rsidRPr="0044422E" w:rsidRDefault="00A306BA" w:rsidP="005D6976">
            <w:pPr>
              <w:jc w:val="right"/>
              <w:rPr>
                <w:sz w:val="20"/>
                <w:szCs w:val="20"/>
              </w:rPr>
            </w:pPr>
            <w:r w:rsidRPr="0044422E">
              <w:rPr>
                <w:color w:val="000000"/>
                <w:sz w:val="20"/>
                <w:szCs w:val="20"/>
              </w:rPr>
              <w:t>318</w:t>
            </w:r>
          </w:p>
        </w:tc>
        <w:tc>
          <w:tcPr>
            <w:tcW w:w="1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FD255F3" w14:textId="77777777" w:rsidR="00A306BA" w:rsidRPr="0044422E" w:rsidRDefault="00A306BA" w:rsidP="005D6976">
            <w:pPr>
              <w:jc w:val="right"/>
              <w:rPr>
                <w:sz w:val="20"/>
                <w:szCs w:val="20"/>
              </w:rPr>
            </w:pPr>
            <w:r w:rsidRPr="0044422E">
              <w:rPr>
                <w:color w:val="000000"/>
                <w:sz w:val="20"/>
                <w:szCs w:val="20"/>
              </w:rPr>
              <w:t>6.9</w:t>
            </w:r>
          </w:p>
        </w:tc>
        <w:tc>
          <w:tcPr>
            <w:tcW w:w="11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3382DF6" w14:textId="77777777" w:rsidR="00A306BA" w:rsidRPr="0044422E" w:rsidRDefault="00A306BA" w:rsidP="005D6976">
            <w:pPr>
              <w:jc w:val="right"/>
              <w:rPr>
                <w:sz w:val="20"/>
                <w:szCs w:val="20"/>
              </w:rPr>
            </w:pPr>
            <w:r w:rsidRPr="0044422E">
              <w:rPr>
                <w:color w:val="000000"/>
                <w:sz w:val="20"/>
                <w:szCs w:val="20"/>
              </w:rPr>
              <w:t>17.3</w:t>
            </w:r>
          </w:p>
        </w:tc>
        <w:tc>
          <w:tcPr>
            <w:tcW w:w="103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D47F250" w14:textId="77777777" w:rsidR="00A306BA" w:rsidRPr="0044422E" w:rsidRDefault="00A306BA" w:rsidP="005D6976">
            <w:pPr>
              <w:jc w:val="right"/>
              <w:rPr>
                <w:sz w:val="20"/>
                <w:szCs w:val="20"/>
              </w:rPr>
            </w:pPr>
            <w:r w:rsidRPr="0044422E">
              <w:rPr>
                <w:color w:val="000000"/>
                <w:sz w:val="20"/>
                <w:szCs w:val="20"/>
              </w:rPr>
              <w:t>39.6</w:t>
            </w:r>
          </w:p>
        </w:tc>
        <w:tc>
          <w:tcPr>
            <w:tcW w:w="101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C27A687" w14:textId="77777777" w:rsidR="00A306BA" w:rsidRPr="0044422E" w:rsidRDefault="00A306BA" w:rsidP="005D6976">
            <w:pPr>
              <w:jc w:val="right"/>
              <w:rPr>
                <w:sz w:val="20"/>
                <w:szCs w:val="20"/>
              </w:rPr>
            </w:pPr>
            <w:r w:rsidRPr="0044422E">
              <w:rPr>
                <w:color w:val="000000"/>
                <w:sz w:val="20"/>
                <w:szCs w:val="20"/>
              </w:rPr>
              <w:t>35.8</w:t>
            </w:r>
          </w:p>
        </w:tc>
        <w:tc>
          <w:tcPr>
            <w:tcW w:w="109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82C741E" w14:textId="77777777" w:rsidR="00A306BA" w:rsidRPr="0044422E" w:rsidRDefault="00A306BA" w:rsidP="005D6976">
            <w:pPr>
              <w:jc w:val="right"/>
              <w:rPr>
                <w:sz w:val="20"/>
                <w:szCs w:val="20"/>
              </w:rPr>
            </w:pPr>
            <w:r w:rsidRPr="0044422E">
              <w:rPr>
                <w:color w:val="000000"/>
                <w:sz w:val="20"/>
                <w:szCs w:val="20"/>
              </w:rPr>
              <w:t>0.3</w:t>
            </w:r>
          </w:p>
        </w:tc>
      </w:tr>
      <w:tr w:rsidR="00A306BA" w:rsidRPr="0044422E" w14:paraId="518D682B" w14:textId="77777777" w:rsidTr="005D6976">
        <w:trPr>
          <w:trHeight w:val="188"/>
        </w:trPr>
        <w:tc>
          <w:tcPr>
            <w:tcW w:w="3332"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tcPr>
          <w:p w14:paraId="09930D0C" w14:textId="77777777" w:rsidR="00A306BA" w:rsidRPr="0044422E" w:rsidRDefault="00A306BA" w:rsidP="005D6976">
            <w:pPr>
              <w:rPr>
                <w:sz w:val="20"/>
                <w:szCs w:val="20"/>
              </w:rPr>
            </w:pPr>
            <w:r w:rsidRPr="0044422E">
              <w:rPr>
                <w:color w:val="000000"/>
                <w:sz w:val="20"/>
                <w:szCs w:val="20"/>
              </w:rPr>
              <w:t>Population by Geography</w:t>
            </w:r>
          </w:p>
        </w:tc>
        <w:tc>
          <w:tcPr>
            <w:tcW w:w="103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968328A" w14:textId="77777777" w:rsidR="00A306BA" w:rsidRPr="0044422E" w:rsidRDefault="00A306BA" w:rsidP="005D6976">
            <w:pPr>
              <w:jc w:val="right"/>
              <w:rPr>
                <w:sz w:val="20"/>
                <w:szCs w:val="20"/>
              </w:rPr>
            </w:pPr>
            <w:r w:rsidRPr="0044422E">
              <w:rPr>
                <w:color w:val="000000"/>
                <w:sz w:val="20"/>
                <w:szCs w:val="20"/>
              </w:rPr>
              <w:t>1,556,116</w:t>
            </w:r>
          </w:p>
        </w:tc>
        <w:tc>
          <w:tcPr>
            <w:tcW w:w="1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D67C647" w14:textId="77777777" w:rsidR="00A306BA" w:rsidRPr="0044422E" w:rsidRDefault="00A306BA" w:rsidP="005D6976">
            <w:pPr>
              <w:jc w:val="right"/>
              <w:rPr>
                <w:sz w:val="20"/>
                <w:szCs w:val="20"/>
              </w:rPr>
            </w:pPr>
            <w:r w:rsidRPr="0044422E">
              <w:rPr>
                <w:color w:val="000000"/>
                <w:sz w:val="20"/>
                <w:szCs w:val="20"/>
              </w:rPr>
              <w:t>6.2</w:t>
            </w:r>
          </w:p>
        </w:tc>
        <w:tc>
          <w:tcPr>
            <w:tcW w:w="11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12E6C14" w14:textId="77777777" w:rsidR="00A306BA" w:rsidRPr="0044422E" w:rsidRDefault="00A306BA" w:rsidP="005D6976">
            <w:pPr>
              <w:jc w:val="right"/>
              <w:rPr>
                <w:sz w:val="20"/>
                <w:szCs w:val="20"/>
              </w:rPr>
            </w:pPr>
            <w:r w:rsidRPr="0044422E">
              <w:rPr>
                <w:color w:val="000000"/>
                <w:sz w:val="20"/>
                <w:szCs w:val="20"/>
              </w:rPr>
              <w:t>16.9</w:t>
            </w:r>
          </w:p>
        </w:tc>
        <w:tc>
          <w:tcPr>
            <w:tcW w:w="103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CF536C0" w14:textId="77777777" w:rsidR="00A306BA" w:rsidRPr="0044422E" w:rsidRDefault="00A306BA" w:rsidP="005D6976">
            <w:pPr>
              <w:jc w:val="right"/>
              <w:rPr>
                <w:sz w:val="20"/>
                <w:szCs w:val="20"/>
              </w:rPr>
            </w:pPr>
            <w:r w:rsidRPr="0044422E">
              <w:rPr>
                <w:color w:val="000000"/>
                <w:sz w:val="20"/>
                <w:szCs w:val="20"/>
              </w:rPr>
              <w:t>41.4</w:t>
            </w:r>
          </w:p>
        </w:tc>
        <w:tc>
          <w:tcPr>
            <w:tcW w:w="101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642246B" w14:textId="77777777" w:rsidR="00A306BA" w:rsidRPr="0044422E" w:rsidRDefault="00A306BA" w:rsidP="005D6976">
            <w:pPr>
              <w:jc w:val="right"/>
              <w:rPr>
                <w:sz w:val="20"/>
                <w:szCs w:val="20"/>
              </w:rPr>
            </w:pPr>
            <w:r w:rsidRPr="0044422E">
              <w:rPr>
                <w:color w:val="000000"/>
                <w:sz w:val="20"/>
                <w:szCs w:val="20"/>
              </w:rPr>
              <w:t>35.4</w:t>
            </w:r>
          </w:p>
        </w:tc>
        <w:tc>
          <w:tcPr>
            <w:tcW w:w="109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27BC6FB" w14:textId="77777777" w:rsidR="00A306BA" w:rsidRPr="0044422E" w:rsidRDefault="00A306BA" w:rsidP="005D6976">
            <w:pPr>
              <w:jc w:val="right"/>
              <w:rPr>
                <w:sz w:val="20"/>
                <w:szCs w:val="20"/>
              </w:rPr>
            </w:pPr>
            <w:r w:rsidRPr="0044422E">
              <w:rPr>
                <w:color w:val="000000"/>
                <w:sz w:val="20"/>
                <w:szCs w:val="20"/>
              </w:rPr>
              <w:t>0.0</w:t>
            </w:r>
          </w:p>
        </w:tc>
      </w:tr>
      <w:tr w:rsidR="00A306BA" w:rsidRPr="0044422E" w14:paraId="60D460FC" w14:textId="77777777" w:rsidTr="005D6976">
        <w:trPr>
          <w:trHeight w:val="188"/>
        </w:trPr>
        <w:tc>
          <w:tcPr>
            <w:tcW w:w="3332"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tcPr>
          <w:p w14:paraId="38E2236C" w14:textId="77777777" w:rsidR="00A306BA" w:rsidRPr="0044422E" w:rsidRDefault="00A306BA" w:rsidP="005D6976">
            <w:pPr>
              <w:rPr>
                <w:sz w:val="20"/>
                <w:szCs w:val="20"/>
              </w:rPr>
            </w:pPr>
            <w:r w:rsidRPr="0044422E">
              <w:rPr>
                <w:color w:val="000000"/>
                <w:sz w:val="20"/>
                <w:szCs w:val="20"/>
              </w:rPr>
              <w:t>Housing Units by Geography</w:t>
            </w:r>
          </w:p>
        </w:tc>
        <w:tc>
          <w:tcPr>
            <w:tcW w:w="103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675ABFE" w14:textId="77777777" w:rsidR="00A306BA" w:rsidRPr="0044422E" w:rsidRDefault="00A306BA" w:rsidP="005D6976">
            <w:pPr>
              <w:jc w:val="right"/>
              <w:rPr>
                <w:sz w:val="20"/>
                <w:szCs w:val="20"/>
              </w:rPr>
            </w:pPr>
            <w:r w:rsidRPr="0044422E">
              <w:rPr>
                <w:color w:val="000000"/>
                <w:sz w:val="20"/>
                <w:szCs w:val="20"/>
              </w:rPr>
              <w:t>617,089</w:t>
            </w:r>
          </w:p>
        </w:tc>
        <w:tc>
          <w:tcPr>
            <w:tcW w:w="1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B540D3B" w14:textId="77777777" w:rsidR="00A306BA" w:rsidRPr="0044422E" w:rsidRDefault="00A306BA" w:rsidP="005D6976">
            <w:pPr>
              <w:jc w:val="right"/>
              <w:rPr>
                <w:sz w:val="20"/>
                <w:szCs w:val="20"/>
              </w:rPr>
            </w:pPr>
            <w:r w:rsidRPr="0044422E">
              <w:rPr>
                <w:color w:val="000000"/>
                <w:sz w:val="20"/>
                <w:szCs w:val="20"/>
              </w:rPr>
              <w:t>6.1</w:t>
            </w:r>
          </w:p>
        </w:tc>
        <w:tc>
          <w:tcPr>
            <w:tcW w:w="11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28C8818" w14:textId="77777777" w:rsidR="00A306BA" w:rsidRPr="0044422E" w:rsidRDefault="00A306BA" w:rsidP="005D6976">
            <w:pPr>
              <w:jc w:val="right"/>
              <w:rPr>
                <w:sz w:val="20"/>
                <w:szCs w:val="20"/>
              </w:rPr>
            </w:pPr>
            <w:r w:rsidRPr="0044422E">
              <w:rPr>
                <w:color w:val="000000"/>
                <w:sz w:val="20"/>
                <w:szCs w:val="20"/>
              </w:rPr>
              <w:t>17.2</w:t>
            </w:r>
          </w:p>
        </w:tc>
        <w:tc>
          <w:tcPr>
            <w:tcW w:w="103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44DDDB4" w14:textId="77777777" w:rsidR="00A306BA" w:rsidRPr="0044422E" w:rsidRDefault="00A306BA" w:rsidP="005D6976">
            <w:pPr>
              <w:jc w:val="right"/>
              <w:rPr>
                <w:sz w:val="20"/>
                <w:szCs w:val="20"/>
              </w:rPr>
            </w:pPr>
            <w:r w:rsidRPr="0044422E">
              <w:rPr>
                <w:color w:val="000000"/>
                <w:sz w:val="20"/>
                <w:szCs w:val="20"/>
              </w:rPr>
              <w:t>42.4</w:t>
            </w:r>
          </w:p>
        </w:tc>
        <w:tc>
          <w:tcPr>
            <w:tcW w:w="101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A3F2C30" w14:textId="77777777" w:rsidR="00A306BA" w:rsidRPr="0044422E" w:rsidRDefault="00A306BA" w:rsidP="005D6976">
            <w:pPr>
              <w:jc w:val="right"/>
              <w:rPr>
                <w:sz w:val="20"/>
                <w:szCs w:val="20"/>
              </w:rPr>
            </w:pPr>
            <w:r w:rsidRPr="0044422E">
              <w:rPr>
                <w:color w:val="000000"/>
                <w:sz w:val="20"/>
                <w:szCs w:val="20"/>
              </w:rPr>
              <w:t>34.3</w:t>
            </w:r>
          </w:p>
        </w:tc>
        <w:tc>
          <w:tcPr>
            <w:tcW w:w="109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48F198F" w14:textId="77777777" w:rsidR="00A306BA" w:rsidRPr="0044422E" w:rsidRDefault="00A306BA" w:rsidP="005D6976">
            <w:pPr>
              <w:jc w:val="right"/>
              <w:rPr>
                <w:sz w:val="20"/>
                <w:szCs w:val="20"/>
              </w:rPr>
            </w:pPr>
            <w:r w:rsidRPr="0044422E">
              <w:rPr>
                <w:color w:val="000000"/>
                <w:sz w:val="20"/>
                <w:szCs w:val="20"/>
              </w:rPr>
              <w:t>0.0</w:t>
            </w:r>
          </w:p>
        </w:tc>
      </w:tr>
      <w:tr w:rsidR="00A306BA" w:rsidRPr="0044422E" w14:paraId="10291042" w14:textId="77777777" w:rsidTr="005D6976">
        <w:trPr>
          <w:trHeight w:val="188"/>
        </w:trPr>
        <w:tc>
          <w:tcPr>
            <w:tcW w:w="3332"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tcPr>
          <w:p w14:paraId="4E997BD0" w14:textId="77777777" w:rsidR="00A306BA" w:rsidRPr="0044422E" w:rsidRDefault="00A306BA" w:rsidP="005D6976">
            <w:pPr>
              <w:rPr>
                <w:sz w:val="20"/>
                <w:szCs w:val="20"/>
              </w:rPr>
            </w:pPr>
            <w:r w:rsidRPr="0044422E">
              <w:rPr>
                <w:color w:val="000000"/>
                <w:sz w:val="20"/>
                <w:szCs w:val="20"/>
              </w:rPr>
              <w:t>Owner-Occupied Units by Geography</w:t>
            </w:r>
          </w:p>
        </w:tc>
        <w:tc>
          <w:tcPr>
            <w:tcW w:w="103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12FB35A" w14:textId="77777777" w:rsidR="00A306BA" w:rsidRPr="0044422E" w:rsidRDefault="00A306BA" w:rsidP="005D6976">
            <w:pPr>
              <w:jc w:val="right"/>
              <w:rPr>
                <w:sz w:val="20"/>
                <w:szCs w:val="20"/>
              </w:rPr>
            </w:pPr>
            <w:r w:rsidRPr="0044422E">
              <w:rPr>
                <w:color w:val="000000"/>
                <w:sz w:val="20"/>
                <w:szCs w:val="20"/>
              </w:rPr>
              <w:t>365,501</w:t>
            </w:r>
          </w:p>
        </w:tc>
        <w:tc>
          <w:tcPr>
            <w:tcW w:w="1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E0066E6" w14:textId="77777777" w:rsidR="00A306BA" w:rsidRPr="0044422E" w:rsidRDefault="00A306BA" w:rsidP="005D6976">
            <w:pPr>
              <w:jc w:val="right"/>
              <w:rPr>
                <w:sz w:val="20"/>
                <w:szCs w:val="20"/>
              </w:rPr>
            </w:pPr>
            <w:r w:rsidRPr="0044422E">
              <w:rPr>
                <w:color w:val="000000"/>
                <w:sz w:val="20"/>
                <w:szCs w:val="20"/>
              </w:rPr>
              <w:t>2.4</w:t>
            </w:r>
          </w:p>
        </w:tc>
        <w:tc>
          <w:tcPr>
            <w:tcW w:w="11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0787248" w14:textId="77777777" w:rsidR="00A306BA" w:rsidRPr="0044422E" w:rsidRDefault="00A306BA" w:rsidP="005D6976">
            <w:pPr>
              <w:jc w:val="right"/>
              <w:rPr>
                <w:sz w:val="20"/>
                <w:szCs w:val="20"/>
              </w:rPr>
            </w:pPr>
            <w:r w:rsidRPr="0044422E">
              <w:rPr>
                <w:color w:val="000000"/>
                <w:sz w:val="20"/>
                <w:szCs w:val="20"/>
              </w:rPr>
              <w:t>11.9</w:t>
            </w:r>
          </w:p>
        </w:tc>
        <w:tc>
          <w:tcPr>
            <w:tcW w:w="103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7C4D6C6" w14:textId="77777777" w:rsidR="00A306BA" w:rsidRPr="0044422E" w:rsidRDefault="00A306BA" w:rsidP="005D6976">
            <w:pPr>
              <w:jc w:val="right"/>
              <w:rPr>
                <w:sz w:val="20"/>
                <w:szCs w:val="20"/>
              </w:rPr>
            </w:pPr>
            <w:r w:rsidRPr="0044422E">
              <w:rPr>
                <w:color w:val="000000"/>
                <w:sz w:val="20"/>
                <w:szCs w:val="20"/>
              </w:rPr>
              <w:t>43.1</w:t>
            </w:r>
          </w:p>
        </w:tc>
        <w:tc>
          <w:tcPr>
            <w:tcW w:w="101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570409F" w14:textId="77777777" w:rsidR="00A306BA" w:rsidRPr="0044422E" w:rsidRDefault="00A306BA" w:rsidP="005D6976">
            <w:pPr>
              <w:jc w:val="right"/>
              <w:rPr>
                <w:sz w:val="20"/>
                <w:szCs w:val="20"/>
              </w:rPr>
            </w:pPr>
            <w:r w:rsidRPr="0044422E">
              <w:rPr>
                <w:color w:val="000000"/>
                <w:sz w:val="20"/>
                <w:szCs w:val="20"/>
              </w:rPr>
              <w:t>42.6</w:t>
            </w:r>
          </w:p>
        </w:tc>
        <w:tc>
          <w:tcPr>
            <w:tcW w:w="109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E6BFF2B" w14:textId="77777777" w:rsidR="00A306BA" w:rsidRPr="0044422E" w:rsidRDefault="00A306BA" w:rsidP="005D6976">
            <w:pPr>
              <w:jc w:val="right"/>
              <w:rPr>
                <w:sz w:val="20"/>
                <w:szCs w:val="20"/>
              </w:rPr>
            </w:pPr>
            <w:r w:rsidRPr="0044422E">
              <w:rPr>
                <w:color w:val="000000"/>
                <w:sz w:val="20"/>
                <w:szCs w:val="20"/>
              </w:rPr>
              <w:t>0.0</w:t>
            </w:r>
          </w:p>
        </w:tc>
      </w:tr>
      <w:tr w:rsidR="00A306BA" w:rsidRPr="0044422E" w14:paraId="53CA7D4D" w14:textId="77777777" w:rsidTr="005D6976">
        <w:trPr>
          <w:trHeight w:val="188"/>
        </w:trPr>
        <w:tc>
          <w:tcPr>
            <w:tcW w:w="3332"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tcPr>
          <w:p w14:paraId="12615C5E" w14:textId="77777777" w:rsidR="00A306BA" w:rsidRPr="0044422E" w:rsidRDefault="00A306BA" w:rsidP="005D6976">
            <w:pPr>
              <w:rPr>
                <w:sz w:val="20"/>
                <w:szCs w:val="20"/>
              </w:rPr>
            </w:pPr>
            <w:r w:rsidRPr="0044422E">
              <w:rPr>
                <w:color w:val="000000"/>
                <w:sz w:val="20"/>
                <w:szCs w:val="20"/>
              </w:rPr>
              <w:t>Occupied Rental Units by Geography</w:t>
            </w:r>
          </w:p>
        </w:tc>
        <w:tc>
          <w:tcPr>
            <w:tcW w:w="103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C2131F4" w14:textId="77777777" w:rsidR="00A306BA" w:rsidRPr="0044422E" w:rsidRDefault="00A306BA" w:rsidP="005D6976">
            <w:pPr>
              <w:jc w:val="right"/>
              <w:rPr>
                <w:sz w:val="20"/>
                <w:szCs w:val="20"/>
              </w:rPr>
            </w:pPr>
            <w:r w:rsidRPr="0044422E">
              <w:rPr>
                <w:color w:val="000000"/>
                <w:sz w:val="20"/>
                <w:szCs w:val="20"/>
              </w:rPr>
              <w:t>220,141</w:t>
            </w:r>
          </w:p>
        </w:tc>
        <w:tc>
          <w:tcPr>
            <w:tcW w:w="1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0863322" w14:textId="77777777" w:rsidR="00A306BA" w:rsidRPr="0044422E" w:rsidRDefault="00A306BA" w:rsidP="005D6976">
            <w:pPr>
              <w:jc w:val="right"/>
              <w:rPr>
                <w:sz w:val="20"/>
                <w:szCs w:val="20"/>
              </w:rPr>
            </w:pPr>
            <w:r w:rsidRPr="0044422E">
              <w:rPr>
                <w:color w:val="000000"/>
                <w:sz w:val="20"/>
                <w:szCs w:val="20"/>
              </w:rPr>
              <w:t>12.0</w:t>
            </w:r>
          </w:p>
        </w:tc>
        <w:tc>
          <w:tcPr>
            <w:tcW w:w="11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76482DC" w14:textId="77777777" w:rsidR="00A306BA" w:rsidRPr="0044422E" w:rsidRDefault="00A306BA" w:rsidP="005D6976">
            <w:pPr>
              <w:jc w:val="right"/>
              <w:rPr>
                <w:sz w:val="20"/>
                <w:szCs w:val="20"/>
              </w:rPr>
            </w:pPr>
            <w:r w:rsidRPr="0044422E">
              <w:rPr>
                <w:color w:val="000000"/>
                <w:sz w:val="20"/>
                <w:szCs w:val="20"/>
              </w:rPr>
              <w:t>25.5</w:t>
            </w:r>
          </w:p>
        </w:tc>
        <w:tc>
          <w:tcPr>
            <w:tcW w:w="103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5FCEDCB" w14:textId="77777777" w:rsidR="00A306BA" w:rsidRPr="0044422E" w:rsidRDefault="00A306BA" w:rsidP="005D6976">
            <w:pPr>
              <w:jc w:val="right"/>
              <w:rPr>
                <w:sz w:val="20"/>
                <w:szCs w:val="20"/>
              </w:rPr>
            </w:pPr>
            <w:r w:rsidRPr="0044422E">
              <w:rPr>
                <w:color w:val="000000"/>
                <w:sz w:val="20"/>
                <w:szCs w:val="20"/>
              </w:rPr>
              <w:t>41.5</w:t>
            </w:r>
          </w:p>
        </w:tc>
        <w:tc>
          <w:tcPr>
            <w:tcW w:w="101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33B3D3E" w14:textId="77777777" w:rsidR="00A306BA" w:rsidRPr="0044422E" w:rsidRDefault="00A306BA" w:rsidP="005D6976">
            <w:pPr>
              <w:jc w:val="right"/>
              <w:rPr>
                <w:sz w:val="20"/>
                <w:szCs w:val="20"/>
              </w:rPr>
            </w:pPr>
            <w:r w:rsidRPr="0044422E">
              <w:rPr>
                <w:color w:val="000000"/>
                <w:sz w:val="20"/>
                <w:szCs w:val="20"/>
              </w:rPr>
              <w:t>21.0</w:t>
            </w:r>
          </w:p>
        </w:tc>
        <w:tc>
          <w:tcPr>
            <w:tcW w:w="109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2A94BB7" w14:textId="77777777" w:rsidR="00A306BA" w:rsidRPr="0044422E" w:rsidRDefault="00A306BA" w:rsidP="005D6976">
            <w:pPr>
              <w:jc w:val="right"/>
              <w:rPr>
                <w:sz w:val="20"/>
                <w:szCs w:val="20"/>
              </w:rPr>
            </w:pPr>
            <w:r w:rsidRPr="0044422E">
              <w:rPr>
                <w:color w:val="000000"/>
                <w:sz w:val="20"/>
                <w:szCs w:val="20"/>
              </w:rPr>
              <w:t>0.0</w:t>
            </w:r>
          </w:p>
        </w:tc>
      </w:tr>
      <w:tr w:rsidR="00A306BA" w:rsidRPr="0044422E" w14:paraId="1993C0A1" w14:textId="77777777" w:rsidTr="005D6976">
        <w:trPr>
          <w:trHeight w:val="188"/>
        </w:trPr>
        <w:tc>
          <w:tcPr>
            <w:tcW w:w="3332"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tcPr>
          <w:p w14:paraId="1A35DA4D" w14:textId="77777777" w:rsidR="00A306BA" w:rsidRPr="0044422E" w:rsidRDefault="00A306BA" w:rsidP="005D6976">
            <w:pPr>
              <w:rPr>
                <w:sz w:val="20"/>
                <w:szCs w:val="20"/>
              </w:rPr>
            </w:pPr>
            <w:r w:rsidRPr="0044422E">
              <w:rPr>
                <w:color w:val="000000"/>
                <w:sz w:val="20"/>
                <w:szCs w:val="20"/>
              </w:rPr>
              <w:t>Vacant Units by Geography</w:t>
            </w:r>
          </w:p>
        </w:tc>
        <w:tc>
          <w:tcPr>
            <w:tcW w:w="103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F0481F5" w14:textId="77777777" w:rsidR="00A306BA" w:rsidRPr="0044422E" w:rsidRDefault="00A306BA" w:rsidP="005D6976">
            <w:pPr>
              <w:jc w:val="right"/>
              <w:rPr>
                <w:sz w:val="20"/>
                <w:szCs w:val="20"/>
              </w:rPr>
            </w:pPr>
            <w:r w:rsidRPr="0044422E">
              <w:rPr>
                <w:color w:val="000000"/>
                <w:sz w:val="20"/>
                <w:szCs w:val="20"/>
              </w:rPr>
              <w:t>31,447</w:t>
            </w:r>
          </w:p>
        </w:tc>
        <w:tc>
          <w:tcPr>
            <w:tcW w:w="1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AFA6082" w14:textId="77777777" w:rsidR="00A306BA" w:rsidRPr="0044422E" w:rsidRDefault="00A306BA" w:rsidP="005D6976">
            <w:pPr>
              <w:jc w:val="right"/>
              <w:rPr>
                <w:sz w:val="20"/>
                <w:szCs w:val="20"/>
              </w:rPr>
            </w:pPr>
            <w:r w:rsidRPr="0044422E">
              <w:rPr>
                <w:color w:val="000000"/>
                <w:sz w:val="20"/>
                <w:szCs w:val="20"/>
              </w:rPr>
              <w:t>7.6</w:t>
            </w:r>
          </w:p>
        </w:tc>
        <w:tc>
          <w:tcPr>
            <w:tcW w:w="11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2552029" w14:textId="77777777" w:rsidR="00A306BA" w:rsidRPr="0044422E" w:rsidRDefault="00A306BA" w:rsidP="005D6976">
            <w:pPr>
              <w:jc w:val="right"/>
              <w:rPr>
                <w:sz w:val="20"/>
                <w:szCs w:val="20"/>
              </w:rPr>
            </w:pPr>
            <w:r w:rsidRPr="0044422E">
              <w:rPr>
                <w:color w:val="000000"/>
                <w:sz w:val="20"/>
                <w:szCs w:val="20"/>
              </w:rPr>
              <w:t>21.2</w:t>
            </w:r>
          </w:p>
        </w:tc>
        <w:tc>
          <w:tcPr>
            <w:tcW w:w="103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6BFA2EE" w14:textId="77777777" w:rsidR="00A306BA" w:rsidRPr="0044422E" w:rsidRDefault="00A306BA" w:rsidP="005D6976">
            <w:pPr>
              <w:jc w:val="right"/>
              <w:rPr>
                <w:sz w:val="20"/>
                <w:szCs w:val="20"/>
              </w:rPr>
            </w:pPr>
            <w:r w:rsidRPr="0044422E">
              <w:rPr>
                <w:color w:val="000000"/>
                <w:sz w:val="20"/>
                <w:szCs w:val="20"/>
              </w:rPr>
              <w:t>40.1</w:t>
            </w:r>
          </w:p>
        </w:tc>
        <w:tc>
          <w:tcPr>
            <w:tcW w:w="101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0DA5CBB" w14:textId="77777777" w:rsidR="00A306BA" w:rsidRPr="0044422E" w:rsidRDefault="00A306BA" w:rsidP="005D6976">
            <w:pPr>
              <w:jc w:val="right"/>
              <w:rPr>
                <w:sz w:val="20"/>
                <w:szCs w:val="20"/>
              </w:rPr>
            </w:pPr>
            <w:r w:rsidRPr="0044422E">
              <w:rPr>
                <w:color w:val="000000"/>
                <w:sz w:val="20"/>
                <w:szCs w:val="20"/>
              </w:rPr>
              <w:t>31.1</w:t>
            </w:r>
          </w:p>
        </w:tc>
        <w:tc>
          <w:tcPr>
            <w:tcW w:w="109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424245D" w14:textId="77777777" w:rsidR="00A306BA" w:rsidRPr="0044422E" w:rsidRDefault="00A306BA" w:rsidP="005D6976">
            <w:pPr>
              <w:jc w:val="right"/>
              <w:rPr>
                <w:sz w:val="20"/>
                <w:szCs w:val="20"/>
              </w:rPr>
            </w:pPr>
            <w:r w:rsidRPr="0044422E">
              <w:rPr>
                <w:color w:val="000000"/>
                <w:sz w:val="20"/>
                <w:szCs w:val="20"/>
              </w:rPr>
              <w:t>0.0</w:t>
            </w:r>
          </w:p>
        </w:tc>
      </w:tr>
      <w:tr w:rsidR="00A306BA" w:rsidRPr="0044422E" w14:paraId="4D820C0D" w14:textId="77777777" w:rsidTr="005D6976">
        <w:trPr>
          <w:trHeight w:val="188"/>
        </w:trPr>
        <w:tc>
          <w:tcPr>
            <w:tcW w:w="3332"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tcPr>
          <w:p w14:paraId="5451A6D8" w14:textId="77777777" w:rsidR="00A306BA" w:rsidRPr="0044422E" w:rsidRDefault="00A306BA" w:rsidP="005D6976">
            <w:pPr>
              <w:rPr>
                <w:sz w:val="20"/>
                <w:szCs w:val="20"/>
              </w:rPr>
            </w:pPr>
            <w:r w:rsidRPr="0044422E">
              <w:rPr>
                <w:color w:val="000000"/>
                <w:sz w:val="20"/>
                <w:szCs w:val="20"/>
              </w:rPr>
              <w:t>Businesses by Geography</w:t>
            </w:r>
          </w:p>
        </w:tc>
        <w:tc>
          <w:tcPr>
            <w:tcW w:w="103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B7A9BD0" w14:textId="77777777" w:rsidR="00A306BA" w:rsidRPr="0044422E" w:rsidRDefault="00A306BA" w:rsidP="005D6976">
            <w:pPr>
              <w:jc w:val="right"/>
              <w:rPr>
                <w:sz w:val="20"/>
                <w:szCs w:val="20"/>
              </w:rPr>
            </w:pPr>
            <w:r w:rsidRPr="0044422E">
              <w:rPr>
                <w:color w:val="000000"/>
                <w:sz w:val="20"/>
                <w:szCs w:val="20"/>
              </w:rPr>
              <w:t>138,140</w:t>
            </w:r>
          </w:p>
        </w:tc>
        <w:tc>
          <w:tcPr>
            <w:tcW w:w="1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9B85142" w14:textId="77777777" w:rsidR="00A306BA" w:rsidRPr="0044422E" w:rsidRDefault="00A306BA" w:rsidP="005D6976">
            <w:pPr>
              <w:jc w:val="right"/>
              <w:rPr>
                <w:sz w:val="20"/>
                <w:szCs w:val="20"/>
              </w:rPr>
            </w:pPr>
            <w:r w:rsidRPr="0044422E">
              <w:rPr>
                <w:color w:val="000000"/>
                <w:sz w:val="20"/>
                <w:szCs w:val="20"/>
              </w:rPr>
              <w:t>5.4</w:t>
            </w:r>
          </w:p>
        </w:tc>
        <w:tc>
          <w:tcPr>
            <w:tcW w:w="11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F120A85" w14:textId="77777777" w:rsidR="00A306BA" w:rsidRPr="0044422E" w:rsidRDefault="00A306BA" w:rsidP="005D6976">
            <w:pPr>
              <w:jc w:val="right"/>
              <w:rPr>
                <w:sz w:val="20"/>
                <w:szCs w:val="20"/>
              </w:rPr>
            </w:pPr>
            <w:r w:rsidRPr="0044422E">
              <w:rPr>
                <w:color w:val="000000"/>
                <w:sz w:val="20"/>
                <w:szCs w:val="20"/>
              </w:rPr>
              <w:t>13.2</w:t>
            </w:r>
          </w:p>
        </w:tc>
        <w:tc>
          <w:tcPr>
            <w:tcW w:w="103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22A7D56" w14:textId="77777777" w:rsidR="00A306BA" w:rsidRPr="0044422E" w:rsidRDefault="00A306BA" w:rsidP="005D6976">
            <w:pPr>
              <w:jc w:val="right"/>
              <w:rPr>
                <w:sz w:val="20"/>
                <w:szCs w:val="20"/>
              </w:rPr>
            </w:pPr>
            <w:r w:rsidRPr="0044422E">
              <w:rPr>
                <w:color w:val="000000"/>
                <w:sz w:val="20"/>
                <w:szCs w:val="20"/>
              </w:rPr>
              <w:t>41.0</w:t>
            </w:r>
          </w:p>
        </w:tc>
        <w:tc>
          <w:tcPr>
            <w:tcW w:w="101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317312B" w14:textId="77777777" w:rsidR="00A306BA" w:rsidRPr="0044422E" w:rsidRDefault="00A306BA" w:rsidP="005D6976">
            <w:pPr>
              <w:jc w:val="right"/>
              <w:rPr>
                <w:sz w:val="20"/>
                <w:szCs w:val="20"/>
              </w:rPr>
            </w:pPr>
            <w:r w:rsidRPr="0044422E">
              <w:rPr>
                <w:color w:val="000000"/>
                <w:sz w:val="20"/>
                <w:szCs w:val="20"/>
              </w:rPr>
              <w:t>40.4</w:t>
            </w:r>
          </w:p>
        </w:tc>
        <w:tc>
          <w:tcPr>
            <w:tcW w:w="109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BC6323D" w14:textId="77777777" w:rsidR="00A306BA" w:rsidRPr="0044422E" w:rsidRDefault="00A306BA" w:rsidP="005D6976">
            <w:pPr>
              <w:jc w:val="right"/>
              <w:rPr>
                <w:sz w:val="20"/>
                <w:szCs w:val="20"/>
              </w:rPr>
            </w:pPr>
            <w:r w:rsidRPr="0044422E">
              <w:rPr>
                <w:color w:val="000000"/>
                <w:sz w:val="20"/>
                <w:szCs w:val="20"/>
              </w:rPr>
              <w:t>0.0</w:t>
            </w:r>
          </w:p>
        </w:tc>
      </w:tr>
      <w:tr w:rsidR="00A306BA" w:rsidRPr="0044422E" w14:paraId="6DEBF133" w14:textId="77777777" w:rsidTr="005D6976">
        <w:trPr>
          <w:trHeight w:val="188"/>
        </w:trPr>
        <w:tc>
          <w:tcPr>
            <w:tcW w:w="3332"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tcPr>
          <w:p w14:paraId="111529EA" w14:textId="77777777" w:rsidR="00A306BA" w:rsidRPr="0044422E" w:rsidRDefault="00A306BA" w:rsidP="005D6976">
            <w:pPr>
              <w:rPr>
                <w:sz w:val="20"/>
                <w:szCs w:val="20"/>
              </w:rPr>
            </w:pPr>
            <w:r w:rsidRPr="0044422E">
              <w:rPr>
                <w:color w:val="000000"/>
                <w:sz w:val="20"/>
                <w:szCs w:val="20"/>
              </w:rPr>
              <w:t>Farms by Geography</w:t>
            </w:r>
          </w:p>
        </w:tc>
        <w:tc>
          <w:tcPr>
            <w:tcW w:w="103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3F5ABA7" w14:textId="77777777" w:rsidR="00A306BA" w:rsidRPr="0044422E" w:rsidRDefault="00A306BA" w:rsidP="005D6976">
            <w:pPr>
              <w:jc w:val="right"/>
              <w:rPr>
                <w:sz w:val="20"/>
                <w:szCs w:val="20"/>
              </w:rPr>
            </w:pPr>
            <w:r w:rsidRPr="0044422E">
              <w:rPr>
                <w:color w:val="000000"/>
                <w:sz w:val="20"/>
                <w:szCs w:val="20"/>
              </w:rPr>
              <w:t>2,536</w:t>
            </w:r>
          </w:p>
        </w:tc>
        <w:tc>
          <w:tcPr>
            <w:tcW w:w="1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2C727F8" w14:textId="77777777" w:rsidR="00A306BA" w:rsidRPr="0044422E" w:rsidRDefault="00A306BA" w:rsidP="005D6976">
            <w:pPr>
              <w:jc w:val="right"/>
              <w:rPr>
                <w:sz w:val="20"/>
                <w:szCs w:val="20"/>
              </w:rPr>
            </w:pPr>
            <w:r w:rsidRPr="0044422E">
              <w:rPr>
                <w:color w:val="000000"/>
                <w:sz w:val="20"/>
                <w:szCs w:val="20"/>
              </w:rPr>
              <w:t>2.6</w:t>
            </w:r>
          </w:p>
        </w:tc>
        <w:tc>
          <w:tcPr>
            <w:tcW w:w="11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D552A24" w14:textId="77777777" w:rsidR="00A306BA" w:rsidRPr="0044422E" w:rsidRDefault="00A306BA" w:rsidP="005D6976">
            <w:pPr>
              <w:jc w:val="right"/>
              <w:rPr>
                <w:sz w:val="20"/>
                <w:szCs w:val="20"/>
              </w:rPr>
            </w:pPr>
            <w:r w:rsidRPr="0044422E">
              <w:rPr>
                <w:color w:val="000000"/>
                <w:sz w:val="20"/>
                <w:szCs w:val="20"/>
              </w:rPr>
              <w:t>9.7</w:t>
            </w:r>
          </w:p>
        </w:tc>
        <w:tc>
          <w:tcPr>
            <w:tcW w:w="103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73E60C5" w14:textId="77777777" w:rsidR="00A306BA" w:rsidRPr="0044422E" w:rsidRDefault="00A306BA" w:rsidP="005D6976">
            <w:pPr>
              <w:jc w:val="right"/>
              <w:rPr>
                <w:sz w:val="20"/>
                <w:szCs w:val="20"/>
              </w:rPr>
            </w:pPr>
            <w:r w:rsidRPr="0044422E">
              <w:rPr>
                <w:color w:val="000000"/>
                <w:sz w:val="20"/>
                <w:szCs w:val="20"/>
              </w:rPr>
              <w:t>41.4</w:t>
            </w:r>
          </w:p>
        </w:tc>
        <w:tc>
          <w:tcPr>
            <w:tcW w:w="101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F136086" w14:textId="77777777" w:rsidR="00A306BA" w:rsidRPr="0044422E" w:rsidRDefault="00A306BA" w:rsidP="005D6976">
            <w:pPr>
              <w:jc w:val="right"/>
              <w:rPr>
                <w:sz w:val="20"/>
                <w:szCs w:val="20"/>
              </w:rPr>
            </w:pPr>
            <w:r w:rsidRPr="0044422E">
              <w:rPr>
                <w:color w:val="000000"/>
                <w:sz w:val="20"/>
                <w:szCs w:val="20"/>
              </w:rPr>
              <w:t>46.4</w:t>
            </w:r>
          </w:p>
        </w:tc>
        <w:tc>
          <w:tcPr>
            <w:tcW w:w="109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56AD14C" w14:textId="77777777" w:rsidR="00A306BA" w:rsidRPr="0044422E" w:rsidRDefault="00A306BA" w:rsidP="005D6976">
            <w:pPr>
              <w:jc w:val="right"/>
              <w:rPr>
                <w:sz w:val="20"/>
                <w:szCs w:val="20"/>
              </w:rPr>
            </w:pPr>
            <w:r w:rsidRPr="0044422E">
              <w:rPr>
                <w:color w:val="000000"/>
                <w:sz w:val="20"/>
                <w:szCs w:val="20"/>
              </w:rPr>
              <w:t>0.0</w:t>
            </w:r>
          </w:p>
        </w:tc>
      </w:tr>
      <w:tr w:rsidR="00A306BA" w:rsidRPr="0044422E" w14:paraId="43493184" w14:textId="77777777" w:rsidTr="005D6976">
        <w:trPr>
          <w:trHeight w:val="188"/>
        </w:trPr>
        <w:tc>
          <w:tcPr>
            <w:tcW w:w="3332"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tcPr>
          <w:p w14:paraId="0F913242" w14:textId="77777777" w:rsidR="00A306BA" w:rsidRPr="0044422E" w:rsidRDefault="00A306BA" w:rsidP="005D6976">
            <w:pPr>
              <w:rPr>
                <w:sz w:val="20"/>
                <w:szCs w:val="20"/>
              </w:rPr>
            </w:pPr>
            <w:r w:rsidRPr="0044422E">
              <w:rPr>
                <w:color w:val="000000"/>
                <w:sz w:val="20"/>
                <w:szCs w:val="20"/>
              </w:rPr>
              <w:t>Family Distribution by Income Level</w:t>
            </w:r>
          </w:p>
        </w:tc>
        <w:tc>
          <w:tcPr>
            <w:tcW w:w="103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041C3D9" w14:textId="77777777" w:rsidR="00A306BA" w:rsidRPr="0044422E" w:rsidRDefault="00A306BA" w:rsidP="005D6976">
            <w:pPr>
              <w:jc w:val="right"/>
              <w:rPr>
                <w:sz w:val="20"/>
                <w:szCs w:val="20"/>
              </w:rPr>
            </w:pPr>
            <w:r w:rsidRPr="0044422E">
              <w:rPr>
                <w:color w:val="000000"/>
                <w:sz w:val="20"/>
                <w:szCs w:val="20"/>
              </w:rPr>
              <w:t>376,456</w:t>
            </w:r>
          </w:p>
        </w:tc>
        <w:tc>
          <w:tcPr>
            <w:tcW w:w="1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6034CAE" w14:textId="77777777" w:rsidR="00A306BA" w:rsidRPr="0044422E" w:rsidRDefault="00A306BA" w:rsidP="005D6976">
            <w:pPr>
              <w:jc w:val="right"/>
              <w:rPr>
                <w:sz w:val="20"/>
                <w:szCs w:val="20"/>
              </w:rPr>
            </w:pPr>
            <w:r w:rsidRPr="0044422E">
              <w:rPr>
                <w:color w:val="000000"/>
                <w:sz w:val="20"/>
                <w:szCs w:val="20"/>
              </w:rPr>
              <w:t>20.5</w:t>
            </w:r>
          </w:p>
        </w:tc>
        <w:tc>
          <w:tcPr>
            <w:tcW w:w="11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7A15174" w14:textId="77777777" w:rsidR="00A306BA" w:rsidRPr="0044422E" w:rsidRDefault="00A306BA" w:rsidP="005D6976">
            <w:pPr>
              <w:jc w:val="right"/>
              <w:rPr>
                <w:sz w:val="20"/>
                <w:szCs w:val="20"/>
              </w:rPr>
            </w:pPr>
            <w:r w:rsidRPr="0044422E">
              <w:rPr>
                <w:color w:val="000000"/>
                <w:sz w:val="20"/>
                <w:szCs w:val="20"/>
              </w:rPr>
              <w:t>15.7</w:t>
            </w:r>
          </w:p>
        </w:tc>
        <w:tc>
          <w:tcPr>
            <w:tcW w:w="103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2BEA95B" w14:textId="77777777" w:rsidR="00A306BA" w:rsidRPr="0044422E" w:rsidRDefault="00A306BA" w:rsidP="005D6976">
            <w:pPr>
              <w:jc w:val="right"/>
              <w:rPr>
                <w:sz w:val="20"/>
                <w:szCs w:val="20"/>
              </w:rPr>
            </w:pPr>
            <w:r w:rsidRPr="0044422E">
              <w:rPr>
                <w:color w:val="000000"/>
                <w:sz w:val="20"/>
                <w:szCs w:val="20"/>
              </w:rPr>
              <w:t>19.8</w:t>
            </w:r>
          </w:p>
        </w:tc>
        <w:tc>
          <w:tcPr>
            <w:tcW w:w="101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773D636" w14:textId="77777777" w:rsidR="00A306BA" w:rsidRPr="0044422E" w:rsidRDefault="00A306BA" w:rsidP="005D6976">
            <w:pPr>
              <w:jc w:val="right"/>
              <w:rPr>
                <w:sz w:val="20"/>
                <w:szCs w:val="20"/>
              </w:rPr>
            </w:pPr>
            <w:r w:rsidRPr="0044422E">
              <w:rPr>
                <w:color w:val="000000"/>
                <w:sz w:val="20"/>
                <w:szCs w:val="20"/>
              </w:rPr>
              <w:t>44.1</w:t>
            </w:r>
          </w:p>
        </w:tc>
        <w:tc>
          <w:tcPr>
            <w:tcW w:w="109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1ED9A66" w14:textId="77777777" w:rsidR="00A306BA" w:rsidRPr="0044422E" w:rsidRDefault="00A306BA" w:rsidP="005D6976">
            <w:pPr>
              <w:jc w:val="right"/>
              <w:rPr>
                <w:sz w:val="20"/>
                <w:szCs w:val="20"/>
              </w:rPr>
            </w:pPr>
            <w:r w:rsidRPr="0044422E">
              <w:rPr>
                <w:color w:val="000000"/>
                <w:sz w:val="20"/>
                <w:szCs w:val="20"/>
              </w:rPr>
              <w:t>0.0</w:t>
            </w:r>
          </w:p>
        </w:tc>
      </w:tr>
      <w:tr w:rsidR="00A306BA" w:rsidRPr="0044422E" w14:paraId="0CEDB424" w14:textId="77777777" w:rsidTr="005D6976">
        <w:trPr>
          <w:trHeight w:val="188"/>
        </w:trPr>
        <w:tc>
          <w:tcPr>
            <w:tcW w:w="3332"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tcPr>
          <w:p w14:paraId="69FD7589" w14:textId="77777777" w:rsidR="00A306BA" w:rsidRPr="0044422E" w:rsidRDefault="00A306BA" w:rsidP="005D6976">
            <w:pPr>
              <w:rPr>
                <w:sz w:val="20"/>
                <w:szCs w:val="20"/>
              </w:rPr>
            </w:pPr>
            <w:r w:rsidRPr="0044422E">
              <w:rPr>
                <w:color w:val="000000"/>
                <w:sz w:val="20"/>
                <w:szCs w:val="20"/>
              </w:rPr>
              <w:t>Household Distribution by Income Level</w:t>
            </w:r>
          </w:p>
        </w:tc>
        <w:tc>
          <w:tcPr>
            <w:tcW w:w="103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B92E7C7" w14:textId="77777777" w:rsidR="00A306BA" w:rsidRPr="0044422E" w:rsidRDefault="00A306BA" w:rsidP="005D6976">
            <w:pPr>
              <w:jc w:val="right"/>
              <w:rPr>
                <w:sz w:val="20"/>
                <w:szCs w:val="20"/>
              </w:rPr>
            </w:pPr>
            <w:r w:rsidRPr="0044422E">
              <w:rPr>
                <w:color w:val="000000"/>
                <w:sz w:val="20"/>
                <w:szCs w:val="20"/>
              </w:rPr>
              <w:t>585,642</w:t>
            </w:r>
          </w:p>
        </w:tc>
        <w:tc>
          <w:tcPr>
            <w:tcW w:w="1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DD2A36C" w14:textId="77777777" w:rsidR="00A306BA" w:rsidRPr="0044422E" w:rsidRDefault="00A306BA" w:rsidP="005D6976">
            <w:pPr>
              <w:jc w:val="right"/>
              <w:rPr>
                <w:sz w:val="20"/>
                <w:szCs w:val="20"/>
              </w:rPr>
            </w:pPr>
            <w:r w:rsidRPr="0044422E">
              <w:rPr>
                <w:color w:val="000000"/>
                <w:sz w:val="20"/>
                <w:szCs w:val="20"/>
              </w:rPr>
              <w:t>24.0</w:t>
            </w:r>
          </w:p>
        </w:tc>
        <w:tc>
          <w:tcPr>
            <w:tcW w:w="11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4D42FD0" w14:textId="77777777" w:rsidR="00A306BA" w:rsidRPr="0044422E" w:rsidRDefault="00A306BA" w:rsidP="005D6976">
            <w:pPr>
              <w:jc w:val="right"/>
              <w:rPr>
                <w:sz w:val="20"/>
                <w:szCs w:val="20"/>
              </w:rPr>
            </w:pPr>
            <w:r w:rsidRPr="0044422E">
              <w:rPr>
                <w:color w:val="000000"/>
                <w:sz w:val="20"/>
                <w:szCs w:val="20"/>
              </w:rPr>
              <w:t>14.3</w:t>
            </w:r>
          </w:p>
        </w:tc>
        <w:tc>
          <w:tcPr>
            <w:tcW w:w="103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B3B26A3" w14:textId="77777777" w:rsidR="00A306BA" w:rsidRPr="0044422E" w:rsidRDefault="00A306BA" w:rsidP="005D6976">
            <w:pPr>
              <w:jc w:val="right"/>
              <w:rPr>
                <w:sz w:val="20"/>
                <w:szCs w:val="20"/>
              </w:rPr>
            </w:pPr>
            <w:r w:rsidRPr="0044422E">
              <w:rPr>
                <w:color w:val="000000"/>
                <w:sz w:val="20"/>
                <w:szCs w:val="20"/>
              </w:rPr>
              <w:t>16.3</w:t>
            </w:r>
          </w:p>
        </w:tc>
        <w:tc>
          <w:tcPr>
            <w:tcW w:w="101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7462084" w14:textId="77777777" w:rsidR="00A306BA" w:rsidRPr="0044422E" w:rsidRDefault="00A306BA" w:rsidP="005D6976">
            <w:pPr>
              <w:jc w:val="right"/>
              <w:rPr>
                <w:sz w:val="20"/>
                <w:szCs w:val="20"/>
              </w:rPr>
            </w:pPr>
            <w:r w:rsidRPr="0044422E">
              <w:rPr>
                <w:color w:val="000000"/>
                <w:sz w:val="20"/>
                <w:szCs w:val="20"/>
              </w:rPr>
              <w:t>45.4</w:t>
            </w:r>
          </w:p>
        </w:tc>
        <w:tc>
          <w:tcPr>
            <w:tcW w:w="109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85A57FA" w14:textId="77777777" w:rsidR="00A306BA" w:rsidRPr="0044422E" w:rsidRDefault="00A306BA" w:rsidP="005D6976">
            <w:pPr>
              <w:jc w:val="right"/>
              <w:rPr>
                <w:sz w:val="20"/>
                <w:szCs w:val="20"/>
              </w:rPr>
            </w:pPr>
            <w:r w:rsidRPr="0044422E">
              <w:rPr>
                <w:color w:val="000000"/>
                <w:sz w:val="20"/>
                <w:szCs w:val="20"/>
              </w:rPr>
              <w:t>0.0</w:t>
            </w:r>
          </w:p>
        </w:tc>
      </w:tr>
      <w:tr w:rsidR="00A306BA" w:rsidRPr="0044422E" w14:paraId="1645294D" w14:textId="77777777" w:rsidTr="005D6976">
        <w:trPr>
          <w:trHeight w:val="188"/>
        </w:trPr>
        <w:tc>
          <w:tcPr>
            <w:tcW w:w="3332" w:type="dxa"/>
            <w:tcBorders>
              <w:top w:val="single" w:sz="7" w:space="0" w:color="000000"/>
              <w:left w:val="single" w:sz="7" w:space="0" w:color="000000"/>
              <w:bottom w:val="single" w:sz="7" w:space="0" w:color="000000"/>
            </w:tcBorders>
            <w:tcMar>
              <w:top w:w="39" w:type="dxa"/>
              <w:left w:w="239" w:type="dxa"/>
              <w:bottom w:w="39" w:type="dxa"/>
              <w:right w:w="39" w:type="dxa"/>
            </w:tcMar>
          </w:tcPr>
          <w:p w14:paraId="162483E6" w14:textId="77777777" w:rsidR="00A306BA" w:rsidRPr="0044422E" w:rsidRDefault="00A306BA" w:rsidP="005D6976">
            <w:pPr>
              <w:rPr>
                <w:sz w:val="20"/>
                <w:szCs w:val="20"/>
              </w:rPr>
            </w:pPr>
            <w:r w:rsidRPr="0044422E">
              <w:rPr>
                <w:color w:val="000000"/>
                <w:sz w:val="20"/>
                <w:szCs w:val="20"/>
              </w:rPr>
              <w:t>Median Family Income MSA - 15764 Cambridge-Newton-Framingham, MA</w:t>
            </w:r>
          </w:p>
        </w:tc>
        <w:tc>
          <w:tcPr>
            <w:tcW w:w="1035" w:type="dxa"/>
            <w:tcBorders>
              <w:top w:val="single" w:sz="7" w:space="0" w:color="000000"/>
              <w:bottom w:val="single" w:sz="7" w:space="0" w:color="000000"/>
            </w:tcBorders>
            <w:tcMar>
              <w:top w:w="39" w:type="dxa"/>
              <w:left w:w="239" w:type="dxa"/>
              <w:bottom w:w="39" w:type="dxa"/>
              <w:right w:w="39" w:type="dxa"/>
            </w:tcMar>
          </w:tcPr>
          <w:p w14:paraId="11E4D896" w14:textId="77777777" w:rsidR="00A306BA" w:rsidRPr="0044422E" w:rsidRDefault="00A306BA" w:rsidP="005D6976">
            <w:pPr>
              <w:rPr>
                <w:sz w:val="20"/>
                <w:szCs w:val="20"/>
              </w:rPr>
            </w:pPr>
          </w:p>
        </w:tc>
        <w:tc>
          <w:tcPr>
            <w:tcW w:w="1002" w:type="dxa"/>
            <w:tcBorders>
              <w:top w:val="single" w:sz="7" w:space="0" w:color="000000"/>
              <w:left w:val="single" w:sz="7" w:space="0" w:color="000000"/>
              <w:bottom w:val="single" w:sz="7" w:space="0" w:color="000000"/>
            </w:tcBorders>
            <w:tcMar>
              <w:top w:w="39" w:type="dxa"/>
              <w:left w:w="39" w:type="dxa"/>
              <w:bottom w:w="39" w:type="dxa"/>
              <w:right w:w="39" w:type="dxa"/>
            </w:tcMar>
          </w:tcPr>
          <w:p w14:paraId="1355B7A7" w14:textId="77777777" w:rsidR="00A306BA" w:rsidRPr="0044422E" w:rsidRDefault="00A306BA" w:rsidP="005D6976">
            <w:pPr>
              <w:jc w:val="right"/>
              <w:rPr>
                <w:sz w:val="20"/>
                <w:szCs w:val="20"/>
              </w:rPr>
            </w:pPr>
            <w:r w:rsidRPr="0044422E">
              <w:rPr>
                <w:color w:val="000000"/>
                <w:sz w:val="20"/>
                <w:szCs w:val="20"/>
              </w:rPr>
              <w:t>$100,380</w:t>
            </w:r>
          </w:p>
        </w:tc>
        <w:tc>
          <w:tcPr>
            <w:tcW w:w="3167"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A734E3E" w14:textId="77777777" w:rsidR="00A306BA" w:rsidRPr="0044422E" w:rsidRDefault="00A306BA" w:rsidP="005D6976">
            <w:pPr>
              <w:rPr>
                <w:sz w:val="20"/>
                <w:szCs w:val="20"/>
              </w:rPr>
            </w:pPr>
            <w:r w:rsidRPr="0044422E">
              <w:rPr>
                <w:color w:val="000000"/>
                <w:sz w:val="20"/>
                <w:szCs w:val="20"/>
              </w:rPr>
              <w:t>Median Housing Value</w:t>
            </w:r>
          </w:p>
        </w:tc>
        <w:tc>
          <w:tcPr>
            <w:tcW w:w="109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48D92CB" w14:textId="77777777" w:rsidR="00A306BA" w:rsidRPr="0044422E" w:rsidRDefault="00A306BA" w:rsidP="005D6976">
            <w:pPr>
              <w:jc w:val="right"/>
              <w:rPr>
                <w:sz w:val="20"/>
                <w:szCs w:val="20"/>
              </w:rPr>
            </w:pPr>
            <w:r w:rsidRPr="0044422E">
              <w:rPr>
                <w:color w:val="000000"/>
                <w:sz w:val="20"/>
                <w:szCs w:val="20"/>
              </w:rPr>
              <w:t>$448,925</w:t>
            </w:r>
          </w:p>
        </w:tc>
      </w:tr>
      <w:tr w:rsidR="00A306BA" w:rsidRPr="0044422E" w14:paraId="62627F1D" w14:textId="77777777" w:rsidTr="005D6976">
        <w:trPr>
          <w:trHeight w:val="188"/>
        </w:trPr>
        <w:tc>
          <w:tcPr>
            <w:tcW w:w="3332" w:type="dxa"/>
            <w:tcBorders>
              <w:left w:val="single" w:sz="7" w:space="0" w:color="000000"/>
            </w:tcBorders>
            <w:tcMar>
              <w:top w:w="39" w:type="dxa"/>
              <w:left w:w="239" w:type="dxa"/>
              <w:bottom w:w="39" w:type="dxa"/>
              <w:right w:w="39" w:type="dxa"/>
            </w:tcMar>
          </w:tcPr>
          <w:p w14:paraId="764E213F" w14:textId="77777777" w:rsidR="00A306BA" w:rsidRPr="0044422E" w:rsidRDefault="00A306BA" w:rsidP="005D6976">
            <w:pPr>
              <w:rPr>
                <w:sz w:val="20"/>
                <w:szCs w:val="20"/>
              </w:rPr>
            </w:pPr>
          </w:p>
        </w:tc>
        <w:tc>
          <w:tcPr>
            <w:tcW w:w="1035" w:type="dxa"/>
            <w:tcMar>
              <w:top w:w="39" w:type="dxa"/>
              <w:left w:w="239" w:type="dxa"/>
              <w:bottom w:w="39" w:type="dxa"/>
              <w:right w:w="39" w:type="dxa"/>
            </w:tcMar>
          </w:tcPr>
          <w:p w14:paraId="2E5E6985" w14:textId="77777777" w:rsidR="00A306BA" w:rsidRPr="0044422E" w:rsidRDefault="00A306BA" w:rsidP="005D6976">
            <w:pPr>
              <w:rPr>
                <w:sz w:val="20"/>
                <w:szCs w:val="20"/>
              </w:rPr>
            </w:pPr>
          </w:p>
        </w:tc>
        <w:tc>
          <w:tcPr>
            <w:tcW w:w="1002" w:type="dxa"/>
            <w:tcMar>
              <w:top w:w="39" w:type="dxa"/>
              <w:left w:w="39" w:type="dxa"/>
              <w:bottom w:w="39" w:type="dxa"/>
              <w:right w:w="39" w:type="dxa"/>
            </w:tcMar>
          </w:tcPr>
          <w:p w14:paraId="7702E210" w14:textId="77777777" w:rsidR="00A306BA" w:rsidRPr="0044422E" w:rsidRDefault="00A306BA" w:rsidP="005D6976">
            <w:pPr>
              <w:rPr>
                <w:sz w:val="20"/>
                <w:szCs w:val="20"/>
              </w:rPr>
            </w:pPr>
          </w:p>
        </w:tc>
        <w:tc>
          <w:tcPr>
            <w:tcW w:w="3167"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4A77C58" w14:textId="77777777" w:rsidR="00A306BA" w:rsidRPr="0044422E" w:rsidRDefault="00A306BA" w:rsidP="005D6976">
            <w:pPr>
              <w:rPr>
                <w:sz w:val="20"/>
                <w:szCs w:val="20"/>
              </w:rPr>
            </w:pPr>
            <w:r w:rsidRPr="0044422E">
              <w:rPr>
                <w:color w:val="000000"/>
                <w:sz w:val="20"/>
                <w:szCs w:val="20"/>
              </w:rPr>
              <w:t>Median Gross Rent</w:t>
            </w:r>
          </w:p>
        </w:tc>
        <w:tc>
          <w:tcPr>
            <w:tcW w:w="109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85A119C" w14:textId="77777777" w:rsidR="00A306BA" w:rsidRPr="0044422E" w:rsidRDefault="00A306BA" w:rsidP="005D6976">
            <w:pPr>
              <w:jc w:val="right"/>
              <w:rPr>
                <w:sz w:val="20"/>
                <w:szCs w:val="20"/>
              </w:rPr>
            </w:pPr>
            <w:r w:rsidRPr="0044422E">
              <w:rPr>
                <w:color w:val="000000"/>
                <w:sz w:val="20"/>
                <w:szCs w:val="20"/>
              </w:rPr>
              <w:t>$1,359</w:t>
            </w:r>
          </w:p>
        </w:tc>
      </w:tr>
      <w:tr w:rsidR="00A306BA" w:rsidRPr="0044422E" w14:paraId="592104B1" w14:textId="77777777" w:rsidTr="005D6976">
        <w:trPr>
          <w:trHeight w:val="188"/>
        </w:trPr>
        <w:tc>
          <w:tcPr>
            <w:tcW w:w="3332" w:type="dxa"/>
            <w:tcBorders>
              <w:left w:val="single" w:sz="7" w:space="0" w:color="000000"/>
              <w:bottom w:val="single" w:sz="7" w:space="0" w:color="000000"/>
            </w:tcBorders>
            <w:tcMar>
              <w:top w:w="39" w:type="dxa"/>
              <w:left w:w="239" w:type="dxa"/>
              <w:bottom w:w="39" w:type="dxa"/>
              <w:right w:w="39" w:type="dxa"/>
            </w:tcMar>
          </w:tcPr>
          <w:p w14:paraId="77B35585" w14:textId="77777777" w:rsidR="00A306BA" w:rsidRPr="0044422E" w:rsidRDefault="00A306BA" w:rsidP="005D6976">
            <w:pPr>
              <w:rPr>
                <w:sz w:val="20"/>
                <w:szCs w:val="20"/>
              </w:rPr>
            </w:pPr>
          </w:p>
        </w:tc>
        <w:tc>
          <w:tcPr>
            <w:tcW w:w="1035" w:type="dxa"/>
            <w:tcBorders>
              <w:bottom w:val="single" w:sz="7" w:space="0" w:color="000000"/>
            </w:tcBorders>
            <w:tcMar>
              <w:top w:w="39" w:type="dxa"/>
              <w:left w:w="239" w:type="dxa"/>
              <w:bottom w:w="39" w:type="dxa"/>
              <w:right w:w="39" w:type="dxa"/>
            </w:tcMar>
          </w:tcPr>
          <w:p w14:paraId="35E4D54A" w14:textId="77777777" w:rsidR="00A306BA" w:rsidRPr="0044422E" w:rsidRDefault="00A306BA" w:rsidP="005D6976">
            <w:pPr>
              <w:rPr>
                <w:sz w:val="20"/>
                <w:szCs w:val="20"/>
              </w:rPr>
            </w:pPr>
          </w:p>
        </w:tc>
        <w:tc>
          <w:tcPr>
            <w:tcW w:w="1002" w:type="dxa"/>
            <w:tcBorders>
              <w:bottom w:val="single" w:sz="7" w:space="0" w:color="000000"/>
            </w:tcBorders>
            <w:tcMar>
              <w:top w:w="39" w:type="dxa"/>
              <w:left w:w="39" w:type="dxa"/>
              <w:bottom w:w="39" w:type="dxa"/>
              <w:right w:w="39" w:type="dxa"/>
            </w:tcMar>
          </w:tcPr>
          <w:p w14:paraId="26D74908" w14:textId="77777777" w:rsidR="00A306BA" w:rsidRPr="0044422E" w:rsidRDefault="00A306BA" w:rsidP="005D6976">
            <w:pPr>
              <w:rPr>
                <w:sz w:val="20"/>
                <w:szCs w:val="20"/>
              </w:rPr>
            </w:pPr>
          </w:p>
        </w:tc>
        <w:tc>
          <w:tcPr>
            <w:tcW w:w="3167"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C1986E2" w14:textId="77777777" w:rsidR="00A306BA" w:rsidRPr="0044422E" w:rsidRDefault="00A306BA" w:rsidP="005D6976">
            <w:pPr>
              <w:rPr>
                <w:sz w:val="20"/>
                <w:szCs w:val="20"/>
              </w:rPr>
            </w:pPr>
            <w:r w:rsidRPr="0044422E">
              <w:rPr>
                <w:color w:val="000000"/>
                <w:sz w:val="20"/>
                <w:szCs w:val="20"/>
              </w:rPr>
              <w:t>Families Below Poverty Level</w:t>
            </w:r>
          </w:p>
        </w:tc>
        <w:tc>
          <w:tcPr>
            <w:tcW w:w="109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A5850CF" w14:textId="77777777" w:rsidR="00A306BA" w:rsidRPr="0044422E" w:rsidRDefault="00A306BA" w:rsidP="005D6976">
            <w:pPr>
              <w:jc w:val="right"/>
              <w:rPr>
                <w:sz w:val="20"/>
                <w:szCs w:val="20"/>
              </w:rPr>
            </w:pPr>
            <w:r w:rsidRPr="0044422E">
              <w:rPr>
                <w:color w:val="000000"/>
                <w:sz w:val="20"/>
                <w:szCs w:val="20"/>
              </w:rPr>
              <w:t>5.6%</w:t>
            </w:r>
          </w:p>
        </w:tc>
      </w:tr>
      <w:tr w:rsidR="00A306BA" w:rsidRPr="0044422E" w14:paraId="76379D80" w14:textId="77777777" w:rsidTr="005D6976">
        <w:trPr>
          <w:trHeight w:val="616"/>
        </w:trPr>
        <w:tc>
          <w:tcPr>
            <w:tcW w:w="9630" w:type="dxa"/>
            <w:gridSpan w:val="7"/>
            <w:tcBorders>
              <w:left w:val="single" w:sz="7" w:space="0" w:color="000000"/>
              <w:bottom w:val="single" w:sz="7" w:space="0" w:color="000000"/>
              <w:right w:val="single" w:sz="7" w:space="0" w:color="000000"/>
            </w:tcBorders>
            <w:tcMar>
              <w:top w:w="59" w:type="dxa"/>
              <w:left w:w="39" w:type="dxa"/>
              <w:bottom w:w="39" w:type="dxa"/>
              <w:right w:w="39" w:type="dxa"/>
            </w:tcMar>
          </w:tcPr>
          <w:p w14:paraId="62BDDEED" w14:textId="77777777" w:rsidR="00A306BA" w:rsidRPr="0044422E" w:rsidRDefault="00A306BA" w:rsidP="005D6976">
            <w:pPr>
              <w:rPr>
                <w:sz w:val="20"/>
                <w:szCs w:val="20"/>
              </w:rPr>
            </w:pPr>
            <w:r w:rsidRPr="0044422E">
              <w:rPr>
                <w:i/>
                <w:color w:val="000000"/>
                <w:sz w:val="16"/>
                <w:szCs w:val="20"/>
              </w:rPr>
              <w:t>Source: 2015 ACS Census  and 2019 D&amp;B Data</w:t>
            </w:r>
          </w:p>
          <w:p w14:paraId="291E2821" w14:textId="77777777" w:rsidR="00A306BA" w:rsidRPr="0044422E" w:rsidRDefault="00A306BA" w:rsidP="005D6976">
            <w:pPr>
              <w:rPr>
                <w:sz w:val="20"/>
                <w:szCs w:val="20"/>
              </w:rPr>
            </w:pPr>
            <w:r w:rsidRPr="0044422E">
              <w:rPr>
                <w:i/>
                <w:color w:val="000000"/>
                <w:sz w:val="16"/>
                <w:szCs w:val="20"/>
              </w:rPr>
              <w:t>Due to rounding, totals may not equal 100.0</w:t>
            </w:r>
          </w:p>
          <w:p w14:paraId="04F64166" w14:textId="77777777" w:rsidR="00A306BA" w:rsidRPr="0044422E" w:rsidRDefault="00A306BA" w:rsidP="005D6976">
            <w:pPr>
              <w:rPr>
                <w:sz w:val="20"/>
                <w:szCs w:val="20"/>
              </w:rPr>
            </w:pPr>
            <w:r w:rsidRPr="0044422E">
              <w:rPr>
                <w:i/>
                <w:color w:val="000000"/>
                <w:sz w:val="16"/>
                <w:szCs w:val="20"/>
              </w:rPr>
              <w:t xml:space="preserve">(*) The NA category consists of geographies that </w:t>
            </w:r>
            <w:proofErr w:type="gramStart"/>
            <w:r w:rsidRPr="0044422E">
              <w:rPr>
                <w:i/>
                <w:color w:val="000000"/>
                <w:sz w:val="16"/>
                <w:szCs w:val="20"/>
              </w:rPr>
              <w:t>have not been assigned</w:t>
            </w:r>
            <w:proofErr w:type="gramEnd"/>
            <w:r w:rsidRPr="0044422E">
              <w:rPr>
                <w:i/>
                <w:color w:val="000000"/>
                <w:sz w:val="16"/>
                <w:szCs w:val="20"/>
              </w:rPr>
              <w:t xml:space="preserve"> an income classification.</w:t>
            </w:r>
          </w:p>
        </w:tc>
      </w:tr>
    </w:tbl>
    <w:p w14:paraId="0CC0B53C" w14:textId="77777777" w:rsidR="00AD4B11" w:rsidRDefault="00AD4B11" w:rsidP="00A306BA">
      <w:pPr>
        <w:tabs>
          <w:tab w:val="center" w:pos="4680"/>
        </w:tabs>
        <w:rPr>
          <w:bCs/>
          <w:iCs/>
        </w:rPr>
      </w:pPr>
    </w:p>
    <w:p w14:paraId="3CE16CF0" w14:textId="6AD51CDA" w:rsidR="00A306BA" w:rsidRPr="0044422E" w:rsidRDefault="00A306BA" w:rsidP="00A306BA">
      <w:pPr>
        <w:tabs>
          <w:tab w:val="center" w:pos="4680"/>
        </w:tabs>
        <w:rPr>
          <w:bCs/>
          <w:iCs/>
        </w:rPr>
      </w:pPr>
      <w:r w:rsidRPr="0044422E">
        <w:rPr>
          <w:bCs/>
          <w:iCs/>
        </w:rPr>
        <w:t>The analysis of small business loans under the Borrower Profile crit</w:t>
      </w:r>
      <w:r>
        <w:rPr>
          <w:bCs/>
          <w:iCs/>
        </w:rPr>
        <w:t xml:space="preserve">erion compares the distribution </w:t>
      </w:r>
      <w:r w:rsidRPr="0044422E">
        <w:rPr>
          <w:bCs/>
          <w:iCs/>
        </w:rPr>
        <w:t xml:space="preserve">of </w:t>
      </w:r>
      <w:r>
        <w:rPr>
          <w:bCs/>
          <w:iCs/>
        </w:rPr>
        <w:t xml:space="preserve">the bank’s small business loans to the distribution of </w:t>
      </w:r>
      <w:r w:rsidRPr="0044422E">
        <w:rPr>
          <w:bCs/>
          <w:iCs/>
        </w:rPr>
        <w:t>businesses by gross annual revenue</w:t>
      </w:r>
      <w:r>
        <w:rPr>
          <w:bCs/>
          <w:iCs/>
        </w:rPr>
        <w:t xml:space="preserve"> (GAR) level.  According to 2019</w:t>
      </w:r>
      <w:r w:rsidRPr="0044422E">
        <w:rPr>
          <w:bCs/>
          <w:iCs/>
        </w:rPr>
        <w:t xml:space="preserve"> D&amp;B data, the</w:t>
      </w:r>
      <w:r>
        <w:rPr>
          <w:bCs/>
          <w:iCs/>
        </w:rPr>
        <w:t>re were 138,140</w:t>
      </w:r>
      <w:r w:rsidRPr="0044422E">
        <w:rPr>
          <w:bCs/>
          <w:iCs/>
        </w:rPr>
        <w:t xml:space="preserve"> non-farm businesses </w:t>
      </w:r>
      <w:r>
        <w:rPr>
          <w:bCs/>
          <w:iCs/>
        </w:rPr>
        <w:t>operating in the assessment area.  The G</w:t>
      </w:r>
      <w:r w:rsidRPr="0044422E">
        <w:rPr>
          <w:bCs/>
          <w:iCs/>
        </w:rPr>
        <w:t>AR</w:t>
      </w:r>
      <w:r>
        <w:rPr>
          <w:bCs/>
          <w:iCs/>
        </w:rPr>
        <w:t>s for these businesses are:</w:t>
      </w:r>
      <w:r w:rsidRPr="0044422E">
        <w:rPr>
          <w:bCs/>
          <w:iCs/>
        </w:rPr>
        <w:t xml:space="preserve"> </w:t>
      </w:r>
    </w:p>
    <w:p w14:paraId="2F1CF5E0" w14:textId="77777777" w:rsidR="00A306BA" w:rsidRPr="0044422E" w:rsidRDefault="00A306BA" w:rsidP="00A306BA">
      <w:pPr>
        <w:tabs>
          <w:tab w:val="center" w:pos="4680"/>
        </w:tabs>
        <w:rPr>
          <w:bCs/>
          <w:iCs/>
        </w:rPr>
      </w:pPr>
    </w:p>
    <w:p w14:paraId="05115F2E" w14:textId="77777777" w:rsidR="00A306BA" w:rsidRPr="0044422E" w:rsidRDefault="00A306BA" w:rsidP="00A306BA">
      <w:pPr>
        <w:numPr>
          <w:ilvl w:val="0"/>
          <w:numId w:val="26"/>
        </w:numPr>
        <w:tabs>
          <w:tab w:val="center" w:pos="4680"/>
        </w:tabs>
        <w:rPr>
          <w:bCs/>
          <w:iCs/>
        </w:rPr>
      </w:pPr>
      <w:r>
        <w:rPr>
          <w:bCs/>
          <w:iCs/>
        </w:rPr>
        <w:t>85.7</w:t>
      </w:r>
      <w:r w:rsidRPr="0044422E">
        <w:rPr>
          <w:bCs/>
          <w:iCs/>
        </w:rPr>
        <w:t xml:space="preserve"> percent have $1 million or less</w:t>
      </w:r>
    </w:p>
    <w:p w14:paraId="067D2229" w14:textId="77777777" w:rsidR="00A306BA" w:rsidRPr="0044422E" w:rsidRDefault="00A306BA" w:rsidP="00A306BA">
      <w:pPr>
        <w:numPr>
          <w:ilvl w:val="0"/>
          <w:numId w:val="26"/>
        </w:numPr>
        <w:tabs>
          <w:tab w:val="center" w:pos="4680"/>
        </w:tabs>
        <w:rPr>
          <w:bCs/>
          <w:iCs/>
        </w:rPr>
      </w:pPr>
      <w:r>
        <w:rPr>
          <w:bCs/>
          <w:iCs/>
        </w:rPr>
        <w:t>6.3</w:t>
      </w:r>
      <w:r w:rsidRPr="0044422E">
        <w:rPr>
          <w:bCs/>
          <w:iCs/>
        </w:rPr>
        <w:t xml:space="preserve"> percent have more than $1 million</w:t>
      </w:r>
    </w:p>
    <w:p w14:paraId="09942616" w14:textId="77777777" w:rsidR="00A306BA" w:rsidRPr="0044422E" w:rsidRDefault="00A306BA" w:rsidP="00A306BA">
      <w:pPr>
        <w:numPr>
          <w:ilvl w:val="0"/>
          <w:numId w:val="26"/>
        </w:numPr>
        <w:tabs>
          <w:tab w:val="center" w:pos="4680"/>
        </w:tabs>
        <w:rPr>
          <w:bCs/>
          <w:iCs/>
        </w:rPr>
      </w:pPr>
      <w:r>
        <w:rPr>
          <w:bCs/>
          <w:iCs/>
        </w:rPr>
        <w:t>8.0</w:t>
      </w:r>
      <w:r w:rsidRPr="0044422E">
        <w:rPr>
          <w:bCs/>
          <w:iCs/>
        </w:rPr>
        <w:t xml:space="preserve"> percent have unknown revenues</w:t>
      </w:r>
    </w:p>
    <w:p w14:paraId="1385CD65" w14:textId="77777777" w:rsidR="00A306BA" w:rsidRDefault="00A306BA" w:rsidP="00A306BA">
      <w:pPr>
        <w:ind w:right="-360"/>
        <w:rPr>
          <w:bCs/>
          <w:iCs/>
        </w:rPr>
      </w:pPr>
    </w:p>
    <w:p w14:paraId="0F256666" w14:textId="66415B99" w:rsidR="00A306BA" w:rsidRPr="00D164EF" w:rsidRDefault="00A306BA" w:rsidP="00A306BA">
      <w:pPr>
        <w:ind w:right="-360"/>
        <w:rPr>
          <w:bCs/>
          <w:iCs/>
          <w:color w:val="FF0000"/>
        </w:rPr>
      </w:pPr>
      <w:r w:rsidRPr="00982E6E">
        <w:rPr>
          <w:bCs/>
          <w:iCs/>
        </w:rPr>
        <w:t>Service industries represent the largest portion of businesses in the assessment area at 45.2 percent</w:t>
      </w:r>
      <w:r w:rsidR="00AD4B11">
        <w:rPr>
          <w:bCs/>
          <w:iCs/>
        </w:rPr>
        <w:t>;</w:t>
      </w:r>
      <w:r w:rsidRPr="00982E6E">
        <w:rPr>
          <w:bCs/>
          <w:iCs/>
        </w:rPr>
        <w:t xml:space="preserve"> non-classified businesses at 15.3 percent</w:t>
      </w:r>
      <w:r w:rsidR="00AD4B11">
        <w:rPr>
          <w:bCs/>
          <w:iCs/>
        </w:rPr>
        <w:t>;</w:t>
      </w:r>
      <w:r w:rsidRPr="00982E6E">
        <w:rPr>
          <w:bCs/>
          <w:iCs/>
        </w:rPr>
        <w:t xml:space="preserve"> retail trade at 10.5 percent; finance, insurance, and real estate at 9.0 percent; </w:t>
      </w:r>
      <w:r w:rsidR="00AD4B11">
        <w:rPr>
          <w:bCs/>
          <w:iCs/>
        </w:rPr>
        <w:t xml:space="preserve">and </w:t>
      </w:r>
      <w:r w:rsidRPr="00982E6E">
        <w:rPr>
          <w:bCs/>
          <w:iCs/>
        </w:rPr>
        <w:t xml:space="preserve">construction at 7.9 percent.  </w:t>
      </w:r>
      <w:r>
        <w:rPr>
          <w:bCs/>
          <w:iCs/>
        </w:rPr>
        <w:t>In 2019,</w:t>
      </w:r>
      <w:r w:rsidRPr="00982E6E">
        <w:rPr>
          <w:bCs/>
          <w:iCs/>
        </w:rPr>
        <w:t xml:space="preserve"> 88.3 p</w:t>
      </w:r>
      <w:r>
        <w:rPr>
          <w:bCs/>
          <w:iCs/>
        </w:rPr>
        <w:t>ercent of businesses</w:t>
      </w:r>
      <w:r w:rsidRPr="00982E6E">
        <w:rPr>
          <w:bCs/>
          <w:iCs/>
        </w:rPr>
        <w:t xml:space="preserve"> had nine or fewer employees, and 90.1 percent of the businesses operated from a single location.  </w:t>
      </w:r>
    </w:p>
    <w:p w14:paraId="28D60E34" w14:textId="77777777" w:rsidR="00A306BA" w:rsidRDefault="00A306BA" w:rsidP="00A306BA">
      <w:pPr>
        <w:tabs>
          <w:tab w:val="center" w:pos="4680"/>
        </w:tabs>
        <w:rPr>
          <w:bCs/>
          <w:iCs/>
        </w:rPr>
      </w:pPr>
    </w:p>
    <w:p w14:paraId="36EBAEBE" w14:textId="77777777" w:rsidR="00A306BA" w:rsidRPr="0044422E" w:rsidRDefault="00A306BA" w:rsidP="00A306BA">
      <w:pPr>
        <w:tabs>
          <w:tab w:val="center" w:pos="4680"/>
        </w:tabs>
        <w:rPr>
          <w:bCs/>
          <w:iCs/>
        </w:rPr>
      </w:pPr>
      <w:r w:rsidRPr="0044422E">
        <w:rPr>
          <w:bCs/>
          <w:iCs/>
        </w:rPr>
        <w:t>According to the U.S. Bureau of Labor and Statistics, the average unemployment rate in Middlesex County was 2.2 percent in 2018 and 1.8 percent in 2019</w:t>
      </w:r>
      <w:r>
        <w:rPr>
          <w:bCs/>
          <w:iCs/>
        </w:rPr>
        <w:t xml:space="preserve">.  Both years were </w:t>
      </w:r>
      <w:r w:rsidRPr="0044422E">
        <w:rPr>
          <w:bCs/>
          <w:iCs/>
        </w:rPr>
        <w:t>below statewide unemployment rates of 2.8 percent in 2018 and 2.4 percent in 2019.</w:t>
      </w:r>
    </w:p>
    <w:p w14:paraId="0A9B7E4D" w14:textId="77777777" w:rsidR="00A306BA" w:rsidRDefault="00A306BA" w:rsidP="00A306BA">
      <w:pPr>
        <w:tabs>
          <w:tab w:val="center" w:pos="4680"/>
        </w:tabs>
        <w:rPr>
          <w:bCs/>
          <w:iCs/>
        </w:rPr>
      </w:pPr>
    </w:p>
    <w:p w14:paraId="0A490A32" w14:textId="77777777" w:rsidR="00A306BA" w:rsidRPr="0044422E" w:rsidRDefault="00A306BA" w:rsidP="00A306BA">
      <w:pPr>
        <w:tabs>
          <w:tab w:val="center" w:pos="4680"/>
        </w:tabs>
        <w:rPr>
          <w:bCs/>
          <w:iCs/>
        </w:rPr>
      </w:pPr>
      <w:r w:rsidRPr="0044422E">
        <w:rPr>
          <w:bCs/>
          <w:iCs/>
        </w:rPr>
        <w:t>Examiners use</w:t>
      </w:r>
      <w:r>
        <w:rPr>
          <w:bCs/>
          <w:iCs/>
        </w:rPr>
        <w:t>d</w:t>
      </w:r>
      <w:r w:rsidRPr="0044422E">
        <w:rPr>
          <w:bCs/>
          <w:iCs/>
        </w:rPr>
        <w:t xml:space="preserve"> the </w:t>
      </w:r>
      <w:r>
        <w:rPr>
          <w:bCs/>
          <w:iCs/>
        </w:rPr>
        <w:t xml:space="preserve">2018 and 2019 </w:t>
      </w:r>
      <w:r w:rsidRPr="0044422E">
        <w:rPr>
          <w:bCs/>
          <w:iCs/>
        </w:rPr>
        <w:t>FFIEC</w:t>
      </w:r>
      <w:r>
        <w:rPr>
          <w:bCs/>
          <w:iCs/>
        </w:rPr>
        <w:t>-updated</w:t>
      </w:r>
      <w:r w:rsidRPr="0044422E">
        <w:rPr>
          <w:bCs/>
          <w:iCs/>
        </w:rPr>
        <w:t xml:space="preserve"> median family income level to analyze home mortgage loans under the Borrower Profile cr</w:t>
      </w:r>
      <w:r>
        <w:rPr>
          <w:bCs/>
          <w:iCs/>
        </w:rPr>
        <w:t xml:space="preserve">iterion.  The following table </w:t>
      </w:r>
      <w:r w:rsidRPr="0044422E">
        <w:rPr>
          <w:bCs/>
          <w:iCs/>
        </w:rPr>
        <w:t xml:space="preserve">presents the low-, moderate-, middle-, and upper-income categories </w:t>
      </w:r>
      <w:r>
        <w:rPr>
          <w:bCs/>
          <w:iCs/>
        </w:rPr>
        <w:t>relevant to the assessment area.</w:t>
      </w:r>
      <w:r w:rsidRPr="0044422E">
        <w:rPr>
          <w:bCs/>
          <w:iCs/>
        </w:rPr>
        <w:t xml:space="preserve">  </w:t>
      </w:r>
    </w:p>
    <w:p w14:paraId="2F18D8D0" w14:textId="77777777" w:rsidR="00A306BA" w:rsidRDefault="00A306BA" w:rsidP="00A306BA">
      <w:pPr>
        <w:tabs>
          <w:tab w:val="center" w:pos="4680"/>
        </w:tabs>
        <w:rPr>
          <w:bCs/>
          <w:iCs/>
        </w:rPr>
      </w:pPr>
    </w:p>
    <w:tbl>
      <w:tblPr>
        <w:tblW w:w="0" w:type="auto"/>
        <w:tblCellMar>
          <w:left w:w="0" w:type="dxa"/>
          <w:right w:w="0" w:type="dxa"/>
        </w:tblCellMar>
        <w:tblLook w:val="0000" w:firstRow="0" w:lastRow="0" w:firstColumn="0" w:lastColumn="0" w:noHBand="0" w:noVBand="0"/>
      </w:tblPr>
      <w:tblGrid>
        <w:gridCol w:w="9360"/>
      </w:tblGrid>
      <w:tr w:rsidR="00A306BA" w:rsidRPr="000679D1" w14:paraId="3DB373EA" w14:textId="77777777" w:rsidTr="005D6976">
        <w:tc>
          <w:tcPr>
            <w:tcW w:w="10455" w:type="dxa"/>
          </w:tcPr>
          <w:tbl>
            <w:tblPr>
              <w:tblW w:w="0" w:type="auto"/>
              <w:tblCellMar>
                <w:left w:w="0" w:type="dxa"/>
                <w:right w:w="0" w:type="dxa"/>
              </w:tblCellMar>
              <w:tblLook w:val="0000" w:firstRow="0" w:lastRow="0" w:firstColumn="0" w:lastColumn="0" w:noHBand="0" w:noVBand="0"/>
            </w:tblPr>
            <w:tblGrid>
              <w:gridCol w:w="2516"/>
              <w:gridCol w:w="1327"/>
              <w:gridCol w:w="2032"/>
              <w:gridCol w:w="2123"/>
              <w:gridCol w:w="1344"/>
            </w:tblGrid>
            <w:tr w:rsidR="00A306BA" w:rsidRPr="000679D1" w14:paraId="78E95718" w14:textId="77777777" w:rsidTr="005D6976">
              <w:trPr>
                <w:trHeight w:val="282"/>
              </w:trPr>
              <w:tc>
                <w:tcPr>
                  <w:tcW w:w="9630" w:type="dxa"/>
                  <w:gridSpan w:val="5"/>
                  <w:tcBorders>
                    <w:top w:val="single" w:sz="7" w:space="0" w:color="000000"/>
                    <w:left w:val="single" w:sz="7" w:space="0" w:color="000000"/>
                    <w:right w:val="single" w:sz="7" w:space="0" w:color="000000"/>
                  </w:tcBorders>
                  <w:tcMar>
                    <w:top w:w="39" w:type="dxa"/>
                    <w:left w:w="39" w:type="dxa"/>
                    <w:bottom w:w="39" w:type="dxa"/>
                    <w:right w:w="39" w:type="dxa"/>
                  </w:tcMar>
                </w:tcPr>
                <w:p w14:paraId="67426353" w14:textId="77777777" w:rsidR="00A306BA" w:rsidRPr="000679D1" w:rsidRDefault="00A306BA" w:rsidP="005D6976">
                  <w:pPr>
                    <w:jc w:val="center"/>
                    <w:rPr>
                      <w:sz w:val="20"/>
                      <w:szCs w:val="20"/>
                    </w:rPr>
                  </w:pPr>
                  <w:r w:rsidRPr="000679D1">
                    <w:rPr>
                      <w:b/>
                      <w:color w:val="000000"/>
                      <w:sz w:val="20"/>
                      <w:szCs w:val="20"/>
                    </w:rPr>
                    <w:t>Median Family Income Ranges</w:t>
                  </w:r>
                </w:p>
              </w:tc>
            </w:tr>
            <w:tr w:rsidR="00A306BA" w:rsidRPr="000679D1" w14:paraId="08A24223" w14:textId="77777777" w:rsidTr="005D6976">
              <w:trPr>
                <w:trHeight w:val="426"/>
              </w:trPr>
              <w:tc>
                <w:tcPr>
                  <w:tcW w:w="26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2ABF1BCC" w14:textId="77777777" w:rsidR="00A306BA" w:rsidRPr="000679D1" w:rsidRDefault="00A306BA" w:rsidP="005D6976">
                  <w:pPr>
                    <w:rPr>
                      <w:sz w:val="20"/>
                      <w:szCs w:val="20"/>
                    </w:rPr>
                  </w:pPr>
                  <w:r w:rsidRPr="000679D1">
                    <w:rPr>
                      <w:b/>
                      <w:color w:val="000000"/>
                      <w:sz w:val="20"/>
                      <w:szCs w:val="20"/>
                    </w:rPr>
                    <w:t>Median Family Incomes</w:t>
                  </w:r>
                </w:p>
              </w:tc>
              <w:tc>
                <w:tcPr>
                  <w:tcW w:w="135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009A2021" w14:textId="77777777" w:rsidR="00A306BA" w:rsidRPr="000679D1" w:rsidRDefault="00A306BA" w:rsidP="005D6976">
                  <w:pPr>
                    <w:jc w:val="center"/>
                    <w:rPr>
                      <w:sz w:val="20"/>
                      <w:szCs w:val="20"/>
                    </w:rPr>
                  </w:pPr>
                  <w:r w:rsidRPr="000679D1">
                    <w:rPr>
                      <w:b/>
                      <w:color w:val="000000"/>
                      <w:sz w:val="20"/>
                      <w:szCs w:val="20"/>
                    </w:rPr>
                    <w:t>Low</w:t>
                  </w:r>
                  <w:r w:rsidRPr="000679D1">
                    <w:rPr>
                      <w:b/>
                      <w:color w:val="000000"/>
                      <w:sz w:val="20"/>
                      <w:szCs w:val="20"/>
                    </w:rPr>
                    <w:br/>
                    <w:t xml:space="preserve"> &lt;50% </w:t>
                  </w:r>
                </w:p>
              </w:tc>
              <w:tc>
                <w:tcPr>
                  <w:tcW w:w="21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33CF3C40" w14:textId="77777777" w:rsidR="00A306BA" w:rsidRPr="000679D1" w:rsidRDefault="00A306BA" w:rsidP="005D6976">
                  <w:pPr>
                    <w:jc w:val="center"/>
                    <w:rPr>
                      <w:sz w:val="20"/>
                      <w:szCs w:val="20"/>
                    </w:rPr>
                  </w:pPr>
                  <w:r w:rsidRPr="000679D1">
                    <w:rPr>
                      <w:b/>
                      <w:color w:val="000000"/>
                      <w:sz w:val="20"/>
                      <w:szCs w:val="20"/>
                    </w:rPr>
                    <w:t>Moderate</w:t>
                  </w:r>
                  <w:r w:rsidRPr="000679D1">
                    <w:rPr>
                      <w:b/>
                      <w:color w:val="000000"/>
                      <w:sz w:val="20"/>
                      <w:szCs w:val="20"/>
                    </w:rPr>
                    <w:br/>
                    <w:t>50% to &lt;80%</w:t>
                  </w:r>
                </w:p>
              </w:tc>
              <w:tc>
                <w:tcPr>
                  <w:tcW w:w="219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304727D0" w14:textId="77777777" w:rsidR="00A306BA" w:rsidRPr="000679D1" w:rsidRDefault="00A306BA" w:rsidP="005D6976">
                  <w:pPr>
                    <w:jc w:val="center"/>
                    <w:rPr>
                      <w:sz w:val="20"/>
                      <w:szCs w:val="20"/>
                    </w:rPr>
                  </w:pPr>
                  <w:r w:rsidRPr="000679D1">
                    <w:rPr>
                      <w:b/>
                      <w:color w:val="000000"/>
                      <w:sz w:val="20"/>
                      <w:szCs w:val="20"/>
                    </w:rPr>
                    <w:t>Middle</w:t>
                  </w:r>
                  <w:r w:rsidRPr="000679D1">
                    <w:rPr>
                      <w:b/>
                      <w:color w:val="000000"/>
                      <w:sz w:val="20"/>
                      <w:szCs w:val="20"/>
                    </w:rPr>
                    <w:br/>
                    <w:t>80% to &lt;120%</w:t>
                  </w:r>
                </w:p>
              </w:tc>
              <w:tc>
                <w:tcPr>
                  <w:tcW w:w="136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34CF1D42" w14:textId="77777777" w:rsidR="00A306BA" w:rsidRPr="000679D1" w:rsidRDefault="00A306BA" w:rsidP="005D6976">
                  <w:pPr>
                    <w:jc w:val="center"/>
                    <w:rPr>
                      <w:sz w:val="20"/>
                      <w:szCs w:val="20"/>
                    </w:rPr>
                  </w:pPr>
                  <w:r w:rsidRPr="000679D1">
                    <w:rPr>
                      <w:b/>
                      <w:color w:val="000000"/>
                      <w:sz w:val="20"/>
                      <w:szCs w:val="20"/>
                    </w:rPr>
                    <w:t>Upper</w:t>
                  </w:r>
                  <w:r w:rsidRPr="000679D1">
                    <w:rPr>
                      <w:b/>
                      <w:color w:val="000000"/>
                      <w:sz w:val="20"/>
                      <w:szCs w:val="20"/>
                    </w:rPr>
                    <w:br/>
                    <w:t>≥120%</w:t>
                  </w:r>
                </w:p>
              </w:tc>
            </w:tr>
            <w:tr w:rsidR="00A306BA" w:rsidRPr="000679D1" w14:paraId="6A4499CE" w14:textId="77777777" w:rsidTr="005D6976">
              <w:trPr>
                <w:trHeight w:val="181"/>
              </w:trPr>
              <w:tc>
                <w:tcPr>
                  <w:tcW w:w="963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53CFE9AE" w14:textId="77777777" w:rsidR="00A306BA" w:rsidRPr="000679D1" w:rsidRDefault="00A306BA" w:rsidP="005D6976">
                  <w:pPr>
                    <w:jc w:val="center"/>
                    <w:rPr>
                      <w:sz w:val="20"/>
                      <w:szCs w:val="20"/>
                    </w:rPr>
                  </w:pPr>
                  <w:r w:rsidRPr="000679D1">
                    <w:rPr>
                      <w:b/>
                      <w:color w:val="000000"/>
                      <w:sz w:val="20"/>
                      <w:szCs w:val="20"/>
                    </w:rPr>
                    <w:t>Cambridge-Newton-Framingham, MA MD Median Family Income (15764)</w:t>
                  </w:r>
                </w:p>
              </w:tc>
            </w:tr>
            <w:tr w:rsidR="00A306BA" w:rsidRPr="000679D1" w14:paraId="6707ACF4" w14:textId="77777777" w:rsidTr="005D6976">
              <w:trPr>
                <w:trHeight w:val="188"/>
              </w:trPr>
              <w:tc>
                <w:tcPr>
                  <w:tcW w:w="26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64CD510B" w14:textId="77777777" w:rsidR="00A306BA" w:rsidRPr="000679D1" w:rsidRDefault="00A306BA" w:rsidP="005D6976">
                  <w:pPr>
                    <w:rPr>
                      <w:sz w:val="20"/>
                      <w:szCs w:val="20"/>
                    </w:rPr>
                  </w:pPr>
                  <w:r w:rsidRPr="000679D1">
                    <w:rPr>
                      <w:color w:val="000000"/>
                      <w:sz w:val="20"/>
                      <w:szCs w:val="20"/>
                    </w:rPr>
                    <w:t>2018 ($110,300)</w:t>
                  </w:r>
                </w:p>
              </w:tc>
              <w:tc>
                <w:tcPr>
                  <w:tcW w:w="135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3AB11B3" w14:textId="77777777" w:rsidR="00A306BA" w:rsidRPr="000679D1" w:rsidRDefault="00A306BA" w:rsidP="005D6976">
                  <w:pPr>
                    <w:jc w:val="center"/>
                    <w:rPr>
                      <w:sz w:val="20"/>
                      <w:szCs w:val="20"/>
                    </w:rPr>
                  </w:pPr>
                  <w:r w:rsidRPr="000679D1">
                    <w:rPr>
                      <w:color w:val="000000"/>
                      <w:sz w:val="20"/>
                      <w:szCs w:val="20"/>
                    </w:rPr>
                    <w:t>&lt;$55,150</w:t>
                  </w:r>
                </w:p>
              </w:tc>
              <w:tc>
                <w:tcPr>
                  <w:tcW w:w="21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4D2DFC9" w14:textId="77777777" w:rsidR="00A306BA" w:rsidRPr="000679D1" w:rsidRDefault="00A306BA" w:rsidP="005D6976">
                  <w:pPr>
                    <w:jc w:val="center"/>
                    <w:rPr>
                      <w:sz w:val="20"/>
                      <w:szCs w:val="20"/>
                    </w:rPr>
                  </w:pPr>
                  <w:r w:rsidRPr="000679D1">
                    <w:rPr>
                      <w:color w:val="000000"/>
                      <w:sz w:val="20"/>
                      <w:szCs w:val="20"/>
                    </w:rPr>
                    <w:t>$55,150 to &lt;$88,240</w:t>
                  </w:r>
                </w:p>
              </w:tc>
              <w:tc>
                <w:tcPr>
                  <w:tcW w:w="219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8E0011A" w14:textId="77777777" w:rsidR="00A306BA" w:rsidRPr="000679D1" w:rsidRDefault="00A306BA" w:rsidP="005D6976">
                  <w:pPr>
                    <w:jc w:val="center"/>
                    <w:rPr>
                      <w:sz w:val="20"/>
                      <w:szCs w:val="20"/>
                    </w:rPr>
                  </w:pPr>
                  <w:r w:rsidRPr="000679D1">
                    <w:rPr>
                      <w:color w:val="000000"/>
                      <w:sz w:val="20"/>
                      <w:szCs w:val="20"/>
                    </w:rPr>
                    <w:t>$88,240 to &lt;$132,360</w:t>
                  </w:r>
                </w:p>
              </w:tc>
              <w:tc>
                <w:tcPr>
                  <w:tcW w:w="136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4972F8A" w14:textId="77777777" w:rsidR="00A306BA" w:rsidRPr="000679D1" w:rsidRDefault="00A306BA" w:rsidP="005D6976">
                  <w:pPr>
                    <w:jc w:val="center"/>
                    <w:rPr>
                      <w:sz w:val="20"/>
                      <w:szCs w:val="20"/>
                    </w:rPr>
                  </w:pPr>
                  <w:r w:rsidRPr="000679D1">
                    <w:rPr>
                      <w:color w:val="000000"/>
                      <w:sz w:val="20"/>
                      <w:szCs w:val="20"/>
                    </w:rPr>
                    <w:t>≥$132,360</w:t>
                  </w:r>
                </w:p>
              </w:tc>
            </w:tr>
            <w:tr w:rsidR="00A306BA" w:rsidRPr="000679D1" w14:paraId="04B2E28B" w14:textId="77777777" w:rsidTr="005D6976">
              <w:trPr>
                <w:trHeight w:val="188"/>
              </w:trPr>
              <w:tc>
                <w:tcPr>
                  <w:tcW w:w="26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2C82F52B" w14:textId="77777777" w:rsidR="00A306BA" w:rsidRPr="000679D1" w:rsidRDefault="00A306BA" w:rsidP="005D6976">
                  <w:pPr>
                    <w:rPr>
                      <w:sz w:val="20"/>
                      <w:szCs w:val="20"/>
                    </w:rPr>
                  </w:pPr>
                  <w:r w:rsidRPr="000679D1">
                    <w:rPr>
                      <w:color w:val="000000"/>
                      <w:sz w:val="20"/>
                      <w:szCs w:val="20"/>
                    </w:rPr>
                    <w:t>2019 ($115,500)</w:t>
                  </w:r>
                </w:p>
              </w:tc>
              <w:tc>
                <w:tcPr>
                  <w:tcW w:w="135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7043502" w14:textId="77777777" w:rsidR="00A306BA" w:rsidRPr="000679D1" w:rsidRDefault="00A306BA" w:rsidP="005D6976">
                  <w:pPr>
                    <w:jc w:val="center"/>
                    <w:rPr>
                      <w:sz w:val="20"/>
                      <w:szCs w:val="20"/>
                    </w:rPr>
                  </w:pPr>
                  <w:r w:rsidRPr="000679D1">
                    <w:rPr>
                      <w:color w:val="000000"/>
                      <w:sz w:val="20"/>
                      <w:szCs w:val="20"/>
                    </w:rPr>
                    <w:t>&lt;$57,750</w:t>
                  </w:r>
                </w:p>
              </w:tc>
              <w:tc>
                <w:tcPr>
                  <w:tcW w:w="21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7726505" w14:textId="77777777" w:rsidR="00A306BA" w:rsidRPr="000679D1" w:rsidRDefault="00A306BA" w:rsidP="005D6976">
                  <w:pPr>
                    <w:jc w:val="center"/>
                    <w:rPr>
                      <w:sz w:val="20"/>
                      <w:szCs w:val="20"/>
                    </w:rPr>
                  </w:pPr>
                  <w:r w:rsidRPr="000679D1">
                    <w:rPr>
                      <w:color w:val="000000"/>
                      <w:sz w:val="20"/>
                      <w:szCs w:val="20"/>
                    </w:rPr>
                    <w:t>$57,750 to &lt;$92,400</w:t>
                  </w:r>
                </w:p>
              </w:tc>
              <w:tc>
                <w:tcPr>
                  <w:tcW w:w="219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A9A3BBF" w14:textId="77777777" w:rsidR="00A306BA" w:rsidRPr="000679D1" w:rsidRDefault="00A306BA" w:rsidP="005D6976">
                  <w:pPr>
                    <w:jc w:val="center"/>
                    <w:rPr>
                      <w:sz w:val="20"/>
                      <w:szCs w:val="20"/>
                    </w:rPr>
                  </w:pPr>
                  <w:r w:rsidRPr="000679D1">
                    <w:rPr>
                      <w:color w:val="000000"/>
                      <w:sz w:val="20"/>
                      <w:szCs w:val="20"/>
                    </w:rPr>
                    <w:t>$92,400 to &lt;$138,600</w:t>
                  </w:r>
                </w:p>
              </w:tc>
              <w:tc>
                <w:tcPr>
                  <w:tcW w:w="136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9F2DA70" w14:textId="77777777" w:rsidR="00A306BA" w:rsidRPr="000679D1" w:rsidRDefault="00A306BA" w:rsidP="005D6976">
                  <w:pPr>
                    <w:jc w:val="center"/>
                    <w:rPr>
                      <w:sz w:val="20"/>
                      <w:szCs w:val="20"/>
                    </w:rPr>
                  </w:pPr>
                  <w:r w:rsidRPr="000679D1">
                    <w:rPr>
                      <w:color w:val="000000"/>
                      <w:sz w:val="20"/>
                      <w:szCs w:val="20"/>
                    </w:rPr>
                    <w:t>≥$138,600</w:t>
                  </w:r>
                </w:p>
              </w:tc>
            </w:tr>
            <w:tr w:rsidR="00A306BA" w:rsidRPr="000679D1" w14:paraId="4E4D6F6C" w14:textId="77777777" w:rsidTr="005D6976">
              <w:trPr>
                <w:trHeight w:val="282"/>
              </w:trPr>
              <w:tc>
                <w:tcPr>
                  <w:tcW w:w="963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DA99888" w14:textId="77777777" w:rsidR="00A306BA" w:rsidRPr="000679D1" w:rsidRDefault="00A306BA" w:rsidP="005D6976">
                  <w:pPr>
                    <w:rPr>
                      <w:sz w:val="20"/>
                      <w:szCs w:val="20"/>
                    </w:rPr>
                  </w:pPr>
                  <w:r w:rsidRPr="000679D1">
                    <w:rPr>
                      <w:i/>
                      <w:color w:val="000000"/>
                      <w:sz w:val="16"/>
                      <w:szCs w:val="20"/>
                    </w:rPr>
                    <w:t>Source FFIEC</w:t>
                  </w:r>
                </w:p>
              </w:tc>
            </w:tr>
          </w:tbl>
          <w:p w14:paraId="0BB87028" w14:textId="77777777" w:rsidR="00A306BA" w:rsidRPr="000679D1" w:rsidRDefault="00A306BA" w:rsidP="005D6976">
            <w:pPr>
              <w:rPr>
                <w:sz w:val="20"/>
                <w:szCs w:val="20"/>
              </w:rPr>
            </w:pPr>
          </w:p>
        </w:tc>
      </w:tr>
      <w:tr w:rsidR="00A306BA" w:rsidRPr="000679D1" w14:paraId="5442D650" w14:textId="77777777" w:rsidTr="005D6976">
        <w:trPr>
          <w:trHeight w:val="58"/>
        </w:trPr>
        <w:tc>
          <w:tcPr>
            <w:tcW w:w="10455" w:type="dxa"/>
          </w:tcPr>
          <w:p w14:paraId="2872B97E" w14:textId="77777777" w:rsidR="00A306BA" w:rsidRPr="000679D1" w:rsidRDefault="00A306BA" w:rsidP="005D6976">
            <w:pPr>
              <w:rPr>
                <w:sz w:val="2"/>
                <w:szCs w:val="20"/>
              </w:rPr>
            </w:pPr>
          </w:p>
        </w:tc>
      </w:tr>
    </w:tbl>
    <w:p w14:paraId="2324961A" w14:textId="77777777" w:rsidR="00A306BA" w:rsidRDefault="00A306BA" w:rsidP="00A306BA">
      <w:pPr>
        <w:tabs>
          <w:tab w:val="center" w:pos="4680"/>
        </w:tabs>
      </w:pPr>
    </w:p>
    <w:p w14:paraId="4D9F3185" w14:textId="77777777" w:rsidR="00A306BA" w:rsidRPr="0044422E" w:rsidRDefault="00A306BA" w:rsidP="00A306BA">
      <w:pPr>
        <w:tabs>
          <w:tab w:val="center" w:pos="4680"/>
        </w:tabs>
      </w:pPr>
      <w:r w:rsidRPr="0044422E">
        <w:t>Low- and moderate-income census tracts</w:t>
      </w:r>
      <w:r>
        <w:t>, by number,</w:t>
      </w:r>
      <w:r w:rsidRPr="0044422E">
        <w:t xml:space="preserve"> comprise 24.2 percent of the </w:t>
      </w:r>
      <w:r>
        <w:t xml:space="preserve">total number of </w:t>
      </w:r>
      <w:r w:rsidRPr="0044422E">
        <w:t>census tracts within the assessment area.  The population consists of 23.1 percent low- or moderate-income individuals</w:t>
      </w:r>
      <w:r>
        <w:t>, with</w:t>
      </w:r>
      <w:r w:rsidRPr="0044422E">
        <w:t xml:space="preserve"> 5.6 percent of families in the assessment area below the poverty level.</w:t>
      </w:r>
      <w:r>
        <w:t xml:space="preserve">  This data indicates that community development opportunities exist within the assessment area.</w:t>
      </w:r>
      <w:r w:rsidRPr="0044422E">
        <w:t xml:space="preserve"> </w:t>
      </w:r>
    </w:p>
    <w:p w14:paraId="6F3B9F7E" w14:textId="77777777" w:rsidR="00A306BA" w:rsidRPr="0044422E" w:rsidRDefault="00A306BA" w:rsidP="00A306BA">
      <w:pPr>
        <w:tabs>
          <w:tab w:val="center" w:pos="4680"/>
        </w:tabs>
      </w:pPr>
    </w:p>
    <w:p w14:paraId="5D629F5B" w14:textId="75F02C16" w:rsidR="00A306BA" w:rsidRPr="0044422E" w:rsidRDefault="00A306BA" w:rsidP="00A306BA">
      <w:pPr>
        <w:tabs>
          <w:tab w:val="center" w:pos="4680"/>
        </w:tabs>
      </w:pPr>
      <w:r w:rsidRPr="0044422E">
        <w:t>The median housing value within the assessment area is $448,925.  Given the median family income</w:t>
      </w:r>
      <w:r>
        <w:t xml:space="preserve"> figures for low- and moderate-</w:t>
      </w:r>
      <w:r w:rsidRPr="0044422E">
        <w:t xml:space="preserve">income families in the assessment area, borrowing opportunities for families within these income designations are </w:t>
      </w:r>
      <w:r>
        <w:t xml:space="preserve">likely </w:t>
      </w:r>
      <w:r w:rsidRPr="0044422E">
        <w:t xml:space="preserve">limited. </w:t>
      </w:r>
    </w:p>
    <w:p w14:paraId="2B884631" w14:textId="77777777" w:rsidR="00A306BA" w:rsidRPr="0044422E" w:rsidRDefault="00A306BA" w:rsidP="00A306BA">
      <w:pPr>
        <w:tabs>
          <w:tab w:val="center" w:pos="4680"/>
        </w:tabs>
        <w:rPr>
          <w:b/>
          <w:bCs/>
          <w:iCs/>
          <w:u w:val="single"/>
        </w:rPr>
      </w:pPr>
    </w:p>
    <w:p w14:paraId="25F9A15D" w14:textId="77777777" w:rsidR="00A306BA" w:rsidRPr="00B500C0" w:rsidRDefault="00A306BA" w:rsidP="00A306BA">
      <w:pPr>
        <w:tabs>
          <w:tab w:val="center" w:pos="4680"/>
        </w:tabs>
        <w:rPr>
          <w:b/>
          <w:bCs/>
          <w:iCs/>
          <w:u w:val="single"/>
        </w:rPr>
      </w:pPr>
      <w:r w:rsidRPr="00B500C0">
        <w:rPr>
          <w:b/>
          <w:bCs/>
          <w:iCs/>
          <w:u w:val="single"/>
        </w:rPr>
        <w:t>Competition</w:t>
      </w:r>
    </w:p>
    <w:p w14:paraId="74B04546" w14:textId="0850E485" w:rsidR="00A306BA" w:rsidRPr="0044422E" w:rsidRDefault="00A306BA" w:rsidP="00A306BA">
      <w:pPr>
        <w:tabs>
          <w:tab w:val="center" w:pos="4680"/>
        </w:tabs>
        <w:rPr>
          <w:iCs/>
        </w:rPr>
      </w:pPr>
      <w:r w:rsidRPr="0044422E">
        <w:rPr>
          <w:iCs/>
        </w:rPr>
        <w:t>The assessment area</w:t>
      </w:r>
      <w:r>
        <w:rPr>
          <w:iCs/>
        </w:rPr>
        <w:t xml:space="preserve"> encompasses all of Middlesex County</w:t>
      </w:r>
      <w:r w:rsidRPr="0044422E">
        <w:rPr>
          <w:iCs/>
        </w:rPr>
        <w:t xml:space="preserve"> </w:t>
      </w:r>
      <w:r>
        <w:rPr>
          <w:iCs/>
        </w:rPr>
        <w:t xml:space="preserve">and </w:t>
      </w:r>
      <w:r w:rsidRPr="0044422E">
        <w:rPr>
          <w:iCs/>
        </w:rPr>
        <w:t xml:space="preserve">is highly competitive for financial services.  </w:t>
      </w:r>
      <w:r w:rsidR="005D6976">
        <w:rPr>
          <w:iCs/>
        </w:rPr>
        <w:t>A</w:t>
      </w:r>
      <w:r w:rsidR="005D6976" w:rsidRPr="0044422E">
        <w:rPr>
          <w:iCs/>
        </w:rPr>
        <w:t>s of June 30, 2019,</w:t>
      </w:r>
      <w:r w:rsidR="005D6976">
        <w:rPr>
          <w:iCs/>
        </w:rPr>
        <w:t xml:space="preserve"> </w:t>
      </w:r>
      <w:r w:rsidRPr="0044422E">
        <w:rPr>
          <w:iCs/>
        </w:rPr>
        <w:t xml:space="preserve">FDIC Deposit Market Share data </w:t>
      </w:r>
      <w:r w:rsidR="005D6976">
        <w:rPr>
          <w:iCs/>
        </w:rPr>
        <w:t xml:space="preserve">reflected </w:t>
      </w:r>
      <w:r w:rsidRPr="0044422E">
        <w:rPr>
          <w:iCs/>
        </w:rPr>
        <w:t>53 financial institutions operated 503 full-service branches within the assessment area.  Of</w:t>
      </w:r>
      <w:r>
        <w:rPr>
          <w:iCs/>
        </w:rPr>
        <w:t xml:space="preserve"> these,</w:t>
      </w:r>
      <w:r w:rsidR="008161AE">
        <w:rPr>
          <w:iCs/>
        </w:rPr>
        <w:t xml:space="preserve"> </w:t>
      </w:r>
      <w:r>
        <w:rPr>
          <w:iCs/>
        </w:rPr>
        <w:t xml:space="preserve">NBTC </w:t>
      </w:r>
      <w:r>
        <w:rPr>
          <w:iCs/>
        </w:rPr>
        <w:lastRenderedPageBreak/>
        <w:t xml:space="preserve">ranked </w:t>
      </w:r>
      <w:proofErr w:type="gramStart"/>
      <w:r>
        <w:rPr>
          <w:iCs/>
        </w:rPr>
        <w:t>9</w:t>
      </w:r>
      <w:r w:rsidRPr="00F85720">
        <w:rPr>
          <w:iCs/>
          <w:vertAlign w:val="superscript"/>
        </w:rPr>
        <w:t>th</w:t>
      </w:r>
      <w:proofErr w:type="gramEnd"/>
      <w:r>
        <w:rPr>
          <w:iCs/>
        </w:rPr>
        <w:t xml:space="preserve"> </w:t>
      </w:r>
      <w:r w:rsidRPr="0044422E">
        <w:rPr>
          <w:iCs/>
        </w:rPr>
        <w:t xml:space="preserve">with a 2.8 percent deposit market share.  The top three financial institutions were national </w:t>
      </w:r>
      <w:r>
        <w:rPr>
          <w:iCs/>
        </w:rPr>
        <w:t xml:space="preserve">banks </w:t>
      </w:r>
      <w:r w:rsidRPr="0044422E">
        <w:rPr>
          <w:iCs/>
        </w:rPr>
        <w:t xml:space="preserve">and made up 41.6 percent of the deposit market share. </w:t>
      </w:r>
    </w:p>
    <w:p w14:paraId="295E7C20" w14:textId="77777777" w:rsidR="00A306BA" w:rsidRPr="0044422E" w:rsidRDefault="00A306BA" w:rsidP="00A306BA">
      <w:pPr>
        <w:tabs>
          <w:tab w:val="center" w:pos="4680"/>
        </w:tabs>
        <w:rPr>
          <w:iCs/>
        </w:rPr>
      </w:pPr>
    </w:p>
    <w:p w14:paraId="21FB78B0" w14:textId="324C18C4" w:rsidR="008161AE" w:rsidRPr="00F75FF9" w:rsidRDefault="00A306BA" w:rsidP="008161AE">
      <w:r>
        <w:rPr>
          <w:iCs/>
        </w:rPr>
        <w:t>There is a high level of competition for home mortgage</w:t>
      </w:r>
      <w:r w:rsidR="00BD6F1C">
        <w:rPr>
          <w:iCs/>
        </w:rPr>
        <w:t xml:space="preserve"> loans in the assessment area.  </w:t>
      </w:r>
      <w:r>
        <w:rPr>
          <w:iCs/>
        </w:rPr>
        <w:t>According to the 2018 aggregate home mortgage lending data</w:t>
      </w:r>
      <w:r w:rsidR="008161AE">
        <w:rPr>
          <w:iCs/>
        </w:rPr>
        <w:t>, the bank rank</w:t>
      </w:r>
      <w:r w:rsidR="002E306D">
        <w:rPr>
          <w:iCs/>
        </w:rPr>
        <w:t>ed 52</w:t>
      </w:r>
      <w:r w:rsidR="002E306D" w:rsidRPr="002E306D">
        <w:rPr>
          <w:iCs/>
          <w:vertAlign w:val="superscript"/>
        </w:rPr>
        <w:t>nd</w:t>
      </w:r>
      <w:r w:rsidR="008161AE">
        <w:rPr>
          <w:iCs/>
        </w:rPr>
        <w:t xml:space="preserve"> out of </w:t>
      </w:r>
      <w:r>
        <w:rPr>
          <w:iCs/>
        </w:rPr>
        <w:t>491 lenders that originated or purchased 49,470 home mortgage loans, by number, for $21.4 billion in the assessment area.</w:t>
      </w:r>
      <w:r w:rsidR="008161AE">
        <w:t xml:space="preserve">  I</w:t>
      </w:r>
      <w:r w:rsidR="008161AE" w:rsidRPr="00046386">
        <w:t>nstitu</w:t>
      </w:r>
      <w:r w:rsidR="008161AE">
        <w:t>tions rank</w:t>
      </w:r>
      <w:r w:rsidR="00965118">
        <w:t>ing</w:t>
      </w:r>
      <w:r w:rsidR="008161AE">
        <w:t xml:space="preserve"> above NBTC were larger</w:t>
      </w:r>
      <w:r w:rsidR="008161AE" w:rsidRPr="00046386">
        <w:t xml:space="preserve"> financial institutions, credit unions, and mortgage companies.  </w:t>
      </w:r>
      <w:proofErr w:type="gramStart"/>
      <w:r w:rsidR="008161AE">
        <w:t>Also</w:t>
      </w:r>
      <w:proofErr w:type="gramEnd"/>
      <w:r w:rsidR="008161AE">
        <w:t>, s</w:t>
      </w:r>
      <w:r w:rsidR="008161AE" w:rsidRPr="00046386">
        <w:t xml:space="preserve">everal state-charted community banks </w:t>
      </w:r>
      <w:r w:rsidR="00333D20">
        <w:t>tha</w:t>
      </w:r>
      <w:r w:rsidR="00160C60">
        <w:t>t</w:t>
      </w:r>
      <w:r w:rsidR="00333D20">
        <w:t xml:space="preserve"> ranked ahead of NBTC were </w:t>
      </w:r>
      <w:r w:rsidR="0088488A">
        <w:t xml:space="preserve">larger in asset size, such as, </w:t>
      </w:r>
      <w:r w:rsidR="008161AE" w:rsidRPr="00046386">
        <w:t>Eastern Bank, Middlesex Savings Bank, Cambridge Savings Bank, and</w:t>
      </w:r>
      <w:r w:rsidR="0088488A">
        <w:t xml:space="preserve"> Century Bank and Trust Company.  </w:t>
      </w:r>
      <w:r w:rsidR="008161AE" w:rsidRPr="00046386">
        <w:t xml:space="preserve">In addition, Middlesex Savings Bank, Cambridge Savings Bank, and Century Bank and Trust Company maintain greater deposit market share within the assessment area. </w:t>
      </w:r>
    </w:p>
    <w:p w14:paraId="61FA22D0" w14:textId="367F1D4B" w:rsidR="00A306BA" w:rsidRPr="008322BD" w:rsidRDefault="00A306BA" w:rsidP="00A306BA">
      <w:pPr>
        <w:rPr>
          <w:iCs/>
        </w:rPr>
      </w:pPr>
    </w:p>
    <w:p w14:paraId="622A8D82" w14:textId="747D244C" w:rsidR="008161AE" w:rsidRDefault="00A306BA" w:rsidP="008161AE">
      <w:pPr>
        <w:rPr>
          <w:iCs/>
        </w:rPr>
      </w:pPr>
      <w:r>
        <w:rPr>
          <w:iCs/>
        </w:rPr>
        <w:t>The assessment area is also extremely competitive for small business lending.  In 2018, according to aggreg</w:t>
      </w:r>
      <w:r w:rsidR="008161AE">
        <w:rPr>
          <w:iCs/>
        </w:rPr>
        <w:t>ate small business lending data, the bank ranked 30</w:t>
      </w:r>
      <w:r w:rsidR="008161AE" w:rsidRPr="008161AE">
        <w:rPr>
          <w:iCs/>
          <w:vertAlign w:val="superscript"/>
        </w:rPr>
        <w:t>th</w:t>
      </w:r>
      <w:r w:rsidR="008161AE">
        <w:rPr>
          <w:iCs/>
        </w:rPr>
        <w:t xml:space="preserve"> out of 1</w:t>
      </w:r>
      <w:r>
        <w:rPr>
          <w:iCs/>
        </w:rPr>
        <w:t>39 lenders that originated or purchased 43,085 small business loans, by number, for $1.3 billion in the assessment area</w:t>
      </w:r>
      <w:r w:rsidR="008161AE">
        <w:rPr>
          <w:iCs/>
        </w:rPr>
        <w:t xml:space="preserve">.  </w:t>
      </w:r>
      <w:r w:rsidR="008161AE">
        <w:t>I</w:t>
      </w:r>
      <w:r w:rsidR="008161AE" w:rsidRPr="00046386">
        <w:t xml:space="preserve">nstitutions </w:t>
      </w:r>
      <w:r w:rsidR="008161AE">
        <w:t xml:space="preserve">ranked above NBTC were mostly </w:t>
      </w:r>
      <w:r w:rsidR="008161AE" w:rsidRPr="00046386">
        <w:t>large national banks and credit card companies</w:t>
      </w:r>
      <w:r w:rsidR="008161AE">
        <w:rPr>
          <w:iCs/>
        </w:rPr>
        <w:t>; however, s</w:t>
      </w:r>
      <w:r w:rsidR="008161AE" w:rsidRPr="00046386">
        <w:rPr>
          <w:iCs/>
        </w:rPr>
        <w:t>ome larger community banks, including Eastern Bank</w:t>
      </w:r>
      <w:r w:rsidR="008161AE">
        <w:rPr>
          <w:iCs/>
        </w:rPr>
        <w:t xml:space="preserve"> and Middlesex Savings Bank, also </w:t>
      </w:r>
      <w:r w:rsidR="008161AE" w:rsidRPr="00046386">
        <w:rPr>
          <w:iCs/>
        </w:rPr>
        <w:t xml:space="preserve">ranked </w:t>
      </w:r>
      <w:r w:rsidR="008161AE">
        <w:rPr>
          <w:iCs/>
        </w:rPr>
        <w:t xml:space="preserve">above </w:t>
      </w:r>
      <w:r w:rsidR="008161AE" w:rsidRPr="00046386">
        <w:rPr>
          <w:iCs/>
        </w:rPr>
        <w:t xml:space="preserve">NBTC.  </w:t>
      </w:r>
    </w:p>
    <w:p w14:paraId="6D8B7051" w14:textId="6D2E9508" w:rsidR="00A306BA" w:rsidRPr="0044422E" w:rsidRDefault="00A306BA" w:rsidP="00A306BA">
      <w:pPr>
        <w:tabs>
          <w:tab w:val="center" w:pos="4680"/>
        </w:tabs>
        <w:rPr>
          <w:iCs/>
          <w:u w:val="single"/>
        </w:rPr>
      </w:pPr>
    </w:p>
    <w:p w14:paraId="1960C039" w14:textId="77777777" w:rsidR="00A306BA" w:rsidRPr="00B500C0" w:rsidRDefault="00A306BA" w:rsidP="00A306BA">
      <w:pPr>
        <w:tabs>
          <w:tab w:val="center" w:pos="4680"/>
        </w:tabs>
        <w:rPr>
          <w:b/>
          <w:bCs/>
          <w:iCs/>
          <w:u w:val="single"/>
        </w:rPr>
      </w:pPr>
      <w:r w:rsidRPr="00B500C0">
        <w:rPr>
          <w:b/>
          <w:bCs/>
          <w:iCs/>
          <w:u w:val="single"/>
        </w:rPr>
        <w:t>Community Contact</w:t>
      </w:r>
    </w:p>
    <w:p w14:paraId="2FBB1AA8" w14:textId="77777777" w:rsidR="00A306BA" w:rsidRPr="000E0674" w:rsidRDefault="00A306BA" w:rsidP="00A306BA">
      <w:pPr>
        <w:tabs>
          <w:tab w:val="center" w:pos="4680"/>
        </w:tabs>
        <w:rPr>
          <w:bCs/>
          <w:iCs/>
        </w:rPr>
      </w:pPr>
      <w:r w:rsidRPr="000E0674">
        <w:rPr>
          <w:bCs/>
          <w:iCs/>
        </w:rPr>
        <w:t>As part of the evaluation process, examiners contacted third party organizations active in the assessment area to assist in identifying the credit and community development needs.  This information helps determine whether local financial institutions are responsive to those needs and helps examiners ascertain what credit and community development opportunities are available.</w:t>
      </w:r>
    </w:p>
    <w:p w14:paraId="37FA719A" w14:textId="77777777" w:rsidR="00A306BA" w:rsidRPr="000E0674" w:rsidRDefault="00A306BA" w:rsidP="00A306BA">
      <w:pPr>
        <w:tabs>
          <w:tab w:val="center" w:pos="4680"/>
        </w:tabs>
        <w:rPr>
          <w:bCs/>
          <w:iCs/>
        </w:rPr>
      </w:pPr>
    </w:p>
    <w:p w14:paraId="1DE5013B" w14:textId="1ADF71CC" w:rsidR="00A306BA" w:rsidRPr="000E0674" w:rsidRDefault="00A306BA" w:rsidP="00A306BA">
      <w:pPr>
        <w:tabs>
          <w:tab w:val="center" w:pos="4680"/>
        </w:tabs>
        <w:rPr>
          <w:bCs/>
          <w:iCs/>
        </w:rPr>
      </w:pPr>
      <w:r w:rsidRPr="000E0674">
        <w:rPr>
          <w:bCs/>
          <w:iCs/>
        </w:rPr>
        <w:t xml:space="preserve">Examiners contacted a nonprofit organization dedicated to providing housing options and stability to low- and moderate-income individuals and families.  The contact indicated that the most glaring ongoing issue is </w:t>
      </w:r>
      <w:r w:rsidR="00160C60">
        <w:rPr>
          <w:bCs/>
          <w:iCs/>
        </w:rPr>
        <w:t xml:space="preserve">the </w:t>
      </w:r>
      <w:r w:rsidRPr="000E0674">
        <w:rPr>
          <w:bCs/>
          <w:iCs/>
        </w:rPr>
        <w:t>need for affordable housing.  Low- and moderate-income individuals and families seeking housing in the Greater Boston area are often unable to meet underwriting criteria due to the high</w:t>
      </w:r>
      <w:r w:rsidR="00160C60">
        <w:rPr>
          <w:bCs/>
          <w:iCs/>
        </w:rPr>
        <w:t xml:space="preserve"> </w:t>
      </w:r>
      <w:r w:rsidRPr="000E0674">
        <w:rPr>
          <w:bCs/>
          <w:iCs/>
        </w:rPr>
        <w:t>cost of residential real estate.  The contact further suggested that the economic impact of the response to the COVID-19 pandemic w</w:t>
      </w:r>
      <w:r w:rsidR="006835EB">
        <w:rPr>
          <w:bCs/>
          <w:iCs/>
        </w:rPr>
        <w:t>ould</w:t>
      </w:r>
      <w:r w:rsidRPr="000E0674">
        <w:rPr>
          <w:bCs/>
          <w:iCs/>
        </w:rPr>
        <w:t xml:space="preserve"> exacerbate this problem, as low- and moderate-income individuals are prone to the negative financial consequences of business closures and the economic downturn.  The contact believed that the emergency loan programs implemented in response to the public health crisis w</w:t>
      </w:r>
      <w:r w:rsidR="006835EB">
        <w:rPr>
          <w:bCs/>
          <w:iCs/>
        </w:rPr>
        <w:t>ould</w:t>
      </w:r>
      <w:r w:rsidRPr="000E0674">
        <w:rPr>
          <w:bCs/>
          <w:iCs/>
        </w:rPr>
        <w:t xml:space="preserve"> be critical to securing economic stability for those affected, and that, in the organization’s experience, community banks have been more responsive than larger national banks.  Examiners noted </w:t>
      </w:r>
      <w:r>
        <w:rPr>
          <w:bCs/>
          <w:iCs/>
        </w:rPr>
        <w:t>NBTC</w:t>
      </w:r>
      <w:r w:rsidRPr="000E0674">
        <w:rPr>
          <w:bCs/>
          <w:iCs/>
        </w:rPr>
        <w:t xml:space="preserve"> provid</w:t>
      </w:r>
      <w:r w:rsidR="00160C60">
        <w:rPr>
          <w:bCs/>
          <w:iCs/>
        </w:rPr>
        <w:t xml:space="preserve">es </w:t>
      </w:r>
      <w:r w:rsidR="00C21B34">
        <w:rPr>
          <w:bCs/>
          <w:iCs/>
        </w:rPr>
        <w:t xml:space="preserve">these </w:t>
      </w:r>
      <w:r w:rsidRPr="000E0674">
        <w:rPr>
          <w:bCs/>
          <w:iCs/>
        </w:rPr>
        <w:t xml:space="preserve">emergency loans. </w:t>
      </w:r>
    </w:p>
    <w:p w14:paraId="756CF791" w14:textId="77777777" w:rsidR="00A306BA" w:rsidRPr="00832B14" w:rsidRDefault="00A306BA" w:rsidP="00A306BA">
      <w:pPr>
        <w:tabs>
          <w:tab w:val="center" w:pos="4680"/>
        </w:tabs>
        <w:rPr>
          <w:b/>
          <w:bCs/>
          <w:iCs/>
          <w:color w:val="FF0000"/>
          <w:u w:val="single"/>
        </w:rPr>
      </w:pPr>
    </w:p>
    <w:p w14:paraId="70626C49" w14:textId="77777777" w:rsidR="00A306BA" w:rsidRPr="00B500C0" w:rsidRDefault="00A306BA" w:rsidP="00A306BA">
      <w:pPr>
        <w:tabs>
          <w:tab w:val="center" w:pos="4680"/>
        </w:tabs>
        <w:rPr>
          <w:b/>
          <w:bCs/>
          <w:iCs/>
          <w:u w:val="single"/>
        </w:rPr>
      </w:pPr>
      <w:r w:rsidRPr="00B500C0">
        <w:rPr>
          <w:b/>
          <w:bCs/>
          <w:iCs/>
          <w:u w:val="single"/>
        </w:rPr>
        <w:t>Credit and Community Development Needs and Opportunities</w:t>
      </w:r>
    </w:p>
    <w:p w14:paraId="07DE1842" w14:textId="4A578C54" w:rsidR="00160C60" w:rsidRDefault="00A306BA" w:rsidP="005D6976">
      <w:pPr>
        <w:tabs>
          <w:tab w:val="center" w:pos="4680"/>
        </w:tabs>
      </w:pPr>
      <w:r w:rsidRPr="000E0674">
        <w:t xml:space="preserve">Considering information from the community contact, </w:t>
      </w:r>
      <w:r>
        <w:t>b</w:t>
      </w:r>
      <w:r w:rsidRPr="000E0674">
        <w:t>ank management, and demographic and economic data, examiners determined that affordable housing and economic development are the primary community development opportunities of the assessment area.  Examiners also identified a need for first-time homebuyers an</w:t>
      </w:r>
      <w:r w:rsidR="008161AE">
        <w:t>d low- and moderate-individual</w:t>
      </w:r>
      <w:r w:rsidR="00BD4C88">
        <w:t xml:space="preserve"> loan products.</w:t>
      </w:r>
    </w:p>
    <w:p w14:paraId="6AA5C962" w14:textId="74245629" w:rsidR="005D6976" w:rsidRDefault="005D6976" w:rsidP="005D6976">
      <w:pPr>
        <w:tabs>
          <w:tab w:val="center" w:pos="4680"/>
        </w:tabs>
      </w:pPr>
      <w:bookmarkStart w:id="3" w:name="_Toc40445654"/>
    </w:p>
    <w:p w14:paraId="20D36799" w14:textId="7DDEE28A" w:rsidR="005D6976" w:rsidRPr="005D6976" w:rsidRDefault="005D6976" w:rsidP="005D6976">
      <w:pPr>
        <w:tabs>
          <w:tab w:val="center" w:pos="4680"/>
        </w:tabs>
        <w:jc w:val="center"/>
      </w:pPr>
      <w:r w:rsidRPr="008D6B18">
        <w:rPr>
          <w:b/>
          <w:bCs/>
          <w:spacing w:val="-3"/>
          <w:sz w:val="28"/>
          <w:szCs w:val="20"/>
        </w:rPr>
        <w:lastRenderedPageBreak/>
        <w:t>CONCLUSIONS ON PERFORMANCE CRITERIA</w:t>
      </w:r>
      <w:bookmarkEnd w:id="3"/>
    </w:p>
    <w:p w14:paraId="693A27C7" w14:textId="77777777" w:rsidR="005D6976" w:rsidRPr="008D6B18" w:rsidRDefault="005D6976" w:rsidP="005D6976">
      <w:pPr>
        <w:rPr>
          <w:color w:val="000000"/>
        </w:rPr>
      </w:pPr>
    </w:p>
    <w:p w14:paraId="7714FD44" w14:textId="77777777" w:rsidR="005D6976" w:rsidRPr="008D6B18" w:rsidRDefault="005D6976" w:rsidP="005D6976">
      <w:pPr>
        <w:rPr>
          <w:b/>
          <w:bCs/>
          <w:color w:val="000000"/>
        </w:rPr>
      </w:pPr>
      <w:r w:rsidRPr="008D6B18">
        <w:rPr>
          <w:b/>
          <w:bCs/>
          <w:color w:val="000000"/>
        </w:rPr>
        <w:t>LENDING TEST</w:t>
      </w:r>
    </w:p>
    <w:p w14:paraId="7B452331" w14:textId="77777777" w:rsidR="005D6976" w:rsidRDefault="005D6976" w:rsidP="005D6976">
      <w:pPr>
        <w:rPr>
          <w:bCs/>
          <w:spacing w:val="-3"/>
        </w:rPr>
      </w:pPr>
    </w:p>
    <w:p w14:paraId="33A7194D" w14:textId="45241418" w:rsidR="00A75CB5" w:rsidRPr="00A75CB5" w:rsidRDefault="005D6976" w:rsidP="00A75CB5">
      <w:pPr>
        <w:rPr>
          <w:bCs/>
          <w:spacing w:val="-3"/>
        </w:rPr>
      </w:pPr>
      <w:r>
        <w:rPr>
          <w:bCs/>
          <w:spacing w:val="-3"/>
        </w:rPr>
        <w:t xml:space="preserve">The Lending Test </w:t>
      </w:r>
      <w:proofErr w:type="gramStart"/>
      <w:r>
        <w:rPr>
          <w:bCs/>
          <w:spacing w:val="-3"/>
        </w:rPr>
        <w:t>is rated</w:t>
      </w:r>
      <w:proofErr w:type="gramEnd"/>
      <w:r>
        <w:rPr>
          <w:bCs/>
          <w:spacing w:val="-3"/>
        </w:rPr>
        <w:t xml:space="preserve"> Satisfactory.  </w:t>
      </w:r>
      <w:r w:rsidR="00A75CB5" w:rsidRPr="00A75CB5">
        <w:rPr>
          <w:bCs/>
          <w:spacing w:val="-3"/>
        </w:rPr>
        <w:t xml:space="preserve">The following sections discuss the bank’s performance under each criterion.   </w:t>
      </w:r>
    </w:p>
    <w:p w14:paraId="2C827657" w14:textId="77777777" w:rsidR="00A75CB5" w:rsidRPr="00A75CB5" w:rsidRDefault="00A75CB5" w:rsidP="00A75CB5">
      <w:pPr>
        <w:rPr>
          <w:b/>
          <w:bCs/>
          <w:u w:val="single"/>
        </w:rPr>
      </w:pPr>
    </w:p>
    <w:p w14:paraId="7C3C2008" w14:textId="77777777" w:rsidR="005D6976" w:rsidRPr="008D6B18" w:rsidRDefault="005D6976" w:rsidP="005D6976">
      <w:pPr>
        <w:rPr>
          <w:b/>
          <w:u w:val="single"/>
        </w:rPr>
      </w:pPr>
      <w:bookmarkStart w:id="4" w:name="_Toc12341513"/>
      <w:r w:rsidRPr="008D6B18">
        <w:rPr>
          <w:b/>
          <w:u w:val="single"/>
        </w:rPr>
        <w:t>Lending Activity</w:t>
      </w:r>
      <w:bookmarkEnd w:id="4"/>
    </w:p>
    <w:p w14:paraId="29A5D8F4" w14:textId="77777777" w:rsidR="005D6976" w:rsidRDefault="005D6976" w:rsidP="005D6976">
      <w:bookmarkStart w:id="5" w:name="_Toc34030825"/>
    </w:p>
    <w:p w14:paraId="7863A466" w14:textId="646DBE25" w:rsidR="00041024" w:rsidRDefault="005D6976" w:rsidP="00041024">
      <w:r>
        <w:t>L</w:t>
      </w:r>
      <w:r w:rsidRPr="00046386">
        <w:t>ending levels reflect adequate responsiveness to a</w:t>
      </w:r>
      <w:r>
        <w:t>ssessment area credit needs, considering the bank’s performance context and competition for loans.</w:t>
      </w:r>
      <w:r w:rsidR="00041024" w:rsidRPr="007E2E43">
        <w:rPr>
          <w:i/>
        </w:rPr>
        <w:t xml:space="preserve">  </w:t>
      </w:r>
    </w:p>
    <w:p w14:paraId="2E76AEA9" w14:textId="1143FD93" w:rsidR="005D6976" w:rsidRDefault="005D6976" w:rsidP="005D6976"/>
    <w:p w14:paraId="2CD6C940" w14:textId="6FF7D4E4" w:rsidR="00F21D8C" w:rsidRDefault="005D6976" w:rsidP="005D6976">
      <w:pPr>
        <w:rPr>
          <w:b/>
          <w:i/>
        </w:rPr>
      </w:pPr>
      <w:r w:rsidRPr="006B2771">
        <w:rPr>
          <w:b/>
          <w:i/>
        </w:rPr>
        <w:t>Home Mortgage L</w:t>
      </w:r>
      <w:r>
        <w:rPr>
          <w:b/>
          <w:i/>
        </w:rPr>
        <w:t>oans</w:t>
      </w:r>
    </w:p>
    <w:p w14:paraId="51CDF522" w14:textId="3295CB33" w:rsidR="00D228DA" w:rsidRDefault="00F21D8C" w:rsidP="00F21D8C">
      <w:r>
        <w:t>In 2018, NBTC originated 192 loans, by number, totaling $82.1 million in the assessment area.  The bank’s home mortga</w:t>
      </w:r>
      <w:r w:rsidR="007E2E43">
        <w:t>ge lending increased nearly 22.0</w:t>
      </w:r>
      <w:r>
        <w:t xml:space="preserve"> percen</w:t>
      </w:r>
      <w:r w:rsidR="007E2E43">
        <w:t>t, by number, and nearly 44.0</w:t>
      </w:r>
      <w:r>
        <w:t xml:space="preserve"> percent, by dollar amount, from the prior ye</w:t>
      </w:r>
      <w:r w:rsidR="007E2E43">
        <w:t xml:space="preserve">ar.  </w:t>
      </w:r>
      <w:r w:rsidR="002E306D">
        <w:t>As stated previously, t</w:t>
      </w:r>
      <w:r w:rsidR="007E2E43">
        <w:t>he bank ranked 52</w:t>
      </w:r>
      <w:r w:rsidR="007E2E43" w:rsidRPr="007E2E43">
        <w:rPr>
          <w:vertAlign w:val="superscript"/>
        </w:rPr>
        <w:t>nd</w:t>
      </w:r>
      <w:r w:rsidR="007E2E43">
        <w:t xml:space="preserve"> </w:t>
      </w:r>
      <w:r>
        <w:t>out of 491 home mortgage lenders that reported at least one home mortgage loan orig</w:t>
      </w:r>
      <w:r w:rsidR="00A57238">
        <w:t xml:space="preserve">inated or purchased that year.  </w:t>
      </w:r>
      <w:r>
        <w:t>T</w:t>
      </w:r>
      <w:r w:rsidRPr="00046386">
        <w:t>he institu</w:t>
      </w:r>
      <w:r>
        <w:t>tions that ranked above NBTC were larger</w:t>
      </w:r>
      <w:r w:rsidRPr="00046386">
        <w:t xml:space="preserve"> financial institutions, credit unions, and mortgage companies.  </w:t>
      </w:r>
    </w:p>
    <w:p w14:paraId="4E8414E9" w14:textId="77777777" w:rsidR="00D228DA" w:rsidRDefault="00D228DA" w:rsidP="00F21D8C"/>
    <w:p w14:paraId="35078AA3" w14:textId="6E1C164B" w:rsidR="00F21D8C" w:rsidRDefault="00F21D8C" w:rsidP="00F21D8C">
      <w:pPr>
        <w:rPr>
          <w:iCs/>
        </w:rPr>
      </w:pPr>
      <w:r w:rsidRPr="00B975DF">
        <w:rPr>
          <w:iCs/>
        </w:rPr>
        <w:t>In 2019, residential mortgage loan vo</w:t>
      </w:r>
      <w:r w:rsidR="002E306D">
        <w:rPr>
          <w:iCs/>
        </w:rPr>
        <w:t>lume increased to 334 loans</w:t>
      </w:r>
      <w:r w:rsidR="00A57238">
        <w:rPr>
          <w:iCs/>
        </w:rPr>
        <w:t xml:space="preserve"> </w:t>
      </w:r>
      <w:r w:rsidRPr="00B975DF">
        <w:rPr>
          <w:iCs/>
        </w:rPr>
        <w:t xml:space="preserve">representing a 74.0 percent increase, by number, </w:t>
      </w:r>
      <w:r w:rsidR="002E306D">
        <w:rPr>
          <w:iCs/>
        </w:rPr>
        <w:t xml:space="preserve">and </w:t>
      </w:r>
      <w:r w:rsidR="00A57238">
        <w:rPr>
          <w:iCs/>
        </w:rPr>
        <w:t xml:space="preserve">increased to $127 million, by dollar amount, representing a 56.1 percent increase compared to the </w:t>
      </w:r>
      <w:r w:rsidR="002E306D">
        <w:rPr>
          <w:iCs/>
        </w:rPr>
        <w:t>2018 lending performance</w:t>
      </w:r>
      <w:r w:rsidR="00A57238">
        <w:rPr>
          <w:iCs/>
        </w:rPr>
        <w:t xml:space="preserve">.  As stated previously, the bank’s lending and marketing strategies changed in </w:t>
      </w:r>
      <w:r w:rsidRPr="00B975DF">
        <w:rPr>
          <w:iCs/>
        </w:rPr>
        <w:t>2019</w:t>
      </w:r>
      <w:r w:rsidR="00A57238">
        <w:rPr>
          <w:iCs/>
        </w:rPr>
        <w:t xml:space="preserve"> and lending performance increased significantly.  </w:t>
      </w:r>
      <w:r w:rsidR="00367767">
        <w:rPr>
          <w:iCs/>
        </w:rPr>
        <w:t xml:space="preserve">For </w:t>
      </w:r>
      <w:r w:rsidR="00A57238">
        <w:rPr>
          <w:iCs/>
        </w:rPr>
        <w:t>2019</w:t>
      </w:r>
      <w:r w:rsidRPr="00B975DF">
        <w:rPr>
          <w:iCs/>
        </w:rPr>
        <w:t>, aggregate residential mortgage lending data was not available for any comparison analysis.</w:t>
      </w:r>
    </w:p>
    <w:p w14:paraId="311B4683" w14:textId="5C01B355" w:rsidR="005D6976" w:rsidRDefault="005D6976" w:rsidP="005D6976">
      <w:pPr>
        <w:rPr>
          <w:iCs/>
        </w:rPr>
      </w:pPr>
    </w:p>
    <w:p w14:paraId="7E6CE47B" w14:textId="77777777" w:rsidR="005D6976" w:rsidRDefault="005D6976" w:rsidP="005D6976">
      <w:pPr>
        <w:rPr>
          <w:b/>
          <w:i/>
        </w:rPr>
      </w:pPr>
      <w:r>
        <w:rPr>
          <w:b/>
          <w:i/>
        </w:rPr>
        <w:t>Small Business Loans</w:t>
      </w:r>
    </w:p>
    <w:p w14:paraId="32863B2B" w14:textId="3B5263A5" w:rsidR="005D6976" w:rsidRDefault="00A57238" w:rsidP="005D6976">
      <w:pPr>
        <w:rPr>
          <w:iCs/>
        </w:rPr>
      </w:pPr>
      <w:r>
        <w:rPr>
          <w:iCs/>
        </w:rPr>
        <w:t xml:space="preserve">In </w:t>
      </w:r>
      <w:r w:rsidR="005D6976" w:rsidRPr="00811AAE">
        <w:rPr>
          <w:iCs/>
        </w:rPr>
        <w:t>2018, the bank originated 130 small business loans, by number, totaling $21.6 million in the assessment area.  The bank’s loan volume, by</w:t>
      </w:r>
      <w:r w:rsidR="00E9282A">
        <w:rPr>
          <w:iCs/>
        </w:rPr>
        <w:t xml:space="preserve"> number, decreased slightly by 9.7 percent from the prior year; however, the total dollar amount remained relatively stable </w:t>
      </w:r>
      <w:r w:rsidR="00F06486">
        <w:rPr>
          <w:iCs/>
        </w:rPr>
        <w:t xml:space="preserve">with 2017 lending results.  </w:t>
      </w:r>
      <w:r w:rsidR="005D6976" w:rsidRPr="00811AAE">
        <w:rPr>
          <w:iCs/>
        </w:rPr>
        <w:t>However, despite the lower</w:t>
      </w:r>
      <w:r w:rsidR="00A75CB5">
        <w:rPr>
          <w:iCs/>
        </w:rPr>
        <w:t xml:space="preserve"> loan</w:t>
      </w:r>
      <w:r w:rsidR="005D6976" w:rsidRPr="00811AAE">
        <w:rPr>
          <w:iCs/>
        </w:rPr>
        <w:t xml:space="preserve"> volume by number in 2018</w:t>
      </w:r>
      <w:r>
        <w:rPr>
          <w:iCs/>
        </w:rPr>
        <w:t xml:space="preserve">, total loan volume by </w:t>
      </w:r>
      <w:r w:rsidR="005D6976" w:rsidRPr="00811AAE">
        <w:rPr>
          <w:iCs/>
        </w:rPr>
        <w:t>dollar am</w:t>
      </w:r>
      <w:r>
        <w:rPr>
          <w:iCs/>
        </w:rPr>
        <w:t>ount was slightly higher than</w:t>
      </w:r>
      <w:r w:rsidR="005D6976" w:rsidRPr="00811AAE">
        <w:rPr>
          <w:iCs/>
        </w:rPr>
        <w:t xml:space="preserve"> 2017.  </w:t>
      </w:r>
      <w:r w:rsidR="00367767">
        <w:rPr>
          <w:iCs/>
        </w:rPr>
        <w:t xml:space="preserve">As previously </w:t>
      </w:r>
      <w:r w:rsidR="00C21B34">
        <w:rPr>
          <w:iCs/>
        </w:rPr>
        <w:t>stated</w:t>
      </w:r>
      <w:r w:rsidR="00367767">
        <w:rPr>
          <w:iCs/>
        </w:rPr>
        <w:t xml:space="preserve">, </w:t>
      </w:r>
      <w:r w:rsidR="005D6976" w:rsidRPr="00811AAE">
        <w:rPr>
          <w:iCs/>
        </w:rPr>
        <w:t>NBTC ranked 30</w:t>
      </w:r>
      <w:r w:rsidR="005D6976" w:rsidRPr="00811AAE">
        <w:rPr>
          <w:iCs/>
          <w:vertAlign w:val="superscript"/>
        </w:rPr>
        <w:t xml:space="preserve">th </w:t>
      </w:r>
      <w:r w:rsidR="005D6976" w:rsidRPr="00811AAE">
        <w:rPr>
          <w:iCs/>
        </w:rPr>
        <w:t>out of 139 lenders reporting at least one small business loan that year.</w:t>
      </w:r>
      <w:r w:rsidR="005D6976">
        <w:rPr>
          <w:iCs/>
        </w:rPr>
        <w:t xml:space="preserve">  </w:t>
      </w:r>
      <w:r w:rsidR="005D6976">
        <w:t>T</w:t>
      </w:r>
      <w:r w:rsidR="005D6976" w:rsidRPr="00046386">
        <w:t xml:space="preserve">he institutions </w:t>
      </w:r>
      <w:r w:rsidR="005D6976">
        <w:t xml:space="preserve">ranked above NBTC were mostly </w:t>
      </w:r>
      <w:r w:rsidR="005D6976" w:rsidRPr="00046386">
        <w:t>large national banks and credit card companies</w:t>
      </w:r>
      <w:r w:rsidR="005D6976">
        <w:rPr>
          <w:iCs/>
        </w:rPr>
        <w:t>; however, s</w:t>
      </w:r>
      <w:r w:rsidR="005D6976" w:rsidRPr="00046386">
        <w:rPr>
          <w:iCs/>
        </w:rPr>
        <w:t>ome larger community banks, including Eastern Bank</w:t>
      </w:r>
      <w:r w:rsidR="005D6976">
        <w:rPr>
          <w:iCs/>
        </w:rPr>
        <w:t xml:space="preserve"> and Middlesex Savings Bank, also </w:t>
      </w:r>
      <w:r w:rsidR="005D6976" w:rsidRPr="00046386">
        <w:rPr>
          <w:iCs/>
        </w:rPr>
        <w:t xml:space="preserve">ranked </w:t>
      </w:r>
      <w:r w:rsidR="005D6976">
        <w:rPr>
          <w:iCs/>
        </w:rPr>
        <w:t xml:space="preserve">above </w:t>
      </w:r>
      <w:r w:rsidR="005D6976" w:rsidRPr="00046386">
        <w:rPr>
          <w:iCs/>
        </w:rPr>
        <w:t xml:space="preserve">NBTC.  </w:t>
      </w:r>
    </w:p>
    <w:p w14:paraId="6298BD75" w14:textId="77777777" w:rsidR="005D6976" w:rsidRPr="008B18D2" w:rsidRDefault="005D6976" w:rsidP="005D6976">
      <w:pPr>
        <w:rPr>
          <w:iCs/>
        </w:rPr>
      </w:pPr>
    </w:p>
    <w:p w14:paraId="18A90D5E" w14:textId="687D9A6C" w:rsidR="005D6976" w:rsidRDefault="005D6976" w:rsidP="005D6976">
      <w:pPr>
        <w:rPr>
          <w:iCs/>
        </w:rPr>
      </w:pPr>
      <w:r w:rsidRPr="00811AAE">
        <w:rPr>
          <w:iCs/>
        </w:rPr>
        <w:t>In 2019, s</w:t>
      </w:r>
      <w:r w:rsidR="00BD203C">
        <w:rPr>
          <w:iCs/>
        </w:rPr>
        <w:t>mall business lending</w:t>
      </w:r>
      <w:r w:rsidR="00367767">
        <w:rPr>
          <w:iCs/>
        </w:rPr>
        <w:t xml:space="preserve"> </w:t>
      </w:r>
      <w:r w:rsidR="00F06486">
        <w:rPr>
          <w:iCs/>
        </w:rPr>
        <w:t>increased to 279 loans, by number,</w:t>
      </w:r>
      <w:r w:rsidR="00BD203C">
        <w:rPr>
          <w:iCs/>
        </w:rPr>
        <w:t xml:space="preserve"> representing a significant </w:t>
      </w:r>
      <w:r w:rsidRPr="00811AAE">
        <w:rPr>
          <w:iCs/>
        </w:rPr>
        <w:t>increa</w:t>
      </w:r>
      <w:r w:rsidR="00BD203C">
        <w:rPr>
          <w:iCs/>
        </w:rPr>
        <w:t>se of 146</w:t>
      </w:r>
      <w:r w:rsidR="00A75CB5">
        <w:rPr>
          <w:iCs/>
        </w:rPr>
        <w:t>.0</w:t>
      </w:r>
      <w:r w:rsidR="00BD203C">
        <w:rPr>
          <w:iCs/>
        </w:rPr>
        <w:t xml:space="preserve"> percent</w:t>
      </w:r>
      <w:r w:rsidR="00F06486">
        <w:rPr>
          <w:iCs/>
        </w:rPr>
        <w:t xml:space="preserve"> from 2018.  </w:t>
      </w:r>
      <w:r w:rsidR="00BD203C">
        <w:rPr>
          <w:iCs/>
        </w:rPr>
        <w:t>A</w:t>
      </w:r>
      <w:r w:rsidR="00367767">
        <w:rPr>
          <w:iCs/>
        </w:rPr>
        <w:t xml:space="preserve">dditionally, </w:t>
      </w:r>
      <w:r w:rsidR="00F06486">
        <w:rPr>
          <w:iCs/>
        </w:rPr>
        <w:t>loans by dollar amount</w:t>
      </w:r>
      <w:r w:rsidR="00BD203C">
        <w:rPr>
          <w:iCs/>
        </w:rPr>
        <w:t xml:space="preserve"> </w:t>
      </w:r>
      <w:r w:rsidRPr="00811AAE">
        <w:rPr>
          <w:iCs/>
        </w:rPr>
        <w:t>increased nearly 30.0 percent to approximately $28</w:t>
      </w:r>
      <w:r>
        <w:rPr>
          <w:iCs/>
        </w:rPr>
        <w:t>.0 m</w:t>
      </w:r>
      <w:r w:rsidR="00F06486">
        <w:rPr>
          <w:iCs/>
        </w:rPr>
        <w:t>illion</w:t>
      </w:r>
      <w:r w:rsidRPr="00811AAE">
        <w:rPr>
          <w:iCs/>
        </w:rPr>
        <w:t xml:space="preserve"> from the prior year</w:t>
      </w:r>
      <w:r w:rsidR="00F06486">
        <w:rPr>
          <w:iCs/>
        </w:rPr>
        <w:t>’s results</w:t>
      </w:r>
      <w:r>
        <w:rPr>
          <w:iCs/>
        </w:rPr>
        <w:t xml:space="preserve"> of $21.6 million</w:t>
      </w:r>
      <w:r w:rsidR="00BD203C">
        <w:rPr>
          <w:iCs/>
        </w:rPr>
        <w:t xml:space="preserve">.  </w:t>
      </w:r>
      <w:r w:rsidR="00367767">
        <w:rPr>
          <w:iCs/>
        </w:rPr>
        <w:t>E</w:t>
      </w:r>
      <w:r w:rsidR="00BD203C">
        <w:rPr>
          <w:iCs/>
        </w:rPr>
        <w:t>nhanced lending and marketing strategies in 2019 improved business lending performance.  The 2019 a</w:t>
      </w:r>
      <w:r w:rsidR="00BD203C" w:rsidRPr="00811AAE">
        <w:rPr>
          <w:iCs/>
        </w:rPr>
        <w:t xml:space="preserve">ggregate small business lending data </w:t>
      </w:r>
      <w:r w:rsidR="00BD203C">
        <w:rPr>
          <w:iCs/>
        </w:rPr>
        <w:t xml:space="preserve">was not available for any comparison analysis. </w:t>
      </w:r>
      <w:bookmarkEnd w:id="5"/>
    </w:p>
    <w:p w14:paraId="442BDB3E" w14:textId="77777777" w:rsidR="00BD203C" w:rsidRDefault="00BD203C" w:rsidP="005D6976">
      <w:pPr>
        <w:rPr>
          <w:iCs/>
        </w:rPr>
      </w:pPr>
      <w:bookmarkStart w:id="6" w:name="_Toc12341514"/>
    </w:p>
    <w:p w14:paraId="5AAB1EA5" w14:textId="77777777" w:rsidR="000A287D" w:rsidRDefault="000A287D" w:rsidP="005D6976">
      <w:pPr>
        <w:rPr>
          <w:b/>
          <w:u w:val="single"/>
        </w:rPr>
      </w:pPr>
    </w:p>
    <w:p w14:paraId="0B918D98" w14:textId="77777777" w:rsidR="000A287D" w:rsidRDefault="000A287D" w:rsidP="005D6976">
      <w:pPr>
        <w:rPr>
          <w:b/>
          <w:u w:val="single"/>
        </w:rPr>
      </w:pPr>
    </w:p>
    <w:p w14:paraId="35B7276A" w14:textId="77777777" w:rsidR="00A75CB5" w:rsidRDefault="00A75CB5" w:rsidP="005D6976">
      <w:pPr>
        <w:rPr>
          <w:b/>
          <w:u w:val="single"/>
        </w:rPr>
      </w:pPr>
    </w:p>
    <w:p w14:paraId="50039804" w14:textId="28D60629" w:rsidR="005D6976" w:rsidRPr="008D6B18" w:rsidRDefault="005D6976" w:rsidP="005D6976">
      <w:pPr>
        <w:rPr>
          <w:b/>
          <w:u w:val="single"/>
        </w:rPr>
      </w:pPr>
      <w:r w:rsidRPr="008D6B18">
        <w:rPr>
          <w:b/>
          <w:u w:val="single"/>
        </w:rPr>
        <w:lastRenderedPageBreak/>
        <w:t>Assessment Area Concentration</w:t>
      </w:r>
      <w:bookmarkEnd w:id="6"/>
    </w:p>
    <w:p w14:paraId="34EBA9CB" w14:textId="77777777" w:rsidR="005D6976" w:rsidRDefault="005D6976" w:rsidP="005D6976">
      <w:pPr>
        <w:rPr>
          <w:iCs/>
        </w:rPr>
      </w:pPr>
    </w:p>
    <w:p w14:paraId="3781A8FE" w14:textId="0C7D738D" w:rsidR="00F06486" w:rsidRDefault="005D6976" w:rsidP="005D6976">
      <w:pPr>
        <w:rPr>
          <w:iCs/>
        </w:rPr>
      </w:pPr>
      <w:r>
        <w:rPr>
          <w:iCs/>
        </w:rPr>
        <w:t xml:space="preserve">The bank made an adequate percentage of loans in the </w:t>
      </w:r>
      <w:r w:rsidRPr="00F06486">
        <w:rPr>
          <w:iCs/>
        </w:rPr>
        <w:t xml:space="preserve">assessment area. </w:t>
      </w:r>
      <w:r w:rsidR="00F06486" w:rsidRPr="00F06486">
        <w:rPr>
          <w:iCs/>
        </w:rPr>
        <w:t xml:space="preserve"> Overall, </w:t>
      </w:r>
      <w:r w:rsidR="00F06486" w:rsidRPr="00F06486">
        <w:t xml:space="preserve">NBTC originated 1,312 </w:t>
      </w:r>
      <w:r w:rsidR="007B07B3">
        <w:t xml:space="preserve">home mortgage </w:t>
      </w:r>
      <w:r w:rsidR="00F06486" w:rsidRPr="00F06486">
        <w:t>loans, by number, totaling approximately $623 million, and 753 small business loans totaling approximately $145 million.  Of this</w:t>
      </w:r>
      <w:r w:rsidR="007B07B3">
        <w:t xml:space="preserve"> total, 684 home mortgage loans</w:t>
      </w:r>
      <w:r w:rsidR="00F06486" w:rsidRPr="00F06486">
        <w:t xml:space="preserve"> totaling approximately $267 million</w:t>
      </w:r>
      <w:r w:rsidR="007B07B3">
        <w:t>,</w:t>
      </w:r>
      <w:r w:rsidR="00F06486" w:rsidRPr="00F06486">
        <w:t xml:space="preserve"> and 553 small business loans, totaling approximately $71 million, were inside the assessment area.  The</w:t>
      </w:r>
      <w:r w:rsidR="00F06486">
        <w:rPr>
          <w:i/>
        </w:rPr>
        <w:t xml:space="preserve"> </w:t>
      </w:r>
      <w:r w:rsidRPr="001945B1">
        <w:rPr>
          <w:iCs/>
        </w:rPr>
        <w:t xml:space="preserve">bank originated </w:t>
      </w:r>
      <w:r>
        <w:rPr>
          <w:iCs/>
        </w:rPr>
        <w:t xml:space="preserve">nearly 60.0 percent </w:t>
      </w:r>
      <w:r w:rsidRPr="001945B1">
        <w:rPr>
          <w:iCs/>
        </w:rPr>
        <w:t xml:space="preserve">of </w:t>
      </w:r>
      <w:r>
        <w:rPr>
          <w:iCs/>
        </w:rPr>
        <w:t xml:space="preserve">all </w:t>
      </w:r>
      <w:r w:rsidRPr="001945B1">
        <w:rPr>
          <w:iCs/>
        </w:rPr>
        <w:t>home mo</w:t>
      </w:r>
      <w:r>
        <w:rPr>
          <w:iCs/>
        </w:rPr>
        <w:t>rtgage and small business lending,</w:t>
      </w:r>
      <w:r w:rsidRPr="001945B1">
        <w:rPr>
          <w:iCs/>
        </w:rPr>
        <w:t xml:space="preserve"> by number</w:t>
      </w:r>
      <w:r>
        <w:rPr>
          <w:iCs/>
        </w:rPr>
        <w:t xml:space="preserve">, in the assessment area.  </w:t>
      </w:r>
    </w:p>
    <w:p w14:paraId="037A1247" w14:textId="77777777" w:rsidR="00F06486" w:rsidRDefault="00F06486" w:rsidP="005D6976">
      <w:pPr>
        <w:rPr>
          <w:iCs/>
        </w:rPr>
      </w:pPr>
    </w:p>
    <w:p w14:paraId="35FA6096" w14:textId="7123F0B2" w:rsidR="00662073" w:rsidRDefault="00BF1E4B" w:rsidP="005D6976">
      <w:pPr>
        <w:rPr>
          <w:iCs/>
        </w:rPr>
      </w:pPr>
      <w:r>
        <w:rPr>
          <w:iCs/>
        </w:rPr>
        <w:t>D</w:t>
      </w:r>
      <w:r w:rsidR="007B07B3">
        <w:rPr>
          <w:iCs/>
        </w:rPr>
        <w:t>espite the significant increase in home mortgage and sm</w:t>
      </w:r>
      <w:r w:rsidR="00662073">
        <w:rPr>
          <w:iCs/>
        </w:rPr>
        <w:t>all business lending</w:t>
      </w:r>
      <w:r w:rsidR="007B07B3">
        <w:rPr>
          <w:iCs/>
        </w:rPr>
        <w:t>, by number and dollar amount i</w:t>
      </w:r>
      <w:r w:rsidR="005D6976">
        <w:rPr>
          <w:iCs/>
        </w:rPr>
        <w:t xml:space="preserve">n 2019, </w:t>
      </w:r>
      <w:r w:rsidR="007B07B3">
        <w:rPr>
          <w:iCs/>
        </w:rPr>
        <w:t>the percentage of home mortgage loans, by number</w:t>
      </w:r>
      <w:r w:rsidR="00662073">
        <w:rPr>
          <w:iCs/>
        </w:rPr>
        <w:t>,</w:t>
      </w:r>
      <w:r w:rsidR="007B07B3">
        <w:rPr>
          <w:iCs/>
        </w:rPr>
        <w:t xml:space="preserve"> fell below 50.0 percent to 48.2 percent in the assessment area.  </w:t>
      </w:r>
      <w:r w:rsidR="00662073">
        <w:rPr>
          <w:iCs/>
        </w:rPr>
        <w:t>T</w:t>
      </w:r>
      <w:r w:rsidR="007B07B3">
        <w:rPr>
          <w:iCs/>
        </w:rPr>
        <w:t>he decrease</w:t>
      </w:r>
      <w:r w:rsidR="005D6976">
        <w:rPr>
          <w:iCs/>
        </w:rPr>
        <w:t xml:space="preserve"> in </w:t>
      </w:r>
      <w:r w:rsidR="007B07B3">
        <w:rPr>
          <w:iCs/>
        </w:rPr>
        <w:t xml:space="preserve">home mortgage </w:t>
      </w:r>
      <w:r w:rsidR="005D6976">
        <w:rPr>
          <w:iCs/>
        </w:rPr>
        <w:t xml:space="preserve">lending </w:t>
      </w:r>
      <w:proofErr w:type="gramStart"/>
      <w:r>
        <w:rPr>
          <w:iCs/>
        </w:rPr>
        <w:t xml:space="preserve">was </w:t>
      </w:r>
      <w:r w:rsidR="007B07B3">
        <w:rPr>
          <w:iCs/>
        </w:rPr>
        <w:t>attributed</w:t>
      </w:r>
      <w:proofErr w:type="gramEnd"/>
      <w:r w:rsidR="007B07B3">
        <w:rPr>
          <w:iCs/>
        </w:rPr>
        <w:t xml:space="preserve"> </w:t>
      </w:r>
      <w:r w:rsidR="005D6976">
        <w:rPr>
          <w:iCs/>
        </w:rPr>
        <w:t xml:space="preserve">to </w:t>
      </w:r>
      <w:r w:rsidR="002F0755">
        <w:rPr>
          <w:iCs/>
        </w:rPr>
        <w:t>business and</w:t>
      </w:r>
      <w:r w:rsidR="005D6976">
        <w:rPr>
          <w:iCs/>
        </w:rPr>
        <w:t xml:space="preserve"> marketing</w:t>
      </w:r>
      <w:r w:rsidR="002F0755">
        <w:rPr>
          <w:iCs/>
        </w:rPr>
        <w:t xml:space="preserve"> strategies</w:t>
      </w:r>
      <w:r w:rsidR="00662073">
        <w:rPr>
          <w:iCs/>
        </w:rPr>
        <w:t xml:space="preserve"> that </w:t>
      </w:r>
      <w:r w:rsidR="002F0755">
        <w:rPr>
          <w:iCs/>
        </w:rPr>
        <w:t>included lending efforts</w:t>
      </w:r>
      <w:r>
        <w:rPr>
          <w:iCs/>
        </w:rPr>
        <w:t xml:space="preserve"> </w:t>
      </w:r>
      <w:r w:rsidR="005D6976">
        <w:rPr>
          <w:iCs/>
        </w:rPr>
        <w:t>throughout Massachusetts.</w:t>
      </w:r>
      <w:r w:rsidR="00662073">
        <w:rPr>
          <w:iCs/>
        </w:rPr>
        <w:t xml:space="preserve">  </w:t>
      </w:r>
      <w:r w:rsidR="00367767">
        <w:rPr>
          <w:iCs/>
        </w:rPr>
        <w:t xml:space="preserve">Conversely, </w:t>
      </w:r>
      <w:r>
        <w:rPr>
          <w:iCs/>
        </w:rPr>
        <w:t>in 2019, the percentage of small business lending by number and dollar volume improved to 81.1 percent and 53.7 percent, respectively, in the assessment area.  See the following table.</w:t>
      </w:r>
    </w:p>
    <w:p w14:paraId="06C923F3" w14:textId="77777777" w:rsidR="005D6976" w:rsidRDefault="005D6976" w:rsidP="005D6976">
      <w:pPr>
        <w:rPr>
          <w:iCs/>
        </w:rPr>
      </w:pPr>
    </w:p>
    <w:tbl>
      <w:tblPr>
        <w:tblW w:w="0" w:type="auto"/>
        <w:tblCellMar>
          <w:left w:w="0" w:type="dxa"/>
          <w:right w:w="0" w:type="dxa"/>
        </w:tblCellMar>
        <w:tblLook w:val="0000" w:firstRow="0" w:lastRow="0" w:firstColumn="0" w:lastColumn="0" w:noHBand="0" w:noVBand="0"/>
      </w:tblPr>
      <w:tblGrid>
        <w:gridCol w:w="1700"/>
        <w:gridCol w:w="874"/>
        <w:gridCol w:w="578"/>
        <w:gridCol w:w="819"/>
        <w:gridCol w:w="578"/>
        <w:gridCol w:w="839"/>
        <w:gridCol w:w="945"/>
        <w:gridCol w:w="578"/>
        <w:gridCol w:w="945"/>
        <w:gridCol w:w="578"/>
        <w:gridCol w:w="908"/>
      </w:tblGrid>
      <w:tr w:rsidR="005D6976" w:rsidRPr="005174D1" w14:paraId="38F5808D" w14:textId="77777777" w:rsidTr="005D6976">
        <w:trPr>
          <w:trHeight w:val="282"/>
        </w:trPr>
        <w:tc>
          <w:tcPr>
            <w:tcW w:w="9630" w:type="dxa"/>
            <w:gridSpan w:val="11"/>
            <w:tcBorders>
              <w:top w:val="single" w:sz="7" w:space="0" w:color="000000"/>
              <w:left w:val="single" w:sz="7" w:space="0" w:color="000000"/>
              <w:right w:val="single" w:sz="7" w:space="0" w:color="000000"/>
            </w:tcBorders>
            <w:tcMar>
              <w:top w:w="39" w:type="dxa"/>
              <w:left w:w="39" w:type="dxa"/>
              <w:bottom w:w="39" w:type="dxa"/>
              <w:right w:w="39" w:type="dxa"/>
            </w:tcMar>
          </w:tcPr>
          <w:p w14:paraId="6D74E802" w14:textId="77777777" w:rsidR="005D6976" w:rsidRPr="005174D1" w:rsidRDefault="005D6976" w:rsidP="005D6976">
            <w:pPr>
              <w:jc w:val="center"/>
              <w:rPr>
                <w:sz w:val="20"/>
                <w:szCs w:val="20"/>
              </w:rPr>
            </w:pPr>
            <w:r w:rsidRPr="005174D1">
              <w:rPr>
                <w:b/>
                <w:color w:val="000000"/>
                <w:sz w:val="20"/>
                <w:szCs w:val="20"/>
              </w:rPr>
              <w:t>Lending Inside and Outside of the Assessment Area</w:t>
            </w:r>
          </w:p>
        </w:tc>
      </w:tr>
      <w:tr w:rsidR="005D6976" w:rsidRPr="005174D1" w14:paraId="3D167646" w14:textId="77777777" w:rsidTr="005D6976">
        <w:trPr>
          <w:trHeight w:val="210"/>
        </w:trPr>
        <w:tc>
          <w:tcPr>
            <w:tcW w:w="1775" w:type="dxa"/>
            <w:tcBorders>
              <w:top w:val="single" w:sz="7" w:space="0" w:color="000000"/>
              <w:left w:val="single" w:sz="7" w:space="0" w:color="000000"/>
              <w:right w:val="single" w:sz="7" w:space="0" w:color="000000"/>
            </w:tcBorders>
            <w:tcMar>
              <w:top w:w="39" w:type="dxa"/>
              <w:left w:w="39" w:type="dxa"/>
              <w:bottom w:w="39" w:type="dxa"/>
              <w:right w:w="39" w:type="dxa"/>
            </w:tcMar>
            <w:vAlign w:val="center"/>
          </w:tcPr>
          <w:p w14:paraId="3D516363" w14:textId="77777777" w:rsidR="005D6976" w:rsidRPr="005174D1" w:rsidRDefault="005D6976" w:rsidP="005D6976">
            <w:pPr>
              <w:rPr>
                <w:sz w:val="20"/>
                <w:szCs w:val="20"/>
              </w:rPr>
            </w:pPr>
          </w:p>
        </w:tc>
        <w:tc>
          <w:tcPr>
            <w:tcW w:w="2949"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765E8F59" w14:textId="77777777" w:rsidR="005D6976" w:rsidRPr="005174D1" w:rsidRDefault="005D6976" w:rsidP="005D6976">
            <w:pPr>
              <w:jc w:val="center"/>
              <w:rPr>
                <w:sz w:val="20"/>
                <w:szCs w:val="20"/>
              </w:rPr>
            </w:pPr>
            <w:r w:rsidRPr="005174D1">
              <w:rPr>
                <w:b/>
                <w:color w:val="000000"/>
                <w:sz w:val="20"/>
                <w:szCs w:val="20"/>
              </w:rPr>
              <w:t>Number of Loans</w:t>
            </w:r>
          </w:p>
        </w:tc>
        <w:tc>
          <w:tcPr>
            <w:tcW w:w="867" w:type="dxa"/>
            <w:tcBorders>
              <w:top w:val="single" w:sz="7" w:space="0" w:color="000000"/>
              <w:left w:val="single" w:sz="7" w:space="0" w:color="000000"/>
              <w:right w:val="single" w:sz="7" w:space="0" w:color="000000"/>
            </w:tcBorders>
            <w:tcMar>
              <w:top w:w="39" w:type="dxa"/>
              <w:left w:w="39" w:type="dxa"/>
              <w:bottom w:w="39" w:type="dxa"/>
              <w:right w:w="39" w:type="dxa"/>
            </w:tcMar>
            <w:vAlign w:val="center"/>
          </w:tcPr>
          <w:p w14:paraId="24AE46FD" w14:textId="77777777" w:rsidR="005D6976" w:rsidRPr="005174D1" w:rsidRDefault="005D6976" w:rsidP="005D6976">
            <w:pPr>
              <w:rPr>
                <w:sz w:val="20"/>
                <w:szCs w:val="20"/>
              </w:rPr>
            </w:pPr>
          </w:p>
        </w:tc>
        <w:tc>
          <w:tcPr>
            <w:tcW w:w="311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4CE622EA" w14:textId="77777777" w:rsidR="005D6976" w:rsidRPr="005174D1" w:rsidRDefault="005D6976" w:rsidP="005D6976">
            <w:pPr>
              <w:jc w:val="center"/>
              <w:rPr>
                <w:sz w:val="20"/>
                <w:szCs w:val="20"/>
              </w:rPr>
            </w:pPr>
            <w:r w:rsidRPr="005174D1">
              <w:rPr>
                <w:b/>
                <w:color w:val="000000"/>
                <w:sz w:val="20"/>
                <w:szCs w:val="20"/>
              </w:rPr>
              <w:t>Dollar Amount of Loans $(000s)</w:t>
            </w:r>
          </w:p>
        </w:tc>
        <w:tc>
          <w:tcPr>
            <w:tcW w:w="925" w:type="dxa"/>
            <w:tcBorders>
              <w:top w:val="single" w:sz="7" w:space="0" w:color="000000"/>
              <w:left w:val="single" w:sz="7" w:space="0" w:color="000000"/>
              <w:right w:val="single" w:sz="7" w:space="0" w:color="000000"/>
            </w:tcBorders>
            <w:tcMar>
              <w:top w:w="39" w:type="dxa"/>
              <w:left w:w="39" w:type="dxa"/>
              <w:bottom w:w="39" w:type="dxa"/>
              <w:right w:w="39" w:type="dxa"/>
            </w:tcMar>
            <w:vAlign w:val="center"/>
          </w:tcPr>
          <w:p w14:paraId="33D63E08" w14:textId="77777777" w:rsidR="005D6976" w:rsidRPr="005174D1" w:rsidRDefault="005D6976" w:rsidP="005D6976">
            <w:pPr>
              <w:rPr>
                <w:sz w:val="20"/>
                <w:szCs w:val="20"/>
              </w:rPr>
            </w:pPr>
          </w:p>
        </w:tc>
      </w:tr>
      <w:tr w:rsidR="005D6976" w:rsidRPr="005174D1" w14:paraId="60901B5E" w14:textId="77777777" w:rsidTr="005D6976">
        <w:trPr>
          <w:trHeight w:val="210"/>
        </w:trPr>
        <w:tc>
          <w:tcPr>
            <w:tcW w:w="1775" w:type="dxa"/>
            <w:tcBorders>
              <w:left w:val="single" w:sz="7" w:space="0" w:color="000000"/>
              <w:right w:val="single" w:sz="7" w:space="0" w:color="000000"/>
            </w:tcBorders>
            <w:tcMar>
              <w:top w:w="39" w:type="dxa"/>
              <w:left w:w="39" w:type="dxa"/>
              <w:bottom w:w="39" w:type="dxa"/>
              <w:right w:w="39" w:type="dxa"/>
            </w:tcMar>
            <w:vAlign w:val="center"/>
          </w:tcPr>
          <w:p w14:paraId="21C42C34" w14:textId="77777777" w:rsidR="005D6976" w:rsidRPr="005174D1" w:rsidRDefault="005D6976" w:rsidP="005D6976">
            <w:pPr>
              <w:rPr>
                <w:sz w:val="20"/>
                <w:szCs w:val="20"/>
              </w:rPr>
            </w:pPr>
            <w:r w:rsidRPr="005174D1">
              <w:rPr>
                <w:b/>
                <w:color w:val="000000"/>
                <w:sz w:val="20"/>
                <w:szCs w:val="20"/>
              </w:rPr>
              <w:t>Loan Category</w:t>
            </w:r>
          </w:p>
        </w:tc>
        <w:tc>
          <w:tcPr>
            <w:tcW w:w="1497" w:type="dxa"/>
            <w:gridSpan w:val="2"/>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7DE09962" w14:textId="77777777" w:rsidR="005D6976" w:rsidRPr="005174D1" w:rsidRDefault="005D6976" w:rsidP="005D6976">
            <w:pPr>
              <w:jc w:val="center"/>
              <w:rPr>
                <w:sz w:val="20"/>
                <w:szCs w:val="20"/>
              </w:rPr>
            </w:pPr>
            <w:r w:rsidRPr="005174D1">
              <w:rPr>
                <w:b/>
                <w:color w:val="000000"/>
                <w:sz w:val="20"/>
                <w:szCs w:val="20"/>
              </w:rPr>
              <w:t>Inside</w:t>
            </w:r>
          </w:p>
        </w:tc>
        <w:tc>
          <w:tcPr>
            <w:tcW w:w="1452" w:type="dxa"/>
            <w:gridSpan w:val="2"/>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2C694448" w14:textId="77777777" w:rsidR="005D6976" w:rsidRPr="005174D1" w:rsidRDefault="005D6976" w:rsidP="005D6976">
            <w:pPr>
              <w:jc w:val="center"/>
              <w:rPr>
                <w:sz w:val="20"/>
                <w:szCs w:val="20"/>
              </w:rPr>
            </w:pPr>
            <w:r w:rsidRPr="005174D1">
              <w:rPr>
                <w:b/>
                <w:color w:val="000000"/>
                <w:sz w:val="20"/>
                <w:szCs w:val="20"/>
              </w:rPr>
              <w:t>Outside</w:t>
            </w:r>
          </w:p>
        </w:tc>
        <w:tc>
          <w:tcPr>
            <w:tcW w:w="867" w:type="dxa"/>
            <w:tcBorders>
              <w:left w:val="single" w:sz="7" w:space="0" w:color="000000"/>
              <w:right w:val="single" w:sz="7" w:space="0" w:color="000000"/>
            </w:tcBorders>
            <w:tcMar>
              <w:top w:w="0" w:type="dxa"/>
              <w:left w:w="39" w:type="dxa"/>
              <w:bottom w:w="39" w:type="dxa"/>
              <w:right w:w="39" w:type="dxa"/>
            </w:tcMar>
          </w:tcPr>
          <w:p w14:paraId="5D6D4569" w14:textId="77777777" w:rsidR="005D6976" w:rsidRPr="005174D1" w:rsidRDefault="005D6976" w:rsidP="005D6976">
            <w:pPr>
              <w:jc w:val="center"/>
              <w:rPr>
                <w:sz w:val="20"/>
                <w:szCs w:val="20"/>
              </w:rPr>
            </w:pPr>
            <w:r w:rsidRPr="005174D1">
              <w:rPr>
                <w:b/>
                <w:color w:val="000000"/>
                <w:sz w:val="20"/>
                <w:szCs w:val="20"/>
              </w:rPr>
              <w:t>Total</w:t>
            </w:r>
          </w:p>
        </w:tc>
        <w:tc>
          <w:tcPr>
            <w:tcW w:w="1557" w:type="dxa"/>
            <w:gridSpan w:val="2"/>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440CC362" w14:textId="77777777" w:rsidR="005D6976" w:rsidRPr="005174D1" w:rsidRDefault="005D6976" w:rsidP="005D6976">
            <w:pPr>
              <w:jc w:val="center"/>
              <w:rPr>
                <w:sz w:val="20"/>
                <w:szCs w:val="20"/>
              </w:rPr>
            </w:pPr>
            <w:r w:rsidRPr="005174D1">
              <w:rPr>
                <w:b/>
                <w:color w:val="000000"/>
                <w:sz w:val="20"/>
                <w:szCs w:val="20"/>
              </w:rPr>
              <w:t>Inside</w:t>
            </w:r>
          </w:p>
        </w:tc>
        <w:tc>
          <w:tcPr>
            <w:tcW w:w="1557" w:type="dxa"/>
            <w:gridSpan w:val="2"/>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38B05234" w14:textId="77777777" w:rsidR="005D6976" w:rsidRPr="005174D1" w:rsidRDefault="005D6976" w:rsidP="005D6976">
            <w:pPr>
              <w:jc w:val="center"/>
              <w:rPr>
                <w:sz w:val="20"/>
                <w:szCs w:val="20"/>
              </w:rPr>
            </w:pPr>
            <w:r w:rsidRPr="005174D1">
              <w:rPr>
                <w:b/>
                <w:color w:val="000000"/>
                <w:sz w:val="20"/>
                <w:szCs w:val="20"/>
              </w:rPr>
              <w:t>Outside</w:t>
            </w:r>
          </w:p>
        </w:tc>
        <w:tc>
          <w:tcPr>
            <w:tcW w:w="925" w:type="dxa"/>
            <w:tcBorders>
              <w:left w:val="single" w:sz="7" w:space="0" w:color="000000"/>
              <w:right w:val="single" w:sz="7" w:space="0" w:color="000000"/>
            </w:tcBorders>
            <w:tcMar>
              <w:top w:w="0" w:type="dxa"/>
              <w:left w:w="39" w:type="dxa"/>
              <w:bottom w:w="39" w:type="dxa"/>
              <w:right w:w="39" w:type="dxa"/>
            </w:tcMar>
          </w:tcPr>
          <w:p w14:paraId="5F4E794B" w14:textId="77777777" w:rsidR="005D6976" w:rsidRPr="005174D1" w:rsidRDefault="005D6976" w:rsidP="005D6976">
            <w:pPr>
              <w:jc w:val="center"/>
              <w:rPr>
                <w:sz w:val="20"/>
                <w:szCs w:val="20"/>
              </w:rPr>
            </w:pPr>
            <w:r w:rsidRPr="005174D1">
              <w:rPr>
                <w:b/>
                <w:color w:val="000000"/>
                <w:sz w:val="20"/>
                <w:szCs w:val="20"/>
              </w:rPr>
              <w:t>Total</w:t>
            </w:r>
          </w:p>
        </w:tc>
      </w:tr>
      <w:tr w:rsidR="005D6976" w:rsidRPr="005174D1" w14:paraId="035FE072" w14:textId="77777777" w:rsidTr="005D6976">
        <w:trPr>
          <w:trHeight w:val="210"/>
        </w:trPr>
        <w:tc>
          <w:tcPr>
            <w:tcW w:w="1775" w:type="dxa"/>
            <w:tcBorders>
              <w:left w:val="single" w:sz="7" w:space="0" w:color="000000"/>
              <w:bottom w:val="single" w:sz="7" w:space="0" w:color="000000"/>
              <w:right w:val="single" w:sz="7" w:space="0" w:color="000000"/>
            </w:tcBorders>
            <w:tcMar>
              <w:top w:w="39" w:type="dxa"/>
              <w:left w:w="39" w:type="dxa"/>
              <w:bottom w:w="39" w:type="dxa"/>
              <w:right w:w="39" w:type="dxa"/>
            </w:tcMar>
            <w:vAlign w:val="center"/>
          </w:tcPr>
          <w:p w14:paraId="1376DF49" w14:textId="77777777" w:rsidR="005D6976" w:rsidRPr="005174D1" w:rsidRDefault="005D6976" w:rsidP="005D6976">
            <w:pPr>
              <w:rPr>
                <w:sz w:val="20"/>
                <w:szCs w:val="20"/>
              </w:rPr>
            </w:pPr>
          </w:p>
        </w:tc>
        <w:tc>
          <w:tcPr>
            <w:tcW w:w="90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5260A9D7" w14:textId="77777777" w:rsidR="005D6976" w:rsidRPr="005174D1" w:rsidRDefault="005D6976" w:rsidP="005D6976">
            <w:pPr>
              <w:jc w:val="center"/>
              <w:rPr>
                <w:sz w:val="20"/>
                <w:szCs w:val="20"/>
              </w:rPr>
            </w:pPr>
            <w:r w:rsidRPr="005174D1">
              <w:rPr>
                <w:b/>
                <w:color w:val="000000"/>
                <w:sz w:val="20"/>
                <w:szCs w:val="20"/>
              </w:rPr>
              <w:t>#</w:t>
            </w:r>
          </w:p>
        </w:tc>
        <w:tc>
          <w:tcPr>
            <w:tcW w:w="5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61609164" w14:textId="77777777" w:rsidR="005D6976" w:rsidRPr="005174D1" w:rsidRDefault="005D6976" w:rsidP="005D6976">
            <w:pPr>
              <w:jc w:val="center"/>
              <w:rPr>
                <w:sz w:val="20"/>
                <w:szCs w:val="20"/>
              </w:rPr>
            </w:pPr>
            <w:r w:rsidRPr="005174D1">
              <w:rPr>
                <w:b/>
                <w:color w:val="000000"/>
                <w:sz w:val="20"/>
                <w:szCs w:val="20"/>
              </w:rPr>
              <w:t>%</w:t>
            </w:r>
          </w:p>
        </w:tc>
        <w:tc>
          <w:tcPr>
            <w:tcW w:w="86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50B6A5EF" w14:textId="77777777" w:rsidR="005D6976" w:rsidRPr="005174D1" w:rsidRDefault="005D6976" w:rsidP="005D6976">
            <w:pPr>
              <w:jc w:val="center"/>
              <w:rPr>
                <w:sz w:val="20"/>
                <w:szCs w:val="20"/>
              </w:rPr>
            </w:pPr>
            <w:r w:rsidRPr="005174D1">
              <w:rPr>
                <w:b/>
                <w:color w:val="000000"/>
                <w:sz w:val="20"/>
                <w:szCs w:val="20"/>
              </w:rPr>
              <w:t>#</w:t>
            </w:r>
          </w:p>
        </w:tc>
        <w:tc>
          <w:tcPr>
            <w:tcW w:w="5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0A089E4A" w14:textId="77777777" w:rsidR="005D6976" w:rsidRPr="005174D1" w:rsidRDefault="005D6976" w:rsidP="005D6976">
            <w:pPr>
              <w:jc w:val="center"/>
              <w:rPr>
                <w:sz w:val="20"/>
                <w:szCs w:val="20"/>
              </w:rPr>
            </w:pPr>
            <w:r w:rsidRPr="005174D1">
              <w:rPr>
                <w:b/>
                <w:color w:val="000000"/>
                <w:sz w:val="20"/>
                <w:szCs w:val="20"/>
              </w:rPr>
              <w:t>%</w:t>
            </w:r>
          </w:p>
        </w:tc>
        <w:tc>
          <w:tcPr>
            <w:tcW w:w="867" w:type="dxa"/>
            <w:tcBorders>
              <w:left w:val="single" w:sz="7" w:space="0" w:color="000000"/>
              <w:bottom w:val="single" w:sz="7" w:space="0" w:color="000000"/>
              <w:right w:val="single" w:sz="7" w:space="0" w:color="000000"/>
            </w:tcBorders>
            <w:tcMar>
              <w:top w:w="0" w:type="dxa"/>
              <w:left w:w="39" w:type="dxa"/>
              <w:bottom w:w="39" w:type="dxa"/>
              <w:right w:w="39" w:type="dxa"/>
            </w:tcMar>
          </w:tcPr>
          <w:p w14:paraId="07AD35E8" w14:textId="77777777" w:rsidR="005D6976" w:rsidRPr="005174D1" w:rsidRDefault="005D6976" w:rsidP="005D6976">
            <w:pPr>
              <w:jc w:val="center"/>
              <w:rPr>
                <w:sz w:val="20"/>
                <w:szCs w:val="20"/>
              </w:rPr>
            </w:pPr>
            <w:r w:rsidRPr="005174D1">
              <w:rPr>
                <w:b/>
                <w:color w:val="000000"/>
                <w:sz w:val="20"/>
                <w:szCs w:val="20"/>
              </w:rPr>
              <w:t>#</w:t>
            </w:r>
          </w:p>
        </w:tc>
        <w:tc>
          <w:tcPr>
            <w:tcW w:w="96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1AF9C187" w14:textId="77777777" w:rsidR="005D6976" w:rsidRPr="005174D1" w:rsidRDefault="005D6976" w:rsidP="005D6976">
            <w:pPr>
              <w:jc w:val="center"/>
              <w:rPr>
                <w:sz w:val="20"/>
                <w:szCs w:val="20"/>
              </w:rPr>
            </w:pPr>
            <w:r w:rsidRPr="005174D1">
              <w:rPr>
                <w:b/>
                <w:color w:val="000000"/>
                <w:sz w:val="20"/>
                <w:szCs w:val="20"/>
              </w:rPr>
              <w:t>$</w:t>
            </w:r>
          </w:p>
        </w:tc>
        <w:tc>
          <w:tcPr>
            <w:tcW w:w="5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7A820D04" w14:textId="77777777" w:rsidR="005D6976" w:rsidRPr="005174D1" w:rsidRDefault="005D6976" w:rsidP="005D6976">
            <w:pPr>
              <w:jc w:val="center"/>
              <w:rPr>
                <w:sz w:val="20"/>
                <w:szCs w:val="20"/>
              </w:rPr>
            </w:pPr>
            <w:r w:rsidRPr="005174D1">
              <w:rPr>
                <w:b/>
                <w:color w:val="000000"/>
                <w:sz w:val="20"/>
                <w:szCs w:val="20"/>
              </w:rPr>
              <w:t>%</w:t>
            </w:r>
          </w:p>
        </w:tc>
        <w:tc>
          <w:tcPr>
            <w:tcW w:w="96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6A3A3C66" w14:textId="77777777" w:rsidR="005D6976" w:rsidRPr="005174D1" w:rsidRDefault="005D6976" w:rsidP="005D6976">
            <w:pPr>
              <w:jc w:val="center"/>
              <w:rPr>
                <w:sz w:val="20"/>
                <w:szCs w:val="20"/>
              </w:rPr>
            </w:pPr>
            <w:r w:rsidRPr="005174D1">
              <w:rPr>
                <w:b/>
                <w:color w:val="000000"/>
                <w:sz w:val="20"/>
                <w:szCs w:val="20"/>
              </w:rPr>
              <w:t>$</w:t>
            </w:r>
          </w:p>
        </w:tc>
        <w:tc>
          <w:tcPr>
            <w:tcW w:w="5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572C0F43" w14:textId="77777777" w:rsidR="005D6976" w:rsidRPr="005174D1" w:rsidRDefault="005D6976" w:rsidP="005D6976">
            <w:pPr>
              <w:jc w:val="center"/>
              <w:rPr>
                <w:sz w:val="20"/>
                <w:szCs w:val="20"/>
              </w:rPr>
            </w:pPr>
            <w:r w:rsidRPr="005174D1">
              <w:rPr>
                <w:b/>
                <w:color w:val="000000"/>
                <w:sz w:val="20"/>
                <w:szCs w:val="20"/>
              </w:rPr>
              <w:t>%</w:t>
            </w:r>
          </w:p>
        </w:tc>
        <w:tc>
          <w:tcPr>
            <w:tcW w:w="925" w:type="dxa"/>
            <w:tcBorders>
              <w:left w:val="single" w:sz="7" w:space="0" w:color="000000"/>
              <w:bottom w:val="single" w:sz="7" w:space="0" w:color="000000"/>
              <w:right w:val="single" w:sz="7" w:space="0" w:color="000000"/>
            </w:tcBorders>
            <w:tcMar>
              <w:top w:w="0" w:type="dxa"/>
              <w:left w:w="39" w:type="dxa"/>
              <w:bottom w:w="39" w:type="dxa"/>
              <w:right w:w="39" w:type="dxa"/>
            </w:tcMar>
          </w:tcPr>
          <w:p w14:paraId="505260FE" w14:textId="77777777" w:rsidR="005D6976" w:rsidRPr="005174D1" w:rsidRDefault="005D6976" w:rsidP="005D6976">
            <w:pPr>
              <w:jc w:val="center"/>
              <w:rPr>
                <w:sz w:val="20"/>
                <w:szCs w:val="20"/>
              </w:rPr>
            </w:pPr>
            <w:r w:rsidRPr="005174D1">
              <w:rPr>
                <w:b/>
                <w:color w:val="000000"/>
                <w:sz w:val="20"/>
                <w:szCs w:val="20"/>
              </w:rPr>
              <w:t>$(000s)</w:t>
            </w:r>
          </w:p>
        </w:tc>
      </w:tr>
      <w:tr w:rsidR="005D6976" w:rsidRPr="005174D1" w14:paraId="05AF3298" w14:textId="77777777" w:rsidTr="005D6976">
        <w:trPr>
          <w:trHeight w:val="210"/>
        </w:trPr>
        <w:tc>
          <w:tcPr>
            <w:tcW w:w="177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103225AC" w14:textId="77777777" w:rsidR="005D6976" w:rsidRPr="005174D1" w:rsidRDefault="005D6976" w:rsidP="005D6976">
            <w:pPr>
              <w:rPr>
                <w:sz w:val="20"/>
                <w:szCs w:val="20"/>
              </w:rPr>
            </w:pPr>
            <w:r w:rsidRPr="005174D1">
              <w:rPr>
                <w:color w:val="000000"/>
                <w:sz w:val="20"/>
                <w:szCs w:val="20"/>
              </w:rPr>
              <w:t>Home Mortgage</w:t>
            </w:r>
          </w:p>
        </w:tc>
        <w:tc>
          <w:tcPr>
            <w:tcW w:w="7855" w:type="dxa"/>
            <w:gridSpan w:val="10"/>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EDBEA0F" w14:textId="77777777" w:rsidR="005D6976" w:rsidRPr="005174D1" w:rsidRDefault="005D6976" w:rsidP="005D6976">
            <w:pPr>
              <w:rPr>
                <w:sz w:val="20"/>
                <w:szCs w:val="20"/>
              </w:rPr>
            </w:pPr>
          </w:p>
        </w:tc>
      </w:tr>
      <w:tr w:rsidR="005D6976" w:rsidRPr="005174D1" w14:paraId="526A74C3" w14:textId="77777777" w:rsidTr="005D6976">
        <w:trPr>
          <w:trHeight w:val="181"/>
        </w:trPr>
        <w:tc>
          <w:tcPr>
            <w:tcW w:w="1775"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2D34AF7C" w14:textId="77777777" w:rsidR="005D6976" w:rsidRPr="005174D1" w:rsidRDefault="005D6976" w:rsidP="005D6976">
            <w:pPr>
              <w:jc w:val="right"/>
              <w:rPr>
                <w:sz w:val="20"/>
                <w:szCs w:val="20"/>
              </w:rPr>
            </w:pPr>
            <w:r w:rsidRPr="005174D1">
              <w:rPr>
                <w:color w:val="000000"/>
                <w:sz w:val="20"/>
                <w:szCs w:val="20"/>
              </w:rPr>
              <w:t>2017</w:t>
            </w:r>
          </w:p>
        </w:tc>
        <w:tc>
          <w:tcPr>
            <w:tcW w:w="90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93CFFB6" w14:textId="77777777" w:rsidR="005D6976" w:rsidRPr="005174D1" w:rsidRDefault="005D6976" w:rsidP="005D6976">
            <w:pPr>
              <w:jc w:val="center"/>
              <w:rPr>
                <w:sz w:val="20"/>
                <w:szCs w:val="20"/>
              </w:rPr>
            </w:pPr>
            <w:r w:rsidRPr="005174D1">
              <w:rPr>
                <w:color w:val="000000"/>
                <w:sz w:val="20"/>
                <w:szCs w:val="20"/>
              </w:rPr>
              <w:t>158</w:t>
            </w:r>
          </w:p>
        </w:tc>
        <w:tc>
          <w:tcPr>
            <w:tcW w:w="5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42AD6E4" w14:textId="77777777" w:rsidR="005D6976" w:rsidRPr="005174D1" w:rsidRDefault="005D6976" w:rsidP="005D6976">
            <w:pPr>
              <w:jc w:val="center"/>
              <w:rPr>
                <w:sz w:val="20"/>
                <w:szCs w:val="20"/>
              </w:rPr>
            </w:pPr>
            <w:r w:rsidRPr="005174D1">
              <w:rPr>
                <w:color w:val="000000"/>
                <w:sz w:val="20"/>
                <w:szCs w:val="20"/>
              </w:rPr>
              <w:t>53.0</w:t>
            </w:r>
          </w:p>
        </w:tc>
        <w:tc>
          <w:tcPr>
            <w:tcW w:w="86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A82A046" w14:textId="77777777" w:rsidR="005D6976" w:rsidRPr="005174D1" w:rsidRDefault="005D6976" w:rsidP="005D6976">
            <w:pPr>
              <w:jc w:val="center"/>
              <w:rPr>
                <w:sz w:val="20"/>
                <w:szCs w:val="20"/>
              </w:rPr>
            </w:pPr>
            <w:r w:rsidRPr="005174D1">
              <w:rPr>
                <w:color w:val="000000"/>
                <w:sz w:val="20"/>
                <w:szCs w:val="20"/>
              </w:rPr>
              <w:t>140</w:t>
            </w:r>
          </w:p>
        </w:tc>
        <w:tc>
          <w:tcPr>
            <w:tcW w:w="5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04B8728" w14:textId="77777777" w:rsidR="005D6976" w:rsidRPr="005174D1" w:rsidRDefault="005D6976" w:rsidP="005D6976">
            <w:pPr>
              <w:jc w:val="center"/>
              <w:rPr>
                <w:sz w:val="20"/>
                <w:szCs w:val="20"/>
              </w:rPr>
            </w:pPr>
            <w:r w:rsidRPr="005174D1">
              <w:rPr>
                <w:color w:val="000000"/>
                <w:sz w:val="20"/>
                <w:szCs w:val="20"/>
              </w:rPr>
              <w:t>47.0</w:t>
            </w:r>
          </w:p>
        </w:tc>
        <w:tc>
          <w:tcPr>
            <w:tcW w:w="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C8CC852" w14:textId="77777777" w:rsidR="005D6976" w:rsidRPr="005174D1" w:rsidRDefault="005D6976" w:rsidP="005D6976">
            <w:pPr>
              <w:jc w:val="center"/>
              <w:rPr>
                <w:sz w:val="20"/>
                <w:szCs w:val="20"/>
              </w:rPr>
            </w:pPr>
            <w:r w:rsidRPr="005174D1">
              <w:rPr>
                <w:color w:val="000000"/>
                <w:sz w:val="20"/>
                <w:szCs w:val="20"/>
              </w:rPr>
              <w:t>298</w:t>
            </w:r>
          </w:p>
        </w:tc>
        <w:tc>
          <w:tcPr>
            <w:tcW w:w="96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FEDD3DE" w14:textId="77777777" w:rsidR="005D6976" w:rsidRPr="005174D1" w:rsidRDefault="005D6976" w:rsidP="005D6976">
            <w:pPr>
              <w:jc w:val="center"/>
              <w:rPr>
                <w:sz w:val="20"/>
                <w:szCs w:val="20"/>
              </w:rPr>
            </w:pPr>
            <w:r w:rsidRPr="005174D1">
              <w:rPr>
                <w:color w:val="000000"/>
                <w:sz w:val="20"/>
                <w:szCs w:val="20"/>
              </w:rPr>
              <w:t>57,526</w:t>
            </w:r>
          </w:p>
        </w:tc>
        <w:tc>
          <w:tcPr>
            <w:tcW w:w="5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1E5E2EF" w14:textId="77777777" w:rsidR="005D6976" w:rsidRPr="005174D1" w:rsidRDefault="005D6976" w:rsidP="005D6976">
            <w:pPr>
              <w:jc w:val="center"/>
              <w:rPr>
                <w:sz w:val="20"/>
                <w:szCs w:val="20"/>
              </w:rPr>
            </w:pPr>
            <w:r w:rsidRPr="005174D1">
              <w:rPr>
                <w:color w:val="000000"/>
                <w:sz w:val="20"/>
                <w:szCs w:val="20"/>
              </w:rPr>
              <w:t>31.9</w:t>
            </w:r>
          </w:p>
        </w:tc>
        <w:tc>
          <w:tcPr>
            <w:tcW w:w="96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B3FCB42" w14:textId="77777777" w:rsidR="005D6976" w:rsidRPr="005174D1" w:rsidRDefault="005D6976" w:rsidP="005D6976">
            <w:pPr>
              <w:jc w:val="center"/>
              <w:rPr>
                <w:sz w:val="20"/>
                <w:szCs w:val="20"/>
              </w:rPr>
            </w:pPr>
            <w:r w:rsidRPr="005174D1">
              <w:rPr>
                <w:color w:val="000000"/>
                <w:sz w:val="20"/>
                <w:szCs w:val="20"/>
              </w:rPr>
              <w:t>122,732</w:t>
            </w:r>
          </w:p>
        </w:tc>
        <w:tc>
          <w:tcPr>
            <w:tcW w:w="5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965740C" w14:textId="77777777" w:rsidR="005D6976" w:rsidRPr="005174D1" w:rsidRDefault="005D6976" w:rsidP="005D6976">
            <w:pPr>
              <w:jc w:val="center"/>
              <w:rPr>
                <w:sz w:val="20"/>
                <w:szCs w:val="20"/>
              </w:rPr>
            </w:pPr>
            <w:r w:rsidRPr="005174D1">
              <w:rPr>
                <w:color w:val="000000"/>
                <w:sz w:val="20"/>
                <w:szCs w:val="20"/>
              </w:rPr>
              <w:t>68.1</w:t>
            </w:r>
          </w:p>
        </w:tc>
        <w:tc>
          <w:tcPr>
            <w:tcW w:w="92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421DEBA" w14:textId="77777777" w:rsidR="005D6976" w:rsidRPr="005174D1" w:rsidRDefault="005D6976" w:rsidP="005D6976">
            <w:pPr>
              <w:jc w:val="center"/>
              <w:rPr>
                <w:sz w:val="20"/>
                <w:szCs w:val="20"/>
              </w:rPr>
            </w:pPr>
            <w:r w:rsidRPr="005174D1">
              <w:rPr>
                <w:color w:val="000000"/>
                <w:sz w:val="20"/>
                <w:szCs w:val="20"/>
              </w:rPr>
              <w:t>180,258</w:t>
            </w:r>
          </w:p>
        </w:tc>
      </w:tr>
      <w:tr w:rsidR="005D6976" w:rsidRPr="005174D1" w14:paraId="67F5FAAD" w14:textId="77777777" w:rsidTr="005D6976">
        <w:trPr>
          <w:trHeight w:val="181"/>
        </w:trPr>
        <w:tc>
          <w:tcPr>
            <w:tcW w:w="1775"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590E4BF5" w14:textId="77777777" w:rsidR="005D6976" w:rsidRPr="005174D1" w:rsidRDefault="005D6976" w:rsidP="005D6976">
            <w:pPr>
              <w:jc w:val="right"/>
              <w:rPr>
                <w:sz w:val="20"/>
                <w:szCs w:val="20"/>
              </w:rPr>
            </w:pPr>
            <w:r w:rsidRPr="005174D1">
              <w:rPr>
                <w:color w:val="000000"/>
                <w:sz w:val="20"/>
                <w:szCs w:val="20"/>
              </w:rPr>
              <w:t>2018</w:t>
            </w:r>
          </w:p>
        </w:tc>
        <w:tc>
          <w:tcPr>
            <w:tcW w:w="90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484DE28" w14:textId="77777777" w:rsidR="005D6976" w:rsidRPr="005174D1" w:rsidRDefault="005D6976" w:rsidP="005D6976">
            <w:pPr>
              <w:jc w:val="center"/>
              <w:rPr>
                <w:sz w:val="20"/>
                <w:szCs w:val="20"/>
              </w:rPr>
            </w:pPr>
            <w:r w:rsidRPr="005174D1">
              <w:rPr>
                <w:color w:val="000000"/>
                <w:sz w:val="20"/>
                <w:szCs w:val="20"/>
              </w:rPr>
              <w:t>192</w:t>
            </w:r>
          </w:p>
        </w:tc>
        <w:tc>
          <w:tcPr>
            <w:tcW w:w="5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84B6A70" w14:textId="77777777" w:rsidR="005D6976" w:rsidRPr="005174D1" w:rsidRDefault="005D6976" w:rsidP="005D6976">
            <w:pPr>
              <w:jc w:val="center"/>
              <w:rPr>
                <w:sz w:val="20"/>
                <w:szCs w:val="20"/>
              </w:rPr>
            </w:pPr>
            <w:r w:rsidRPr="005174D1">
              <w:rPr>
                <w:color w:val="000000"/>
                <w:sz w:val="20"/>
                <w:szCs w:val="20"/>
              </w:rPr>
              <w:t>59.8</w:t>
            </w:r>
          </w:p>
        </w:tc>
        <w:tc>
          <w:tcPr>
            <w:tcW w:w="86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03F3696" w14:textId="77777777" w:rsidR="005D6976" w:rsidRPr="005174D1" w:rsidRDefault="005D6976" w:rsidP="005D6976">
            <w:pPr>
              <w:jc w:val="center"/>
              <w:rPr>
                <w:sz w:val="20"/>
                <w:szCs w:val="20"/>
              </w:rPr>
            </w:pPr>
            <w:r w:rsidRPr="005174D1">
              <w:rPr>
                <w:color w:val="000000"/>
                <w:sz w:val="20"/>
                <w:szCs w:val="20"/>
              </w:rPr>
              <w:t>129</w:t>
            </w:r>
          </w:p>
        </w:tc>
        <w:tc>
          <w:tcPr>
            <w:tcW w:w="5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41DE18C" w14:textId="77777777" w:rsidR="005D6976" w:rsidRPr="005174D1" w:rsidRDefault="005D6976" w:rsidP="005D6976">
            <w:pPr>
              <w:jc w:val="center"/>
              <w:rPr>
                <w:sz w:val="20"/>
                <w:szCs w:val="20"/>
              </w:rPr>
            </w:pPr>
            <w:r w:rsidRPr="005174D1">
              <w:rPr>
                <w:color w:val="000000"/>
                <w:sz w:val="20"/>
                <w:szCs w:val="20"/>
              </w:rPr>
              <w:t>40.2</w:t>
            </w:r>
          </w:p>
        </w:tc>
        <w:tc>
          <w:tcPr>
            <w:tcW w:w="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9629584" w14:textId="77777777" w:rsidR="005D6976" w:rsidRPr="005174D1" w:rsidRDefault="005D6976" w:rsidP="005D6976">
            <w:pPr>
              <w:jc w:val="center"/>
              <w:rPr>
                <w:sz w:val="20"/>
                <w:szCs w:val="20"/>
              </w:rPr>
            </w:pPr>
            <w:r w:rsidRPr="005174D1">
              <w:rPr>
                <w:color w:val="000000"/>
                <w:sz w:val="20"/>
                <w:szCs w:val="20"/>
              </w:rPr>
              <w:t>321</w:t>
            </w:r>
          </w:p>
        </w:tc>
        <w:tc>
          <w:tcPr>
            <w:tcW w:w="96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60EEB1C" w14:textId="77777777" w:rsidR="005D6976" w:rsidRPr="005174D1" w:rsidRDefault="005D6976" w:rsidP="005D6976">
            <w:pPr>
              <w:jc w:val="center"/>
              <w:rPr>
                <w:sz w:val="20"/>
                <w:szCs w:val="20"/>
              </w:rPr>
            </w:pPr>
            <w:r w:rsidRPr="005174D1">
              <w:rPr>
                <w:color w:val="000000"/>
                <w:sz w:val="20"/>
                <w:szCs w:val="20"/>
              </w:rPr>
              <w:t>82,098</w:t>
            </w:r>
          </w:p>
        </w:tc>
        <w:tc>
          <w:tcPr>
            <w:tcW w:w="5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55E31D8" w14:textId="77777777" w:rsidR="005D6976" w:rsidRPr="005174D1" w:rsidRDefault="005D6976" w:rsidP="005D6976">
            <w:pPr>
              <w:jc w:val="center"/>
              <w:rPr>
                <w:sz w:val="20"/>
                <w:szCs w:val="20"/>
              </w:rPr>
            </w:pPr>
            <w:r w:rsidRPr="005174D1">
              <w:rPr>
                <w:color w:val="000000"/>
                <w:sz w:val="20"/>
                <w:szCs w:val="20"/>
              </w:rPr>
              <w:t>48.6</w:t>
            </w:r>
          </w:p>
        </w:tc>
        <w:tc>
          <w:tcPr>
            <w:tcW w:w="96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9AAE671" w14:textId="77777777" w:rsidR="005D6976" w:rsidRPr="005174D1" w:rsidRDefault="005D6976" w:rsidP="005D6976">
            <w:pPr>
              <w:jc w:val="center"/>
              <w:rPr>
                <w:sz w:val="20"/>
                <w:szCs w:val="20"/>
              </w:rPr>
            </w:pPr>
            <w:r w:rsidRPr="005174D1">
              <w:rPr>
                <w:color w:val="000000"/>
                <w:sz w:val="20"/>
                <w:szCs w:val="20"/>
              </w:rPr>
              <w:t>86,710</w:t>
            </w:r>
          </w:p>
        </w:tc>
        <w:tc>
          <w:tcPr>
            <w:tcW w:w="5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C572EA6" w14:textId="77777777" w:rsidR="005D6976" w:rsidRPr="005174D1" w:rsidRDefault="005D6976" w:rsidP="005D6976">
            <w:pPr>
              <w:jc w:val="center"/>
              <w:rPr>
                <w:sz w:val="20"/>
                <w:szCs w:val="20"/>
              </w:rPr>
            </w:pPr>
            <w:r w:rsidRPr="005174D1">
              <w:rPr>
                <w:color w:val="000000"/>
                <w:sz w:val="20"/>
                <w:szCs w:val="20"/>
              </w:rPr>
              <w:t>51.4</w:t>
            </w:r>
          </w:p>
        </w:tc>
        <w:tc>
          <w:tcPr>
            <w:tcW w:w="92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7A59FF3" w14:textId="77777777" w:rsidR="005D6976" w:rsidRPr="005174D1" w:rsidRDefault="005D6976" w:rsidP="005D6976">
            <w:pPr>
              <w:jc w:val="center"/>
              <w:rPr>
                <w:sz w:val="20"/>
                <w:szCs w:val="20"/>
              </w:rPr>
            </w:pPr>
            <w:r w:rsidRPr="005174D1">
              <w:rPr>
                <w:color w:val="000000"/>
                <w:sz w:val="20"/>
                <w:szCs w:val="20"/>
              </w:rPr>
              <w:t>168,808</w:t>
            </w:r>
          </w:p>
        </w:tc>
      </w:tr>
      <w:tr w:rsidR="005D6976" w:rsidRPr="005174D1" w14:paraId="72BDBCCD" w14:textId="77777777" w:rsidTr="005D6976">
        <w:trPr>
          <w:trHeight w:val="181"/>
        </w:trPr>
        <w:tc>
          <w:tcPr>
            <w:tcW w:w="1775"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629EB109" w14:textId="77777777" w:rsidR="005D6976" w:rsidRPr="005174D1" w:rsidRDefault="005D6976" w:rsidP="005D6976">
            <w:pPr>
              <w:jc w:val="right"/>
              <w:rPr>
                <w:sz w:val="20"/>
                <w:szCs w:val="20"/>
              </w:rPr>
            </w:pPr>
            <w:r w:rsidRPr="005174D1">
              <w:rPr>
                <w:color w:val="000000"/>
                <w:sz w:val="20"/>
                <w:szCs w:val="20"/>
              </w:rPr>
              <w:t>2019</w:t>
            </w:r>
          </w:p>
        </w:tc>
        <w:tc>
          <w:tcPr>
            <w:tcW w:w="90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CFA9F93" w14:textId="77777777" w:rsidR="005D6976" w:rsidRPr="005174D1" w:rsidRDefault="005D6976" w:rsidP="005D6976">
            <w:pPr>
              <w:jc w:val="center"/>
              <w:rPr>
                <w:sz w:val="20"/>
                <w:szCs w:val="20"/>
              </w:rPr>
            </w:pPr>
            <w:r w:rsidRPr="005174D1">
              <w:rPr>
                <w:color w:val="000000"/>
                <w:sz w:val="20"/>
                <w:szCs w:val="20"/>
              </w:rPr>
              <w:t>334</w:t>
            </w:r>
          </w:p>
        </w:tc>
        <w:tc>
          <w:tcPr>
            <w:tcW w:w="5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5C8CD87" w14:textId="77777777" w:rsidR="005D6976" w:rsidRPr="005174D1" w:rsidRDefault="005D6976" w:rsidP="005D6976">
            <w:pPr>
              <w:jc w:val="center"/>
              <w:rPr>
                <w:sz w:val="20"/>
                <w:szCs w:val="20"/>
              </w:rPr>
            </w:pPr>
            <w:r w:rsidRPr="005174D1">
              <w:rPr>
                <w:color w:val="000000"/>
                <w:sz w:val="20"/>
                <w:szCs w:val="20"/>
              </w:rPr>
              <w:t>48.2</w:t>
            </w:r>
          </w:p>
        </w:tc>
        <w:tc>
          <w:tcPr>
            <w:tcW w:w="86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3818915" w14:textId="77777777" w:rsidR="005D6976" w:rsidRPr="005174D1" w:rsidRDefault="005D6976" w:rsidP="005D6976">
            <w:pPr>
              <w:jc w:val="center"/>
              <w:rPr>
                <w:sz w:val="20"/>
                <w:szCs w:val="20"/>
              </w:rPr>
            </w:pPr>
            <w:r w:rsidRPr="005174D1">
              <w:rPr>
                <w:color w:val="000000"/>
                <w:sz w:val="20"/>
                <w:szCs w:val="20"/>
              </w:rPr>
              <w:t>359</w:t>
            </w:r>
          </w:p>
        </w:tc>
        <w:tc>
          <w:tcPr>
            <w:tcW w:w="5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B74F10D" w14:textId="77777777" w:rsidR="005D6976" w:rsidRPr="005174D1" w:rsidRDefault="005D6976" w:rsidP="005D6976">
            <w:pPr>
              <w:jc w:val="center"/>
              <w:rPr>
                <w:sz w:val="20"/>
                <w:szCs w:val="20"/>
              </w:rPr>
            </w:pPr>
            <w:r w:rsidRPr="005174D1">
              <w:rPr>
                <w:color w:val="000000"/>
                <w:sz w:val="20"/>
                <w:szCs w:val="20"/>
              </w:rPr>
              <w:t>51.8</w:t>
            </w:r>
          </w:p>
        </w:tc>
        <w:tc>
          <w:tcPr>
            <w:tcW w:w="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0505477" w14:textId="77777777" w:rsidR="005D6976" w:rsidRPr="005174D1" w:rsidRDefault="005D6976" w:rsidP="005D6976">
            <w:pPr>
              <w:jc w:val="center"/>
              <w:rPr>
                <w:sz w:val="20"/>
                <w:szCs w:val="20"/>
              </w:rPr>
            </w:pPr>
            <w:r w:rsidRPr="005174D1">
              <w:rPr>
                <w:color w:val="000000"/>
                <w:sz w:val="20"/>
                <w:szCs w:val="20"/>
              </w:rPr>
              <w:t>693</w:t>
            </w:r>
          </w:p>
        </w:tc>
        <w:tc>
          <w:tcPr>
            <w:tcW w:w="96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4C543C8" w14:textId="77777777" w:rsidR="005D6976" w:rsidRPr="005174D1" w:rsidRDefault="005D6976" w:rsidP="005D6976">
            <w:pPr>
              <w:jc w:val="center"/>
              <w:rPr>
                <w:sz w:val="20"/>
                <w:szCs w:val="20"/>
              </w:rPr>
            </w:pPr>
            <w:r w:rsidRPr="005174D1">
              <w:rPr>
                <w:color w:val="000000"/>
                <w:sz w:val="20"/>
                <w:szCs w:val="20"/>
              </w:rPr>
              <w:t>127,867</w:t>
            </w:r>
          </w:p>
        </w:tc>
        <w:tc>
          <w:tcPr>
            <w:tcW w:w="5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C60E60" w14:textId="77777777" w:rsidR="005D6976" w:rsidRPr="005174D1" w:rsidRDefault="005D6976" w:rsidP="005D6976">
            <w:pPr>
              <w:jc w:val="center"/>
              <w:rPr>
                <w:sz w:val="20"/>
                <w:szCs w:val="20"/>
              </w:rPr>
            </w:pPr>
            <w:r w:rsidRPr="005174D1">
              <w:rPr>
                <w:color w:val="000000"/>
                <w:sz w:val="20"/>
                <w:szCs w:val="20"/>
              </w:rPr>
              <w:t>46.6</w:t>
            </w:r>
          </w:p>
        </w:tc>
        <w:tc>
          <w:tcPr>
            <w:tcW w:w="96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F222DA0" w14:textId="77777777" w:rsidR="005D6976" w:rsidRPr="005174D1" w:rsidRDefault="005D6976" w:rsidP="005D6976">
            <w:pPr>
              <w:jc w:val="center"/>
              <w:rPr>
                <w:sz w:val="20"/>
                <w:szCs w:val="20"/>
              </w:rPr>
            </w:pPr>
            <w:r w:rsidRPr="005174D1">
              <w:rPr>
                <w:color w:val="000000"/>
                <w:sz w:val="20"/>
                <w:szCs w:val="20"/>
              </w:rPr>
              <w:t>146,300</w:t>
            </w:r>
          </w:p>
        </w:tc>
        <w:tc>
          <w:tcPr>
            <w:tcW w:w="5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D3D282B" w14:textId="77777777" w:rsidR="005D6976" w:rsidRPr="005174D1" w:rsidRDefault="005D6976" w:rsidP="005D6976">
            <w:pPr>
              <w:jc w:val="center"/>
              <w:rPr>
                <w:sz w:val="20"/>
                <w:szCs w:val="20"/>
              </w:rPr>
            </w:pPr>
            <w:r w:rsidRPr="005174D1">
              <w:rPr>
                <w:color w:val="000000"/>
                <w:sz w:val="20"/>
                <w:szCs w:val="20"/>
              </w:rPr>
              <w:t>53.4</w:t>
            </w:r>
          </w:p>
        </w:tc>
        <w:tc>
          <w:tcPr>
            <w:tcW w:w="92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E3AD9AE" w14:textId="77777777" w:rsidR="005D6976" w:rsidRPr="005174D1" w:rsidRDefault="005D6976" w:rsidP="005D6976">
            <w:pPr>
              <w:jc w:val="center"/>
              <w:rPr>
                <w:sz w:val="20"/>
                <w:szCs w:val="20"/>
              </w:rPr>
            </w:pPr>
            <w:r w:rsidRPr="005174D1">
              <w:rPr>
                <w:color w:val="000000"/>
                <w:sz w:val="20"/>
                <w:szCs w:val="20"/>
              </w:rPr>
              <w:t>274,166</w:t>
            </w:r>
          </w:p>
        </w:tc>
      </w:tr>
      <w:tr w:rsidR="005D6976" w:rsidRPr="005174D1" w14:paraId="1AF9AE6B" w14:textId="77777777" w:rsidTr="005D6976">
        <w:trPr>
          <w:trHeight w:val="210"/>
        </w:trPr>
        <w:tc>
          <w:tcPr>
            <w:tcW w:w="177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74010772" w14:textId="77777777" w:rsidR="005D6976" w:rsidRPr="005174D1" w:rsidRDefault="005D6976" w:rsidP="005D6976">
            <w:pPr>
              <w:rPr>
                <w:sz w:val="20"/>
                <w:szCs w:val="20"/>
              </w:rPr>
            </w:pPr>
            <w:r w:rsidRPr="005174D1">
              <w:rPr>
                <w:b/>
                <w:color w:val="000000"/>
                <w:sz w:val="20"/>
                <w:szCs w:val="20"/>
              </w:rPr>
              <w:t>Subtotal</w:t>
            </w:r>
          </w:p>
        </w:tc>
        <w:tc>
          <w:tcPr>
            <w:tcW w:w="90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6878DBB" w14:textId="77777777" w:rsidR="005D6976" w:rsidRPr="005174D1" w:rsidRDefault="005D6976" w:rsidP="005D6976">
            <w:pPr>
              <w:jc w:val="center"/>
              <w:rPr>
                <w:sz w:val="20"/>
                <w:szCs w:val="20"/>
              </w:rPr>
            </w:pPr>
            <w:r w:rsidRPr="005174D1">
              <w:rPr>
                <w:b/>
                <w:color w:val="000000"/>
                <w:sz w:val="20"/>
                <w:szCs w:val="20"/>
              </w:rPr>
              <w:t>684</w:t>
            </w:r>
          </w:p>
        </w:tc>
        <w:tc>
          <w:tcPr>
            <w:tcW w:w="5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9553FBB" w14:textId="77777777" w:rsidR="005D6976" w:rsidRPr="005174D1" w:rsidRDefault="005D6976" w:rsidP="005D6976">
            <w:pPr>
              <w:jc w:val="center"/>
              <w:rPr>
                <w:sz w:val="20"/>
                <w:szCs w:val="20"/>
              </w:rPr>
            </w:pPr>
            <w:r w:rsidRPr="005174D1">
              <w:rPr>
                <w:b/>
                <w:color w:val="000000"/>
                <w:sz w:val="20"/>
                <w:szCs w:val="20"/>
              </w:rPr>
              <w:t>52.1</w:t>
            </w:r>
          </w:p>
        </w:tc>
        <w:tc>
          <w:tcPr>
            <w:tcW w:w="86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67AF25A" w14:textId="77777777" w:rsidR="005D6976" w:rsidRPr="005174D1" w:rsidRDefault="005D6976" w:rsidP="005D6976">
            <w:pPr>
              <w:jc w:val="center"/>
              <w:rPr>
                <w:sz w:val="20"/>
                <w:szCs w:val="20"/>
              </w:rPr>
            </w:pPr>
            <w:r w:rsidRPr="005174D1">
              <w:rPr>
                <w:b/>
                <w:color w:val="000000"/>
                <w:sz w:val="20"/>
                <w:szCs w:val="20"/>
              </w:rPr>
              <w:t>628</w:t>
            </w:r>
          </w:p>
        </w:tc>
        <w:tc>
          <w:tcPr>
            <w:tcW w:w="5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5B045A1" w14:textId="77777777" w:rsidR="005D6976" w:rsidRPr="005174D1" w:rsidRDefault="005D6976" w:rsidP="005D6976">
            <w:pPr>
              <w:jc w:val="center"/>
              <w:rPr>
                <w:sz w:val="20"/>
                <w:szCs w:val="20"/>
              </w:rPr>
            </w:pPr>
            <w:r w:rsidRPr="005174D1">
              <w:rPr>
                <w:b/>
                <w:color w:val="000000"/>
                <w:sz w:val="20"/>
                <w:szCs w:val="20"/>
              </w:rPr>
              <w:t>47.9</w:t>
            </w:r>
          </w:p>
        </w:tc>
        <w:tc>
          <w:tcPr>
            <w:tcW w:w="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66C10A6" w14:textId="77777777" w:rsidR="005D6976" w:rsidRPr="005174D1" w:rsidRDefault="005D6976" w:rsidP="005D6976">
            <w:pPr>
              <w:jc w:val="center"/>
              <w:rPr>
                <w:sz w:val="20"/>
                <w:szCs w:val="20"/>
              </w:rPr>
            </w:pPr>
            <w:r w:rsidRPr="005174D1">
              <w:rPr>
                <w:b/>
                <w:color w:val="000000"/>
                <w:sz w:val="20"/>
                <w:szCs w:val="20"/>
              </w:rPr>
              <w:t>1,312</w:t>
            </w:r>
          </w:p>
        </w:tc>
        <w:tc>
          <w:tcPr>
            <w:tcW w:w="96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AC77E01" w14:textId="77777777" w:rsidR="005D6976" w:rsidRPr="005174D1" w:rsidRDefault="005D6976" w:rsidP="005D6976">
            <w:pPr>
              <w:jc w:val="center"/>
              <w:rPr>
                <w:sz w:val="20"/>
                <w:szCs w:val="20"/>
              </w:rPr>
            </w:pPr>
            <w:r w:rsidRPr="005174D1">
              <w:rPr>
                <w:b/>
                <w:color w:val="000000"/>
                <w:sz w:val="20"/>
                <w:szCs w:val="20"/>
              </w:rPr>
              <w:t>267,490</w:t>
            </w:r>
          </w:p>
        </w:tc>
        <w:tc>
          <w:tcPr>
            <w:tcW w:w="5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239D410" w14:textId="77777777" w:rsidR="005D6976" w:rsidRPr="005174D1" w:rsidRDefault="005D6976" w:rsidP="005D6976">
            <w:pPr>
              <w:jc w:val="center"/>
              <w:rPr>
                <w:sz w:val="20"/>
                <w:szCs w:val="20"/>
              </w:rPr>
            </w:pPr>
            <w:r w:rsidRPr="005174D1">
              <w:rPr>
                <w:b/>
                <w:color w:val="000000"/>
                <w:sz w:val="20"/>
                <w:szCs w:val="20"/>
              </w:rPr>
              <w:t>42.9</w:t>
            </w:r>
          </w:p>
        </w:tc>
        <w:tc>
          <w:tcPr>
            <w:tcW w:w="96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F8952A3" w14:textId="77777777" w:rsidR="005D6976" w:rsidRPr="005174D1" w:rsidRDefault="005D6976" w:rsidP="005D6976">
            <w:pPr>
              <w:jc w:val="center"/>
              <w:rPr>
                <w:sz w:val="20"/>
                <w:szCs w:val="20"/>
              </w:rPr>
            </w:pPr>
            <w:r w:rsidRPr="005174D1">
              <w:rPr>
                <w:b/>
                <w:color w:val="000000"/>
                <w:sz w:val="20"/>
                <w:szCs w:val="20"/>
              </w:rPr>
              <w:t>355,742</w:t>
            </w:r>
          </w:p>
        </w:tc>
        <w:tc>
          <w:tcPr>
            <w:tcW w:w="5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234157A" w14:textId="77777777" w:rsidR="005D6976" w:rsidRPr="005174D1" w:rsidRDefault="005D6976" w:rsidP="005D6976">
            <w:pPr>
              <w:jc w:val="center"/>
              <w:rPr>
                <w:sz w:val="20"/>
                <w:szCs w:val="20"/>
              </w:rPr>
            </w:pPr>
            <w:r w:rsidRPr="005174D1">
              <w:rPr>
                <w:b/>
                <w:color w:val="000000"/>
                <w:sz w:val="20"/>
                <w:szCs w:val="20"/>
              </w:rPr>
              <w:t>57.1</w:t>
            </w:r>
          </w:p>
        </w:tc>
        <w:tc>
          <w:tcPr>
            <w:tcW w:w="92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328B021" w14:textId="77777777" w:rsidR="005D6976" w:rsidRPr="005174D1" w:rsidRDefault="005D6976" w:rsidP="005D6976">
            <w:pPr>
              <w:jc w:val="center"/>
              <w:rPr>
                <w:sz w:val="20"/>
                <w:szCs w:val="20"/>
              </w:rPr>
            </w:pPr>
            <w:r w:rsidRPr="005174D1">
              <w:rPr>
                <w:b/>
                <w:color w:val="000000"/>
                <w:sz w:val="20"/>
                <w:szCs w:val="20"/>
              </w:rPr>
              <w:t>623,232</w:t>
            </w:r>
          </w:p>
        </w:tc>
      </w:tr>
      <w:tr w:rsidR="005D6976" w:rsidRPr="005174D1" w14:paraId="692B7298" w14:textId="77777777" w:rsidTr="005D6976">
        <w:trPr>
          <w:trHeight w:val="210"/>
        </w:trPr>
        <w:tc>
          <w:tcPr>
            <w:tcW w:w="177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77A4FCD5" w14:textId="77777777" w:rsidR="005D6976" w:rsidRPr="005174D1" w:rsidRDefault="005D6976" w:rsidP="005D6976">
            <w:pPr>
              <w:rPr>
                <w:sz w:val="20"/>
                <w:szCs w:val="20"/>
              </w:rPr>
            </w:pPr>
            <w:r w:rsidRPr="005174D1">
              <w:rPr>
                <w:color w:val="000000"/>
                <w:sz w:val="20"/>
                <w:szCs w:val="20"/>
              </w:rPr>
              <w:t>Small Business</w:t>
            </w:r>
          </w:p>
        </w:tc>
        <w:tc>
          <w:tcPr>
            <w:tcW w:w="7855" w:type="dxa"/>
            <w:gridSpan w:val="10"/>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F847FE7" w14:textId="77777777" w:rsidR="005D6976" w:rsidRPr="005174D1" w:rsidRDefault="005D6976" w:rsidP="005D6976">
            <w:pPr>
              <w:rPr>
                <w:sz w:val="20"/>
                <w:szCs w:val="20"/>
              </w:rPr>
            </w:pPr>
          </w:p>
        </w:tc>
      </w:tr>
      <w:tr w:rsidR="005D6976" w:rsidRPr="005174D1" w14:paraId="4CCEEA00" w14:textId="77777777" w:rsidTr="005D6976">
        <w:trPr>
          <w:trHeight w:val="181"/>
        </w:trPr>
        <w:tc>
          <w:tcPr>
            <w:tcW w:w="1775"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42D81B78" w14:textId="77777777" w:rsidR="005D6976" w:rsidRPr="005174D1" w:rsidRDefault="005D6976" w:rsidP="005D6976">
            <w:pPr>
              <w:jc w:val="right"/>
              <w:rPr>
                <w:sz w:val="20"/>
                <w:szCs w:val="20"/>
              </w:rPr>
            </w:pPr>
            <w:r w:rsidRPr="005174D1">
              <w:rPr>
                <w:color w:val="000000"/>
                <w:sz w:val="20"/>
                <w:szCs w:val="20"/>
              </w:rPr>
              <w:t>2017</w:t>
            </w:r>
          </w:p>
        </w:tc>
        <w:tc>
          <w:tcPr>
            <w:tcW w:w="90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7A293CC" w14:textId="77777777" w:rsidR="005D6976" w:rsidRPr="005174D1" w:rsidRDefault="005D6976" w:rsidP="005D6976">
            <w:pPr>
              <w:jc w:val="center"/>
              <w:rPr>
                <w:sz w:val="20"/>
                <w:szCs w:val="20"/>
              </w:rPr>
            </w:pPr>
            <w:r w:rsidRPr="005174D1">
              <w:rPr>
                <w:color w:val="000000"/>
                <w:sz w:val="20"/>
                <w:szCs w:val="20"/>
              </w:rPr>
              <w:t>144</w:t>
            </w:r>
          </w:p>
        </w:tc>
        <w:tc>
          <w:tcPr>
            <w:tcW w:w="5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30CE4B5" w14:textId="77777777" w:rsidR="005D6976" w:rsidRPr="005174D1" w:rsidRDefault="005D6976" w:rsidP="005D6976">
            <w:pPr>
              <w:jc w:val="center"/>
              <w:rPr>
                <w:sz w:val="20"/>
                <w:szCs w:val="20"/>
              </w:rPr>
            </w:pPr>
            <w:r w:rsidRPr="005174D1">
              <w:rPr>
                <w:color w:val="000000"/>
                <w:sz w:val="20"/>
                <w:szCs w:val="20"/>
              </w:rPr>
              <w:t>66.4</w:t>
            </w:r>
          </w:p>
        </w:tc>
        <w:tc>
          <w:tcPr>
            <w:tcW w:w="86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0AEC74D" w14:textId="77777777" w:rsidR="005D6976" w:rsidRPr="005174D1" w:rsidRDefault="005D6976" w:rsidP="005D6976">
            <w:pPr>
              <w:jc w:val="center"/>
              <w:rPr>
                <w:sz w:val="20"/>
                <w:szCs w:val="20"/>
              </w:rPr>
            </w:pPr>
            <w:r w:rsidRPr="005174D1">
              <w:rPr>
                <w:color w:val="000000"/>
                <w:sz w:val="20"/>
                <w:szCs w:val="20"/>
              </w:rPr>
              <w:t>73</w:t>
            </w:r>
          </w:p>
        </w:tc>
        <w:tc>
          <w:tcPr>
            <w:tcW w:w="5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C209CC2" w14:textId="77777777" w:rsidR="005D6976" w:rsidRPr="005174D1" w:rsidRDefault="005D6976" w:rsidP="005D6976">
            <w:pPr>
              <w:jc w:val="center"/>
              <w:rPr>
                <w:sz w:val="20"/>
                <w:szCs w:val="20"/>
              </w:rPr>
            </w:pPr>
            <w:r w:rsidRPr="005174D1">
              <w:rPr>
                <w:color w:val="000000"/>
                <w:sz w:val="20"/>
                <w:szCs w:val="20"/>
              </w:rPr>
              <w:t>33.6</w:t>
            </w:r>
          </w:p>
        </w:tc>
        <w:tc>
          <w:tcPr>
            <w:tcW w:w="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A2A7267" w14:textId="77777777" w:rsidR="005D6976" w:rsidRPr="005174D1" w:rsidRDefault="005D6976" w:rsidP="005D6976">
            <w:pPr>
              <w:jc w:val="center"/>
              <w:rPr>
                <w:sz w:val="20"/>
                <w:szCs w:val="20"/>
              </w:rPr>
            </w:pPr>
            <w:r w:rsidRPr="005174D1">
              <w:rPr>
                <w:color w:val="000000"/>
                <w:sz w:val="20"/>
                <w:szCs w:val="20"/>
              </w:rPr>
              <w:t>217</w:t>
            </w:r>
          </w:p>
        </w:tc>
        <w:tc>
          <w:tcPr>
            <w:tcW w:w="96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973AE8A" w14:textId="77777777" w:rsidR="005D6976" w:rsidRPr="005174D1" w:rsidRDefault="005D6976" w:rsidP="005D6976">
            <w:pPr>
              <w:jc w:val="center"/>
              <w:rPr>
                <w:sz w:val="20"/>
                <w:szCs w:val="20"/>
              </w:rPr>
            </w:pPr>
            <w:r w:rsidRPr="005174D1">
              <w:rPr>
                <w:color w:val="000000"/>
                <w:sz w:val="20"/>
                <w:szCs w:val="20"/>
              </w:rPr>
              <w:t>21,126</w:t>
            </w:r>
          </w:p>
        </w:tc>
        <w:tc>
          <w:tcPr>
            <w:tcW w:w="5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5FBA4CC" w14:textId="77777777" w:rsidR="005D6976" w:rsidRPr="005174D1" w:rsidRDefault="005D6976" w:rsidP="005D6976">
            <w:pPr>
              <w:jc w:val="center"/>
              <w:rPr>
                <w:sz w:val="20"/>
                <w:szCs w:val="20"/>
              </w:rPr>
            </w:pPr>
            <w:r w:rsidRPr="005174D1">
              <w:rPr>
                <w:color w:val="000000"/>
                <w:sz w:val="20"/>
                <w:szCs w:val="20"/>
              </w:rPr>
              <w:t>45.4</w:t>
            </w:r>
          </w:p>
        </w:tc>
        <w:tc>
          <w:tcPr>
            <w:tcW w:w="96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1EDF695" w14:textId="77777777" w:rsidR="005D6976" w:rsidRPr="005174D1" w:rsidRDefault="005D6976" w:rsidP="005D6976">
            <w:pPr>
              <w:jc w:val="center"/>
              <w:rPr>
                <w:sz w:val="20"/>
                <w:szCs w:val="20"/>
              </w:rPr>
            </w:pPr>
            <w:r w:rsidRPr="005174D1">
              <w:rPr>
                <w:color w:val="000000"/>
                <w:sz w:val="20"/>
                <w:szCs w:val="20"/>
              </w:rPr>
              <w:t>25,449</w:t>
            </w:r>
          </w:p>
        </w:tc>
        <w:tc>
          <w:tcPr>
            <w:tcW w:w="5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1198F1D" w14:textId="77777777" w:rsidR="005D6976" w:rsidRPr="005174D1" w:rsidRDefault="005D6976" w:rsidP="005D6976">
            <w:pPr>
              <w:jc w:val="center"/>
              <w:rPr>
                <w:sz w:val="20"/>
                <w:szCs w:val="20"/>
              </w:rPr>
            </w:pPr>
            <w:r w:rsidRPr="005174D1">
              <w:rPr>
                <w:color w:val="000000"/>
                <w:sz w:val="20"/>
                <w:szCs w:val="20"/>
              </w:rPr>
              <w:t>54.6</w:t>
            </w:r>
          </w:p>
        </w:tc>
        <w:tc>
          <w:tcPr>
            <w:tcW w:w="92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C943556" w14:textId="77777777" w:rsidR="005D6976" w:rsidRPr="005174D1" w:rsidRDefault="005D6976" w:rsidP="005D6976">
            <w:pPr>
              <w:jc w:val="center"/>
              <w:rPr>
                <w:sz w:val="20"/>
                <w:szCs w:val="20"/>
              </w:rPr>
            </w:pPr>
            <w:r w:rsidRPr="005174D1">
              <w:rPr>
                <w:color w:val="000000"/>
                <w:sz w:val="20"/>
                <w:szCs w:val="20"/>
              </w:rPr>
              <w:t>46,575</w:t>
            </w:r>
          </w:p>
        </w:tc>
      </w:tr>
      <w:tr w:rsidR="005D6976" w:rsidRPr="005174D1" w14:paraId="3B824850" w14:textId="77777777" w:rsidTr="005D6976">
        <w:trPr>
          <w:trHeight w:val="181"/>
        </w:trPr>
        <w:tc>
          <w:tcPr>
            <w:tcW w:w="1775"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38F3DFF6" w14:textId="77777777" w:rsidR="005D6976" w:rsidRPr="005174D1" w:rsidRDefault="005D6976" w:rsidP="005D6976">
            <w:pPr>
              <w:jc w:val="right"/>
              <w:rPr>
                <w:sz w:val="20"/>
                <w:szCs w:val="20"/>
              </w:rPr>
            </w:pPr>
            <w:r w:rsidRPr="005174D1">
              <w:rPr>
                <w:color w:val="000000"/>
                <w:sz w:val="20"/>
                <w:szCs w:val="20"/>
              </w:rPr>
              <w:t>2018</w:t>
            </w:r>
          </w:p>
        </w:tc>
        <w:tc>
          <w:tcPr>
            <w:tcW w:w="90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EE3B1A9" w14:textId="77777777" w:rsidR="005D6976" w:rsidRPr="005174D1" w:rsidRDefault="005D6976" w:rsidP="005D6976">
            <w:pPr>
              <w:jc w:val="center"/>
              <w:rPr>
                <w:sz w:val="20"/>
                <w:szCs w:val="20"/>
              </w:rPr>
            </w:pPr>
            <w:r w:rsidRPr="005174D1">
              <w:rPr>
                <w:color w:val="000000"/>
                <w:sz w:val="20"/>
                <w:szCs w:val="20"/>
              </w:rPr>
              <w:t>130</w:t>
            </w:r>
          </w:p>
        </w:tc>
        <w:tc>
          <w:tcPr>
            <w:tcW w:w="5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023A3AC" w14:textId="77777777" w:rsidR="005D6976" w:rsidRPr="005174D1" w:rsidRDefault="005D6976" w:rsidP="005D6976">
            <w:pPr>
              <w:jc w:val="center"/>
              <w:rPr>
                <w:sz w:val="20"/>
                <w:szCs w:val="20"/>
              </w:rPr>
            </w:pPr>
            <w:r w:rsidRPr="005174D1">
              <w:rPr>
                <w:color w:val="000000"/>
                <w:sz w:val="20"/>
                <w:szCs w:val="20"/>
              </w:rPr>
              <w:t>67.7</w:t>
            </w:r>
          </w:p>
        </w:tc>
        <w:tc>
          <w:tcPr>
            <w:tcW w:w="86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24AB9F3" w14:textId="77777777" w:rsidR="005D6976" w:rsidRPr="005174D1" w:rsidRDefault="005D6976" w:rsidP="005D6976">
            <w:pPr>
              <w:jc w:val="center"/>
              <w:rPr>
                <w:sz w:val="20"/>
                <w:szCs w:val="20"/>
              </w:rPr>
            </w:pPr>
            <w:r w:rsidRPr="005174D1">
              <w:rPr>
                <w:color w:val="000000"/>
                <w:sz w:val="20"/>
                <w:szCs w:val="20"/>
              </w:rPr>
              <w:t>62</w:t>
            </w:r>
          </w:p>
        </w:tc>
        <w:tc>
          <w:tcPr>
            <w:tcW w:w="5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7CC8F86" w14:textId="77777777" w:rsidR="005D6976" w:rsidRPr="005174D1" w:rsidRDefault="005D6976" w:rsidP="005D6976">
            <w:pPr>
              <w:jc w:val="center"/>
              <w:rPr>
                <w:sz w:val="20"/>
                <w:szCs w:val="20"/>
              </w:rPr>
            </w:pPr>
            <w:r w:rsidRPr="005174D1">
              <w:rPr>
                <w:color w:val="000000"/>
                <w:sz w:val="20"/>
                <w:szCs w:val="20"/>
              </w:rPr>
              <w:t>32.3</w:t>
            </w:r>
          </w:p>
        </w:tc>
        <w:tc>
          <w:tcPr>
            <w:tcW w:w="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DAACD4A" w14:textId="77777777" w:rsidR="005D6976" w:rsidRPr="005174D1" w:rsidRDefault="005D6976" w:rsidP="005D6976">
            <w:pPr>
              <w:jc w:val="center"/>
              <w:rPr>
                <w:sz w:val="20"/>
                <w:szCs w:val="20"/>
              </w:rPr>
            </w:pPr>
            <w:r w:rsidRPr="005174D1">
              <w:rPr>
                <w:color w:val="000000"/>
                <w:sz w:val="20"/>
                <w:szCs w:val="20"/>
              </w:rPr>
              <w:t>192</w:t>
            </w:r>
          </w:p>
        </w:tc>
        <w:tc>
          <w:tcPr>
            <w:tcW w:w="96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C925FE8" w14:textId="77777777" w:rsidR="005D6976" w:rsidRPr="005174D1" w:rsidRDefault="005D6976" w:rsidP="005D6976">
            <w:pPr>
              <w:jc w:val="center"/>
              <w:rPr>
                <w:sz w:val="20"/>
                <w:szCs w:val="20"/>
              </w:rPr>
            </w:pPr>
            <w:r w:rsidRPr="005174D1">
              <w:rPr>
                <w:color w:val="000000"/>
                <w:sz w:val="20"/>
                <w:szCs w:val="20"/>
              </w:rPr>
              <w:t>21,585</w:t>
            </w:r>
          </w:p>
        </w:tc>
        <w:tc>
          <w:tcPr>
            <w:tcW w:w="5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67620D1" w14:textId="77777777" w:rsidR="005D6976" w:rsidRPr="005174D1" w:rsidRDefault="005D6976" w:rsidP="005D6976">
            <w:pPr>
              <w:jc w:val="center"/>
              <w:rPr>
                <w:sz w:val="20"/>
                <w:szCs w:val="20"/>
              </w:rPr>
            </w:pPr>
            <w:r w:rsidRPr="005174D1">
              <w:rPr>
                <w:color w:val="000000"/>
                <w:sz w:val="20"/>
                <w:szCs w:val="20"/>
              </w:rPr>
              <w:t>46.7</w:t>
            </w:r>
          </w:p>
        </w:tc>
        <w:tc>
          <w:tcPr>
            <w:tcW w:w="96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CD5F474" w14:textId="77777777" w:rsidR="005D6976" w:rsidRPr="005174D1" w:rsidRDefault="005D6976" w:rsidP="005D6976">
            <w:pPr>
              <w:jc w:val="center"/>
              <w:rPr>
                <w:sz w:val="20"/>
                <w:szCs w:val="20"/>
              </w:rPr>
            </w:pPr>
            <w:r w:rsidRPr="005174D1">
              <w:rPr>
                <w:color w:val="000000"/>
                <w:sz w:val="20"/>
                <w:szCs w:val="20"/>
              </w:rPr>
              <w:t>24,588</w:t>
            </w:r>
          </w:p>
        </w:tc>
        <w:tc>
          <w:tcPr>
            <w:tcW w:w="5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70FC9CD" w14:textId="77777777" w:rsidR="005D6976" w:rsidRPr="005174D1" w:rsidRDefault="005D6976" w:rsidP="005D6976">
            <w:pPr>
              <w:jc w:val="center"/>
              <w:rPr>
                <w:sz w:val="20"/>
                <w:szCs w:val="20"/>
              </w:rPr>
            </w:pPr>
            <w:r w:rsidRPr="005174D1">
              <w:rPr>
                <w:color w:val="000000"/>
                <w:sz w:val="20"/>
                <w:szCs w:val="20"/>
              </w:rPr>
              <w:t>53.3</w:t>
            </w:r>
          </w:p>
        </w:tc>
        <w:tc>
          <w:tcPr>
            <w:tcW w:w="92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3BD9823" w14:textId="77777777" w:rsidR="005D6976" w:rsidRPr="005174D1" w:rsidRDefault="005D6976" w:rsidP="005D6976">
            <w:pPr>
              <w:jc w:val="center"/>
              <w:rPr>
                <w:sz w:val="20"/>
                <w:szCs w:val="20"/>
              </w:rPr>
            </w:pPr>
            <w:r w:rsidRPr="005174D1">
              <w:rPr>
                <w:color w:val="000000"/>
                <w:sz w:val="20"/>
                <w:szCs w:val="20"/>
              </w:rPr>
              <w:t>46,173</w:t>
            </w:r>
          </w:p>
        </w:tc>
      </w:tr>
      <w:tr w:rsidR="005D6976" w:rsidRPr="005174D1" w14:paraId="2A486E30" w14:textId="77777777" w:rsidTr="005D6976">
        <w:trPr>
          <w:trHeight w:val="181"/>
        </w:trPr>
        <w:tc>
          <w:tcPr>
            <w:tcW w:w="1775"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101CF77D" w14:textId="77777777" w:rsidR="005D6976" w:rsidRPr="005174D1" w:rsidRDefault="005D6976" w:rsidP="005D6976">
            <w:pPr>
              <w:jc w:val="right"/>
              <w:rPr>
                <w:sz w:val="20"/>
                <w:szCs w:val="20"/>
              </w:rPr>
            </w:pPr>
            <w:r w:rsidRPr="005174D1">
              <w:rPr>
                <w:color w:val="000000"/>
                <w:sz w:val="20"/>
                <w:szCs w:val="20"/>
              </w:rPr>
              <w:t>2019</w:t>
            </w:r>
          </w:p>
        </w:tc>
        <w:tc>
          <w:tcPr>
            <w:tcW w:w="90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24F2265" w14:textId="77777777" w:rsidR="005D6976" w:rsidRPr="005174D1" w:rsidRDefault="005D6976" w:rsidP="005D6976">
            <w:pPr>
              <w:jc w:val="center"/>
              <w:rPr>
                <w:sz w:val="20"/>
                <w:szCs w:val="20"/>
              </w:rPr>
            </w:pPr>
            <w:r w:rsidRPr="005174D1">
              <w:rPr>
                <w:color w:val="000000"/>
                <w:sz w:val="20"/>
                <w:szCs w:val="20"/>
              </w:rPr>
              <w:t>279</w:t>
            </w:r>
          </w:p>
        </w:tc>
        <w:tc>
          <w:tcPr>
            <w:tcW w:w="5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0E74811" w14:textId="77777777" w:rsidR="005D6976" w:rsidRPr="005174D1" w:rsidRDefault="005D6976" w:rsidP="005D6976">
            <w:pPr>
              <w:jc w:val="center"/>
              <w:rPr>
                <w:sz w:val="20"/>
                <w:szCs w:val="20"/>
              </w:rPr>
            </w:pPr>
            <w:r w:rsidRPr="005174D1">
              <w:rPr>
                <w:color w:val="000000"/>
                <w:sz w:val="20"/>
                <w:szCs w:val="20"/>
              </w:rPr>
              <w:t>81.1</w:t>
            </w:r>
          </w:p>
        </w:tc>
        <w:tc>
          <w:tcPr>
            <w:tcW w:w="86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3C4AA09" w14:textId="77777777" w:rsidR="005D6976" w:rsidRPr="005174D1" w:rsidRDefault="005D6976" w:rsidP="005D6976">
            <w:pPr>
              <w:jc w:val="center"/>
              <w:rPr>
                <w:sz w:val="20"/>
                <w:szCs w:val="20"/>
              </w:rPr>
            </w:pPr>
            <w:r w:rsidRPr="005174D1">
              <w:rPr>
                <w:color w:val="000000"/>
                <w:sz w:val="20"/>
                <w:szCs w:val="20"/>
              </w:rPr>
              <w:t>65</w:t>
            </w:r>
          </w:p>
        </w:tc>
        <w:tc>
          <w:tcPr>
            <w:tcW w:w="5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ABC10D5" w14:textId="77777777" w:rsidR="005D6976" w:rsidRPr="005174D1" w:rsidRDefault="005D6976" w:rsidP="005D6976">
            <w:pPr>
              <w:jc w:val="center"/>
              <w:rPr>
                <w:sz w:val="20"/>
                <w:szCs w:val="20"/>
              </w:rPr>
            </w:pPr>
            <w:r w:rsidRPr="005174D1">
              <w:rPr>
                <w:color w:val="000000"/>
                <w:sz w:val="20"/>
                <w:szCs w:val="20"/>
              </w:rPr>
              <w:t>18.9</w:t>
            </w:r>
          </w:p>
        </w:tc>
        <w:tc>
          <w:tcPr>
            <w:tcW w:w="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BDE9511" w14:textId="77777777" w:rsidR="005D6976" w:rsidRPr="005174D1" w:rsidRDefault="005D6976" w:rsidP="005D6976">
            <w:pPr>
              <w:jc w:val="center"/>
              <w:rPr>
                <w:sz w:val="20"/>
                <w:szCs w:val="20"/>
              </w:rPr>
            </w:pPr>
            <w:r w:rsidRPr="005174D1">
              <w:rPr>
                <w:color w:val="000000"/>
                <w:sz w:val="20"/>
                <w:szCs w:val="20"/>
              </w:rPr>
              <w:t>344</w:t>
            </w:r>
          </w:p>
        </w:tc>
        <w:tc>
          <w:tcPr>
            <w:tcW w:w="96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5099747" w14:textId="77777777" w:rsidR="005D6976" w:rsidRPr="005174D1" w:rsidRDefault="005D6976" w:rsidP="005D6976">
            <w:pPr>
              <w:jc w:val="center"/>
              <w:rPr>
                <w:sz w:val="20"/>
                <w:szCs w:val="20"/>
              </w:rPr>
            </w:pPr>
            <w:r w:rsidRPr="005174D1">
              <w:rPr>
                <w:color w:val="000000"/>
                <w:sz w:val="20"/>
                <w:szCs w:val="20"/>
              </w:rPr>
              <w:t>28,043</w:t>
            </w:r>
          </w:p>
        </w:tc>
        <w:tc>
          <w:tcPr>
            <w:tcW w:w="5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BFD3A0F" w14:textId="77777777" w:rsidR="005D6976" w:rsidRPr="005174D1" w:rsidRDefault="005D6976" w:rsidP="005D6976">
            <w:pPr>
              <w:jc w:val="center"/>
              <w:rPr>
                <w:sz w:val="20"/>
                <w:szCs w:val="20"/>
              </w:rPr>
            </w:pPr>
            <w:r w:rsidRPr="005174D1">
              <w:rPr>
                <w:color w:val="000000"/>
                <w:sz w:val="20"/>
                <w:szCs w:val="20"/>
              </w:rPr>
              <w:t>53.7</w:t>
            </w:r>
          </w:p>
        </w:tc>
        <w:tc>
          <w:tcPr>
            <w:tcW w:w="96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CA9454A" w14:textId="77777777" w:rsidR="005D6976" w:rsidRPr="005174D1" w:rsidRDefault="005D6976" w:rsidP="005D6976">
            <w:pPr>
              <w:jc w:val="center"/>
              <w:rPr>
                <w:sz w:val="20"/>
                <w:szCs w:val="20"/>
              </w:rPr>
            </w:pPr>
            <w:r w:rsidRPr="005174D1">
              <w:rPr>
                <w:color w:val="000000"/>
                <w:sz w:val="20"/>
                <w:szCs w:val="20"/>
              </w:rPr>
              <w:t>24,192</w:t>
            </w:r>
          </w:p>
        </w:tc>
        <w:tc>
          <w:tcPr>
            <w:tcW w:w="5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4D3FAD4" w14:textId="77777777" w:rsidR="005D6976" w:rsidRPr="005174D1" w:rsidRDefault="005D6976" w:rsidP="005D6976">
            <w:pPr>
              <w:jc w:val="center"/>
              <w:rPr>
                <w:sz w:val="20"/>
                <w:szCs w:val="20"/>
              </w:rPr>
            </w:pPr>
            <w:r w:rsidRPr="005174D1">
              <w:rPr>
                <w:color w:val="000000"/>
                <w:sz w:val="20"/>
                <w:szCs w:val="20"/>
              </w:rPr>
              <w:t>46.3</w:t>
            </w:r>
          </w:p>
        </w:tc>
        <w:tc>
          <w:tcPr>
            <w:tcW w:w="92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34A73C8" w14:textId="77777777" w:rsidR="005D6976" w:rsidRPr="005174D1" w:rsidRDefault="005D6976" w:rsidP="005D6976">
            <w:pPr>
              <w:jc w:val="center"/>
              <w:rPr>
                <w:sz w:val="20"/>
                <w:szCs w:val="20"/>
              </w:rPr>
            </w:pPr>
            <w:r w:rsidRPr="005174D1">
              <w:rPr>
                <w:color w:val="000000"/>
                <w:sz w:val="20"/>
                <w:szCs w:val="20"/>
              </w:rPr>
              <w:t>52,235</w:t>
            </w:r>
          </w:p>
        </w:tc>
      </w:tr>
      <w:tr w:rsidR="005D6976" w:rsidRPr="005174D1" w14:paraId="4DB5A2D7" w14:textId="77777777" w:rsidTr="005D6976">
        <w:trPr>
          <w:trHeight w:val="210"/>
        </w:trPr>
        <w:tc>
          <w:tcPr>
            <w:tcW w:w="177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37B7F98F" w14:textId="77777777" w:rsidR="005D6976" w:rsidRPr="005174D1" w:rsidRDefault="005D6976" w:rsidP="005D6976">
            <w:pPr>
              <w:rPr>
                <w:sz w:val="20"/>
                <w:szCs w:val="20"/>
              </w:rPr>
            </w:pPr>
            <w:r w:rsidRPr="005174D1">
              <w:rPr>
                <w:b/>
                <w:color w:val="000000"/>
                <w:sz w:val="20"/>
                <w:szCs w:val="20"/>
              </w:rPr>
              <w:t>Subtotal</w:t>
            </w:r>
          </w:p>
        </w:tc>
        <w:tc>
          <w:tcPr>
            <w:tcW w:w="90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7EDBFCA" w14:textId="77777777" w:rsidR="005D6976" w:rsidRPr="005174D1" w:rsidRDefault="005D6976" w:rsidP="005D6976">
            <w:pPr>
              <w:jc w:val="center"/>
              <w:rPr>
                <w:sz w:val="20"/>
                <w:szCs w:val="20"/>
              </w:rPr>
            </w:pPr>
            <w:r w:rsidRPr="005174D1">
              <w:rPr>
                <w:b/>
                <w:color w:val="000000"/>
                <w:sz w:val="20"/>
                <w:szCs w:val="20"/>
              </w:rPr>
              <w:t>553</w:t>
            </w:r>
          </w:p>
        </w:tc>
        <w:tc>
          <w:tcPr>
            <w:tcW w:w="5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6E35DE1" w14:textId="77777777" w:rsidR="005D6976" w:rsidRPr="005174D1" w:rsidRDefault="005D6976" w:rsidP="005D6976">
            <w:pPr>
              <w:jc w:val="center"/>
              <w:rPr>
                <w:sz w:val="20"/>
                <w:szCs w:val="20"/>
              </w:rPr>
            </w:pPr>
            <w:r w:rsidRPr="005174D1">
              <w:rPr>
                <w:b/>
                <w:color w:val="000000"/>
                <w:sz w:val="20"/>
                <w:szCs w:val="20"/>
              </w:rPr>
              <w:t>73.4</w:t>
            </w:r>
          </w:p>
        </w:tc>
        <w:tc>
          <w:tcPr>
            <w:tcW w:w="86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B95751A" w14:textId="77777777" w:rsidR="005D6976" w:rsidRPr="005174D1" w:rsidRDefault="005D6976" w:rsidP="005D6976">
            <w:pPr>
              <w:jc w:val="center"/>
              <w:rPr>
                <w:sz w:val="20"/>
                <w:szCs w:val="20"/>
              </w:rPr>
            </w:pPr>
            <w:r w:rsidRPr="005174D1">
              <w:rPr>
                <w:b/>
                <w:color w:val="000000"/>
                <w:sz w:val="20"/>
                <w:szCs w:val="20"/>
              </w:rPr>
              <w:t>200</w:t>
            </w:r>
          </w:p>
        </w:tc>
        <w:tc>
          <w:tcPr>
            <w:tcW w:w="5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FBA43A7" w14:textId="77777777" w:rsidR="005D6976" w:rsidRPr="005174D1" w:rsidRDefault="005D6976" w:rsidP="005D6976">
            <w:pPr>
              <w:jc w:val="center"/>
              <w:rPr>
                <w:sz w:val="20"/>
                <w:szCs w:val="20"/>
              </w:rPr>
            </w:pPr>
            <w:r w:rsidRPr="005174D1">
              <w:rPr>
                <w:b/>
                <w:color w:val="000000"/>
                <w:sz w:val="20"/>
                <w:szCs w:val="20"/>
              </w:rPr>
              <w:t>26.6</w:t>
            </w:r>
          </w:p>
        </w:tc>
        <w:tc>
          <w:tcPr>
            <w:tcW w:w="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7C25C5F" w14:textId="77777777" w:rsidR="005D6976" w:rsidRPr="005174D1" w:rsidRDefault="005D6976" w:rsidP="005D6976">
            <w:pPr>
              <w:jc w:val="center"/>
              <w:rPr>
                <w:sz w:val="20"/>
                <w:szCs w:val="20"/>
              </w:rPr>
            </w:pPr>
            <w:r w:rsidRPr="005174D1">
              <w:rPr>
                <w:b/>
                <w:color w:val="000000"/>
                <w:sz w:val="20"/>
                <w:szCs w:val="20"/>
              </w:rPr>
              <w:t>753</w:t>
            </w:r>
          </w:p>
        </w:tc>
        <w:tc>
          <w:tcPr>
            <w:tcW w:w="96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65E8858" w14:textId="77777777" w:rsidR="005D6976" w:rsidRPr="005174D1" w:rsidRDefault="005D6976" w:rsidP="005D6976">
            <w:pPr>
              <w:jc w:val="center"/>
              <w:rPr>
                <w:sz w:val="20"/>
                <w:szCs w:val="20"/>
              </w:rPr>
            </w:pPr>
            <w:r w:rsidRPr="005174D1">
              <w:rPr>
                <w:b/>
                <w:color w:val="000000"/>
                <w:sz w:val="20"/>
                <w:szCs w:val="20"/>
              </w:rPr>
              <w:t>70,754</w:t>
            </w:r>
          </w:p>
        </w:tc>
        <w:tc>
          <w:tcPr>
            <w:tcW w:w="5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3A17E06" w14:textId="77777777" w:rsidR="005D6976" w:rsidRPr="005174D1" w:rsidRDefault="005D6976" w:rsidP="005D6976">
            <w:pPr>
              <w:jc w:val="center"/>
              <w:rPr>
                <w:sz w:val="20"/>
                <w:szCs w:val="20"/>
              </w:rPr>
            </w:pPr>
            <w:r w:rsidRPr="005174D1">
              <w:rPr>
                <w:b/>
                <w:color w:val="000000"/>
                <w:sz w:val="20"/>
                <w:szCs w:val="20"/>
              </w:rPr>
              <w:t>48.8</w:t>
            </w:r>
          </w:p>
        </w:tc>
        <w:tc>
          <w:tcPr>
            <w:tcW w:w="96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56C6ECA" w14:textId="77777777" w:rsidR="005D6976" w:rsidRPr="005174D1" w:rsidRDefault="005D6976" w:rsidP="005D6976">
            <w:pPr>
              <w:jc w:val="center"/>
              <w:rPr>
                <w:sz w:val="20"/>
                <w:szCs w:val="20"/>
              </w:rPr>
            </w:pPr>
            <w:r w:rsidRPr="005174D1">
              <w:rPr>
                <w:b/>
                <w:color w:val="000000"/>
                <w:sz w:val="20"/>
                <w:szCs w:val="20"/>
              </w:rPr>
              <w:t>74,229</w:t>
            </w:r>
          </w:p>
        </w:tc>
        <w:tc>
          <w:tcPr>
            <w:tcW w:w="5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BE32795" w14:textId="77777777" w:rsidR="005D6976" w:rsidRPr="005174D1" w:rsidRDefault="005D6976" w:rsidP="005D6976">
            <w:pPr>
              <w:jc w:val="center"/>
              <w:rPr>
                <w:sz w:val="20"/>
                <w:szCs w:val="20"/>
              </w:rPr>
            </w:pPr>
            <w:r w:rsidRPr="005174D1">
              <w:rPr>
                <w:b/>
                <w:color w:val="000000"/>
                <w:sz w:val="20"/>
                <w:szCs w:val="20"/>
              </w:rPr>
              <w:t>51.2</w:t>
            </w:r>
          </w:p>
        </w:tc>
        <w:tc>
          <w:tcPr>
            <w:tcW w:w="92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4723DB2" w14:textId="77777777" w:rsidR="005D6976" w:rsidRPr="005174D1" w:rsidRDefault="005D6976" w:rsidP="005D6976">
            <w:pPr>
              <w:jc w:val="center"/>
              <w:rPr>
                <w:sz w:val="20"/>
                <w:szCs w:val="20"/>
              </w:rPr>
            </w:pPr>
            <w:r w:rsidRPr="005174D1">
              <w:rPr>
                <w:b/>
                <w:color w:val="000000"/>
                <w:sz w:val="20"/>
                <w:szCs w:val="20"/>
              </w:rPr>
              <w:t>144,983</w:t>
            </w:r>
          </w:p>
        </w:tc>
      </w:tr>
      <w:tr w:rsidR="005D6976" w:rsidRPr="005174D1" w14:paraId="4BF8DFEC" w14:textId="77777777" w:rsidTr="005D6976">
        <w:trPr>
          <w:trHeight w:val="210"/>
        </w:trPr>
        <w:tc>
          <w:tcPr>
            <w:tcW w:w="177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4C34EF64" w14:textId="77777777" w:rsidR="005D6976" w:rsidRPr="005174D1" w:rsidRDefault="005D6976" w:rsidP="005D6976">
            <w:pPr>
              <w:rPr>
                <w:sz w:val="20"/>
                <w:szCs w:val="20"/>
              </w:rPr>
            </w:pPr>
            <w:r w:rsidRPr="005174D1">
              <w:rPr>
                <w:b/>
                <w:color w:val="000000"/>
                <w:sz w:val="20"/>
                <w:szCs w:val="20"/>
              </w:rPr>
              <w:t>Total</w:t>
            </w:r>
          </w:p>
        </w:tc>
        <w:tc>
          <w:tcPr>
            <w:tcW w:w="90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5D0AEA4" w14:textId="77777777" w:rsidR="005D6976" w:rsidRPr="005174D1" w:rsidRDefault="005D6976" w:rsidP="005D6976">
            <w:pPr>
              <w:jc w:val="center"/>
              <w:rPr>
                <w:sz w:val="20"/>
                <w:szCs w:val="20"/>
              </w:rPr>
            </w:pPr>
            <w:r w:rsidRPr="005174D1">
              <w:rPr>
                <w:b/>
                <w:color w:val="000000"/>
                <w:sz w:val="20"/>
                <w:szCs w:val="20"/>
              </w:rPr>
              <w:t>1,237</w:t>
            </w:r>
          </w:p>
        </w:tc>
        <w:tc>
          <w:tcPr>
            <w:tcW w:w="5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1C87EDA" w14:textId="77777777" w:rsidR="005D6976" w:rsidRPr="005174D1" w:rsidRDefault="005D6976" w:rsidP="005D6976">
            <w:pPr>
              <w:jc w:val="center"/>
              <w:rPr>
                <w:sz w:val="20"/>
                <w:szCs w:val="20"/>
              </w:rPr>
            </w:pPr>
            <w:r w:rsidRPr="005174D1">
              <w:rPr>
                <w:b/>
                <w:color w:val="000000"/>
                <w:sz w:val="20"/>
                <w:szCs w:val="20"/>
              </w:rPr>
              <w:t>59.9</w:t>
            </w:r>
          </w:p>
        </w:tc>
        <w:tc>
          <w:tcPr>
            <w:tcW w:w="86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3B750A8" w14:textId="77777777" w:rsidR="005D6976" w:rsidRPr="005174D1" w:rsidRDefault="005D6976" w:rsidP="005D6976">
            <w:pPr>
              <w:jc w:val="center"/>
              <w:rPr>
                <w:sz w:val="20"/>
                <w:szCs w:val="20"/>
              </w:rPr>
            </w:pPr>
            <w:r w:rsidRPr="005174D1">
              <w:rPr>
                <w:b/>
                <w:color w:val="000000"/>
                <w:sz w:val="20"/>
                <w:szCs w:val="20"/>
              </w:rPr>
              <w:t>828</w:t>
            </w:r>
          </w:p>
        </w:tc>
        <w:tc>
          <w:tcPr>
            <w:tcW w:w="5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A9E003D" w14:textId="77777777" w:rsidR="005D6976" w:rsidRPr="005174D1" w:rsidRDefault="005D6976" w:rsidP="005D6976">
            <w:pPr>
              <w:jc w:val="center"/>
              <w:rPr>
                <w:sz w:val="20"/>
                <w:szCs w:val="20"/>
              </w:rPr>
            </w:pPr>
            <w:r w:rsidRPr="005174D1">
              <w:rPr>
                <w:b/>
                <w:color w:val="000000"/>
                <w:sz w:val="20"/>
                <w:szCs w:val="20"/>
              </w:rPr>
              <w:t>40.1</w:t>
            </w:r>
          </w:p>
        </w:tc>
        <w:tc>
          <w:tcPr>
            <w:tcW w:w="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A7C21BE" w14:textId="77777777" w:rsidR="005D6976" w:rsidRPr="005174D1" w:rsidRDefault="005D6976" w:rsidP="005D6976">
            <w:pPr>
              <w:jc w:val="center"/>
              <w:rPr>
                <w:sz w:val="20"/>
                <w:szCs w:val="20"/>
              </w:rPr>
            </w:pPr>
            <w:r w:rsidRPr="005174D1">
              <w:rPr>
                <w:b/>
                <w:color w:val="000000"/>
                <w:sz w:val="20"/>
                <w:szCs w:val="20"/>
              </w:rPr>
              <w:t>2,065</w:t>
            </w:r>
          </w:p>
        </w:tc>
        <w:tc>
          <w:tcPr>
            <w:tcW w:w="96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72739FC" w14:textId="77777777" w:rsidR="005D6976" w:rsidRPr="005174D1" w:rsidRDefault="005D6976" w:rsidP="005D6976">
            <w:pPr>
              <w:jc w:val="center"/>
              <w:rPr>
                <w:sz w:val="20"/>
                <w:szCs w:val="20"/>
              </w:rPr>
            </w:pPr>
            <w:r w:rsidRPr="005174D1">
              <w:rPr>
                <w:b/>
                <w:color w:val="000000"/>
                <w:sz w:val="20"/>
                <w:szCs w:val="20"/>
              </w:rPr>
              <w:t>338,244</w:t>
            </w:r>
          </w:p>
        </w:tc>
        <w:tc>
          <w:tcPr>
            <w:tcW w:w="5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6E848B9" w14:textId="77777777" w:rsidR="005D6976" w:rsidRPr="005174D1" w:rsidRDefault="005D6976" w:rsidP="005D6976">
            <w:pPr>
              <w:jc w:val="center"/>
              <w:rPr>
                <w:sz w:val="20"/>
                <w:szCs w:val="20"/>
              </w:rPr>
            </w:pPr>
            <w:r w:rsidRPr="005174D1">
              <w:rPr>
                <w:b/>
                <w:color w:val="000000"/>
                <w:sz w:val="20"/>
                <w:szCs w:val="20"/>
              </w:rPr>
              <w:t>44.0</w:t>
            </w:r>
          </w:p>
        </w:tc>
        <w:tc>
          <w:tcPr>
            <w:tcW w:w="96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83AA252" w14:textId="77777777" w:rsidR="005D6976" w:rsidRPr="005174D1" w:rsidRDefault="005D6976" w:rsidP="005D6976">
            <w:pPr>
              <w:jc w:val="center"/>
              <w:rPr>
                <w:sz w:val="20"/>
                <w:szCs w:val="20"/>
              </w:rPr>
            </w:pPr>
            <w:r w:rsidRPr="005174D1">
              <w:rPr>
                <w:b/>
                <w:color w:val="000000"/>
                <w:sz w:val="20"/>
                <w:szCs w:val="20"/>
              </w:rPr>
              <w:t>429,971</w:t>
            </w:r>
          </w:p>
        </w:tc>
        <w:tc>
          <w:tcPr>
            <w:tcW w:w="5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C71F7B6" w14:textId="77777777" w:rsidR="005D6976" w:rsidRPr="005174D1" w:rsidRDefault="005D6976" w:rsidP="005D6976">
            <w:pPr>
              <w:jc w:val="center"/>
              <w:rPr>
                <w:sz w:val="20"/>
                <w:szCs w:val="20"/>
              </w:rPr>
            </w:pPr>
            <w:r w:rsidRPr="005174D1">
              <w:rPr>
                <w:b/>
                <w:color w:val="000000"/>
                <w:sz w:val="20"/>
                <w:szCs w:val="20"/>
              </w:rPr>
              <w:t>56.0</w:t>
            </w:r>
          </w:p>
        </w:tc>
        <w:tc>
          <w:tcPr>
            <w:tcW w:w="92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B38C560" w14:textId="77777777" w:rsidR="005D6976" w:rsidRPr="005174D1" w:rsidRDefault="005D6976" w:rsidP="005D6976">
            <w:pPr>
              <w:jc w:val="center"/>
              <w:rPr>
                <w:sz w:val="20"/>
                <w:szCs w:val="20"/>
              </w:rPr>
            </w:pPr>
            <w:r w:rsidRPr="005174D1">
              <w:rPr>
                <w:b/>
                <w:color w:val="000000"/>
                <w:sz w:val="20"/>
                <w:szCs w:val="20"/>
              </w:rPr>
              <w:t>768,215</w:t>
            </w:r>
          </w:p>
        </w:tc>
      </w:tr>
      <w:tr w:rsidR="005D6976" w:rsidRPr="005174D1" w14:paraId="52922D3A" w14:textId="77777777" w:rsidTr="005D6976">
        <w:trPr>
          <w:trHeight w:val="392"/>
        </w:trPr>
        <w:tc>
          <w:tcPr>
            <w:tcW w:w="9630" w:type="dxa"/>
            <w:gridSpan w:val="11"/>
            <w:tcBorders>
              <w:top w:val="single" w:sz="7" w:space="0" w:color="000000"/>
              <w:left w:val="single" w:sz="7" w:space="0" w:color="000000"/>
              <w:bottom w:val="single" w:sz="7" w:space="0" w:color="000000"/>
              <w:right w:val="single" w:sz="7" w:space="0" w:color="000000"/>
            </w:tcBorders>
            <w:tcMar>
              <w:top w:w="59" w:type="dxa"/>
              <w:left w:w="39" w:type="dxa"/>
              <w:bottom w:w="39" w:type="dxa"/>
              <w:right w:w="39" w:type="dxa"/>
            </w:tcMar>
          </w:tcPr>
          <w:p w14:paraId="25B337E1" w14:textId="77777777" w:rsidR="005D6976" w:rsidRPr="005174D1" w:rsidRDefault="005D6976" w:rsidP="005D6976">
            <w:pPr>
              <w:rPr>
                <w:sz w:val="20"/>
                <w:szCs w:val="20"/>
              </w:rPr>
            </w:pPr>
            <w:r w:rsidRPr="005174D1">
              <w:rPr>
                <w:i/>
                <w:color w:val="000000"/>
                <w:sz w:val="16"/>
                <w:szCs w:val="20"/>
              </w:rPr>
              <w:t>Source: Evaluation Period: 1/1/2017 - 12/31/2019 Bank Data</w:t>
            </w:r>
          </w:p>
          <w:p w14:paraId="67736FBA" w14:textId="77777777" w:rsidR="005D6976" w:rsidRPr="005174D1" w:rsidRDefault="005D6976" w:rsidP="005D6976">
            <w:pPr>
              <w:rPr>
                <w:sz w:val="20"/>
                <w:szCs w:val="20"/>
              </w:rPr>
            </w:pPr>
            <w:r w:rsidRPr="005174D1">
              <w:rPr>
                <w:i/>
                <w:color w:val="000000"/>
                <w:sz w:val="16"/>
                <w:szCs w:val="20"/>
              </w:rPr>
              <w:t>Due to rounding, totals may not equal 100.0</w:t>
            </w:r>
          </w:p>
        </w:tc>
      </w:tr>
    </w:tbl>
    <w:p w14:paraId="5DE41C8A" w14:textId="45682F5D" w:rsidR="00BF1E4B" w:rsidRDefault="00BF1E4B" w:rsidP="005D6976">
      <w:pPr>
        <w:ind w:right="-270"/>
        <w:rPr>
          <w:iCs/>
        </w:rPr>
      </w:pPr>
    </w:p>
    <w:p w14:paraId="61CD63C8" w14:textId="77777777" w:rsidR="00784D90" w:rsidRPr="008D6B18" w:rsidRDefault="00784D90" w:rsidP="00784D90">
      <w:pPr>
        <w:ind w:right="-270"/>
        <w:rPr>
          <w:b/>
          <w:bCs/>
          <w:color w:val="000000"/>
          <w:u w:val="single"/>
        </w:rPr>
      </w:pPr>
      <w:r w:rsidRPr="008D6B18">
        <w:rPr>
          <w:b/>
          <w:bCs/>
          <w:color w:val="000000"/>
          <w:u w:val="single"/>
        </w:rPr>
        <w:t>Geographic Distribution</w:t>
      </w:r>
    </w:p>
    <w:p w14:paraId="1F79CA8C" w14:textId="77777777" w:rsidR="00784D90" w:rsidRDefault="00784D90" w:rsidP="00784D90">
      <w:pPr>
        <w:contextualSpacing/>
      </w:pPr>
    </w:p>
    <w:p w14:paraId="5F64CF21" w14:textId="277A8701" w:rsidR="00BE3CEF" w:rsidRPr="00BF7B86" w:rsidRDefault="00BE3CEF" w:rsidP="004F0824">
      <w:pPr>
        <w:rPr>
          <w:b/>
          <w:bCs/>
          <w:snapToGrid w:val="0"/>
        </w:rPr>
      </w:pPr>
      <w:r w:rsidRPr="00BF7B86">
        <w:rPr>
          <w:snapToGrid w:val="0"/>
        </w:rPr>
        <w:t>The geographic distribution of loans reflects</w:t>
      </w:r>
      <w:r w:rsidR="00DD161B">
        <w:rPr>
          <w:snapToGrid w:val="0"/>
        </w:rPr>
        <w:t xml:space="preserve"> </w:t>
      </w:r>
      <w:r w:rsidR="00D52F86">
        <w:rPr>
          <w:snapToGrid w:val="0"/>
        </w:rPr>
        <w:t xml:space="preserve">adequate </w:t>
      </w:r>
      <w:r w:rsidRPr="00BF7B86">
        <w:rPr>
          <w:snapToGrid w:val="0"/>
        </w:rPr>
        <w:t xml:space="preserve">penetration throughout the assessment area.  </w:t>
      </w:r>
    </w:p>
    <w:p w14:paraId="634ABB32" w14:textId="77777777" w:rsidR="00BE3CEF" w:rsidRDefault="00BE3CEF" w:rsidP="00784D90">
      <w:pPr>
        <w:contextualSpacing/>
        <w:rPr>
          <w:bCs/>
        </w:rPr>
      </w:pPr>
    </w:p>
    <w:p w14:paraId="1E5C1D00" w14:textId="45C6ED97" w:rsidR="00784D90" w:rsidRDefault="00784D90" w:rsidP="00784D90">
      <w:pPr>
        <w:contextualSpacing/>
        <w:rPr>
          <w:bCs/>
        </w:rPr>
      </w:pPr>
      <w:r w:rsidRPr="00C65585">
        <w:rPr>
          <w:bCs/>
        </w:rPr>
        <w:t>The geographic distributi</w:t>
      </w:r>
      <w:r>
        <w:rPr>
          <w:bCs/>
        </w:rPr>
        <w:t xml:space="preserve">on of </w:t>
      </w:r>
      <w:r w:rsidR="001C45E8">
        <w:rPr>
          <w:bCs/>
        </w:rPr>
        <w:t xml:space="preserve">home mortgage loans </w:t>
      </w:r>
      <w:r>
        <w:rPr>
          <w:bCs/>
        </w:rPr>
        <w:t>reflects adequate penetration</w:t>
      </w:r>
      <w:r w:rsidRPr="00C65585">
        <w:rPr>
          <w:bCs/>
        </w:rPr>
        <w:t xml:space="preserve"> </w:t>
      </w:r>
      <w:r>
        <w:rPr>
          <w:bCs/>
        </w:rPr>
        <w:t>and</w:t>
      </w:r>
      <w:r w:rsidR="00A75CB5">
        <w:rPr>
          <w:bCs/>
        </w:rPr>
        <w:t xml:space="preserve"> poor penetration of</w:t>
      </w:r>
      <w:r>
        <w:rPr>
          <w:bCs/>
        </w:rPr>
        <w:t xml:space="preserve"> </w:t>
      </w:r>
      <w:r w:rsidR="001C45E8">
        <w:rPr>
          <w:bCs/>
        </w:rPr>
        <w:t xml:space="preserve">small business </w:t>
      </w:r>
      <w:r w:rsidR="00A75CB5">
        <w:rPr>
          <w:bCs/>
        </w:rPr>
        <w:t>loans</w:t>
      </w:r>
      <w:r>
        <w:rPr>
          <w:bCs/>
        </w:rPr>
        <w:t xml:space="preserve"> </w:t>
      </w:r>
      <w:r w:rsidRPr="00C65585">
        <w:rPr>
          <w:bCs/>
        </w:rPr>
        <w:t>throughout the assessment area</w:t>
      </w:r>
      <w:r w:rsidR="00CC6CBF">
        <w:rPr>
          <w:bCs/>
        </w:rPr>
        <w:t xml:space="preserve">.  </w:t>
      </w:r>
      <w:r w:rsidRPr="00CC6CBF">
        <w:rPr>
          <w:bCs/>
        </w:rPr>
        <w:t>Exa</w:t>
      </w:r>
      <w:r w:rsidRPr="00C65585">
        <w:rPr>
          <w:bCs/>
        </w:rPr>
        <w:t>miners focused on the percentage</w:t>
      </w:r>
      <w:r>
        <w:rPr>
          <w:bCs/>
        </w:rPr>
        <w:t xml:space="preserve"> of loans,</w:t>
      </w:r>
      <w:r w:rsidRPr="00C65585">
        <w:rPr>
          <w:bCs/>
        </w:rPr>
        <w:t xml:space="preserve"> by number</w:t>
      </w:r>
      <w:r>
        <w:rPr>
          <w:bCs/>
        </w:rPr>
        <w:t>, originated in low-and moderate-income geographies.</w:t>
      </w:r>
    </w:p>
    <w:p w14:paraId="4ED14F0F" w14:textId="56D682F6" w:rsidR="00784D90" w:rsidRDefault="00784D90" w:rsidP="00784D90">
      <w:pPr>
        <w:contextualSpacing/>
      </w:pPr>
    </w:p>
    <w:p w14:paraId="46467C8B" w14:textId="77777777" w:rsidR="000A287D" w:rsidRDefault="000A287D" w:rsidP="00784D90">
      <w:pPr>
        <w:contextualSpacing/>
        <w:rPr>
          <w:b/>
          <w:i/>
        </w:rPr>
      </w:pPr>
    </w:p>
    <w:p w14:paraId="4ED2C5EB" w14:textId="461F9FE9" w:rsidR="00784D90" w:rsidRPr="00E81E4C" w:rsidRDefault="00784D90" w:rsidP="00784D90">
      <w:pPr>
        <w:contextualSpacing/>
        <w:rPr>
          <w:b/>
          <w:i/>
        </w:rPr>
      </w:pPr>
      <w:r w:rsidRPr="00E81E4C">
        <w:rPr>
          <w:b/>
          <w:i/>
        </w:rPr>
        <w:t>Home Mortgage Loans</w:t>
      </w:r>
    </w:p>
    <w:p w14:paraId="06FFAF8D" w14:textId="4167C08F" w:rsidR="00784D90" w:rsidRDefault="00784D90" w:rsidP="00784D90">
      <w:pPr>
        <w:contextualSpacing/>
      </w:pPr>
      <w:r w:rsidRPr="001D53A2">
        <w:rPr>
          <w:bCs/>
        </w:rPr>
        <w:t>The geographic distribution of home mortgage lo</w:t>
      </w:r>
      <w:r>
        <w:rPr>
          <w:bCs/>
        </w:rPr>
        <w:t>ans reflects adequate penetration</w:t>
      </w:r>
      <w:r w:rsidRPr="001D53A2">
        <w:rPr>
          <w:bCs/>
        </w:rPr>
        <w:t xml:space="preserve"> throughout the assessment area.  </w:t>
      </w:r>
      <w:r>
        <w:t xml:space="preserve">In 2018, </w:t>
      </w:r>
      <w:proofErr w:type="gramStart"/>
      <w:r>
        <w:t>NBTC’s</w:t>
      </w:r>
      <w:proofErr w:type="gramEnd"/>
      <w:r>
        <w:t xml:space="preserve"> lending performance in low-income tracts slightly exceeded aggregate and demographic data.  In 2019, </w:t>
      </w:r>
      <w:r w:rsidR="00B55103">
        <w:t xml:space="preserve">although total </w:t>
      </w:r>
      <w:r>
        <w:t xml:space="preserve">originations </w:t>
      </w:r>
      <w:r w:rsidR="00CC6CBF">
        <w:t>i</w:t>
      </w:r>
      <w:r w:rsidR="00B55103">
        <w:t xml:space="preserve">ncreased significantly, lending in low-income tracts </w:t>
      </w:r>
      <w:r w:rsidR="0080664A">
        <w:t>declined</w:t>
      </w:r>
      <w:r w:rsidR="00FE07F6">
        <w:t xml:space="preserve">.  As previously explained, lending volume increased significantly </w:t>
      </w:r>
      <w:r w:rsidR="00FE07F6" w:rsidRPr="008A2CBC">
        <w:rPr>
          <w:bCs/>
          <w:iCs/>
        </w:rPr>
        <w:t>due to a refocused lending and marketing strategy</w:t>
      </w:r>
      <w:r w:rsidR="00FE07F6">
        <w:rPr>
          <w:bCs/>
          <w:iCs/>
        </w:rPr>
        <w:t>.</w:t>
      </w:r>
    </w:p>
    <w:p w14:paraId="19FE6C46" w14:textId="77777777" w:rsidR="00784D90" w:rsidRDefault="00784D90" w:rsidP="00784D90">
      <w:pPr>
        <w:contextualSpacing/>
      </w:pPr>
    </w:p>
    <w:p w14:paraId="46855109" w14:textId="7B959590" w:rsidR="00DD161B" w:rsidRDefault="00784D90" w:rsidP="00784D90">
      <w:pPr>
        <w:contextualSpacing/>
      </w:pPr>
      <w:r>
        <w:t xml:space="preserve">In </w:t>
      </w:r>
      <w:r w:rsidR="00B55103">
        <w:t xml:space="preserve">2018, home mortgage lending in the </w:t>
      </w:r>
      <w:r>
        <w:t>moderate-income census tra</w:t>
      </w:r>
      <w:r w:rsidR="00B55103">
        <w:t xml:space="preserve">cts was </w:t>
      </w:r>
      <w:r>
        <w:t>below aggregate and comparable with demographic data.    In 2019, lending in moderate-income census tracts increased by nu</w:t>
      </w:r>
      <w:r w:rsidR="00B55103">
        <w:t xml:space="preserve">mber; however, </w:t>
      </w:r>
      <w:r w:rsidR="00FE07F6">
        <w:t xml:space="preserve">declined by percentage given the significant increase in the number of originations.  </w:t>
      </w:r>
    </w:p>
    <w:p w14:paraId="6394964A" w14:textId="77777777" w:rsidR="00FE07F6" w:rsidRDefault="00FE07F6" w:rsidP="00784D90">
      <w:pPr>
        <w:contextualSpacing/>
      </w:pPr>
    </w:p>
    <w:tbl>
      <w:tblPr>
        <w:tblW w:w="0" w:type="auto"/>
        <w:tblCellMar>
          <w:left w:w="0" w:type="dxa"/>
          <w:right w:w="0" w:type="dxa"/>
        </w:tblCellMar>
        <w:tblLook w:val="0000" w:firstRow="0" w:lastRow="0" w:firstColumn="0" w:lastColumn="0" w:noHBand="0" w:noVBand="0"/>
      </w:tblPr>
      <w:tblGrid>
        <w:gridCol w:w="2499"/>
        <w:gridCol w:w="1546"/>
        <w:gridCol w:w="1426"/>
        <w:gridCol w:w="1192"/>
        <w:gridCol w:w="850"/>
        <w:gridCol w:w="1012"/>
        <w:gridCol w:w="817"/>
      </w:tblGrid>
      <w:tr w:rsidR="00784D90" w:rsidRPr="00637368" w14:paraId="60F34E57" w14:textId="77777777" w:rsidTr="0067694D">
        <w:trPr>
          <w:trHeight w:val="282"/>
        </w:trPr>
        <w:tc>
          <w:tcPr>
            <w:tcW w:w="9586" w:type="dxa"/>
            <w:gridSpan w:val="7"/>
            <w:tcBorders>
              <w:top w:val="single" w:sz="7" w:space="0" w:color="000000"/>
              <w:left w:val="single" w:sz="7" w:space="0" w:color="000000"/>
              <w:right w:val="single" w:sz="7" w:space="0" w:color="000000"/>
            </w:tcBorders>
            <w:tcMar>
              <w:top w:w="39" w:type="dxa"/>
              <w:left w:w="39" w:type="dxa"/>
              <w:bottom w:w="39" w:type="dxa"/>
              <w:right w:w="39" w:type="dxa"/>
            </w:tcMar>
          </w:tcPr>
          <w:p w14:paraId="3EE13677" w14:textId="77777777" w:rsidR="00784D90" w:rsidRPr="00637368" w:rsidRDefault="00784D90" w:rsidP="0067694D">
            <w:pPr>
              <w:jc w:val="center"/>
              <w:rPr>
                <w:sz w:val="20"/>
                <w:szCs w:val="20"/>
              </w:rPr>
            </w:pPr>
            <w:r w:rsidRPr="00637368">
              <w:rPr>
                <w:b/>
                <w:color w:val="000000"/>
                <w:sz w:val="20"/>
                <w:szCs w:val="20"/>
              </w:rPr>
              <w:t>Geographic Distribution of Home Mortgage Loans</w:t>
            </w:r>
          </w:p>
        </w:tc>
      </w:tr>
      <w:tr w:rsidR="00784D90" w:rsidRPr="00637368" w14:paraId="46987EE2" w14:textId="77777777" w:rsidTr="0067694D">
        <w:trPr>
          <w:trHeight w:val="498"/>
        </w:trPr>
        <w:tc>
          <w:tcPr>
            <w:tcW w:w="25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71115B02" w14:textId="77777777" w:rsidR="00784D90" w:rsidRPr="00637368" w:rsidRDefault="00784D90" w:rsidP="0067694D">
            <w:pPr>
              <w:rPr>
                <w:sz w:val="20"/>
                <w:szCs w:val="20"/>
              </w:rPr>
            </w:pPr>
            <w:r w:rsidRPr="00637368">
              <w:rPr>
                <w:b/>
                <w:color w:val="000000"/>
                <w:sz w:val="20"/>
                <w:szCs w:val="20"/>
              </w:rPr>
              <w:t>Tract Income Level</w:t>
            </w:r>
          </w:p>
        </w:tc>
        <w:tc>
          <w:tcPr>
            <w:tcW w:w="158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41DD6226" w14:textId="77777777" w:rsidR="00784D90" w:rsidRPr="00637368" w:rsidRDefault="00784D90" w:rsidP="0067694D">
            <w:pPr>
              <w:jc w:val="center"/>
              <w:rPr>
                <w:sz w:val="20"/>
                <w:szCs w:val="20"/>
              </w:rPr>
            </w:pPr>
            <w:r w:rsidRPr="00637368">
              <w:rPr>
                <w:b/>
                <w:color w:val="000000"/>
                <w:sz w:val="20"/>
                <w:szCs w:val="20"/>
              </w:rPr>
              <w:t>% of  Owner-Occupied Housing Units</w:t>
            </w:r>
          </w:p>
        </w:tc>
        <w:tc>
          <w:tcPr>
            <w:tcW w:w="144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650B208C" w14:textId="77777777" w:rsidR="00784D90" w:rsidRPr="00637368" w:rsidRDefault="00784D90" w:rsidP="0067694D">
            <w:pPr>
              <w:jc w:val="center"/>
              <w:rPr>
                <w:sz w:val="20"/>
                <w:szCs w:val="20"/>
              </w:rPr>
            </w:pPr>
            <w:r w:rsidRPr="00637368">
              <w:rPr>
                <w:b/>
                <w:color w:val="000000"/>
                <w:sz w:val="20"/>
                <w:szCs w:val="20"/>
              </w:rPr>
              <w:t>Aggregate Performance</w:t>
            </w:r>
            <w:r w:rsidRPr="00637368">
              <w:rPr>
                <w:b/>
                <w:color w:val="000000"/>
                <w:sz w:val="20"/>
                <w:szCs w:val="20"/>
              </w:rPr>
              <w:br/>
              <w:t>% of #</w:t>
            </w:r>
          </w:p>
        </w:tc>
        <w:tc>
          <w:tcPr>
            <w:tcW w:w="123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76EC8568" w14:textId="77777777" w:rsidR="00784D90" w:rsidRPr="00637368" w:rsidRDefault="00784D90" w:rsidP="0067694D">
            <w:pPr>
              <w:jc w:val="center"/>
              <w:rPr>
                <w:sz w:val="20"/>
                <w:szCs w:val="20"/>
              </w:rPr>
            </w:pPr>
            <w:r w:rsidRPr="00637368">
              <w:rPr>
                <w:b/>
                <w:color w:val="000000"/>
                <w:sz w:val="20"/>
                <w:szCs w:val="20"/>
              </w:rPr>
              <w:t>#</w:t>
            </w:r>
          </w:p>
        </w:tc>
        <w:tc>
          <w:tcPr>
            <w:tcW w:w="86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6AC6CBDB" w14:textId="77777777" w:rsidR="00784D90" w:rsidRPr="00637368" w:rsidRDefault="00784D90" w:rsidP="0067694D">
            <w:pPr>
              <w:jc w:val="center"/>
              <w:rPr>
                <w:sz w:val="20"/>
                <w:szCs w:val="20"/>
              </w:rPr>
            </w:pPr>
            <w:r w:rsidRPr="00637368">
              <w:rPr>
                <w:b/>
                <w:color w:val="000000"/>
                <w:sz w:val="20"/>
                <w:szCs w:val="20"/>
              </w:rPr>
              <w:t>%</w:t>
            </w:r>
          </w:p>
        </w:tc>
        <w:tc>
          <w:tcPr>
            <w:tcW w:w="10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6787921C" w14:textId="77777777" w:rsidR="00784D90" w:rsidRPr="00637368" w:rsidRDefault="00784D90" w:rsidP="0067694D">
            <w:pPr>
              <w:jc w:val="center"/>
              <w:rPr>
                <w:sz w:val="20"/>
                <w:szCs w:val="20"/>
              </w:rPr>
            </w:pPr>
            <w:r w:rsidRPr="00637368">
              <w:rPr>
                <w:b/>
                <w:color w:val="000000"/>
                <w:sz w:val="20"/>
                <w:szCs w:val="20"/>
              </w:rPr>
              <w:t>$(000s)</w:t>
            </w:r>
          </w:p>
        </w:tc>
        <w:tc>
          <w:tcPr>
            <w:tcW w:w="83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56FD1842" w14:textId="77777777" w:rsidR="00784D90" w:rsidRPr="00637368" w:rsidRDefault="00784D90" w:rsidP="0067694D">
            <w:pPr>
              <w:jc w:val="center"/>
              <w:rPr>
                <w:sz w:val="20"/>
                <w:szCs w:val="20"/>
              </w:rPr>
            </w:pPr>
            <w:r w:rsidRPr="00637368">
              <w:rPr>
                <w:b/>
                <w:color w:val="000000"/>
                <w:sz w:val="20"/>
                <w:szCs w:val="20"/>
              </w:rPr>
              <w:t>%</w:t>
            </w:r>
          </w:p>
        </w:tc>
      </w:tr>
      <w:tr w:rsidR="00784D90" w:rsidRPr="00637368" w14:paraId="4987B937" w14:textId="77777777" w:rsidTr="0067694D">
        <w:trPr>
          <w:trHeight w:val="195"/>
        </w:trPr>
        <w:tc>
          <w:tcPr>
            <w:tcW w:w="25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634874F3" w14:textId="77777777" w:rsidR="00784D90" w:rsidRPr="00637368" w:rsidRDefault="00784D90" w:rsidP="0067694D">
            <w:pPr>
              <w:rPr>
                <w:sz w:val="20"/>
                <w:szCs w:val="20"/>
              </w:rPr>
            </w:pPr>
            <w:r w:rsidRPr="00637368">
              <w:rPr>
                <w:color w:val="000000"/>
                <w:sz w:val="20"/>
                <w:szCs w:val="20"/>
              </w:rPr>
              <w:t>Low</w:t>
            </w:r>
          </w:p>
        </w:tc>
        <w:tc>
          <w:tcPr>
            <w:tcW w:w="6994"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DBB67BD" w14:textId="77777777" w:rsidR="00784D90" w:rsidRPr="00637368" w:rsidRDefault="00784D90" w:rsidP="0067694D">
            <w:pPr>
              <w:rPr>
                <w:sz w:val="20"/>
                <w:szCs w:val="20"/>
              </w:rPr>
            </w:pPr>
          </w:p>
        </w:tc>
      </w:tr>
      <w:tr w:rsidR="00784D90" w:rsidRPr="00637368" w14:paraId="5E00A9DE" w14:textId="77777777" w:rsidTr="0067694D">
        <w:trPr>
          <w:trHeight w:val="181"/>
        </w:trPr>
        <w:tc>
          <w:tcPr>
            <w:tcW w:w="2592"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76D9610C" w14:textId="77777777" w:rsidR="00784D90" w:rsidRPr="00637368" w:rsidRDefault="00784D90" w:rsidP="0067694D">
            <w:pPr>
              <w:jc w:val="right"/>
              <w:rPr>
                <w:sz w:val="20"/>
                <w:szCs w:val="20"/>
              </w:rPr>
            </w:pPr>
            <w:r w:rsidRPr="00637368">
              <w:rPr>
                <w:color w:val="000000"/>
                <w:sz w:val="20"/>
                <w:szCs w:val="20"/>
              </w:rPr>
              <w:t>2018</w:t>
            </w:r>
          </w:p>
        </w:tc>
        <w:tc>
          <w:tcPr>
            <w:tcW w:w="158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C6D030C" w14:textId="77777777" w:rsidR="00784D90" w:rsidRPr="00637368" w:rsidRDefault="00784D90" w:rsidP="0067694D">
            <w:pPr>
              <w:jc w:val="center"/>
              <w:rPr>
                <w:sz w:val="20"/>
                <w:szCs w:val="20"/>
              </w:rPr>
            </w:pPr>
            <w:r w:rsidRPr="00637368">
              <w:rPr>
                <w:color w:val="000000"/>
                <w:sz w:val="20"/>
                <w:szCs w:val="20"/>
              </w:rPr>
              <w:t>2.4</w:t>
            </w:r>
          </w:p>
        </w:tc>
        <w:tc>
          <w:tcPr>
            <w:tcW w:w="144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D1A963C" w14:textId="77777777" w:rsidR="00784D90" w:rsidRPr="00637368" w:rsidRDefault="00784D90" w:rsidP="0067694D">
            <w:pPr>
              <w:jc w:val="center"/>
              <w:rPr>
                <w:sz w:val="20"/>
                <w:szCs w:val="20"/>
              </w:rPr>
            </w:pPr>
            <w:r w:rsidRPr="00637368">
              <w:rPr>
                <w:color w:val="000000"/>
                <w:sz w:val="20"/>
                <w:szCs w:val="20"/>
              </w:rPr>
              <w:t>3.3</w:t>
            </w:r>
          </w:p>
        </w:tc>
        <w:tc>
          <w:tcPr>
            <w:tcW w:w="123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0026274" w14:textId="77777777" w:rsidR="00784D90" w:rsidRPr="00637368" w:rsidRDefault="00784D90" w:rsidP="0067694D">
            <w:pPr>
              <w:jc w:val="center"/>
              <w:rPr>
                <w:sz w:val="20"/>
                <w:szCs w:val="20"/>
              </w:rPr>
            </w:pPr>
            <w:r w:rsidRPr="00637368">
              <w:rPr>
                <w:color w:val="000000"/>
                <w:sz w:val="20"/>
                <w:szCs w:val="20"/>
              </w:rPr>
              <w:t>7</w:t>
            </w:r>
          </w:p>
        </w:tc>
        <w:tc>
          <w:tcPr>
            <w:tcW w:w="86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687A9C6" w14:textId="77777777" w:rsidR="00784D90" w:rsidRPr="00637368" w:rsidRDefault="00784D90" w:rsidP="0067694D">
            <w:pPr>
              <w:jc w:val="center"/>
              <w:rPr>
                <w:sz w:val="20"/>
                <w:szCs w:val="20"/>
              </w:rPr>
            </w:pPr>
            <w:r w:rsidRPr="00637368">
              <w:rPr>
                <w:color w:val="000000"/>
                <w:sz w:val="20"/>
                <w:szCs w:val="20"/>
              </w:rPr>
              <w:t>3.6</w:t>
            </w:r>
          </w:p>
        </w:tc>
        <w:tc>
          <w:tcPr>
            <w:tcW w:w="10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D88DC28" w14:textId="77777777" w:rsidR="00784D90" w:rsidRPr="00637368" w:rsidRDefault="00784D90" w:rsidP="0067694D">
            <w:pPr>
              <w:jc w:val="center"/>
              <w:rPr>
                <w:sz w:val="20"/>
                <w:szCs w:val="20"/>
              </w:rPr>
            </w:pPr>
            <w:r w:rsidRPr="00637368">
              <w:rPr>
                <w:color w:val="000000"/>
                <w:sz w:val="20"/>
                <w:szCs w:val="20"/>
              </w:rPr>
              <w:t>1,351</w:t>
            </w:r>
          </w:p>
        </w:tc>
        <w:tc>
          <w:tcPr>
            <w:tcW w:w="83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672D274" w14:textId="77777777" w:rsidR="00784D90" w:rsidRPr="00637368" w:rsidRDefault="00784D90" w:rsidP="0067694D">
            <w:pPr>
              <w:jc w:val="center"/>
              <w:rPr>
                <w:sz w:val="20"/>
                <w:szCs w:val="20"/>
              </w:rPr>
            </w:pPr>
            <w:r w:rsidRPr="00637368">
              <w:rPr>
                <w:color w:val="000000"/>
                <w:sz w:val="20"/>
                <w:szCs w:val="20"/>
              </w:rPr>
              <w:t>1.6</w:t>
            </w:r>
          </w:p>
        </w:tc>
      </w:tr>
      <w:tr w:rsidR="00784D90" w:rsidRPr="00637368" w14:paraId="131868D9" w14:textId="77777777" w:rsidTr="0067694D">
        <w:trPr>
          <w:trHeight w:val="181"/>
        </w:trPr>
        <w:tc>
          <w:tcPr>
            <w:tcW w:w="2592"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5A81A1E8" w14:textId="77777777" w:rsidR="00784D90" w:rsidRPr="00637368" w:rsidRDefault="00784D90" w:rsidP="0067694D">
            <w:pPr>
              <w:jc w:val="right"/>
              <w:rPr>
                <w:sz w:val="20"/>
                <w:szCs w:val="20"/>
              </w:rPr>
            </w:pPr>
            <w:r w:rsidRPr="00637368">
              <w:rPr>
                <w:color w:val="000000"/>
                <w:sz w:val="20"/>
                <w:szCs w:val="20"/>
              </w:rPr>
              <w:t>2019</w:t>
            </w:r>
          </w:p>
        </w:tc>
        <w:tc>
          <w:tcPr>
            <w:tcW w:w="158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A2D2F94" w14:textId="77777777" w:rsidR="00784D90" w:rsidRPr="00637368" w:rsidRDefault="00784D90" w:rsidP="0067694D">
            <w:pPr>
              <w:jc w:val="center"/>
              <w:rPr>
                <w:sz w:val="20"/>
                <w:szCs w:val="20"/>
              </w:rPr>
            </w:pPr>
            <w:r w:rsidRPr="00637368">
              <w:rPr>
                <w:color w:val="000000"/>
                <w:sz w:val="20"/>
                <w:szCs w:val="20"/>
              </w:rPr>
              <w:t>2.4</w:t>
            </w:r>
          </w:p>
        </w:tc>
        <w:tc>
          <w:tcPr>
            <w:tcW w:w="144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28702A0" w14:textId="77777777" w:rsidR="00784D90" w:rsidRPr="00637368" w:rsidRDefault="00784D90" w:rsidP="0067694D">
            <w:pPr>
              <w:jc w:val="center"/>
              <w:rPr>
                <w:sz w:val="20"/>
                <w:szCs w:val="20"/>
              </w:rPr>
            </w:pPr>
            <w:r w:rsidRPr="00637368">
              <w:rPr>
                <w:color w:val="000000"/>
                <w:sz w:val="20"/>
                <w:szCs w:val="20"/>
              </w:rPr>
              <w:t>--</w:t>
            </w:r>
          </w:p>
        </w:tc>
        <w:tc>
          <w:tcPr>
            <w:tcW w:w="123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07CA75D" w14:textId="77777777" w:rsidR="00784D90" w:rsidRPr="00637368" w:rsidRDefault="00784D90" w:rsidP="0067694D">
            <w:pPr>
              <w:jc w:val="center"/>
              <w:rPr>
                <w:sz w:val="20"/>
                <w:szCs w:val="20"/>
              </w:rPr>
            </w:pPr>
            <w:r w:rsidRPr="00637368">
              <w:rPr>
                <w:color w:val="000000"/>
                <w:sz w:val="20"/>
                <w:szCs w:val="20"/>
              </w:rPr>
              <w:t>4</w:t>
            </w:r>
          </w:p>
        </w:tc>
        <w:tc>
          <w:tcPr>
            <w:tcW w:w="86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92D82B7" w14:textId="77777777" w:rsidR="00784D90" w:rsidRPr="00637368" w:rsidRDefault="00784D90" w:rsidP="0067694D">
            <w:pPr>
              <w:jc w:val="center"/>
              <w:rPr>
                <w:sz w:val="20"/>
                <w:szCs w:val="20"/>
              </w:rPr>
            </w:pPr>
            <w:r w:rsidRPr="00637368">
              <w:rPr>
                <w:color w:val="000000"/>
                <w:sz w:val="20"/>
                <w:szCs w:val="20"/>
              </w:rPr>
              <w:t>1.2</w:t>
            </w:r>
          </w:p>
        </w:tc>
        <w:tc>
          <w:tcPr>
            <w:tcW w:w="10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1FC577C" w14:textId="77777777" w:rsidR="00784D90" w:rsidRPr="00637368" w:rsidRDefault="00784D90" w:rsidP="0067694D">
            <w:pPr>
              <w:jc w:val="center"/>
              <w:rPr>
                <w:sz w:val="20"/>
                <w:szCs w:val="20"/>
              </w:rPr>
            </w:pPr>
            <w:r w:rsidRPr="00637368">
              <w:rPr>
                <w:color w:val="000000"/>
                <w:sz w:val="20"/>
                <w:szCs w:val="20"/>
              </w:rPr>
              <w:t>1,244</w:t>
            </w:r>
          </w:p>
        </w:tc>
        <w:tc>
          <w:tcPr>
            <w:tcW w:w="83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8B501F2" w14:textId="77777777" w:rsidR="00784D90" w:rsidRPr="00637368" w:rsidRDefault="00784D90" w:rsidP="0067694D">
            <w:pPr>
              <w:jc w:val="center"/>
              <w:rPr>
                <w:sz w:val="20"/>
                <w:szCs w:val="20"/>
              </w:rPr>
            </w:pPr>
            <w:r w:rsidRPr="00637368">
              <w:rPr>
                <w:color w:val="000000"/>
                <w:sz w:val="20"/>
                <w:szCs w:val="20"/>
              </w:rPr>
              <w:t>1.0</w:t>
            </w:r>
          </w:p>
        </w:tc>
      </w:tr>
      <w:tr w:rsidR="00784D90" w:rsidRPr="00637368" w14:paraId="7A6288E8" w14:textId="77777777" w:rsidTr="0067694D">
        <w:trPr>
          <w:trHeight w:val="195"/>
        </w:trPr>
        <w:tc>
          <w:tcPr>
            <w:tcW w:w="25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2A7B0EB2" w14:textId="77777777" w:rsidR="00784D90" w:rsidRPr="00637368" w:rsidRDefault="00784D90" w:rsidP="0067694D">
            <w:pPr>
              <w:rPr>
                <w:sz w:val="20"/>
                <w:szCs w:val="20"/>
              </w:rPr>
            </w:pPr>
            <w:r w:rsidRPr="00637368">
              <w:rPr>
                <w:color w:val="000000"/>
                <w:sz w:val="20"/>
                <w:szCs w:val="20"/>
              </w:rPr>
              <w:t>Moderate</w:t>
            </w:r>
          </w:p>
        </w:tc>
        <w:tc>
          <w:tcPr>
            <w:tcW w:w="6994"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DEF8F8A" w14:textId="77777777" w:rsidR="00784D90" w:rsidRPr="00637368" w:rsidRDefault="00784D90" w:rsidP="0067694D">
            <w:pPr>
              <w:rPr>
                <w:sz w:val="20"/>
                <w:szCs w:val="20"/>
              </w:rPr>
            </w:pPr>
          </w:p>
        </w:tc>
      </w:tr>
      <w:tr w:rsidR="00784D90" w:rsidRPr="00637368" w14:paraId="18CC296C" w14:textId="77777777" w:rsidTr="0067694D">
        <w:trPr>
          <w:trHeight w:val="181"/>
        </w:trPr>
        <w:tc>
          <w:tcPr>
            <w:tcW w:w="2592"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312B1C13" w14:textId="77777777" w:rsidR="00784D90" w:rsidRPr="00637368" w:rsidRDefault="00784D90" w:rsidP="0067694D">
            <w:pPr>
              <w:jc w:val="right"/>
              <w:rPr>
                <w:sz w:val="20"/>
                <w:szCs w:val="20"/>
              </w:rPr>
            </w:pPr>
            <w:r w:rsidRPr="00637368">
              <w:rPr>
                <w:color w:val="000000"/>
                <w:sz w:val="20"/>
                <w:szCs w:val="20"/>
              </w:rPr>
              <w:t>2018</w:t>
            </w:r>
          </w:p>
        </w:tc>
        <w:tc>
          <w:tcPr>
            <w:tcW w:w="158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DE0DF0A" w14:textId="77777777" w:rsidR="00784D90" w:rsidRPr="00637368" w:rsidRDefault="00784D90" w:rsidP="0067694D">
            <w:pPr>
              <w:jc w:val="center"/>
              <w:rPr>
                <w:sz w:val="20"/>
                <w:szCs w:val="20"/>
              </w:rPr>
            </w:pPr>
            <w:r w:rsidRPr="00637368">
              <w:rPr>
                <w:color w:val="000000"/>
                <w:sz w:val="20"/>
                <w:szCs w:val="20"/>
              </w:rPr>
              <w:t>11.9</w:t>
            </w:r>
          </w:p>
        </w:tc>
        <w:tc>
          <w:tcPr>
            <w:tcW w:w="144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6D9702E" w14:textId="77777777" w:rsidR="00784D90" w:rsidRPr="00637368" w:rsidRDefault="00784D90" w:rsidP="0067694D">
            <w:pPr>
              <w:jc w:val="center"/>
              <w:rPr>
                <w:sz w:val="20"/>
                <w:szCs w:val="20"/>
              </w:rPr>
            </w:pPr>
            <w:r w:rsidRPr="00637368">
              <w:rPr>
                <w:color w:val="000000"/>
                <w:sz w:val="20"/>
                <w:szCs w:val="20"/>
              </w:rPr>
              <w:t>13.6</w:t>
            </w:r>
          </w:p>
        </w:tc>
        <w:tc>
          <w:tcPr>
            <w:tcW w:w="123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EB15D9E" w14:textId="77777777" w:rsidR="00784D90" w:rsidRPr="00637368" w:rsidRDefault="00784D90" w:rsidP="0067694D">
            <w:pPr>
              <w:jc w:val="center"/>
              <w:rPr>
                <w:sz w:val="20"/>
                <w:szCs w:val="20"/>
              </w:rPr>
            </w:pPr>
            <w:r w:rsidRPr="00637368">
              <w:rPr>
                <w:color w:val="000000"/>
                <w:sz w:val="20"/>
                <w:szCs w:val="20"/>
              </w:rPr>
              <w:t>23</w:t>
            </w:r>
          </w:p>
        </w:tc>
        <w:tc>
          <w:tcPr>
            <w:tcW w:w="86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561461F" w14:textId="77777777" w:rsidR="00784D90" w:rsidRPr="00637368" w:rsidRDefault="00784D90" w:rsidP="0067694D">
            <w:pPr>
              <w:jc w:val="center"/>
              <w:rPr>
                <w:sz w:val="20"/>
                <w:szCs w:val="20"/>
              </w:rPr>
            </w:pPr>
            <w:r w:rsidRPr="00637368">
              <w:rPr>
                <w:color w:val="000000"/>
                <w:sz w:val="20"/>
                <w:szCs w:val="20"/>
              </w:rPr>
              <w:t>12.0</w:t>
            </w:r>
          </w:p>
        </w:tc>
        <w:tc>
          <w:tcPr>
            <w:tcW w:w="10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FCBF74A" w14:textId="77777777" w:rsidR="00784D90" w:rsidRPr="00637368" w:rsidRDefault="00784D90" w:rsidP="0067694D">
            <w:pPr>
              <w:jc w:val="center"/>
              <w:rPr>
                <w:sz w:val="20"/>
                <w:szCs w:val="20"/>
              </w:rPr>
            </w:pPr>
            <w:r w:rsidRPr="00637368">
              <w:rPr>
                <w:color w:val="000000"/>
                <w:sz w:val="20"/>
                <w:szCs w:val="20"/>
              </w:rPr>
              <w:t>9,198</w:t>
            </w:r>
          </w:p>
        </w:tc>
        <w:tc>
          <w:tcPr>
            <w:tcW w:w="83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EDABE88" w14:textId="77777777" w:rsidR="00784D90" w:rsidRPr="00637368" w:rsidRDefault="00784D90" w:rsidP="0067694D">
            <w:pPr>
              <w:jc w:val="center"/>
              <w:rPr>
                <w:sz w:val="20"/>
                <w:szCs w:val="20"/>
              </w:rPr>
            </w:pPr>
            <w:r w:rsidRPr="00637368">
              <w:rPr>
                <w:color w:val="000000"/>
                <w:sz w:val="20"/>
                <w:szCs w:val="20"/>
              </w:rPr>
              <w:t>11.2</w:t>
            </w:r>
          </w:p>
        </w:tc>
      </w:tr>
      <w:tr w:rsidR="00784D90" w:rsidRPr="00637368" w14:paraId="342E006E" w14:textId="77777777" w:rsidTr="0067694D">
        <w:trPr>
          <w:trHeight w:val="181"/>
        </w:trPr>
        <w:tc>
          <w:tcPr>
            <w:tcW w:w="2592"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6B5DC8AF" w14:textId="77777777" w:rsidR="00784D90" w:rsidRPr="00637368" w:rsidRDefault="00784D90" w:rsidP="0067694D">
            <w:pPr>
              <w:jc w:val="right"/>
              <w:rPr>
                <w:sz w:val="20"/>
                <w:szCs w:val="20"/>
              </w:rPr>
            </w:pPr>
            <w:r w:rsidRPr="00637368">
              <w:rPr>
                <w:color w:val="000000"/>
                <w:sz w:val="20"/>
                <w:szCs w:val="20"/>
              </w:rPr>
              <w:t>2019</w:t>
            </w:r>
          </w:p>
        </w:tc>
        <w:tc>
          <w:tcPr>
            <w:tcW w:w="158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7E8C11D" w14:textId="77777777" w:rsidR="00784D90" w:rsidRPr="00637368" w:rsidRDefault="00784D90" w:rsidP="0067694D">
            <w:pPr>
              <w:jc w:val="center"/>
              <w:rPr>
                <w:sz w:val="20"/>
                <w:szCs w:val="20"/>
              </w:rPr>
            </w:pPr>
            <w:r w:rsidRPr="00637368">
              <w:rPr>
                <w:color w:val="000000"/>
                <w:sz w:val="20"/>
                <w:szCs w:val="20"/>
              </w:rPr>
              <w:t>11.9</w:t>
            </w:r>
          </w:p>
        </w:tc>
        <w:tc>
          <w:tcPr>
            <w:tcW w:w="144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745196E" w14:textId="77777777" w:rsidR="00784D90" w:rsidRPr="00637368" w:rsidRDefault="00784D90" w:rsidP="0067694D">
            <w:pPr>
              <w:jc w:val="center"/>
              <w:rPr>
                <w:sz w:val="20"/>
                <w:szCs w:val="20"/>
              </w:rPr>
            </w:pPr>
            <w:r w:rsidRPr="00637368">
              <w:rPr>
                <w:color w:val="000000"/>
                <w:sz w:val="20"/>
                <w:szCs w:val="20"/>
              </w:rPr>
              <w:t>--</w:t>
            </w:r>
          </w:p>
        </w:tc>
        <w:tc>
          <w:tcPr>
            <w:tcW w:w="123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0ED44AA" w14:textId="77777777" w:rsidR="00784D90" w:rsidRPr="00637368" w:rsidRDefault="00784D90" w:rsidP="0067694D">
            <w:pPr>
              <w:jc w:val="center"/>
              <w:rPr>
                <w:sz w:val="20"/>
                <w:szCs w:val="20"/>
              </w:rPr>
            </w:pPr>
            <w:r w:rsidRPr="00637368">
              <w:rPr>
                <w:color w:val="000000"/>
                <w:sz w:val="20"/>
                <w:szCs w:val="20"/>
              </w:rPr>
              <w:t>28</w:t>
            </w:r>
          </w:p>
        </w:tc>
        <w:tc>
          <w:tcPr>
            <w:tcW w:w="86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96FEDF9" w14:textId="77777777" w:rsidR="00784D90" w:rsidRPr="00637368" w:rsidRDefault="00784D90" w:rsidP="0067694D">
            <w:pPr>
              <w:jc w:val="center"/>
              <w:rPr>
                <w:sz w:val="20"/>
                <w:szCs w:val="20"/>
              </w:rPr>
            </w:pPr>
            <w:r w:rsidRPr="00637368">
              <w:rPr>
                <w:color w:val="000000"/>
                <w:sz w:val="20"/>
                <w:szCs w:val="20"/>
              </w:rPr>
              <w:t>8.4</w:t>
            </w:r>
          </w:p>
        </w:tc>
        <w:tc>
          <w:tcPr>
            <w:tcW w:w="10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609367C" w14:textId="77777777" w:rsidR="00784D90" w:rsidRPr="00637368" w:rsidRDefault="00784D90" w:rsidP="0067694D">
            <w:pPr>
              <w:jc w:val="center"/>
              <w:rPr>
                <w:sz w:val="20"/>
                <w:szCs w:val="20"/>
              </w:rPr>
            </w:pPr>
            <w:r w:rsidRPr="00637368">
              <w:rPr>
                <w:color w:val="000000"/>
                <w:sz w:val="20"/>
                <w:szCs w:val="20"/>
              </w:rPr>
              <w:t>8,183</w:t>
            </w:r>
          </w:p>
        </w:tc>
        <w:tc>
          <w:tcPr>
            <w:tcW w:w="83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A7C0DE5" w14:textId="77777777" w:rsidR="00784D90" w:rsidRPr="00637368" w:rsidRDefault="00784D90" w:rsidP="0067694D">
            <w:pPr>
              <w:jc w:val="center"/>
              <w:rPr>
                <w:sz w:val="20"/>
                <w:szCs w:val="20"/>
              </w:rPr>
            </w:pPr>
            <w:r w:rsidRPr="00637368">
              <w:rPr>
                <w:color w:val="000000"/>
                <w:sz w:val="20"/>
                <w:szCs w:val="20"/>
              </w:rPr>
              <w:t>6.4</w:t>
            </w:r>
          </w:p>
        </w:tc>
      </w:tr>
      <w:tr w:rsidR="00784D90" w:rsidRPr="00637368" w14:paraId="69CBAC9A" w14:textId="77777777" w:rsidTr="0067694D">
        <w:trPr>
          <w:trHeight w:val="195"/>
        </w:trPr>
        <w:tc>
          <w:tcPr>
            <w:tcW w:w="25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63D34790" w14:textId="77777777" w:rsidR="00784D90" w:rsidRPr="00637368" w:rsidRDefault="00784D90" w:rsidP="0067694D">
            <w:pPr>
              <w:rPr>
                <w:sz w:val="20"/>
                <w:szCs w:val="20"/>
              </w:rPr>
            </w:pPr>
            <w:r w:rsidRPr="00637368">
              <w:rPr>
                <w:color w:val="000000"/>
                <w:sz w:val="20"/>
                <w:szCs w:val="20"/>
              </w:rPr>
              <w:t>Middle</w:t>
            </w:r>
          </w:p>
        </w:tc>
        <w:tc>
          <w:tcPr>
            <w:tcW w:w="6994"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B6D43B8" w14:textId="77777777" w:rsidR="00784D90" w:rsidRPr="00637368" w:rsidRDefault="00784D90" w:rsidP="0067694D">
            <w:pPr>
              <w:rPr>
                <w:sz w:val="20"/>
                <w:szCs w:val="20"/>
              </w:rPr>
            </w:pPr>
          </w:p>
        </w:tc>
      </w:tr>
      <w:tr w:rsidR="00784D90" w:rsidRPr="00637368" w14:paraId="4D5F03C0" w14:textId="77777777" w:rsidTr="0067694D">
        <w:trPr>
          <w:trHeight w:val="181"/>
        </w:trPr>
        <w:tc>
          <w:tcPr>
            <w:tcW w:w="2592"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45A98A14" w14:textId="77777777" w:rsidR="00784D90" w:rsidRPr="00637368" w:rsidRDefault="00784D90" w:rsidP="0067694D">
            <w:pPr>
              <w:jc w:val="right"/>
              <w:rPr>
                <w:sz w:val="20"/>
                <w:szCs w:val="20"/>
              </w:rPr>
            </w:pPr>
            <w:r w:rsidRPr="00637368">
              <w:rPr>
                <w:color w:val="000000"/>
                <w:sz w:val="20"/>
                <w:szCs w:val="20"/>
              </w:rPr>
              <w:t>2018</w:t>
            </w:r>
          </w:p>
        </w:tc>
        <w:tc>
          <w:tcPr>
            <w:tcW w:w="158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422FDF4" w14:textId="77777777" w:rsidR="00784D90" w:rsidRPr="00637368" w:rsidRDefault="00784D90" w:rsidP="0067694D">
            <w:pPr>
              <w:jc w:val="center"/>
              <w:rPr>
                <w:sz w:val="20"/>
                <w:szCs w:val="20"/>
              </w:rPr>
            </w:pPr>
            <w:r w:rsidRPr="00637368">
              <w:rPr>
                <w:color w:val="000000"/>
                <w:sz w:val="20"/>
                <w:szCs w:val="20"/>
              </w:rPr>
              <w:t>43.1</w:t>
            </w:r>
          </w:p>
        </w:tc>
        <w:tc>
          <w:tcPr>
            <w:tcW w:w="144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D754792" w14:textId="77777777" w:rsidR="00784D90" w:rsidRPr="00637368" w:rsidRDefault="00784D90" w:rsidP="0067694D">
            <w:pPr>
              <w:jc w:val="center"/>
              <w:rPr>
                <w:sz w:val="20"/>
                <w:szCs w:val="20"/>
              </w:rPr>
            </w:pPr>
            <w:r w:rsidRPr="00637368">
              <w:rPr>
                <w:color w:val="000000"/>
                <w:sz w:val="20"/>
                <w:szCs w:val="20"/>
              </w:rPr>
              <w:t>42.4</w:t>
            </w:r>
          </w:p>
        </w:tc>
        <w:tc>
          <w:tcPr>
            <w:tcW w:w="123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7475BEB" w14:textId="77777777" w:rsidR="00784D90" w:rsidRPr="00637368" w:rsidRDefault="00784D90" w:rsidP="0067694D">
            <w:pPr>
              <w:jc w:val="center"/>
              <w:rPr>
                <w:sz w:val="20"/>
                <w:szCs w:val="20"/>
              </w:rPr>
            </w:pPr>
            <w:r w:rsidRPr="00637368">
              <w:rPr>
                <w:color w:val="000000"/>
                <w:sz w:val="20"/>
                <w:szCs w:val="20"/>
              </w:rPr>
              <w:t>106</w:t>
            </w:r>
          </w:p>
        </w:tc>
        <w:tc>
          <w:tcPr>
            <w:tcW w:w="86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79E22D5" w14:textId="77777777" w:rsidR="00784D90" w:rsidRPr="00637368" w:rsidRDefault="00784D90" w:rsidP="0067694D">
            <w:pPr>
              <w:jc w:val="center"/>
              <w:rPr>
                <w:sz w:val="20"/>
                <w:szCs w:val="20"/>
              </w:rPr>
            </w:pPr>
            <w:r w:rsidRPr="00637368">
              <w:rPr>
                <w:color w:val="000000"/>
                <w:sz w:val="20"/>
                <w:szCs w:val="20"/>
              </w:rPr>
              <w:t>55.2</w:t>
            </w:r>
          </w:p>
        </w:tc>
        <w:tc>
          <w:tcPr>
            <w:tcW w:w="10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8AB24C4" w14:textId="77777777" w:rsidR="00784D90" w:rsidRPr="00637368" w:rsidRDefault="00784D90" w:rsidP="0067694D">
            <w:pPr>
              <w:jc w:val="center"/>
              <w:rPr>
                <w:sz w:val="20"/>
                <w:szCs w:val="20"/>
              </w:rPr>
            </w:pPr>
            <w:r w:rsidRPr="00637368">
              <w:rPr>
                <w:color w:val="000000"/>
                <w:sz w:val="20"/>
                <w:szCs w:val="20"/>
              </w:rPr>
              <w:t>36,499</w:t>
            </w:r>
          </w:p>
        </w:tc>
        <w:tc>
          <w:tcPr>
            <w:tcW w:w="83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8AE2F71" w14:textId="77777777" w:rsidR="00784D90" w:rsidRPr="00637368" w:rsidRDefault="00784D90" w:rsidP="0067694D">
            <w:pPr>
              <w:jc w:val="center"/>
              <w:rPr>
                <w:sz w:val="20"/>
                <w:szCs w:val="20"/>
              </w:rPr>
            </w:pPr>
            <w:r w:rsidRPr="00637368">
              <w:rPr>
                <w:color w:val="000000"/>
                <w:sz w:val="20"/>
                <w:szCs w:val="20"/>
              </w:rPr>
              <w:t>44.5</w:t>
            </w:r>
          </w:p>
        </w:tc>
      </w:tr>
      <w:tr w:rsidR="00784D90" w:rsidRPr="00637368" w14:paraId="1AA267ED" w14:textId="77777777" w:rsidTr="0067694D">
        <w:trPr>
          <w:trHeight w:val="181"/>
        </w:trPr>
        <w:tc>
          <w:tcPr>
            <w:tcW w:w="2592"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511FC6C6" w14:textId="77777777" w:rsidR="00784D90" w:rsidRPr="00637368" w:rsidRDefault="00784D90" w:rsidP="0067694D">
            <w:pPr>
              <w:jc w:val="right"/>
              <w:rPr>
                <w:sz w:val="20"/>
                <w:szCs w:val="20"/>
              </w:rPr>
            </w:pPr>
            <w:r w:rsidRPr="00637368">
              <w:rPr>
                <w:color w:val="000000"/>
                <w:sz w:val="20"/>
                <w:szCs w:val="20"/>
              </w:rPr>
              <w:t>2019</w:t>
            </w:r>
          </w:p>
        </w:tc>
        <w:tc>
          <w:tcPr>
            <w:tcW w:w="158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B197498" w14:textId="77777777" w:rsidR="00784D90" w:rsidRPr="00637368" w:rsidRDefault="00784D90" w:rsidP="0067694D">
            <w:pPr>
              <w:jc w:val="center"/>
              <w:rPr>
                <w:sz w:val="20"/>
                <w:szCs w:val="20"/>
              </w:rPr>
            </w:pPr>
            <w:r w:rsidRPr="00637368">
              <w:rPr>
                <w:color w:val="000000"/>
                <w:sz w:val="20"/>
                <w:szCs w:val="20"/>
              </w:rPr>
              <w:t>43.1</w:t>
            </w:r>
          </w:p>
        </w:tc>
        <w:tc>
          <w:tcPr>
            <w:tcW w:w="144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A9ABCD1" w14:textId="77777777" w:rsidR="00784D90" w:rsidRPr="00637368" w:rsidRDefault="00784D90" w:rsidP="0067694D">
            <w:pPr>
              <w:jc w:val="center"/>
              <w:rPr>
                <w:sz w:val="20"/>
                <w:szCs w:val="20"/>
              </w:rPr>
            </w:pPr>
            <w:r w:rsidRPr="00637368">
              <w:rPr>
                <w:color w:val="000000"/>
                <w:sz w:val="20"/>
                <w:szCs w:val="20"/>
              </w:rPr>
              <w:t>--</w:t>
            </w:r>
          </w:p>
        </w:tc>
        <w:tc>
          <w:tcPr>
            <w:tcW w:w="123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D4A705A" w14:textId="77777777" w:rsidR="00784D90" w:rsidRPr="00637368" w:rsidRDefault="00784D90" w:rsidP="0067694D">
            <w:pPr>
              <w:jc w:val="center"/>
              <w:rPr>
                <w:sz w:val="20"/>
                <w:szCs w:val="20"/>
              </w:rPr>
            </w:pPr>
            <w:r w:rsidRPr="00637368">
              <w:rPr>
                <w:color w:val="000000"/>
                <w:sz w:val="20"/>
                <w:szCs w:val="20"/>
              </w:rPr>
              <w:t>189</w:t>
            </w:r>
          </w:p>
        </w:tc>
        <w:tc>
          <w:tcPr>
            <w:tcW w:w="86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BC4D8AD" w14:textId="77777777" w:rsidR="00784D90" w:rsidRPr="00637368" w:rsidRDefault="00784D90" w:rsidP="0067694D">
            <w:pPr>
              <w:jc w:val="center"/>
              <w:rPr>
                <w:sz w:val="20"/>
                <w:szCs w:val="20"/>
              </w:rPr>
            </w:pPr>
            <w:r w:rsidRPr="00637368">
              <w:rPr>
                <w:color w:val="000000"/>
                <w:sz w:val="20"/>
                <w:szCs w:val="20"/>
              </w:rPr>
              <w:t>56.6</w:t>
            </w:r>
          </w:p>
        </w:tc>
        <w:tc>
          <w:tcPr>
            <w:tcW w:w="10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9B95697" w14:textId="77777777" w:rsidR="00784D90" w:rsidRPr="00637368" w:rsidRDefault="00784D90" w:rsidP="0067694D">
            <w:pPr>
              <w:jc w:val="center"/>
              <w:rPr>
                <w:sz w:val="20"/>
                <w:szCs w:val="20"/>
              </w:rPr>
            </w:pPr>
            <w:r w:rsidRPr="00637368">
              <w:rPr>
                <w:color w:val="000000"/>
                <w:sz w:val="20"/>
                <w:szCs w:val="20"/>
              </w:rPr>
              <w:t>70,161</w:t>
            </w:r>
          </w:p>
        </w:tc>
        <w:tc>
          <w:tcPr>
            <w:tcW w:w="83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63BAE81" w14:textId="77777777" w:rsidR="00784D90" w:rsidRPr="00637368" w:rsidRDefault="00784D90" w:rsidP="0067694D">
            <w:pPr>
              <w:jc w:val="center"/>
              <w:rPr>
                <w:sz w:val="20"/>
                <w:szCs w:val="20"/>
              </w:rPr>
            </w:pPr>
            <w:r w:rsidRPr="00637368">
              <w:rPr>
                <w:color w:val="000000"/>
                <w:sz w:val="20"/>
                <w:szCs w:val="20"/>
              </w:rPr>
              <w:t>54.9</w:t>
            </w:r>
          </w:p>
        </w:tc>
      </w:tr>
      <w:tr w:rsidR="00784D90" w:rsidRPr="00637368" w14:paraId="38334BD6" w14:textId="77777777" w:rsidTr="0067694D">
        <w:trPr>
          <w:trHeight w:val="195"/>
        </w:trPr>
        <w:tc>
          <w:tcPr>
            <w:tcW w:w="25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6379B980" w14:textId="77777777" w:rsidR="00784D90" w:rsidRPr="00637368" w:rsidRDefault="00784D90" w:rsidP="0067694D">
            <w:pPr>
              <w:rPr>
                <w:sz w:val="20"/>
                <w:szCs w:val="20"/>
              </w:rPr>
            </w:pPr>
            <w:r w:rsidRPr="00637368">
              <w:rPr>
                <w:color w:val="000000"/>
                <w:sz w:val="20"/>
                <w:szCs w:val="20"/>
              </w:rPr>
              <w:t>Upper</w:t>
            </w:r>
          </w:p>
        </w:tc>
        <w:tc>
          <w:tcPr>
            <w:tcW w:w="6994"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FCE4B80" w14:textId="77777777" w:rsidR="00784D90" w:rsidRPr="00637368" w:rsidRDefault="00784D90" w:rsidP="0067694D">
            <w:pPr>
              <w:rPr>
                <w:sz w:val="20"/>
                <w:szCs w:val="20"/>
              </w:rPr>
            </w:pPr>
          </w:p>
        </w:tc>
      </w:tr>
      <w:tr w:rsidR="00784D90" w:rsidRPr="00637368" w14:paraId="730DB9CA" w14:textId="77777777" w:rsidTr="0067694D">
        <w:trPr>
          <w:trHeight w:val="181"/>
        </w:trPr>
        <w:tc>
          <w:tcPr>
            <w:tcW w:w="2592"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22F11E85" w14:textId="77777777" w:rsidR="00784D90" w:rsidRPr="00637368" w:rsidRDefault="00784D90" w:rsidP="0067694D">
            <w:pPr>
              <w:jc w:val="right"/>
              <w:rPr>
                <w:sz w:val="20"/>
                <w:szCs w:val="20"/>
              </w:rPr>
            </w:pPr>
            <w:r w:rsidRPr="00637368">
              <w:rPr>
                <w:color w:val="000000"/>
                <w:sz w:val="20"/>
                <w:szCs w:val="20"/>
              </w:rPr>
              <w:t>2018</w:t>
            </w:r>
          </w:p>
        </w:tc>
        <w:tc>
          <w:tcPr>
            <w:tcW w:w="158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72C9CA0" w14:textId="77777777" w:rsidR="00784D90" w:rsidRPr="00637368" w:rsidRDefault="00784D90" w:rsidP="0067694D">
            <w:pPr>
              <w:jc w:val="center"/>
              <w:rPr>
                <w:sz w:val="20"/>
                <w:szCs w:val="20"/>
              </w:rPr>
            </w:pPr>
            <w:r w:rsidRPr="00637368">
              <w:rPr>
                <w:color w:val="000000"/>
                <w:sz w:val="20"/>
                <w:szCs w:val="20"/>
              </w:rPr>
              <w:t>42.6</w:t>
            </w:r>
          </w:p>
        </w:tc>
        <w:tc>
          <w:tcPr>
            <w:tcW w:w="144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5816478" w14:textId="77777777" w:rsidR="00784D90" w:rsidRPr="00637368" w:rsidRDefault="00784D90" w:rsidP="0067694D">
            <w:pPr>
              <w:jc w:val="center"/>
              <w:rPr>
                <w:sz w:val="20"/>
                <w:szCs w:val="20"/>
              </w:rPr>
            </w:pPr>
            <w:r w:rsidRPr="00637368">
              <w:rPr>
                <w:color w:val="000000"/>
                <w:sz w:val="20"/>
                <w:szCs w:val="20"/>
              </w:rPr>
              <w:t>40.8</w:t>
            </w:r>
          </w:p>
        </w:tc>
        <w:tc>
          <w:tcPr>
            <w:tcW w:w="123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FF807DD" w14:textId="77777777" w:rsidR="00784D90" w:rsidRPr="00637368" w:rsidRDefault="00784D90" w:rsidP="0067694D">
            <w:pPr>
              <w:jc w:val="center"/>
              <w:rPr>
                <w:sz w:val="20"/>
                <w:szCs w:val="20"/>
              </w:rPr>
            </w:pPr>
            <w:r w:rsidRPr="00637368">
              <w:rPr>
                <w:color w:val="000000"/>
                <w:sz w:val="20"/>
                <w:szCs w:val="20"/>
              </w:rPr>
              <w:t>56</w:t>
            </w:r>
          </w:p>
        </w:tc>
        <w:tc>
          <w:tcPr>
            <w:tcW w:w="86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95292F0" w14:textId="77777777" w:rsidR="00784D90" w:rsidRPr="00637368" w:rsidRDefault="00784D90" w:rsidP="0067694D">
            <w:pPr>
              <w:jc w:val="center"/>
              <w:rPr>
                <w:sz w:val="20"/>
                <w:szCs w:val="20"/>
              </w:rPr>
            </w:pPr>
            <w:r w:rsidRPr="00637368">
              <w:rPr>
                <w:color w:val="000000"/>
                <w:sz w:val="20"/>
                <w:szCs w:val="20"/>
              </w:rPr>
              <w:t>29.2</w:t>
            </w:r>
          </w:p>
        </w:tc>
        <w:tc>
          <w:tcPr>
            <w:tcW w:w="10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FDBB92A" w14:textId="77777777" w:rsidR="00784D90" w:rsidRPr="00637368" w:rsidRDefault="00784D90" w:rsidP="0067694D">
            <w:pPr>
              <w:jc w:val="center"/>
              <w:rPr>
                <w:sz w:val="20"/>
                <w:szCs w:val="20"/>
              </w:rPr>
            </w:pPr>
            <w:r w:rsidRPr="00637368">
              <w:rPr>
                <w:color w:val="000000"/>
                <w:sz w:val="20"/>
                <w:szCs w:val="20"/>
              </w:rPr>
              <w:t>35,051</w:t>
            </w:r>
          </w:p>
        </w:tc>
        <w:tc>
          <w:tcPr>
            <w:tcW w:w="83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B5B27AB" w14:textId="77777777" w:rsidR="00784D90" w:rsidRPr="00637368" w:rsidRDefault="00784D90" w:rsidP="0067694D">
            <w:pPr>
              <w:jc w:val="center"/>
              <w:rPr>
                <w:sz w:val="20"/>
                <w:szCs w:val="20"/>
              </w:rPr>
            </w:pPr>
            <w:r w:rsidRPr="00637368">
              <w:rPr>
                <w:color w:val="000000"/>
                <w:sz w:val="20"/>
                <w:szCs w:val="20"/>
              </w:rPr>
              <w:t>42.7</w:t>
            </w:r>
          </w:p>
        </w:tc>
      </w:tr>
      <w:tr w:rsidR="00784D90" w:rsidRPr="00637368" w14:paraId="73C14EEA" w14:textId="77777777" w:rsidTr="0067694D">
        <w:trPr>
          <w:trHeight w:val="181"/>
        </w:trPr>
        <w:tc>
          <w:tcPr>
            <w:tcW w:w="2592"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709D5F29" w14:textId="77777777" w:rsidR="00784D90" w:rsidRPr="00637368" w:rsidRDefault="00784D90" w:rsidP="0067694D">
            <w:pPr>
              <w:jc w:val="right"/>
              <w:rPr>
                <w:sz w:val="20"/>
                <w:szCs w:val="20"/>
              </w:rPr>
            </w:pPr>
            <w:r w:rsidRPr="00637368">
              <w:rPr>
                <w:color w:val="000000"/>
                <w:sz w:val="20"/>
                <w:szCs w:val="20"/>
              </w:rPr>
              <w:t>2019</w:t>
            </w:r>
          </w:p>
        </w:tc>
        <w:tc>
          <w:tcPr>
            <w:tcW w:w="158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0588D92" w14:textId="77777777" w:rsidR="00784D90" w:rsidRPr="00637368" w:rsidRDefault="00784D90" w:rsidP="0067694D">
            <w:pPr>
              <w:jc w:val="center"/>
              <w:rPr>
                <w:sz w:val="20"/>
                <w:szCs w:val="20"/>
              </w:rPr>
            </w:pPr>
            <w:r w:rsidRPr="00637368">
              <w:rPr>
                <w:color w:val="000000"/>
                <w:sz w:val="20"/>
                <w:szCs w:val="20"/>
              </w:rPr>
              <w:t>42.6</w:t>
            </w:r>
          </w:p>
        </w:tc>
        <w:tc>
          <w:tcPr>
            <w:tcW w:w="144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03C069C" w14:textId="77777777" w:rsidR="00784D90" w:rsidRPr="00637368" w:rsidRDefault="00784D90" w:rsidP="0067694D">
            <w:pPr>
              <w:jc w:val="center"/>
              <w:rPr>
                <w:sz w:val="20"/>
                <w:szCs w:val="20"/>
              </w:rPr>
            </w:pPr>
            <w:r w:rsidRPr="00637368">
              <w:rPr>
                <w:color w:val="000000"/>
                <w:sz w:val="20"/>
                <w:szCs w:val="20"/>
              </w:rPr>
              <w:t>--</w:t>
            </w:r>
          </w:p>
        </w:tc>
        <w:tc>
          <w:tcPr>
            <w:tcW w:w="123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9D67014" w14:textId="77777777" w:rsidR="00784D90" w:rsidRPr="00637368" w:rsidRDefault="00784D90" w:rsidP="0067694D">
            <w:pPr>
              <w:jc w:val="center"/>
              <w:rPr>
                <w:sz w:val="20"/>
                <w:szCs w:val="20"/>
              </w:rPr>
            </w:pPr>
            <w:r w:rsidRPr="00637368">
              <w:rPr>
                <w:color w:val="000000"/>
                <w:sz w:val="20"/>
                <w:szCs w:val="20"/>
              </w:rPr>
              <w:t>113</w:t>
            </w:r>
          </w:p>
        </w:tc>
        <w:tc>
          <w:tcPr>
            <w:tcW w:w="86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2968E34" w14:textId="77777777" w:rsidR="00784D90" w:rsidRPr="00637368" w:rsidRDefault="00784D90" w:rsidP="0067694D">
            <w:pPr>
              <w:jc w:val="center"/>
              <w:rPr>
                <w:sz w:val="20"/>
                <w:szCs w:val="20"/>
              </w:rPr>
            </w:pPr>
            <w:r w:rsidRPr="00637368">
              <w:rPr>
                <w:color w:val="000000"/>
                <w:sz w:val="20"/>
                <w:szCs w:val="20"/>
              </w:rPr>
              <w:t>33.8</w:t>
            </w:r>
          </w:p>
        </w:tc>
        <w:tc>
          <w:tcPr>
            <w:tcW w:w="10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4DA19B0" w14:textId="77777777" w:rsidR="00784D90" w:rsidRPr="00637368" w:rsidRDefault="00784D90" w:rsidP="0067694D">
            <w:pPr>
              <w:jc w:val="center"/>
              <w:rPr>
                <w:sz w:val="20"/>
                <w:szCs w:val="20"/>
              </w:rPr>
            </w:pPr>
            <w:r w:rsidRPr="00637368">
              <w:rPr>
                <w:color w:val="000000"/>
                <w:sz w:val="20"/>
                <w:szCs w:val="20"/>
              </w:rPr>
              <w:t>48,279</w:t>
            </w:r>
          </w:p>
        </w:tc>
        <w:tc>
          <w:tcPr>
            <w:tcW w:w="83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E1842A4" w14:textId="77777777" w:rsidR="00784D90" w:rsidRPr="00637368" w:rsidRDefault="00784D90" w:rsidP="0067694D">
            <w:pPr>
              <w:jc w:val="center"/>
              <w:rPr>
                <w:sz w:val="20"/>
                <w:szCs w:val="20"/>
              </w:rPr>
            </w:pPr>
            <w:r w:rsidRPr="00637368">
              <w:rPr>
                <w:color w:val="000000"/>
                <w:sz w:val="20"/>
                <w:szCs w:val="20"/>
              </w:rPr>
              <w:t>37.8</w:t>
            </w:r>
          </w:p>
        </w:tc>
      </w:tr>
      <w:tr w:rsidR="00784D90" w:rsidRPr="00637368" w14:paraId="3C794642" w14:textId="77777777" w:rsidTr="0067694D">
        <w:trPr>
          <w:trHeight w:val="195"/>
        </w:trPr>
        <w:tc>
          <w:tcPr>
            <w:tcW w:w="25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59FD4FD5" w14:textId="77777777" w:rsidR="00784D90" w:rsidRPr="00637368" w:rsidRDefault="00784D90" w:rsidP="0067694D">
            <w:pPr>
              <w:rPr>
                <w:sz w:val="20"/>
                <w:szCs w:val="20"/>
              </w:rPr>
            </w:pPr>
            <w:r w:rsidRPr="00637368">
              <w:rPr>
                <w:color w:val="000000"/>
                <w:sz w:val="20"/>
                <w:szCs w:val="20"/>
              </w:rPr>
              <w:t>Not Available</w:t>
            </w:r>
          </w:p>
        </w:tc>
        <w:tc>
          <w:tcPr>
            <w:tcW w:w="6994"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5EC7CB6" w14:textId="77777777" w:rsidR="00784D90" w:rsidRPr="00637368" w:rsidRDefault="00784D90" w:rsidP="0067694D">
            <w:pPr>
              <w:rPr>
                <w:sz w:val="20"/>
                <w:szCs w:val="20"/>
              </w:rPr>
            </w:pPr>
          </w:p>
        </w:tc>
      </w:tr>
      <w:tr w:rsidR="00784D90" w:rsidRPr="00637368" w14:paraId="147AD4F4" w14:textId="77777777" w:rsidTr="0067694D">
        <w:trPr>
          <w:trHeight w:val="181"/>
        </w:trPr>
        <w:tc>
          <w:tcPr>
            <w:tcW w:w="2592"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13891A49" w14:textId="77777777" w:rsidR="00784D90" w:rsidRPr="00637368" w:rsidRDefault="00784D90" w:rsidP="0067694D">
            <w:pPr>
              <w:jc w:val="right"/>
              <w:rPr>
                <w:sz w:val="20"/>
                <w:szCs w:val="20"/>
              </w:rPr>
            </w:pPr>
            <w:r w:rsidRPr="00637368">
              <w:rPr>
                <w:color w:val="000000"/>
                <w:sz w:val="20"/>
                <w:szCs w:val="20"/>
              </w:rPr>
              <w:t>2018</w:t>
            </w:r>
          </w:p>
        </w:tc>
        <w:tc>
          <w:tcPr>
            <w:tcW w:w="158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DC220DD" w14:textId="77777777" w:rsidR="00784D90" w:rsidRPr="00637368" w:rsidRDefault="00784D90" w:rsidP="0067694D">
            <w:pPr>
              <w:jc w:val="center"/>
              <w:rPr>
                <w:sz w:val="20"/>
                <w:szCs w:val="20"/>
              </w:rPr>
            </w:pPr>
            <w:r w:rsidRPr="00637368">
              <w:rPr>
                <w:color w:val="000000"/>
                <w:sz w:val="20"/>
                <w:szCs w:val="20"/>
              </w:rPr>
              <w:t>0.0</w:t>
            </w:r>
          </w:p>
        </w:tc>
        <w:tc>
          <w:tcPr>
            <w:tcW w:w="144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B73768E" w14:textId="77777777" w:rsidR="00784D90" w:rsidRPr="00637368" w:rsidRDefault="00784D90" w:rsidP="0067694D">
            <w:pPr>
              <w:jc w:val="center"/>
              <w:rPr>
                <w:sz w:val="20"/>
                <w:szCs w:val="20"/>
              </w:rPr>
            </w:pPr>
            <w:r w:rsidRPr="00637368">
              <w:rPr>
                <w:color w:val="000000"/>
                <w:sz w:val="20"/>
                <w:szCs w:val="20"/>
              </w:rPr>
              <w:t>0.0</w:t>
            </w:r>
          </w:p>
        </w:tc>
        <w:tc>
          <w:tcPr>
            <w:tcW w:w="123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7980F3C" w14:textId="77777777" w:rsidR="00784D90" w:rsidRPr="00637368" w:rsidRDefault="00784D90" w:rsidP="0067694D">
            <w:pPr>
              <w:jc w:val="center"/>
              <w:rPr>
                <w:sz w:val="20"/>
                <w:szCs w:val="20"/>
              </w:rPr>
            </w:pPr>
            <w:r w:rsidRPr="00637368">
              <w:rPr>
                <w:color w:val="000000"/>
                <w:sz w:val="20"/>
                <w:szCs w:val="20"/>
              </w:rPr>
              <w:t>0</w:t>
            </w:r>
          </w:p>
        </w:tc>
        <w:tc>
          <w:tcPr>
            <w:tcW w:w="86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F8D4F22" w14:textId="77777777" w:rsidR="00784D90" w:rsidRPr="00637368" w:rsidRDefault="00784D90" w:rsidP="0067694D">
            <w:pPr>
              <w:jc w:val="center"/>
              <w:rPr>
                <w:sz w:val="20"/>
                <w:szCs w:val="20"/>
              </w:rPr>
            </w:pPr>
            <w:r w:rsidRPr="00637368">
              <w:rPr>
                <w:color w:val="000000"/>
                <w:sz w:val="20"/>
                <w:szCs w:val="20"/>
              </w:rPr>
              <w:t>0.0</w:t>
            </w:r>
          </w:p>
        </w:tc>
        <w:tc>
          <w:tcPr>
            <w:tcW w:w="10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B219920" w14:textId="77777777" w:rsidR="00784D90" w:rsidRPr="00637368" w:rsidRDefault="00784D90" w:rsidP="0067694D">
            <w:pPr>
              <w:jc w:val="center"/>
              <w:rPr>
                <w:sz w:val="20"/>
                <w:szCs w:val="20"/>
              </w:rPr>
            </w:pPr>
            <w:r w:rsidRPr="00637368">
              <w:rPr>
                <w:color w:val="000000"/>
                <w:sz w:val="20"/>
                <w:szCs w:val="20"/>
              </w:rPr>
              <w:t>0</w:t>
            </w:r>
          </w:p>
        </w:tc>
        <w:tc>
          <w:tcPr>
            <w:tcW w:w="83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2FC4F4C" w14:textId="77777777" w:rsidR="00784D90" w:rsidRPr="00637368" w:rsidRDefault="00784D90" w:rsidP="0067694D">
            <w:pPr>
              <w:jc w:val="center"/>
              <w:rPr>
                <w:sz w:val="20"/>
                <w:szCs w:val="20"/>
              </w:rPr>
            </w:pPr>
            <w:r w:rsidRPr="00637368">
              <w:rPr>
                <w:color w:val="000000"/>
                <w:sz w:val="20"/>
                <w:szCs w:val="20"/>
              </w:rPr>
              <w:t>0.0</w:t>
            </w:r>
          </w:p>
        </w:tc>
      </w:tr>
      <w:tr w:rsidR="00784D90" w:rsidRPr="00637368" w14:paraId="221054B0" w14:textId="77777777" w:rsidTr="0067694D">
        <w:trPr>
          <w:trHeight w:val="181"/>
        </w:trPr>
        <w:tc>
          <w:tcPr>
            <w:tcW w:w="2592"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47484CE9" w14:textId="77777777" w:rsidR="00784D90" w:rsidRPr="00637368" w:rsidRDefault="00784D90" w:rsidP="0067694D">
            <w:pPr>
              <w:jc w:val="right"/>
              <w:rPr>
                <w:sz w:val="20"/>
                <w:szCs w:val="20"/>
              </w:rPr>
            </w:pPr>
            <w:r w:rsidRPr="00637368">
              <w:rPr>
                <w:color w:val="000000"/>
                <w:sz w:val="20"/>
                <w:szCs w:val="20"/>
              </w:rPr>
              <w:t>2019</w:t>
            </w:r>
          </w:p>
        </w:tc>
        <w:tc>
          <w:tcPr>
            <w:tcW w:w="158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BBB704B" w14:textId="77777777" w:rsidR="00784D90" w:rsidRPr="00637368" w:rsidRDefault="00784D90" w:rsidP="0067694D">
            <w:pPr>
              <w:jc w:val="center"/>
              <w:rPr>
                <w:sz w:val="20"/>
                <w:szCs w:val="20"/>
              </w:rPr>
            </w:pPr>
            <w:r w:rsidRPr="00637368">
              <w:rPr>
                <w:color w:val="000000"/>
                <w:sz w:val="20"/>
                <w:szCs w:val="20"/>
              </w:rPr>
              <w:t>0.0</w:t>
            </w:r>
          </w:p>
        </w:tc>
        <w:tc>
          <w:tcPr>
            <w:tcW w:w="144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0CFCB6F" w14:textId="77777777" w:rsidR="00784D90" w:rsidRPr="00637368" w:rsidRDefault="00784D90" w:rsidP="0067694D">
            <w:pPr>
              <w:jc w:val="center"/>
              <w:rPr>
                <w:sz w:val="20"/>
                <w:szCs w:val="20"/>
              </w:rPr>
            </w:pPr>
            <w:r w:rsidRPr="00637368">
              <w:rPr>
                <w:color w:val="000000"/>
                <w:sz w:val="20"/>
                <w:szCs w:val="20"/>
              </w:rPr>
              <w:t>--</w:t>
            </w:r>
          </w:p>
        </w:tc>
        <w:tc>
          <w:tcPr>
            <w:tcW w:w="123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EBC2129" w14:textId="77777777" w:rsidR="00784D90" w:rsidRPr="00637368" w:rsidRDefault="00784D90" w:rsidP="0067694D">
            <w:pPr>
              <w:jc w:val="center"/>
              <w:rPr>
                <w:sz w:val="20"/>
                <w:szCs w:val="20"/>
              </w:rPr>
            </w:pPr>
            <w:r w:rsidRPr="00637368">
              <w:rPr>
                <w:color w:val="000000"/>
                <w:sz w:val="20"/>
                <w:szCs w:val="20"/>
              </w:rPr>
              <w:t>0</w:t>
            </w:r>
          </w:p>
        </w:tc>
        <w:tc>
          <w:tcPr>
            <w:tcW w:w="86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25118CE" w14:textId="77777777" w:rsidR="00784D90" w:rsidRPr="00637368" w:rsidRDefault="00784D90" w:rsidP="0067694D">
            <w:pPr>
              <w:jc w:val="center"/>
              <w:rPr>
                <w:sz w:val="20"/>
                <w:szCs w:val="20"/>
              </w:rPr>
            </w:pPr>
            <w:r w:rsidRPr="00637368">
              <w:rPr>
                <w:color w:val="000000"/>
                <w:sz w:val="20"/>
                <w:szCs w:val="20"/>
              </w:rPr>
              <w:t>0.0</w:t>
            </w:r>
          </w:p>
        </w:tc>
        <w:tc>
          <w:tcPr>
            <w:tcW w:w="10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C317ACB" w14:textId="77777777" w:rsidR="00784D90" w:rsidRPr="00637368" w:rsidRDefault="00784D90" w:rsidP="0067694D">
            <w:pPr>
              <w:jc w:val="center"/>
              <w:rPr>
                <w:sz w:val="20"/>
                <w:szCs w:val="20"/>
              </w:rPr>
            </w:pPr>
            <w:r w:rsidRPr="00637368">
              <w:rPr>
                <w:color w:val="000000"/>
                <w:sz w:val="20"/>
                <w:szCs w:val="20"/>
              </w:rPr>
              <w:t>0</w:t>
            </w:r>
          </w:p>
        </w:tc>
        <w:tc>
          <w:tcPr>
            <w:tcW w:w="83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1407D37" w14:textId="77777777" w:rsidR="00784D90" w:rsidRPr="00637368" w:rsidRDefault="00784D90" w:rsidP="0067694D">
            <w:pPr>
              <w:jc w:val="center"/>
              <w:rPr>
                <w:sz w:val="20"/>
                <w:szCs w:val="20"/>
              </w:rPr>
            </w:pPr>
            <w:r w:rsidRPr="00637368">
              <w:rPr>
                <w:color w:val="000000"/>
                <w:sz w:val="20"/>
                <w:szCs w:val="20"/>
              </w:rPr>
              <w:t>0.0</w:t>
            </w:r>
          </w:p>
        </w:tc>
      </w:tr>
      <w:tr w:rsidR="00784D90" w:rsidRPr="00637368" w14:paraId="555E8462" w14:textId="77777777" w:rsidTr="0067694D">
        <w:trPr>
          <w:trHeight w:val="210"/>
        </w:trPr>
        <w:tc>
          <w:tcPr>
            <w:tcW w:w="25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678DB622" w14:textId="77777777" w:rsidR="00784D90" w:rsidRPr="00637368" w:rsidRDefault="00784D90" w:rsidP="0067694D">
            <w:pPr>
              <w:rPr>
                <w:sz w:val="20"/>
                <w:szCs w:val="20"/>
              </w:rPr>
            </w:pPr>
            <w:r w:rsidRPr="00637368">
              <w:rPr>
                <w:b/>
                <w:color w:val="000000"/>
                <w:sz w:val="20"/>
                <w:szCs w:val="20"/>
              </w:rPr>
              <w:t>Totals</w:t>
            </w:r>
          </w:p>
        </w:tc>
        <w:tc>
          <w:tcPr>
            <w:tcW w:w="6994"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29125A8" w14:textId="77777777" w:rsidR="00784D90" w:rsidRPr="00637368" w:rsidRDefault="00784D90" w:rsidP="0067694D">
            <w:pPr>
              <w:rPr>
                <w:sz w:val="20"/>
                <w:szCs w:val="20"/>
              </w:rPr>
            </w:pPr>
          </w:p>
        </w:tc>
      </w:tr>
      <w:tr w:rsidR="00784D90" w:rsidRPr="00637368" w14:paraId="53FFA1CC" w14:textId="77777777" w:rsidTr="0067694D">
        <w:trPr>
          <w:trHeight w:val="195"/>
        </w:trPr>
        <w:tc>
          <w:tcPr>
            <w:tcW w:w="2592"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26098217" w14:textId="77777777" w:rsidR="00784D90" w:rsidRPr="00637368" w:rsidRDefault="00784D90" w:rsidP="0067694D">
            <w:pPr>
              <w:jc w:val="right"/>
              <w:rPr>
                <w:sz w:val="20"/>
                <w:szCs w:val="20"/>
              </w:rPr>
            </w:pPr>
            <w:r w:rsidRPr="00637368">
              <w:rPr>
                <w:b/>
                <w:color w:val="000000"/>
                <w:sz w:val="20"/>
                <w:szCs w:val="20"/>
              </w:rPr>
              <w:t>2018</w:t>
            </w:r>
          </w:p>
        </w:tc>
        <w:tc>
          <w:tcPr>
            <w:tcW w:w="158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5D061B4" w14:textId="77777777" w:rsidR="00784D90" w:rsidRPr="00637368" w:rsidRDefault="00784D90" w:rsidP="0067694D">
            <w:pPr>
              <w:jc w:val="center"/>
              <w:rPr>
                <w:sz w:val="20"/>
                <w:szCs w:val="20"/>
              </w:rPr>
            </w:pPr>
            <w:r w:rsidRPr="00637368">
              <w:rPr>
                <w:b/>
                <w:color w:val="000000"/>
                <w:sz w:val="20"/>
                <w:szCs w:val="20"/>
              </w:rPr>
              <w:t>100.0</w:t>
            </w:r>
          </w:p>
        </w:tc>
        <w:tc>
          <w:tcPr>
            <w:tcW w:w="144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6411CD2" w14:textId="77777777" w:rsidR="00784D90" w:rsidRPr="00637368" w:rsidRDefault="00784D90" w:rsidP="0067694D">
            <w:pPr>
              <w:jc w:val="center"/>
              <w:rPr>
                <w:sz w:val="20"/>
                <w:szCs w:val="20"/>
              </w:rPr>
            </w:pPr>
            <w:r w:rsidRPr="00637368">
              <w:rPr>
                <w:b/>
                <w:color w:val="000000"/>
                <w:sz w:val="20"/>
                <w:szCs w:val="20"/>
              </w:rPr>
              <w:t>100.0</w:t>
            </w:r>
          </w:p>
        </w:tc>
        <w:tc>
          <w:tcPr>
            <w:tcW w:w="123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AFB6360" w14:textId="77777777" w:rsidR="00784D90" w:rsidRPr="00637368" w:rsidRDefault="00784D90" w:rsidP="0067694D">
            <w:pPr>
              <w:jc w:val="center"/>
              <w:rPr>
                <w:sz w:val="20"/>
                <w:szCs w:val="20"/>
              </w:rPr>
            </w:pPr>
            <w:r w:rsidRPr="00637368">
              <w:rPr>
                <w:b/>
                <w:color w:val="000000"/>
                <w:sz w:val="20"/>
                <w:szCs w:val="20"/>
              </w:rPr>
              <w:t>192</w:t>
            </w:r>
          </w:p>
        </w:tc>
        <w:tc>
          <w:tcPr>
            <w:tcW w:w="86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92057D5" w14:textId="77777777" w:rsidR="00784D90" w:rsidRPr="00637368" w:rsidRDefault="00784D90" w:rsidP="0067694D">
            <w:pPr>
              <w:jc w:val="center"/>
              <w:rPr>
                <w:sz w:val="20"/>
                <w:szCs w:val="20"/>
              </w:rPr>
            </w:pPr>
            <w:r w:rsidRPr="00637368">
              <w:rPr>
                <w:b/>
                <w:color w:val="000000"/>
                <w:sz w:val="20"/>
                <w:szCs w:val="20"/>
              </w:rPr>
              <w:t>100.0</w:t>
            </w:r>
          </w:p>
        </w:tc>
        <w:tc>
          <w:tcPr>
            <w:tcW w:w="10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8D646E5" w14:textId="77777777" w:rsidR="00784D90" w:rsidRPr="00637368" w:rsidRDefault="00784D90" w:rsidP="0067694D">
            <w:pPr>
              <w:jc w:val="center"/>
              <w:rPr>
                <w:sz w:val="20"/>
                <w:szCs w:val="20"/>
              </w:rPr>
            </w:pPr>
            <w:r w:rsidRPr="00637368">
              <w:rPr>
                <w:b/>
                <w:color w:val="000000"/>
                <w:sz w:val="20"/>
                <w:szCs w:val="20"/>
              </w:rPr>
              <w:t>82,098</w:t>
            </w:r>
          </w:p>
        </w:tc>
        <w:tc>
          <w:tcPr>
            <w:tcW w:w="83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F6A81BB" w14:textId="77777777" w:rsidR="00784D90" w:rsidRPr="00637368" w:rsidRDefault="00784D90" w:rsidP="0067694D">
            <w:pPr>
              <w:jc w:val="center"/>
              <w:rPr>
                <w:sz w:val="20"/>
                <w:szCs w:val="20"/>
              </w:rPr>
            </w:pPr>
            <w:r w:rsidRPr="00637368">
              <w:rPr>
                <w:b/>
                <w:color w:val="000000"/>
                <w:sz w:val="20"/>
                <w:szCs w:val="20"/>
              </w:rPr>
              <w:t>100.0</w:t>
            </w:r>
          </w:p>
        </w:tc>
      </w:tr>
      <w:tr w:rsidR="00784D90" w:rsidRPr="00637368" w14:paraId="496FAF13" w14:textId="77777777" w:rsidTr="0067694D">
        <w:trPr>
          <w:trHeight w:val="195"/>
        </w:trPr>
        <w:tc>
          <w:tcPr>
            <w:tcW w:w="2592"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10EEF829" w14:textId="77777777" w:rsidR="00784D90" w:rsidRPr="00637368" w:rsidRDefault="00784D90" w:rsidP="0067694D">
            <w:pPr>
              <w:jc w:val="right"/>
              <w:rPr>
                <w:sz w:val="20"/>
                <w:szCs w:val="20"/>
              </w:rPr>
            </w:pPr>
            <w:r w:rsidRPr="00637368">
              <w:rPr>
                <w:b/>
                <w:color w:val="000000"/>
                <w:sz w:val="20"/>
                <w:szCs w:val="20"/>
              </w:rPr>
              <w:t>2019</w:t>
            </w:r>
          </w:p>
        </w:tc>
        <w:tc>
          <w:tcPr>
            <w:tcW w:w="158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AB309B2" w14:textId="77777777" w:rsidR="00784D90" w:rsidRPr="00637368" w:rsidRDefault="00784D90" w:rsidP="0067694D">
            <w:pPr>
              <w:jc w:val="center"/>
              <w:rPr>
                <w:sz w:val="20"/>
                <w:szCs w:val="20"/>
              </w:rPr>
            </w:pPr>
            <w:r w:rsidRPr="00637368">
              <w:rPr>
                <w:b/>
                <w:color w:val="000000"/>
                <w:sz w:val="20"/>
                <w:szCs w:val="20"/>
              </w:rPr>
              <w:t>100.0</w:t>
            </w:r>
          </w:p>
        </w:tc>
        <w:tc>
          <w:tcPr>
            <w:tcW w:w="144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187D27A" w14:textId="77777777" w:rsidR="00784D90" w:rsidRPr="00637368" w:rsidRDefault="00784D90" w:rsidP="0067694D">
            <w:pPr>
              <w:jc w:val="center"/>
              <w:rPr>
                <w:sz w:val="20"/>
                <w:szCs w:val="20"/>
              </w:rPr>
            </w:pPr>
            <w:r w:rsidRPr="00637368">
              <w:rPr>
                <w:b/>
                <w:color w:val="000000"/>
                <w:sz w:val="20"/>
                <w:szCs w:val="20"/>
              </w:rPr>
              <w:t>--</w:t>
            </w:r>
          </w:p>
        </w:tc>
        <w:tc>
          <w:tcPr>
            <w:tcW w:w="123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2A23982" w14:textId="77777777" w:rsidR="00784D90" w:rsidRPr="00637368" w:rsidRDefault="00784D90" w:rsidP="0067694D">
            <w:pPr>
              <w:jc w:val="center"/>
              <w:rPr>
                <w:sz w:val="20"/>
                <w:szCs w:val="20"/>
              </w:rPr>
            </w:pPr>
            <w:r w:rsidRPr="00637368">
              <w:rPr>
                <w:b/>
                <w:color w:val="000000"/>
                <w:sz w:val="20"/>
                <w:szCs w:val="20"/>
              </w:rPr>
              <w:t>334</w:t>
            </w:r>
          </w:p>
        </w:tc>
        <w:tc>
          <w:tcPr>
            <w:tcW w:w="86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48509FE" w14:textId="77777777" w:rsidR="00784D90" w:rsidRPr="00637368" w:rsidRDefault="00784D90" w:rsidP="0067694D">
            <w:pPr>
              <w:jc w:val="center"/>
              <w:rPr>
                <w:sz w:val="20"/>
                <w:szCs w:val="20"/>
              </w:rPr>
            </w:pPr>
            <w:r w:rsidRPr="00637368">
              <w:rPr>
                <w:b/>
                <w:color w:val="000000"/>
                <w:sz w:val="20"/>
                <w:szCs w:val="20"/>
              </w:rPr>
              <w:t>100.0</w:t>
            </w:r>
          </w:p>
        </w:tc>
        <w:tc>
          <w:tcPr>
            <w:tcW w:w="10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EDD2B70" w14:textId="77777777" w:rsidR="00784D90" w:rsidRPr="00637368" w:rsidRDefault="00784D90" w:rsidP="0067694D">
            <w:pPr>
              <w:jc w:val="center"/>
              <w:rPr>
                <w:sz w:val="20"/>
                <w:szCs w:val="20"/>
              </w:rPr>
            </w:pPr>
            <w:r w:rsidRPr="00637368">
              <w:rPr>
                <w:b/>
                <w:color w:val="000000"/>
                <w:sz w:val="20"/>
                <w:szCs w:val="20"/>
              </w:rPr>
              <w:t>127,867</w:t>
            </w:r>
          </w:p>
        </w:tc>
        <w:tc>
          <w:tcPr>
            <w:tcW w:w="83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5D8638B" w14:textId="77777777" w:rsidR="00784D90" w:rsidRPr="00637368" w:rsidRDefault="00784D90" w:rsidP="0067694D">
            <w:pPr>
              <w:jc w:val="center"/>
              <w:rPr>
                <w:sz w:val="20"/>
                <w:szCs w:val="20"/>
              </w:rPr>
            </w:pPr>
            <w:r w:rsidRPr="00637368">
              <w:rPr>
                <w:b/>
                <w:color w:val="000000"/>
                <w:sz w:val="20"/>
                <w:szCs w:val="20"/>
              </w:rPr>
              <w:t>100.0</w:t>
            </w:r>
          </w:p>
        </w:tc>
      </w:tr>
      <w:tr w:rsidR="00784D90" w:rsidRPr="00637368" w14:paraId="792960A3" w14:textId="77777777" w:rsidTr="0067694D">
        <w:trPr>
          <w:trHeight w:val="401"/>
        </w:trPr>
        <w:tc>
          <w:tcPr>
            <w:tcW w:w="9586" w:type="dxa"/>
            <w:gridSpan w:val="7"/>
            <w:tcBorders>
              <w:top w:val="single" w:sz="7" w:space="0" w:color="000000"/>
              <w:left w:val="single" w:sz="7" w:space="0" w:color="000000"/>
              <w:bottom w:val="single" w:sz="7" w:space="0" w:color="000000"/>
              <w:right w:val="single" w:sz="7" w:space="0" w:color="000000"/>
            </w:tcBorders>
            <w:tcMar>
              <w:top w:w="59" w:type="dxa"/>
              <w:left w:w="39" w:type="dxa"/>
              <w:bottom w:w="39" w:type="dxa"/>
              <w:right w:w="39" w:type="dxa"/>
            </w:tcMar>
          </w:tcPr>
          <w:p w14:paraId="5C9C551A" w14:textId="77777777" w:rsidR="00784D90" w:rsidRPr="00637368" w:rsidRDefault="00784D90" w:rsidP="0067694D">
            <w:pPr>
              <w:rPr>
                <w:sz w:val="20"/>
                <w:szCs w:val="20"/>
              </w:rPr>
            </w:pPr>
            <w:r w:rsidRPr="00637368">
              <w:rPr>
                <w:i/>
                <w:color w:val="000000"/>
                <w:sz w:val="16"/>
                <w:szCs w:val="20"/>
              </w:rPr>
              <w:t>Source: 2015 ACS Census; 1/1/2018 - 12/31/2019 Bank Data, 2018 HMDA Aggregate Data, "--" data not available.</w:t>
            </w:r>
          </w:p>
          <w:p w14:paraId="7479A12E" w14:textId="77777777" w:rsidR="00784D90" w:rsidRPr="00637368" w:rsidRDefault="00784D90" w:rsidP="0067694D">
            <w:pPr>
              <w:rPr>
                <w:sz w:val="20"/>
                <w:szCs w:val="20"/>
              </w:rPr>
            </w:pPr>
            <w:r w:rsidRPr="00637368">
              <w:rPr>
                <w:i/>
                <w:color w:val="000000"/>
                <w:sz w:val="16"/>
                <w:szCs w:val="20"/>
              </w:rPr>
              <w:t>Due to rounding, totals may not equal 100.0</w:t>
            </w:r>
          </w:p>
        </w:tc>
      </w:tr>
    </w:tbl>
    <w:p w14:paraId="436D4207" w14:textId="77777777" w:rsidR="00784D90" w:rsidRDefault="00784D90" w:rsidP="00784D90">
      <w:pPr>
        <w:contextualSpacing/>
        <w:rPr>
          <w:b/>
          <w:i/>
        </w:rPr>
      </w:pPr>
    </w:p>
    <w:p w14:paraId="518AE746" w14:textId="77777777" w:rsidR="00784D90" w:rsidRPr="00C65585" w:rsidRDefault="00784D90" w:rsidP="00784D90">
      <w:pPr>
        <w:contextualSpacing/>
        <w:rPr>
          <w:b/>
          <w:i/>
        </w:rPr>
      </w:pPr>
      <w:r w:rsidRPr="00C65585">
        <w:rPr>
          <w:b/>
          <w:i/>
        </w:rPr>
        <w:t>Small Business Loans</w:t>
      </w:r>
    </w:p>
    <w:p w14:paraId="7A008D07" w14:textId="499141A9" w:rsidR="00185C71" w:rsidRDefault="00784D90" w:rsidP="00784D90">
      <w:pPr>
        <w:contextualSpacing/>
        <w:rPr>
          <w:bCs/>
        </w:rPr>
      </w:pPr>
      <w:r w:rsidRPr="00867836">
        <w:rPr>
          <w:bCs/>
        </w:rPr>
        <w:t xml:space="preserve">The geographic distribution of small business loans reflects </w:t>
      </w:r>
      <w:r>
        <w:rPr>
          <w:bCs/>
        </w:rPr>
        <w:t>poor penetration</w:t>
      </w:r>
      <w:r w:rsidRPr="00867836">
        <w:rPr>
          <w:bCs/>
        </w:rPr>
        <w:t xml:space="preserve"> throughout the assessment area.  </w:t>
      </w:r>
      <w:r>
        <w:rPr>
          <w:bCs/>
        </w:rPr>
        <w:t xml:space="preserve">The bank’s 2018 lending performance in </w:t>
      </w:r>
      <w:r w:rsidR="00BF3610">
        <w:rPr>
          <w:bCs/>
        </w:rPr>
        <w:t xml:space="preserve">the </w:t>
      </w:r>
      <w:r>
        <w:rPr>
          <w:bCs/>
        </w:rPr>
        <w:t>low-</w:t>
      </w:r>
      <w:r w:rsidR="00BF3610">
        <w:rPr>
          <w:bCs/>
        </w:rPr>
        <w:t xml:space="preserve"> and moderate-</w:t>
      </w:r>
      <w:r>
        <w:rPr>
          <w:bCs/>
        </w:rPr>
        <w:t xml:space="preserve">income income census tracts was below aggregate and demographic data.  </w:t>
      </w:r>
      <w:r w:rsidR="00BF3610">
        <w:rPr>
          <w:bCs/>
        </w:rPr>
        <w:t xml:space="preserve">In the low-income tracts, </w:t>
      </w:r>
      <w:r w:rsidR="00934117">
        <w:rPr>
          <w:bCs/>
        </w:rPr>
        <w:t>NBTC ranked 67</w:t>
      </w:r>
      <w:r w:rsidR="00934117" w:rsidRPr="00934117">
        <w:rPr>
          <w:bCs/>
          <w:vertAlign w:val="superscript"/>
        </w:rPr>
        <w:t>th</w:t>
      </w:r>
      <w:r w:rsidR="00934117">
        <w:rPr>
          <w:bCs/>
        </w:rPr>
        <w:t xml:space="preserve"> of 139 lenders reporting </w:t>
      </w:r>
      <w:r w:rsidR="00550098">
        <w:rPr>
          <w:bCs/>
        </w:rPr>
        <w:t>at least one sm</w:t>
      </w:r>
      <w:r w:rsidR="00934117">
        <w:rPr>
          <w:bCs/>
        </w:rPr>
        <w:t>all business loan</w:t>
      </w:r>
      <w:r w:rsidR="00BF3610">
        <w:rPr>
          <w:bCs/>
        </w:rPr>
        <w:t>.  In the moderate-</w:t>
      </w:r>
      <w:r w:rsidR="00BF3610">
        <w:rPr>
          <w:bCs/>
        </w:rPr>
        <w:lastRenderedPageBreak/>
        <w:t>income tracts, NBTC ranked 50</w:t>
      </w:r>
      <w:r w:rsidR="00BF3610" w:rsidRPr="00BF3610">
        <w:rPr>
          <w:bCs/>
          <w:vertAlign w:val="superscript"/>
        </w:rPr>
        <w:t>th</w:t>
      </w:r>
      <w:r w:rsidR="00BF3610">
        <w:rPr>
          <w:bCs/>
        </w:rPr>
        <w:t xml:space="preserve"> of 139 lenders.  </w:t>
      </w:r>
      <w:r w:rsidR="00934117">
        <w:rPr>
          <w:bCs/>
        </w:rPr>
        <w:t xml:space="preserve"> </w:t>
      </w:r>
      <w:r w:rsidR="00185C71">
        <w:rPr>
          <w:bCs/>
        </w:rPr>
        <w:t xml:space="preserve">The 2018 small </w:t>
      </w:r>
      <w:proofErr w:type="gramStart"/>
      <w:r w:rsidR="00185C71">
        <w:rPr>
          <w:bCs/>
        </w:rPr>
        <w:t>business lender market share report</w:t>
      </w:r>
      <w:proofErr w:type="gramEnd"/>
      <w:r w:rsidR="00185C71">
        <w:rPr>
          <w:bCs/>
        </w:rPr>
        <w:t xml:space="preserve"> for loans made in low-income geographies indicate</w:t>
      </w:r>
      <w:r w:rsidR="00A75CB5">
        <w:rPr>
          <w:bCs/>
        </w:rPr>
        <w:t>d</w:t>
      </w:r>
      <w:r w:rsidR="00185C71">
        <w:rPr>
          <w:bCs/>
        </w:rPr>
        <w:t xml:space="preserve"> that the top seven business lenders </w:t>
      </w:r>
      <w:r w:rsidR="00A75CB5">
        <w:rPr>
          <w:bCs/>
        </w:rPr>
        <w:t>wer</w:t>
      </w:r>
      <w:r w:rsidR="00185C71">
        <w:rPr>
          <w:bCs/>
        </w:rPr>
        <w:t xml:space="preserve">e primarily large national credit card companies.  </w:t>
      </w:r>
      <w:r w:rsidR="00C21B34">
        <w:rPr>
          <w:bCs/>
        </w:rPr>
        <w:t>The report</w:t>
      </w:r>
      <w:r w:rsidR="00185C71">
        <w:rPr>
          <w:bCs/>
        </w:rPr>
        <w:t xml:space="preserve"> </w:t>
      </w:r>
      <w:r w:rsidR="0080664A">
        <w:rPr>
          <w:bCs/>
        </w:rPr>
        <w:t xml:space="preserve">also </w:t>
      </w:r>
      <w:r w:rsidR="00C21B34">
        <w:rPr>
          <w:bCs/>
        </w:rPr>
        <w:t>illustrate</w:t>
      </w:r>
      <w:r w:rsidR="00A75CB5">
        <w:rPr>
          <w:bCs/>
        </w:rPr>
        <w:t>d</w:t>
      </w:r>
      <w:r w:rsidR="00C21B34">
        <w:rPr>
          <w:bCs/>
        </w:rPr>
        <w:t xml:space="preserve"> that</w:t>
      </w:r>
      <w:r w:rsidR="00185C71">
        <w:rPr>
          <w:bCs/>
        </w:rPr>
        <w:t xml:space="preserve"> the seven companies </w:t>
      </w:r>
      <w:r w:rsidR="00185C71" w:rsidRPr="00CC6CBF">
        <w:rPr>
          <w:bCs/>
        </w:rPr>
        <w:t xml:space="preserve">originated </w:t>
      </w:r>
      <w:r w:rsidR="00185C71">
        <w:rPr>
          <w:bCs/>
        </w:rPr>
        <w:t>approximately 66.5 percent of loan volume, by number, in low-income tracts</w:t>
      </w:r>
      <w:r w:rsidR="00DA42E8">
        <w:rPr>
          <w:bCs/>
        </w:rPr>
        <w:t>,</w:t>
      </w:r>
      <w:r w:rsidR="00185C71">
        <w:rPr>
          <w:bCs/>
        </w:rPr>
        <w:t xml:space="preserve"> with an average loan amount of approximately $12,000.  </w:t>
      </w:r>
      <w:r w:rsidR="00BF3610">
        <w:rPr>
          <w:bCs/>
        </w:rPr>
        <w:t>For 2018, the market share report indicate</w:t>
      </w:r>
      <w:r w:rsidR="00A75CB5">
        <w:rPr>
          <w:bCs/>
        </w:rPr>
        <w:t>d</w:t>
      </w:r>
      <w:r w:rsidR="00BF3610">
        <w:rPr>
          <w:bCs/>
        </w:rPr>
        <w:t xml:space="preserve"> that the top eight business lenders </w:t>
      </w:r>
      <w:r w:rsidR="00BF3610" w:rsidRPr="00CC6CBF">
        <w:rPr>
          <w:bCs/>
        </w:rPr>
        <w:t>originated approximately</w:t>
      </w:r>
      <w:r w:rsidR="00BF3610">
        <w:rPr>
          <w:bCs/>
        </w:rPr>
        <w:t xml:space="preserve"> 33.4 percent of loan volume, by number, in moderate-income tracts, with an average loan amount of approximately $13,000.  </w:t>
      </w:r>
      <w:r>
        <w:rPr>
          <w:bCs/>
        </w:rPr>
        <w:t>In 2019, t</w:t>
      </w:r>
      <w:r w:rsidR="00934117">
        <w:rPr>
          <w:bCs/>
        </w:rPr>
        <w:t>he bank did not originate a</w:t>
      </w:r>
      <w:r w:rsidR="00BF3610">
        <w:rPr>
          <w:bCs/>
        </w:rPr>
        <w:t>ny loans in</w:t>
      </w:r>
      <w:r>
        <w:rPr>
          <w:bCs/>
        </w:rPr>
        <w:t xml:space="preserve"> the low-income census tracts</w:t>
      </w:r>
      <w:r w:rsidR="00BF3610">
        <w:rPr>
          <w:bCs/>
        </w:rPr>
        <w:t xml:space="preserve"> and lending in the moderate-income tracts was less than demographics.  </w:t>
      </w:r>
    </w:p>
    <w:p w14:paraId="5F11A006" w14:textId="7DF343B2" w:rsidR="00784D90" w:rsidRDefault="00784D90" w:rsidP="001734F8">
      <w:pPr>
        <w:contextualSpacing/>
      </w:pPr>
      <w:r>
        <w:rPr>
          <w:bCs/>
        </w:rPr>
        <w:t xml:space="preserve"> </w:t>
      </w:r>
    </w:p>
    <w:tbl>
      <w:tblPr>
        <w:tblW w:w="0" w:type="auto"/>
        <w:tblCellMar>
          <w:left w:w="0" w:type="dxa"/>
          <w:right w:w="0" w:type="dxa"/>
        </w:tblCellMar>
        <w:tblLook w:val="0000" w:firstRow="0" w:lastRow="0" w:firstColumn="0" w:lastColumn="0" w:noHBand="0" w:noVBand="0"/>
      </w:tblPr>
      <w:tblGrid>
        <w:gridCol w:w="2527"/>
        <w:gridCol w:w="1423"/>
        <w:gridCol w:w="1431"/>
        <w:gridCol w:w="985"/>
        <w:gridCol w:w="990"/>
        <w:gridCol w:w="996"/>
        <w:gridCol w:w="990"/>
      </w:tblGrid>
      <w:tr w:rsidR="00784D90" w:rsidRPr="00637368" w14:paraId="05292776" w14:textId="77777777" w:rsidTr="0067694D">
        <w:trPr>
          <w:trHeight w:val="282"/>
        </w:trPr>
        <w:tc>
          <w:tcPr>
            <w:tcW w:w="9342" w:type="dxa"/>
            <w:gridSpan w:val="7"/>
            <w:tcBorders>
              <w:top w:val="single" w:sz="7" w:space="0" w:color="000000"/>
              <w:left w:val="single" w:sz="7" w:space="0" w:color="000000"/>
              <w:right w:val="single" w:sz="7" w:space="0" w:color="000000"/>
            </w:tcBorders>
            <w:tcMar>
              <w:top w:w="39" w:type="dxa"/>
              <w:left w:w="39" w:type="dxa"/>
              <w:bottom w:w="39" w:type="dxa"/>
              <w:right w:w="39" w:type="dxa"/>
            </w:tcMar>
          </w:tcPr>
          <w:p w14:paraId="4234F85F" w14:textId="77777777" w:rsidR="00784D90" w:rsidRPr="00637368" w:rsidRDefault="00784D90" w:rsidP="0067694D">
            <w:pPr>
              <w:jc w:val="center"/>
              <w:rPr>
                <w:sz w:val="20"/>
                <w:szCs w:val="20"/>
              </w:rPr>
            </w:pPr>
            <w:r w:rsidRPr="00637368">
              <w:rPr>
                <w:b/>
                <w:color w:val="000000"/>
                <w:sz w:val="20"/>
                <w:szCs w:val="20"/>
              </w:rPr>
              <w:t>Geographic Distribution of Small Business Loans</w:t>
            </w:r>
          </w:p>
        </w:tc>
      </w:tr>
      <w:tr w:rsidR="00784D90" w:rsidRPr="00637368" w14:paraId="03BD4058" w14:textId="77777777" w:rsidTr="0067694D">
        <w:trPr>
          <w:trHeight w:val="498"/>
        </w:trPr>
        <w:tc>
          <w:tcPr>
            <w:tcW w:w="252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16DB9045" w14:textId="77777777" w:rsidR="00784D90" w:rsidRPr="00637368" w:rsidRDefault="00784D90" w:rsidP="0067694D">
            <w:pPr>
              <w:rPr>
                <w:sz w:val="20"/>
                <w:szCs w:val="20"/>
              </w:rPr>
            </w:pPr>
            <w:r w:rsidRPr="00637368">
              <w:rPr>
                <w:b/>
                <w:color w:val="000000"/>
                <w:sz w:val="20"/>
                <w:szCs w:val="20"/>
              </w:rPr>
              <w:t>Tract Income Level</w:t>
            </w:r>
          </w:p>
        </w:tc>
        <w:tc>
          <w:tcPr>
            <w:tcW w:w="142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003A559A" w14:textId="77777777" w:rsidR="00784D90" w:rsidRPr="00637368" w:rsidRDefault="00784D90" w:rsidP="0067694D">
            <w:pPr>
              <w:jc w:val="center"/>
              <w:rPr>
                <w:sz w:val="20"/>
                <w:szCs w:val="20"/>
              </w:rPr>
            </w:pPr>
            <w:r w:rsidRPr="00637368">
              <w:rPr>
                <w:b/>
                <w:color w:val="000000"/>
                <w:sz w:val="20"/>
                <w:szCs w:val="20"/>
              </w:rPr>
              <w:t>% of  Businesses</w:t>
            </w:r>
          </w:p>
        </w:tc>
        <w:tc>
          <w:tcPr>
            <w:tcW w:w="143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58F2A0B4" w14:textId="77777777" w:rsidR="00784D90" w:rsidRPr="00637368" w:rsidRDefault="00784D90" w:rsidP="0067694D">
            <w:pPr>
              <w:jc w:val="center"/>
              <w:rPr>
                <w:sz w:val="20"/>
                <w:szCs w:val="20"/>
              </w:rPr>
            </w:pPr>
            <w:r w:rsidRPr="00637368">
              <w:rPr>
                <w:b/>
                <w:color w:val="000000"/>
                <w:sz w:val="20"/>
                <w:szCs w:val="20"/>
              </w:rPr>
              <w:t>Aggregate Performance</w:t>
            </w:r>
            <w:r w:rsidRPr="00637368">
              <w:rPr>
                <w:b/>
                <w:color w:val="000000"/>
                <w:sz w:val="20"/>
                <w:szCs w:val="20"/>
              </w:rPr>
              <w:br/>
              <w:t>% of #</w:t>
            </w:r>
          </w:p>
        </w:tc>
        <w:tc>
          <w:tcPr>
            <w:tcW w:w="9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6F0BF63A" w14:textId="77777777" w:rsidR="00784D90" w:rsidRPr="00637368" w:rsidRDefault="00784D90" w:rsidP="0067694D">
            <w:pPr>
              <w:jc w:val="center"/>
              <w:rPr>
                <w:sz w:val="20"/>
                <w:szCs w:val="20"/>
              </w:rPr>
            </w:pPr>
            <w:r w:rsidRPr="00637368">
              <w:rPr>
                <w:b/>
                <w:color w:val="000000"/>
                <w:sz w:val="20"/>
                <w:szCs w:val="20"/>
              </w:rPr>
              <w:t>#</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38F1F952" w14:textId="77777777" w:rsidR="00784D90" w:rsidRPr="00637368" w:rsidRDefault="00784D90" w:rsidP="0067694D">
            <w:pPr>
              <w:jc w:val="center"/>
              <w:rPr>
                <w:sz w:val="20"/>
                <w:szCs w:val="20"/>
              </w:rPr>
            </w:pPr>
            <w:r w:rsidRPr="00637368">
              <w:rPr>
                <w:b/>
                <w:color w:val="000000"/>
                <w:sz w:val="20"/>
                <w:szCs w:val="20"/>
              </w:rPr>
              <w:t>%</w:t>
            </w:r>
          </w:p>
        </w:tc>
        <w:tc>
          <w:tcPr>
            <w:tcW w:w="9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35F68825" w14:textId="77777777" w:rsidR="00784D90" w:rsidRPr="00637368" w:rsidRDefault="00784D90" w:rsidP="0067694D">
            <w:pPr>
              <w:jc w:val="center"/>
              <w:rPr>
                <w:sz w:val="20"/>
                <w:szCs w:val="20"/>
              </w:rPr>
            </w:pPr>
            <w:r w:rsidRPr="00637368">
              <w:rPr>
                <w:b/>
                <w:color w:val="000000"/>
                <w:sz w:val="20"/>
                <w:szCs w:val="20"/>
              </w:rPr>
              <w:t>$(000s)</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4DD1C69C" w14:textId="77777777" w:rsidR="00784D90" w:rsidRPr="00637368" w:rsidRDefault="00784D90" w:rsidP="0067694D">
            <w:pPr>
              <w:jc w:val="center"/>
              <w:rPr>
                <w:sz w:val="20"/>
                <w:szCs w:val="20"/>
              </w:rPr>
            </w:pPr>
            <w:r w:rsidRPr="00637368">
              <w:rPr>
                <w:b/>
                <w:color w:val="000000"/>
                <w:sz w:val="20"/>
                <w:szCs w:val="20"/>
              </w:rPr>
              <w:t>%</w:t>
            </w:r>
          </w:p>
        </w:tc>
      </w:tr>
      <w:tr w:rsidR="00784D90" w:rsidRPr="00637368" w14:paraId="5149FEA3" w14:textId="77777777" w:rsidTr="0067694D">
        <w:trPr>
          <w:trHeight w:val="181"/>
        </w:trPr>
        <w:tc>
          <w:tcPr>
            <w:tcW w:w="252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0E5A1224" w14:textId="77777777" w:rsidR="00784D90" w:rsidRPr="00637368" w:rsidRDefault="00784D90" w:rsidP="0067694D">
            <w:pPr>
              <w:rPr>
                <w:sz w:val="20"/>
                <w:szCs w:val="20"/>
              </w:rPr>
            </w:pPr>
            <w:r w:rsidRPr="00637368">
              <w:rPr>
                <w:color w:val="000000"/>
                <w:sz w:val="20"/>
                <w:szCs w:val="20"/>
              </w:rPr>
              <w:t>Low</w:t>
            </w:r>
          </w:p>
        </w:tc>
        <w:tc>
          <w:tcPr>
            <w:tcW w:w="68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0769BF6" w14:textId="77777777" w:rsidR="00784D90" w:rsidRPr="00637368" w:rsidRDefault="00784D90" w:rsidP="0067694D">
            <w:pPr>
              <w:rPr>
                <w:sz w:val="20"/>
                <w:szCs w:val="20"/>
              </w:rPr>
            </w:pPr>
          </w:p>
        </w:tc>
      </w:tr>
      <w:tr w:rsidR="00784D90" w:rsidRPr="00637368" w14:paraId="03AF09D8" w14:textId="77777777" w:rsidTr="0067694D">
        <w:trPr>
          <w:trHeight w:val="166"/>
        </w:trPr>
        <w:tc>
          <w:tcPr>
            <w:tcW w:w="2527"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1EBA9DFD" w14:textId="77777777" w:rsidR="00784D90" w:rsidRPr="00637368" w:rsidRDefault="00784D90" w:rsidP="0067694D">
            <w:pPr>
              <w:jc w:val="right"/>
              <w:rPr>
                <w:sz w:val="20"/>
                <w:szCs w:val="20"/>
              </w:rPr>
            </w:pPr>
            <w:r w:rsidRPr="00637368">
              <w:rPr>
                <w:color w:val="000000"/>
                <w:sz w:val="20"/>
                <w:szCs w:val="20"/>
              </w:rPr>
              <w:t>2018</w:t>
            </w:r>
          </w:p>
        </w:tc>
        <w:tc>
          <w:tcPr>
            <w:tcW w:w="142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84BC687" w14:textId="77777777" w:rsidR="00784D90" w:rsidRPr="00637368" w:rsidRDefault="00784D90" w:rsidP="0067694D">
            <w:pPr>
              <w:jc w:val="center"/>
              <w:rPr>
                <w:sz w:val="20"/>
                <w:szCs w:val="20"/>
              </w:rPr>
            </w:pPr>
            <w:r w:rsidRPr="00637368">
              <w:rPr>
                <w:color w:val="000000"/>
                <w:sz w:val="20"/>
                <w:szCs w:val="20"/>
              </w:rPr>
              <w:t>5.3</w:t>
            </w:r>
          </w:p>
        </w:tc>
        <w:tc>
          <w:tcPr>
            <w:tcW w:w="143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E0C1E29" w14:textId="77777777" w:rsidR="00784D90" w:rsidRPr="00637368" w:rsidRDefault="00784D90" w:rsidP="0067694D">
            <w:pPr>
              <w:jc w:val="center"/>
              <w:rPr>
                <w:sz w:val="20"/>
                <w:szCs w:val="20"/>
              </w:rPr>
            </w:pPr>
            <w:r w:rsidRPr="00637368">
              <w:rPr>
                <w:color w:val="000000"/>
                <w:sz w:val="20"/>
                <w:szCs w:val="20"/>
              </w:rPr>
              <w:t>5.2</w:t>
            </w:r>
          </w:p>
        </w:tc>
        <w:tc>
          <w:tcPr>
            <w:tcW w:w="9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1EDBAC7" w14:textId="77777777" w:rsidR="00784D90" w:rsidRPr="00637368" w:rsidRDefault="00784D90" w:rsidP="0067694D">
            <w:pPr>
              <w:jc w:val="center"/>
              <w:rPr>
                <w:sz w:val="20"/>
                <w:szCs w:val="20"/>
              </w:rPr>
            </w:pPr>
            <w:r w:rsidRPr="00637368">
              <w:rPr>
                <w:color w:val="000000"/>
                <w:sz w:val="20"/>
                <w:szCs w:val="20"/>
              </w:rPr>
              <w:t>1</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8231A65" w14:textId="77777777" w:rsidR="00784D90" w:rsidRPr="00637368" w:rsidRDefault="00784D90" w:rsidP="0067694D">
            <w:pPr>
              <w:jc w:val="center"/>
              <w:rPr>
                <w:sz w:val="20"/>
                <w:szCs w:val="20"/>
              </w:rPr>
            </w:pPr>
            <w:r w:rsidRPr="00637368">
              <w:rPr>
                <w:color w:val="000000"/>
                <w:sz w:val="20"/>
                <w:szCs w:val="20"/>
              </w:rPr>
              <w:t>0.8</w:t>
            </w:r>
          </w:p>
        </w:tc>
        <w:tc>
          <w:tcPr>
            <w:tcW w:w="9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5B84DB8" w14:textId="77777777" w:rsidR="00784D90" w:rsidRPr="00637368" w:rsidRDefault="00784D90" w:rsidP="0067694D">
            <w:pPr>
              <w:jc w:val="center"/>
              <w:rPr>
                <w:sz w:val="20"/>
                <w:szCs w:val="20"/>
              </w:rPr>
            </w:pPr>
            <w:r w:rsidRPr="00637368">
              <w:rPr>
                <w:color w:val="000000"/>
                <w:sz w:val="20"/>
                <w:szCs w:val="20"/>
              </w:rPr>
              <w:t>50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A8A38B9" w14:textId="77777777" w:rsidR="00784D90" w:rsidRPr="00637368" w:rsidRDefault="00784D90" w:rsidP="0067694D">
            <w:pPr>
              <w:jc w:val="center"/>
              <w:rPr>
                <w:sz w:val="20"/>
                <w:szCs w:val="20"/>
              </w:rPr>
            </w:pPr>
            <w:r w:rsidRPr="00637368">
              <w:rPr>
                <w:color w:val="000000"/>
                <w:sz w:val="20"/>
                <w:szCs w:val="20"/>
              </w:rPr>
              <w:t>0.2</w:t>
            </w:r>
          </w:p>
        </w:tc>
      </w:tr>
      <w:tr w:rsidR="00784D90" w:rsidRPr="00637368" w14:paraId="1233D448" w14:textId="77777777" w:rsidTr="0067694D">
        <w:trPr>
          <w:trHeight w:val="166"/>
        </w:trPr>
        <w:tc>
          <w:tcPr>
            <w:tcW w:w="2527"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6D1967E0" w14:textId="77777777" w:rsidR="00784D90" w:rsidRPr="00637368" w:rsidRDefault="00784D90" w:rsidP="0067694D">
            <w:pPr>
              <w:jc w:val="right"/>
              <w:rPr>
                <w:sz w:val="20"/>
                <w:szCs w:val="20"/>
              </w:rPr>
            </w:pPr>
            <w:r w:rsidRPr="00637368">
              <w:rPr>
                <w:color w:val="000000"/>
                <w:sz w:val="20"/>
                <w:szCs w:val="20"/>
              </w:rPr>
              <w:t>2019</w:t>
            </w:r>
          </w:p>
        </w:tc>
        <w:tc>
          <w:tcPr>
            <w:tcW w:w="142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2B2F65D" w14:textId="77777777" w:rsidR="00784D90" w:rsidRPr="00637368" w:rsidRDefault="00784D90" w:rsidP="0067694D">
            <w:pPr>
              <w:jc w:val="center"/>
              <w:rPr>
                <w:sz w:val="20"/>
                <w:szCs w:val="20"/>
              </w:rPr>
            </w:pPr>
            <w:r w:rsidRPr="00637368">
              <w:rPr>
                <w:color w:val="000000"/>
                <w:sz w:val="20"/>
                <w:szCs w:val="20"/>
              </w:rPr>
              <w:t>5.4</w:t>
            </w:r>
          </w:p>
        </w:tc>
        <w:tc>
          <w:tcPr>
            <w:tcW w:w="143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6A1F62C" w14:textId="77777777" w:rsidR="00784D90" w:rsidRPr="00637368" w:rsidRDefault="00784D90" w:rsidP="0067694D">
            <w:pPr>
              <w:jc w:val="center"/>
              <w:rPr>
                <w:sz w:val="20"/>
                <w:szCs w:val="20"/>
              </w:rPr>
            </w:pPr>
            <w:r w:rsidRPr="00637368">
              <w:rPr>
                <w:color w:val="000000"/>
                <w:sz w:val="20"/>
                <w:szCs w:val="20"/>
              </w:rPr>
              <w:t>--</w:t>
            </w:r>
          </w:p>
        </w:tc>
        <w:tc>
          <w:tcPr>
            <w:tcW w:w="9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E6DCC28" w14:textId="77777777" w:rsidR="00784D90" w:rsidRPr="00637368" w:rsidRDefault="00784D90" w:rsidP="0067694D">
            <w:pPr>
              <w:jc w:val="center"/>
              <w:rPr>
                <w:sz w:val="20"/>
                <w:szCs w:val="20"/>
              </w:rPr>
            </w:pPr>
            <w:r w:rsidRPr="00637368">
              <w:rPr>
                <w:color w:val="000000"/>
                <w:sz w:val="20"/>
                <w:szCs w:val="20"/>
              </w:rPr>
              <w:t>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53DE0AA" w14:textId="77777777" w:rsidR="00784D90" w:rsidRPr="00637368" w:rsidRDefault="00784D90" w:rsidP="0067694D">
            <w:pPr>
              <w:jc w:val="center"/>
              <w:rPr>
                <w:sz w:val="20"/>
                <w:szCs w:val="20"/>
              </w:rPr>
            </w:pPr>
            <w:r w:rsidRPr="00637368">
              <w:rPr>
                <w:color w:val="000000"/>
                <w:sz w:val="20"/>
                <w:szCs w:val="20"/>
              </w:rPr>
              <w:t>0.0</w:t>
            </w:r>
          </w:p>
        </w:tc>
        <w:tc>
          <w:tcPr>
            <w:tcW w:w="9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1E0B432" w14:textId="77777777" w:rsidR="00784D90" w:rsidRPr="00637368" w:rsidRDefault="00784D90" w:rsidP="0067694D">
            <w:pPr>
              <w:jc w:val="center"/>
              <w:rPr>
                <w:sz w:val="20"/>
                <w:szCs w:val="20"/>
              </w:rPr>
            </w:pPr>
            <w:r w:rsidRPr="00637368">
              <w:rPr>
                <w:color w:val="000000"/>
                <w:sz w:val="20"/>
                <w:szCs w:val="20"/>
              </w:rPr>
              <w:t>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46DC538" w14:textId="77777777" w:rsidR="00784D90" w:rsidRPr="00637368" w:rsidRDefault="00784D90" w:rsidP="0067694D">
            <w:pPr>
              <w:jc w:val="center"/>
              <w:rPr>
                <w:sz w:val="20"/>
                <w:szCs w:val="20"/>
              </w:rPr>
            </w:pPr>
            <w:r w:rsidRPr="00637368">
              <w:rPr>
                <w:color w:val="000000"/>
                <w:sz w:val="20"/>
                <w:szCs w:val="20"/>
              </w:rPr>
              <w:t>0.0</w:t>
            </w:r>
          </w:p>
        </w:tc>
      </w:tr>
      <w:tr w:rsidR="00784D90" w:rsidRPr="00637368" w14:paraId="030F4D4F" w14:textId="77777777" w:rsidTr="0067694D">
        <w:trPr>
          <w:trHeight w:val="181"/>
        </w:trPr>
        <w:tc>
          <w:tcPr>
            <w:tcW w:w="252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696386F3" w14:textId="77777777" w:rsidR="00784D90" w:rsidRPr="00637368" w:rsidRDefault="00784D90" w:rsidP="0067694D">
            <w:pPr>
              <w:rPr>
                <w:sz w:val="20"/>
                <w:szCs w:val="20"/>
              </w:rPr>
            </w:pPr>
            <w:r w:rsidRPr="00637368">
              <w:rPr>
                <w:color w:val="000000"/>
                <w:sz w:val="20"/>
                <w:szCs w:val="20"/>
              </w:rPr>
              <w:t>Moderate</w:t>
            </w:r>
          </w:p>
        </w:tc>
        <w:tc>
          <w:tcPr>
            <w:tcW w:w="68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A3D0C58" w14:textId="77777777" w:rsidR="00784D90" w:rsidRPr="00637368" w:rsidRDefault="00784D90" w:rsidP="0067694D">
            <w:pPr>
              <w:rPr>
                <w:sz w:val="20"/>
                <w:szCs w:val="20"/>
              </w:rPr>
            </w:pPr>
          </w:p>
        </w:tc>
      </w:tr>
      <w:tr w:rsidR="00784D90" w:rsidRPr="00637368" w14:paraId="4AFC2AA5" w14:textId="77777777" w:rsidTr="0067694D">
        <w:trPr>
          <w:trHeight w:val="166"/>
        </w:trPr>
        <w:tc>
          <w:tcPr>
            <w:tcW w:w="2527"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7D159228" w14:textId="77777777" w:rsidR="00784D90" w:rsidRPr="00637368" w:rsidRDefault="00784D90" w:rsidP="0067694D">
            <w:pPr>
              <w:jc w:val="right"/>
              <w:rPr>
                <w:sz w:val="20"/>
                <w:szCs w:val="20"/>
              </w:rPr>
            </w:pPr>
            <w:r w:rsidRPr="00637368">
              <w:rPr>
                <w:color w:val="000000"/>
                <w:sz w:val="20"/>
                <w:szCs w:val="20"/>
              </w:rPr>
              <w:t>2018</w:t>
            </w:r>
          </w:p>
        </w:tc>
        <w:tc>
          <w:tcPr>
            <w:tcW w:w="142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F950D28" w14:textId="77777777" w:rsidR="00784D90" w:rsidRPr="00637368" w:rsidRDefault="00784D90" w:rsidP="0067694D">
            <w:pPr>
              <w:jc w:val="center"/>
              <w:rPr>
                <w:sz w:val="20"/>
                <w:szCs w:val="20"/>
              </w:rPr>
            </w:pPr>
            <w:r w:rsidRPr="00637368">
              <w:rPr>
                <w:color w:val="000000"/>
                <w:sz w:val="20"/>
                <w:szCs w:val="20"/>
              </w:rPr>
              <w:t>12.9</w:t>
            </w:r>
          </w:p>
        </w:tc>
        <w:tc>
          <w:tcPr>
            <w:tcW w:w="143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426956A" w14:textId="77777777" w:rsidR="00784D90" w:rsidRPr="00637368" w:rsidRDefault="00784D90" w:rsidP="0067694D">
            <w:pPr>
              <w:jc w:val="center"/>
              <w:rPr>
                <w:sz w:val="20"/>
                <w:szCs w:val="20"/>
              </w:rPr>
            </w:pPr>
            <w:r w:rsidRPr="00637368">
              <w:rPr>
                <w:color w:val="000000"/>
                <w:sz w:val="20"/>
                <w:szCs w:val="20"/>
              </w:rPr>
              <w:t>13.7</w:t>
            </w:r>
          </w:p>
        </w:tc>
        <w:tc>
          <w:tcPr>
            <w:tcW w:w="9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73EF433" w14:textId="77777777" w:rsidR="00784D90" w:rsidRPr="00637368" w:rsidRDefault="00784D90" w:rsidP="0067694D">
            <w:pPr>
              <w:jc w:val="center"/>
              <w:rPr>
                <w:sz w:val="20"/>
                <w:szCs w:val="20"/>
              </w:rPr>
            </w:pPr>
            <w:r w:rsidRPr="00637368">
              <w:rPr>
                <w:color w:val="000000"/>
                <w:sz w:val="20"/>
                <w:szCs w:val="20"/>
              </w:rPr>
              <w:t>6</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52B298E" w14:textId="77777777" w:rsidR="00784D90" w:rsidRPr="00637368" w:rsidRDefault="00784D90" w:rsidP="0067694D">
            <w:pPr>
              <w:jc w:val="center"/>
              <w:rPr>
                <w:sz w:val="20"/>
                <w:szCs w:val="20"/>
              </w:rPr>
            </w:pPr>
            <w:r w:rsidRPr="00637368">
              <w:rPr>
                <w:color w:val="000000"/>
                <w:sz w:val="20"/>
                <w:szCs w:val="20"/>
              </w:rPr>
              <w:t>4.6</w:t>
            </w:r>
          </w:p>
        </w:tc>
        <w:tc>
          <w:tcPr>
            <w:tcW w:w="9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3E63568" w14:textId="77777777" w:rsidR="00784D90" w:rsidRPr="00637368" w:rsidRDefault="00784D90" w:rsidP="0067694D">
            <w:pPr>
              <w:jc w:val="center"/>
              <w:rPr>
                <w:sz w:val="20"/>
                <w:szCs w:val="20"/>
              </w:rPr>
            </w:pPr>
            <w:r w:rsidRPr="00637368">
              <w:rPr>
                <w:color w:val="000000"/>
                <w:sz w:val="20"/>
                <w:szCs w:val="20"/>
              </w:rPr>
              <w:t>758</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19BA456" w14:textId="77777777" w:rsidR="00784D90" w:rsidRPr="00637368" w:rsidRDefault="00784D90" w:rsidP="0067694D">
            <w:pPr>
              <w:jc w:val="center"/>
              <w:rPr>
                <w:sz w:val="20"/>
                <w:szCs w:val="20"/>
              </w:rPr>
            </w:pPr>
            <w:r w:rsidRPr="00637368">
              <w:rPr>
                <w:color w:val="000000"/>
                <w:sz w:val="20"/>
                <w:szCs w:val="20"/>
              </w:rPr>
              <w:t>3.5</w:t>
            </w:r>
          </w:p>
        </w:tc>
      </w:tr>
      <w:tr w:rsidR="00784D90" w:rsidRPr="00637368" w14:paraId="73AED3F9" w14:textId="77777777" w:rsidTr="0067694D">
        <w:trPr>
          <w:trHeight w:val="166"/>
        </w:trPr>
        <w:tc>
          <w:tcPr>
            <w:tcW w:w="2527"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46FCC6A5" w14:textId="77777777" w:rsidR="00784D90" w:rsidRPr="00637368" w:rsidRDefault="00784D90" w:rsidP="0067694D">
            <w:pPr>
              <w:jc w:val="right"/>
              <w:rPr>
                <w:sz w:val="20"/>
                <w:szCs w:val="20"/>
              </w:rPr>
            </w:pPr>
            <w:r w:rsidRPr="00637368">
              <w:rPr>
                <w:color w:val="000000"/>
                <w:sz w:val="20"/>
                <w:szCs w:val="20"/>
              </w:rPr>
              <w:t>2019</w:t>
            </w:r>
          </w:p>
        </w:tc>
        <w:tc>
          <w:tcPr>
            <w:tcW w:w="142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A5D90EA" w14:textId="77777777" w:rsidR="00784D90" w:rsidRPr="00637368" w:rsidRDefault="00784D90" w:rsidP="0067694D">
            <w:pPr>
              <w:jc w:val="center"/>
              <w:rPr>
                <w:sz w:val="20"/>
                <w:szCs w:val="20"/>
              </w:rPr>
            </w:pPr>
            <w:r w:rsidRPr="00637368">
              <w:rPr>
                <w:color w:val="000000"/>
                <w:sz w:val="20"/>
                <w:szCs w:val="20"/>
              </w:rPr>
              <w:t>13.2</w:t>
            </w:r>
          </w:p>
        </w:tc>
        <w:tc>
          <w:tcPr>
            <w:tcW w:w="143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28D4D35" w14:textId="77777777" w:rsidR="00784D90" w:rsidRPr="00637368" w:rsidRDefault="00784D90" w:rsidP="0067694D">
            <w:pPr>
              <w:jc w:val="center"/>
              <w:rPr>
                <w:sz w:val="20"/>
                <w:szCs w:val="20"/>
              </w:rPr>
            </w:pPr>
            <w:r w:rsidRPr="00637368">
              <w:rPr>
                <w:color w:val="000000"/>
                <w:sz w:val="20"/>
                <w:szCs w:val="20"/>
              </w:rPr>
              <w:t>--</w:t>
            </w:r>
          </w:p>
        </w:tc>
        <w:tc>
          <w:tcPr>
            <w:tcW w:w="9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1D7A8D2" w14:textId="77777777" w:rsidR="00784D90" w:rsidRPr="00637368" w:rsidRDefault="00784D90" w:rsidP="0067694D">
            <w:pPr>
              <w:jc w:val="center"/>
              <w:rPr>
                <w:sz w:val="20"/>
                <w:szCs w:val="20"/>
              </w:rPr>
            </w:pPr>
            <w:r w:rsidRPr="00637368">
              <w:rPr>
                <w:color w:val="000000"/>
                <w:sz w:val="20"/>
                <w:szCs w:val="20"/>
              </w:rPr>
              <w:t>4</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9744D77" w14:textId="77777777" w:rsidR="00784D90" w:rsidRPr="00637368" w:rsidRDefault="00784D90" w:rsidP="0067694D">
            <w:pPr>
              <w:jc w:val="center"/>
              <w:rPr>
                <w:sz w:val="20"/>
                <w:szCs w:val="20"/>
              </w:rPr>
            </w:pPr>
            <w:r w:rsidRPr="00637368">
              <w:rPr>
                <w:color w:val="000000"/>
                <w:sz w:val="20"/>
                <w:szCs w:val="20"/>
              </w:rPr>
              <w:t>1.4</w:t>
            </w:r>
          </w:p>
        </w:tc>
        <w:tc>
          <w:tcPr>
            <w:tcW w:w="9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DCCAB85" w14:textId="77777777" w:rsidR="00784D90" w:rsidRPr="00637368" w:rsidRDefault="00784D90" w:rsidP="0067694D">
            <w:pPr>
              <w:jc w:val="center"/>
              <w:rPr>
                <w:sz w:val="20"/>
                <w:szCs w:val="20"/>
              </w:rPr>
            </w:pPr>
            <w:r w:rsidRPr="00637368">
              <w:rPr>
                <w:color w:val="000000"/>
                <w:sz w:val="20"/>
                <w:szCs w:val="20"/>
              </w:rPr>
              <w:t>860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FDCC644" w14:textId="77777777" w:rsidR="00784D90" w:rsidRPr="00637368" w:rsidRDefault="00784D90" w:rsidP="0067694D">
            <w:pPr>
              <w:jc w:val="center"/>
              <w:rPr>
                <w:sz w:val="20"/>
                <w:szCs w:val="20"/>
              </w:rPr>
            </w:pPr>
            <w:r w:rsidRPr="00637368">
              <w:rPr>
                <w:color w:val="000000"/>
                <w:sz w:val="20"/>
                <w:szCs w:val="20"/>
              </w:rPr>
              <w:t>3.1</w:t>
            </w:r>
          </w:p>
        </w:tc>
      </w:tr>
      <w:tr w:rsidR="00784D90" w:rsidRPr="00637368" w14:paraId="5FE28B1B" w14:textId="77777777" w:rsidTr="0067694D">
        <w:trPr>
          <w:trHeight w:val="181"/>
        </w:trPr>
        <w:tc>
          <w:tcPr>
            <w:tcW w:w="252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1506FD48" w14:textId="77777777" w:rsidR="00784D90" w:rsidRPr="00637368" w:rsidRDefault="00784D90" w:rsidP="0067694D">
            <w:pPr>
              <w:rPr>
                <w:sz w:val="20"/>
                <w:szCs w:val="20"/>
              </w:rPr>
            </w:pPr>
            <w:r w:rsidRPr="00637368">
              <w:rPr>
                <w:color w:val="000000"/>
                <w:sz w:val="20"/>
                <w:szCs w:val="20"/>
              </w:rPr>
              <w:t>Middle</w:t>
            </w:r>
          </w:p>
        </w:tc>
        <w:tc>
          <w:tcPr>
            <w:tcW w:w="68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82F7684" w14:textId="77777777" w:rsidR="00784D90" w:rsidRPr="00637368" w:rsidRDefault="00784D90" w:rsidP="0067694D">
            <w:pPr>
              <w:rPr>
                <w:sz w:val="20"/>
                <w:szCs w:val="20"/>
              </w:rPr>
            </w:pPr>
          </w:p>
        </w:tc>
      </w:tr>
      <w:tr w:rsidR="00784D90" w:rsidRPr="00637368" w14:paraId="3F4796F8" w14:textId="77777777" w:rsidTr="0067694D">
        <w:trPr>
          <w:trHeight w:val="166"/>
        </w:trPr>
        <w:tc>
          <w:tcPr>
            <w:tcW w:w="2527"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10FF6CE5" w14:textId="77777777" w:rsidR="00784D90" w:rsidRPr="00637368" w:rsidRDefault="00784D90" w:rsidP="0067694D">
            <w:pPr>
              <w:jc w:val="right"/>
              <w:rPr>
                <w:sz w:val="20"/>
                <w:szCs w:val="20"/>
              </w:rPr>
            </w:pPr>
            <w:r w:rsidRPr="00637368">
              <w:rPr>
                <w:color w:val="000000"/>
                <w:sz w:val="20"/>
                <w:szCs w:val="20"/>
              </w:rPr>
              <w:t>2018</w:t>
            </w:r>
          </w:p>
        </w:tc>
        <w:tc>
          <w:tcPr>
            <w:tcW w:w="142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20137C0" w14:textId="77777777" w:rsidR="00784D90" w:rsidRPr="00637368" w:rsidRDefault="00784D90" w:rsidP="0067694D">
            <w:pPr>
              <w:jc w:val="center"/>
              <w:rPr>
                <w:sz w:val="20"/>
                <w:szCs w:val="20"/>
              </w:rPr>
            </w:pPr>
            <w:r w:rsidRPr="00637368">
              <w:rPr>
                <w:color w:val="000000"/>
                <w:sz w:val="20"/>
                <w:szCs w:val="20"/>
              </w:rPr>
              <w:t>41.6</w:t>
            </w:r>
          </w:p>
        </w:tc>
        <w:tc>
          <w:tcPr>
            <w:tcW w:w="143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3C4A12E" w14:textId="77777777" w:rsidR="00784D90" w:rsidRPr="00637368" w:rsidRDefault="00784D90" w:rsidP="0067694D">
            <w:pPr>
              <w:jc w:val="center"/>
              <w:rPr>
                <w:sz w:val="20"/>
                <w:szCs w:val="20"/>
              </w:rPr>
            </w:pPr>
            <w:r w:rsidRPr="00637368">
              <w:rPr>
                <w:color w:val="000000"/>
                <w:sz w:val="20"/>
                <w:szCs w:val="20"/>
              </w:rPr>
              <w:t>42.2</w:t>
            </w:r>
          </w:p>
        </w:tc>
        <w:tc>
          <w:tcPr>
            <w:tcW w:w="9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9685925" w14:textId="77777777" w:rsidR="00784D90" w:rsidRPr="00637368" w:rsidRDefault="00784D90" w:rsidP="0067694D">
            <w:pPr>
              <w:jc w:val="center"/>
              <w:rPr>
                <w:sz w:val="20"/>
                <w:szCs w:val="20"/>
              </w:rPr>
            </w:pPr>
            <w:r w:rsidRPr="00637368">
              <w:rPr>
                <w:color w:val="000000"/>
                <w:sz w:val="20"/>
                <w:szCs w:val="20"/>
              </w:rPr>
              <w:t>88</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330CEF7" w14:textId="77777777" w:rsidR="00784D90" w:rsidRPr="00637368" w:rsidRDefault="00784D90" w:rsidP="0067694D">
            <w:pPr>
              <w:jc w:val="center"/>
              <w:rPr>
                <w:sz w:val="20"/>
                <w:szCs w:val="20"/>
              </w:rPr>
            </w:pPr>
            <w:r w:rsidRPr="00637368">
              <w:rPr>
                <w:color w:val="000000"/>
                <w:sz w:val="20"/>
                <w:szCs w:val="20"/>
              </w:rPr>
              <w:t>67.7</w:t>
            </w:r>
          </w:p>
        </w:tc>
        <w:tc>
          <w:tcPr>
            <w:tcW w:w="9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2808A22" w14:textId="77777777" w:rsidR="00784D90" w:rsidRPr="00637368" w:rsidRDefault="00784D90" w:rsidP="0067694D">
            <w:pPr>
              <w:jc w:val="center"/>
              <w:rPr>
                <w:sz w:val="20"/>
                <w:szCs w:val="20"/>
              </w:rPr>
            </w:pPr>
            <w:r w:rsidRPr="00637368">
              <w:rPr>
                <w:color w:val="000000"/>
                <w:sz w:val="20"/>
                <w:szCs w:val="20"/>
              </w:rPr>
              <w:t>15,750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840213B" w14:textId="77777777" w:rsidR="00784D90" w:rsidRPr="00637368" w:rsidRDefault="00784D90" w:rsidP="0067694D">
            <w:pPr>
              <w:jc w:val="center"/>
              <w:rPr>
                <w:sz w:val="20"/>
                <w:szCs w:val="20"/>
              </w:rPr>
            </w:pPr>
            <w:r w:rsidRPr="00637368">
              <w:rPr>
                <w:color w:val="000000"/>
                <w:sz w:val="20"/>
                <w:szCs w:val="20"/>
              </w:rPr>
              <w:t>73.0</w:t>
            </w:r>
          </w:p>
        </w:tc>
      </w:tr>
      <w:tr w:rsidR="00784D90" w:rsidRPr="00637368" w14:paraId="2CA54353" w14:textId="77777777" w:rsidTr="0067694D">
        <w:trPr>
          <w:trHeight w:val="166"/>
        </w:trPr>
        <w:tc>
          <w:tcPr>
            <w:tcW w:w="2527"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38778D53" w14:textId="77777777" w:rsidR="00784D90" w:rsidRPr="00637368" w:rsidRDefault="00784D90" w:rsidP="0067694D">
            <w:pPr>
              <w:jc w:val="right"/>
              <w:rPr>
                <w:sz w:val="20"/>
                <w:szCs w:val="20"/>
              </w:rPr>
            </w:pPr>
            <w:r w:rsidRPr="00637368">
              <w:rPr>
                <w:color w:val="000000"/>
                <w:sz w:val="20"/>
                <w:szCs w:val="20"/>
              </w:rPr>
              <w:t>2019</w:t>
            </w:r>
          </w:p>
        </w:tc>
        <w:tc>
          <w:tcPr>
            <w:tcW w:w="142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D756BD6" w14:textId="77777777" w:rsidR="00784D90" w:rsidRPr="00637368" w:rsidRDefault="00784D90" w:rsidP="0067694D">
            <w:pPr>
              <w:jc w:val="center"/>
              <w:rPr>
                <w:sz w:val="20"/>
                <w:szCs w:val="20"/>
              </w:rPr>
            </w:pPr>
            <w:r w:rsidRPr="00637368">
              <w:rPr>
                <w:color w:val="000000"/>
                <w:sz w:val="20"/>
                <w:szCs w:val="20"/>
              </w:rPr>
              <w:t>41.0</w:t>
            </w:r>
          </w:p>
        </w:tc>
        <w:tc>
          <w:tcPr>
            <w:tcW w:w="143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CB6E3E7" w14:textId="77777777" w:rsidR="00784D90" w:rsidRPr="00637368" w:rsidRDefault="00784D90" w:rsidP="0067694D">
            <w:pPr>
              <w:jc w:val="center"/>
              <w:rPr>
                <w:sz w:val="20"/>
                <w:szCs w:val="20"/>
              </w:rPr>
            </w:pPr>
            <w:r w:rsidRPr="00637368">
              <w:rPr>
                <w:color w:val="000000"/>
                <w:sz w:val="20"/>
                <w:szCs w:val="20"/>
              </w:rPr>
              <w:t>--</w:t>
            </w:r>
          </w:p>
        </w:tc>
        <w:tc>
          <w:tcPr>
            <w:tcW w:w="9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F521C18" w14:textId="77777777" w:rsidR="00784D90" w:rsidRPr="00637368" w:rsidRDefault="00784D90" w:rsidP="0067694D">
            <w:pPr>
              <w:jc w:val="center"/>
              <w:rPr>
                <w:sz w:val="20"/>
                <w:szCs w:val="20"/>
              </w:rPr>
            </w:pPr>
            <w:r w:rsidRPr="00637368">
              <w:rPr>
                <w:color w:val="000000"/>
                <w:sz w:val="20"/>
                <w:szCs w:val="20"/>
              </w:rPr>
              <w:t>238</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C0C6BE8" w14:textId="77777777" w:rsidR="00784D90" w:rsidRPr="00637368" w:rsidRDefault="00784D90" w:rsidP="0067694D">
            <w:pPr>
              <w:jc w:val="center"/>
              <w:rPr>
                <w:sz w:val="20"/>
                <w:szCs w:val="20"/>
              </w:rPr>
            </w:pPr>
            <w:r w:rsidRPr="00637368">
              <w:rPr>
                <w:color w:val="000000"/>
                <w:sz w:val="20"/>
                <w:szCs w:val="20"/>
              </w:rPr>
              <w:t>85.3</w:t>
            </w:r>
          </w:p>
        </w:tc>
        <w:tc>
          <w:tcPr>
            <w:tcW w:w="9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3947D0B" w14:textId="77777777" w:rsidR="00784D90" w:rsidRPr="00637368" w:rsidRDefault="00784D90" w:rsidP="0067694D">
            <w:pPr>
              <w:jc w:val="center"/>
              <w:rPr>
                <w:sz w:val="20"/>
                <w:szCs w:val="20"/>
              </w:rPr>
            </w:pPr>
            <w:r w:rsidRPr="00637368">
              <w:rPr>
                <w:color w:val="000000"/>
                <w:sz w:val="20"/>
                <w:szCs w:val="20"/>
              </w:rPr>
              <w:t>20,128</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28E0010" w14:textId="77777777" w:rsidR="00784D90" w:rsidRPr="00637368" w:rsidRDefault="00784D90" w:rsidP="0067694D">
            <w:pPr>
              <w:jc w:val="center"/>
              <w:rPr>
                <w:sz w:val="20"/>
                <w:szCs w:val="20"/>
              </w:rPr>
            </w:pPr>
            <w:r w:rsidRPr="00637368">
              <w:rPr>
                <w:color w:val="000000"/>
                <w:sz w:val="20"/>
                <w:szCs w:val="20"/>
              </w:rPr>
              <w:t>71.8</w:t>
            </w:r>
          </w:p>
        </w:tc>
      </w:tr>
      <w:tr w:rsidR="00784D90" w:rsidRPr="00637368" w14:paraId="3B624BCC" w14:textId="77777777" w:rsidTr="0067694D">
        <w:trPr>
          <w:trHeight w:val="181"/>
        </w:trPr>
        <w:tc>
          <w:tcPr>
            <w:tcW w:w="252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5B149500" w14:textId="77777777" w:rsidR="00784D90" w:rsidRPr="00637368" w:rsidRDefault="00784D90" w:rsidP="0067694D">
            <w:pPr>
              <w:rPr>
                <w:sz w:val="20"/>
                <w:szCs w:val="20"/>
              </w:rPr>
            </w:pPr>
            <w:r w:rsidRPr="00637368">
              <w:rPr>
                <w:color w:val="000000"/>
                <w:sz w:val="20"/>
                <w:szCs w:val="20"/>
              </w:rPr>
              <w:t>Upper</w:t>
            </w:r>
          </w:p>
        </w:tc>
        <w:tc>
          <w:tcPr>
            <w:tcW w:w="68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FA516A3" w14:textId="77777777" w:rsidR="00784D90" w:rsidRPr="00637368" w:rsidRDefault="00784D90" w:rsidP="0067694D">
            <w:pPr>
              <w:rPr>
                <w:sz w:val="20"/>
                <w:szCs w:val="20"/>
              </w:rPr>
            </w:pPr>
          </w:p>
        </w:tc>
      </w:tr>
      <w:tr w:rsidR="00784D90" w:rsidRPr="00637368" w14:paraId="2A7516EA" w14:textId="77777777" w:rsidTr="0067694D">
        <w:trPr>
          <w:trHeight w:val="166"/>
        </w:trPr>
        <w:tc>
          <w:tcPr>
            <w:tcW w:w="2527"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4502B01E" w14:textId="77777777" w:rsidR="00784D90" w:rsidRPr="00637368" w:rsidRDefault="00784D90" w:rsidP="0067694D">
            <w:pPr>
              <w:jc w:val="right"/>
              <w:rPr>
                <w:sz w:val="20"/>
                <w:szCs w:val="20"/>
              </w:rPr>
            </w:pPr>
            <w:r w:rsidRPr="00637368">
              <w:rPr>
                <w:color w:val="000000"/>
                <w:sz w:val="20"/>
                <w:szCs w:val="20"/>
              </w:rPr>
              <w:t>2018</w:t>
            </w:r>
          </w:p>
        </w:tc>
        <w:tc>
          <w:tcPr>
            <w:tcW w:w="142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32B5507" w14:textId="77777777" w:rsidR="00784D90" w:rsidRPr="00637368" w:rsidRDefault="00784D90" w:rsidP="0067694D">
            <w:pPr>
              <w:jc w:val="center"/>
              <w:rPr>
                <w:sz w:val="20"/>
                <w:szCs w:val="20"/>
              </w:rPr>
            </w:pPr>
            <w:r w:rsidRPr="00637368">
              <w:rPr>
                <w:color w:val="000000"/>
                <w:sz w:val="20"/>
                <w:szCs w:val="20"/>
              </w:rPr>
              <w:t>40.1</w:t>
            </w:r>
          </w:p>
        </w:tc>
        <w:tc>
          <w:tcPr>
            <w:tcW w:w="143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069B720" w14:textId="77777777" w:rsidR="00784D90" w:rsidRPr="00637368" w:rsidRDefault="00784D90" w:rsidP="0067694D">
            <w:pPr>
              <w:jc w:val="center"/>
              <w:rPr>
                <w:sz w:val="20"/>
                <w:szCs w:val="20"/>
              </w:rPr>
            </w:pPr>
            <w:r w:rsidRPr="00637368">
              <w:rPr>
                <w:color w:val="000000"/>
                <w:sz w:val="20"/>
                <w:szCs w:val="20"/>
              </w:rPr>
              <w:t>38.8</w:t>
            </w:r>
          </w:p>
        </w:tc>
        <w:tc>
          <w:tcPr>
            <w:tcW w:w="9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2A30856" w14:textId="77777777" w:rsidR="00784D90" w:rsidRPr="00637368" w:rsidRDefault="00784D90" w:rsidP="0067694D">
            <w:pPr>
              <w:jc w:val="center"/>
              <w:rPr>
                <w:sz w:val="20"/>
                <w:szCs w:val="20"/>
              </w:rPr>
            </w:pPr>
            <w:r w:rsidRPr="00637368">
              <w:rPr>
                <w:color w:val="000000"/>
                <w:sz w:val="20"/>
                <w:szCs w:val="20"/>
              </w:rPr>
              <w:t>35</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383B08B" w14:textId="77777777" w:rsidR="00784D90" w:rsidRPr="00637368" w:rsidRDefault="00784D90" w:rsidP="0067694D">
            <w:pPr>
              <w:jc w:val="center"/>
              <w:rPr>
                <w:sz w:val="20"/>
                <w:szCs w:val="20"/>
              </w:rPr>
            </w:pPr>
            <w:r w:rsidRPr="00637368">
              <w:rPr>
                <w:color w:val="000000"/>
                <w:sz w:val="20"/>
                <w:szCs w:val="20"/>
              </w:rPr>
              <w:t>26.9</w:t>
            </w:r>
          </w:p>
        </w:tc>
        <w:tc>
          <w:tcPr>
            <w:tcW w:w="9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18C2E7" w14:textId="77777777" w:rsidR="00784D90" w:rsidRPr="00637368" w:rsidRDefault="00784D90" w:rsidP="0067694D">
            <w:pPr>
              <w:jc w:val="center"/>
              <w:rPr>
                <w:sz w:val="20"/>
                <w:szCs w:val="20"/>
              </w:rPr>
            </w:pPr>
            <w:r w:rsidRPr="00637368">
              <w:rPr>
                <w:color w:val="000000"/>
                <w:sz w:val="20"/>
                <w:szCs w:val="20"/>
              </w:rPr>
              <w:t>5,027</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6F9DBE1" w14:textId="77777777" w:rsidR="00784D90" w:rsidRPr="00637368" w:rsidRDefault="00784D90" w:rsidP="0067694D">
            <w:pPr>
              <w:jc w:val="center"/>
              <w:rPr>
                <w:sz w:val="20"/>
                <w:szCs w:val="20"/>
              </w:rPr>
            </w:pPr>
            <w:r w:rsidRPr="00637368">
              <w:rPr>
                <w:color w:val="000000"/>
                <w:sz w:val="20"/>
                <w:szCs w:val="20"/>
              </w:rPr>
              <w:t>23.3</w:t>
            </w:r>
          </w:p>
        </w:tc>
      </w:tr>
      <w:tr w:rsidR="00784D90" w:rsidRPr="00637368" w14:paraId="6DD55594" w14:textId="77777777" w:rsidTr="0067694D">
        <w:trPr>
          <w:trHeight w:val="166"/>
        </w:trPr>
        <w:tc>
          <w:tcPr>
            <w:tcW w:w="2527"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68FCD01E" w14:textId="77777777" w:rsidR="00784D90" w:rsidRPr="00637368" w:rsidRDefault="00784D90" w:rsidP="0067694D">
            <w:pPr>
              <w:jc w:val="right"/>
              <w:rPr>
                <w:sz w:val="20"/>
                <w:szCs w:val="20"/>
              </w:rPr>
            </w:pPr>
            <w:r w:rsidRPr="00637368">
              <w:rPr>
                <w:color w:val="000000"/>
                <w:sz w:val="20"/>
                <w:szCs w:val="20"/>
              </w:rPr>
              <w:t>2019</w:t>
            </w:r>
          </w:p>
        </w:tc>
        <w:tc>
          <w:tcPr>
            <w:tcW w:w="142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5C9092E" w14:textId="77777777" w:rsidR="00784D90" w:rsidRPr="00637368" w:rsidRDefault="00784D90" w:rsidP="0067694D">
            <w:pPr>
              <w:jc w:val="center"/>
              <w:rPr>
                <w:sz w:val="20"/>
                <w:szCs w:val="20"/>
              </w:rPr>
            </w:pPr>
            <w:r w:rsidRPr="00637368">
              <w:rPr>
                <w:color w:val="000000"/>
                <w:sz w:val="20"/>
                <w:szCs w:val="20"/>
              </w:rPr>
              <w:t>40.4</w:t>
            </w:r>
          </w:p>
        </w:tc>
        <w:tc>
          <w:tcPr>
            <w:tcW w:w="143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C721455" w14:textId="77777777" w:rsidR="00784D90" w:rsidRPr="00637368" w:rsidRDefault="00784D90" w:rsidP="0067694D">
            <w:pPr>
              <w:jc w:val="center"/>
              <w:rPr>
                <w:sz w:val="20"/>
                <w:szCs w:val="20"/>
              </w:rPr>
            </w:pPr>
            <w:r w:rsidRPr="00637368">
              <w:rPr>
                <w:color w:val="000000"/>
                <w:sz w:val="20"/>
                <w:szCs w:val="20"/>
              </w:rPr>
              <w:t>--</w:t>
            </w:r>
          </w:p>
        </w:tc>
        <w:tc>
          <w:tcPr>
            <w:tcW w:w="9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F82ECED" w14:textId="77777777" w:rsidR="00784D90" w:rsidRPr="00637368" w:rsidRDefault="00784D90" w:rsidP="0067694D">
            <w:pPr>
              <w:jc w:val="center"/>
              <w:rPr>
                <w:sz w:val="20"/>
                <w:szCs w:val="20"/>
              </w:rPr>
            </w:pPr>
            <w:r w:rsidRPr="00637368">
              <w:rPr>
                <w:color w:val="000000"/>
                <w:sz w:val="20"/>
                <w:szCs w:val="20"/>
              </w:rPr>
              <w:t>37</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CC81716" w14:textId="77777777" w:rsidR="00784D90" w:rsidRPr="00637368" w:rsidRDefault="00784D90" w:rsidP="0067694D">
            <w:pPr>
              <w:jc w:val="center"/>
              <w:rPr>
                <w:sz w:val="20"/>
                <w:szCs w:val="20"/>
              </w:rPr>
            </w:pPr>
            <w:r w:rsidRPr="00637368">
              <w:rPr>
                <w:color w:val="000000"/>
                <w:sz w:val="20"/>
                <w:szCs w:val="20"/>
              </w:rPr>
              <w:t>13.3</w:t>
            </w:r>
          </w:p>
        </w:tc>
        <w:tc>
          <w:tcPr>
            <w:tcW w:w="9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32AA2C6" w14:textId="77777777" w:rsidR="00784D90" w:rsidRPr="00637368" w:rsidRDefault="00784D90" w:rsidP="0067694D">
            <w:pPr>
              <w:jc w:val="center"/>
              <w:rPr>
                <w:sz w:val="20"/>
                <w:szCs w:val="20"/>
              </w:rPr>
            </w:pPr>
            <w:r w:rsidRPr="00637368">
              <w:rPr>
                <w:color w:val="000000"/>
                <w:sz w:val="20"/>
                <w:szCs w:val="20"/>
              </w:rPr>
              <w:t>7,055</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5B36278" w14:textId="77777777" w:rsidR="00784D90" w:rsidRPr="00637368" w:rsidRDefault="00784D90" w:rsidP="0067694D">
            <w:pPr>
              <w:jc w:val="center"/>
              <w:rPr>
                <w:sz w:val="20"/>
                <w:szCs w:val="20"/>
              </w:rPr>
            </w:pPr>
            <w:r w:rsidRPr="00637368">
              <w:rPr>
                <w:color w:val="000000"/>
                <w:sz w:val="20"/>
                <w:szCs w:val="20"/>
              </w:rPr>
              <w:t>25.2</w:t>
            </w:r>
          </w:p>
        </w:tc>
      </w:tr>
      <w:tr w:rsidR="00784D90" w:rsidRPr="00637368" w14:paraId="550EEAAF" w14:textId="77777777" w:rsidTr="0067694D">
        <w:trPr>
          <w:trHeight w:val="181"/>
        </w:trPr>
        <w:tc>
          <w:tcPr>
            <w:tcW w:w="252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2C41139D" w14:textId="77777777" w:rsidR="00784D90" w:rsidRPr="00637368" w:rsidRDefault="00784D90" w:rsidP="0067694D">
            <w:pPr>
              <w:rPr>
                <w:sz w:val="20"/>
                <w:szCs w:val="20"/>
              </w:rPr>
            </w:pPr>
            <w:r w:rsidRPr="00637368">
              <w:rPr>
                <w:color w:val="000000"/>
                <w:sz w:val="20"/>
                <w:szCs w:val="20"/>
              </w:rPr>
              <w:t>Not Available</w:t>
            </w:r>
          </w:p>
        </w:tc>
        <w:tc>
          <w:tcPr>
            <w:tcW w:w="68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79A49D2" w14:textId="77777777" w:rsidR="00784D90" w:rsidRPr="00637368" w:rsidRDefault="00784D90" w:rsidP="0067694D">
            <w:pPr>
              <w:rPr>
                <w:sz w:val="20"/>
                <w:szCs w:val="20"/>
              </w:rPr>
            </w:pPr>
          </w:p>
        </w:tc>
      </w:tr>
      <w:tr w:rsidR="00784D90" w:rsidRPr="00637368" w14:paraId="1218F128" w14:textId="77777777" w:rsidTr="0067694D">
        <w:trPr>
          <w:trHeight w:val="166"/>
        </w:trPr>
        <w:tc>
          <w:tcPr>
            <w:tcW w:w="2527"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384E1CE8" w14:textId="77777777" w:rsidR="00784D90" w:rsidRPr="00637368" w:rsidRDefault="00784D90" w:rsidP="0067694D">
            <w:pPr>
              <w:jc w:val="right"/>
              <w:rPr>
                <w:sz w:val="20"/>
                <w:szCs w:val="20"/>
              </w:rPr>
            </w:pPr>
            <w:r w:rsidRPr="00637368">
              <w:rPr>
                <w:color w:val="000000"/>
                <w:sz w:val="20"/>
                <w:szCs w:val="20"/>
              </w:rPr>
              <w:t>2018</w:t>
            </w:r>
          </w:p>
        </w:tc>
        <w:tc>
          <w:tcPr>
            <w:tcW w:w="142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7B7C840" w14:textId="77777777" w:rsidR="00784D90" w:rsidRPr="00637368" w:rsidRDefault="00784D90" w:rsidP="0067694D">
            <w:pPr>
              <w:jc w:val="center"/>
              <w:rPr>
                <w:sz w:val="20"/>
                <w:szCs w:val="20"/>
              </w:rPr>
            </w:pPr>
            <w:r w:rsidRPr="00637368">
              <w:rPr>
                <w:color w:val="000000"/>
                <w:sz w:val="20"/>
                <w:szCs w:val="20"/>
              </w:rPr>
              <w:t>0.0</w:t>
            </w:r>
          </w:p>
        </w:tc>
        <w:tc>
          <w:tcPr>
            <w:tcW w:w="143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089FC2B" w14:textId="77777777" w:rsidR="00784D90" w:rsidRPr="00637368" w:rsidRDefault="00784D90" w:rsidP="0067694D">
            <w:pPr>
              <w:jc w:val="center"/>
              <w:rPr>
                <w:sz w:val="20"/>
                <w:szCs w:val="20"/>
              </w:rPr>
            </w:pPr>
            <w:r w:rsidRPr="00637368">
              <w:rPr>
                <w:color w:val="000000"/>
                <w:sz w:val="20"/>
                <w:szCs w:val="20"/>
              </w:rPr>
              <w:t>0.0</w:t>
            </w:r>
          </w:p>
        </w:tc>
        <w:tc>
          <w:tcPr>
            <w:tcW w:w="9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89BCAF2" w14:textId="77777777" w:rsidR="00784D90" w:rsidRPr="00637368" w:rsidRDefault="00784D90" w:rsidP="0067694D">
            <w:pPr>
              <w:jc w:val="center"/>
              <w:rPr>
                <w:sz w:val="20"/>
                <w:szCs w:val="20"/>
              </w:rPr>
            </w:pPr>
            <w:r w:rsidRPr="00637368">
              <w:rPr>
                <w:color w:val="000000"/>
                <w:sz w:val="20"/>
                <w:szCs w:val="20"/>
              </w:rPr>
              <w:t>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BC59122" w14:textId="77777777" w:rsidR="00784D90" w:rsidRPr="00637368" w:rsidRDefault="00784D90" w:rsidP="0067694D">
            <w:pPr>
              <w:jc w:val="center"/>
              <w:rPr>
                <w:sz w:val="20"/>
                <w:szCs w:val="20"/>
              </w:rPr>
            </w:pPr>
            <w:r w:rsidRPr="00637368">
              <w:rPr>
                <w:color w:val="000000"/>
                <w:sz w:val="20"/>
                <w:szCs w:val="20"/>
              </w:rPr>
              <w:t>0.0</w:t>
            </w:r>
          </w:p>
        </w:tc>
        <w:tc>
          <w:tcPr>
            <w:tcW w:w="9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55DC2C9" w14:textId="77777777" w:rsidR="00784D90" w:rsidRPr="00637368" w:rsidRDefault="00784D90" w:rsidP="0067694D">
            <w:pPr>
              <w:jc w:val="center"/>
              <w:rPr>
                <w:sz w:val="20"/>
                <w:szCs w:val="20"/>
              </w:rPr>
            </w:pPr>
            <w:r w:rsidRPr="00637368">
              <w:rPr>
                <w:color w:val="000000"/>
                <w:sz w:val="20"/>
                <w:szCs w:val="20"/>
              </w:rPr>
              <w:t>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9064F31" w14:textId="77777777" w:rsidR="00784D90" w:rsidRPr="00637368" w:rsidRDefault="00784D90" w:rsidP="0067694D">
            <w:pPr>
              <w:jc w:val="center"/>
              <w:rPr>
                <w:sz w:val="20"/>
                <w:szCs w:val="20"/>
              </w:rPr>
            </w:pPr>
            <w:r w:rsidRPr="00637368">
              <w:rPr>
                <w:color w:val="000000"/>
                <w:sz w:val="20"/>
                <w:szCs w:val="20"/>
              </w:rPr>
              <w:t>0.0</w:t>
            </w:r>
          </w:p>
        </w:tc>
      </w:tr>
      <w:tr w:rsidR="00784D90" w:rsidRPr="00637368" w14:paraId="14D37849" w14:textId="77777777" w:rsidTr="0067694D">
        <w:trPr>
          <w:trHeight w:val="166"/>
        </w:trPr>
        <w:tc>
          <w:tcPr>
            <w:tcW w:w="2527"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61E843A7" w14:textId="77777777" w:rsidR="00784D90" w:rsidRPr="00637368" w:rsidRDefault="00784D90" w:rsidP="0067694D">
            <w:pPr>
              <w:jc w:val="right"/>
              <w:rPr>
                <w:sz w:val="20"/>
                <w:szCs w:val="20"/>
              </w:rPr>
            </w:pPr>
            <w:r w:rsidRPr="00637368">
              <w:rPr>
                <w:color w:val="000000"/>
                <w:sz w:val="20"/>
                <w:szCs w:val="20"/>
              </w:rPr>
              <w:t>2019</w:t>
            </w:r>
          </w:p>
        </w:tc>
        <w:tc>
          <w:tcPr>
            <w:tcW w:w="142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6783962" w14:textId="77777777" w:rsidR="00784D90" w:rsidRPr="00637368" w:rsidRDefault="00784D90" w:rsidP="0067694D">
            <w:pPr>
              <w:jc w:val="center"/>
              <w:rPr>
                <w:sz w:val="20"/>
                <w:szCs w:val="20"/>
              </w:rPr>
            </w:pPr>
            <w:r w:rsidRPr="00637368">
              <w:rPr>
                <w:color w:val="000000"/>
                <w:sz w:val="20"/>
                <w:szCs w:val="20"/>
              </w:rPr>
              <w:t>0.0</w:t>
            </w:r>
          </w:p>
        </w:tc>
        <w:tc>
          <w:tcPr>
            <w:tcW w:w="143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D3E24AA" w14:textId="77777777" w:rsidR="00784D90" w:rsidRPr="00637368" w:rsidRDefault="00784D90" w:rsidP="0067694D">
            <w:pPr>
              <w:jc w:val="center"/>
              <w:rPr>
                <w:sz w:val="20"/>
                <w:szCs w:val="20"/>
              </w:rPr>
            </w:pPr>
            <w:r w:rsidRPr="00637368">
              <w:rPr>
                <w:color w:val="000000"/>
                <w:sz w:val="20"/>
                <w:szCs w:val="20"/>
              </w:rPr>
              <w:t>--</w:t>
            </w:r>
          </w:p>
        </w:tc>
        <w:tc>
          <w:tcPr>
            <w:tcW w:w="9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4117337" w14:textId="77777777" w:rsidR="00784D90" w:rsidRPr="00637368" w:rsidRDefault="00784D90" w:rsidP="0067694D">
            <w:pPr>
              <w:jc w:val="center"/>
              <w:rPr>
                <w:sz w:val="20"/>
                <w:szCs w:val="20"/>
              </w:rPr>
            </w:pPr>
            <w:r w:rsidRPr="00637368">
              <w:rPr>
                <w:color w:val="000000"/>
                <w:sz w:val="20"/>
                <w:szCs w:val="20"/>
              </w:rPr>
              <w:t>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C7DB65C" w14:textId="77777777" w:rsidR="00784D90" w:rsidRPr="00637368" w:rsidRDefault="00784D90" w:rsidP="0067694D">
            <w:pPr>
              <w:jc w:val="center"/>
              <w:rPr>
                <w:sz w:val="20"/>
                <w:szCs w:val="20"/>
              </w:rPr>
            </w:pPr>
            <w:r w:rsidRPr="00637368">
              <w:rPr>
                <w:color w:val="000000"/>
                <w:sz w:val="20"/>
                <w:szCs w:val="20"/>
              </w:rPr>
              <w:t>0.0</w:t>
            </w:r>
          </w:p>
        </w:tc>
        <w:tc>
          <w:tcPr>
            <w:tcW w:w="9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DC9B5CB" w14:textId="77777777" w:rsidR="00784D90" w:rsidRPr="00637368" w:rsidRDefault="00784D90" w:rsidP="0067694D">
            <w:pPr>
              <w:jc w:val="center"/>
              <w:rPr>
                <w:sz w:val="20"/>
                <w:szCs w:val="20"/>
              </w:rPr>
            </w:pPr>
            <w:r w:rsidRPr="00637368">
              <w:rPr>
                <w:color w:val="000000"/>
                <w:sz w:val="20"/>
                <w:szCs w:val="20"/>
              </w:rPr>
              <w:t>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E502CCC" w14:textId="77777777" w:rsidR="00784D90" w:rsidRPr="00637368" w:rsidRDefault="00784D90" w:rsidP="0067694D">
            <w:pPr>
              <w:jc w:val="center"/>
              <w:rPr>
                <w:sz w:val="20"/>
                <w:szCs w:val="20"/>
              </w:rPr>
            </w:pPr>
            <w:r w:rsidRPr="00637368">
              <w:rPr>
                <w:color w:val="000000"/>
                <w:sz w:val="20"/>
                <w:szCs w:val="20"/>
              </w:rPr>
              <w:t>0.0</w:t>
            </w:r>
          </w:p>
        </w:tc>
      </w:tr>
      <w:tr w:rsidR="00784D90" w:rsidRPr="00637368" w14:paraId="360FD171" w14:textId="77777777" w:rsidTr="0067694D">
        <w:trPr>
          <w:trHeight w:val="181"/>
        </w:trPr>
        <w:tc>
          <w:tcPr>
            <w:tcW w:w="252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0FBA4AD6" w14:textId="77777777" w:rsidR="00784D90" w:rsidRPr="00637368" w:rsidRDefault="00784D90" w:rsidP="0067694D">
            <w:pPr>
              <w:rPr>
                <w:sz w:val="20"/>
                <w:szCs w:val="20"/>
              </w:rPr>
            </w:pPr>
            <w:r w:rsidRPr="00637368">
              <w:rPr>
                <w:b/>
                <w:color w:val="000000"/>
                <w:sz w:val="20"/>
                <w:szCs w:val="20"/>
              </w:rPr>
              <w:t>Totals</w:t>
            </w:r>
          </w:p>
        </w:tc>
        <w:tc>
          <w:tcPr>
            <w:tcW w:w="681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8D59DB3" w14:textId="77777777" w:rsidR="00784D90" w:rsidRPr="00637368" w:rsidRDefault="00784D90" w:rsidP="0067694D">
            <w:pPr>
              <w:rPr>
                <w:sz w:val="20"/>
                <w:szCs w:val="20"/>
              </w:rPr>
            </w:pPr>
          </w:p>
        </w:tc>
      </w:tr>
      <w:tr w:rsidR="00784D90" w:rsidRPr="00637368" w14:paraId="22C84EF0" w14:textId="77777777" w:rsidTr="0067694D">
        <w:trPr>
          <w:trHeight w:val="181"/>
        </w:trPr>
        <w:tc>
          <w:tcPr>
            <w:tcW w:w="2527"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17E2A7CE" w14:textId="77777777" w:rsidR="00784D90" w:rsidRPr="00637368" w:rsidRDefault="00784D90" w:rsidP="0067694D">
            <w:pPr>
              <w:jc w:val="right"/>
              <w:rPr>
                <w:sz w:val="20"/>
                <w:szCs w:val="20"/>
              </w:rPr>
            </w:pPr>
            <w:r w:rsidRPr="00637368">
              <w:rPr>
                <w:b/>
                <w:color w:val="000000"/>
                <w:sz w:val="20"/>
                <w:szCs w:val="20"/>
              </w:rPr>
              <w:t>2018</w:t>
            </w:r>
          </w:p>
        </w:tc>
        <w:tc>
          <w:tcPr>
            <w:tcW w:w="142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D4C55D0" w14:textId="77777777" w:rsidR="00784D90" w:rsidRPr="00637368" w:rsidRDefault="00784D90" w:rsidP="0067694D">
            <w:pPr>
              <w:jc w:val="center"/>
              <w:rPr>
                <w:sz w:val="20"/>
                <w:szCs w:val="20"/>
              </w:rPr>
            </w:pPr>
            <w:r w:rsidRPr="00637368">
              <w:rPr>
                <w:b/>
                <w:color w:val="000000"/>
                <w:sz w:val="20"/>
                <w:szCs w:val="20"/>
              </w:rPr>
              <w:t>100.0</w:t>
            </w:r>
          </w:p>
        </w:tc>
        <w:tc>
          <w:tcPr>
            <w:tcW w:w="143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484ED72" w14:textId="77777777" w:rsidR="00784D90" w:rsidRPr="00637368" w:rsidRDefault="00784D90" w:rsidP="0067694D">
            <w:pPr>
              <w:jc w:val="center"/>
              <w:rPr>
                <w:sz w:val="20"/>
                <w:szCs w:val="20"/>
              </w:rPr>
            </w:pPr>
            <w:r w:rsidRPr="00637368">
              <w:rPr>
                <w:b/>
                <w:color w:val="000000"/>
                <w:sz w:val="20"/>
                <w:szCs w:val="20"/>
              </w:rPr>
              <w:t>100.0</w:t>
            </w:r>
          </w:p>
        </w:tc>
        <w:tc>
          <w:tcPr>
            <w:tcW w:w="9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A960303" w14:textId="77777777" w:rsidR="00784D90" w:rsidRPr="00637368" w:rsidRDefault="00784D90" w:rsidP="0067694D">
            <w:pPr>
              <w:jc w:val="center"/>
              <w:rPr>
                <w:sz w:val="20"/>
                <w:szCs w:val="20"/>
              </w:rPr>
            </w:pPr>
            <w:r w:rsidRPr="00637368">
              <w:rPr>
                <w:b/>
                <w:color w:val="000000"/>
                <w:sz w:val="20"/>
                <w:szCs w:val="20"/>
              </w:rPr>
              <w:t>130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7FE4057" w14:textId="77777777" w:rsidR="00784D90" w:rsidRPr="00637368" w:rsidRDefault="00784D90" w:rsidP="0067694D">
            <w:pPr>
              <w:jc w:val="center"/>
              <w:rPr>
                <w:sz w:val="20"/>
                <w:szCs w:val="20"/>
              </w:rPr>
            </w:pPr>
            <w:r w:rsidRPr="00637368">
              <w:rPr>
                <w:b/>
                <w:color w:val="000000"/>
                <w:sz w:val="20"/>
                <w:szCs w:val="20"/>
              </w:rPr>
              <w:t>100.0</w:t>
            </w:r>
          </w:p>
        </w:tc>
        <w:tc>
          <w:tcPr>
            <w:tcW w:w="9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FF71090" w14:textId="77777777" w:rsidR="00784D90" w:rsidRPr="00637368" w:rsidRDefault="00784D90" w:rsidP="0067694D">
            <w:pPr>
              <w:jc w:val="center"/>
              <w:rPr>
                <w:sz w:val="20"/>
                <w:szCs w:val="20"/>
              </w:rPr>
            </w:pPr>
            <w:r w:rsidRPr="00637368">
              <w:rPr>
                <w:b/>
                <w:color w:val="000000"/>
                <w:sz w:val="20"/>
                <w:szCs w:val="20"/>
              </w:rPr>
              <w:t>21,585</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4433EAE" w14:textId="77777777" w:rsidR="00784D90" w:rsidRPr="00637368" w:rsidRDefault="00784D90" w:rsidP="0067694D">
            <w:pPr>
              <w:jc w:val="center"/>
              <w:rPr>
                <w:sz w:val="20"/>
                <w:szCs w:val="20"/>
              </w:rPr>
            </w:pPr>
            <w:r w:rsidRPr="00637368">
              <w:rPr>
                <w:b/>
                <w:color w:val="000000"/>
                <w:sz w:val="20"/>
                <w:szCs w:val="20"/>
              </w:rPr>
              <w:t>100.0</w:t>
            </w:r>
          </w:p>
        </w:tc>
      </w:tr>
      <w:tr w:rsidR="00784D90" w:rsidRPr="00637368" w14:paraId="6B30AFF3" w14:textId="77777777" w:rsidTr="0067694D">
        <w:trPr>
          <w:trHeight w:val="181"/>
        </w:trPr>
        <w:tc>
          <w:tcPr>
            <w:tcW w:w="2527"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798909BA" w14:textId="77777777" w:rsidR="00784D90" w:rsidRPr="00637368" w:rsidRDefault="00784D90" w:rsidP="0067694D">
            <w:pPr>
              <w:jc w:val="right"/>
              <w:rPr>
                <w:sz w:val="20"/>
                <w:szCs w:val="20"/>
              </w:rPr>
            </w:pPr>
            <w:r w:rsidRPr="00637368">
              <w:rPr>
                <w:b/>
                <w:color w:val="000000"/>
                <w:sz w:val="20"/>
                <w:szCs w:val="20"/>
              </w:rPr>
              <w:t>2019</w:t>
            </w:r>
          </w:p>
        </w:tc>
        <w:tc>
          <w:tcPr>
            <w:tcW w:w="142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9471BC9" w14:textId="77777777" w:rsidR="00784D90" w:rsidRPr="00637368" w:rsidRDefault="00784D90" w:rsidP="0067694D">
            <w:pPr>
              <w:jc w:val="center"/>
              <w:rPr>
                <w:sz w:val="20"/>
                <w:szCs w:val="20"/>
              </w:rPr>
            </w:pPr>
            <w:r w:rsidRPr="00637368">
              <w:rPr>
                <w:b/>
                <w:color w:val="000000"/>
                <w:sz w:val="20"/>
                <w:szCs w:val="20"/>
              </w:rPr>
              <w:t>100.0</w:t>
            </w:r>
          </w:p>
        </w:tc>
        <w:tc>
          <w:tcPr>
            <w:tcW w:w="143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801A132" w14:textId="77777777" w:rsidR="00784D90" w:rsidRPr="00637368" w:rsidRDefault="00784D90" w:rsidP="0067694D">
            <w:pPr>
              <w:jc w:val="center"/>
              <w:rPr>
                <w:sz w:val="20"/>
                <w:szCs w:val="20"/>
              </w:rPr>
            </w:pPr>
            <w:r w:rsidRPr="00637368">
              <w:rPr>
                <w:b/>
                <w:color w:val="000000"/>
                <w:sz w:val="20"/>
                <w:szCs w:val="20"/>
              </w:rPr>
              <w:t>--</w:t>
            </w:r>
          </w:p>
        </w:tc>
        <w:tc>
          <w:tcPr>
            <w:tcW w:w="9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191D753" w14:textId="77777777" w:rsidR="00784D90" w:rsidRPr="00637368" w:rsidRDefault="00784D90" w:rsidP="0067694D">
            <w:pPr>
              <w:jc w:val="center"/>
              <w:rPr>
                <w:sz w:val="20"/>
                <w:szCs w:val="20"/>
              </w:rPr>
            </w:pPr>
            <w:r w:rsidRPr="00637368">
              <w:rPr>
                <w:b/>
                <w:color w:val="000000"/>
                <w:sz w:val="20"/>
                <w:szCs w:val="20"/>
              </w:rPr>
              <w:t>279</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2FE7506" w14:textId="77777777" w:rsidR="00784D90" w:rsidRPr="00637368" w:rsidRDefault="00784D90" w:rsidP="0067694D">
            <w:pPr>
              <w:jc w:val="center"/>
              <w:rPr>
                <w:sz w:val="20"/>
                <w:szCs w:val="20"/>
              </w:rPr>
            </w:pPr>
            <w:r w:rsidRPr="00637368">
              <w:rPr>
                <w:b/>
                <w:color w:val="000000"/>
                <w:sz w:val="20"/>
                <w:szCs w:val="20"/>
              </w:rPr>
              <w:t>100.0</w:t>
            </w:r>
          </w:p>
        </w:tc>
        <w:tc>
          <w:tcPr>
            <w:tcW w:w="9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6DC5A45" w14:textId="77777777" w:rsidR="00784D90" w:rsidRPr="00637368" w:rsidRDefault="00784D90" w:rsidP="0067694D">
            <w:pPr>
              <w:jc w:val="center"/>
              <w:rPr>
                <w:sz w:val="20"/>
                <w:szCs w:val="20"/>
              </w:rPr>
            </w:pPr>
            <w:r w:rsidRPr="00637368">
              <w:rPr>
                <w:b/>
                <w:color w:val="000000"/>
                <w:sz w:val="20"/>
                <w:szCs w:val="20"/>
              </w:rPr>
              <w:t>28,043</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E7FE2E7" w14:textId="77777777" w:rsidR="00784D90" w:rsidRPr="00637368" w:rsidRDefault="00784D90" w:rsidP="0067694D">
            <w:pPr>
              <w:jc w:val="center"/>
              <w:rPr>
                <w:sz w:val="20"/>
                <w:szCs w:val="20"/>
              </w:rPr>
            </w:pPr>
            <w:r w:rsidRPr="00637368">
              <w:rPr>
                <w:b/>
                <w:color w:val="000000"/>
                <w:sz w:val="20"/>
                <w:szCs w:val="20"/>
              </w:rPr>
              <w:t>100.0</w:t>
            </w:r>
          </w:p>
        </w:tc>
      </w:tr>
      <w:tr w:rsidR="00784D90" w:rsidRPr="00637368" w14:paraId="4C0AC5F9" w14:textId="77777777" w:rsidTr="0067694D">
        <w:trPr>
          <w:trHeight w:val="437"/>
        </w:trPr>
        <w:tc>
          <w:tcPr>
            <w:tcW w:w="9342" w:type="dxa"/>
            <w:gridSpan w:val="7"/>
            <w:tcBorders>
              <w:top w:val="single" w:sz="7" w:space="0" w:color="000000"/>
              <w:left w:val="single" w:sz="7" w:space="0" w:color="000000"/>
              <w:bottom w:val="single" w:sz="7" w:space="0" w:color="000000"/>
              <w:right w:val="single" w:sz="7" w:space="0" w:color="000000"/>
            </w:tcBorders>
            <w:tcMar>
              <w:top w:w="59" w:type="dxa"/>
              <w:left w:w="39" w:type="dxa"/>
              <w:bottom w:w="39" w:type="dxa"/>
              <w:right w:w="39" w:type="dxa"/>
            </w:tcMar>
          </w:tcPr>
          <w:p w14:paraId="45DAFD08" w14:textId="77777777" w:rsidR="00784D90" w:rsidRPr="00637368" w:rsidRDefault="00784D90" w:rsidP="0067694D">
            <w:pPr>
              <w:rPr>
                <w:sz w:val="20"/>
                <w:szCs w:val="20"/>
              </w:rPr>
            </w:pPr>
            <w:r w:rsidRPr="00637368">
              <w:rPr>
                <w:i/>
                <w:color w:val="000000"/>
                <w:sz w:val="16"/>
                <w:szCs w:val="20"/>
              </w:rPr>
              <w:t>Source: 2018 &amp; 2019 D&amp;B Data; 1/1/2018 - 12/31/2019 Bank Data; 2018 CRA Aggregate Data, "--" data not available.</w:t>
            </w:r>
          </w:p>
          <w:p w14:paraId="7D29EA34" w14:textId="77777777" w:rsidR="00784D90" w:rsidRPr="00637368" w:rsidRDefault="00784D90" w:rsidP="0067694D">
            <w:pPr>
              <w:rPr>
                <w:sz w:val="20"/>
                <w:szCs w:val="20"/>
              </w:rPr>
            </w:pPr>
            <w:r w:rsidRPr="00637368">
              <w:rPr>
                <w:i/>
                <w:color w:val="000000"/>
                <w:sz w:val="16"/>
                <w:szCs w:val="20"/>
              </w:rPr>
              <w:t>Due to rounding, totals may not equal 100.0</w:t>
            </w:r>
          </w:p>
        </w:tc>
      </w:tr>
    </w:tbl>
    <w:p w14:paraId="371E348D" w14:textId="77777777" w:rsidR="0080664A" w:rsidRDefault="0080664A" w:rsidP="0067694D">
      <w:pPr>
        <w:rPr>
          <w:b/>
          <w:bCs/>
          <w:u w:val="single"/>
        </w:rPr>
      </w:pPr>
    </w:p>
    <w:p w14:paraId="2D6E6999" w14:textId="7240B2F4" w:rsidR="0067694D" w:rsidRPr="00520574" w:rsidRDefault="0067694D" w:rsidP="0067694D">
      <w:pPr>
        <w:rPr>
          <w:b/>
          <w:bCs/>
          <w:u w:val="single"/>
        </w:rPr>
      </w:pPr>
      <w:r w:rsidRPr="00520574">
        <w:rPr>
          <w:b/>
          <w:bCs/>
          <w:u w:val="single"/>
        </w:rPr>
        <w:t>Borrower Profile</w:t>
      </w:r>
    </w:p>
    <w:p w14:paraId="7FD5CDC6" w14:textId="77777777" w:rsidR="0067694D" w:rsidRDefault="0067694D" w:rsidP="0067694D">
      <w:pPr>
        <w:rPr>
          <w:bCs/>
        </w:rPr>
      </w:pPr>
    </w:p>
    <w:p w14:paraId="484411CD" w14:textId="501BD084" w:rsidR="0067694D" w:rsidRPr="00D97BB5" w:rsidRDefault="0067694D" w:rsidP="0067694D">
      <w:pPr>
        <w:rPr>
          <w:b/>
          <w:bCs/>
          <w:u w:val="single"/>
        </w:rPr>
      </w:pPr>
      <w:r w:rsidRPr="00D97BB5">
        <w:rPr>
          <w:bCs/>
        </w:rPr>
        <w:t>The distribution of borrowers reflects, given the product lines offered by the institution, good penetration among</w:t>
      </w:r>
      <w:r w:rsidR="0080664A">
        <w:rPr>
          <w:bCs/>
        </w:rPr>
        <w:t xml:space="preserve"> retail </w:t>
      </w:r>
      <w:r w:rsidR="00C21B34">
        <w:rPr>
          <w:bCs/>
        </w:rPr>
        <w:t>customers</w:t>
      </w:r>
      <w:r w:rsidR="00C21B34" w:rsidRPr="00D97BB5">
        <w:rPr>
          <w:bCs/>
        </w:rPr>
        <w:t xml:space="preserve"> of</w:t>
      </w:r>
      <w:r w:rsidRPr="00D97BB5">
        <w:rPr>
          <w:bCs/>
        </w:rPr>
        <w:t xml:space="preserve"> different income levels and business</w:t>
      </w:r>
      <w:r w:rsidR="0080664A">
        <w:rPr>
          <w:bCs/>
        </w:rPr>
        <w:t xml:space="preserve"> customers</w:t>
      </w:r>
      <w:r w:rsidRPr="00D97BB5">
        <w:rPr>
          <w:bCs/>
        </w:rPr>
        <w:t xml:space="preserve"> of different size in the assessment area.  The bank’s </w:t>
      </w:r>
      <w:r>
        <w:rPr>
          <w:bCs/>
        </w:rPr>
        <w:t>excellent</w:t>
      </w:r>
      <w:r w:rsidRPr="00D97BB5">
        <w:rPr>
          <w:bCs/>
        </w:rPr>
        <w:t xml:space="preserve"> performance of home mortgage and adequate performance of small business lending support the conclusion.  Examiners focused on the percentage by number</w:t>
      </w:r>
      <w:r>
        <w:rPr>
          <w:bCs/>
        </w:rPr>
        <w:t xml:space="preserve"> of home mortgage loans to low-and moderate-</w:t>
      </w:r>
      <w:r w:rsidRPr="00D97BB5">
        <w:rPr>
          <w:bCs/>
        </w:rPr>
        <w:t xml:space="preserve">income borrowers.  </w:t>
      </w:r>
      <w:r w:rsidRPr="00D97BB5">
        <w:rPr>
          <w:bCs/>
        </w:rPr>
        <w:lastRenderedPageBreak/>
        <w:t>Examiners also focused on the percentage of small business loans to businesses with GARs of $1 million or less</w:t>
      </w:r>
      <w:r>
        <w:rPr>
          <w:bCs/>
        </w:rPr>
        <w:t>.</w:t>
      </w:r>
      <w:r w:rsidRPr="00D97BB5">
        <w:rPr>
          <w:bCs/>
        </w:rPr>
        <w:t xml:space="preserve"> </w:t>
      </w:r>
    </w:p>
    <w:p w14:paraId="1E29F6A7" w14:textId="3A8F54F2" w:rsidR="0067694D" w:rsidRDefault="0067694D" w:rsidP="0067694D">
      <w:pPr>
        <w:rPr>
          <w:bCs/>
        </w:rPr>
      </w:pPr>
    </w:p>
    <w:p w14:paraId="4AE81AD7" w14:textId="77777777" w:rsidR="0067694D" w:rsidRDefault="0067694D" w:rsidP="0067694D">
      <w:pPr>
        <w:rPr>
          <w:b/>
          <w:bCs/>
          <w:i/>
        </w:rPr>
      </w:pPr>
      <w:r w:rsidRPr="00344054">
        <w:rPr>
          <w:b/>
          <w:bCs/>
          <w:i/>
        </w:rPr>
        <w:t>Home Mortgage Loans</w:t>
      </w:r>
    </w:p>
    <w:p w14:paraId="455A9075" w14:textId="5A602340" w:rsidR="0067694D" w:rsidRDefault="0067694D" w:rsidP="0067694D">
      <w:pPr>
        <w:rPr>
          <w:bCs/>
        </w:rPr>
      </w:pPr>
      <w:r>
        <w:rPr>
          <w:bCs/>
        </w:rPr>
        <w:t xml:space="preserve">The distribution of home mortgage loans to </w:t>
      </w:r>
      <w:r w:rsidR="0080664A">
        <w:rPr>
          <w:bCs/>
        </w:rPr>
        <w:t xml:space="preserve">retail </w:t>
      </w:r>
      <w:r w:rsidR="00C21B34">
        <w:rPr>
          <w:bCs/>
        </w:rPr>
        <w:t>customers of</w:t>
      </w:r>
      <w:r>
        <w:rPr>
          <w:bCs/>
        </w:rPr>
        <w:t xml:space="preserve"> different income </w:t>
      </w:r>
      <w:r w:rsidR="00C21B34">
        <w:rPr>
          <w:bCs/>
        </w:rPr>
        <w:t>levels</w:t>
      </w:r>
      <w:r>
        <w:rPr>
          <w:bCs/>
        </w:rPr>
        <w:t xml:space="preserve"> reflects excellent penetration.  In 2018, lending to low-income borrowers exc</w:t>
      </w:r>
      <w:r w:rsidR="00D0220B">
        <w:rPr>
          <w:bCs/>
        </w:rPr>
        <w:t>eeded aggregate data.  However,</w:t>
      </w:r>
      <w:r>
        <w:rPr>
          <w:bCs/>
        </w:rPr>
        <w:t xml:space="preserve"> </w:t>
      </w:r>
      <w:r w:rsidR="00D0220B">
        <w:rPr>
          <w:bCs/>
        </w:rPr>
        <w:t xml:space="preserve">the number of home mortgage loans to low-income borrowers </w:t>
      </w:r>
      <w:r>
        <w:rPr>
          <w:bCs/>
        </w:rPr>
        <w:t xml:space="preserve">was </w:t>
      </w:r>
      <w:r w:rsidR="0080664A">
        <w:rPr>
          <w:bCs/>
        </w:rPr>
        <w:t xml:space="preserve">less than </w:t>
      </w:r>
      <w:r>
        <w:rPr>
          <w:bCs/>
        </w:rPr>
        <w:t xml:space="preserve">the percent of low-income families in the assessment area.  </w:t>
      </w:r>
      <w:r w:rsidR="00D0220B">
        <w:rPr>
          <w:bCs/>
        </w:rPr>
        <w:t xml:space="preserve">Although lending to low-income borrowers was </w:t>
      </w:r>
      <w:r w:rsidR="000F1A35">
        <w:rPr>
          <w:bCs/>
        </w:rPr>
        <w:t xml:space="preserve">less </w:t>
      </w:r>
      <w:r w:rsidR="00C21B34">
        <w:rPr>
          <w:bCs/>
        </w:rPr>
        <w:t>than demographics</w:t>
      </w:r>
      <w:r w:rsidR="00D0220B">
        <w:rPr>
          <w:bCs/>
        </w:rPr>
        <w:t>,</w:t>
      </w:r>
      <w:r w:rsidR="00D0220B" w:rsidRPr="00D0220B">
        <w:rPr>
          <w:bCs/>
        </w:rPr>
        <w:t xml:space="preserve"> </w:t>
      </w:r>
      <w:r w:rsidR="00D0220B">
        <w:rPr>
          <w:bCs/>
        </w:rPr>
        <w:t>l</w:t>
      </w:r>
      <w:r w:rsidR="00D0220B" w:rsidRPr="00F61E29">
        <w:rPr>
          <w:bCs/>
        </w:rPr>
        <w:t>ow-income families in the assessment area have annual incomes of less than $</w:t>
      </w:r>
      <w:r w:rsidR="00D0220B">
        <w:rPr>
          <w:bCs/>
        </w:rPr>
        <w:t>55,150.  Therefore</w:t>
      </w:r>
      <w:r w:rsidR="00C21B34">
        <w:rPr>
          <w:bCs/>
        </w:rPr>
        <w:t>, some</w:t>
      </w:r>
      <w:r w:rsidR="000F1A35">
        <w:rPr>
          <w:bCs/>
        </w:rPr>
        <w:t xml:space="preserve"> </w:t>
      </w:r>
      <w:r w:rsidR="00D0220B">
        <w:rPr>
          <w:bCs/>
        </w:rPr>
        <w:t xml:space="preserve">borrowers would </w:t>
      </w:r>
      <w:r w:rsidR="000F1A35">
        <w:rPr>
          <w:bCs/>
        </w:rPr>
        <w:t xml:space="preserve">have difficultly </w:t>
      </w:r>
      <w:r w:rsidR="00C21B34" w:rsidRPr="00F61E29">
        <w:rPr>
          <w:bCs/>
        </w:rPr>
        <w:t>qualif</w:t>
      </w:r>
      <w:r w:rsidR="00C21B34">
        <w:rPr>
          <w:bCs/>
        </w:rPr>
        <w:t>ying</w:t>
      </w:r>
      <w:r w:rsidR="00D0220B" w:rsidRPr="00F61E29">
        <w:rPr>
          <w:bCs/>
        </w:rPr>
        <w:t xml:space="preserve"> for a conventional mortgage, given that the median housing value is $448,925.  Lending opportunities to low-income families is further limited as 5.</w:t>
      </w:r>
      <w:r w:rsidR="00D0220B">
        <w:rPr>
          <w:bCs/>
        </w:rPr>
        <w:t>6</w:t>
      </w:r>
      <w:r w:rsidR="00D0220B" w:rsidRPr="00F61E29">
        <w:rPr>
          <w:bCs/>
        </w:rPr>
        <w:t xml:space="preserve"> percent of families in the assessment area live below the pov</w:t>
      </w:r>
      <w:r w:rsidR="00D0220B">
        <w:rPr>
          <w:bCs/>
        </w:rPr>
        <w:t xml:space="preserve">erty level.  These factors </w:t>
      </w:r>
      <w:r w:rsidR="000F1A35">
        <w:rPr>
          <w:bCs/>
        </w:rPr>
        <w:t xml:space="preserve">help to </w:t>
      </w:r>
      <w:r w:rsidR="00D0220B" w:rsidRPr="00F61E29">
        <w:rPr>
          <w:bCs/>
        </w:rPr>
        <w:t xml:space="preserve">explain the difference between </w:t>
      </w:r>
      <w:r w:rsidR="000F1A35">
        <w:rPr>
          <w:bCs/>
        </w:rPr>
        <w:t xml:space="preserve">the </w:t>
      </w:r>
      <w:r w:rsidR="00D0220B" w:rsidRPr="00F61E29">
        <w:rPr>
          <w:bCs/>
        </w:rPr>
        <w:t>bank</w:t>
      </w:r>
      <w:r w:rsidR="000F1A35">
        <w:rPr>
          <w:bCs/>
        </w:rPr>
        <w:t>’s</w:t>
      </w:r>
      <w:r w:rsidR="00D0220B" w:rsidRPr="00F61E29">
        <w:rPr>
          <w:bCs/>
        </w:rPr>
        <w:t xml:space="preserve"> </w:t>
      </w:r>
      <w:r w:rsidR="00C21B34" w:rsidRPr="00F61E29">
        <w:rPr>
          <w:bCs/>
        </w:rPr>
        <w:t xml:space="preserve">performance </w:t>
      </w:r>
      <w:r w:rsidR="00C21B34">
        <w:rPr>
          <w:bCs/>
        </w:rPr>
        <w:t>and</w:t>
      </w:r>
      <w:r w:rsidR="00D0220B" w:rsidRPr="00F61E29">
        <w:rPr>
          <w:bCs/>
        </w:rPr>
        <w:t xml:space="preserve"> the percent of low-income families</w:t>
      </w:r>
      <w:r w:rsidR="00FA6EE0">
        <w:rPr>
          <w:bCs/>
        </w:rPr>
        <w:t xml:space="preserve"> in the assessment area</w:t>
      </w:r>
      <w:r w:rsidR="00D0220B" w:rsidRPr="00F61E29">
        <w:rPr>
          <w:bCs/>
        </w:rPr>
        <w:t>.</w:t>
      </w:r>
      <w:r w:rsidR="00FA6EE0">
        <w:rPr>
          <w:bCs/>
        </w:rPr>
        <w:t xml:space="preserve">  </w:t>
      </w:r>
      <w:r>
        <w:rPr>
          <w:bCs/>
        </w:rPr>
        <w:t xml:space="preserve">In 2019, </w:t>
      </w:r>
      <w:r w:rsidR="00C21B34">
        <w:rPr>
          <w:bCs/>
        </w:rPr>
        <w:t>lending to</w:t>
      </w:r>
      <w:r>
        <w:rPr>
          <w:bCs/>
        </w:rPr>
        <w:t xml:space="preserve"> low-income borrowers increased </w:t>
      </w:r>
      <w:r w:rsidR="00D0220B">
        <w:rPr>
          <w:bCs/>
        </w:rPr>
        <w:t>by number</w:t>
      </w:r>
      <w:r w:rsidR="00CC6CBF">
        <w:rPr>
          <w:bCs/>
        </w:rPr>
        <w:t>, but declined by percentage given the increased volume</w:t>
      </w:r>
      <w:r>
        <w:rPr>
          <w:bCs/>
        </w:rPr>
        <w:t>.</w:t>
      </w:r>
      <w:r w:rsidR="00D0220B">
        <w:rPr>
          <w:bCs/>
        </w:rPr>
        <w:t xml:space="preserve">  </w:t>
      </w:r>
    </w:p>
    <w:p w14:paraId="27453131" w14:textId="688BDC26" w:rsidR="0067694D" w:rsidRDefault="0067694D" w:rsidP="0067694D">
      <w:pPr>
        <w:rPr>
          <w:bCs/>
        </w:rPr>
      </w:pPr>
    </w:p>
    <w:p w14:paraId="663F796B" w14:textId="2909DCA2" w:rsidR="0067694D" w:rsidRDefault="0067694D" w:rsidP="0067694D">
      <w:pPr>
        <w:rPr>
          <w:bCs/>
        </w:rPr>
      </w:pPr>
      <w:r>
        <w:rPr>
          <w:bCs/>
        </w:rPr>
        <w:t>In 2018, lending to moderate-income borrowers exceeded aggregate and demographics</w:t>
      </w:r>
      <w:r w:rsidR="000F1A35">
        <w:rPr>
          <w:bCs/>
        </w:rPr>
        <w:t>.</w:t>
      </w:r>
      <w:r>
        <w:rPr>
          <w:bCs/>
        </w:rPr>
        <w:t xml:space="preserve">  I</w:t>
      </w:r>
      <w:r w:rsidRPr="0080540B">
        <w:rPr>
          <w:bCs/>
        </w:rPr>
        <w:t>n 2019</w:t>
      </w:r>
      <w:r w:rsidR="000F1A35">
        <w:rPr>
          <w:bCs/>
        </w:rPr>
        <w:t>,</w:t>
      </w:r>
      <w:r w:rsidRPr="0080540B">
        <w:rPr>
          <w:bCs/>
        </w:rPr>
        <w:t xml:space="preserve"> </w:t>
      </w:r>
      <w:r w:rsidR="00CC6CBF">
        <w:rPr>
          <w:bCs/>
        </w:rPr>
        <w:t>l</w:t>
      </w:r>
      <w:r>
        <w:rPr>
          <w:bCs/>
        </w:rPr>
        <w:t xml:space="preserve">ending </w:t>
      </w:r>
      <w:r w:rsidR="000F1A35">
        <w:rPr>
          <w:bCs/>
        </w:rPr>
        <w:t xml:space="preserve">to moderate-income borrowers </w:t>
      </w:r>
      <w:r>
        <w:rPr>
          <w:bCs/>
        </w:rPr>
        <w:t>increased by number</w:t>
      </w:r>
      <w:r w:rsidR="00CC6CBF">
        <w:rPr>
          <w:bCs/>
        </w:rPr>
        <w:t>, but declined by percentage given the increased volume.</w:t>
      </w:r>
    </w:p>
    <w:p w14:paraId="1EB5016B" w14:textId="0AB5CDCC" w:rsidR="00CC6CBF" w:rsidRDefault="00CC6CBF" w:rsidP="0067694D">
      <w:pPr>
        <w:rPr>
          <w:bCs/>
        </w:rPr>
      </w:pPr>
    </w:p>
    <w:p w14:paraId="7BA4C0FB" w14:textId="4B91ADD3" w:rsidR="00344232" w:rsidRDefault="00344232" w:rsidP="0067694D">
      <w:pPr>
        <w:rPr>
          <w:bCs/>
        </w:rPr>
      </w:pPr>
    </w:p>
    <w:p w14:paraId="2EC64E7F" w14:textId="76E1BF4A" w:rsidR="00344232" w:rsidRDefault="00344232" w:rsidP="0067694D">
      <w:pPr>
        <w:rPr>
          <w:bCs/>
        </w:rPr>
      </w:pPr>
    </w:p>
    <w:p w14:paraId="4D7473F1" w14:textId="5B32D88C" w:rsidR="00344232" w:rsidRDefault="00344232" w:rsidP="0067694D">
      <w:pPr>
        <w:rPr>
          <w:bCs/>
        </w:rPr>
      </w:pPr>
    </w:p>
    <w:p w14:paraId="48AA5876" w14:textId="6EC2C2EE" w:rsidR="00344232" w:rsidRDefault="00344232" w:rsidP="0067694D">
      <w:pPr>
        <w:rPr>
          <w:bCs/>
        </w:rPr>
      </w:pPr>
    </w:p>
    <w:p w14:paraId="40BD06D8" w14:textId="59963FA3" w:rsidR="00344232" w:rsidRDefault="00344232" w:rsidP="0067694D">
      <w:pPr>
        <w:rPr>
          <w:bCs/>
        </w:rPr>
      </w:pPr>
    </w:p>
    <w:p w14:paraId="74142D6C" w14:textId="0A0AF282" w:rsidR="00344232" w:rsidRDefault="00344232" w:rsidP="0067694D">
      <w:pPr>
        <w:rPr>
          <w:bCs/>
        </w:rPr>
      </w:pPr>
    </w:p>
    <w:p w14:paraId="61062656" w14:textId="2576B0E4" w:rsidR="00344232" w:rsidRDefault="00344232" w:rsidP="0067694D">
      <w:pPr>
        <w:rPr>
          <w:bCs/>
        </w:rPr>
      </w:pPr>
    </w:p>
    <w:p w14:paraId="556CF018" w14:textId="785F797E" w:rsidR="00344232" w:rsidRDefault="00344232" w:rsidP="0067694D">
      <w:pPr>
        <w:rPr>
          <w:bCs/>
        </w:rPr>
      </w:pPr>
    </w:p>
    <w:p w14:paraId="01C4CA3E" w14:textId="609BFECA" w:rsidR="00344232" w:rsidRDefault="00344232" w:rsidP="0067694D">
      <w:pPr>
        <w:rPr>
          <w:bCs/>
        </w:rPr>
      </w:pPr>
    </w:p>
    <w:p w14:paraId="5B8A7A20" w14:textId="0058F4D2" w:rsidR="00344232" w:rsidRDefault="00344232" w:rsidP="0067694D">
      <w:pPr>
        <w:rPr>
          <w:bCs/>
        </w:rPr>
      </w:pPr>
    </w:p>
    <w:p w14:paraId="6FB4D0F6" w14:textId="6C7F54D7" w:rsidR="00344232" w:rsidRDefault="00344232" w:rsidP="0067694D">
      <w:pPr>
        <w:rPr>
          <w:bCs/>
        </w:rPr>
      </w:pPr>
    </w:p>
    <w:p w14:paraId="6BE6AA9F" w14:textId="13D8C03B" w:rsidR="00344232" w:rsidRDefault="00344232" w:rsidP="0067694D">
      <w:pPr>
        <w:rPr>
          <w:bCs/>
        </w:rPr>
      </w:pPr>
    </w:p>
    <w:p w14:paraId="7D5346B6" w14:textId="4B53BB1A" w:rsidR="00344232" w:rsidRDefault="00344232" w:rsidP="0067694D">
      <w:pPr>
        <w:rPr>
          <w:bCs/>
        </w:rPr>
      </w:pPr>
    </w:p>
    <w:p w14:paraId="663DB33A" w14:textId="4B3C00E4" w:rsidR="00344232" w:rsidRDefault="00344232" w:rsidP="0067694D">
      <w:pPr>
        <w:rPr>
          <w:bCs/>
        </w:rPr>
      </w:pPr>
    </w:p>
    <w:p w14:paraId="57FAFADA" w14:textId="36F56E5B" w:rsidR="00344232" w:rsidRDefault="00344232" w:rsidP="0067694D">
      <w:pPr>
        <w:rPr>
          <w:bCs/>
        </w:rPr>
      </w:pPr>
    </w:p>
    <w:p w14:paraId="00977AFE" w14:textId="3863B558" w:rsidR="00344232" w:rsidRDefault="00344232" w:rsidP="0067694D">
      <w:pPr>
        <w:rPr>
          <w:bCs/>
        </w:rPr>
      </w:pPr>
    </w:p>
    <w:p w14:paraId="6430B4C7" w14:textId="35B8E439" w:rsidR="00344232" w:rsidRDefault="00344232" w:rsidP="0067694D">
      <w:pPr>
        <w:rPr>
          <w:bCs/>
        </w:rPr>
      </w:pPr>
    </w:p>
    <w:p w14:paraId="111838ED" w14:textId="32886050" w:rsidR="00344232" w:rsidRDefault="00344232" w:rsidP="0067694D">
      <w:pPr>
        <w:rPr>
          <w:bCs/>
        </w:rPr>
      </w:pPr>
    </w:p>
    <w:p w14:paraId="34E3BBEC" w14:textId="36838F5D" w:rsidR="00344232" w:rsidRDefault="00344232" w:rsidP="0067694D">
      <w:pPr>
        <w:rPr>
          <w:bCs/>
        </w:rPr>
      </w:pPr>
    </w:p>
    <w:p w14:paraId="701FA146" w14:textId="47510D86" w:rsidR="00344232" w:rsidRDefault="00344232" w:rsidP="0067694D">
      <w:pPr>
        <w:rPr>
          <w:bCs/>
        </w:rPr>
      </w:pPr>
    </w:p>
    <w:p w14:paraId="0B80B6F5" w14:textId="08532900" w:rsidR="00344232" w:rsidRDefault="00344232" w:rsidP="0067694D">
      <w:pPr>
        <w:rPr>
          <w:bCs/>
        </w:rPr>
      </w:pPr>
    </w:p>
    <w:p w14:paraId="79589780" w14:textId="040F8D50" w:rsidR="00344232" w:rsidRDefault="00344232" w:rsidP="0067694D">
      <w:pPr>
        <w:rPr>
          <w:bCs/>
        </w:rPr>
      </w:pPr>
    </w:p>
    <w:p w14:paraId="63ACE1AB" w14:textId="33CEF088" w:rsidR="00344232" w:rsidRDefault="00344232" w:rsidP="0067694D">
      <w:pPr>
        <w:rPr>
          <w:bCs/>
        </w:rPr>
      </w:pPr>
    </w:p>
    <w:p w14:paraId="24EE7044" w14:textId="77777777" w:rsidR="00344232" w:rsidRDefault="00344232" w:rsidP="0067694D">
      <w:pPr>
        <w:rPr>
          <w:bCs/>
        </w:rPr>
      </w:pPr>
    </w:p>
    <w:p w14:paraId="45CE2F94" w14:textId="77777777" w:rsidR="00344232" w:rsidRDefault="00344232" w:rsidP="0067694D">
      <w:pPr>
        <w:rPr>
          <w:bCs/>
        </w:rPr>
      </w:pPr>
    </w:p>
    <w:tbl>
      <w:tblPr>
        <w:tblW w:w="0" w:type="auto"/>
        <w:tblCellMar>
          <w:left w:w="0" w:type="dxa"/>
          <w:right w:w="0" w:type="dxa"/>
        </w:tblCellMar>
        <w:tblLook w:val="0000" w:firstRow="0" w:lastRow="0" w:firstColumn="0" w:lastColumn="0" w:noHBand="0" w:noVBand="0"/>
      </w:tblPr>
      <w:tblGrid>
        <w:gridCol w:w="2253"/>
        <w:gridCol w:w="1417"/>
        <w:gridCol w:w="1431"/>
        <w:gridCol w:w="1124"/>
        <w:gridCol w:w="990"/>
        <w:gridCol w:w="1137"/>
        <w:gridCol w:w="990"/>
      </w:tblGrid>
      <w:tr w:rsidR="0067694D" w:rsidRPr="00637368" w14:paraId="2B4E7C6B" w14:textId="77777777" w:rsidTr="0067694D">
        <w:trPr>
          <w:trHeight w:val="288"/>
        </w:trPr>
        <w:tc>
          <w:tcPr>
            <w:tcW w:w="9504" w:type="dxa"/>
            <w:gridSpan w:val="7"/>
            <w:tcBorders>
              <w:top w:val="single" w:sz="7" w:space="0" w:color="000000"/>
              <w:left w:val="single" w:sz="7" w:space="0" w:color="000000"/>
              <w:right w:val="single" w:sz="7" w:space="0" w:color="000000"/>
            </w:tcBorders>
            <w:tcMar>
              <w:top w:w="39" w:type="dxa"/>
              <w:left w:w="39" w:type="dxa"/>
              <w:bottom w:w="39" w:type="dxa"/>
              <w:right w:w="39" w:type="dxa"/>
            </w:tcMar>
          </w:tcPr>
          <w:p w14:paraId="2C21E4AD" w14:textId="77777777" w:rsidR="0067694D" w:rsidRPr="00637368" w:rsidRDefault="0067694D" w:rsidP="0067694D">
            <w:pPr>
              <w:jc w:val="center"/>
              <w:rPr>
                <w:sz w:val="20"/>
                <w:szCs w:val="20"/>
              </w:rPr>
            </w:pPr>
            <w:r w:rsidRPr="00637368">
              <w:rPr>
                <w:b/>
                <w:color w:val="000000"/>
                <w:sz w:val="20"/>
                <w:szCs w:val="20"/>
              </w:rPr>
              <w:lastRenderedPageBreak/>
              <w:t>Distribution of Home Mortgage Loans by Borrower Income Level</w:t>
            </w:r>
          </w:p>
        </w:tc>
      </w:tr>
      <w:tr w:rsidR="0067694D" w:rsidRPr="00637368" w14:paraId="69FA29B1" w14:textId="77777777" w:rsidTr="0067694D">
        <w:trPr>
          <w:trHeight w:val="498"/>
        </w:trPr>
        <w:tc>
          <w:tcPr>
            <w:tcW w:w="230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7D07D7DB" w14:textId="77777777" w:rsidR="0067694D" w:rsidRPr="00637368" w:rsidRDefault="0067694D" w:rsidP="0067694D">
            <w:pPr>
              <w:rPr>
                <w:sz w:val="20"/>
                <w:szCs w:val="20"/>
              </w:rPr>
            </w:pPr>
            <w:r w:rsidRPr="00637368">
              <w:rPr>
                <w:b/>
                <w:color w:val="000000"/>
                <w:sz w:val="20"/>
                <w:szCs w:val="20"/>
              </w:rPr>
              <w:t>Borrower Income Level</w:t>
            </w:r>
          </w:p>
        </w:tc>
        <w:tc>
          <w:tcPr>
            <w:tcW w:w="144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30F0D53C" w14:textId="77777777" w:rsidR="0067694D" w:rsidRPr="00637368" w:rsidRDefault="0067694D" w:rsidP="0067694D">
            <w:pPr>
              <w:jc w:val="center"/>
              <w:rPr>
                <w:sz w:val="20"/>
                <w:szCs w:val="20"/>
              </w:rPr>
            </w:pPr>
            <w:r w:rsidRPr="00637368">
              <w:rPr>
                <w:b/>
                <w:color w:val="000000"/>
                <w:sz w:val="20"/>
                <w:szCs w:val="20"/>
              </w:rPr>
              <w:t>% of  Families</w:t>
            </w:r>
          </w:p>
        </w:tc>
        <w:tc>
          <w:tcPr>
            <w:tcW w:w="144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22312F32" w14:textId="77777777" w:rsidR="0067694D" w:rsidRPr="00637368" w:rsidRDefault="0067694D" w:rsidP="0067694D">
            <w:pPr>
              <w:jc w:val="center"/>
              <w:rPr>
                <w:sz w:val="20"/>
                <w:szCs w:val="20"/>
              </w:rPr>
            </w:pPr>
            <w:r w:rsidRPr="00637368">
              <w:rPr>
                <w:b/>
                <w:color w:val="000000"/>
                <w:sz w:val="20"/>
                <w:szCs w:val="20"/>
              </w:rPr>
              <w:t>Aggregate Performance</w:t>
            </w:r>
            <w:r w:rsidRPr="00637368">
              <w:rPr>
                <w:b/>
                <w:color w:val="000000"/>
                <w:sz w:val="20"/>
                <w:szCs w:val="20"/>
              </w:rPr>
              <w:br/>
              <w:t>% of #</w:t>
            </w:r>
          </w:p>
        </w:tc>
        <w:tc>
          <w:tcPr>
            <w:tcW w:w="11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53EC672E" w14:textId="77777777" w:rsidR="0067694D" w:rsidRPr="00637368" w:rsidRDefault="0067694D" w:rsidP="0067694D">
            <w:pPr>
              <w:jc w:val="center"/>
              <w:rPr>
                <w:sz w:val="20"/>
                <w:szCs w:val="20"/>
              </w:rPr>
            </w:pPr>
            <w:r w:rsidRPr="00637368">
              <w:rPr>
                <w:b/>
                <w:color w:val="000000"/>
                <w:sz w:val="20"/>
                <w:szCs w:val="20"/>
              </w:rPr>
              <w:t>#</w:t>
            </w:r>
          </w:p>
        </w:tc>
        <w:tc>
          <w:tcPr>
            <w:tcW w:w="10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2F3F3DA2" w14:textId="77777777" w:rsidR="0067694D" w:rsidRPr="00637368" w:rsidRDefault="0067694D" w:rsidP="0067694D">
            <w:pPr>
              <w:jc w:val="center"/>
              <w:rPr>
                <w:sz w:val="20"/>
                <w:szCs w:val="20"/>
              </w:rPr>
            </w:pPr>
            <w:r w:rsidRPr="00637368">
              <w:rPr>
                <w:b/>
                <w:color w:val="000000"/>
                <w:sz w:val="20"/>
                <w:szCs w:val="20"/>
              </w:rPr>
              <w:t>%</w:t>
            </w:r>
          </w:p>
        </w:tc>
        <w:tc>
          <w:tcPr>
            <w:tcW w:w="11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282C353D" w14:textId="77777777" w:rsidR="0067694D" w:rsidRPr="00637368" w:rsidRDefault="0067694D" w:rsidP="0067694D">
            <w:pPr>
              <w:jc w:val="center"/>
              <w:rPr>
                <w:sz w:val="20"/>
                <w:szCs w:val="20"/>
              </w:rPr>
            </w:pPr>
            <w:r w:rsidRPr="00637368">
              <w:rPr>
                <w:b/>
                <w:color w:val="000000"/>
                <w:sz w:val="20"/>
                <w:szCs w:val="20"/>
              </w:rPr>
              <w:t>$(000s)</w:t>
            </w:r>
          </w:p>
        </w:tc>
        <w:tc>
          <w:tcPr>
            <w:tcW w:w="10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43032047" w14:textId="77777777" w:rsidR="0067694D" w:rsidRPr="00637368" w:rsidRDefault="0067694D" w:rsidP="0067694D">
            <w:pPr>
              <w:jc w:val="center"/>
              <w:rPr>
                <w:sz w:val="20"/>
                <w:szCs w:val="20"/>
              </w:rPr>
            </w:pPr>
            <w:r w:rsidRPr="00637368">
              <w:rPr>
                <w:b/>
                <w:color w:val="000000"/>
                <w:sz w:val="20"/>
                <w:szCs w:val="20"/>
              </w:rPr>
              <w:t>%</w:t>
            </w:r>
          </w:p>
        </w:tc>
      </w:tr>
      <w:tr w:rsidR="0067694D" w:rsidRPr="00637368" w14:paraId="66BAD068" w14:textId="77777777" w:rsidTr="0067694D">
        <w:trPr>
          <w:trHeight w:val="181"/>
        </w:trPr>
        <w:tc>
          <w:tcPr>
            <w:tcW w:w="230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3D1E6CB4" w14:textId="77777777" w:rsidR="0067694D" w:rsidRPr="00637368" w:rsidRDefault="0067694D" w:rsidP="0067694D">
            <w:pPr>
              <w:rPr>
                <w:sz w:val="20"/>
                <w:szCs w:val="20"/>
              </w:rPr>
            </w:pPr>
            <w:r w:rsidRPr="00637368">
              <w:rPr>
                <w:color w:val="000000"/>
                <w:sz w:val="20"/>
                <w:szCs w:val="20"/>
              </w:rPr>
              <w:t>Low</w:t>
            </w:r>
          </w:p>
        </w:tc>
        <w:tc>
          <w:tcPr>
            <w:tcW w:w="7200"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33D0377" w14:textId="77777777" w:rsidR="0067694D" w:rsidRPr="00637368" w:rsidRDefault="0067694D" w:rsidP="0067694D">
            <w:pPr>
              <w:rPr>
                <w:sz w:val="20"/>
                <w:szCs w:val="20"/>
              </w:rPr>
            </w:pPr>
          </w:p>
        </w:tc>
      </w:tr>
      <w:tr w:rsidR="0067694D" w:rsidRPr="00637368" w14:paraId="5A381495" w14:textId="77777777" w:rsidTr="0067694D">
        <w:trPr>
          <w:trHeight w:val="166"/>
        </w:trPr>
        <w:tc>
          <w:tcPr>
            <w:tcW w:w="2304"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27DA205E" w14:textId="77777777" w:rsidR="0067694D" w:rsidRPr="00637368" w:rsidRDefault="0067694D" w:rsidP="0067694D">
            <w:pPr>
              <w:jc w:val="right"/>
              <w:rPr>
                <w:sz w:val="20"/>
                <w:szCs w:val="20"/>
              </w:rPr>
            </w:pPr>
            <w:r w:rsidRPr="00637368">
              <w:rPr>
                <w:color w:val="000000"/>
                <w:sz w:val="20"/>
                <w:szCs w:val="20"/>
              </w:rPr>
              <w:t>2018</w:t>
            </w:r>
          </w:p>
        </w:tc>
        <w:tc>
          <w:tcPr>
            <w:tcW w:w="144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6186FEA" w14:textId="77777777" w:rsidR="0067694D" w:rsidRPr="00637368" w:rsidRDefault="0067694D" w:rsidP="0067694D">
            <w:pPr>
              <w:jc w:val="center"/>
              <w:rPr>
                <w:sz w:val="20"/>
                <w:szCs w:val="20"/>
              </w:rPr>
            </w:pPr>
            <w:r w:rsidRPr="00637368">
              <w:rPr>
                <w:color w:val="000000"/>
                <w:sz w:val="20"/>
                <w:szCs w:val="20"/>
              </w:rPr>
              <w:t>20.5</w:t>
            </w:r>
          </w:p>
        </w:tc>
        <w:tc>
          <w:tcPr>
            <w:tcW w:w="144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28A65F0" w14:textId="77777777" w:rsidR="0067694D" w:rsidRPr="00637368" w:rsidRDefault="0067694D" w:rsidP="0067694D">
            <w:pPr>
              <w:jc w:val="center"/>
              <w:rPr>
                <w:sz w:val="20"/>
                <w:szCs w:val="20"/>
              </w:rPr>
            </w:pPr>
            <w:r w:rsidRPr="00637368">
              <w:rPr>
                <w:color w:val="000000"/>
                <w:sz w:val="20"/>
                <w:szCs w:val="20"/>
              </w:rPr>
              <w:t>5.8</w:t>
            </w:r>
          </w:p>
        </w:tc>
        <w:tc>
          <w:tcPr>
            <w:tcW w:w="11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2755A77" w14:textId="77777777" w:rsidR="0067694D" w:rsidRPr="00637368" w:rsidRDefault="0067694D" w:rsidP="0067694D">
            <w:pPr>
              <w:jc w:val="center"/>
              <w:rPr>
                <w:sz w:val="20"/>
                <w:szCs w:val="20"/>
              </w:rPr>
            </w:pPr>
            <w:r w:rsidRPr="00637368">
              <w:rPr>
                <w:color w:val="000000"/>
                <w:sz w:val="20"/>
                <w:szCs w:val="20"/>
              </w:rPr>
              <w:t>23</w:t>
            </w:r>
          </w:p>
        </w:tc>
        <w:tc>
          <w:tcPr>
            <w:tcW w:w="10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B1C5C7F" w14:textId="77777777" w:rsidR="0067694D" w:rsidRPr="00637368" w:rsidRDefault="0067694D" w:rsidP="0067694D">
            <w:pPr>
              <w:jc w:val="center"/>
              <w:rPr>
                <w:sz w:val="20"/>
                <w:szCs w:val="20"/>
              </w:rPr>
            </w:pPr>
            <w:r w:rsidRPr="00637368">
              <w:rPr>
                <w:color w:val="000000"/>
                <w:sz w:val="20"/>
                <w:szCs w:val="20"/>
              </w:rPr>
              <w:t>12.0</w:t>
            </w:r>
          </w:p>
        </w:tc>
        <w:tc>
          <w:tcPr>
            <w:tcW w:w="11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A156919" w14:textId="77777777" w:rsidR="0067694D" w:rsidRPr="00637368" w:rsidRDefault="0067694D" w:rsidP="0067694D">
            <w:pPr>
              <w:jc w:val="center"/>
              <w:rPr>
                <w:sz w:val="20"/>
                <w:szCs w:val="20"/>
              </w:rPr>
            </w:pPr>
            <w:r w:rsidRPr="00637368">
              <w:rPr>
                <w:color w:val="000000"/>
                <w:sz w:val="20"/>
                <w:szCs w:val="20"/>
              </w:rPr>
              <w:t>3,752</w:t>
            </w:r>
          </w:p>
        </w:tc>
        <w:tc>
          <w:tcPr>
            <w:tcW w:w="10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26DD2AD" w14:textId="77777777" w:rsidR="0067694D" w:rsidRPr="00637368" w:rsidRDefault="0067694D" w:rsidP="0067694D">
            <w:pPr>
              <w:jc w:val="center"/>
              <w:rPr>
                <w:sz w:val="20"/>
                <w:szCs w:val="20"/>
              </w:rPr>
            </w:pPr>
            <w:r w:rsidRPr="00637368">
              <w:rPr>
                <w:color w:val="000000"/>
                <w:sz w:val="20"/>
                <w:szCs w:val="20"/>
              </w:rPr>
              <w:t>4.6</w:t>
            </w:r>
          </w:p>
        </w:tc>
      </w:tr>
      <w:tr w:rsidR="0067694D" w:rsidRPr="00637368" w14:paraId="0970709A" w14:textId="77777777" w:rsidTr="0067694D">
        <w:trPr>
          <w:trHeight w:val="166"/>
        </w:trPr>
        <w:tc>
          <w:tcPr>
            <w:tcW w:w="2304"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347A7AE3" w14:textId="77777777" w:rsidR="0067694D" w:rsidRPr="00637368" w:rsidRDefault="0067694D" w:rsidP="0067694D">
            <w:pPr>
              <w:jc w:val="right"/>
              <w:rPr>
                <w:sz w:val="20"/>
                <w:szCs w:val="20"/>
              </w:rPr>
            </w:pPr>
            <w:r w:rsidRPr="00637368">
              <w:rPr>
                <w:color w:val="000000"/>
                <w:sz w:val="20"/>
                <w:szCs w:val="20"/>
              </w:rPr>
              <w:t>2019</w:t>
            </w:r>
          </w:p>
        </w:tc>
        <w:tc>
          <w:tcPr>
            <w:tcW w:w="144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9C91960" w14:textId="77777777" w:rsidR="0067694D" w:rsidRPr="00637368" w:rsidRDefault="0067694D" w:rsidP="0067694D">
            <w:pPr>
              <w:jc w:val="center"/>
              <w:rPr>
                <w:sz w:val="20"/>
                <w:szCs w:val="20"/>
              </w:rPr>
            </w:pPr>
            <w:r w:rsidRPr="00637368">
              <w:rPr>
                <w:color w:val="000000"/>
                <w:sz w:val="20"/>
                <w:szCs w:val="20"/>
              </w:rPr>
              <w:t>20.5</w:t>
            </w:r>
          </w:p>
        </w:tc>
        <w:tc>
          <w:tcPr>
            <w:tcW w:w="144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2DF5996" w14:textId="77777777" w:rsidR="0067694D" w:rsidRPr="00637368" w:rsidRDefault="0067694D" w:rsidP="0067694D">
            <w:pPr>
              <w:jc w:val="center"/>
              <w:rPr>
                <w:sz w:val="20"/>
                <w:szCs w:val="20"/>
              </w:rPr>
            </w:pPr>
            <w:r w:rsidRPr="00637368">
              <w:rPr>
                <w:color w:val="000000"/>
                <w:sz w:val="20"/>
                <w:szCs w:val="20"/>
              </w:rPr>
              <w:t>--</w:t>
            </w:r>
          </w:p>
        </w:tc>
        <w:tc>
          <w:tcPr>
            <w:tcW w:w="11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D7C7D93" w14:textId="77777777" w:rsidR="0067694D" w:rsidRPr="00637368" w:rsidRDefault="0067694D" w:rsidP="0067694D">
            <w:pPr>
              <w:jc w:val="center"/>
              <w:rPr>
                <w:sz w:val="20"/>
                <w:szCs w:val="20"/>
              </w:rPr>
            </w:pPr>
            <w:r w:rsidRPr="00637368">
              <w:rPr>
                <w:color w:val="000000"/>
                <w:sz w:val="20"/>
                <w:szCs w:val="20"/>
              </w:rPr>
              <w:t>29</w:t>
            </w:r>
          </w:p>
        </w:tc>
        <w:tc>
          <w:tcPr>
            <w:tcW w:w="10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BEA3F14" w14:textId="77777777" w:rsidR="0067694D" w:rsidRPr="00637368" w:rsidRDefault="0067694D" w:rsidP="0067694D">
            <w:pPr>
              <w:jc w:val="center"/>
              <w:rPr>
                <w:sz w:val="20"/>
                <w:szCs w:val="20"/>
              </w:rPr>
            </w:pPr>
            <w:r w:rsidRPr="00637368">
              <w:rPr>
                <w:color w:val="000000"/>
                <w:sz w:val="20"/>
                <w:szCs w:val="20"/>
              </w:rPr>
              <w:t>8.7</w:t>
            </w:r>
          </w:p>
        </w:tc>
        <w:tc>
          <w:tcPr>
            <w:tcW w:w="11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482B176" w14:textId="77777777" w:rsidR="0067694D" w:rsidRPr="00637368" w:rsidRDefault="0067694D" w:rsidP="0067694D">
            <w:pPr>
              <w:jc w:val="center"/>
              <w:rPr>
                <w:sz w:val="20"/>
                <w:szCs w:val="20"/>
              </w:rPr>
            </w:pPr>
            <w:r w:rsidRPr="00637368">
              <w:rPr>
                <w:color w:val="000000"/>
                <w:sz w:val="20"/>
                <w:szCs w:val="20"/>
              </w:rPr>
              <w:t>5,228</w:t>
            </w:r>
          </w:p>
        </w:tc>
        <w:tc>
          <w:tcPr>
            <w:tcW w:w="10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4DEFBD8" w14:textId="77777777" w:rsidR="0067694D" w:rsidRPr="00637368" w:rsidRDefault="0067694D" w:rsidP="0067694D">
            <w:pPr>
              <w:jc w:val="center"/>
              <w:rPr>
                <w:sz w:val="20"/>
                <w:szCs w:val="20"/>
              </w:rPr>
            </w:pPr>
            <w:r w:rsidRPr="00637368">
              <w:rPr>
                <w:color w:val="000000"/>
                <w:sz w:val="20"/>
                <w:szCs w:val="20"/>
              </w:rPr>
              <w:t>4.1</w:t>
            </w:r>
          </w:p>
        </w:tc>
      </w:tr>
      <w:tr w:rsidR="0067694D" w:rsidRPr="00637368" w14:paraId="4928D149" w14:textId="77777777" w:rsidTr="0067694D">
        <w:trPr>
          <w:trHeight w:val="181"/>
        </w:trPr>
        <w:tc>
          <w:tcPr>
            <w:tcW w:w="230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399C8356" w14:textId="77777777" w:rsidR="0067694D" w:rsidRPr="00637368" w:rsidRDefault="0067694D" w:rsidP="0067694D">
            <w:pPr>
              <w:rPr>
                <w:sz w:val="20"/>
                <w:szCs w:val="20"/>
              </w:rPr>
            </w:pPr>
            <w:r w:rsidRPr="00637368">
              <w:rPr>
                <w:color w:val="000000"/>
                <w:sz w:val="20"/>
                <w:szCs w:val="20"/>
              </w:rPr>
              <w:t>Moderate</w:t>
            </w:r>
          </w:p>
        </w:tc>
        <w:tc>
          <w:tcPr>
            <w:tcW w:w="7200"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4674758" w14:textId="77777777" w:rsidR="0067694D" w:rsidRPr="00637368" w:rsidRDefault="0067694D" w:rsidP="0067694D">
            <w:pPr>
              <w:rPr>
                <w:sz w:val="20"/>
                <w:szCs w:val="20"/>
              </w:rPr>
            </w:pPr>
          </w:p>
        </w:tc>
      </w:tr>
      <w:tr w:rsidR="0067694D" w:rsidRPr="00637368" w14:paraId="7ED3C959" w14:textId="77777777" w:rsidTr="0067694D">
        <w:trPr>
          <w:trHeight w:val="166"/>
        </w:trPr>
        <w:tc>
          <w:tcPr>
            <w:tcW w:w="2304"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3DF1C0F3" w14:textId="77777777" w:rsidR="0067694D" w:rsidRPr="00637368" w:rsidRDefault="0067694D" w:rsidP="0067694D">
            <w:pPr>
              <w:jc w:val="right"/>
              <w:rPr>
                <w:sz w:val="20"/>
                <w:szCs w:val="20"/>
              </w:rPr>
            </w:pPr>
            <w:r w:rsidRPr="00637368">
              <w:rPr>
                <w:color w:val="000000"/>
                <w:sz w:val="20"/>
                <w:szCs w:val="20"/>
              </w:rPr>
              <w:t>2018</w:t>
            </w:r>
          </w:p>
        </w:tc>
        <w:tc>
          <w:tcPr>
            <w:tcW w:w="144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E840589" w14:textId="77777777" w:rsidR="0067694D" w:rsidRPr="00637368" w:rsidRDefault="0067694D" w:rsidP="0067694D">
            <w:pPr>
              <w:jc w:val="center"/>
              <w:rPr>
                <w:sz w:val="20"/>
                <w:szCs w:val="20"/>
              </w:rPr>
            </w:pPr>
            <w:r w:rsidRPr="00637368">
              <w:rPr>
                <w:color w:val="000000"/>
                <w:sz w:val="20"/>
                <w:szCs w:val="20"/>
              </w:rPr>
              <w:t>15.7</w:t>
            </w:r>
          </w:p>
        </w:tc>
        <w:tc>
          <w:tcPr>
            <w:tcW w:w="144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9D5621D" w14:textId="77777777" w:rsidR="0067694D" w:rsidRPr="00637368" w:rsidRDefault="0067694D" w:rsidP="0067694D">
            <w:pPr>
              <w:jc w:val="center"/>
              <w:rPr>
                <w:sz w:val="20"/>
                <w:szCs w:val="20"/>
              </w:rPr>
            </w:pPr>
            <w:r w:rsidRPr="00637368">
              <w:rPr>
                <w:color w:val="000000"/>
                <w:sz w:val="20"/>
                <w:szCs w:val="20"/>
              </w:rPr>
              <w:t>15.8</w:t>
            </w:r>
          </w:p>
        </w:tc>
        <w:tc>
          <w:tcPr>
            <w:tcW w:w="11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A21CA6C" w14:textId="77777777" w:rsidR="0067694D" w:rsidRPr="00637368" w:rsidRDefault="0067694D" w:rsidP="0067694D">
            <w:pPr>
              <w:jc w:val="center"/>
              <w:rPr>
                <w:sz w:val="20"/>
                <w:szCs w:val="20"/>
              </w:rPr>
            </w:pPr>
            <w:r w:rsidRPr="00637368">
              <w:rPr>
                <w:color w:val="000000"/>
                <w:sz w:val="20"/>
                <w:szCs w:val="20"/>
              </w:rPr>
              <w:t>47</w:t>
            </w:r>
          </w:p>
        </w:tc>
        <w:tc>
          <w:tcPr>
            <w:tcW w:w="10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D5F93E8" w14:textId="77777777" w:rsidR="0067694D" w:rsidRPr="00637368" w:rsidRDefault="0067694D" w:rsidP="0067694D">
            <w:pPr>
              <w:jc w:val="center"/>
              <w:rPr>
                <w:sz w:val="20"/>
                <w:szCs w:val="20"/>
              </w:rPr>
            </w:pPr>
            <w:r w:rsidRPr="00637368">
              <w:rPr>
                <w:color w:val="000000"/>
                <w:sz w:val="20"/>
                <w:szCs w:val="20"/>
              </w:rPr>
              <w:t>24.5</w:t>
            </w:r>
          </w:p>
        </w:tc>
        <w:tc>
          <w:tcPr>
            <w:tcW w:w="11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6BA2317" w14:textId="77777777" w:rsidR="0067694D" w:rsidRPr="00637368" w:rsidRDefault="0067694D" w:rsidP="0067694D">
            <w:pPr>
              <w:jc w:val="center"/>
              <w:rPr>
                <w:sz w:val="20"/>
                <w:szCs w:val="20"/>
              </w:rPr>
            </w:pPr>
            <w:r w:rsidRPr="00637368">
              <w:rPr>
                <w:color w:val="000000"/>
                <w:sz w:val="20"/>
                <w:szCs w:val="20"/>
              </w:rPr>
              <w:t>11,556</w:t>
            </w:r>
          </w:p>
        </w:tc>
        <w:tc>
          <w:tcPr>
            <w:tcW w:w="10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DE11447" w14:textId="77777777" w:rsidR="0067694D" w:rsidRPr="00637368" w:rsidRDefault="0067694D" w:rsidP="0067694D">
            <w:pPr>
              <w:jc w:val="center"/>
              <w:rPr>
                <w:sz w:val="20"/>
                <w:szCs w:val="20"/>
              </w:rPr>
            </w:pPr>
            <w:r w:rsidRPr="00637368">
              <w:rPr>
                <w:color w:val="000000"/>
                <w:sz w:val="20"/>
                <w:szCs w:val="20"/>
              </w:rPr>
              <w:t>14.1</w:t>
            </w:r>
          </w:p>
        </w:tc>
      </w:tr>
      <w:tr w:rsidR="0067694D" w:rsidRPr="00637368" w14:paraId="145F70A4" w14:textId="77777777" w:rsidTr="0067694D">
        <w:trPr>
          <w:trHeight w:val="166"/>
        </w:trPr>
        <w:tc>
          <w:tcPr>
            <w:tcW w:w="2304"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1DE04835" w14:textId="77777777" w:rsidR="0067694D" w:rsidRPr="00637368" w:rsidRDefault="0067694D" w:rsidP="0067694D">
            <w:pPr>
              <w:jc w:val="right"/>
              <w:rPr>
                <w:sz w:val="20"/>
                <w:szCs w:val="20"/>
              </w:rPr>
            </w:pPr>
            <w:r w:rsidRPr="00637368">
              <w:rPr>
                <w:color w:val="000000"/>
                <w:sz w:val="20"/>
                <w:szCs w:val="20"/>
              </w:rPr>
              <w:t>2019</w:t>
            </w:r>
          </w:p>
        </w:tc>
        <w:tc>
          <w:tcPr>
            <w:tcW w:w="144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03EC9E2" w14:textId="77777777" w:rsidR="0067694D" w:rsidRPr="00637368" w:rsidRDefault="0067694D" w:rsidP="0067694D">
            <w:pPr>
              <w:jc w:val="center"/>
              <w:rPr>
                <w:sz w:val="20"/>
                <w:szCs w:val="20"/>
              </w:rPr>
            </w:pPr>
            <w:r w:rsidRPr="00637368">
              <w:rPr>
                <w:color w:val="000000"/>
                <w:sz w:val="20"/>
                <w:szCs w:val="20"/>
              </w:rPr>
              <w:t>15.7</w:t>
            </w:r>
          </w:p>
        </w:tc>
        <w:tc>
          <w:tcPr>
            <w:tcW w:w="144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3D3B885" w14:textId="77777777" w:rsidR="0067694D" w:rsidRPr="00637368" w:rsidRDefault="0067694D" w:rsidP="0067694D">
            <w:pPr>
              <w:jc w:val="center"/>
              <w:rPr>
                <w:sz w:val="20"/>
                <w:szCs w:val="20"/>
              </w:rPr>
            </w:pPr>
            <w:r w:rsidRPr="00637368">
              <w:rPr>
                <w:color w:val="000000"/>
                <w:sz w:val="20"/>
                <w:szCs w:val="20"/>
              </w:rPr>
              <w:t>--</w:t>
            </w:r>
          </w:p>
        </w:tc>
        <w:tc>
          <w:tcPr>
            <w:tcW w:w="11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C5AA2DB" w14:textId="77777777" w:rsidR="0067694D" w:rsidRPr="00637368" w:rsidRDefault="0067694D" w:rsidP="0067694D">
            <w:pPr>
              <w:jc w:val="center"/>
              <w:rPr>
                <w:sz w:val="20"/>
                <w:szCs w:val="20"/>
              </w:rPr>
            </w:pPr>
            <w:r w:rsidRPr="00637368">
              <w:rPr>
                <w:color w:val="000000"/>
                <w:sz w:val="20"/>
                <w:szCs w:val="20"/>
              </w:rPr>
              <w:t>58</w:t>
            </w:r>
          </w:p>
        </w:tc>
        <w:tc>
          <w:tcPr>
            <w:tcW w:w="10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C266B8D" w14:textId="77777777" w:rsidR="0067694D" w:rsidRPr="00637368" w:rsidRDefault="0067694D" w:rsidP="0067694D">
            <w:pPr>
              <w:jc w:val="center"/>
              <w:rPr>
                <w:sz w:val="20"/>
                <w:szCs w:val="20"/>
              </w:rPr>
            </w:pPr>
            <w:r w:rsidRPr="00637368">
              <w:rPr>
                <w:color w:val="000000"/>
                <w:sz w:val="20"/>
                <w:szCs w:val="20"/>
              </w:rPr>
              <w:t>17.4</w:t>
            </w:r>
          </w:p>
        </w:tc>
        <w:tc>
          <w:tcPr>
            <w:tcW w:w="11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8F8B858" w14:textId="77777777" w:rsidR="0067694D" w:rsidRPr="00637368" w:rsidRDefault="0067694D" w:rsidP="0067694D">
            <w:pPr>
              <w:jc w:val="center"/>
              <w:rPr>
                <w:sz w:val="20"/>
                <w:szCs w:val="20"/>
              </w:rPr>
            </w:pPr>
            <w:r w:rsidRPr="00637368">
              <w:rPr>
                <w:color w:val="000000"/>
                <w:sz w:val="20"/>
                <w:szCs w:val="20"/>
              </w:rPr>
              <w:t>15,867</w:t>
            </w:r>
          </w:p>
        </w:tc>
        <w:tc>
          <w:tcPr>
            <w:tcW w:w="10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8C4E3AE" w14:textId="77777777" w:rsidR="0067694D" w:rsidRPr="00637368" w:rsidRDefault="0067694D" w:rsidP="0067694D">
            <w:pPr>
              <w:jc w:val="center"/>
              <w:rPr>
                <w:sz w:val="20"/>
                <w:szCs w:val="20"/>
              </w:rPr>
            </w:pPr>
            <w:r w:rsidRPr="00637368">
              <w:rPr>
                <w:color w:val="000000"/>
                <w:sz w:val="20"/>
                <w:szCs w:val="20"/>
              </w:rPr>
              <w:t>12.4</w:t>
            </w:r>
          </w:p>
        </w:tc>
      </w:tr>
      <w:tr w:rsidR="0067694D" w:rsidRPr="00637368" w14:paraId="7EFFF9EA" w14:textId="77777777" w:rsidTr="0067694D">
        <w:trPr>
          <w:trHeight w:val="181"/>
        </w:trPr>
        <w:tc>
          <w:tcPr>
            <w:tcW w:w="230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2C7102AB" w14:textId="77777777" w:rsidR="0067694D" w:rsidRPr="00637368" w:rsidRDefault="0067694D" w:rsidP="0067694D">
            <w:pPr>
              <w:rPr>
                <w:sz w:val="20"/>
                <w:szCs w:val="20"/>
              </w:rPr>
            </w:pPr>
            <w:r w:rsidRPr="00637368">
              <w:rPr>
                <w:color w:val="000000"/>
                <w:sz w:val="20"/>
                <w:szCs w:val="20"/>
              </w:rPr>
              <w:t>Middle</w:t>
            </w:r>
          </w:p>
        </w:tc>
        <w:tc>
          <w:tcPr>
            <w:tcW w:w="7200"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68031B7" w14:textId="77777777" w:rsidR="0067694D" w:rsidRPr="00637368" w:rsidRDefault="0067694D" w:rsidP="0067694D">
            <w:pPr>
              <w:rPr>
                <w:sz w:val="20"/>
                <w:szCs w:val="20"/>
              </w:rPr>
            </w:pPr>
          </w:p>
        </w:tc>
      </w:tr>
      <w:tr w:rsidR="0067694D" w:rsidRPr="00637368" w14:paraId="3AF68DB0" w14:textId="77777777" w:rsidTr="0067694D">
        <w:trPr>
          <w:trHeight w:val="166"/>
        </w:trPr>
        <w:tc>
          <w:tcPr>
            <w:tcW w:w="2304"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3D238E4E" w14:textId="77777777" w:rsidR="0067694D" w:rsidRPr="00637368" w:rsidRDefault="0067694D" w:rsidP="0067694D">
            <w:pPr>
              <w:jc w:val="right"/>
              <w:rPr>
                <w:sz w:val="20"/>
                <w:szCs w:val="20"/>
              </w:rPr>
            </w:pPr>
            <w:r w:rsidRPr="00637368">
              <w:rPr>
                <w:color w:val="000000"/>
                <w:sz w:val="20"/>
                <w:szCs w:val="20"/>
              </w:rPr>
              <w:t>2018</w:t>
            </w:r>
          </w:p>
        </w:tc>
        <w:tc>
          <w:tcPr>
            <w:tcW w:w="144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8170966" w14:textId="77777777" w:rsidR="0067694D" w:rsidRPr="00637368" w:rsidRDefault="0067694D" w:rsidP="0067694D">
            <w:pPr>
              <w:jc w:val="center"/>
              <w:rPr>
                <w:sz w:val="20"/>
                <w:szCs w:val="20"/>
              </w:rPr>
            </w:pPr>
            <w:r w:rsidRPr="00637368">
              <w:rPr>
                <w:color w:val="000000"/>
                <w:sz w:val="20"/>
                <w:szCs w:val="20"/>
              </w:rPr>
              <w:t>19.8</w:t>
            </w:r>
          </w:p>
        </w:tc>
        <w:tc>
          <w:tcPr>
            <w:tcW w:w="144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6D05756" w14:textId="77777777" w:rsidR="0067694D" w:rsidRPr="00637368" w:rsidRDefault="0067694D" w:rsidP="0067694D">
            <w:pPr>
              <w:jc w:val="center"/>
              <w:rPr>
                <w:sz w:val="20"/>
                <w:szCs w:val="20"/>
              </w:rPr>
            </w:pPr>
            <w:r w:rsidRPr="00637368">
              <w:rPr>
                <w:color w:val="000000"/>
                <w:sz w:val="20"/>
                <w:szCs w:val="20"/>
              </w:rPr>
              <w:t>22.5</w:t>
            </w:r>
          </w:p>
        </w:tc>
        <w:tc>
          <w:tcPr>
            <w:tcW w:w="11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1B34A72" w14:textId="77777777" w:rsidR="0067694D" w:rsidRPr="00637368" w:rsidRDefault="0067694D" w:rsidP="0067694D">
            <w:pPr>
              <w:jc w:val="center"/>
              <w:rPr>
                <w:sz w:val="20"/>
                <w:szCs w:val="20"/>
              </w:rPr>
            </w:pPr>
            <w:r w:rsidRPr="00637368">
              <w:rPr>
                <w:color w:val="000000"/>
                <w:sz w:val="20"/>
                <w:szCs w:val="20"/>
              </w:rPr>
              <w:t>39</w:t>
            </w:r>
          </w:p>
        </w:tc>
        <w:tc>
          <w:tcPr>
            <w:tcW w:w="10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63BC6D7" w14:textId="77777777" w:rsidR="0067694D" w:rsidRPr="00637368" w:rsidRDefault="0067694D" w:rsidP="0067694D">
            <w:pPr>
              <w:jc w:val="center"/>
              <w:rPr>
                <w:sz w:val="20"/>
                <w:szCs w:val="20"/>
              </w:rPr>
            </w:pPr>
            <w:r w:rsidRPr="00637368">
              <w:rPr>
                <w:color w:val="000000"/>
                <w:sz w:val="20"/>
                <w:szCs w:val="20"/>
              </w:rPr>
              <w:t>20.3</w:t>
            </w:r>
          </w:p>
        </w:tc>
        <w:tc>
          <w:tcPr>
            <w:tcW w:w="11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E47EE44" w14:textId="77777777" w:rsidR="0067694D" w:rsidRPr="00637368" w:rsidRDefault="0067694D" w:rsidP="0067694D">
            <w:pPr>
              <w:jc w:val="center"/>
              <w:rPr>
                <w:sz w:val="20"/>
                <w:szCs w:val="20"/>
              </w:rPr>
            </w:pPr>
            <w:r w:rsidRPr="00637368">
              <w:rPr>
                <w:color w:val="000000"/>
                <w:sz w:val="20"/>
                <w:szCs w:val="20"/>
              </w:rPr>
              <w:t>12,435</w:t>
            </w:r>
          </w:p>
        </w:tc>
        <w:tc>
          <w:tcPr>
            <w:tcW w:w="10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88C571B" w14:textId="77777777" w:rsidR="0067694D" w:rsidRPr="00637368" w:rsidRDefault="0067694D" w:rsidP="0067694D">
            <w:pPr>
              <w:jc w:val="center"/>
              <w:rPr>
                <w:sz w:val="20"/>
                <w:szCs w:val="20"/>
              </w:rPr>
            </w:pPr>
            <w:r w:rsidRPr="00637368">
              <w:rPr>
                <w:color w:val="000000"/>
                <w:sz w:val="20"/>
                <w:szCs w:val="20"/>
              </w:rPr>
              <w:t>15.1</w:t>
            </w:r>
          </w:p>
        </w:tc>
      </w:tr>
      <w:tr w:rsidR="0067694D" w:rsidRPr="00637368" w14:paraId="1BCE0476" w14:textId="77777777" w:rsidTr="0067694D">
        <w:trPr>
          <w:trHeight w:val="166"/>
        </w:trPr>
        <w:tc>
          <w:tcPr>
            <w:tcW w:w="2304"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1FA65B8D" w14:textId="77777777" w:rsidR="0067694D" w:rsidRPr="00637368" w:rsidRDefault="0067694D" w:rsidP="0067694D">
            <w:pPr>
              <w:jc w:val="right"/>
              <w:rPr>
                <w:sz w:val="20"/>
                <w:szCs w:val="20"/>
              </w:rPr>
            </w:pPr>
            <w:r w:rsidRPr="00637368">
              <w:rPr>
                <w:color w:val="000000"/>
                <w:sz w:val="20"/>
                <w:szCs w:val="20"/>
              </w:rPr>
              <w:t>2019</w:t>
            </w:r>
          </w:p>
        </w:tc>
        <w:tc>
          <w:tcPr>
            <w:tcW w:w="144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C12F60E" w14:textId="77777777" w:rsidR="0067694D" w:rsidRPr="00637368" w:rsidRDefault="0067694D" w:rsidP="0067694D">
            <w:pPr>
              <w:jc w:val="center"/>
              <w:rPr>
                <w:sz w:val="20"/>
                <w:szCs w:val="20"/>
              </w:rPr>
            </w:pPr>
            <w:r w:rsidRPr="00637368">
              <w:rPr>
                <w:color w:val="000000"/>
                <w:sz w:val="20"/>
                <w:szCs w:val="20"/>
              </w:rPr>
              <w:t>19.8</w:t>
            </w:r>
          </w:p>
        </w:tc>
        <w:tc>
          <w:tcPr>
            <w:tcW w:w="144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E765C05" w14:textId="77777777" w:rsidR="0067694D" w:rsidRPr="00637368" w:rsidRDefault="0067694D" w:rsidP="0067694D">
            <w:pPr>
              <w:jc w:val="center"/>
              <w:rPr>
                <w:sz w:val="20"/>
                <w:szCs w:val="20"/>
              </w:rPr>
            </w:pPr>
            <w:r w:rsidRPr="00637368">
              <w:rPr>
                <w:color w:val="000000"/>
                <w:sz w:val="20"/>
                <w:szCs w:val="20"/>
              </w:rPr>
              <w:t>--</w:t>
            </w:r>
          </w:p>
        </w:tc>
        <w:tc>
          <w:tcPr>
            <w:tcW w:w="11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DB4D2A0" w14:textId="77777777" w:rsidR="0067694D" w:rsidRPr="00637368" w:rsidRDefault="0067694D" w:rsidP="0067694D">
            <w:pPr>
              <w:jc w:val="center"/>
              <w:rPr>
                <w:sz w:val="20"/>
                <w:szCs w:val="20"/>
              </w:rPr>
            </w:pPr>
            <w:r w:rsidRPr="00637368">
              <w:rPr>
                <w:color w:val="000000"/>
                <w:sz w:val="20"/>
                <w:szCs w:val="20"/>
              </w:rPr>
              <w:t>105</w:t>
            </w:r>
          </w:p>
        </w:tc>
        <w:tc>
          <w:tcPr>
            <w:tcW w:w="10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D0147C6" w14:textId="77777777" w:rsidR="0067694D" w:rsidRPr="00637368" w:rsidRDefault="0067694D" w:rsidP="0067694D">
            <w:pPr>
              <w:jc w:val="center"/>
              <w:rPr>
                <w:sz w:val="20"/>
                <w:szCs w:val="20"/>
              </w:rPr>
            </w:pPr>
            <w:r w:rsidRPr="00637368">
              <w:rPr>
                <w:color w:val="000000"/>
                <w:sz w:val="20"/>
                <w:szCs w:val="20"/>
              </w:rPr>
              <w:t>31.4</w:t>
            </w:r>
          </w:p>
        </w:tc>
        <w:tc>
          <w:tcPr>
            <w:tcW w:w="11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52B5650" w14:textId="77777777" w:rsidR="0067694D" w:rsidRPr="00637368" w:rsidRDefault="0067694D" w:rsidP="0067694D">
            <w:pPr>
              <w:jc w:val="center"/>
              <w:rPr>
                <w:sz w:val="20"/>
                <w:szCs w:val="20"/>
              </w:rPr>
            </w:pPr>
            <w:r w:rsidRPr="00637368">
              <w:rPr>
                <w:color w:val="000000"/>
                <w:sz w:val="20"/>
                <w:szCs w:val="20"/>
              </w:rPr>
              <w:t>36,698</w:t>
            </w:r>
          </w:p>
        </w:tc>
        <w:tc>
          <w:tcPr>
            <w:tcW w:w="10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A9B1DAB" w14:textId="77777777" w:rsidR="0067694D" w:rsidRPr="00637368" w:rsidRDefault="0067694D" w:rsidP="0067694D">
            <w:pPr>
              <w:jc w:val="center"/>
              <w:rPr>
                <w:sz w:val="20"/>
                <w:szCs w:val="20"/>
              </w:rPr>
            </w:pPr>
            <w:r w:rsidRPr="00637368">
              <w:rPr>
                <w:color w:val="000000"/>
                <w:sz w:val="20"/>
                <w:szCs w:val="20"/>
              </w:rPr>
              <w:t>28.7</w:t>
            </w:r>
          </w:p>
        </w:tc>
      </w:tr>
      <w:tr w:rsidR="0067694D" w:rsidRPr="00637368" w14:paraId="0E3BBE77" w14:textId="77777777" w:rsidTr="0067694D">
        <w:trPr>
          <w:trHeight w:val="181"/>
        </w:trPr>
        <w:tc>
          <w:tcPr>
            <w:tcW w:w="230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498DE674" w14:textId="77777777" w:rsidR="0067694D" w:rsidRPr="00637368" w:rsidRDefault="0067694D" w:rsidP="0067694D">
            <w:pPr>
              <w:rPr>
                <w:sz w:val="20"/>
                <w:szCs w:val="20"/>
              </w:rPr>
            </w:pPr>
            <w:r w:rsidRPr="00637368">
              <w:rPr>
                <w:color w:val="000000"/>
                <w:sz w:val="20"/>
                <w:szCs w:val="20"/>
              </w:rPr>
              <w:t>Upper</w:t>
            </w:r>
          </w:p>
        </w:tc>
        <w:tc>
          <w:tcPr>
            <w:tcW w:w="7200"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3CEC3D5" w14:textId="77777777" w:rsidR="0067694D" w:rsidRPr="00637368" w:rsidRDefault="0067694D" w:rsidP="0067694D">
            <w:pPr>
              <w:rPr>
                <w:sz w:val="20"/>
                <w:szCs w:val="20"/>
              </w:rPr>
            </w:pPr>
          </w:p>
        </w:tc>
      </w:tr>
      <w:tr w:rsidR="0067694D" w:rsidRPr="00637368" w14:paraId="30EEC717" w14:textId="77777777" w:rsidTr="0067694D">
        <w:trPr>
          <w:trHeight w:val="166"/>
        </w:trPr>
        <w:tc>
          <w:tcPr>
            <w:tcW w:w="2304"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250686EA" w14:textId="77777777" w:rsidR="0067694D" w:rsidRPr="00637368" w:rsidRDefault="0067694D" w:rsidP="0067694D">
            <w:pPr>
              <w:jc w:val="right"/>
              <w:rPr>
                <w:sz w:val="20"/>
                <w:szCs w:val="20"/>
              </w:rPr>
            </w:pPr>
            <w:r w:rsidRPr="00637368">
              <w:rPr>
                <w:color w:val="000000"/>
                <w:sz w:val="20"/>
                <w:szCs w:val="20"/>
              </w:rPr>
              <w:t>2018</w:t>
            </w:r>
          </w:p>
        </w:tc>
        <w:tc>
          <w:tcPr>
            <w:tcW w:w="144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67294E1" w14:textId="77777777" w:rsidR="0067694D" w:rsidRPr="00637368" w:rsidRDefault="0067694D" w:rsidP="0067694D">
            <w:pPr>
              <w:jc w:val="center"/>
              <w:rPr>
                <w:sz w:val="20"/>
                <w:szCs w:val="20"/>
              </w:rPr>
            </w:pPr>
            <w:r w:rsidRPr="00637368">
              <w:rPr>
                <w:color w:val="000000"/>
                <w:sz w:val="20"/>
                <w:szCs w:val="20"/>
              </w:rPr>
              <w:t>44.1</w:t>
            </w:r>
          </w:p>
        </w:tc>
        <w:tc>
          <w:tcPr>
            <w:tcW w:w="144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4C6355B" w14:textId="77777777" w:rsidR="0067694D" w:rsidRPr="00637368" w:rsidRDefault="0067694D" w:rsidP="0067694D">
            <w:pPr>
              <w:jc w:val="center"/>
              <w:rPr>
                <w:sz w:val="20"/>
                <w:szCs w:val="20"/>
              </w:rPr>
            </w:pPr>
            <w:r w:rsidRPr="00637368">
              <w:rPr>
                <w:color w:val="000000"/>
                <w:sz w:val="20"/>
                <w:szCs w:val="20"/>
              </w:rPr>
              <w:t>44.1</w:t>
            </w:r>
          </w:p>
        </w:tc>
        <w:tc>
          <w:tcPr>
            <w:tcW w:w="11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2F9D80B" w14:textId="77777777" w:rsidR="0067694D" w:rsidRPr="00637368" w:rsidRDefault="0067694D" w:rsidP="0067694D">
            <w:pPr>
              <w:jc w:val="center"/>
              <w:rPr>
                <w:sz w:val="20"/>
                <w:szCs w:val="20"/>
              </w:rPr>
            </w:pPr>
            <w:r w:rsidRPr="00637368">
              <w:rPr>
                <w:color w:val="000000"/>
                <w:sz w:val="20"/>
                <w:szCs w:val="20"/>
              </w:rPr>
              <w:t>66</w:t>
            </w:r>
          </w:p>
        </w:tc>
        <w:tc>
          <w:tcPr>
            <w:tcW w:w="10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5E22517" w14:textId="77777777" w:rsidR="0067694D" w:rsidRPr="00637368" w:rsidRDefault="0067694D" w:rsidP="0067694D">
            <w:pPr>
              <w:jc w:val="center"/>
              <w:rPr>
                <w:sz w:val="20"/>
                <w:szCs w:val="20"/>
              </w:rPr>
            </w:pPr>
            <w:r w:rsidRPr="00637368">
              <w:rPr>
                <w:color w:val="000000"/>
                <w:sz w:val="20"/>
                <w:szCs w:val="20"/>
              </w:rPr>
              <w:t>34.4</w:t>
            </w:r>
          </w:p>
        </w:tc>
        <w:tc>
          <w:tcPr>
            <w:tcW w:w="11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FB5D05F" w14:textId="77777777" w:rsidR="0067694D" w:rsidRPr="00637368" w:rsidRDefault="0067694D" w:rsidP="0067694D">
            <w:pPr>
              <w:jc w:val="center"/>
              <w:rPr>
                <w:sz w:val="20"/>
                <w:szCs w:val="20"/>
              </w:rPr>
            </w:pPr>
            <w:r w:rsidRPr="00637368">
              <w:rPr>
                <w:color w:val="000000"/>
                <w:sz w:val="20"/>
                <w:szCs w:val="20"/>
              </w:rPr>
              <w:t>42,545</w:t>
            </w:r>
          </w:p>
        </w:tc>
        <w:tc>
          <w:tcPr>
            <w:tcW w:w="10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D07D7CD" w14:textId="77777777" w:rsidR="0067694D" w:rsidRPr="00637368" w:rsidRDefault="0067694D" w:rsidP="0067694D">
            <w:pPr>
              <w:jc w:val="center"/>
              <w:rPr>
                <w:sz w:val="20"/>
                <w:szCs w:val="20"/>
              </w:rPr>
            </w:pPr>
            <w:r w:rsidRPr="00637368">
              <w:rPr>
                <w:color w:val="000000"/>
                <w:sz w:val="20"/>
                <w:szCs w:val="20"/>
              </w:rPr>
              <w:t>51.8</w:t>
            </w:r>
          </w:p>
        </w:tc>
      </w:tr>
      <w:tr w:rsidR="0067694D" w:rsidRPr="00637368" w14:paraId="0F15BB1E" w14:textId="77777777" w:rsidTr="0067694D">
        <w:trPr>
          <w:trHeight w:val="166"/>
        </w:trPr>
        <w:tc>
          <w:tcPr>
            <w:tcW w:w="2304"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53587B52" w14:textId="77777777" w:rsidR="0067694D" w:rsidRPr="00637368" w:rsidRDefault="0067694D" w:rsidP="0067694D">
            <w:pPr>
              <w:jc w:val="right"/>
              <w:rPr>
                <w:sz w:val="20"/>
                <w:szCs w:val="20"/>
              </w:rPr>
            </w:pPr>
            <w:r w:rsidRPr="00637368">
              <w:rPr>
                <w:color w:val="000000"/>
                <w:sz w:val="20"/>
                <w:szCs w:val="20"/>
              </w:rPr>
              <w:t>2019</w:t>
            </w:r>
          </w:p>
        </w:tc>
        <w:tc>
          <w:tcPr>
            <w:tcW w:w="144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47FDAF3" w14:textId="77777777" w:rsidR="0067694D" w:rsidRPr="00637368" w:rsidRDefault="0067694D" w:rsidP="0067694D">
            <w:pPr>
              <w:jc w:val="center"/>
              <w:rPr>
                <w:sz w:val="20"/>
                <w:szCs w:val="20"/>
              </w:rPr>
            </w:pPr>
            <w:r w:rsidRPr="00637368">
              <w:rPr>
                <w:color w:val="000000"/>
                <w:sz w:val="20"/>
                <w:szCs w:val="20"/>
              </w:rPr>
              <w:t>44.1</w:t>
            </w:r>
          </w:p>
        </w:tc>
        <w:tc>
          <w:tcPr>
            <w:tcW w:w="144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7FF4DCE" w14:textId="77777777" w:rsidR="0067694D" w:rsidRPr="00637368" w:rsidRDefault="0067694D" w:rsidP="0067694D">
            <w:pPr>
              <w:jc w:val="center"/>
              <w:rPr>
                <w:sz w:val="20"/>
                <w:szCs w:val="20"/>
              </w:rPr>
            </w:pPr>
            <w:r w:rsidRPr="00637368">
              <w:rPr>
                <w:color w:val="000000"/>
                <w:sz w:val="20"/>
                <w:szCs w:val="20"/>
              </w:rPr>
              <w:t>--</w:t>
            </w:r>
          </w:p>
        </w:tc>
        <w:tc>
          <w:tcPr>
            <w:tcW w:w="11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858B425" w14:textId="77777777" w:rsidR="0067694D" w:rsidRPr="00637368" w:rsidRDefault="0067694D" w:rsidP="0067694D">
            <w:pPr>
              <w:jc w:val="center"/>
              <w:rPr>
                <w:sz w:val="20"/>
                <w:szCs w:val="20"/>
              </w:rPr>
            </w:pPr>
            <w:r w:rsidRPr="00637368">
              <w:rPr>
                <w:color w:val="000000"/>
                <w:sz w:val="20"/>
                <w:szCs w:val="20"/>
              </w:rPr>
              <w:t>126</w:t>
            </w:r>
          </w:p>
        </w:tc>
        <w:tc>
          <w:tcPr>
            <w:tcW w:w="10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E03E740" w14:textId="77777777" w:rsidR="0067694D" w:rsidRPr="00637368" w:rsidRDefault="0067694D" w:rsidP="0067694D">
            <w:pPr>
              <w:jc w:val="center"/>
              <w:rPr>
                <w:sz w:val="20"/>
                <w:szCs w:val="20"/>
              </w:rPr>
            </w:pPr>
            <w:r w:rsidRPr="00637368">
              <w:rPr>
                <w:color w:val="000000"/>
                <w:sz w:val="20"/>
                <w:szCs w:val="20"/>
              </w:rPr>
              <w:t>37.7</w:t>
            </w:r>
          </w:p>
        </w:tc>
        <w:tc>
          <w:tcPr>
            <w:tcW w:w="11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6CB6D19" w14:textId="77777777" w:rsidR="0067694D" w:rsidRPr="00637368" w:rsidRDefault="0067694D" w:rsidP="0067694D">
            <w:pPr>
              <w:jc w:val="center"/>
              <w:rPr>
                <w:sz w:val="20"/>
                <w:szCs w:val="20"/>
              </w:rPr>
            </w:pPr>
            <w:r w:rsidRPr="00637368">
              <w:rPr>
                <w:color w:val="000000"/>
                <w:sz w:val="20"/>
                <w:szCs w:val="20"/>
              </w:rPr>
              <w:t>58,543</w:t>
            </w:r>
          </w:p>
        </w:tc>
        <w:tc>
          <w:tcPr>
            <w:tcW w:w="10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52532AB" w14:textId="77777777" w:rsidR="0067694D" w:rsidRPr="00637368" w:rsidRDefault="0067694D" w:rsidP="0067694D">
            <w:pPr>
              <w:jc w:val="center"/>
              <w:rPr>
                <w:sz w:val="20"/>
                <w:szCs w:val="20"/>
              </w:rPr>
            </w:pPr>
            <w:r w:rsidRPr="00637368">
              <w:rPr>
                <w:color w:val="000000"/>
                <w:sz w:val="20"/>
                <w:szCs w:val="20"/>
              </w:rPr>
              <w:t>45.8</w:t>
            </w:r>
          </w:p>
        </w:tc>
      </w:tr>
      <w:tr w:rsidR="0067694D" w:rsidRPr="00637368" w14:paraId="30906E10" w14:textId="77777777" w:rsidTr="0067694D">
        <w:trPr>
          <w:trHeight w:val="181"/>
        </w:trPr>
        <w:tc>
          <w:tcPr>
            <w:tcW w:w="230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4FB81E14" w14:textId="77777777" w:rsidR="0067694D" w:rsidRPr="00637368" w:rsidRDefault="0067694D" w:rsidP="0067694D">
            <w:pPr>
              <w:rPr>
                <w:sz w:val="20"/>
                <w:szCs w:val="20"/>
              </w:rPr>
            </w:pPr>
            <w:r w:rsidRPr="00637368">
              <w:rPr>
                <w:color w:val="000000"/>
                <w:sz w:val="20"/>
                <w:szCs w:val="20"/>
              </w:rPr>
              <w:t>Not Available</w:t>
            </w:r>
          </w:p>
        </w:tc>
        <w:tc>
          <w:tcPr>
            <w:tcW w:w="7200"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566B73C" w14:textId="77777777" w:rsidR="0067694D" w:rsidRPr="00637368" w:rsidRDefault="0067694D" w:rsidP="0067694D">
            <w:pPr>
              <w:rPr>
                <w:sz w:val="20"/>
                <w:szCs w:val="20"/>
              </w:rPr>
            </w:pPr>
          </w:p>
        </w:tc>
      </w:tr>
      <w:tr w:rsidR="0067694D" w:rsidRPr="00637368" w14:paraId="73191849" w14:textId="77777777" w:rsidTr="0067694D">
        <w:trPr>
          <w:trHeight w:val="166"/>
        </w:trPr>
        <w:tc>
          <w:tcPr>
            <w:tcW w:w="2304"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2FDB198E" w14:textId="77777777" w:rsidR="0067694D" w:rsidRPr="00637368" w:rsidRDefault="0067694D" w:rsidP="0067694D">
            <w:pPr>
              <w:jc w:val="right"/>
              <w:rPr>
                <w:sz w:val="20"/>
                <w:szCs w:val="20"/>
              </w:rPr>
            </w:pPr>
            <w:r w:rsidRPr="00637368">
              <w:rPr>
                <w:color w:val="000000"/>
                <w:sz w:val="20"/>
                <w:szCs w:val="20"/>
              </w:rPr>
              <w:t>2018</w:t>
            </w:r>
          </w:p>
        </w:tc>
        <w:tc>
          <w:tcPr>
            <w:tcW w:w="144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37029D7" w14:textId="77777777" w:rsidR="0067694D" w:rsidRPr="00637368" w:rsidRDefault="0067694D" w:rsidP="0067694D">
            <w:pPr>
              <w:jc w:val="center"/>
              <w:rPr>
                <w:sz w:val="20"/>
                <w:szCs w:val="20"/>
              </w:rPr>
            </w:pPr>
            <w:r w:rsidRPr="00637368">
              <w:rPr>
                <w:color w:val="000000"/>
                <w:sz w:val="20"/>
                <w:szCs w:val="20"/>
              </w:rPr>
              <w:t>0.0</w:t>
            </w:r>
          </w:p>
        </w:tc>
        <w:tc>
          <w:tcPr>
            <w:tcW w:w="144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101DB00" w14:textId="77777777" w:rsidR="0067694D" w:rsidRPr="00637368" w:rsidRDefault="0067694D" w:rsidP="0067694D">
            <w:pPr>
              <w:jc w:val="center"/>
              <w:rPr>
                <w:sz w:val="20"/>
                <w:szCs w:val="20"/>
              </w:rPr>
            </w:pPr>
            <w:r w:rsidRPr="00637368">
              <w:rPr>
                <w:color w:val="000000"/>
                <w:sz w:val="20"/>
                <w:szCs w:val="20"/>
              </w:rPr>
              <w:t>11.8</w:t>
            </w:r>
          </w:p>
        </w:tc>
        <w:tc>
          <w:tcPr>
            <w:tcW w:w="11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F3B43D3" w14:textId="77777777" w:rsidR="0067694D" w:rsidRPr="00637368" w:rsidRDefault="0067694D" w:rsidP="0067694D">
            <w:pPr>
              <w:jc w:val="center"/>
              <w:rPr>
                <w:sz w:val="20"/>
                <w:szCs w:val="20"/>
              </w:rPr>
            </w:pPr>
            <w:r w:rsidRPr="00637368">
              <w:rPr>
                <w:color w:val="000000"/>
                <w:sz w:val="20"/>
                <w:szCs w:val="20"/>
              </w:rPr>
              <w:t>17</w:t>
            </w:r>
          </w:p>
        </w:tc>
        <w:tc>
          <w:tcPr>
            <w:tcW w:w="10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FA5D1AA" w14:textId="77777777" w:rsidR="0067694D" w:rsidRPr="00637368" w:rsidRDefault="0067694D" w:rsidP="0067694D">
            <w:pPr>
              <w:jc w:val="center"/>
              <w:rPr>
                <w:sz w:val="20"/>
                <w:szCs w:val="20"/>
              </w:rPr>
            </w:pPr>
            <w:r w:rsidRPr="00637368">
              <w:rPr>
                <w:color w:val="000000"/>
                <w:sz w:val="20"/>
                <w:szCs w:val="20"/>
              </w:rPr>
              <w:t>8.9</w:t>
            </w:r>
          </w:p>
        </w:tc>
        <w:tc>
          <w:tcPr>
            <w:tcW w:w="11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7694E28" w14:textId="77777777" w:rsidR="0067694D" w:rsidRPr="00637368" w:rsidRDefault="0067694D" w:rsidP="0067694D">
            <w:pPr>
              <w:jc w:val="center"/>
              <w:rPr>
                <w:sz w:val="20"/>
                <w:szCs w:val="20"/>
              </w:rPr>
            </w:pPr>
            <w:r w:rsidRPr="00637368">
              <w:rPr>
                <w:color w:val="000000"/>
                <w:sz w:val="20"/>
                <w:szCs w:val="20"/>
              </w:rPr>
              <w:t>11,810</w:t>
            </w:r>
          </w:p>
        </w:tc>
        <w:tc>
          <w:tcPr>
            <w:tcW w:w="10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DE847D9" w14:textId="77777777" w:rsidR="0067694D" w:rsidRPr="00637368" w:rsidRDefault="0067694D" w:rsidP="0067694D">
            <w:pPr>
              <w:jc w:val="center"/>
              <w:rPr>
                <w:sz w:val="20"/>
                <w:szCs w:val="20"/>
              </w:rPr>
            </w:pPr>
            <w:r w:rsidRPr="00637368">
              <w:rPr>
                <w:color w:val="000000"/>
                <w:sz w:val="20"/>
                <w:szCs w:val="20"/>
              </w:rPr>
              <w:t>14.4</w:t>
            </w:r>
          </w:p>
        </w:tc>
      </w:tr>
      <w:tr w:rsidR="0067694D" w:rsidRPr="00637368" w14:paraId="3ECC58CF" w14:textId="77777777" w:rsidTr="0067694D">
        <w:trPr>
          <w:trHeight w:val="166"/>
        </w:trPr>
        <w:tc>
          <w:tcPr>
            <w:tcW w:w="2304"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24C59B29" w14:textId="77777777" w:rsidR="0067694D" w:rsidRPr="00637368" w:rsidRDefault="0067694D" w:rsidP="0067694D">
            <w:pPr>
              <w:jc w:val="right"/>
              <w:rPr>
                <w:sz w:val="20"/>
                <w:szCs w:val="20"/>
              </w:rPr>
            </w:pPr>
            <w:r w:rsidRPr="00637368">
              <w:rPr>
                <w:color w:val="000000"/>
                <w:sz w:val="20"/>
                <w:szCs w:val="20"/>
              </w:rPr>
              <w:t>2019</w:t>
            </w:r>
          </w:p>
        </w:tc>
        <w:tc>
          <w:tcPr>
            <w:tcW w:w="144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BDE4A70" w14:textId="77777777" w:rsidR="0067694D" w:rsidRPr="00637368" w:rsidRDefault="0067694D" w:rsidP="0067694D">
            <w:pPr>
              <w:jc w:val="center"/>
              <w:rPr>
                <w:sz w:val="20"/>
                <w:szCs w:val="20"/>
              </w:rPr>
            </w:pPr>
            <w:r w:rsidRPr="00637368">
              <w:rPr>
                <w:color w:val="000000"/>
                <w:sz w:val="20"/>
                <w:szCs w:val="20"/>
              </w:rPr>
              <w:t>0.0</w:t>
            </w:r>
          </w:p>
        </w:tc>
        <w:tc>
          <w:tcPr>
            <w:tcW w:w="144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9DA7CA9" w14:textId="77777777" w:rsidR="0067694D" w:rsidRPr="00637368" w:rsidRDefault="0067694D" w:rsidP="0067694D">
            <w:pPr>
              <w:jc w:val="center"/>
              <w:rPr>
                <w:sz w:val="20"/>
                <w:szCs w:val="20"/>
              </w:rPr>
            </w:pPr>
            <w:r w:rsidRPr="00637368">
              <w:rPr>
                <w:color w:val="000000"/>
                <w:sz w:val="20"/>
                <w:szCs w:val="20"/>
              </w:rPr>
              <w:t>--</w:t>
            </w:r>
          </w:p>
        </w:tc>
        <w:tc>
          <w:tcPr>
            <w:tcW w:w="11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DED2E4B" w14:textId="77777777" w:rsidR="0067694D" w:rsidRPr="00637368" w:rsidRDefault="0067694D" w:rsidP="0067694D">
            <w:pPr>
              <w:jc w:val="center"/>
              <w:rPr>
                <w:sz w:val="20"/>
                <w:szCs w:val="20"/>
              </w:rPr>
            </w:pPr>
            <w:r w:rsidRPr="00637368">
              <w:rPr>
                <w:color w:val="000000"/>
                <w:sz w:val="20"/>
                <w:szCs w:val="20"/>
              </w:rPr>
              <w:t>16</w:t>
            </w:r>
          </w:p>
        </w:tc>
        <w:tc>
          <w:tcPr>
            <w:tcW w:w="10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F15D75A" w14:textId="77777777" w:rsidR="0067694D" w:rsidRPr="00637368" w:rsidRDefault="0067694D" w:rsidP="0067694D">
            <w:pPr>
              <w:jc w:val="center"/>
              <w:rPr>
                <w:sz w:val="20"/>
                <w:szCs w:val="20"/>
              </w:rPr>
            </w:pPr>
            <w:r w:rsidRPr="00637368">
              <w:rPr>
                <w:color w:val="000000"/>
                <w:sz w:val="20"/>
                <w:szCs w:val="20"/>
              </w:rPr>
              <w:t>4.8</w:t>
            </w:r>
          </w:p>
        </w:tc>
        <w:tc>
          <w:tcPr>
            <w:tcW w:w="11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3F364F3" w14:textId="77777777" w:rsidR="0067694D" w:rsidRPr="00637368" w:rsidRDefault="0067694D" w:rsidP="0067694D">
            <w:pPr>
              <w:jc w:val="center"/>
              <w:rPr>
                <w:sz w:val="20"/>
                <w:szCs w:val="20"/>
              </w:rPr>
            </w:pPr>
            <w:r w:rsidRPr="00637368">
              <w:rPr>
                <w:color w:val="000000"/>
                <w:sz w:val="20"/>
                <w:szCs w:val="20"/>
              </w:rPr>
              <w:t>11,531</w:t>
            </w:r>
          </w:p>
        </w:tc>
        <w:tc>
          <w:tcPr>
            <w:tcW w:w="10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B747C2A" w14:textId="77777777" w:rsidR="0067694D" w:rsidRPr="00637368" w:rsidRDefault="0067694D" w:rsidP="0067694D">
            <w:pPr>
              <w:jc w:val="center"/>
              <w:rPr>
                <w:sz w:val="20"/>
                <w:szCs w:val="20"/>
              </w:rPr>
            </w:pPr>
            <w:r w:rsidRPr="00637368">
              <w:rPr>
                <w:color w:val="000000"/>
                <w:sz w:val="20"/>
                <w:szCs w:val="20"/>
              </w:rPr>
              <w:t>9.0</w:t>
            </w:r>
          </w:p>
        </w:tc>
      </w:tr>
      <w:tr w:rsidR="0067694D" w:rsidRPr="00637368" w14:paraId="7C652E71" w14:textId="77777777" w:rsidTr="0067694D">
        <w:trPr>
          <w:trHeight w:val="181"/>
        </w:trPr>
        <w:tc>
          <w:tcPr>
            <w:tcW w:w="230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4077D949" w14:textId="77777777" w:rsidR="0067694D" w:rsidRPr="00637368" w:rsidRDefault="0067694D" w:rsidP="0067694D">
            <w:pPr>
              <w:rPr>
                <w:sz w:val="20"/>
                <w:szCs w:val="20"/>
              </w:rPr>
            </w:pPr>
            <w:r w:rsidRPr="00637368">
              <w:rPr>
                <w:b/>
                <w:color w:val="000000"/>
                <w:sz w:val="20"/>
                <w:szCs w:val="20"/>
              </w:rPr>
              <w:t>Totals</w:t>
            </w:r>
          </w:p>
        </w:tc>
        <w:tc>
          <w:tcPr>
            <w:tcW w:w="7200"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0D7A86D" w14:textId="77777777" w:rsidR="0067694D" w:rsidRPr="00637368" w:rsidRDefault="0067694D" w:rsidP="0067694D">
            <w:pPr>
              <w:rPr>
                <w:sz w:val="20"/>
                <w:szCs w:val="20"/>
              </w:rPr>
            </w:pPr>
          </w:p>
        </w:tc>
      </w:tr>
      <w:tr w:rsidR="0067694D" w:rsidRPr="00637368" w14:paraId="7106EA94" w14:textId="77777777" w:rsidTr="0067694D">
        <w:trPr>
          <w:trHeight w:val="181"/>
        </w:trPr>
        <w:tc>
          <w:tcPr>
            <w:tcW w:w="2304"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50B3A4E1" w14:textId="77777777" w:rsidR="0067694D" w:rsidRPr="00637368" w:rsidRDefault="0067694D" w:rsidP="0067694D">
            <w:pPr>
              <w:jc w:val="right"/>
              <w:rPr>
                <w:sz w:val="20"/>
                <w:szCs w:val="20"/>
              </w:rPr>
            </w:pPr>
            <w:r w:rsidRPr="00637368">
              <w:rPr>
                <w:b/>
                <w:color w:val="000000"/>
                <w:sz w:val="20"/>
                <w:szCs w:val="20"/>
              </w:rPr>
              <w:t>2018</w:t>
            </w:r>
          </w:p>
        </w:tc>
        <w:tc>
          <w:tcPr>
            <w:tcW w:w="144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6C92116" w14:textId="77777777" w:rsidR="0067694D" w:rsidRPr="00637368" w:rsidRDefault="0067694D" w:rsidP="0067694D">
            <w:pPr>
              <w:jc w:val="center"/>
              <w:rPr>
                <w:sz w:val="20"/>
                <w:szCs w:val="20"/>
              </w:rPr>
            </w:pPr>
            <w:r w:rsidRPr="00637368">
              <w:rPr>
                <w:b/>
                <w:color w:val="000000"/>
                <w:sz w:val="20"/>
                <w:szCs w:val="20"/>
              </w:rPr>
              <w:t>100.0</w:t>
            </w:r>
          </w:p>
        </w:tc>
        <w:tc>
          <w:tcPr>
            <w:tcW w:w="144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D06F833" w14:textId="77777777" w:rsidR="0067694D" w:rsidRPr="00637368" w:rsidRDefault="0067694D" w:rsidP="0067694D">
            <w:pPr>
              <w:jc w:val="center"/>
              <w:rPr>
                <w:sz w:val="20"/>
                <w:szCs w:val="20"/>
              </w:rPr>
            </w:pPr>
            <w:r w:rsidRPr="00637368">
              <w:rPr>
                <w:b/>
                <w:color w:val="000000"/>
                <w:sz w:val="20"/>
                <w:szCs w:val="20"/>
              </w:rPr>
              <w:t>100.0</w:t>
            </w:r>
          </w:p>
        </w:tc>
        <w:tc>
          <w:tcPr>
            <w:tcW w:w="11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F6C80A3" w14:textId="77777777" w:rsidR="0067694D" w:rsidRPr="00637368" w:rsidRDefault="0067694D" w:rsidP="0067694D">
            <w:pPr>
              <w:jc w:val="center"/>
              <w:rPr>
                <w:sz w:val="20"/>
                <w:szCs w:val="20"/>
              </w:rPr>
            </w:pPr>
            <w:r w:rsidRPr="00637368">
              <w:rPr>
                <w:b/>
                <w:color w:val="000000"/>
                <w:sz w:val="20"/>
                <w:szCs w:val="20"/>
              </w:rPr>
              <w:t>192</w:t>
            </w:r>
          </w:p>
        </w:tc>
        <w:tc>
          <w:tcPr>
            <w:tcW w:w="10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08FCB54" w14:textId="77777777" w:rsidR="0067694D" w:rsidRPr="00637368" w:rsidRDefault="0067694D" w:rsidP="0067694D">
            <w:pPr>
              <w:jc w:val="center"/>
              <w:rPr>
                <w:sz w:val="20"/>
                <w:szCs w:val="20"/>
              </w:rPr>
            </w:pPr>
            <w:r w:rsidRPr="00637368">
              <w:rPr>
                <w:b/>
                <w:color w:val="000000"/>
                <w:sz w:val="20"/>
                <w:szCs w:val="20"/>
              </w:rPr>
              <w:t>100.0</w:t>
            </w:r>
          </w:p>
        </w:tc>
        <w:tc>
          <w:tcPr>
            <w:tcW w:w="11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7780E62" w14:textId="77777777" w:rsidR="0067694D" w:rsidRPr="00637368" w:rsidRDefault="0067694D" w:rsidP="0067694D">
            <w:pPr>
              <w:jc w:val="center"/>
              <w:rPr>
                <w:sz w:val="20"/>
                <w:szCs w:val="20"/>
              </w:rPr>
            </w:pPr>
            <w:r w:rsidRPr="00637368">
              <w:rPr>
                <w:b/>
                <w:color w:val="000000"/>
                <w:sz w:val="20"/>
                <w:szCs w:val="20"/>
              </w:rPr>
              <w:t>82,098</w:t>
            </w:r>
          </w:p>
        </w:tc>
        <w:tc>
          <w:tcPr>
            <w:tcW w:w="10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3CCC0A2" w14:textId="77777777" w:rsidR="0067694D" w:rsidRPr="00637368" w:rsidRDefault="0067694D" w:rsidP="0067694D">
            <w:pPr>
              <w:jc w:val="center"/>
              <w:rPr>
                <w:sz w:val="20"/>
                <w:szCs w:val="20"/>
              </w:rPr>
            </w:pPr>
            <w:r w:rsidRPr="00637368">
              <w:rPr>
                <w:b/>
                <w:color w:val="000000"/>
                <w:sz w:val="20"/>
                <w:szCs w:val="20"/>
              </w:rPr>
              <w:t>100.0</w:t>
            </w:r>
          </w:p>
        </w:tc>
      </w:tr>
      <w:tr w:rsidR="0067694D" w:rsidRPr="00637368" w14:paraId="638C695C" w14:textId="77777777" w:rsidTr="0067694D">
        <w:trPr>
          <w:trHeight w:val="181"/>
        </w:trPr>
        <w:tc>
          <w:tcPr>
            <w:tcW w:w="2304"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316226E7" w14:textId="77777777" w:rsidR="0067694D" w:rsidRPr="00637368" w:rsidRDefault="0067694D" w:rsidP="0067694D">
            <w:pPr>
              <w:jc w:val="right"/>
              <w:rPr>
                <w:sz w:val="20"/>
                <w:szCs w:val="20"/>
              </w:rPr>
            </w:pPr>
            <w:r w:rsidRPr="00637368">
              <w:rPr>
                <w:b/>
                <w:color w:val="000000"/>
                <w:sz w:val="20"/>
                <w:szCs w:val="20"/>
              </w:rPr>
              <w:t>2019</w:t>
            </w:r>
          </w:p>
        </w:tc>
        <w:tc>
          <w:tcPr>
            <w:tcW w:w="144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D7B3E91" w14:textId="77777777" w:rsidR="0067694D" w:rsidRPr="00637368" w:rsidRDefault="0067694D" w:rsidP="0067694D">
            <w:pPr>
              <w:jc w:val="center"/>
              <w:rPr>
                <w:sz w:val="20"/>
                <w:szCs w:val="20"/>
              </w:rPr>
            </w:pPr>
            <w:r w:rsidRPr="00637368">
              <w:rPr>
                <w:b/>
                <w:color w:val="000000"/>
                <w:sz w:val="20"/>
                <w:szCs w:val="20"/>
              </w:rPr>
              <w:t>100.0</w:t>
            </w:r>
          </w:p>
        </w:tc>
        <w:tc>
          <w:tcPr>
            <w:tcW w:w="144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C1C0191" w14:textId="77777777" w:rsidR="0067694D" w:rsidRPr="00637368" w:rsidRDefault="0067694D" w:rsidP="0067694D">
            <w:pPr>
              <w:jc w:val="center"/>
              <w:rPr>
                <w:sz w:val="20"/>
                <w:szCs w:val="20"/>
              </w:rPr>
            </w:pPr>
            <w:r w:rsidRPr="00637368">
              <w:rPr>
                <w:b/>
                <w:color w:val="000000"/>
                <w:sz w:val="20"/>
                <w:szCs w:val="20"/>
              </w:rPr>
              <w:t>--</w:t>
            </w:r>
          </w:p>
        </w:tc>
        <w:tc>
          <w:tcPr>
            <w:tcW w:w="11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974D6B0" w14:textId="77777777" w:rsidR="0067694D" w:rsidRPr="00637368" w:rsidRDefault="0067694D" w:rsidP="0067694D">
            <w:pPr>
              <w:jc w:val="center"/>
              <w:rPr>
                <w:sz w:val="20"/>
                <w:szCs w:val="20"/>
              </w:rPr>
            </w:pPr>
            <w:r w:rsidRPr="00637368">
              <w:rPr>
                <w:b/>
                <w:color w:val="000000"/>
                <w:sz w:val="20"/>
                <w:szCs w:val="20"/>
              </w:rPr>
              <w:t>334</w:t>
            </w:r>
          </w:p>
        </w:tc>
        <w:tc>
          <w:tcPr>
            <w:tcW w:w="10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25D14ED" w14:textId="77777777" w:rsidR="0067694D" w:rsidRPr="00637368" w:rsidRDefault="0067694D" w:rsidP="0067694D">
            <w:pPr>
              <w:jc w:val="center"/>
              <w:rPr>
                <w:sz w:val="20"/>
                <w:szCs w:val="20"/>
              </w:rPr>
            </w:pPr>
            <w:r w:rsidRPr="00637368">
              <w:rPr>
                <w:b/>
                <w:color w:val="000000"/>
                <w:sz w:val="20"/>
                <w:szCs w:val="20"/>
              </w:rPr>
              <w:t>100.0</w:t>
            </w:r>
          </w:p>
        </w:tc>
        <w:tc>
          <w:tcPr>
            <w:tcW w:w="11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7F88CA9" w14:textId="77777777" w:rsidR="0067694D" w:rsidRPr="00637368" w:rsidRDefault="0067694D" w:rsidP="0067694D">
            <w:pPr>
              <w:jc w:val="center"/>
              <w:rPr>
                <w:sz w:val="20"/>
                <w:szCs w:val="20"/>
              </w:rPr>
            </w:pPr>
            <w:r w:rsidRPr="00637368">
              <w:rPr>
                <w:b/>
                <w:color w:val="000000"/>
                <w:sz w:val="20"/>
                <w:szCs w:val="20"/>
              </w:rPr>
              <w:t>127,867</w:t>
            </w:r>
          </w:p>
        </w:tc>
        <w:tc>
          <w:tcPr>
            <w:tcW w:w="10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538EA97" w14:textId="77777777" w:rsidR="0067694D" w:rsidRPr="00637368" w:rsidRDefault="0067694D" w:rsidP="0067694D">
            <w:pPr>
              <w:jc w:val="center"/>
              <w:rPr>
                <w:sz w:val="20"/>
                <w:szCs w:val="20"/>
              </w:rPr>
            </w:pPr>
            <w:r w:rsidRPr="00637368">
              <w:rPr>
                <w:b/>
                <w:color w:val="000000"/>
                <w:sz w:val="20"/>
                <w:szCs w:val="20"/>
              </w:rPr>
              <w:t>100.0</w:t>
            </w:r>
          </w:p>
        </w:tc>
      </w:tr>
      <w:tr w:rsidR="0067694D" w:rsidRPr="00637368" w14:paraId="5523E6C3" w14:textId="77777777" w:rsidTr="0067694D">
        <w:trPr>
          <w:trHeight w:val="374"/>
        </w:trPr>
        <w:tc>
          <w:tcPr>
            <w:tcW w:w="9504" w:type="dxa"/>
            <w:gridSpan w:val="7"/>
            <w:tcBorders>
              <w:top w:val="single" w:sz="7" w:space="0" w:color="000000"/>
              <w:left w:val="single" w:sz="7" w:space="0" w:color="000000"/>
              <w:bottom w:val="single" w:sz="7" w:space="0" w:color="000000"/>
              <w:right w:val="single" w:sz="7" w:space="0" w:color="000000"/>
            </w:tcBorders>
            <w:tcMar>
              <w:top w:w="59" w:type="dxa"/>
              <w:left w:w="39" w:type="dxa"/>
              <w:bottom w:w="39" w:type="dxa"/>
              <w:right w:w="39" w:type="dxa"/>
            </w:tcMar>
          </w:tcPr>
          <w:p w14:paraId="1CB2EBB4" w14:textId="77777777" w:rsidR="0067694D" w:rsidRPr="00637368" w:rsidRDefault="0067694D" w:rsidP="0067694D">
            <w:pPr>
              <w:rPr>
                <w:sz w:val="20"/>
                <w:szCs w:val="20"/>
              </w:rPr>
            </w:pPr>
            <w:r w:rsidRPr="00637368">
              <w:rPr>
                <w:i/>
                <w:color w:val="000000"/>
                <w:sz w:val="16"/>
                <w:szCs w:val="20"/>
              </w:rPr>
              <w:t>Source: 2015 ACS Census; 1/1/2018 - 12/31/2019 Bank Data, 2018 HMDA Aggregate Data, "--" data not available.</w:t>
            </w:r>
          </w:p>
          <w:p w14:paraId="170926D8" w14:textId="77777777" w:rsidR="0067694D" w:rsidRPr="00637368" w:rsidRDefault="0067694D" w:rsidP="0067694D">
            <w:pPr>
              <w:rPr>
                <w:sz w:val="20"/>
                <w:szCs w:val="20"/>
              </w:rPr>
            </w:pPr>
            <w:r w:rsidRPr="00637368">
              <w:rPr>
                <w:i/>
                <w:color w:val="000000"/>
                <w:sz w:val="16"/>
                <w:szCs w:val="20"/>
              </w:rPr>
              <w:t>Due to rounding, totals may not equal 100.0</w:t>
            </w:r>
          </w:p>
        </w:tc>
      </w:tr>
    </w:tbl>
    <w:p w14:paraId="39994775" w14:textId="77777777" w:rsidR="00373001" w:rsidRDefault="00373001" w:rsidP="0067694D">
      <w:pPr>
        <w:rPr>
          <w:b/>
          <w:bCs/>
          <w:i/>
        </w:rPr>
      </w:pPr>
    </w:p>
    <w:p w14:paraId="5D58ACD1" w14:textId="3BB21340" w:rsidR="0067694D" w:rsidRPr="0080540B" w:rsidRDefault="0067694D" w:rsidP="0067694D">
      <w:pPr>
        <w:rPr>
          <w:b/>
          <w:bCs/>
          <w:i/>
        </w:rPr>
      </w:pPr>
      <w:r w:rsidRPr="0080540B">
        <w:rPr>
          <w:b/>
          <w:bCs/>
          <w:i/>
        </w:rPr>
        <w:t>Small Business Loans</w:t>
      </w:r>
    </w:p>
    <w:p w14:paraId="2DEAAFEF" w14:textId="7B25B8B6" w:rsidR="0067694D" w:rsidRDefault="0067694D" w:rsidP="0067694D">
      <w:pPr>
        <w:rPr>
          <w:bCs/>
        </w:rPr>
      </w:pPr>
      <w:r>
        <w:rPr>
          <w:bCs/>
        </w:rPr>
        <w:t>The distribution of borrowers reflects, given the product lines offered by the institution, adequate penetration among business customers of different size.  In 2018, N</w:t>
      </w:r>
      <w:r w:rsidR="00373001">
        <w:rPr>
          <w:bCs/>
        </w:rPr>
        <w:t>BTC’s performance was consistent</w:t>
      </w:r>
      <w:r>
        <w:rPr>
          <w:bCs/>
        </w:rPr>
        <w:t xml:space="preserve"> with aggregate</w:t>
      </w:r>
      <w:r w:rsidR="00373001">
        <w:rPr>
          <w:bCs/>
        </w:rPr>
        <w:t xml:space="preserve"> lending</w:t>
      </w:r>
      <w:r>
        <w:rPr>
          <w:bCs/>
        </w:rPr>
        <w:t xml:space="preserve"> data, but below demographics.  The bank ranked 22</w:t>
      </w:r>
      <w:r w:rsidRPr="0037628A">
        <w:rPr>
          <w:bCs/>
          <w:vertAlign w:val="superscript"/>
        </w:rPr>
        <w:t>nd</w:t>
      </w:r>
      <w:r w:rsidR="00373001">
        <w:rPr>
          <w:bCs/>
        </w:rPr>
        <w:t xml:space="preserve"> </w:t>
      </w:r>
      <w:r>
        <w:rPr>
          <w:bCs/>
        </w:rPr>
        <w:t>of 139 lenders reporting at lea</w:t>
      </w:r>
      <w:r w:rsidR="00373001">
        <w:rPr>
          <w:bCs/>
        </w:rPr>
        <w:t xml:space="preserve">st one small business loan to </w:t>
      </w:r>
      <w:r>
        <w:rPr>
          <w:bCs/>
        </w:rPr>
        <w:t>business</w:t>
      </w:r>
      <w:r w:rsidR="00373001">
        <w:rPr>
          <w:bCs/>
        </w:rPr>
        <w:t>es</w:t>
      </w:r>
      <w:r>
        <w:rPr>
          <w:bCs/>
        </w:rPr>
        <w:t xml:space="preserve"> with GARs of $1</w:t>
      </w:r>
      <w:r w:rsidR="000F1A35">
        <w:rPr>
          <w:bCs/>
        </w:rPr>
        <w:t xml:space="preserve"> </w:t>
      </w:r>
      <w:r w:rsidR="00C21B34">
        <w:rPr>
          <w:bCs/>
        </w:rPr>
        <w:t>million or</w:t>
      </w:r>
      <w:r>
        <w:rPr>
          <w:bCs/>
        </w:rPr>
        <w:t xml:space="preserve"> less.  </w:t>
      </w:r>
      <w:r w:rsidR="00373001">
        <w:rPr>
          <w:bCs/>
        </w:rPr>
        <w:t>In 2018, i</w:t>
      </w:r>
      <w:r>
        <w:rPr>
          <w:bCs/>
        </w:rPr>
        <w:t xml:space="preserve">t is important to note that </w:t>
      </w:r>
      <w:r w:rsidR="00373001">
        <w:rPr>
          <w:bCs/>
        </w:rPr>
        <w:t>84.0 percent of small businesses with GARs of $1</w:t>
      </w:r>
      <w:r w:rsidR="000F1A35">
        <w:rPr>
          <w:bCs/>
        </w:rPr>
        <w:t xml:space="preserve"> </w:t>
      </w:r>
      <w:r w:rsidR="00C21B34">
        <w:rPr>
          <w:bCs/>
        </w:rPr>
        <w:t>million or</w:t>
      </w:r>
      <w:r w:rsidR="00373001">
        <w:rPr>
          <w:bCs/>
        </w:rPr>
        <w:t xml:space="preserve"> less reflects</w:t>
      </w:r>
      <w:r>
        <w:rPr>
          <w:bCs/>
        </w:rPr>
        <w:t xml:space="preserve"> all </w:t>
      </w:r>
      <w:r w:rsidR="00373001">
        <w:rPr>
          <w:bCs/>
        </w:rPr>
        <w:t xml:space="preserve">small </w:t>
      </w:r>
      <w:r>
        <w:rPr>
          <w:bCs/>
        </w:rPr>
        <w:t>businesses in the assessment area, not just those in the market for a small business loan.  Overall, the bank’s performance reflects adequate penetration.</w:t>
      </w:r>
      <w:r w:rsidR="00373001">
        <w:rPr>
          <w:bCs/>
        </w:rPr>
        <w:t xml:space="preserve">  </w:t>
      </w:r>
    </w:p>
    <w:p w14:paraId="1F6C2DC8" w14:textId="77777777" w:rsidR="0067694D" w:rsidRDefault="0067694D" w:rsidP="0067694D">
      <w:pPr>
        <w:rPr>
          <w:bCs/>
        </w:rPr>
      </w:pPr>
    </w:p>
    <w:p w14:paraId="5098BF76" w14:textId="7A61F263" w:rsidR="00373001" w:rsidRDefault="00C25A47" w:rsidP="0067694D">
      <w:pPr>
        <w:rPr>
          <w:bCs/>
        </w:rPr>
      </w:pPr>
      <w:r>
        <w:rPr>
          <w:bCs/>
        </w:rPr>
        <w:t xml:space="preserve">In 2019, </w:t>
      </w:r>
      <w:r w:rsidR="0067694D">
        <w:rPr>
          <w:bCs/>
        </w:rPr>
        <w:t>lending</w:t>
      </w:r>
      <w:r w:rsidR="00EE1CAB">
        <w:rPr>
          <w:bCs/>
        </w:rPr>
        <w:t xml:space="preserve"> to small businesses</w:t>
      </w:r>
      <w:r w:rsidR="0067694D">
        <w:rPr>
          <w:bCs/>
        </w:rPr>
        <w:t xml:space="preserve"> </w:t>
      </w:r>
      <w:r w:rsidR="00373001">
        <w:rPr>
          <w:bCs/>
        </w:rPr>
        <w:t>declined</w:t>
      </w:r>
      <w:r w:rsidR="00EE1CAB">
        <w:rPr>
          <w:bCs/>
        </w:rPr>
        <w:t>,</w:t>
      </w:r>
      <w:r w:rsidR="00373001">
        <w:rPr>
          <w:bCs/>
        </w:rPr>
        <w:t xml:space="preserve"> </w:t>
      </w:r>
      <w:r w:rsidR="00E642A4">
        <w:rPr>
          <w:bCs/>
        </w:rPr>
        <w:t>and the total percentage of small business loans with GARs of $1</w:t>
      </w:r>
      <w:r w:rsidR="000F1A35">
        <w:rPr>
          <w:bCs/>
        </w:rPr>
        <w:t xml:space="preserve"> </w:t>
      </w:r>
      <w:r w:rsidR="00C21B34">
        <w:rPr>
          <w:bCs/>
        </w:rPr>
        <w:t>million or</w:t>
      </w:r>
      <w:r w:rsidR="00E642A4">
        <w:rPr>
          <w:bCs/>
        </w:rPr>
        <w:t xml:space="preserve"> less </w:t>
      </w:r>
      <w:r w:rsidR="00A75CB5">
        <w:rPr>
          <w:bCs/>
        </w:rPr>
        <w:t>declined</w:t>
      </w:r>
      <w:r w:rsidR="00E642A4">
        <w:rPr>
          <w:bCs/>
        </w:rPr>
        <w:t xml:space="preserve"> to 17.9 percent.</w:t>
      </w:r>
      <w:r w:rsidR="00FE4018">
        <w:rPr>
          <w:bCs/>
        </w:rPr>
        <w:t xml:space="preserve"> </w:t>
      </w:r>
      <w:r w:rsidR="0067694D">
        <w:rPr>
          <w:bCs/>
        </w:rPr>
        <w:t xml:space="preserve">However, </w:t>
      </w:r>
      <w:r w:rsidR="00E642A4">
        <w:rPr>
          <w:bCs/>
        </w:rPr>
        <w:t>as stated previously,</w:t>
      </w:r>
      <w:r>
        <w:rPr>
          <w:bCs/>
        </w:rPr>
        <w:t xml:space="preserve"> </w:t>
      </w:r>
      <w:r w:rsidR="00FE4018">
        <w:rPr>
          <w:bCs/>
        </w:rPr>
        <w:t xml:space="preserve">refocused </w:t>
      </w:r>
      <w:r>
        <w:rPr>
          <w:bCs/>
        </w:rPr>
        <w:t xml:space="preserve">lending and marketing strategies </w:t>
      </w:r>
      <w:r w:rsidR="00FE4018">
        <w:rPr>
          <w:bCs/>
        </w:rPr>
        <w:t xml:space="preserve">increased </w:t>
      </w:r>
      <w:r w:rsidR="00E642A4">
        <w:rPr>
          <w:bCs/>
        </w:rPr>
        <w:t>small business</w:t>
      </w:r>
      <w:r>
        <w:rPr>
          <w:bCs/>
        </w:rPr>
        <w:t xml:space="preserve"> lending </w:t>
      </w:r>
      <w:r w:rsidR="00E642A4">
        <w:rPr>
          <w:bCs/>
        </w:rPr>
        <w:t>significantly</w:t>
      </w:r>
      <w:r w:rsidR="00FE4018">
        <w:rPr>
          <w:bCs/>
        </w:rPr>
        <w:t>, by number,</w:t>
      </w:r>
      <w:r w:rsidR="00E642A4">
        <w:rPr>
          <w:bCs/>
        </w:rPr>
        <w:t xml:space="preserve"> in 2019</w:t>
      </w:r>
      <w:r w:rsidR="00FE4018">
        <w:rPr>
          <w:bCs/>
        </w:rPr>
        <w:t xml:space="preserve">.  </w:t>
      </w:r>
      <w:r>
        <w:rPr>
          <w:bCs/>
        </w:rPr>
        <w:t>In addition,</w:t>
      </w:r>
      <w:r w:rsidR="00FE4018">
        <w:rPr>
          <w:bCs/>
        </w:rPr>
        <w:t xml:space="preserve"> </w:t>
      </w:r>
      <w:r w:rsidR="00AA6EDE">
        <w:rPr>
          <w:bCs/>
        </w:rPr>
        <w:t xml:space="preserve">despite </w:t>
      </w:r>
      <w:r>
        <w:rPr>
          <w:bCs/>
        </w:rPr>
        <w:t xml:space="preserve">the </w:t>
      </w:r>
      <w:r w:rsidR="00AA6EDE">
        <w:rPr>
          <w:bCs/>
        </w:rPr>
        <w:t xml:space="preserve">lower </w:t>
      </w:r>
      <w:r w:rsidR="00FE4018">
        <w:rPr>
          <w:bCs/>
        </w:rPr>
        <w:t>percentage of loans</w:t>
      </w:r>
      <w:r w:rsidR="00AA6EDE">
        <w:rPr>
          <w:bCs/>
        </w:rPr>
        <w:t xml:space="preserve">, by number, </w:t>
      </w:r>
      <w:r w:rsidR="00FE4018">
        <w:rPr>
          <w:bCs/>
        </w:rPr>
        <w:t>the total dollar amount increased 14.3 percent or, $867,000 in 2019.</w:t>
      </w:r>
    </w:p>
    <w:p w14:paraId="6045DFFE" w14:textId="27B2B05B" w:rsidR="00373001" w:rsidRDefault="00373001" w:rsidP="0067694D">
      <w:pPr>
        <w:rPr>
          <w:bCs/>
        </w:rPr>
      </w:pPr>
    </w:p>
    <w:p w14:paraId="0D245CDE" w14:textId="56BB622A" w:rsidR="00344232" w:rsidRDefault="00344232" w:rsidP="0067694D">
      <w:pPr>
        <w:rPr>
          <w:bCs/>
        </w:rPr>
      </w:pPr>
    </w:p>
    <w:p w14:paraId="6DB1C457" w14:textId="77777777" w:rsidR="00344232" w:rsidRDefault="00344232" w:rsidP="0067694D">
      <w:pPr>
        <w:rPr>
          <w:bCs/>
        </w:rPr>
      </w:pPr>
    </w:p>
    <w:p w14:paraId="6CDDC887" w14:textId="2EB12302" w:rsidR="0067694D" w:rsidRDefault="0067694D" w:rsidP="0067694D">
      <w:pPr>
        <w:rPr>
          <w:bCs/>
        </w:rPr>
      </w:pPr>
    </w:p>
    <w:tbl>
      <w:tblPr>
        <w:tblW w:w="0" w:type="auto"/>
        <w:tblCellMar>
          <w:left w:w="0" w:type="dxa"/>
          <w:right w:w="0" w:type="dxa"/>
        </w:tblCellMar>
        <w:tblLook w:val="0000" w:firstRow="0" w:lastRow="0" w:firstColumn="0" w:lastColumn="0" w:noHBand="0" w:noVBand="0"/>
      </w:tblPr>
      <w:tblGrid>
        <w:gridCol w:w="2259"/>
        <w:gridCol w:w="1421"/>
        <w:gridCol w:w="1430"/>
        <w:gridCol w:w="1121"/>
        <w:gridCol w:w="989"/>
        <w:gridCol w:w="1133"/>
        <w:gridCol w:w="989"/>
      </w:tblGrid>
      <w:tr w:rsidR="0067694D" w:rsidRPr="00637368" w14:paraId="518FB242" w14:textId="77777777" w:rsidTr="0067694D">
        <w:trPr>
          <w:trHeight w:val="288"/>
        </w:trPr>
        <w:tc>
          <w:tcPr>
            <w:tcW w:w="9504" w:type="dxa"/>
            <w:gridSpan w:val="7"/>
            <w:tcBorders>
              <w:top w:val="single" w:sz="7" w:space="0" w:color="000000"/>
              <w:left w:val="single" w:sz="7" w:space="0" w:color="000000"/>
              <w:right w:val="single" w:sz="7" w:space="0" w:color="000000"/>
            </w:tcBorders>
            <w:tcMar>
              <w:top w:w="39" w:type="dxa"/>
              <w:left w:w="39" w:type="dxa"/>
              <w:bottom w:w="39" w:type="dxa"/>
              <w:right w:w="39" w:type="dxa"/>
            </w:tcMar>
          </w:tcPr>
          <w:p w14:paraId="1362D4F0" w14:textId="77777777" w:rsidR="0067694D" w:rsidRPr="00637368" w:rsidRDefault="0067694D" w:rsidP="0067694D">
            <w:pPr>
              <w:jc w:val="center"/>
              <w:rPr>
                <w:sz w:val="20"/>
                <w:szCs w:val="20"/>
              </w:rPr>
            </w:pPr>
            <w:r w:rsidRPr="00637368">
              <w:rPr>
                <w:b/>
                <w:color w:val="000000"/>
                <w:sz w:val="20"/>
                <w:szCs w:val="20"/>
              </w:rPr>
              <w:lastRenderedPageBreak/>
              <w:t>Distribution of Small Business Loans by Gross Annual Revenue Category</w:t>
            </w:r>
          </w:p>
        </w:tc>
      </w:tr>
      <w:tr w:rsidR="0067694D" w:rsidRPr="00637368" w14:paraId="554C23A2" w14:textId="77777777" w:rsidTr="0067694D">
        <w:trPr>
          <w:trHeight w:val="498"/>
        </w:trPr>
        <w:tc>
          <w:tcPr>
            <w:tcW w:w="230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10B67B3A" w14:textId="77777777" w:rsidR="0067694D" w:rsidRPr="00637368" w:rsidRDefault="0067694D" w:rsidP="0067694D">
            <w:pPr>
              <w:rPr>
                <w:sz w:val="20"/>
                <w:szCs w:val="20"/>
              </w:rPr>
            </w:pPr>
            <w:r w:rsidRPr="00637368">
              <w:rPr>
                <w:b/>
                <w:color w:val="000000"/>
                <w:sz w:val="20"/>
                <w:szCs w:val="20"/>
              </w:rPr>
              <w:t>Gross Revenue Level</w:t>
            </w:r>
          </w:p>
        </w:tc>
        <w:tc>
          <w:tcPr>
            <w:tcW w:w="144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43A20D1A" w14:textId="77777777" w:rsidR="0067694D" w:rsidRPr="00637368" w:rsidRDefault="0067694D" w:rsidP="0067694D">
            <w:pPr>
              <w:jc w:val="center"/>
              <w:rPr>
                <w:sz w:val="20"/>
                <w:szCs w:val="20"/>
              </w:rPr>
            </w:pPr>
            <w:r w:rsidRPr="00637368">
              <w:rPr>
                <w:b/>
                <w:color w:val="000000"/>
                <w:sz w:val="20"/>
                <w:szCs w:val="20"/>
              </w:rPr>
              <w:t>% of  Businesses</w:t>
            </w:r>
          </w:p>
        </w:tc>
        <w:tc>
          <w:tcPr>
            <w:tcW w:w="144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3ADD7EA7" w14:textId="77777777" w:rsidR="0067694D" w:rsidRPr="00637368" w:rsidRDefault="0067694D" w:rsidP="0067694D">
            <w:pPr>
              <w:jc w:val="center"/>
              <w:rPr>
                <w:sz w:val="20"/>
                <w:szCs w:val="20"/>
              </w:rPr>
            </w:pPr>
            <w:r w:rsidRPr="00637368">
              <w:rPr>
                <w:b/>
                <w:color w:val="000000"/>
                <w:sz w:val="20"/>
                <w:szCs w:val="20"/>
              </w:rPr>
              <w:t>Aggregate Performance</w:t>
            </w:r>
            <w:r w:rsidRPr="00637368">
              <w:rPr>
                <w:b/>
                <w:color w:val="000000"/>
                <w:sz w:val="20"/>
                <w:szCs w:val="20"/>
              </w:rPr>
              <w:br/>
              <w:t>% of #</w:t>
            </w:r>
          </w:p>
        </w:tc>
        <w:tc>
          <w:tcPr>
            <w:tcW w:w="11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5E50AF32" w14:textId="77777777" w:rsidR="0067694D" w:rsidRPr="00637368" w:rsidRDefault="0067694D" w:rsidP="0067694D">
            <w:pPr>
              <w:jc w:val="center"/>
              <w:rPr>
                <w:sz w:val="20"/>
                <w:szCs w:val="20"/>
              </w:rPr>
            </w:pPr>
            <w:r w:rsidRPr="00637368">
              <w:rPr>
                <w:b/>
                <w:color w:val="000000"/>
                <w:sz w:val="20"/>
                <w:szCs w:val="20"/>
              </w:rPr>
              <w:t>#</w:t>
            </w:r>
          </w:p>
        </w:tc>
        <w:tc>
          <w:tcPr>
            <w:tcW w:w="10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585E0BE5" w14:textId="77777777" w:rsidR="0067694D" w:rsidRPr="00637368" w:rsidRDefault="0067694D" w:rsidP="0067694D">
            <w:pPr>
              <w:jc w:val="center"/>
              <w:rPr>
                <w:sz w:val="20"/>
                <w:szCs w:val="20"/>
              </w:rPr>
            </w:pPr>
            <w:r w:rsidRPr="00637368">
              <w:rPr>
                <w:b/>
                <w:color w:val="000000"/>
                <w:sz w:val="20"/>
                <w:szCs w:val="20"/>
              </w:rPr>
              <w:t>%</w:t>
            </w:r>
          </w:p>
        </w:tc>
        <w:tc>
          <w:tcPr>
            <w:tcW w:w="11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2AFB3E43" w14:textId="77777777" w:rsidR="0067694D" w:rsidRPr="00637368" w:rsidRDefault="0067694D" w:rsidP="0067694D">
            <w:pPr>
              <w:jc w:val="center"/>
              <w:rPr>
                <w:sz w:val="20"/>
                <w:szCs w:val="20"/>
              </w:rPr>
            </w:pPr>
            <w:r w:rsidRPr="00637368">
              <w:rPr>
                <w:b/>
                <w:color w:val="000000"/>
                <w:sz w:val="20"/>
                <w:szCs w:val="20"/>
              </w:rPr>
              <w:t>$(000s)</w:t>
            </w:r>
          </w:p>
        </w:tc>
        <w:tc>
          <w:tcPr>
            <w:tcW w:w="10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039063AA" w14:textId="77777777" w:rsidR="0067694D" w:rsidRPr="00637368" w:rsidRDefault="0067694D" w:rsidP="0067694D">
            <w:pPr>
              <w:jc w:val="center"/>
              <w:rPr>
                <w:sz w:val="20"/>
                <w:szCs w:val="20"/>
              </w:rPr>
            </w:pPr>
            <w:r w:rsidRPr="00637368">
              <w:rPr>
                <w:b/>
                <w:color w:val="000000"/>
                <w:sz w:val="20"/>
                <w:szCs w:val="20"/>
              </w:rPr>
              <w:t>%</w:t>
            </w:r>
          </w:p>
        </w:tc>
      </w:tr>
      <w:tr w:rsidR="0067694D" w:rsidRPr="00637368" w14:paraId="100A4F27" w14:textId="77777777" w:rsidTr="0067694D">
        <w:trPr>
          <w:trHeight w:val="181"/>
        </w:trPr>
        <w:tc>
          <w:tcPr>
            <w:tcW w:w="230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64FFE480" w14:textId="77777777" w:rsidR="0067694D" w:rsidRPr="00637368" w:rsidRDefault="0067694D" w:rsidP="0067694D">
            <w:pPr>
              <w:rPr>
                <w:sz w:val="20"/>
                <w:szCs w:val="20"/>
              </w:rPr>
            </w:pPr>
            <w:r w:rsidRPr="00637368">
              <w:rPr>
                <w:color w:val="000000"/>
                <w:sz w:val="20"/>
                <w:szCs w:val="20"/>
              </w:rPr>
              <w:t>&lt;=$1,000,000</w:t>
            </w:r>
          </w:p>
        </w:tc>
        <w:tc>
          <w:tcPr>
            <w:tcW w:w="7200"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7EDFCDC" w14:textId="77777777" w:rsidR="0067694D" w:rsidRPr="00637368" w:rsidRDefault="0067694D" w:rsidP="0067694D">
            <w:pPr>
              <w:rPr>
                <w:sz w:val="20"/>
                <w:szCs w:val="20"/>
              </w:rPr>
            </w:pPr>
          </w:p>
        </w:tc>
      </w:tr>
      <w:tr w:rsidR="0067694D" w:rsidRPr="00637368" w14:paraId="7B80BF4B" w14:textId="77777777" w:rsidTr="0067694D">
        <w:trPr>
          <w:trHeight w:val="166"/>
        </w:trPr>
        <w:tc>
          <w:tcPr>
            <w:tcW w:w="2304"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768B4CBA" w14:textId="77777777" w:rsidR="0067694D" w:rsidRPr="00637368" w:rsidRDefault="0067694D" w:rsidP="0067694D">
            <w:pPr>
              <w:jc w:val="right"/>
              <w:rPr>
                <w:sz w:val="20"/>
                <w:szCs w:val="20"/>
              </w:rPr>
            </w:pPr>
            <w:r w:rsidRPr="00637368">
              <w:rPr>
                <w:color w:val="000000"/>
                <w:sz w:val="20"/>
                <w:szCs w:val="20"/>
              </w:rPr>
              <w:t>2018</w:t>
            </w:r>
          </w:p>
        </w:tc>
        <w:tc>
          <w:tcPr>
            <w:tcW w:w="144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90B794C" w14:textId="77777777" w:rsidR="0067694D" w:rsidRPr="00637368" w:rsidRDefault="0067694D" w:rsidP="0067694D">
            <w:pPr>
              <w:jc w:val="center"/>
              <w:rPr>
                <w:sz w:val="20"/>
                <w:szCs w:val="20"/>
              </w:rPr>
            </w:pPr>
            <w:r w:rsidRPr="00637368">
              <w:rPr>
                <w:color w:val="000000"/>
                <w:sz w:val="20"/>
                <w:szCs w:val="20"/>
              </w:rPr>
              <w:t>84.0</w:t>
            </w:r>
          </w:p>
        </w:tc>
        <w:tc>
          <w:tcPr>
            <w:tcW w:w="144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8395105" w14:textId="77777777" w:rsidR="0067694D" w:rsidRPr="00637368" w:rsidRDefault="0067694D" w:rsidP="0067694D">
            <w:pPr>
              <w:jc w:val="center"/>
              <w:rPr>
                <w:sz w:val="20"/>
                <w:szCs w:val="20"/>
              </w:rPr>
            </w:pPr>
            <w:r w:rsidRPr="00637368">
              <w:rPr>
                <w:color w:val="000000"/>
                <w:sz w:val="20"/>
                <w:szCs w:val="20"/>
              </w:rPr>
              <w:t>41.8</w:t>
            </w:r>
          </w:p>
        </w:tc>
        <w:tc>
          <w:tcPr>
            <w:tcW w:w="11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9E602AF" w14:textId="77777777" w:rsidR="0067694D" w:rsidRPr="00637368" w:rsidRDefault="0067694D" w:rsidP="0067694D">
            <w:pPr>
              <w:jc w:val="center"/>
              <w:rPr>
                <w:sz w:val="20"/>
                <w:szCs w:val="20"/>
              </w:rPr>
            </w:pPr>
            <w:r w:rsidRPr="00637368">
              <w:rPr>
                <w:color w:val="000000"/>
                <w:sz w:val="20"/>
                <w:szCs w:val="20"/>
              </w:rPr>
              <w:t>53</w:t>
            </w:r>
          </w:p>
        </w:tc>
        <w:tc>
          <w:tcPr>
            <w:tcW w:w="10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801D38F" w14:textId="77777777" w:rsidR="0067694D" w:rsidRPr="00637368" w:rsidRDefault="0067694D" w:rsidP="0067694D">
            <w:pPr>
              <w:jc w:val="center"/>
              <w:rPr>
                <w:sz w:val="20"/>
                <w:szCs w:val="20"/>
              </w:rPr>
            </w:pPr>
            <w:r w:rsidRPr="00637368">
              <w:rPr>
                <w:color w:val="000000"/>
                <w:sz w:val="20"/>
                <w:szCs w:val="20"/>
              </w:rPr>
              <w:t>40.8</w:t>
            </w:r>
          </w:p>
        </w:tc>
        <w:tc>
          <w:tcPr>
            <w:tcW w:w="11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91DE294" w14:textId="77777777" w:rsidR="0067694D" w:rsidRPr="00637368" w:rsidRDefault="0067694D" w:rsidP="0067694D">
            <w:pPr>
              <w:jc w:val="center"/>
              <w:rPr>
                <w:sz w:val="20"/>
                <w:szCs w:val="20"/>
              </w:rPr>
            </w:pPr>
            <w:r w:rsidRPr="00637368">
              <w:rPr>
                <w:color w:val="000000"/>
                <w:sz w:val="20"/>
                <w:szCs w:val="20"/>
              </w:rPr>
              <w:t>6,052</w:t>
            </w:r>
          </w:p>
        </w:tc>
        <w:tc>
          <w:tcPr>
            <w:tcW w:w="10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A8A0222" w14:textId="77777777" w:rsidR="0067694D" w:rsidRPr="00637368" w:rsidRDefault="0067694D" w:rsidP="0067694D">
            <w:pPr>
              <w:jc w:val="center"/>
              <w:rPr>
                <w:sz w:val="20"/>
                <w:szCs w:val="20"/>
              </w:rPr>
            </w:pPr>
            <w:r w:rsidRPr="00637368">
              <w:rPr>
                <w:color w:val="000000"/>
                <w:sz w:val="20"/>
                <w:szCs w:val="20"/>
              </w:rPr>
              <w:t>28.0</w:t>
            </w:r>
          </w:p>
        </w:tc>
      </w:tr>
      <w:tr w:rsidR="0067694D" w:rsidRPr="00637368" w14:paraId="1373E1A0" w14:textId="77777777" w:rsidTr="0067694D">
        <w:trPr>
          <w:trHeight w:val="166"/>
        </w:trPr>
        <w:tc>
          <w:tcPr>
            <w:tcW w:w="2304"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1537A47F" w14:textId="77777777" w:rsidR="0067694D" w:rsidRPr="00637368" w:rsidRDefault="0067694D" w:rsidP="0067694D">
            <w:pPr>
              <w:jc w:val="right"/>
              <w:rPr>
                <w:sz w:val="20"/>
                <w:szCs w:val="20"/>
              </w:rPr>
            </w:pPr>
            <w:r w:rsidRPr="00637368">
              <w:rPr>
                <w:color w:val="000000"/>
                <w:sz w:val="20"/>
                <w:szCs w:val="20"/>
              </w:rPr>
              <w:t>2019</w:t>
            </w:r>
          </w:p>
        </w:tc>
        <w:tc>
          <w:tcPr>
            <w:tcW w:w="144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2AE668B" w14:textId="77777777" w:rsidR="0067694D" w:rsidRPr="00637368" w:rsidRDefault="0067694D" w:rsidP="0067694D">
            <w:pPr>
              <w:jc w:val="center"/>
              <w:rPr>
                <w:sz w:val="20"/>
                <w:szCs w:val="20"/>
              </w:rPr>
            </w:pPr>
            <w:r w:rsidRPr="00637368">
              <w:rPr>
                <w:color w:val="000000"/>
                <w:sz w:val="20"/>
                <w:szCs w:val="20"/>
              </w:rPr>
              <w:t>85.7</w:t>
            </w:r>
          </w:p>
        </w:tc>
        <w:tc>
          <w:tcPr>
            <w:tcW w:w="144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7A0A422" w14:textId="77777777" w:rsidR="0067694D" w:rsidRPr="00637368" w:rsidRDefault="0067694D" w:rsidP="0067694D">
            <w:pPr>
              <w:jc w:val="center"/>
              <w:rPr>
                <w:sz w:val="20"/>
                <w:szCs w:val="20"/>
              </w:rPr>
            </w:pPr>
            <w:r w:rsidRPr="00637368">
              <w:rPr>
                <w:color w:val="000000"/>
                <w:sz w:val="20"/>
                <w:szCs w:val="20"/>
              </w:rPr>
              <w:t>--</w:t>
            </w:r>
          </w:p>
        </w:tc>
        <w:tc>
          <w:tcPr>
            <w:tcW w:w="11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8C58AAF" w14:textId="77777777" w:rsidR="0067694D" w:rsidRPr="00637368" w:rsidRDefault="0067694D" w:rsidP="0067694D">
            <w:pPr>
              <w:jc w:val="center"/>
              <w:rPr>
                <w:sz w:val="20"/>
                <w:szCs w:val="20"/>
              </w:rPr>
            </w:pPr>
            <w:r w:rsidRPr="00637368">
              <w:rPr>
                <w:color w:val="000000"/>
                <w:sz w:val="20"/>
                <w:szCs w:val="20"/>
              </w:rPr>
              <w:t>50</w:t>
            </w:r>
          </w:p>
        </w:tc>
        <w:tc>
          <w:tcPr>
            <w:tcW w:w="10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D664FB6" w14:textId="77777777" w:rsidR="0067694D" w:rsidRPr="00637368" w:rsidRDefault="0067694D" w:rsidP="0067694D">
            <w:pPr>
              <w:jc w:val="center"/>
              <w:rPr>
                <w:sz w:val="20"/>
                <w:szCs w:val="20"/>
              </w:rPr>
            </w:pPr>
            <w:r w:rsidRPr="00637368">
              <w:rPr>
                <w:color w:val="000000"/>
                <w:sz w:val="20"/>
                <w:szCs w:val="20"/>
              </w:rPr>
              <w:t>17.9</w:t>
            </w:r>
          </w:p>
        </w:tc>
        <w:tc>
          <w:tcPr>
            <w:tcW w:w="11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90CE7EF" w14:textId="77777777" w:rsidR="0067694D" w:rsidRPr="00637368" w:rsidRDefault="0067694D" w:rsidP="0067694D">
            <w:pPr>
              <w:jc w:val="center"/>
              <w:rPr>
                <w:sz w:val="20"/>
                <w:szCs w:val="20"/>
              </w:rPr>
            </w:pPr>
            <w:r w:rsidRPr="00637368">
              <w:rPr>
                <w:color w:val="000000"/>
                <w:sz w:val="20"/>
                <w:szCs w:val="20"/>
              </w:rPr>
              <w:t>6,919</w:t>
            </w:r>
          </w:p>
        </w:tc>
        <w:tc>
          <w:tcPr>
            <w:tcW w:w="10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F2AAE77" w14:textId="77777777" w:rsidR="0067694D" w:rsidRPr="00637368" w:rsidRDefault="0067694D" w:rsidP="0067694D">
            <w:pPr>
              <w:jc w:val="center"/>
              <w:rPr>
                <w:sz w:val="20"/>
                <w:szCs w:val="20"/>
              </w:rPr>
            </w:pPr>
            <w:r w:rsidRPr="00637368">
              <w:rPr>
                <w:color w:val="000000"/>
                <w:sz w:val="20"/>
                <w:szCs w:val="20"/>
              </w:rPr>
              <w:t>24.7</w:t>
            </w:r>
          </w:p>
        </w:tc>
      </w:tr>
      <w:tr w:rsidR="0067694D" w:rsidRPr="00637368" w14:paraId="50865BA0" w14:textId="77777777" w:rsidTr="0067694D">
        <w:trPr>
          <w:trHeight w:val="181"/>
        </w:trPr>
        <w:tc>
          <w:tcPr>
            <w:tcW w:w="230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5FA37B29" w14:textId="67C39330" w:rsidR="0067694D" w:rsidRPr="00637368" w:rsidRDefault="0067694D" w:rsidP="0067694D">
            <w:pPr>
              <w:rPr>
                <w:sz w:val="20"/>
                <w:szCs w:val="20"/>
              </w:rPr>
            </w:pPr>
            <w:r w:rsidRPr="00637368">
              <w:rPr>
                <w:color w:val="000000"/>
                <w:sz w:val="20"/>
                <w:szCs w:val="20"/>
              </w:rPr>
              <w:t>&gt;</w:t>
            </w:r>
            <w:r w:rsidR="000F1A35">
              <w:rPr>
                <w:color w:val="000000"/>
                <w:sz w:val="20"/>
                <w:szCs w:val="20"/>
              </w:rPr>
              <w:t>$</w:t>
            </w:r>
            <w:r w:rsidRPr="00637368">
              <w:rPr>
                <w:color w:val="000000"/>
                <w:sz w:val="20"/>
                <w:szCs w:val="20"/>
              </w:rPr>
              <w:t>1,000,000</w:t>
            </w:r>
          </w:p>
        </w:tc>
        <w:tc>
          <w:tcPr>
            <w:tcW w:w="7200"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DB8AB0A" w14:textId="77777777" w:rsidR="0067694D" w:rsidRPr="00637368" w:rsidRDefault="0067694D" w:rsidP="0067694D">
            <w:pPr>
              <w:rPr>
                <w:sz w:val="20"/>
                <w:szCs w:val="20"/>
              </w:rPr>
            </w:pPr>
          </w:p>
        </w:tc>
      </w:tr>
      <w:tr w:rsidR="0067694D" w:rsidRPr="00637368" w14:paraId="7436A8C3" w14:textId="77777777" w:rsidTr="0067694D">
        <w:trPr>
          <w:trHeight w:val="166"/>
        </w:trPr>
        <w:tc>
          <w:tcPr>
            <w:tcW w:w="2304"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4D75DD6B" w14:textId="77777777" w:rsidR="0067694D" w:rsidRPr="00637368" w:rsidRDefault="0067694D" w:rsidP="0067694D">
            <w:pPr>
              <w:jc w:val="right"/>
              <w:rPr>
                <w:sz w:val="20"/>
                <w:szCs w:val="20"/>
              </w:rPr>
            </w:pPr>
            <w:r w:rsidRPr="00637368">
              <w:rPr>
                <w:color w:val="000000"/>
                <w:sz w:val="20"/>
                <w:szCs w:val="20"/>
              </w:rPr>
              <w:t>2018</w:t>
            </w:r>
          </w:p>
        </w:tc>
        <w:tc>
          <w:tcPr>
            <w:tcW w:w="144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DBC38F9" w14:textId="77777777" w:rsidR="0067694D" w:rsidRPr="00637368" w:rsidRDefault="0067694D" w:rsidP="0067694D">
            <w:pPr>
              <w:jc w:val="center"/>
              <w:rPr>
                <w:sz w:val="20"/>
                <w:szCs w:val="20"/>
              </w:rPr>
            </w:pPr>
            <w:r w:rsidRPr="00637368">
              <w:rPr>
                <w:color w:val="000000"/>
                <w:sz w:val="20"/>
                <w:szCs w:val="20"/>
              </w:rPr>
              <w:t>7.2</w:t>
            </w:r>
          </w:p>
        </w:tc>
        <w:tc>
          <w:tcPr>
            <w:tcW w:w="144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8E27FE5" w14:textId="77777777" w:rsidR="0067694D" w:rsidRPr="00637368" w:rsidRDefault="0067694D" w:rsidP="0067694D">
            <w:pPr>
              <w:jc w:val="center"/>
              <w:rPr>
                <w:sz w:val="20"/>
                <w:szCs w:val="20"/>
              </w:rPr>
            </w:pPr>
            <w:r w:rsidRPr="00637368">
              <w:rPr>
                <w:color w:val="000000"/>
                <w:sz w:val="20"/>
                <w:szCs w:val="20"/>
              </w:rPr>
              <w:t>--</w:t>
            </w:r>
          </w:p>
        </w:tc>
        <w:tc>
          <w:tcPr>
            <w:tcW w:w="11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451736C" w14:textId="77777777" w:rsidR="0067694D" w:rsidRPr="00637368" w:rsidRDefault="0067694D" w:rsidP="0067694D">
            <w:pPr>
              <w:jc w:val="center"/>
              <w:rPr>
                <w:sz w:val="20"/>
                <w:szCs w:val="20"/>
              </w:rPr>
            </w:pPr>
            <w:r w:rsidRPr="00637368">
              <w:rPr>
                <w:color w:val="000000"/>
                <w:sz w:val="20"/>
                <w:szCs w:val="20"/>
              </w:rPr>
              <w:t>75</w:t>
            </w:r>
          </w:p>
        </w:tc>
        <w:tc>
          <w:tcPr>
            <w:tcW w:w="10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3C5BA31" w14:textId="77777777" w:rsidR="0067694D" w:rsidRPr="00637368" w:rsidRDefault="0067694D" w:rsidP="0067694D">
            <w:pPr>
              <w:jc w:val="center"/>
              <w:rPr>
                <w:sz w:val="20"/>
                <w:szCs w:val="20"/>
              </w:rPr>
            </w:pPr>
            <w:r w:rsidRPr="00637368">
              <w:rPr>
                <w:color w:val="000000"/>
                <w:sz w:val="20"/>
                <w:szCs w:val="20"/>
              </w:rPr>
              <w:t>57.7</w:t>
            </w:r>
          </w:p>
        </w:tc>
        <w:tc>
          <w:tcPr>
            <w:tcW w:w="11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384E057" w14:textId="77777777" w:rsidR="0067694D" w:rsidRPr="00637368" w:rsidRDefault="0067694D" w:rsidP="0067694D">
            <w:pPr>
              <w:jc w:val="center"/>
              <w:rPr>
                <w:sz w:val="20"/>
                <w:szCs w:val="20"/>
              </w:rPr>
            </w:pPr>
            <w:r w:rsidRPr="00637368">
              <w:rPr>
                <w:color w:val="000000"/>
                <w:sz w:val="20"/>
                <w:szCs w:val="20"/>
              </w:rPr>
              <w:t>14,800</w:t>
            </w:r>
          </w:p>
        </w:tc>
        <w:tc>
          <w:tcPr>
            <w:tcW w:w="10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B9F2AB9" w14:textId="77777777" w:rsidR="0067694D" w:rsidRPr="00637368" w:rsidRDefault="0067694D" w:rsidP="0067694D">
            <w:pPr>
              <w:jc w:val="center"/>
              <w:rPr>
                <w:sz w:val="20"/>
                <w:szCs w:val="20"/>
              </w:rPr>
            </w:pPr>
            <w:r w:rsidRPr="00637368">
              <w:rPr>
                <w:color w:val="000000"/>
                <w:sz w:val="20"/>
                <w:szCs w:val="20"/>
              </w:rPr>
              <w:t>68.6</w:t>
            </w:r>
          </w:p>
        </w:tc>
      </w:tr>
      <w:tr w:rsidR="0067694D" w:rsidRPr="00637368" w14:paraId="47586BD0" w14:textId="77777777" w:rsidTr="0067694D">
        <w:trPr>
          <w:trHeight w:val="166"/>
        </w:trPr>
        <w:tc>
          <w:tcPr>
            <w:tcW w:w="2304"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6FF52B76" w14:textId="77777777" w:rsidR="0067694D" w:rsidRPr="00637368" w:rsidRDefault="0067694D" w:rsidP="0067694D">
            <w:pPr>
              <w:jc w:val="right"/>
              <w:rPr>
                <w:sz w:val="20"/>
                <w:szCs w:val="20"/>
              </w:rPr>
            </w:pPr>
            <w:r w:rsidRPr="00637368">
              <w:rPr>
                <w:color w:val="000000"/>
                <w:sz w:val="20"/>
                <w:szCs w:val="20"/>
              </w:rPr>
              <w:t>2019</w:t>
            </w:r>
          </w:p>
        </w:tc>
        <w:tc>
          <w:tcPr>
            <w:tcW w:w="144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B9139FE" w14:textId="77777777" w:rsidR="0067694D" w:rsidRPr="00637368" w:rsidRDefault="0067694D" w:rsidP="0067694D">
            <w:pPr>
              <w:jc w:val="center"/>
              <w:rPr>
                <w:sz w:val="20"/>
                <w:szCs w:val="20"/>
              </w:rPr>
            </w:pPr>
            <w:r w:rsidRPr="00637368">
              <w:rPr>
                <w:color w:val="000000"/>
                <w:sz w:val="20"/>
                <w:szCs w:val="20"/>
              </w:rPr>
              <w:t>6.3</w:t>
            </w:r>
          </w:p>
        </w:tc>
        <w:tc>
          <w:tcPr>
            <w:tcW w:w="144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D6A7CF1" w14:textId="77777777" w:rsidR="0067694D" w:rsidRPr="00637368" w:rsidRDefault="0067694D" w:rsidP="0067694D">
            <w:pPr>
              <w:jc w:val="center"/>
              <w:rPr>
                <w:sz w:val="20"/>
                <w:szCs w:val="20"/>
              </w:rPr>
            </w:pPr>
            <w:r w:rsidRPr="00637368">
              <w:rPr>
                <w:color w:val="000000"/>
                <w:sz w:val="20"/>
                <w:szCs w:val="20"/>
              </w:rPr>
              <w:t>--</w:t>
            </w:r>
          </w:p>
        </w:tc>
        <w:tc>
          <w:tcPr>
            <w:tcW w:w="11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948282D" w14:textId="77777777" w:rsidR="0067694D" w:rsidRPr="00637368" w:rsidRDefault="0067694D" w:rsidP="0067694D">
            <w:pPr>
              <w:jc w:val="center"/>
              <w:rPr>
                <w:sz w:val="20"/>
                <w:szCs w:val="20"/>
              </w:rPr>
            </w:pPr>
            <w:r w:rsidRPr="00637368">
              <w:rPr>
                <w:color w:val="000000"/>
                <w:sz w:val="20"/>
                <w:szCs w:val="20"/>
              </w:rPr>
              <w:t>229</w:t>
            </w:r>
          </w:p>
        </w:tc>
        <w:tc>
          <w:tcPr>
            <w:tcW w:w="10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03A45A6" w14:textId="77777777" w:rsidR="0067694D" w:rsidRPr="00637368" w:rsidRDefault="0067694D" w:rsidP="0067694D">
            <w:pPr>
              <w:jc w:val="center"/>
              <w:rPr>
                <w:sz w:val="20"/>
                <w:szCs w:val="20"/>
              </w:rPr>
            </w:pPr>
            <w:r w:rsidRPr="00637368">
              <w:rPr>
                <w:color w:val="000000"/>
                <w:sz w:val="20"/>
                <w:szCs w:val="20"/>
              </w:rPr>
              <w:t>82.1</w:t>
            </w:r>
          </w:p>
        </w:tc>
        <w:tc>
          <w:tcPr>
            <w:tcW w:w="11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68EE286" w14:textId="77777777" w:rsidR="0067694D" w:rsidRPr="00637368" w:rsidRDefault="0067694D" w:rsidP="0067694D">
            <w:pPr>
              <w:jc w:val="center"/>
              <w:rPr>
                <w:sz w:val="20"/>
                <w:szCs w:val="20"/>
              </w:rPr>
            </w:pPr>
            <w:r w:rsidRPr="00637368">
              <w:rPr>
                <w:color w:val="000000"/>
                <w:sz w:val="20"/>
                <w:szCs w:val="20"/>
              </w:rPr>
              <w:t>21,124</w:t>
            </w:r>
          </w:p>
        </w:tc>
        <w:tc>
          <w:tcPr>
            <w:tcW w:w="10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294F3C4" w14:textId="77777777" w:rsidR="0067694D" w:rsidRPr="00637368" w:rsidRDefault="0067694D" w:rsidP="0067694D">
            <w:pPr>
              <w:jc w:val="center"/>
              <w:rPr>
                <w:sz w:val="20"/>
                <w:szCs w:val="20"/>
              </w:rPr>
            </w:pPr>
            <w:r w:rsidRPr="00637368">
              <w:rPr>
                <w:color w:val="000000"/>
                <w:sz w:val="20"/>
                <w:szCs w:val="20"/>
              </w:rPr>
              <w:t>75.3</w:t>
            </w:r>
          </w:p>
        </w:tc>
      </w:tr>
      <w:tr w:rsidR="0067694D" w:rsidRPr="00637368" w14:paraId="7184BD11" w14:textId="77777777" w:rsidTr="0067694D">
        <w:trPr>
          <w:trHeight w:val="181"/>
        </w:trPr>
        <w:tc>
          <w:tcPr>
            <w:tcW w:w="230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262CDA96" w14:textId="77777777" w:rsidR="0067694D" w:rsidRPr="00637368" w:rsidRDefault="0067694D" w:rsidP="0067694D">
            <w:pPr>
              <w:rPr>
                <w:sz w:val="20"/>
                <w:szCs w:val="20"/>
              </w:rPr>
            </w:pPr>
            <w:r w:rsidRPr="00637368">
              <w:rPr>
                <w:color w:val="000000"/>
                <w:sz w:val="20"/>
                <w:szCs w:val="20"/>
              </w:rPr>
              <w:t>Revenue Not Available</w:t>
            </w:r>
          </w:p>
        </w:tc>
        <w:tc>
          <w:tcPr>
            <w:tcW w:w="7200"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1CA8609" w14:textId="77777777" w:rsidR="0067694D" w:rsidRPr="00637368" w:rsidRDefault="0067694D" w:rsidP="0067694D">
            <w:pPr>
              <w:rPr>
                <w:sz w:val="20"/>
                <w:szCs w:val="20"/>
              </w:rPr>
            </w:pPr>
          </w:p>
        </w:tc>
      </w:tr>
      <w:tr w:rsidR="0067694D" w:rsidRPr="00637368" w14:paraId="4BD0F26F" w14:textId="77777777" w:rsidTr="0067694D">
        <w:trPr>
          <w:trHeight w:val="166"/>
        </w:trPr>
        <w:tc>
          <w:tcPr>
            <w:tcW w:w="2304"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0C561F0E" w14:textId="77777777" w:rsidR="0067694D" w:rsidRPr="00637368" w:rsidRDefault="0067694D" w:rsidP="0067694D">
            <w:pPr>
              <w:jc w:val="right"/>
              <w:rPr>
                <w:sz w:val="20"/>
                <w:szCs w:val="20"/>
              </w:rPr>
            </w:pPr>
            <w:r w:rsidRPr="00637368">
              <w:rPr>
                <w:color w:val="000000"/>
                <w:sz w:val="20"/>
                <w:szCs w:val="20"/>
              </w:rPr>
              <w:t>2018</w:t>
            </w:r>
          </w:p>
        </w:tc>
        <w:tc>
          <w:tcPr>
            <w:tcW w:w="144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EF20286" w14:textId="77777777" w:rsidR="0067694D" w:rsidRPr="00637368" w:rsidRDefault="0067694D" w:rsidP="0067694D">
            <w:pPr>
              <w:jc w:val="center"/>
              <w:rPr>
                <w:sz w:val="20"/>
                <w:szCs w:val="20"/>
              </w:rPr>
            </w:pPr>
            <w:r w:rsidRPr="00637368">
              <w:rPr>
                <w:color w:val="000000"/>
                <w:sz w:val="20"/>
                <w:szCs w:val="20"/>
              </w:rPr>
              <w:t>8.8</w:t>
            </w:r>
          </w:p>
        </w:tc>
        <w:tc>
          <w:tcPr>
            <w:tcW w:w="144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557AF7E" w14:textId="77777777" w:rsidR="0067694D" w:rsidRPr="00637368" w:rsidRDefault="0067694D" w:rsidP="0067694D">
            <w:pPr>
              <w:jc w:val="center"/>
              <w:rPr>
                <w:sz w:val="20"/>
                <w:szCs w:val="20"/>
              </w:rPr>
            </w:pPr>
            <w:r w:rsidRPr="00637368">
              <w:rPr>
                <w:color w:val="000000"/>
                <w:sz w:val="20"/>
                <w:szCs w:val="20"/>
              </w:rPr>
              <w:t>--</w:t>
            </w:r>
          </w:p>
        </w:tc>
        <w:tc>
          <w:tcPr>
            <w:tcW w:w="11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FF41BF7" w14:textId="77777777" w:rsidR="0067694D" w:rsidRPr="00637368" w:rsidRDefault="0067694D" w:rsidP="0067694D">
            <w:pPr>
              <w:jc w:val="center"/>
              <w:rPr>
                <w:sz w:val="20"/>
                <w:szCs w:val="20"/>
              </w:rPr>
            </w:pPr>
            <w:r w:rsidRPr="00637368">
              <w:rPr>
                <w:color w:val="000000"/>
                <w:sz w:val="20"/>
                <w:szCs w:val="20"/>
              </w:rPr>
              <w:t>2</w:t>
            </w:r>
          </w:p>
        </w:tc>
        <w:tc>
          <w:tcPr>
            <w:tcW w:w="10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2E18622" w14:textId="77777777" w:rsidR="0067694D" w:rsidRPr="00637368" w:rsidRDefault="0067694D" w:rsidP="0067694D">
            <w:pPr>
              <w:jc w:val="center"/>
              <w:rPr>
                <w:sz w:val="20"/>
                <w:szCs w:val="20"/>
              </w:rPr>
            </w:pPr>
            <w:r w:rsidRPr="00637368">
              <w:rPr>
                <w:color w:val="000000"/>
                <w:sz w:val="20"/>
                <w:szCs w:val="20"/>
              </w:rPr>
              <w:t>1.5</w:t>
            </w:r>
          </w:p>
        </w:tc>
        <w:tc>
          <w:tcPr>
            <w:tcW w:w="11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0E3910E" w14:textId="77777777" w:rsidR="0067694D" w:rsidRPr="00637368" w:rsidRDefault="0067694D" w:rsidP="0067694D">
            <w:pPr>
              <w:jc w:val="center"/>
              <w:rPr>
                <w:sz w:val="20"/>
                <w:szCs w:val="20"/>
              </w:rPr>
            </w:pPr>
            <w:r w:rsidRPr="00637368">
              <w:rPr>
                <w:color w:val="000000"/>
                <w:sz w:val="20"/>
                <w:szCs w:val="20"/>
              </w:rPr>
              <w:t>733</w:t>
            </w:r>
          </w:p>
        </w:tc>
        <w:tc>
          <w:tcPr>
            <w:tcW w:w="10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540A398" w14:textId="77777777" w:rsidR="0067694D" w:rsidRPr="00637368" w:rsidRDefault="0067694D" w:rsidP="0067694D">
            <w:pPr>
              <w:jc w:val="center"/>
              <w:rPr>
                <w:sz w:val="20"/>
                <w:szCs w:val="20"/>
              </w:rPr>
            </w:pPr>
            <w:r w:rsidRPr="00637368">
              <w:rPr>
                <w:color w:val="000000"/>
                <w:sz w:val="20"/>
                <w:szCs w:val="20"/>
              </w:rPr>
              <w:t>3.4</w:t>
            </w:r>
          </w:p>
        </w:tc>
      </w:tr>
      <w:tr w:rsidR="0067694D" w:rsidRPr="00637368" w14:paraId="0BB1F3B2" w14:textId="77777777" w:rsidTr="0067694D">
        <w:trPr>
          <w:trHeight w:val="166"/>
        </w:trPr>
        <w:tc>
          <w:tcPr>
            <w:tcW w:w="2304"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29F15BAD" w14:textId="77777777" w:rsidR="0067694D" w:rsidRPr="00637368" w:rsidRDefault="0067694D" w:rsidP="0067694D">
            <w:pPr>
              <w:jc w:val="right"/>
              <w:rPr>
                <w:sz w:val="20"/>
                <w:szCs w:val="20"/>
              </w:rPr>
            </w:pPr>
            <w:r w:rsidRPr="00637368">
              <w:rPr>
                <w:color w:val="000000"/>
                <w:sz w:val="20"/>
                <w:szCs w:val="20"/>
              </w:rPr>
              <w:t>2019</w:t>
            </w:r>
          </w:p>
        </w:tc>
        <w:tc>
          <w:tcPr>
            <w:tcW w:w="144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B56BD09" w14:textId="77777777" w:rsidR="0067694D" w:rsidRPr="00637368" w:rsidRDefault="0067694D" w:rsidP="0067694D">
            <w:pPr>
              <w:jc w:val="center"/>
              <w:rPr>
                <w:sz w:val="20"/>
                <w:szCs w:val="20"/>
              </w:rPr>
            </w:pPr>
            <w:r w:rsidRPr="00637368">
              <w:rPr>
                <w:color w:val="000000"/>
                <w:sz w:val="20"/>
                <w:szCs w:val="20"/>
              </w:rPr>
              <w:t>8.0</w:t>
            </w:r>
          </w:p>
        </w:tc>
        <w:tc>
          <w:tcPr>
            <w:tcW w:w="144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99EDD29" w14:textId="77777777" w:rsidR="0067694D" w:rsidRPr="00637368" w:rsidRDefault="0067694D" w:rsidP="0067694D">
            <w:pPr>
              <w:jc w:val="center"/>
              <w:rPr>
                <w:sz w:val="20"/>
                <w:szCs w:val="20"/>
              </w:rPr>
            </w:pPr>
            <w:r w:rsidRPr="00637368">
              <w:rPr>
                <w:color w:val="000000"/>
                <w:sz w:val="20"/>
                <w:szCs w:val="20"/>
              </w:rPr>
              <w:t>--</w:t>
            </w:r>
          </w:p>
        </w:tc>
        <w:tc>
          <w:tcPr>
            <w:tcW w:w="11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972E09" w14:textId="77777777" w:rsidR="0067694D" w:rsidRPr="00637368" w:rsidRDefault="0067694D" w:rsidP="0067694D">
            <w:pPr>
              <w:jc w:val="center"/>
              <w:rPr>
                <w:sz w:val="20"/>
                <w:szCs w:val="20"/>
              </w:rPr>
            </w:pPr>
            <w:r w:rsidRPr="00637368">
              <w:rPr>
                <w:color w:val="000000"/>
                <w:sz w:val="20"/>
                <w:szCs w:val="20"/>
              </w:rPr>
              <w:t>0</w:t>
            </w:r>
          </w:p>
        </w:tc>
        <w:tc>
          <w:tcPr>
            <w:tcW w:w="10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8CDD554" w14:textId="77777777" w:rsidR="0067694D" w:rsidRPr="00637368" w:rsidRDefault="0067694D" w:rsidP="0067694D">
            <w:pPr>
              <w:jc w:val="center"/>
              <w:rPr>
                <w:sz w:val="20"/>
                <w:szCs w:val="20"/>
              </w:rPr>
            </w:pPr>
            <w:r w:rsidRPr="00637368">
              <w:rPr>
                <w:color w:val="000000"/>
                <w:sz w:val="20"/>
                <w:szCs w:val="20"/>
              </w:rPr>
              <w:t>0.0</w:t>
            </w:r>
          </w:p>
        </w:tc>
        <w:tc>
          <w:tcPr>
            <w:tcW w:w="11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B7DCAFC" w14:textId="77777777" w:rsidR="0067694D" w:rsidRPr="00637368" w:rsidRDefault="0067694D" w:rsidP="0067694D">
            <w:pPr>
              <w:jc w:val="center"/>
              <w:rPr>
                <w:sz w:val="20"/>
                <w:szCs w:val="20"/>
              </w:rPr>
            </w:pPr>
            <w:r w:rsidRPr="00637368">
              <w:rPr>
                <w:color w:val="000000"/>
                <w:sz w:val="20"/>
                <w:szCs w:val="20"/>
              </w:rPr>
              <w:t>0</w:t>
            </w:r>
          </w:p>
        </w:tc>
        <w:tc>
          <w:tcPr>
            <w:tcW w:w="10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3E10CBA" w14:textId="77777777" w:rsidR="0067694D" w:rsidRPr="00637368" w:rsidRDefault="0067694D" w:rsidP="0067694D">
            <w:pPr>
              <w:jc w:val="center"/>
              <w:rPr>
                <w:sz w:val="20"/>
                <w:szCs w:val="20"/>
              </w:rPr>
            </w:pPr>
            <w:r w:rsidRPr="00637368">
              <w:rPr>
                <w:color w:val="000000"/>
                <w:sz w:val="20"/>
                <w:szCs w:val="20"/>
              </w:rPr>
              <w:t>0.0</w:t>
            </w:r>
          </w:p>
        </w:tc>
      </w:tr>
      <w:tr w:rsidR="0067694D" w:rsidRPr="00637368" w14:paraId="76C7B367" w14:textId="77777777" w:rsidTr="0067694D">
        <w:trPr>
          <w:trHeight w:val="181"/>
        </w:trPr>
        <w:tc>
          <w:tcPr>
            <w:tcW w:w="230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44DEA903" w14:textId="77777777" w:rsidR="0067694D" w:rsidRPr="00637368" w:rsidRDefault="0067694D" w:rsidP="0067694D">
            <w:pPr>
              <w:rPr>
                <w:sz w:val="20"/>
                <w:szCs w:val="20"/>
              </w:rPr>
            </w:pPr>
            <w:r w:rsidRPr="00637368">
              <w:rPr>
                <w:b/>
                <w:color w:val="000000"/>
                <w:sz w:val="20"/>
                <w:szCs w:val="20"/>
              </w:rPr>
              <w:t>Totals</w:t>
            </w:r>
          </w:p>
        </w:tc>
        <w:tc>
          <w:tcPr>
            <w:tcW w:w="7200"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D06BE85" w14:textId="77777777" w:rsidR="0067694D" w:rsidRPr="00637368" w:rsidRDefault="0067694D" w:rsidP="0067694D">
            <w:pPr>
              <w:rPr>
                <w:sz w:val="20"/>
                <w:szCs w:val="20"/>
              </w:rPr>
            </w:pPr>
          </w:p>
        </w:tc>
      </w:tr>
      <w:tr w:rsidR="0067694D" w:rsidRPr="00637368" w14:paraId="4061C630" w14:textId="77777777" w:rsidTr="0067694D">
        <w:trPr>
          <w:trHeight w:val="181"/>
        </w:trPr>
        <w:tc>
          <w:tcPr>
            <w:tcW w:w="2304"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663A745F" w14:textId="77777777" w:rsidR="0067694D" w:rsidRPr="00637368" w:rsidRDefault="0067694D" w:rsidP="0067694D">
            <w:pPr>
              <w:jc w:val="right"/>
              <w:rPr>
                <w:sz w:val="20"/>
                <w:szCs w:val="20"/>
              </w:rPr>
            </w:pPr>
            <w:r w:rsidRPr="00637368">
              <w:rPr>
                <w:b/>
                <w:color w:val="000000"/>
                <w:sz w:val="20"/>
                <w:szCs w:val="20"/>
              </w:rPr>
              <w:t>2018</w:t>
            </w:r>
          </w:p>
        </w:tc>
        <w:tc>
          <w:tcPr>
            <w:tcW w:w="144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B8F4763" w14:textId="77777777" w:rsidR="0067694D" w:rsidRPr="00637368" w:rsidRDefault="0067694D" w:rsidP="0067694D">
            <w:pPr>
              <w:jc w:val="center"/>
              <w:rPr>
                <w:sz w:val="20"/>
                <w:szCs w:val="20"/>
              </w:rPr>
            </w:pPr>
            <w:r w:rsidRPr="00637368">
              <w:rPr>
                <w:b/>
                <w:color w:val="000000"/>
                <w:sz w:val="20"/>
                <w:szCs w:val="20"/>
              </w:rPr>
              <w:t>100.0</w:t>
            </w:r>
          </w:p>
        </w:tc>
        <w:tc>
          <w:tcPr>
            <w:tcW w:w="144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2B289DD" w14:textId="77777777" w:rsidR="0067694D" w:rsidRPr="00637368" w:rsidRDefault="0067694D" w:rsidP="0067694D">
            <w:pPr>
              <w:jc w:val="center"/>
              <w:rPr>
                <w:sz w:val="20"/>
                <w:szCs w:val="20"/>
              </w:rPr>
            </w:pPr>
            <w:r w:rsidRPr="00637368">
              <w:rPr>
                <w:b/>
                <w:color w:val="000000"/>
                <w:sz w:val="20"/>
                <w:szCs w:val="20"/>
              </w:rPr>
              <w:t>100.0</w:t>
            </w:r>
          </w:p>
        </w:tc>
        <w:tc>
          <w:tcPr>
            <w:tcW w:w="11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65FC883" w14:textId="77777777" w:rsidR="0067694D" w:rsidRPr="00637368" w:rsidRDefault="0067694D" w:rsidP="0067694D">
            <w:pPr>
              <w:jc w:val="center"/>
              <w:rPr>
                <w:sz w:val="20"/>
                <w:szCs w:val="20"/>
              </w:rPr>
            </w:pPr>
            <w:r w:rsidRPr="00637368">
              <w:rPr>
                <w:b/>
                <w:color w:val="000000"/>
                <w:sz w:val="20"/>
                <w:szCs w:val="20"/>
              </w:rPr>
              <w:t>130</w:t>
            </w:r>
          </w:p>
        </w:tc>
        <w:tc>
          <w:tcPr>
            <w:tcW w:w="10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39C32B6" w14:textId="77777777" w:rsidR="0067694D" w:rsidRPr="00637368" w:rsidRDefault="0067694D" w:rsidP="0067694D">
            <w:pPr>
              <w:jc w:val="center"/>
              <w:rPr>
                <w:sz w:val="20"/>
                <w:szCs w:val="20"/>
              </w:rPr>
            </w:pPr>
            <w:r w:rsidRPr="00637368">
              <w:rPr>
                <w:b/>
                <w:color w:val="000000"/>
                <w:sz w:val="20"/>
                <w:szCs w:val="20"/>
              </w:rPr>
              <w:t>100.0</w:t>
            </w:r>
          </w:p>
        </w:tc>
        <w:tc>
          <w:tcPr>
            <w:tcW w:w="11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A526A3F" w14:textId="77777777" w:rsidR="0067694D" w:rsidRPr="00637368" w:rsidRDefault="0067694D" w:rsidP="0067694D">
            <w:pPr>
              <w:jc w:val="center"/>
              <w:rPr>
                <w:sz w:val="20"/>
                <w:szCs w:val="20"/>
              </w:rPr>
            </w:pPr>
            <w:r w:rsidRPr="00637368">
              <w:rPr>
                <w:b/>
                <w:color w:val="000000"/>
                <w:sz w:val="20"/>
                <w:szCs w:val="20"/>
              </w:rPr>
              <w:t>21,585</w:t>
            </w:r>
          </w:p>
        </w:tc>
        <w:tc>
          <w:tcPr>
            <w:tcW w:w="10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6C2F5F0" w14:textId="77777777" w:rsidR="0067694D" w:rsidRPr="00637368" w:rsidRDefault="0067694D" w:rsidP="0067694D">
            <w:pPr>
              <w:jc w:val="center"/>
              <w:rPr>
                <w:sz w:val="20"/>
                <w:szCs w:val="20"/>
              </w:rPr>
            </w:pPr>
            <w:r w:rsidRPr="00637368">
              <w:rPr>
                <w:b/>
                <w:color w:val="000000"/>
                <w:sz w:val="20"/>
                <w:szCs w:val="20"/>
              </w:rPr>
              <w:t>100.0</w:t>
            </w:r>
          </w:p>
        </w:tc>
      </w:tr>
      <w:tr w:rsidR="0067694D" w:rsidRPr="00637368" w14:paraId="3BC1350D" w14:textId="77777777" w:rsidTr="0067694D">
        <w:trPr>
          <w:trHeight w:val="181"/>
        </w:trPr>
        <w:tc>
          <w:tcPr>
            <w:tcW w:w="2304"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01FCFCA7" w14:textId="77777777" w:rsidR="0067694D" w:rsidRPr="00637368" w:rsidRDefault="0067694D" w:rsidP="0067694D">
            <w:pPr>
              <w:jc w:val="right"/>
              <w:rPr>
                <w:sz w:val="20"/>
                <w:szCs w:val="20"/>
              </w:rPr>
            </w:pPr>
            <w:r w:rsidRPr="00637368">
              <w:rPr>
                <w:b/>
                <w:color w:val="000000"/>
                <w:sz w:val="20"/>
                <w:szCs w:val="20"/>
              </w:rPr>
              <w:t>2019</w:t>
            </w:r>
          </w:p>
        </w:tc>
        <w:tc>
          <w:tcPr>
            <w:tcW w:w="144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17544A5" w14:textId="77777777" w:rsidR="0067694D" w:rsidRPr="00637368" w:rsidRDefault="0067694D" w:rsidP="0067694D">
            <w:pPr>
              <w:jc w:val="center"/>
              <w:rPr>
                <w:sz w:val="20"/>
                <w:szCs w:val="20"/>
              </w:rPr>
            </w:pPr>
            <w:r w:rsidRPr="00637368">
              <w:rPr>
                <w:b/>
                <w:color w:val="000000"/>
                <w:sz w:val="20"/>
                <w:szCs w:val="20"/>
              </w:rPr>
              <w:t>100.0</w:t>
            </w:r>
          </w:p>
        </w:tc>
        <w:tc>
          <w:tcPr>
            <w:tcW w:w="144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AD74DB3" w14:textId="77777777" w:rsidR="0067694D" w:rsidRPr="00637368" w:rsidRDefault="0067694D" w:rsidP="0067694D">
            <w:pPr>
              <w:jc w:val="center"/>
              <w:rPr>
                <w:sz w:val="20"/>
                <w:szCs w:val="20"/>
              </w:rPr>
            </w:pPr>
            <w:r w:rsidRPr="00637368">
              <w:rPr>
                <w:b/>
                <w:color w:val="000000"/>
                <w:sz w:val="20"/>
                <w:szCs w:val="20"/>
              </w:rPr>
              <w:t>--</w:t>
            </w:r>
          </w:p>
        </w:tc>
        <w:tc>
          <w:tcPr>
            <w:tcW w:w="11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0CCC21D" w14:textId="77777777" w:rsidR="0067694D" w:rsidRPr="00637368" w:rsidRDefault="0067694D" w:rsidP="0067694D">
            <w:pPr>
              <w:jc w:val="center"/>
              <w:rPr>
                <w:sz w:val="20"/>
                <w:szCs w:val="20"/>
              </w:rPr>
            </w:pPr>
            <w:r w:rsidRPr="00637368">
              <w:rPr>
                <w:b/>
                <w:color w:val="000000"/>
                <w:sz w:val="20"/>
                <w:szCs w:val="20"/>
              </w:rPr>
              <w:t>279</w:t>
            </w:r>
          </w:p>
        </w:tc>
        <w:tc>
          <w:tcPr>
            <w:tcW w:w="10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A3FB691" w14:textId="77777777" w:rsidR="0067694D" w:rsidRPr="00637368" w:rsidRDefault="0067694D" w:rsidP="0067694D">
            <w:pPr>
              <w:jc w:val="center"/>
              <w:rPr>
                <w:sz w:val="20"/>
                <w:szCs w:val="20"/>
              </w:rPr>
            </w:pPr>
            <w:r w:rsidRPr="00637368">
              <w:rPr>
                <w:b/>
                <w:color w:val="000000"/>
                <w:sz w:val="20"/>
                <w:szCs w:val="20"/>
              </w:rPr>
              <w:t>100.0</w:t>
            </w:r>
          </w:p>
        </w:tc>
        <w:tc>
          <w:tcPr>
            <w:tcW w:w="11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94B9EF5" w14:textId="77777777" w:rsidR="0067694D" w:rsidRPr="00637368" w:rsidRDefault="0067694D" w:rsidP="0067694D">
            <w:pPr>
              <w:jc w:val="center"/>
              <w:rPr>
                <w:sz w:val="20"/>
                <w:szCs w:val="20"/>
              </w:rPr>
            </w:pPr>
            <w:r w:rsidRPr="00637368">
              <w:rPr>
                <w:b/>
                <w:color w:val="000000"/>
                <w:sz w:val="20"/>
                <w:szCs w:val="20"/>
              </w:rPr>
              <w:t>28,043</w:t>
            </w:r>
          </w:p>
        </w:tc>
        <w:tc>
          <w:tcPr>
            <w:tcW w:w="10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51E0562" w14:textId="77777777" w:rsidR="0067694D" w:rsidRPr="00637368" w:rsidRDefault="0067694D" w:rsidP="0067694D">
            <w:pPr>
              <w:jc w:val="center"/>
              <w:rPr>
                <w:sz w:val="20"/>
                <w:szCs w:val="20"/>
              </w:rPr>
            </w:pPr>
            <w:r w:rsidRPr="00637368">
              <w:rPr>
                <w:b/>
                <w:color w:val="000000"/>
                <w:sz w:val="20"/>
                <w:szCs w:val="20"/>
              </w:rPr>
              <w:t>100.0</w:t>
            </w:r>
          </w:p>
        </w:tc>
      </w:tr>
      <w:tr w:rsidR="0067694D" w:rsidRPr="00637368" w14:paraId="78FEF2C6" w14:textId="77777777" w:rsidTr="0067694D">
        <w:trPr>
          <w:trHeight w:val="428"/>
        </w:trPr>
        <w:tc>
          <w:tcPr>
            <w:tcW w:w="9504" w:type="dxa"/>
            <w:gridSpan w:val="7"/>
            <w:tcBorders>
              <w:top w:val="single" w:sz="7" w:space="0" w:color="000000"/>
              <w:left w:val="single" w:sz="7" w:space="0" w:color="000000"/>
              <w:bottom w:val="single" w:sz="7" w:space="0" w:color="000000"/>
              <w:right w:val="single" w:sz="7" w:space="0" w:color="000000"/>
            </w:tcBorders>
            <w:tcMar>
              <w:top w:w="59" w:type="dxa"/>
              <w:left w:w="39" w:type="dxa"/>
              <w:bottom w:w="39" w:type="dxa"/>
              <w:right w:w="39" w:type="dxa"/>
            </w:tcMar>
          </w:tcPr>
          <w:p w14:paraId="7E1D1341" w14:textId="77777777" w:rsidR="0067694D" w:rsidRPr="00637368" w:rsidRDefault="0067694D" w:rsidP="0067694D">
            <w:pPr>
              <w:rPr>
                <w:sz w:val="20"/>
                <w:szCs w:val="20"/>
              </w:rPr>
            </w:pPr>
            <w:r w:rsidRPr="00637368">
              <w:rPr>
                <w:i/>
                <w:color w:val="000000"/>
                <w:sz w:val="16"/>
                <w:szCs w:val="20"/>
              </w:rPr>
              <w:t>Source: 2018 &amp; 2019 D&amp;B Data; 1/1/2018 - 12/31/2019 Bank Data; 2018 CRA Aggregate Data; "--" data not available.</w:t>
            </w:r>
          </w:p>
          <w:p w14:paraId="3C789528" w14:textId="77777777" w:rsidR="0067694D" w:rsidRPr="00637368" w:rsidRDefault="0067694D" w:rsidP="0067694D">
            <w:pPr>
              <w:rPr>
                <w:sz w:val="20"/>
                <w:szCs w:val="20"/>
              </w:rPr>
            </w:pPr>
            <w:r w:rsidRPr="00637368">
              <w:rPr>
                <w:i/>
                <w:color w:val="000000"/>
                <w:sz w:val="16"/>
                <w:szCs w:val="20"/>
              </w:rPr>
              <w:t>Due to rounding, totals may not equal 100.0</w:t>
            </w:r>
          </w:p>
        </w:tc>
      </w:tr>
    </w:tbl>
    <w:p w14:paraId="67B48E90" w14:textId="77777777" w:rsidR="0067694D" w:rsidRDefault="0067694D" w:rsidP="0067694D">
      <w:pPr>
        <w:rPr>
          <w:bCs/>
        </w:rPr>
      </w:pPr>
    </w:p>
    <w:p w14:paraId="533291D3" w14:textId="61B501B1" w:rsidR="00C25A47" w:rsidRPr="00520574" w:rsidRDefault="00C25A47" w:rsidP="00C25A47">
      <w:pPr>
        <w:rPr>
          <w:b/>
          <w:bCs/>
          <w:u w:val="single"/>
        </w:rPr>
      </w:pPr>
      <w:r w:rsidRPr="00520574">
        <w:rPr>
          <w:b/>
          <w:bCs/>
          <w:u w:val="single"/>
        </w:rPr>
        <w:t xml:space="preserve">Innovative </w:t>
      </w:r>
      <w:r>
        <w:rPr>
          <w:b/>
          <w:bCs/>
          <w:u w:val="single"/>
        </w:rPr>
        <w:t>and</w:t>
      </w:r>
      <w:r w:rsidRPr="00520574">
        <w:rPr>
          <w:b/>
          <w:bCs/>
          <w:u w:val="single"/>
        </w:rPr>
        <w:t xml:space="preserve"> Flexible Lending Practices</w:t>
      </w:r>
    </w:p>
    <w:p w14:paraId="561123C4" w14:textId="77777777" w:rsidR="00C25A47" w:rsidRDefault="00C25A47" w:rsidP="00C25A47">
      <w:pPr>
        <w:rPr>
          <w:bCs/>
        </w:rPr>
      </w:pPr>
    </w:p>
    <w:p w14:paraId="1693D6A3" w14:textId="37E00E57" w:rsidR="005707D0" w:rsidRDefault="00171EBC" w:rsidP="00C25A47">
      <w:pPr>
        <w:rPr>
          <w:rFonts w:eastAsia="Calibri"/>
        </w:rPr>
      </w:pPr>
      <w:r>
        <w:rPr>
          <w:rFonts w:eastAsia="Calibri"/>
        </w:rPr>
        <w:t xml:space="preserve">NBTC </w:t>
      </w:r>
      <w:r w:rsidR="00C25A47" w:rsidRPr="00D97BB5">
        <w:rPr>
          <w:rFonts w:eastAsia="Calibri"/>
        </w:rPr>
        <w:t>uses innovative and</w:t>
      </w:r>
      <w:r w:rsidR="000F1A35">
        <w:rPr>
          <w:rFonts w:eastAsia="Calibri"/>
        </w:rPr>
        <w:t>/or</w:t>
      </w:r>
      <w:r w:rsidR="00C25A47" w:rsidRPr="00D97BB5">
        <w:rPr>
          <w:rFonts w:eastAsia="Calibri"/>
        </w:rPr>
        <w:t xml:space="preserve"> flexible lending programs </w:t>
      </w:r>
      <w:r w:rsidR="007935A9">
        <w:rPr>
          <w:rFonts w:eastAsia="Calibri"/>
        </w:rPr>
        <w:t>to serve assessment area credit needs</w:t>
      </w:r>
      <w:r w:rsidR="000701F4">
        <w:rPr>
          <w:rFonts w:eastAsia="Calibri"/>
        </w:rPr>
        <w:t xml:space="preserve">.  </w:t>
      </w:r>
      <w:r w:rsidR="007935A9">
        <w:rPr>
          <w:rFonts w:eastAsia="Calibri"/>
        </w:rPr>
        <w:t>T</w:t>
      </w:r>
      <w:r w:rsidR="00C25A47" w:rsidRPr="00D97BB5">
        <w:rPr>
          <w:rFonts w:eastAsia="Calibri"/>
        </w:rPr>
        <w:t>he bank originated 120 innovati</w:t>
      </w:r>
      <w:r w:rsidR="00C25A47">
        <w:rPr>
          <w:rFonts w:eastAsia="Calibri"/>
        </w:rPr>
        <w:t>ve</w:t>
      </w:r>
      <w:r w:rsidR="00C25A47" w:rsidRPr="00D97BB5">
        <w:rPr>
          <w:rFonts w:eastAsia="Calibri"/>
        </w:rPr>
        <w:t xml:space="preserve"> </w:t>
      </w:r>
      <w:r w:rsidR="00AA6EDE">
        <w:rPr>
          <w:rFonts w:eastAsia="Calibri"/>
        </w:rPr>
        <w:t xml:space="preserve">and </w:t>
      </w:r>
      <w:r w:rsidR="00C25A47" w:rsidRPr="00D97BB5">
        <w:rPr>
          <w:rFonts w:eastAsia="Calibri"/>
        </w:rPr>
        <w:t xml:space="preserve">flexible loans </w:t>
      </w:r>
      <w:r w:rsidR="00C25A47">
        <w:rPr>
          <w:rFonts w:eastAsia="Calibri"/>
        </w:rPr>
        <w:t>totaling approximately</w:t>
      </w:r>
      <w:r w:rsidR="00C25A47" w:rsidRPr="00D97BB5">
        <w:rPr>
          <w:rFonts w:eastAsia="Calibri"/>
        </w:rPr>
        <w:t xml:space="preserve"> $40.</w:t>
      </w:r>
      <w:r w:rsidR="00C25A47">
        <w:rPr>
          <w:rFonts w:eastAsia="Calibri"/>
        </w:rPr>
        <w:t>2</w:t>
      </w:r>
      <w:r w:rsidR="008D23E2">
        <w:rPr>
          <w:rFonts w:eastAsia="Calibri"/>
        </w:rPr>
        <w:t xml:space="preserve"> million.  </w:t>
      </w:r>
      <w:r w:rsidR="00A46D14">
        <w:rPr>
          <w:rFonts w:eastAsia="Calibri"/>
        </w:rPr>
        <w:t xml:space="preserve">Compared to the previous examination, innovative and flexible loans increased 27.7 percent from 94 loans and doubled in total dollar amount from $20.0 million.  </w:t>
      </w:r>
      <w:r w:rsidR="008F3505">
        <w:rPr>
          <w:rFonts w:eastAsia="Calibri"/>
        </w:rPr>
        <w:t xml:space="preserve">The </w:t>
      </w:r>
      <w:r w:rsidR="007935A9">
        <w:rPr>
          <w:rFonts w:eastAsia="Calibri"/>
        </w:rPr>
        <w:t>programs</w:t>
      </w:r>
      <w:r w:rsidR="00AA6EDE">
        <w:rPr>
          <w:rFonts w:eastAsia="Calibri"/>
        </w:rPr>
        <w:t xml:space="preserve"> </w:t>
      </w:r>
      <w:r w:rsidR="00C21B34">
        <w:rPr>
          <w:rFonts w:eastAsia="Calibri"/>
        </w:rPr>
        <w:t>are primarily</w:t>
      </w:r>
      <w:r w:rsidR="008F3505">
        <w:rPr>
          <w:rFonts w:eastAsia="Calibri"/>
        </w:rPr>
        <w:t xml:space="preserve"> </w:t>
      </w:r>
      <w:r w:rsidR="00C25A47" w:rsidRPr="00D97BB5">
        <w:rPr>
          <w:rFonts w:eastAsia="Calibri"/>
        </w:rPr>
        <w:t>government</w:t>
      </w:r>
      <w:r w:rsidR="007935A9">
        <w:rPr>
          <w:rFonts w:eastAsia="Calibri"/>
        </w:rPr>
        <w:t>-related subsidies and loan guarantees</w:t>
      </w:r>
      <w:r w:rsidR="00AA6EDE">
        <w:rPr>
          <w:rFonts w:eastAsia="Calibri"/>
        </w:rPr>
        <w:t>,</w:t>
      </w:r>
      <w:r w:rsidR="00C25A47" w:rsidRPr="00D97BB5">
        <w:rPr>
          <w:rFonts w:eastAsia="Calibri"/>
        </w:rPr>
        <w:t xml:space="preserve"> including Mass</w:t>
      </w:r>
      <w:r w:rsidR="000F1A35">
        <w:rPr>
          <w:rFonts w:eastAsia="Calibri"/>
        </w:rPr>
        <w:t>achusetts</w:t>
      </w:r>
      <w:r w:rsidR="00C25A47" w:rsidRPr="00D97BB5">
        <w:rPr>
          <w:rFonts w:eastAsia="Calibri"/>
        </w:rPr>
        <w:t xml:space="preserve"> Housing</w:t>
      </w:r>
      <w:r w:rsidR="00AA6EDE">
        <w:rPr>
          <w:rFonts w:eastAsia="Calibri"/>
        </w:rPr>
        <w:t xml:space="preserve"> programs</w:t>
      </w:r>
      <w:r w:rsidR="00C25A47" w:rsidRPr="00D97BB5">
        <w:rPr>
          <w:rFonts w:eastAsia="Calibri"/>
        </w:rPr>
        <w:t>, Federal Housing Administration</w:t>
      </w:r>
      <w:r w:rsidR="00AA6EDE">
        <w:rPr>
          <w:rFonts w:eastAsia="Calibri"/>
        </w:rPr>
        <w:t xml:space="preserve"> (FHA)</w:t>
      </w:r>
      <w:r w:rsidR="00C25A47" w:rsidRPr="00D97BB5">
        <w:rPr>
          <w:rFonts w:eastAsia="Calibri"/>
        </w:rPr>
        <w:t>, Veterans Affairs</w:t>
      </w:r>
      <w:r w:rsidR="00AA6EDE">
        <w:rPr>
          <w:rFonts w:eastAsia="Calibri"/>
        </w:rPr>
        <w:t xml:space="preserve"> </w:t>
      </w:r>
      <w:r w:rsidR="00AA6EDE" w:rsidRPr="00AA6EDE">
        <w:rPr>
          <w:rFonts w:eastAsia="Calibri"/>
        </w:rPr>
        <w:t>(VA)</w:t>
      </w:r>
      <w:r w:rsidR="00C25A47" w:rsidRPr="00AA6EDE">
        <w:rPr>
          <w:rFonts w:eastAsia="Calibri"/>
        </w:rPr>
        <w:t>, and the Small Business Association</w:t>
      </w:r>
      <w:r w:rsidR="00A46D14">
        <w:rPr>
          <w:rFonts w:eastAsia="Calibri"/>
        </w:rPr>
        <w:t xml:space="preserve"> (SBA)</w:t>
      </w:r>
      <w:r w:rsidR="000A287D">
        <w:rPr>
          <w:rFonts w:eastAsia="Calibri"/>
        </w:rPr>
        <w:t xml:space="preserve">.  </w:t>
      </w:r>
      <w:r w:rsidR="00C21B34">
        <w:rPr>
          <w:rFonts w:eastAsia="Calibri"/>
        </w:rPr>
        <w:t>Of</w:t>
      </w:r>
      <w:r w:rsidR="00A46D14">
        <w:rPr>
          <w:rFonts w:eastAsia="Calibri"/>
        </w:rPr>
        <w:t xml:space="preserve"> the</w:t>
      </w:r>
      <w:r w:rsidR="00BF4CDA">
        <w:rPr>
          <w:rFonts w:eastAsia="Calibri"/>
        </w:rPr>
        <w:t xml:space="preserve"> </w:t>
      </w:r>
      <w:r w:rsidR="00A46D14">
        <w:rPr>
          <w:rFonts w:eastAsia="Calibri"/>
        </w:rPr>
        <w:t xml:space="preserve">120 loans, </w:t>
      </w:r>
      <w:r w:rsidR="005807D4">
        <w:rPr>
          <w:rFonts w:eastAsia="Calibri"/>
        </w:rPr>
        <w:t xml:space="preserve">37 </w:t>
      </w:r>
      <w:r w:rsidR="00A46D14">
        <w:rPr>
          <w:rFonts w:eastAsia="Calibri"/>
        </w:rPr>
        <w:t xml:space="preserve">were SBA loans totaling $20.0 million compared to </w:t>
      </w:r>
      <w:r w:rsidR="000A287D">
        <w:rPr>
          <w:rFonts w:eastAsia="Calibri"/>
        </w:rPr>
        <w:t xml:space="preserve">one </w:t>
      </w:r>
      <w:r w:rsidR="00A46D14">
        <w:rPr>
          <w:rFonts w:eastAsia="Calibri"/>
        </w:rPr>
        <w:t>SBA loan for $195,000 at the previous examination.</w:t>
      </w:r>
    </w:p>
    <w:p w14:paraId="64EDD4CF" w14:textId="77777777" w:rsidR="005807D4" w:rsidRDefault="005807D4" w:rsidP="00C25A47">
      <w:pPr>
        <w:rPr>
          <w:rFonts w:eastAsia="Calibri"/>
        </w:rPr>
      </w:pPr>
    </w:p>
    <w:p w14:paraId="3DE8EC6E" w14:textId="33D1BC25" w:rsidR="00AA6EDE" w:rsidRDefault="00A46D14" w:rsidP="00C25A47">
      <w:pPr>
        <w:rPr>
          <w:rFonts w:eastAsia="Calibri"/>
        </w:rPr>
      </w:pPr>
      <w:r>
        <w:rPr>
          <w:rFonts w:eastAsia="Calibri"/>
        </w:rPr>
        <w:t>NBTC compared</w:t>
      </w:r>
      <w:r w:rsidR="00AA2CFB">
        <w:rPr>
          <w:rFonts w:eastAsia="Calibri"/>
        </w:rPr>
        <w:t xml:space="preserve"> favorably to similarly situated banks</w:t>
      </w:r>
      <w:r w:rsidR="00700C4D">
        <w:rPr>
          <w:rFonts w:eastAsia="Calibri"/>
        </w:rPr>
        <w:t xml:space="preserve"> such as</w:t>
      </w:r>
      <w:r w:rsidR="00AA2CFB">
        <w:rPr>
          <w:rFonts w:eastAsia="Calibri"/>
        </w:rPr>
        <w:t xml:space="preserve"> </w:t>
      </w:r>
      <w:proofErr w:type="spellStart"/>
      <w:r>
        <w:rPr>
          <w:rFonts w:eastAsia="Calibri"/>
        </w:rPr>
        <w:t>Avidia</w:t>
      </w:r>
      <w:proofErr w:type="spellEnd"/>
      <w:r>
        <w:rPr>
          <w:rFonts w:eastAsia="Calibri"/>
        </w:rPr>
        <w:t xml:space="preserve"> Bank, </w:t>
      </w:r>
      <w:r w:rsidR="00AA2CFB">
        <w:rPr>
          <w:rFonts w:eastAsia="Calibri"/>
        </w:rPr>
        <w:t>The Lowell Five Cents Savings Bank, and Enterprise Bank.</w:t>
      </w:r>
      <w:r w:rsidR="000701F4">
        <w:rPr>
          <w:rFonts w:eastAsia="Calibri"/>
        </w:rPr>
        <w:t xml:space="preserve">  </w:t>
      </w:r>
      <w:r w:rsidR="005707D0">
        <w:rPr>
          <w:rFonts w:eastAsia="Calibri"/>
        </w:rPr>
        <w:t xml:space="preserve">  </w:t>
      </w:r>
    </w:p>
    <w:p w14:paraId="7FF46C50" w14:textId="77777777" w:rsidR="00A46D14" w:rsidRDefault="00A46D14" w:rsidP="00C25A47">
      <w:pPr>
        <w:rPr>
          <w:rFonts w:eastAsia="Calibri"/>
        </w:rPr>
      </w:pPr>
    </w:p>
    <w:p w14:paraId="6A96076B" w14:textId="5526A117" w:rsidR="00C25A47" w:rsidRDefault="00C25A47" w:rsidP="00C25A47">
      <w:pPr>
        <w:rPr>
          <w:rFonts w:eastAsia="Calibri"/>
        </w:rPr>
      </w:pPr>
      <w:r w:rsidRPr="00AA6EDE">
        <w:rPr>
          <w:rFonts w:eastAsia="Calibri"/>
        </w:rPr>
        <w:t>The following table summarizes the bank’s innovative and flexible lending programs.</w:t>
      </w:r>
      <w:r w:rsidR="00AA6EDE">
        <w:rPr>
          <w:rFonts w:eastAsia="Calibri"/>
        </w:rPr>
        <w:t xml:space="preserve">  </w:t>
      </w:r>
    </w:p>
    <w:p w14:paraId="1D84F426" w14:textId="77777777" w:rsidR="00AA2CFB" w:rsidRPr="00C25A47" w:rsidRDefault="00AA2CFB" w:rsidP="00C25A47">
      <w:pPr>
        <w:rPr>
          <w:rFonts w:eastAsia="Calibri"/>
          <w:sz w:val="20"/>
          <w:szCs w:val="20"/>
        </w:rPr>
      </w:pPr>
    </w:p>
    <w:tbl>
      <w:tblPr>
        <w:tblStyle w:val="TableGrid3"/>
        <w:tblW w:w="5243" w:type="pct"/>
        <w:tblLayout w:type="fixed"/>
        <w:tblLook w:val="0000" w:firstRow="0" w:lastRow="0" w:firstColumn="0" w:lastColumn="0" w:noHBand="0" w:noVBand="0"/>
        <w:tblCaption w:val="Large Bank Innovate or Flexible Lending Programs"/>
      </w:tblPr>
      <w:tblGrid>
        <w:gridCol w:w="2542"/>
        <w:gridCol w:w="512"/>
        <w:gridCol w:w="933"/>
        <w:gridCol w:w="596"/>
        <w:gridCol w:w="849"/>
        <w:gridCol w:w="596"/>
        <w:gridCol w:w="851"/>
        <w:gridCol w:w="596"/>
        <w:gridCol w:w="886"/>
        <w:gridCol w:w="541"/>
        <w:gridCol w:w="902"/>
      </w:tblGrid>
      <w:tr w:rsidR="00C25A47" w:rsidRPr="00C25A47" w14:paraId="6CCC3265" w14:textId="77777777" w:rsidTr="00AA6EDE">
        <w:trPr>
          <w:trHeight w:hRule="exact" w:val="360"/>
          <w:tblHeader/>
        </w:trPr>
        <w:tc>
          <w:tcPr>
            <w:tcW w:w="5000" w:type="pct"/>
            <w:gridSpan w:val="11"/>
          </w:tcPr>
          <w:p w14:paraId="18A77F52" w14:textId="2C9B38A1" w:rsidR="00C25A47" w:rsidRPr="00C25A47" w:rsidRDefault="00C25A47" w:rsidP="00553183">
            <w:pPr>
              <w:keepNext/>
              <w:spacing w:before="60" w:after="60"/>
              <w:jc w:val="center"/>
              <w:rPr>
                <w:b/>
                <w:color w:val="000000"/>
                <w:sz w:val="20"/>
                <w:szCs w:val="20"/>
              </w:rPr>
            </w:pPr>
            <w:r w:rsidRPr="00C25A47">
              <w:rPr>
                <w:bCs/>
                <w:sz w:val="20"/>
                <w:szCs w:val="20"/>
              </w:rPr>
              <w:lastRenderedPageBreak/>
              <w:t xml:space="preserve"> </w:t>
            </w:r>
            <w:r w:rsidR="00553183">
              <w:rPr>
                <w:b/>
                <w:color w:val="000000"/>
                <w:sz w:val="20"/>
                <w:szCs w:val="20"/>
              </w:rPr>
              <w:t>Innovative or</w:t>
            </w:r>
            <w:r w:rsidRPr="00C25A47">
              <w:rPr>
                <w:b/>
                <w:color w:val="000000"/>
                <w:sz w:val="20"/>
                <w:szCs w:val="20"/>
              </w:rPr>
              <w:t xml:space="preserve"> Flexible Lending Programs</w:t>
            </w:r>
          </w:p>
        </w:tc>
      </w:tr>
      <w:tr w:rsidR="00C25A47" w:rsidRPr="00C25A47" w14:paraId="46161DBE" w14:textId="77777777" w:rsidTr="00AA6EDE">
        <w:trPr>
          <w:trHeight w:val="288"/>
        </w:trPr>
        <w:tc>
          <w:tcPr>
            <w:tcW w:w="1296" w:type="pct"/>
            <w:vMerge w:val="restart"/>
          </w:tcPr>
          <w:p w14:paraId="70B64313" w14:textId="77777777" w:rsidR="00C25A47" w:rsidRPr="00C25A47" w:rsidRDefault="00C25A47" w:rsidP="00553183">
            <w:pPr>
              <w:keepNext/>
              <w:spacing w:before="120" w:after="120"/>
              <w:rPr>
                <w:b/>
                <w:color w:val="000000"/>
                <w:sz w:val="20"/>
                <w:szCs w:val="20"/>
              </w:rPr>
            </w:pPr>
            <w:r w:rsidRPr="00C25A47">
              <w:rPr>
                <w:b/>
                <w:color w:val="000000"/>
                <w:sz w:val="20"/>
                <w:szCs w:val="20"/>
              </w:rPr>
              <w:t>Type of Program</w:t>
            </w:r>
          </w:p>
        </w:tc>
        <w:tc>
          <w:tcPr>
            <w:tcW w:w="737" w:type="pct"/>
            <w:gridSpan w:val="2"/>
          </w:tcPr>
          <w:p w14:paraId="1B382FCF" w14:textId="51536770" w:rsidR="00C25A47" w:rsidRPr="00C25A47" w:rsidRDefault="00553183" w:rsidP="00553183">
            <w:pPr>
              <w:keepNext/>
              <w:spacing w:before="60" w:after="60"/>
              <w:jc w:val="center"/>
              <w:rPr>
                <w:b/>
                <w:color w:val="000000"/>
                <w:sz w:val="20"/>
                <w:szCs w:val="20"/>
              </w:rPr>
            </w:pPr>
            <w:r>
              <w:rPr>
                <w:b/>
                <w:color w:val="000000"/>
                <w:sz w:val="20"/>
                <w:szCs w:val="20"/>
              </w:rPr>
              <w:t xml:space="preserve"> </w:t>
            </w:r>
            <w:r w:rsidR="00C25A47" w:rsidRPr="00C25A47">
              <w:rPr>
                <w:b/>
                <w:color w:val="000000"/>
                <w:sz w:val="20"/>
                <w:szCs w:val="20"/>
              </w:rPr>
              <w:t>2017</w:t>
            </w:r>
            <w:r>
              <w:rPr>
                <w:b/>
                <w:color w:val="000000"/>
                <w:sz w:val="20"/>
                <w:szCs w:val="20"/>
              </w:rPr>
              <w:t xml:space="preserve"> </w:t>
            </w:r>
          </w:p>
        </w:tc>
        <w:tc>
          <w:tcPr>
            <w:tcW w:w="737" w:type="pct"/>
            <w:gridSpan w:val="2"/>
          </w:tcPr>
          <w:p w14:paraId="558ECE12" w14:textId="77777777" w:rsidR="00C25A47" w:rsidRPr="00C25A47" w:rsidRDefault="00C25A47" w:rsidP="00553183">
            <w:pPr>
              <w:keepNext/>
              <w:spacing w:before="60" w:after="60"/>
              <w:jc w:val="center"/>
              <w:rPr>
                <w:b/>
                <w:color w:val="000000"/>
                <w:sz w:val="20"/>
                <w:szCs w:val="20"/>
              </w:rPr>
            </w:pPr>
            <w:r w:rsidRPr="00C25A47">
              <w:rPr>
                <w:b/>
                <w:color w:val="000000"/>
                <w:sz w:val="20"/>
                <w:szCs w:val="20"/>
              </w:rPr>
              <w:t>2018</w:t>
            </w:r>
          </w:p>
        </w:tc>
        <w:tc>
          <w:tcPr>
            <w:tcW w:w="738" w:type="pct"/>
            <w:gridSpan w:val="2"/>
          </w:tcPr>
          <w:p w14:paraId="62847961" w14:textId="77777777" w:rsidR="00C25A47" w:rsidRPr="00C25A47" w:rsidRDefault="00C25A47" w:rsidP="00553183">
            <w:pPr>
              <w:keepNext/>
              <w:spacing w:before="60" w:after="60"/>
              <w:jc w:val="center"/>
              <w:rPr>
                <w:b/>
                <w:color w:val="000000"/>
                <w:sz w:val="20"/>
                <w:szCs w:val="20"/>
              </w:rPr>
            </w:pPr>
            <w:r w:rsidRPr="00C25A47">
              <w:rPr>
                <w:b/>
                <w:color w:val="000000"/>
                <w:sz w:val="20"/>
                <w:szCs w:val="20"/>
              </w:rPr>
              <w:t>2019</w:t>
            </w:r>
          </w:p>
        </w:tc>
        <w:tc>
          <w:tcPr>
            <w:tcW w:w="756" w:type="pct"/>
            <w:gridSpan w:val="2"/>
          </w:tcPr>
          <w:p w14:paraId="0F316D36" w14:textId="07B40849" w:rsidR="00C25A47" w:rsidRPr="00C25A47" w:rsidRDefault="00C25A47" w:rsidP="00553183">
            <w:pPr>
              <w:keepNext/>
              <w:spacing w:before="60" w:after="60"/>
              <w:jc w:val="center"/>
              <w:rPr>
                <w:b/>
                <w:color w:val="000000"/>
                <w:sz w:val="20"/>
                <w:szCs w:val="20"/>
              </w:rPr>
            </w:pPr>
            <w:r w:rsidRPr="00C25A47">
              <w:rPr>
                <w:b/>
                <w:color w:val="000000"/>
                <w:sz w:val="20"/>
                <w:szCs w:val="20"/>
              </w:rPr>
              <w:t>2020</w:t>
            </w:r>
          </w:p>
        </w:tc>
        <w:tc>
          <w:tcPr>
            <w:tcW w:w="735" w:type="pct"/>
            <w:gridSpan w:val="2"/>
          </w:tcPr>
          <w:p w14:paraId="76376477" w14:textId="77777777" w:rsidR="00C25A47" w:rsidRPr="00C25A47" w:rsidRDefault="00C25A47" w:rsidP="00553183">
            <w:pPr>
              <w:keepNext/>
              <w:spacing w:before="60" w:after="60"/>
              <w:jc w:val="center"/>
              <w:rPr>
                <w:b/>
                <w:color w:val="000000"/>
                <w:sz w:val="20"/>
                <w:szCs w:val="20"/>
              </w:rPr>
            </w:pPr>
            <w:r w:rsidRPr="00C25A47">
              <w:rPr>
                <w:b/>
                <w:color w:val="000000"/>
                <w:sz w:val="20"/>
                <w:szCs w:val="20"/>
              </w:rPr>
              <w:t>Totals</w:t>
            </w:r>
          </w:p>
        </w:tc>
      </w:tr>
      <w:tr w:rsidR="00AA6EDE" w:rsidRPr="00C25A47" w14:paraId="73454CC9" w14:textId="77777777" w:rsidTr="00AA6EDE">
        <w:trPr>
          <w:trHeight w:val="288"/>
        </w:trPr>
        <w:tc>
          <w:tcPr>
            <w:tcW w:w="1296" w:type="pct"/>
            <w:vMerge/>
          </w:tcPr>
          <w:p w14:paraId="597FED3F" w14:textId="77777777" w:rsidR="00C25A47" w:rsidRPr="00C25A47" w:rsidRDefault="00C25A47" w:rsidP="00553183">
            <w:pPr>
              <w:keepNext/>
              <w:spacing w:before="120" w:after="120"/>
              <w:ind w:right="-648"/>
              <w:rPr>
                <w:i/>
                <w:color w:val="000000"/>
                <w:sz w:val="20"/>
                <w:szCs w:val="20"/>
              </w:rPr>
            </w:pPr>
          </w:p>
        </w:tc>
        <w:tc>
          <w:tcPr>
            <w:tcW w:w="261" w:type="pct"/>
          </w:tcPr>
          <w:p w14:paraId="1BBD60F5" w14:textId="77777777" w:rsidR="00C25A47" w:rsidRPr="00C25A47" w:rsidRDefault="00C25A47" w:rsidP="00553183">
            <w:pPr>
              <w:keepNext/>
              <w:jc w:val="center"/>
              <w:rPr>
                <w:b/>
                <w:color w:val="000000"/>
                <w:sz w:val="20"/>
                <w:szCs w:val="20"/>
              </w:rPr>
            </w:pPr>
            <w:r w:rsidRPr="00C25A47">
              <w:rPr>
                <w:b/>
                <w:color w:val="000000"/>
                <w:sz w:val="20"/>
                <w:szCs w:val="20"/>
              </w:rPr>
              <w:t>#</w:t>
            </w:r>
          </w:p>
        </w:tc>
        <w:tc>
          <w:tcPr>
            <w:tcW w:w="476" w:type="pct"/>
          </w:tcPr>
          <w:p w14:paraId="4B3D4D07" w14:textId="77777777" w:rsidR="00C25A47" w:rsidRPr="00C25A47" w:rsidRDefault="00C25A47" w:rsidP="00553183">
            <w:pPr>
              <w:keepNext/>
              <w:jc w:val="center"/>
              <w:rPr>
                <w:b/>
                <w:color w:val="000000"/>
                <w:sz w:val="20"/>
                <w:szCs w:val="20"/>
              </w:rPr>
            </w:pPr>
            <w:r w:rsidRPr="00C25A47">
              <w:rPr>
                <w:b/>
                <w:color w:val="000000"/>
                <w:sz w:val="20"/>
                <w:szCs w:val="20"/>
              </w:rPr>
              <w:t>$(000s)</w:t>
            </w:r>
          </w:p>
        </w:tc>
        <w:tc>
          <w:tcPr>
            <w:tcW w:w="304" w:type="pct"/>
          </w:tcPr>
          <w:p w14:paraId="09C0DDF6" w14:textId="77777777" w:rsidR="00C25A47" w:rsidRPr="00C25A47" w:rsidRDefault="00C25A47" w:rsidP="00553183">
            <w:pPr>
              <w:keepNext/>
              <w:jc w:val="center"/>
              <w:rPr>
                <w:b/>
                <w:color w:val="000000"/>
                <w:sz w:val="20"/>
                <w:szCs w:val="20"/>
              </w:rPr>
            </w:pPr>
            <w:r w:rsidRPr="00C25A47">
              <w:rPr>
                <w:b/>
                <w:color w:val="000000"/>
                <w:sz w:val="20"/>
                <w:szCs w:val="20"/>
              </w:rPr>
              <w:t>#</w:t>
            </w:r>
          </w:p>
        </w:tc>
        <w:tc>
          <w:tcPr>
            <w:tcW w:w="433" w:type="pct"/>
          </w:tcPr>
          <w:p w14:paraId="470FE6BB" w14:textId="77777777" w:rsidR="00C25A47" w:rsidRPr="00C25A47" w:rsidRDefault="00C25A47" w:rsidP="00553183">
            <w:pPr>
              <w:keepNext/>
              <w:jc w:val="center"/>
              <w:rPr>
                <w:b/>
                <w:color w:val="000000"/>
                <w:sz w:val="20"/>
                <w:szCs w:val="20"/>
              </w:rPr>
            </w:pPr>
            <w:r w:rsidRPr="00C25A47">
              <w:rPr>
                <w:b/>
                <w:color w:val="000000"/>
                <w:sz w:val="20"/>
                <w:szCs w:val="20"/>
              </w:rPr>
              <w:t>$(000s)</w:t>
            </w:r>
          </w:p>
        </w:tc>
        <w:tc>
          <w:tcPr>
            <w:tcW w:w="304" w:type="pct"/>
          </w:tcPr>
          <w:p w14:paraId="48136EE5" w14:textId="77777777" w:rsidR="00C25A47" w:rsidRPr="00C25A47" w:rsidRDefault="00C25A47" w:rsidP="00553183">
            <w:pPr>
              <w:keepNext/>
              <w:jc w:val="center"/>
              <w:rPr>
                <w:b/>
                <w:color w:val="000000"/>
                <w:sz w:val="20"/>
                <w:szCs w:val="20"/>
              </w:rPr>
            </w:pPr>
            <w:r w:rsidRPr="00C25A47">
              <w:rPr>
                <w:b/>
                <w:color w:val="000000"/>
                <w:sz w:val="20"/>
                <w:szCs w:val="20"/>
              </w:rPr>
              <w:t>#</w:t>
            </w:r>
          </w:p>
        </w:tc>
        <w:tc>
          <w:tcPr>
            <w:tcW w:w="434" w:type="pct"/>
          </w:tcPr>
          <w:p w14:paraId="2C9234AA" w14:textId="77777777" w:rsidR="00C25A47" w:rsidRPr="00C25A47" w:rsidRDefault="00C25A47" w:rsidP="00553183">
            <w:pPr>
              <w:keepNext/>
              <w:jc w:val="center"/>
              <w:rPr>
                <w:b/>
                <w:color w:val="000000"/>
                <w:sz w:val="20"/>
                <w:szCs w:val="20"/>
              </w:rPr>
            </w:pPr>
            <w:r w:rsidRPr="00C25A47">
              <w:rPr>
                <w:b/>
                <w:color w:val="000000"/>
                <w:sz w:val="20"/>
                <w:szCs w:val="20"/>
              </w:rPr>
              <w:t>$(000s)</w:t>
            </w:r>
          </w:p>
        </w:tc>
        <w:tc>
          <w:tcPr>
            <w:tcW w:w="304" w:type="pct"/>
          </w:tcPr>
          <w:p w14:paraId="7FFB1FB1" w14:textId="77777777" w:rsidR="00C25A47" w:rsidRPr="00C25A47" w:rsidRDefault="00C25A47" w:rsidP="00553183">
            <w:pPr>
              <w:keepNext/>
              <w:jc w:val="center"/>
              <w:rPr>
                <w:b/>
                <w:color w:val="000000"/>
                <w:sz w:val="20"/>
                <w:szCs w:val="20"/>
              </w:rPr>
            </w:pPr>
            <w:r w:rsidRPr="00C25A47">
              <w:rPr>
                <w:b/>
                <w:color w:val="000000"/>
                <w:sz w:val="20"/>
                <w:szCs w:val="20"/>
              </w:rPr>
              <w:t>#</w:t>
            </w:r>
          </w:p>
        </w:tc>
        <w:tc>
          <w:tcPr>
            <w:tcW w:w="452" w:type="pct"/>
          </w:tcPr>
          <w:p w14:paraId="5FFBC382" w14:textId="77777777" w:rsidR="00C25A47" w:rsidRPr="00C25A47" w:rsidRDefault="00C25A47" w:rsidP="00553183">
            <w:pPr>
              <w:keepNext/>
              <w:jc w:val="center"/>
              <w:rPr>
                <w:b/>
                <w:color w:val="000000"/>
                <w:sz w:val="20"/>
                <w:szCs w:val="20"/>
              </w:rPr>
            </w:pPr>
            <w:r w:rsidRPr="00C25A47">
              <w:rPr>
                <w:b/>
                <w:color w:val="000000"/>
                <w:sz w:val="20"/>
                <w:szCs w:val="20"/>
              </w:rPr>
              <w:t>$(000s)</w:t>
            </w:r>
          </w:p>
        </w:tc>
        <w:tc>
          <w:tcPr>
            <w:tcW w:w="276" w:type="pct"/>
          </w:tcPr>
          <w:p w14:paraId="588835F4" w14:textId="77777777" w:rsidR="00C25A47" w:rsidRPr="00C25A47" w:rsidRDefault="00C25A47" w:rsidP="00553183">
            <w:pPr>
              <w:keepNext/>
              <w:jc w:val="center"/>
              <w:rPr>
                <w:b/>
                <w:color w:val="000000"/>
                <w:sz w:val="20"/>
                <w:szCs w:val="20"/>
              </w:rPr>
            </w:pPr>
            <w:r w:rsidRPr="00C25A47">
              <w:rPr>
                <w:b/>
                <w:color w:val="000000"/>
                <w:sz w:val="20"/>
                <w:szCs w:val="20"/>
              </w:rPr>
              <w:t>#</w:t>
            </w:r>
          </w:p>
        </w:tc>
        <w:tc>
          <w:tcPr>
            <w:tcW w:w="459" w:type="pct"/>
          </w:tcPr>
          <w:p w14:paraId="7C8AC8C6" w14:textId="77777777" w:rsidR="00C25A47" w:rsidRPr="00C25A47" w:rsidRDefault="00C25A47" w:rsidP="00553183">
            <w:pPr>
              <w:keepNext/>
              <w:jc w:val="center"/>
              <w:rPr>
                <w:b/>
                <w:color w:val="000000"/>
                <w:sz w:val="20"/>
                <w:szCs w:val="20"/>
              </w:rPr>
            </w:pPr>
            <w:r w:rsidRPr="00C25A47">
              <w:rPr>
                <w:b/>
                <w:color w:val="000000"/>
                <w:sz w:val="20"/>
                <w:szCs w:val="20"/>
              </w:rPr>
              <w:t>$(000s)</w:t>
            </w:r>
          </w:p>
        </w:tc>
      </w:tr>
      <w:tr w:rsidR="00C25A47" w:rsidRPr="00C25A47" w14:paraId="3ECD0C3B" w14:textId="77777777" w:rsidTr="00AA6EDE">
        <w:trPr>
          <w:trHeight w:val="288"/>
        </w:trPr>
        <w:tc>
          <w:tcPr>
            <w:tcW w:w="5000" w:type="pct"/>
            <w:gridSpan w:val="11"/>
          </w:tcPr>
          <w:p w14:paraId="449FBAC6" w14:textId="77777777" w:rsidR="00C25A47" w:rsidRPr="00C25A47" w:rsidRDefault="00C25A47" w:rsidP="00553183">
            <w:pPr>
              <w:keepNext/>
              <w:tabs>
                <w:tab w:val="right" w:pos="654"/>
              </w:tabs>
              <w:rPr>
                <w:b/>
                <w:color w:val="000000"/>
                <w:sz w:val="20"/>
                <w:szCs w:val="20"/>
              </w:rPr>
            </w:pPr>
            <w:r w:rsidRPr="00C25A47">
              <w:rPr>
                <w:b/>
                <w:color w:val="000000"/>
                <w:sz w:val="20"/>
                <w:szCs w:val="20"/>
              </w:rPr>
              <w:t>Residential</w:t>
            </w:r>
          </w:p>
        </w:tc>
      </w:tr>
      <w:tr w:rsidR="00AA6EDE" w:rsidRPr="00C25A47" w14:paraId="6D3EA353" w14:textId="77777777" w:rsidTr="00AA6EDE">
        <w:trPr>
          <w:trHeight w:val="288"/>
        </w:trPr>
        <w:tc>
          <w:tcPr>
            <w:tcW w:w="1296" w:type="pct"/>
          </w:tcPr>
          <w:p w14:paraId="5B5B0627" w14:textId="77777777" w:rsidR="00C25A47" w:rsidRPr="00C25A47" w:rsidRDefault="00C25A47" w:rsidP="00553183">
            <w:pPr>
              <w:keepNext/>
              <w:rPr>
                <w:color w:val="000000"/>
                <w:sz w:val="20"/>
                <w:szCs w:val="20"/>
              </w:rPr>
            </w:pPr>
            <w:proofErr w:type="spellStart"/>
            <w:r w:rsidRPr="00C25A47">
              <w:rPr>
                <w:color w:val="000000"/>
                <w:sz w:val="20"/>
                <w:szCs w:val="20"/>
              </w:rPr>
              <w:t>MassHousing</w:t>
            </w:r>
            <w:proofErr w:type="spellEnd"/>
            <w:r w:rsidRPr="00C25A47">
              <w:rPr>
                <w:color w:val="000000"/>
                <w:sz w:val="20"/>
                <w:szCs w:val="20"/>
              </w:rPr>
              <w:t xml:space="preserve"> Partnership (MHP) ONE Mortgage</w:t>
            </w:r>
          </w:p>
        </w:tc>
        <w:tc>
          <w:tcPr>
            <w:tcW w:w="261" w:type="pct"/>
            <w:shd w:val="clear" w:color="auto" w:fill="auto"/>
            <w:vAlign w:val="center"/>
          </w:tcPr>
          <w:p w14:paraId="4E07F463" w14:textId="77777777" w:rsidR="00C25A47" w:rsidRPr="00C25A47" w:rsidRDefault="00C25A47" w:rsidP="00553183">
            <w:pPr>
              <w:tabs>
                <w:tab w:val="right" w:pos="452"/>
              </w:tabs>
              <w:jc w:val="center"/>
              <w:rPr>
                <w:color w:val="000000"/>
                <w:sz w:val="20"/>
                <w:szCs w:val="20"/>
              </w:rPr>
            </w:pPr>
            <w:r w:rsidRPr="00C25A47">
              <w:rPr>
                <w:color w:val="000000"/>
                <w:sz w:val="20"/>
                <w:szCs w:val="20"/>
              </w:rPr>
              <w:t>1</w:t>
            </w:r>
          </w:p>
        </w:tc>
        <w:tc>
          <w:tcPr>
            <w:tcW w:w="476" w:type="pct"/>
            <w:shd w:val="clear" w:color="auto" w:fill="auto"/>
            <w:vAlign w:val="center"/>
          </w:tcPr>
          <w:p w14:paraId="22375B39" w14:textId="77777777" w:rsidR="00C25A47" w:rsidRPr="00C25A47" w:rsidRDefault="00C25A47" w:rsidP="00553183">
            <w:pPr>
              <w:tabs>
                <w:tab w:val="right" w:pos="663"/>
              </w:tabs>
              <w:jc w:val="center"/>
              <w:rPr>
                <w:color w:val="000000"/>
                <w:sz w:val="20"/>
                <w:szCs w:val="20"/>
              </w:rPr>
            </w:pPr>
            <w:r w:rsidRPr="00C25A47">
              <w:rPr>
                <w:color w:val="000000"/>
                <w:sz w:val="20"/>
                <w:szCs w:val="20"/>
              </w:rPr>
              <w:t>134</w:t>
            </w:r>
          </w:p>
        </w:tc>
        <w:tc>
          <w:tcPr>
            <w:tcW w:w="304" w:type="pct"/>
            <w:shd w:val="clear" w:color="auto" w:fill="auto"/>
            <w:vAlign w:val="center"/>
          </w:tcPr>
          <w:p w14:paraId="40B36AB4" w14:textId="77777777" w:rsidR="00C25A47" w:rsidRPr="00C25A47" w:rsidRDefault="00C25A47" w:rsidP="00553183">
            <w:pPr>
              <w:tabs>
                <w:tab w:val="right" w:pos="514"/>
              </w:tabs>
              <w:jc w:val="center"/>
              <w:rPr>
                <w:color w:val="000000"/>
                <w:sz w:val="20"/>
                <w:szCs w:val="20"/>
              </w:rPr>
            </w:pPr>
            <w:r w:rsidRPr="00C25A47">
              <w:rPr>
                <w:color w:val="000000"/>
                <w:sz w:val="20"/>
                <w:szCs w:val="20"/>
              </w:rPr>
              <w:t>30</w:t>
            </w:r>
          </w:p>
        </w:tc>
        <w:tc>
          <w:tcPr>
            <w:tcW w:w="433" w:type="pct"/>
            <w:shd w:val="clear" w:color="auto" w:fill="auto"/>
            <w:vAlign w:val="center"/>
          </w:tcPr>
          <w:p w14:paraId="3E1162CB" w14:textId="77777777" w:rsidR="00C25A47" w:rsidRPr="00C25A47" w:rsidRDefault="00C25A47" w:rsidP="00553183">
            <w:pPr>
              <w:tabs>
                <w:tab w:val="right" w:pos="590"/>
              </w:tabs>
              <w:jc w:val="center"/>
              <w:rPr>
                <w:color w:val="000000"/>
                <w:sz w:val="20"/>
                <w:szCs w:val="20"/>
              </w:rPr>
            </w:pPr>
            <w:r w:rsidRPr="00C25A47">
              <w:rPr>
                <w:color w:val="000000"/>
                <w:sz w:val="20"/>
                <w:szCs w:val="20"/>
              </w:rPr>
              <w:t>5,763</w:t>
            </w:r>
          </w:p>
        </w:tc>
        <w:tc>
          <w:tcPr>
            <w:tcW w:w="304" w:type="pct"/>
            <w:shd w:val="clear" w:color="auto" w:fill="auto"/>
            <w:vAlign w:val="center"/>
          </w:tcPr>
          <w:p w14:paraId="3C07D2B3" w14:textId="77777777" w:rsidR="00C25A47" w:rsidRPr="00C25A47" w:rsidRDefault="00C25A47" w:rsidP="00553183">
            <w:pPr>
              <w:tabs>
                <w:tab w:val="right" w:pos="501"/>
              </w:tabs>
              <w:jc w:val="center"/>
              <w:rPr>
                <w:color w:val="000000"/>
                <w:sz w:val="20"/>
                <w:szCs w:val="20"/>
              </w:rPr>
            </w:pPr>
            <w:r w:rsidRPr="00C25A47">
              <w:rPr>
                <w:color w:val="000000"/>
                <w:sz w:val="20"/>
                <w:szCs w:val="20"/>
              </w:rPr>
              <w:t>19</w:t>
            </w:r>
          </w:p>
        </w:tc>
        <w:tc>
          <w:tcPr>
            <w:tcW w:w="434" w:type="pct"/>
            <w:shd w:val="clear" w:color="auto" w:fill="auto"/>
            <w:vAlign w:val="center"/>
          </w:tcPr>
          <w:p w14:paraId="132AE569" w14:textId="77777777" w:rsidR="00C25A47" w:rsidRPr="00C25A47" w:rsidRDefault="00C25A47" w:rsidP="00553183">
            <w:pPr>
              <w:tabs>
                <w:tab w:val="right" w:pos="501"/>
              </w:tabs>
              <w:jc w:val="center"/>
              <w:rPr>
                <w:color w:val="000000"/>
                <w:sz w:val="20"/>
                <w:szCs w:val="20"/>
              </w:rPr>
            </w:pPr>
            <w:r w:rsidRPr="00C25A47">
              <w:rPr>
                <w:color w:val="000000"/>
                <w:sz w:val="20"/>
                <w:szCs w:val="20"/>
              </w:rPr>
              <w:t>3,674</w:t>
            </w:r>
          </w:p>
        </w:tc>
        <w:tc>
          <w:tcPr>
            <w:tcW w:w="304" w:type="pct"/>
            <w:shd w:val="clear" w:color="auto" w:fill="auto"/>
            <w:vAlign w:val="center"/>
          </w:tcPr>
          <w:p w14:paraId="6FAFB273" w14:textId="77777777" w:rsidR="00C25A47" w:rsidRPr="00C25A47" w:rsidRDefault="00C25A47" w:rsidP="00553183">
            <w:pPr>
              <w:tabs>
                <w:tab w:val="right" w:pos="501"/>
              </w:tabs>
              <w:jc w:val="center"/>
              <w:rPr>
                <w:color w:val="000000"/>
                <w:sz w:val="20"/>
                <w:szCs w:val="20"/>
              </w:rPr>
            </w:pPr>
            <w:r w:rsidRPr="00C25A47">
              <w:rPr>
                <w:color w:val="000000"/>
                <w:sz w:val="20"/>
                <w:szCs w:val="20"/>
              </w:rPr>
              <w:t>5</w:t>
            </w:r>
          </w:p>
        </w:tc>
        <w:tc>
          <w:tcPr>
            <w:tcW w:w="452" w:type="pct"/>
            <w:shd w:val="clear" w:color="auto" w:fill="auto"/>
            <w:vAlign w:val="center"/>
          </w:tcPr>
          <w:p w14:paraId="425DE6A7" w14:textId="77777777" w:rsidR="00C25A47" w:rsidRPr="00C25A47" w:rsidRDefault="00C25A47" w:rsidP="00553183">
            <w:pPr>
              <w:tabs>
                <w:tab w:val="right" w:pos="501"/>
              </w:tabs>
              <w:jc w:val="center"/>
              <w:rPr>
                <w:color w:val="000000"/>
                <w:sz w:val="20"/>
                <w:szCs w:val="20"/>
              </w:rPr>
            </w:pPr>
            <w:r w:rsidRPr="00C25A47">
              <w:rPr>
                <w:color w:val="000000"/>
                <w:sz w:val="20"/>
                <w:szCs w:val="20"/>
              </w:rPr>
              <w:t>831</w:t>
            </w:r>
          </w:p>
        </w:tc>
        <w:tc>
          <w:tcPr>
            <w:tcW w:w="276" w:type="pct"/>
            <w:shd w:val="clear" w:color="auto" w:fill="auto"/>
            <w:vAlign w:val="center"/>
          </w:tcPr>
          <w:p w14:paraId="27667EB1" w14:textId="77777777" w:rsidR="00C25A47" w:rsidRPr="00C25A47" w:rsidRDefault="00C25A47" w:rsidP="00553183">
            <w:pPr>
              <w:tabs>
                <w:tab w:val="right" w:pos="573"/>
              </w:tabs>
              <w:jc w:val="center"/>
              <w:rPr>
                <w:b/>
                <w:color w:val="000000"/>
                <w:sz w:val="20"/>
                <w:szCs w:val="20"/>
              </w:rPr>
            </w:pPr>
            <w:r w:rsidRPr="00C25A47">
              <w:rPr>
                <w:b/>
                <w:color w:val="000000"/>
                <w:sz w:val="20"/>
                <w:szCs w:val="20"/>
              </w:rPr>
              <w:t>55</w:t>
            </w:r>
          </w:p>
        </w:tc>
        <w:tc>
          <w:tcPr>
            <w:tcW w:w="459" w:type="pct"/>
            <w:shd w:val="clear" w:color="auto" w:fill="auto"/>
            <w:vAlign w:val="center"/>
          </w:tcPr>
          <w:p w14:paraId="221726F7" w14:textId="77777777" w:rsidR="00C25A47" w:rsidRPr="00C25A47" w:rsidRDefault="00C25A47" w:rsidP="00553183">
            <w:pPr>
              <w:tabs>
                <w:tab w:val="right" w:pos="654"/>
              </w:tabs>
              <w:jc w:val="center"/>
              <w:rPr>
                <w:b/>
                <w:color w:val="000000"/>
                <w:sz w:val="20"/>
                <w:szCs w:val="20"/>
              </w:rPr>
            </w:pPr>
            <w:r w:rsidRPr="00C25A47">
              <w:rPr>
                <w:b/>
                <w:color w:val="000000"/>
                <w:sz w:val="20"/>
                <w:szCs w:val="20"/>
              </w:rPr>
              <w:t>10,402</w:t>
            </w:r>
          </w:p>
        </w:tc>
      </w:tr>
      <w:tr w:rsidR="00AA6EDE" w:rsidRPr="00C25A47" w14:paraId="2FDBE218" w14:textId="77777777" w:rsidTr="00AA6EDE">
        <w:trPr>
          <w:trHeight w:val="288"/>
        </w:trPr>
        <w:tc>
          <w:tcPr>
            <w:tcW w:w="1296" w:type="pct"/>
          </w:tcPr>
          <w:p w14:paraId="170C9FF1" w14:textId="77777777" w:rsidR="00C25A47" w:rsidRPr="00C25A47" w:rsidRDefault="00C25A47" w:rsidP="00553183">
            <w:pPr>
              <w:keepNext/>
              <w:rPr>
                <w:color w:val="000000"/>
                <w:sz w:val="20"/>
                <w:szCs w:val="20"/>
              </w:rPr>
            </w:pPr>
            <w:proofErr w:type="spellStart"/>
            <w:r w:rsidRPr="00C25A47">
              <w:rPr>
                <w:color w:val="000000"/>
                <w:sz w:val="20"/>
                <w:szCs w:val="20"/>
              </w:rPr>
              <w:t>MassHousing</w:t>
            </w:r>
            <w:proofErr w:type="spellEnd"/>
            <w:r w:rsidRPr="00C25A47">
              <w:rPr>
                <w:color w:val="000000"/>
                <w:sz w:val="20"/>
                <w:szCs w:val="20"/>
              </w:rPr>
              <w:t xml:space="preserve"> Mortgage</w:t>
            </w:r>
          </w:p>
        </w:tc>
        <w:tc>
          <w:tcPr>
            <w:tcW w:w="261" w:type="pct"/>
            <w:shd w:val="clear" w:color="auto" w:fill="auto"/>
            <w:vAlign w:val="center"/>
          </w:tcPr>
          <w:p w14:paraId="5A608C88" w14:textId="77777777" w:rsidR="00C25A47" w:rsidRPr="00C25A47" w:rsidRDefault="00C25A47" w:rsidP="00553183">
            <w:pPr>
              <w:tabs>
                <w:tab w:val="right" w:pos="452"/>
              </w:tabs>
              <w:jc w:val="center"/>
              <w:rPr>
                <w:color w:val="000000"/>
                <w:sz w:val="20"/>
                <w:szCs w:val="20"/>
              </w:rPr>
            </w:pPr>
            <w:r w:rsidRPr="00C25A47">
              <w:rPr>
                <w:color w:val="000000"/>
                <w:sz w:val="20"/>
                <w:szCs w:val="20"/>
              </w:rPr>
              <w:t>0</w:t>
            </w:r>
          </w:p>
        </w:tc>
        <w:tc>
          <w:tcPr>
            <w:tcW w:w="476" w:type="pct"/>
            <w:shd w:val="clear" w:color="auto" w:fill="auto"/>
            <w:vAlign w:val="center"/>
          </w:tcPr>
          <w:p w14:paraId="44FC2F26" w14:textId="77777777" w:rsidR="00C25A47" w:rsidRPr="00C25A47" w:rsidRDefault="00C25A47" w:rsidP="00553183">
            <w:pPr>
              <w:tabs>
                <w:tab w:val="right" w:pos="663"/>
              </w:tabs>
              <w:jc w:val="center"/>
              <w:rPr>
                <w:color w:val="000000"/>
                <w:sz w:val="20"/>
                <w:szCs w:val="20"/>
              </w:rPr>
            </w:pPr>
            <w:r w:rsidRPr="00C25A47">
              <w:rPr>
                <w:color w:val="000000"/>
                <w:sz w:val="20"/>
                <w:szCs w:val="20"/>
              </w:rPr>
              <w:t>0</w:t>
            </w:r>
          </w:p>
        </w:tc>
        <w:tc>
          <w:tcPr>
            <w:tcW w:w="304" w:type="pct"/>
            <w:shd w:val="clear" w:color="auto" w:fill="auto"/>
            <w:vAlign w:val="center"/>
          </w:tcPr>
          <w:p w14:paraId="19A9944E" w14:textId="77777777" w:rsidR="00C25A47" w:rsidRPr="00C25A47" w:rsidRDefault="00C25A47" w:rsidP="00553183">
            <w:pPr>
              <w:tabs>
                <w:tab w:val="right" w:pos="514"/>
              </w:tabs>
              <w:jc w:val="center"/>
              <w:rPr>
                <w:color w:val="000000"/>
                <w:sz w:val="20"/>
                <w:szCs w:val="20"/>
              </w:rPr>
            </w:pPr>
            <w:r w:rsidRPr="00C25A47">
              <w:rPr>
                <w:color w:val="000000"/>
                <w:sz w:val="20"/>
                <w:szCs w:val="20"/>
              </w:rPr>
              <w:t>5</w:t>
            </w:r>
          </w:p>
        </w:tc>
        <w:tc>
          <w:tcPr>
            <w:tcW w:w="433" w:type="pct"/>
            <w:shd w:val="clear" w:color="auto" w:fill="auto"/>
            <w:vAlign w:val="center"/>
          </w:tcPr>
          <w:p w14:paraId="19AB4376" w14:textId="77777777" w:rsidR="00C25A47" w:rsidRPr="00C25A47" w:rsidRDefault="00C25A47" w:rsidP="00553183">
            <w:pPr>
              <w:tabs>
                <w:tab w:val="right" w:pos="590"/>
              </w:tabs>
              <w:jc w:val="center"/>
              <w:rPr>
                <w:color w:val="000000"/>
                <w:sz w:val="20"/>
                <w:szCs w:val="20"/>
              </w:rPr>
            </w:pPr>
            <w:r w:rsidRPr="00C25A47">
              <w:rPr>
                <w:color w:val="000000"/>
                <w:sz w:val="20"/>
                <w:szCs w:val="20"/>
              </w:rPr>
              <w:t>1,729</w:t>
            </w:r>
          </w:p>
        </w:tc>
        <w:tc>
          <w:tcPr>
            <w:tcW w:w="304" w:type="pct"/>
            <w:shd w:val="clear" w:color="auto" w:fill="auto"/>
            <w:vAlign w:val="center"/>
          </w:tcPr>
          <w:p w14:paraId="5A47D883" w14:textId="77777777" w:rsidR="00C25A47" w:rsidRPr="00C25A47" w:rsidRDefault="00C25A47" w:rsidP="00553183">
            <w:pPr>
              <w:tabs>
                <w:tab w:val="right" w:pos="501"/>
              </w:tabs>
              <w:jc w:val="center"/>
              <w:rPr>
                <w:color w:val="000000"/>
                <w:sz w:val="20"/>
                <w:szCs w:val="20"/>
              </w:rPr>
            </w:pPr>
            <w:r w:rsidRPr="00C25A47">
              <w:rPr>
                <w:color w:val="000000"/>
                <w:sz w:val="20"/>
                <w:szCs w:val="20"/>
              </w:rPr>
              <w:t>3</w:t>
            </w:r>
          </w:p>
        </w:tc>
        <w:tc>
          <w:tcPr>
            <w:tcW w:w="434" w:type="pct"/>
            <w:shd w:val="clear" w:color="auto" w:fill="auto"/>
            <w:vAlign w:val="center"/>
          </w:tcPr>
          <w:p w14:paraId="114A00D8" w14:textId="77777777" w:rsidR="00C25A47" w:rsidRPr="00C25A47" w:rsidRDefault="00C25A47" w:rsidP="00553183">
            <w:pPr>
              <w:tabs>
                <w:tab w:val="right" w:pos="501"/>
              </w:tabs>
              <w:jc w:val="center"/>
              <w:rPr>
                <w:color w:val="000000"/>
                <w:sz w:val="20"/>
                <w:szCs w:val="20"/>
              </w:rPr>
            </w:pPr>
            <w:r w:rsidRPr="00C25A47">
              <w:rPr>
                <w:color w:val="000000"/>
                <w:sz w:val="20"/>
                <w:szCs w:val="20"/>
              </w:rPr>
              <w:t>821</w:t>
            </w:r>
          </w:p>
        </w:tc>
        <w:tc>
          <w:tcPr>
            <w:tcW w:w="304" w:type="pct"/>
            <w:shd w:val="clear" w:color="auto" w:fill="auto"/>
            <w:vAlign w:val="center"/>
          </w:tcPr>
          <w:p w14:paraId="5F0F1D7B" w14:textId="77777777" w:rsidR="00C25A47" w:rsidRPr="00C25A47" w:rsidRDefault="00C25A47" w:rsidP="00553183">
            <w:pPr>
              <w:tabs>
                <w:tab w:val="right" w:pos="501"/>
              </w:tabs>
              <w:jc w:val="center"/>
              <w:rPr>
                <w:color w:val="000000"/>
                <w:sz w:val="20"/>
                <w:szCs w:val="20"/>
              </w:rPr>
            </w:pPr>
            <w:r w:rsidRPr="00C25A47">
              <w:rPr>
                <w:color w:val="000000"/>
                <w:sz w:val="20"/>
                <w:szCs w:val="20"/>
              </w:rPr>
              <w:t>0</w:t>
            </w:r>
          </w:p>
        </w:tc>
        <w:tc>
          <w:tcPr>
            <w:tcW w:w="452" w:type="pct"/>
            <w:shd w:val="clear" w:color="auto" w:fill="auto"/>
            <w:vAlign w:val="center"/>
          </w:tcPr>
          <w:p w14:paraId="61EAEEAB" w14:textId="77777777" w:rsidR="00C25A47" w:rsidRPr="00C25A47" w:rsidRDefault="00C25A47" w:rsidP="00553183">
            <w:pPr>
              <w:tabs>
                <w:tab w:val="right" w:pos="501"/>
              </w:tabs>
              <w:jc w:val="center"/>
              <w:rPr>
                <w:color w:val="000000"/>
                <w:sz w:val="20"/>
                <w:szCs w:val="20"/>
              </w:rPr>
            </w:pPr>
            <w:r w:rsidRPr="00C25A47">
              <w:rPr>
                <w:color w:val="000000"/>
                <w:sz w:val="20"/>
                <w:szCs w:val="20"/>
              </w:rPr>
              <w:t>0</w:t>
            </w:r>
          </w:p>
        </w:tc>
        <w:tc>
          <w:tcPr>
            <w:tcW w:w="276" w:type="pct"/>
            <w:shd w:val="clear" w:color="auto" w:fill="auto"/>
            <w:vAlign w:val="center"/>
          </w:tcPr>
          <w:p w14:paraId="0CD3010C" w14:textId="77777777" w:rsidR="00C25A47" w:rsidRPr="00C25A47" w:rsidRDefault="00C25A47" w:rsidP="00553183">
            <w:pPr>
              <w:tabs>
                <w:tab w:val="right" w:pos="573"/>
              </w:tabs>
              <w:jc w:val="center"/>
              <w:rPr>
                <w:b/>
                <w:color w:val="000000"/>
                <w:sz w:val="20"/>
                <w:szCs w:val="20"/>
              </w:rPr>
            </w:pPr>
            <w:r w:rsidRPr="00C25A47">
              <w:rPr>
                <w:b/>
                <w:color w:val="000000"/>
                <w:sz w:val="20"/>
                <w:szCs w:val="20"/>
              </w:rPr>
              <w:t>8</w:t>
            </w:r>
          </w:p>
        </w:tc>
        <w:tc>
          <w:tcPr>
            <w:tcW w:w="459" w:type="pct"/>
            <w:shd w:val="clear" w:color="auto" w:fill="auto"/>
            <w:vAlign w:val="center"/>
          </w:tcPr>
          <w:p w14:paraId="15DBE48E" w14:textId="77777777" w:rsidR="00C25A47" w:rsidRPr="00C25A47" w:rsidRDefault="00C25A47" w:rsidP="00553183">
            <w:pPr>
              <w:tabs>
                <w:tab w:val="right" w:pos="654"/>
              </w:tabs>
              <w:jc w:val="center"/>
              <w:rPr>
                <w:b/>
                <w:color w:val="000000"/>
                <w:sz w:val="20"/>
                <w:szCs w:val="20"/>
              </w:rPr>
            </w:pPr>
            <w:r w:rsidRPr="00C25A47">
              <w:rPr>
                <w:b/>
                <w:color w:val="000000"/>
                <w:sz w:val="20"/>
                <w:szCs w:val="20"/>
              </w:rPr>
              <w:t>2,550</w:t>
            </w:r>
          </w:p>
        </w:tc>
      </w:tr>
      <w:tr w:rsidR="00AA6EDE" w:rsidRPr="00C25A47" w14:paraId="5EF2ADA5" w14:textId="77777777" w:rsidTr="00AA6EDE">
        <w:trPr>
          <w:trHeight w:val="288"/>
        </w:trPr>
        <w:tc>
          <w:tcPr>
            <w:tcW w:w="1296" w:type="pct"/>
          </w:tcPr>
          <w:p w14:paraId="217D89A3" w14:textId="77777777" w:rsidR="00C25A47" w:rsidRPr="00C25A47" w:rsidRDefault="00C25A47" w:rsidP="00553183">
            <w:pPr>
              <w:keepNext/>
              <w:rPr>
                <w:color w:val="000000"/>
                <w:sz w:val="20"/>
                <w:szCs w:val="20"/>
              </w:rPr>
            </w:pPr>
            <w:proofErr w:type="spellStart"/>
            <w:r w:rsidRPr="00C25A47">
              <w:rPr>
                <w:color w:val="000000"/>
                <w:sz w:val="20"/>
                <w:szCs w:val="20"/>
              </w:rPr>
              <w:t>MassHousing</w:t>
            </w:r>
            <w:proofErr w:type="spellEnd"/>
            <w:r w:rsidRPr="00C25A47">
              <w:rPr>
                <w:color w:val="000000"/>
                <w:sz w:val="20"/>
                <w:szCs w:val="20"/>
              </w:rPr>
              <w:t xml:space="preserve"> Right Rate – No Mortgage Insurance</w:t>
            </w:r>
          </w:p>
        </w:tc>
        <w:tc>
          <w:tcPr>
            <w:tcW w:w="261" w:type="pct"/>
            <w:shd w:val="clear" w:color="auto" w:fill="auto"/>
            <w:vAlign w:val="center"/>
          </w:tcPr>
          <w:p w14:paraId="681600AA" w14:textId="77777777" w:rsidR="00C25A47" w:rsidRPr="00C25A47" w:rsidRDefault="00C25A47" w:rsidP="00553183">
            <w:pPr>
              <w:tabs>
                <w:tab w:val="right" w:pos="452"/>
              </w:tabs>
              <w:jc w:val="center"/>
              <w:rPr>
                <w:color w:val="000000"/>
                <w:sz w:val="20"/>
                <w:szCs w:val="20"/>
              </w:rPr>
            </w:pPr>
            <w:r w:rsidRPr="00C25A47">
              <w:rPr>
                <w:color w:val="000000"/>
                <w:sz w:val="20"/>
                <w:szCs w:val="20"/>
              </w:rPr>
              <w:t>0</w:t>
            </w:r>
          </w:p>
        </w:tc>
        <w:tc>
          <w:tcPr>
            <w:tcW w:w="476" w:type="pct"/>
            <w:shd w:val="clear" w:color="auto" w:fill="auto"/>
            <w:vAlign w:val="center"/>
          </w:tcPr>
          <w:p w14:paraId="2F245A6B" w14:textId="77777777" w:rsidR="00C25A47" w:rsidRPr="00C25A47" w:rsidRDefault="00C25A47" w:rsidP="00553183">
            <w:pPr>
              <w:tabs>
                <w:tab w:val="right" w:pos="663"/>
              </w:tabs>
              <w:jc w:val="center"/>
              <w:rPr>
                <w:color w:val="000000"/>
                <w:sz w:val="20"/>
                <w:szCs w:val="20"/>
              </w:rPr>
            </w:pPr>
            <w:r w:rsidRPr="00C25A47">
              <w:rPr>
                <w:color w:val="000000"/>
                <w:sz w:val="20"/>
                <w:szCs w:val="20"/>
              </w:rPr>
              <w:t>0</w:t>
            </w:r>
          </w:p>
        </w:tc>
        <w:tc>
          <w:tcPr>
            <w:tcW w:w="304" w:type="pct"/>
            <w:shd w:val="clear" w:color="auto" w:fill="auto"/>
            <w:vAlign w:val="center"/>
          </w:tcPr>
          <w:p w14:paraId="20AD7A7D" w14:textId="77777777" w:rsidR="00C25A47" w:rsidRPr="00C25A47" w:rsidRDefault="00C25A47" w:rsidP="00553183">
            <w:pPr>
              <w:tabs>
                <w:tab w:val="right" w:pos="514"/>
              </w:tabs>
              <w:jc w:val="center"/>
              <w:rPr>
                <w:color w:val="000000"/>
                <w:sz w:val="20"/>
                <w:szCs w:val="20"/>
              </w:rPr>
            </w:pPr>
            <w:r w:rsidRPr="00C25A47">
              <w:rPr>
                <w:color w:val="000000"/>
                <w:sz w:val="20"/>
                <w:szCs w:val="20"/>
              </w:rPr>
              <w:t>2</w:t>
            </w:r>
          </w:p>
        </w:tc>
        <w:tc>
          <w:tcPr>
            <w:tcW w:w="433" w:type="pct"/>
            <w:shd w:val="clear" w:color="auto" w:fill="auto"/>
            <w:vAlign w:val="center"/>
          </w:tcPr>
          <w:p w14:paraId="3A40C90E" w14:textId="77777777" w:rsidR="00C25A47" w:rsidRPr="00C25A47" w:rsidRDefault="00C25A47" w:rsidP="00553183">
            <w:pPr>
              <w:tabs>
                <w:tab w:val="right" w:pos="590"/>
              </w:tabs>
              <w:jc w:val="center"/>
              <w:rPr>
                <w:color w:val="000000"/>
                <w:sz w:val="20"/>
                <w:szCs w:val="20"/>
              </w:rPr>
            </w:pPr>
            <w:r w:rsidRPr="00C25A47">
              <w:rPr>
                <w:color w:val="000000"/>
                <w:sz w:val="20"/>
                <w:szCs w:val="20"/>
              </w:rPr>
              <w:t>629</w:t>
            </w:r>
          </w:p>
        </w:tc>
        <w:tc>
          <w:tcPr>
            <w:tcW w:w="304" w:type="pct"/>
            <w:shd w:val="clear" w:color="auto" w:fill="auto"/>
            <w:vAlign w:val="center"/>
          </w:tcPr>
          <w:p w14:paraId="626DE80A" w14:textId="77777777" w:rsidR="00C25A47" w:rsidRPr="00C25A47" w:rsidRDefault="00C25A47" w:rsidP="00553183">
            <w:pPr>
              <w:tabs>
                <w:tab w:val="right" w:pos="501"/>
              </w:tabs>
              <w:jc w:val="center"/>
              <w:rPr>
                <w:color w:val="000000"/>
                <w:sz w:val="20"/>
                <w:szCs w:val="20"/>
              </w:rPr>
            </w:pPr>
            <w:r w:rsidRPr="00C25A47">
              <w:rPr>
                <w:color w:val="000000"/>
                <w:sz w:val="20"/>
                <w:szCs w:val="20"/>
              </w:rPr>
              <w:t>0</w:t>
            </w:r>
          </w:p>
        </w:tc>
        <w:tc>
          <w:tcPr>
            <w:tcW w:w="434" w:type="pct"/>
            <w:shd w:val="clear" w:color="auto" w:fill="auto"/>
            <w:vAlign w:val="center"/>
          </w:tcPr>
          <w:p w14:paraId="2D6BAC30" w14:textId="77777777" w:rsidR="00C25A47" w:rsidRPr="00C25A47" w:rsidRDefault="00C25A47" w:rsidP="00553183">
            <w:pPr>
              <w:tabs>
                <w:tab w:val="right" w:pos="501"/>
              </w:tabs>
              <w:jc w:val="center"/>
              <w:rPr>
                <w:color w:val="000000"/>
                <w:sz w:val="20"/>
                <w:szCs w:val="20"/>
              </w:rPr>
            </w:pPr>
            <w:r w:rsidRPr="00C25A47">
              <w:rPr>
                <w:color w:val="000000"/>
                <w:sz w:val="20"/>
                <w:szCs w:val="20"/>
              </w:rPr>
              <w:t>0</w:t>
            </w:r>
          </w:p>
        </w:tc>
        <w:tc>
          <w:tcPr>
            <w:tcW w:w="304" w:type="pct"/>
            <w:shd w:val="clear" w:color="auto" w:fill="auto"/>
            <w:vAlign w:val="center"/>
          </w:tcPr>
          <w:p w14:paraId="16B97E23" w14:textId="77777777" w:rsidR="00C25A47" w:rsidRPr="00C25A47" w:rsidRDefault="00C25A47" w:rsidP="00553183">
            <w:pPr>
              <w:tabs>
                <w:tab w:val="right" w:pos="501"/>
              </w:tabs>
              <w:jc w:val="center"/>
              <w:rPr>
                <w:color w:val="000000"/>
                <w:sz w:val="20"/>
                <w:szCs w:val="20"/>
              </w:rPr>
            </w:pPr>
            <w:r w:rsidRPr="00C25A47">
              <w:rPr>
                <w:color w:val="000000"/>
                <w:sz w:val="20"/>
                <w:szCs w:val="20"/>
              </w:rPr>
              <w:t>0</w:t>
            </w:r>
          </w:p>
        </w:tc>
        <w:tc>
          <w:tcPr>
            <w:tcW w:w="452" w:type="pct"/>
            <w:shd w:val="clear" w:color="auto" w:fill="auto"/>
            <w:vAlign w:val="center"/>
          </w:tcPr>
          <w:p w14:paraId="6528D03E" w14:textId="77777777" w:rsidR="00C25A47" w:rsidRPr="00C25A47" w:rsidRDefault="00C25A47" w:rsidP="00553183">
            <w:pPr>
              <w:tabs>
                <w:tab w:val="right" w:pos="501"/>
              </w:tabs>
              <w:jc w:val="center"/>
              <w:rPr>
                <w:color w:val="000000"/>
                <w:sz w:val="20"/>
                <w:szCs w:val="20"/>
              </w:rPr>
            </w:pPr>
            <w:r w:rsidRPr="00C25A47">
              <w:rPr>
                <w:color w:val="000000"/>
                <w:sz w:val="20"/>
                <w:szCs w:val="20"/>
              </w:rPr>
              <w:t>0</w:t>
            </w:r>
          </w:p>
        </w:tc>
        <w:tc>
          <w:tcPr>
            <w:tcW w:w="276" w:type="pct"/>
            <w:shd w:val="clear" w:color="auto" w:fill="auto"/>
            <w:vAlign w:val="center"/>
          </w:tcPr>
          <w:p w14:paraId="69C9B7F5" w14:textId="77777777" w:rsidR="00C25A47" w:rsidRPr="00C25A47" w:rsidRDefault="00C25A47" w:rsidP="00553183">
            <w:pPr>
              <w:tabs>
                <w:tab w:val="right" w:pos="573"/>
              </w:tabs>
              <w:jc w:val="center"/>
              <w:rPr>
                <w:b/>
                <w:color w:val="000000"/>
                <w:sz w:val="20"/>
                <w:szCs w:val="20"/>
              </w:rPr>
            </w:pPr>
            <w:r w:rsidRPr="00C25A47">
              <w:rPr>
                <w:b/>
                <w:color w:val="000000"/>
                <w:sz w:val="20"/>
                <w:szCs w:val="20"/>
              </w:rPr>
              <w:t>2</w:t>
            </w:r>
          </w:p>
        </w:tc>
        <w:tc>
          <w:tcPr>
            <w:tcW w:w="459" w:type="pct"/>
            <w:shd w:val="clear" w:color="auto" w:fill="auto"/>
            <w:vAlign w:val="center"/>
          </w:tcPr>
          <w:p w14:paraId="7AA31F3F" w14:textId="77777777" w:rsidR="00C25A47" w:rsidRPr="00C25A47" w:rsidRDefault="00C25A47" w:rsidP="00553183">
            <w:pPr>
              <w:tabs>
                <w:tab w:val="right" w:pos="654"/>
              </w:tabs>
              <w:jc w:val="center"/>
              <w:rPr>
                <w:b/>
                <w:color w:val="000000"/>
                <w:sz w:val="20"/>
                <w:szCs w:val="20"/>
              </w:rPr>
            </w:pPr>
            <w:r w:rsidRPr="00C25A47">
              <w:rPr>
                <w:b/>
                <w:color w:val="000000"/>
                <w:sz w:val="20"/>
                <w:szCs w:val="20"/>
              </w:rPr>
              <w:t>629</w:t>
            </w:r>
          </w:p>
        </w:tc>
      </w:tr>
      <w:tr w:rsidR="00AA6EDE" w:rsidRPr="00C25A47" w14:paraId="57E960D7" w14:textId="77777777" w:rsidTr="00AA6EDE">
        <w:trPr>
          <w:trHeight w:val="288"/>
        </w:trPr>
        <w:tc>
          <w:tcPr>
            <w:tcW w:w="1296" w:type="pct"/>
          </w:tcPr>
          <w:p w14:paraId="1EFC733A" w14:textId="77777777" w:rsidR="00C25A47" w:rsidRPr="00C25A47" w:rsidRDefault="00C25A47" w:rsidP="00553183">
            <w:pPr>
              <w:keepNext/>
              <w:rPr>
                <w:color w:val="000000"/>
                <w:sz w:val="20"/>
                <w:szCs w:val="20"/>
              </w:rPr>
            </w:pPr>
            <w:proofErr w:type="spellStart"/>
            <w:r w:rsidRPr="00C25A47">
              <w:rPr>
                <w:color w:val="000000"/>
                <w:sz w:val="20"/>
                <w:szCs w:val="20"/>
              </w:rPr>
              <w:t>MassHousing</w:t>
            </w:r>
            <w:proofErr w:type="spellEnd"/>
            <w:r w:rsidRPr="00C25A47">
              <w:rPr>
                <w:color w:val="000000"/>
                <w:sz w:val="20"/>
                <w:szCs w:val="20"/>
              </w:rPr>
              <w:t xml:space="preserve"> Lender Paid Mortgage Insurance</w:t>
            </w:r>
          </w:p>
        </w:tc>
        <w:tc>
          <w:tcPr>
            <w:tcW w:w="261" w:type="pct"/>
            <w:shd w:val="clear" w:color="auto" w:fill="auto"/>
            <w:vAlign w:val="center"/>
          </w:tcPr>
          <w:p w14:paraId="55DD3B34" w14:textId="77777777" w:rsidR="00C25A47" w:rsidRPr="00C25A47" w:rsidRDefault="00C25A47" w:rsidP="00553183">
            <w:pPr>
              <w:tabs>
                <w:tab w:val="right" w:pos="452"/>
              </w:tabs>
              <w:jc w:val="center"/>
              <w:rPr>
                <w:color w:val="000000"/>
                <w:sz w:val="20"/>
                <w:szCs w:val="20"/>
              </w:rPr>
            </w:pPr>
            <w:r w:rsidRPr="00C25A47">
              <w:rPr>
                <w:color w:val="000000"/>
                <w:sz w:val="20"/>
                <w:szCs w:val="20"/>
              </w:rPr>
              <w:t>0</w:t>
            </w:r>
          </w:p>
        </w:tc>
        <w:tc>
          <w:tcPr>
            <w:tcW w:w="476" w:type="pct"/>
            <w:shd w:val="clear" w:color="auto" w:fill="auto"/>
            <w:vAlign w:val="center"/>
          </w:tcPr>
          <w:p w14:paraId="23353081" w14:textId="77777777" w:rsidR="00C25A47" w:rsidRPr="00C25A47" w:rsidRDefault="00C25A47" w:rsidP="00553183">
            <w:pPr>
              <w:tabs>
                <w:tab w:val="right" w:pos="663"/>
              </w:tabs>
              <w:jc w:val="center"/>
              <w:rPr>
                <w:color w:val="000000"/>
                <w:sz w:val="20"/>
                <w:szCs w:val="20"/>
              </w:rPr>
            </w:pPr>
            <w:r w:rsidRPr="00C25A47">
              <w:rPr>
                <w:color w:val="000000"/>
                <w:sz w:val="20"/>
                <w:szCs w:val="20"/>
              </w:rPr>
              <w:t>0</w:t>
            </w:r>
          </w:p>
        </w:tc>
        <w:tc>
          <w:tcPr>
            <w:tcW w:w="304" w:type="pct"/>
            <w:shd w:val="clear" w:color="auto" w:fill="auto"/>
            <w:vAlign w:val="center"/>
          </w:tcPr>
          <w:p w14:paraId="4A928CF2" w14:textId="77777777" w:rsidR="00C25A47" w:rsidRPr="00C25A47" w:rsidRDefault="00C25A47" w:rsidP="00553183">
            <w:pPr>
              <w:tabs>
                <w:tab w:val="right" w:pos="514"/>
              </w:tabs>
              <w:jc w:val="center"/>
              <w:rPr>
                <w:color w:val="000000"/>
                <w:sz w:val="20"/>
                <w:szCs w:val="20"/>
              </w:rPr>
            </w:pPr>
            <w:r w:rsidRPr="00C25A47">
              <w:rPr>
                <w:color w:val="000000"/>
                <w:sz w:val="20"/>
                <w:szCs w:val="20"/>
              </w:rPr>
              <w:t>1</w:t>
            </w:r>
          </w:p>
        </w:tc>
        <w:tc>
          <w:tcPr>
            <w:tcW w:w="433" w:type="pct"/>
            <w:shd w:val="clear" w:color="auto" w:fill="auto"/>
            <w:vAlign w:val="center"/>
          </w:tcPr>
          <w:p w14:paraId="7335EFB6" w14:textId="77777777" w:rsidR="00C25A47" w:rsidRPr="00C25A47" w:rsidRDefault="00C25A47" w:rsidP="00553183">
            <w:pPr>
              <w:tabs>
                <w:tab w:val="right" w:pos="590"/>
              </w:tabs>
              <w:jc w:val="center"/>
              <w:rPr>
                <w:color w:val="000000"/>
                <w:sz w:val="20"/>
                <w:szCs w:val="20"/>
              </w:rPr>
            </w:pPr>
            <w:r w:rsidRPr="00C25A47">
              <w:rPr>
                <w:color w:val="000000"/>
                <w:sz w:val="20"/>
                <w:szCs w:val="20"/>
              </w:rPr>
              <w:t>439</w:t>
            </w:r>
          </w:p>
        </w:tc>
        <w:tc>
          <w:tcPr>
            <w:tcW w:w="304" w:type="pct"/>
            <w:shd w:val="clear" w:color="auto" w:fill="auto"/>
            <w:vAlign w:val="center"/>
          </w:tcPr>
          <w:p w14:paraId="773A041D" w14:textId="77777777" w:rsidR="00C25A47" w:rsidRPr="00C25A47" w:rsidRDefault="00C25A47" w:rsidP="00553183">
            <w:pPr>
              <w:tabs>
                <w:tab w:val="right" w:pos="501"/>
              </w:tabs>
              <w:jc w:val="center"/>
              <w:rPr>
                <w:color w:val="000000"/>
                <w:sz w:val="20"/>
                <w:szCs w:val="20"/>
              </w:rPr>
            </w:pPr>
            <w:r w:rsidRPr="00C25A47">
              <w:rPr>
                <w:color w:val="000000"/>
                <w:sz w:val="20"/>
                <w:szCs w:val="20"/>
              </w:rPr>
              <w:t>0</w:t>
            </w:r>
          </w:p>
        </w:tc>
        <w:tc>
          <w:tcPr>
            <w:tcW w:w="434" w:type="pct"/>
            <w:shd w:val="clear" w:color="auto" w:fill="auto"/>
            <w:vAlign w:val="center"/>
          </w:tcPr>
          <w:p w14:paraId="07BCB510" w14:textId="77777777" w:rsidR="00C25A47" w:rsidRPr="00C25A47" w:rsidRDefault="00C25A47" w:rsidP="00553183">
            <w:pPr>
              <w:tabs>
                <w:tab w:val="right" w:pos="501"/>
              </w:tabs>
              <w:jc w:val="center"/>
              <w:rPr>
                <w:color w:val="000000"/>
                <w:sz w:val="20"/>
                <w:szCs w:val="20"/>
              </w:rPr>
            </w:pPr>
            <w:r w:rsidRPr="00C25A47">
              <w:rPr>
                <w:color w:val="000000"/>
                <w:sz w:val="20"/>
                <w:szCs w:val="20"/>
              </w:rPr>
              <w:t>0</w:t>
            </w:r>
          </w:p>
        </w:tc>
        <w:tc>
          <w:tcPr>
            <w:tcW w:w="304" w:type="pct"/>
            <w:shd w:val="clear" w:color="auto" w:fill="auto"/>
            <w:vAlign w:val="center"/>
          </w:tcPr>
          <w:p w14:paraId="6D7AE945" w14:textId="77777777" w:rsidR="00C25A47" w:rsidRPr="00C25A47" w:rsidRDefault="00C25A47" w:rsidP="00553183">
            <w:pPr>
              <w:tabs>
                <w:tab w:val="right" w:pos="501"/>
              </w:tabs>
              <w:jc w:val="center"/>
              <w:rPr>
                <w:color w:val="000000"/>
                <w:sz w:val="20"/>
                <w:szCs w:val="20"/>
              </w:rPr>
            </w:pPr>
            <w:r w:rsidRPr="00C25A47">
              <w:rPr>
                <w:color w:val="000000"/>
                <w:sz w:val="20"/>
                <w:szCs w:val="20"/>
              </w:rPr>
              <w:t>0</w:t>
            </w:r>
          </w:p>
        </w:tc>
        <w:tc>
          <w:tcPr>
            <w:tcW w:w="452" w:type="pct"/>
            <w:shd w:val="clear" w:color="auto" w:fill="auto"/>
            <w:vAlign w:val="center"/>
          </w:tcPr>
          <w:p w14:paraId="1F5400B1" w14:textId="77777777" w:rsidR="00C25A47" w:rsidRPr="00C25A47" w:rsidRDefault="00C25A47" w:rsidP="00553183">
            <w:pPr>
              <w:tabs>
                <w:tab w:val="right" w:pos="501"/>
              </w:tabs>
              <w:jc w:val="center"/>
              <w:rPr>
                <w:color w:val="000000"/>
                <w:sz w:val="20"/>
                <w:szCs w:val="20"/>
              </w:rPr>
            </w:pPr>
            <w:r w:rsidRPr="00C25A47">
              <w:rPr>
                <w:color w:val="000000"/>
                <w:sz w:val="20"/>
                <w:szCs w:val="20"/>
              </w:rPr>
              <w:t>0</w:t>
            </w:r>
          </w:p>
        </w:tc>
        <w:tc>
          <w:tcPr>
            <w:tcW w:w="276" w:type="pct"/>
            <w:shd w:val="clear" w:color="auto" w:fill="auto"/>
            <w:vAlign w:val="center"/>
          </w:tcPr>
          <w:p w14:paraId="74AB4D41" w14:textId="77777777" w:rsidR="00C25A47" w:rsidRPr="00C25A47" w:rsidRDefault="00C25A47" w:rsidP="00553183">
            <w:pPr>
              <w:tabs>
                <w:tab w:val="right" w:pos="573"/>
              </w:tabs>
              <w:jc w:val="center"/>
              <w:rPr>
                <w:b/>
                <w:color w:val="000000"/>
                <w:sz w:val="20"/>
                <w:szCs w:val="20"/>
              </w:rPr>
            </w:pPr>
            <w:r w:rsidRPr="00C25A47">
              <w:rPr>
                <w:b/>
                <w:color w:val="000000"/>
                <w:sz w:val="20"/>
                <w:szCs w:val="20"/>
              </w:rPr>
              <w:t>1</w:t>
            </w:r>
          </w:p>
        </w:tc>
        <w:tc>
          <w:tcPr>
            <w:tcW w:w="459" w:type="pct"/>
            <w:shd w:val="clear" w:color="auto" w:fill="auto"/>
            <w:vAlign w:val="center"/>
          </w:tcPr>
          <w:p w14:paraId="6ABFB756" w14:textId="77777777" w:rsidR="00C25A47" w:rsidRPr="00C25A47" w:rsidRDefault="00C25A47" w:rsidP="00553183">
            <w:pPr>
              <w:tabs>
                <w:tab w:val="right" w:pos="654"/>
              </w:tabs>
              <w:jc w:val="center"/>
              <w:rPr>
                <w:b/>
                <w:color w:val="000000"/>
                <w:sz w:val="20"/>
                <w:szCs w:val="20"/>
              </w:rPr>
            </w:pPr>
            <w:r w:rsidRPr="00C25A47">
              <w:rPr>
                <w:b/>
                <w:color w:val="000000"/>
                <w:sz w:val="20"/>
                <w:szCs w:val="20"/>
              </w:rPr>
              <w:t>439</w:t>
            </w:r>
          </w:p>
        </w:tc>
      </w:tr>
      <w:tr w:rsidR="00AA6EDE" w:rsidRPr="00C25A47" w14:paraId="40065265" w14:textId="77777777" w:rsidTr="00AA6EDE">
        <w:trPr>
          <w:trHeight w:val="288"/>
        </w:trPr>
        <w:tc>
          <w:tcPr>
            <w:tcW w:w="1296" w:type="pct"/>
          </w:tcPr>
          <w:p w14:paraId="2F3508F3" w14:textId="77777777" w:rsidR="00C25A47" w:rsidRPr="00C25A47" w:rsidRDefault="00C25A47" w:rsidP="00553183">
            <w:pPr>
              <w:keepNext/>
              <w:rPr>
                <w:color w:val="000000"/>
                <w:sz w:val="20"/>
                <w:szCs w:val="20"/>
              </w:rPr>
            </w:pPr>
            <w:proofErr w:type="spellStart"/>
            <w:r w:rsidRPr="00C25A47">
              <w:rPr>
                <w:color w:val="000000"/>
                <w:sz w:val="20"/>
                <w:szCs w:val="20"/>
              </w:rPr>
              <w:t>MassHousing</w:t>
            </w:r>
            <w:proofErr w:type="spellEnd"/>
            <w:r w:rsidRPr="00C25A47">
              <w:rPr>
                <w:color w:val="000000"/>
                <w:sz w:val="20"/>
                <w:szCs w:val="20"/>
              </w:rPr>
              <w:t xml:space="preserve"> Welcome Home</w:t>
            </w:r>
          </w:p>
        </w:tc>
        <w:tc>
          <w:tcPr>
            <w:tcW w:w="261" w:type="pct"/>
            <w:shd w:val="clear" w:color="auto" w:fill="auto"/>
            <w:vAlign w:val="center"/>
          </w:tcPr>
          <w:p w14:paraId="20A51AE3" w14:textId="77777777" w:rsidR="00C25A47" w:rsidRPr="00C25A47" w:rsidRDefault="00C25A47" w:rsidP="00553183">
            <w:pPr>
              <w:tabs>
                <w:tab w:val="right" w:pos="452"/>
              </w:tabs>
              <w:jc w:val="center"/>
              <w:rPr>
                <w:color w:val="000000"/>
                <w:sz w:val="20"/>
                <w:szCs w:val="20"/>
              </w:rPr>
            </w:pPr>
            <w:r w:rsidRPr="00C25A47">
              <w:rPr>
                <w:color w:val="000000"/>
                <w:sz w:val="20"/>
                <w:szCs w:val="20"/>
              </w:rPr>
              <w:t>0</w:t>
            </w:r>
          </w:p>
        </w:tc>
        <w:tc>
          <w:tcPr>
            <w:tcW w:w="476" w:type="pct"/>
            <w:shd w:val="clear" w:color="auto" w:fill="auto"/>
            <w:vAlign w:val="center"/>
          </w:tcPr>
          <w:p w14:paraId="79052A50" w14:textId="77777777" w:rsidR="00C25A47" w:rsidRPr="00C25A47" w:rsidRDefault="00C25A47" w:rsidP="00553183">
            <w:pPr>
              <w:tabs>
                <w:tab w:val="right" w:pos="663"/>
              </w:tabs>
              <w:jc w:val="center"/>
              <w:rPr>
                <w:color w:val="000000"/>
                <w:sz w:val="20"/>
                <w:szCs w:val="20"/>
              </w:rPr>
            </w:pPr>
            <w:r w:rsidRPr="00C25A47">
              <w:rPr>
                <w:color w:val="000000"/>
                <w:sz w:val="20"/>
                <w:szCs w:val="20"/>
              </w:rPr>
              <w:t>0</w:t>
            </w:r>
          </w:p>
        </w:tc>
        <w:tc>
          <w:tcPr>
            <w:tcW w:w="304" w:type="pct"/>
            <w:shd w:val="clear" w:color="auto" w:fill="auto"/>
            <w:vAlign w:val="center"/>
          </w:tcPr>
          <w:p w14:paraId="56353393" w14:textId="77777777" w:rsidR="00C25A47" w:rsidRPr="00C25A47" w:rsidRDefault="00C25A47" w:rsidP="00553183">
            <w:pPr>
              <w:tabs>
                <w:tab w:val="right" w:pos="514"/>
              </w:tabs>
              <w:jc w:val="center"/>
              <w:rPr>
                <w:color w:val="000000"/>
                <w:sz w:val="20"/>
                <w:szCs w:val="20"/>
              </w:rPr>
            </w:pPr>
            <w:r w:rsidRPr="00C25A47">
              <w:rPr>
                <w:color w:val="000000"/>
                <w:sz w:val="20"/>
                <w:szCs w:val="20"/>
              </w:rPr>
              <w:t>0</w:t>
            </w:r>
          </w:p>
        </w:tc>
        <w:tc>
          <w:tcPr>
            <w:tcW w:w="433" w:type="pct"/>
            <w:shd w:val="clear" w:color="auto" w:fill="auto"/>
            <w:vAlign w:val="center"/>
          </w:tcPr>
          <w:p w14:paraId="520879A0" w14:textId="77777777" w:rsidR="00C25A47" w:rsidRPr="00C25A47" w:rsidRDefault="00C25A47" w:rsidP="00553183">
            <w:pPr>
              <w:tabs>
                <w:tab w:val="right" w:pos="590"/>
              </w:tabs>
              <w:jc w:val="center"/>
              <w:rPr>
                <w:color w:val="000000"/>
                <w:sz w:val="20"/>
                <w:szCs w:val="20"/>
              </w:rPr>
            </w:pPr>
            <w:r w:rsidRPr="00C25A47">
              <w:rPr>
                <w:color w:val="000000"/>
                <w:sz w:val="20"/>
                <w:szCs w:val="20"/>
              </w:rPr>
              <w:t>0</w:t>
            </w:r>
          </w:p>
        </w:tc>
        <w:tc>
          <w:tcPr>
            <w:tcW w:w="304" w:type="pct"/>
            <w:shd w:val="clear" w:color="auto" w:fill="auto"/>
            <w:vAlign w:val="center"/>
          </w:tcPr>
          <w:p w14:paraId="2A2EC631" w14:textId="77777777" w:rsidR="00C25A47" w:rsidRPr="00C25A47" w:rsidRDefault="00C25A47" w:rsidP="00553183">
            <w:pPr>
              <w:tabs>
                <w:tab w:val="right" w:pos="501"/>
              </w:tabs>
              <w:jc w:val="center"/>
              <w:rPr>
                <w:color w:val="000000"/>
                <w:sz w:val="20"/>
                <w:szCs w:val="20"/>
              </w:rPr>
            </w:pPr>
            <w:r w:rsidRPr="00C25A47">
              <w:rPr>
                <w:color w:val="000000"/>
                <w:sz w:val="20"/>
                <w:szCs w:val="20"/>
              </w:rPr>
              <w:t>1</w:t>
            </w:r>
          </w:p>
        </w:tc>
        <w:tc>
          <w:tcPr>
            <w:tcW w:w="434" w:type="pct"/>
            <w:shd w:val="clear" w:color="auto" w:fill="auto"/>
            <w:vAlign w:val="center"/>
          </w:tcPr>
          <w:p w14:paraId="5F762230" w14:textId="77777777" w:rsidR="00C25A47" w:rsidRPr="00C25A47" w:rsidRDefault="00C25A47" w:rsidP="00553183">
            <w:pPr>
              <w:tabs>
                <w:tab w:val="right" w:pos="501"/>
              </w:tabs>
              <w:jc w:val="center"/>
              <w:rPr>
                <w:color w:val="000000"/>
                <w:sz w:val="20"/>
                <w:szCs w:val="20"/>
              </w:rPr>
            </w:pPr>
            <w:r w:rsidRPr="00C25A47">
              <w:rPr>
                <w:color w:val="000000"/>
                <w:sz w:val="20"/>
                <w:szCs w:val="20"/>
              </w:rPr>
              <w:t>213</w:t>
            </w:r>
          </w:p>
        </w:tc>
        <w:tc>
          <w:tcPr>
            <w:tcW w:w="304" w:type="pct"/>
            <w:shd w:val="clear" w:color="auto" w:fill="auto"/>
            <w:vAlign w:val="center"/>
          </w:tcPr>
          <w:p w14:paraId="520A63DA" w14:textId="77777777" w:rsidR="00C25A47" w:rsidRPr="00C25A47" w:rsidRDefault="00C25A47" w:rsidP="00553183">
            <w:pPr>
              <w:tabs>
                <w:tab w:val="right" w:pos="501"/>
              </w:tabs>
              <w:jc w:val="center"/>
              <w:rPr>
                <w:color w:val="000000"/>
                <w:sz w:val="20"/>
                <w:szCs w:val="20"/>
              </w:rPr>
            </w:pPr>
            <w:r w:rsidRPr="00C25A47">
              <w:rPr>
                <w:color w:val="000000"/>
                <w:sz w:val="20"/>
                <w:szCs w:val="20"/>
              </w:rPr>
              <w:t>0</w:t>
            </w:r>
          </w:p>
        </w:tc>
        <w:tc>
          <w:tcPr>
            <w:tcW w:w="452" w:type="pct"/>
            <w:shd w:val="clear" w:color="auto" w:fill="auto"/>
            <w:vAlign w:val="center"/>
          </w:tcPr>
          <w:p w14:paraId="73A588EB" w14:textId="77777777" w:rsidR="00C25A47" w:rsidRPr="00C25A47" w:rsidRDefault="00C25A47" w:rsidP="00553183">
            <w:pPr>
              <w:tabs>
                <w:tab w:val="right" w:pos="501"/>
              </w:tabs>
              <w:jc w:val="center"/>
              <w:rPr>
                <w:color w:val="000000"/>
                <w:sz w:val="20"/>
                <w:szCs w:val="20"/>
              </w:rPr>
            </w:pPr>
            <w:r w:rsidRPr="00C25A47">
              <w:rPr>
                <w:color w:val="000000"/>
                <w:sz w:val="20"/>
                <w:szCs w:val="20"/>
              </w:rPr>
              <w:t>0</w:t>
            </w:r>
          </w:p>
        </w:tc>
        <w:tc>
          <w:tcPr>
            <w:tcW w:w="276" w:type="pct"/>
            <w:shd w:val="clear" w:color="auto" w:fill="auto"/>
            <w:vAlign w:val="center"/>
          </w:tcPr>
          <w:p w14:paraId="3082A0B3" w14:textId="77777777" w:rsidR="00C25A47" w:rsidRPr="00C25A47" w:rsidRDefault="00C25A47" w:rsidP="00553183">
            <w:pPr>
              <w:tabs>
                <w:tab w:val="right" w:pos="573"/>
              </w:tabs>
              <w:jc w:val="center"/>
              <w:rPr>
                <w:b/>
                <w:color w:val="000000"/>
                <w:sz w:val="20"/>
                <w:szCs w:val="20"/>
              </w:rPr>
            </w:pPr>
            <w:r w:rsidRPr="00C25A47">
              <w:rPr>
                <w:b/>
                <w:color w:val="000000"/>
                <w:sz w:val="20"/>
                <w:szCs w:val="20"/>
              </w:rPr>
              <w:t>1</w:t>
            </w:r>
          </w:p>
        </w:tc>
        <w:tc>
          <w:tcPr>
            <w:tcW w:w="459" w:type="pct"/>
            <w:shd w:val="clear" w:color="auto" w:fill="auto"/>
            <w:vAlign w:val="center"/>
          </w:tcPr>
          <w:p w14:paraId="1E5BBA49" w14:textId="77777777" w:rsidR="00C25A47" w:rsidRPr="00C25A47" w:rsidRDefault="00C25A47" w:rsidP="00553183">
            <w:pPr>
              <w:tabs>
                <w:tab w:val="right" w:pos="654"/>
              </w:tabs>
              <w:jc w:val="center"/>
              <w:rPr>
                <w:b/>
                <w:color w:val="000000"/>
                <w:sz w:val="20"/>
                <w:szCs w:val="20"/>
              </w:rPr>
            </w:pPr>
            <w:r w:rsidRPr="00C25A47">
              <w:rPr>
                <w:b/>
                <w:color w:val="000000"/>
                <w:sz w:val="20"/>
                <w:szCs w:val="20"/>
              </w:rPr>
              <w:t>213</w:t>
            </w:r>
          </w:p>
        </w:tc>
      </w:tr>
      <w:tr w:rsidR="00AA6EDE" w:rsidRPr="00C25A47" w14:paraId="49356A4C" w14:textId="77777777" w:rsidTr="00AA6EDE">
        <w:trPr>
          <w:trHeight w:val="288"/>
        </w:trPr>
        <w:tc>
          <w:tcPr>
            <w:tcW w:w="1296" w:type="pct"/>
          </w:tcPr>
          <w:p w14:paraId="4D93B84B" w14:textId="77777777" w:rsidR="00C25A47" w:rsidRPr="00C25A47" w:rsidRDefault="00C25A47" w:rsidP="00553183">
            <w:pPr>
              <w:keepNext/>
              <w:rPr>
                <w:color w:val="000000"/>
                <w:sz w:val="20"/>
                <w:szCs w:val="20"/>
              </w:rPr>
            </w:pPr>
            <w:r w:rsidRPr="00C25A47">
              <w:rPr>
                <w:color w:val="000000"/>
                <w:sz w:val="20"/>
                <w:szCs w:val="20"/>
              </w:rPr>
              <w:t>FHA</w:t>
            </w:r>
          </w:p>
        </w:tc>
        <w:tc>
          <w:tcPr>
            <w:tcW w:w="261" w:type="pct"/>
            <w:shd w:val="clear" w:color="auto" w:fill="auto"/>
            <w:vAlign w:val="center"/>
          </w:tcPr>
          <w:p w14:paraId="3711F9A7" w14:textId="77777777" w:rsidR="00C25A47" w:rsidRPr="00C25A47" w:rsidRDefault="00C25A47" w:rsidP="00553183">
            <w:pPr>
              <w:tabs>
                <w:tab w:val="right" w:pos="452"/>
              </w:tabs>
              <w:jc w:val="center"/>
              <w:rPr>
                <w:color w:val="000000"/>
                <w:sz w:val="20"/>
                <w:szCs w:val="20"/>
              </w:rPr>
            </w:pPr>
            <w:r w:rsidRPr="00C25A47">
              <w:rPr>
                <w:color w:val="000000"/>
                <w:sz w:val="20"/>
                <w:szCs w:val="20"/>
              </w:rPr>
              <w:t>0</w:t>
            </w:r>
          </w:p>
        </w:tc>
        <w:tc>
          <w:tcPr>
            <w:tcW w:w="476" w:type="pct"/>
            <w:shd w:val="clear" w:color="auto" w:fill="auto"/>
            <w:vAlign w:val="center"/>
          </w:tcPr>
          <w:p w14:paraId="47A33E6E" w14:textId="77777777" w:rsidR="00C25A47" w:rsidRPr="00C25A47" w:rsidRDefault="00C25A47" w:rsidP="00553183">
            <w:pPr>
              <w:tabs>
                <w:tab w:val="right" w:pos="663"/>
              </w:tabs>
              <w:jc w:val="center"/>
              <w:rPr>
                <w:color w:val="000000"/>
                <w:sz w:val="20"/>
                <w:szCs w:val="20"/>
              </w:rPr>
            </w:pPr>
            <w:r w:rsidRPr="00C25A47">
              <w:rPr>
                <w:color w:val="000000"/>
                <w:sz w:val="20"/>
                <w:szCs w:val="20"/>
              </w:rPr>
              <w:t>0</w:t>
            </w:r>
          </w:p>
        </w:tc>
        <w:tc>
          <w:tcPr>
            <w:tcW w:w="304" w:type="pct"/>
            <w:shd w:val="clear" w:color="auto" w:fill="auto"/>
            <w:vAlign w:val="center"/>
          </w:tcPr>
          <w:p w14:paraId="5C9ED5BB" w14:textId="77777777" w:rsidR="00C25A47" w:rsidRPr="00C25A47" w:rsidRDefault="00C25A47" w:rsidP="00553183">
            <w:pPr>
              <w:tabs>
                <w:tab w:val="right" w:pos="514"/>
              </w:tabs>
              <w:jc w:val="center"/>
              <w:rPr>
                <w:color w:val="000000"/>
                <w:sz w:val="20"/>
                <w:szCs w:val="20"/>
              </w:rPr>
            </w:pPr>
            <w:r w:rsidRPr="00C25A47">
              <w:rPr>
                <w:color w:val="000000"/>
                <w:sz w:val="20"/>
                <w:szCs w:val="20"/>
              </w:rPr>
              <w:t>2</w:t>
            </w:r>
          </w:p>
        </w:tc>
        <w:tc>
          <w:tcPr>
            <w:tcW w:w="433" w:type="pct"/>
            <w:shd w:val="clear" w:color="auto" w:fill="auto"/>
            <w:vAlign w:val="center"/>
          </w:tcPr>
          <w:p w14:paraId="547A439E" w14:textId="77777777" w:rsidR="00C25A47" w:rsidRPr="00C25A47" w:rsidRDefault="00C25A47" w:rsidP="00553183">
            <w:pPr>
              <w:tabs>
                <w:tab w:val="right" w:pos="590"/>
              </w:tabs>
              <w:jc w:val="center"/>
              <w:rPr>
                <w:color w:val="000000"/>
                <w:sz w:val="20"/>
                <w:szCs w:val="20"/>
              </w:rPr>
            </w:pPr>
            <w:r w:rsidRPr="00C25A47">
              <w:rPr>
                <w:color w:val="000000"/>
                <w:sz w:val="20"/>
                <w:szCs w:val="20"/>
              </w:rPr>
              <w:t>659</w:t>
            </w:r>
          </w:p>
        </w:tc>
        <w:tc>
          <w:tcPr>
            <w:tcW w:w="304" w:type="pct"/>
            <w:shd w:val="clear" w:color="auto" w:fill="auto"/>
            <w:vAlign w:val="center"/>
          </w:tcPr>
          <w:p w14:paraId="7180F8AF" w14:textId="77777777" w:rsidR="00C25A47" w:rsidRPr="00C25A47" w:rsidRDefault="00C25A47" w:rsidP="00553183">
            <w:pPr>
              <w:tabs>
                <w:tab w:val="right" w:pos="501"/>
              </w:tabs>
              <w:jc w:val="center"/>
              <w:rPr>
                <w:color w:val="000000"/>
                <w:sz w:val="20"/>
                <w:szCs w:val="20"/>
              </w:rPr>
            </w:pPr>
            <w:r w:rsidRPr="00C25A47">
              <w:rPr>
                <w:color w:val="000000"/>
                <w:sz w:val="20"/>
                <w:szCs w:val="20"/>
              </w:rPr>
              <w:t>7</w:t>
            </w:r>
          </w:p>
        </w:tc>
        <w:tc>
          <w:tcPr>
            <w:tcW w:w="434" w:type="pct"/>
            <w:shd w:val="clear" w:color="auto" w:fill="auto"/>
            <w:vAlign w:val="center"/>
          </w:tcPr>
          <w:p w14:paraId="7BD14E2D" w14:textId="77777777" w:rsidR="00C25A47" w:rsidRPr="00C25A47" w:rsidRDefault="00C25A47" w:rsidP="00553183">
            <w:pPr>
              <w:tabs>
                <w:tab w:val="right" w:pos="501"/>
              </w:tabs>
              <w:jc w:val="center"/>
              <w:rPr>
                <w:color w:val="000000"/>
                <w:sz w:val="20"/>
                <w:szCs w:val="20"/>
              </w:rPr>
            </w:pPr>
            <w:r w:rsidRPr="00C25A47">
              <w:rPr>
                <w:color w:val="000000"/>
                <w:sz w:val="20"/>
                <w:szCs w:val="20"/>
              </w:rPr>
              <w:t>2,304</w:t>
            </w:r>
          </w:p>
        </w:tc>
        <w:tc>
          <w:tcPr>
            <w:tcW w:w="304" w:type="pct"/>
            <w:shd w:val="clear" w:color="auto" w:fill="auto"/>
            <w:vAlign w:val="center"/>
          </w:tcPr>
          <w:p w14:paraId="27B11740" w14:textId="77777777" w:rsidR="00C25A47" w:rsidRPr="00C25A47" w:rsidRDefault="00C25A47" w:rsidP="00553183">
            <w:pPr>
              <w:tabs>
                <w:tab w:val="right" w:pos="501"/>
              </w:tabs>
              <w:jc w:val="center"/>
              <w:rPr>
                <w:color w:val="000000"/>
                <w:sz w:val="20"/>
                <w:szCs w:val="20"/>
              </w:rPr>
            </w:pPr>
            <w:r w:rsidRPr="00C25A47">
              <w:rPr>
                <w:color w:val="000000"/>
                <w:sz w:val="20"/>
                <w:szCs w:val="20"/>
              </w:rPr>
              <w:t>0</w:t>
            </w:r>
          </w:p>
        </w:tc>
        <w:tc>
          <w:tcPr>
            <w:tcW w:w="452" w:type="pct"/>
            <w:shd w:val="clear" w:color="auto" w:fill="auto"/>
            <w:vAlign w:val="center"/>
          </w:tcPr>
          <w:p w14:paraId="4FD5B250" w14:textId="77777777" w:rsidR="00C25A47" w:rsidRPr="00C25A47" w:rsidRDefault="00C25A47" w:rsidP="00553183">
            <w:pPr>
              <w:tabs>
                <w:tab w:val="right" w:pos="501"/>
              </w:tabs>
              <w:jc w:val="center"/>
              <w:rPr>
                <w:color w:val="000000"/>
                <w:sz w:val="20"/>
                <w:szCs w:val="20"/>
              </w:rPr>
            </w:pPr>
            <w:r w:rsidRPr="00C25A47">
              <w:rPr>
                <w:color w:val="000000"/>
                <w:sz w:val="20"/>
                <w:szCs w:val="20"/>
              </w:rPr>
              <w:t>0</w:t>
            </w:r>
          </w:p>
        </w:tc>
        <w:tc>
          <w:tcPr>
            <w:tcW w:w="276" w:type="pct"/>
            <w:shd w:val="clear" w:color="auto" w:fill="auto"/>
            <w:vAlign w:val="center"/>
          </w:tcPr>
          <w:p w14:paraId="54268C84" w14:textId="77777777" w:rsidR="00C25A47" w:rsidRPr="00C25A47" w:rsidRDefault="00C25A47" w:rsidP="00553183">
            <w:pPr>
              <w:tabs>
                <w:tab w:val="right" w:pos="573"/>
              </w:tabs>
              <w:jc w:val="center"/>
              <w:rPr>
                <w:b/>
                <w:color w:val="000000"/>
                <w:sz w:val="20"/>
                <w:szCs w:val="20"/>
              </w:rPr>
            </w:pPr>
            <w:r w:rsidRPr="00C25A47">
              <w:rPr>
                <w:b/>
                <w:color w:val="000000"/>
                <w:sz w:val="20"/>
                <w:szCs w:val="20"/>
              </w:rPr>
              <w:t>9</w:t>
            </w:r>
          </w:p>
        </w:tc>
        <w:tc>
          <w:tcPr>
            <w:tcW w:w="459" w:type="pct"/>
            <w:shd w:val="clear" w:color="auto" w:fill="auto"/>
            <w:vAlign w:val="center"/>
          </w:tcPr>
          <w:p w14:paraId="65E97B8B" w14:textId="77777777" w:rsidR="00C25A47" w:rsidRPr="00C25A47" w:rsidRDefault="00C25A47" w:rsidP="00553183">
            <w:pPr>
              <w:tabs>
                <w:tab w:val="right" w:pos="654"/>
              </w:tabs>
              <w:jc w:val="center"/>
              <w:rPr>
                <w:b/>
                <w:color w:val="000000"/>
                <w:sz w:val="20"/>
                <w:szCs w:val="20"/>
              </w:rPr>
            </w:pPr>
            <w:r w:rsidRPr="00C25A47">
              <w:rPr>
                <w:b/>
                <w:color w:val="000000"/>
                <w:sz w:val="20"/>
                <w:szCs w:val="20"/>
              </w:rPr>
              <w:t>2,963</w:t>
            </w:r>
          </w:p>
        </w:tc>
      </w:tr>
      <w:tr w:rsidR="00AA6EDE" w:rsidRPr="00C25A47" w14:paraId="1DCB31DA" w14:textId="77777777" w:rsidTr="00AA6EDE">
        <w:trPr>
          <w:trHeight w:val="288"/>
        </w:trPr>
        <w:tc>
          <w:tcPr>
            <w:tcW w:w="1296" w:type="pct"/>
          </w:tcPr>
          <w:p w14:paraId="213BC78B" w14:textId="77777777" w:rsidR="00C25A47" w:rsidRPr="00C25A47" w:rsidRDefault="00C25A47" w:rsidP="00553183">
            <w:pPr>
              <w:keepNext/>
              <w:rPr>
                <w:color w:val="000000"/>
                <w:sz w:val="20"/>
                <w:szCs w:val="20"/>
              </w:rPr>
            </w:pPr>
            <w:r w:rsidRPr="00C25A47">
              <w:rPr>
                <w:color w:val="000000"/>
                <w:sz w:val="20"/>
                <w:szCs w:val="20"/>
              </w:rPr>
              <w:t>VA</w:t>
            </w:r>
          </w:p>
        </w:tc>
        <w:tc>
          <w:tcPr>
            <w:tcW w:w="261" w:type="pct"/>
            <w:shd w:val="clear" w:color="auto" w:fill="auto"/>
            <w:vAlign w:val="center"/>
          </w:tcPr>
          <w:p w14:paraId="0D62E27C" w14:textId="77777777" w:rsidR="00C25A47" w:rsidRPr="00C25A47" w:rsidRDefault="00C25A47" w:rsidP="00553183">
            <w:pPr>
              <w:tabs>
                <w:tab w:val="right" w:pos="452"/>
              </w:tabs>
              <w:jc w:val="center"/>
              <w:rPr>
                <w:color w:val="000000"/>
                <w:sz w:val="20"/>
                <w:szCs w:val="20"/>
              </w:rPr>
            </w:pPr>
            <w:r w:rsidRPr="00C25A47">
              <w:rPr>
                <w:color w:val="000000"/>
                <w:sz w:val="20"/>
                <w:szCs w:val="20"/>
              </w:rPr>
              <w:t>0</w:t>
            </w:r>
          </w:p>
        </w:tc>
        <w:tc>
          <w:tcPr>
            <w:tcW w:w="476" w:type="pct"/>
            <w:shd w:val="clear" w:color="auto" w:fill="auto"/>
            <w:vAlign w:val="center"/>
          </w:tcPr>
          <w:p w14:paraId="2597715C" w14:textId="77777777" w:rsidR="00C25A47" w:rsidRPr="00C25A47" w:rsidRDefault="00C25A47" w:rsidP="00553183">
            <w:pPr>
              <w:tabs>
                <w:tab w:val="right" w:pos="663"/>
              </w:tabs>
              <w:jc w:val="center"/>
              <w:rPr>
                <w:color w:val="000000"/>
                <w:sz w:val="20"/>
                <w:szCs w:val="20"/>
              </w:rPr>
            </w:pPr>
            <w:r w:rsidRPr="00C25A47">
              <w:rPr>
                <w:color w:val="000000"/>
                <w:sz w:val="20"/>
                <w:szCs w:val="20"/>
              </w:rPr>
              <w:t>0</w:t>
            </w:r>
          </w:p>
        </w:tc>
        <w:tc>
          <w:tcPr>
            <w:tcW w:w="304" w:type="pct"/>
            <w:shd w:val="clear" w:color="auto" w:fill="auto"/>
            <w:vAlign w:val="center"/>
          </w:tcPr>
          <w:p w14:paraId="3DE4A6BF" w14:textId="77777777" w:rsidR="00C25A47" w:rsidRPr="00C25A47" w:rsidRDefault="00C25A47" w:rsidP="00553183">
            <w:pPr>
              <w:tabs>
                <w:tab w:val="right" w:pos="514"/>
              </w:tabs>
              <w:jc w:val="center"/>
              <w:rPr>
                <w:color w:val="000000"/>
                <w:sz w:val="20"/>
                <w:szCs w:val="20"/>
              </w:rPr>
            </w:pPr>
            <w:r w:rsidRPr="00C25A47">
              <w:rPr>
                <w:color w:val="000000"/>
                <w:sz w:val="20"/>
                <w:szCs w:val="20"/>
              </w:rPr>
              <w:t>5</w:t>
            </w:r>
          </w:p>
        </w:tc>
        <w:tc>
          <w:tcPr>
            <w:tcW w:w="433" w:type="pct"/>
            <w:shd w:val="clear" w:color="auto" w:fill="auto"/>
            <w:vAlign w:val="center"/>
          </w:tcPr>
          <w:p w14:paraId="07DDBC71" w14:textId="77777777" w:rsidR="00C25A47" w:rsidRPr="00C25A47" w:rsidRDefault="00C25A47" w:rsidP="00553183">
            <w:pPr>
              <w:tabs>
                <w:tab w:val="right" w:pos="590"/>
              </w:tabs>
              <w:jc w:val="center"/>
              <w:rPr>
                <w:color w:val="000000"/>
                <w:sz w:val="20"/>
                <w:szCs w:val="20"/>
              </w:rPr>
            </w:pPr>
            <w:r w:rsidRPr="00C25A47">
              <w:rPr>
                <w:color w:val="000000"/>
                <w:sz w:val="20"/>
                <w:szCs w:val="20"/>
              </w:rPr>
              <w:t>2,060</w:t>
            </w:r>
          </w:p>
        </w:tc>
        <w:tc>
          <w:tcPr>
            <w:tcW w:w="304" w:type="pct"/>
            <w:shd w:val="clear" w:color="auto" w:fill="auto"/>
            <w:vAlign w:val="center"/>
          </w:tcPr>
          <w:p w14:paraId="6092E05D" w14:textId="77777777" w:rsidR="00C25A47" w:rsidRPr="00C25A47" w:rsidRDefault="00C25A47" w:rsidP="00553183">
            <w:pPr>
              <w:tabs>
                <w:tab w:val="right" w:pos="501"/>
              </w:tabs>
              <w:jc w:val="center"/>
              <w:rPr>
                <w:color w:val="000000"/>
                <w:sz w:val="20"/>
                <w:szCs w:val="20"/>
              </w:rPr>
            </w:pPr>
            <w:r w:rsidRPr="00C25A47">
              <w:rPr>
                <w:color w:val="000000"/>
                <w:sz w:val="20"/>
                <w:szCs w:val="20"/>
              </w:rPr>
              <w:t>2</w:t>
            </w:r>
          </w:p>
        </w:tc>
        <w:tc>
          <w:tcPr>
            <w:tcW w:w="434" w:type="pct"/>
            <w:shd w:val="clear" w:color="auto" w:fill="auto"/>
            <w:vAlign w:val="center"/>
          </w:tcPr>
          <w:p w14:paraId="7DB63B27" w14:textId="77777777" w:rsidR="00C25A47" w:rsidRPr="00C25A47" w:rsidRDefault="00C25A47" w:rsidP="00553183">
            <w:pPr>
              <w:tabs>
                <w:tab w:val="right" w:pos="501"/>
              </w:tabs>
              <w:jc w:val="center"/>
              <w:rPr>
                <w:color w:val="000000"/>
                <w:sz w:val="20"/>
                <w:szCs w:val="20"/>
              </w:rPr>
            </w:pPr>
            <w:r w:rsidRPr="00C25A47">
              <w:rPr>
                <w:color w:val="000000"/>
                <w:sz w:val="20"/>
                <w:szCs w:val="20"/>
              </w:rPr>
              <w:t>1,109</w:t>
            </w:r>
          </w:p>
        </w:tc>
        <w:tc>
          <w:tcPr>
            <w:tcW w:w="304" w:type="pct"/>
            <w:shd w:val="clear" w:color="auto" w:fill="auto"/>
            <w:vAlign w:val="center"/>
          </w:tcPr>
          <w:p w14:paraId="53085289" w14:textId="77777777" w:rsidR="00C25A47" w:rsidRPr="00C25A47" w:rsidRDefault="00C25A47" w:rsidP="00553183">
            <w:pPr>
              <w:tabs>
                <w:tab w:val="right" w:pos="501"/>
              </w:tabs>
              <w:jc w:val="center"/>
              <w:rPr>
                <w:color w:val="000000"/>
                <w:sz w:val="20"/>
                <w:szCs w:val="20"/>
              </w:rPr>
            </w:pPr>
            <w:r w:rsidRPr="00C25A47">
              <w:rPr>
                <w:color w:val="000000"/>
                <w:sz w:val="20"/>
                <w:szCs w:val="20"/>
              </w:rPr>
              <w:t>0</w:t>
            </w:r>
          </w:p>
        </w:tc>
        <w:tc>
          <w:tcPr>
            <w:tcW w:w="452" w:type="pct"/>
            <w:shd w:val="clear" w:color="auto" w:fill="auto"/>
            <w:vAlign w:val="center"/>
          </w:tcPr>
          <w:p w14:paraId="015325EB" w14:textId="77777777" w:rsidR="00C25A47" w:rsidRPr="00C25A47" w:rsidRDefault="00C25A47" w:rsidP="00553183">
            <w:pPr>
              <w:tabs>
                <w:tab w:val="right" w:pos="501"/>
              </w:tabs>
              <w:jc w:val="center"/>
              <w:rPr>
                <w:color w:val="000000"/>
                <w:sz w:val="20"/>
                <w:szCs w:val="20"/>
              </w:rPr>
            </w:pPr>
            <w:r w:rsidRPr="00C25A47">
              <w:rPr>
                <w:color w:val="000000"/>
                <w:sz w:val="20"/>
                <w:szCs w:val="20"/>
              </w:rPr>
              <w:t>0</w:t>
            </w:r>
          </w:p>
        </w:tc>
        <w:tc>
          <w:tcPr>
            <w:tcW w:w="276" w:type="pct"/>
            <w:shd w:val="clear" w:color="auto" w:fill="auto"/>
            <w:vAlign w:val="center"/>
          </w:tcPr>
          <w:p w14:paraId="6DE25B2C" w14:textId="77777777" w:rsidR="00C25A47" w:rsidRPr="00C25A47" w:rsidRDefault="00C25A47" w:rsidP="00553183">
            <w:pPr>
              <w:tabs>
                <w:tab w:val="right" w:pos="573"/>
              </w:tabs>
              <w:jc w:val="center"/>
              <w:rPr>
                <w:b/>
                <w:color w:val="000000"/>
                <w:sz w:val="20"/>
                <w:szCs w:val="20"/>
              </w:rPr>
            </w:pPr>
            <w:r w:rsidRPr="00C25A47">
              <w:rPr>
                <w:b/>
                <w:color w:val="000000"/>
                <w:sz w:val="20"/>
                <w:szCs w:val="20"/>
              </w:rPr>
              <w:t>7</w:t>
            </w:r>
          </w:p>
        </w:tc>
        <w:tc>
          <w:tcPr>
            <w:tcW w:w="459" w:type="pct"/>
            <w:shd w:val="clear" w:color="auto" w:fill="auto"/>
            <w:vAlign w:val="center"/>
          </w:tcPr>
          <w:p w14:paraId="1FD086AC" w14:textId="77777777" w:rsidR="00C25A47" w:rsidRPr="00C25A47" w:rsidRDefault="00C25A47" w:rsidP="00553183">
            <w:pPr>
              <w:tabs>
                <w:tab w:val="right" w:pos="654"/>
              </w:tabs>
              <w:jc w:val="center"/>
              <w:rPr>
                <w:b/>
                <w:color w:val="000000"/>
                <w:sz w:val="20"/>
                <w:szCs w:val="20"/>
              </w:rPr>
            </w:pPr>
            <w:r w:rsidRPr="00C25A47">
              <w:rPr>
                <w:b/>
                <w:color w:val="000000"/>
                <w:sz w:val="20"/>
                <w:szCs w:val="20"/>
              </w:rPr>
              <w:t>3,169</w:t>
            </w:r>
          </w:p>
        </w:tc>
      </w:tr>
      <w:tr w:rsidR="00AA6EDE" w:rsidRPr="00C25A47" w14:paraId="64D91A43" w14:textId="77777777" w:rsidTr="00AA6EDE">
        <w:trPr>
          <w:trHeight w:val="288"/>
        </w:trPr>
        <w:tc>
          <w:tcPr>
            <w:tcW w:w="1296" w:type="pct"/>
          </w:tcPr>
          <w:p w14:paraId="174448F9" w14:textId="77777777" w:rsidR="00C25A47" w:rsidRPr="00C25A47" w:rsidRDefault="00C25A47" w:rsidP="00553183">
            <w:pPr>
              <w:keepNext/>
              <w:rPr>
                <w:b/>
                <w:color w:val="000000"/>
                <w:sz w:val="20"/>
                <w:szCs w:val="20"/>
              </w:rPr>
            </w:pPr>
            <w:r w:rsidRPr="00C25A47">
              <w:rPr>
                <w:b/>
                <w:color w:val="000000"/>
                <w:sz w:val="20"/>
                <w:szCs w:val="20"/>
              </w:rPr>
              <w:t>Sub-Total Residential</w:t>
            </w:r>
          </w:p>
        </w:tc>
        <w:tc>
          <w:tcPr>
            <w:tcW w:w="261" w:type="pct"/>
            <w:vAlign w:val="center"/>
          </w:tcPr>
          <w:p w14:paraId="31B02497" w14:textId="77777777" w:rsidR="00C25A47" w:rsidRPr="00C25A47" w:rsidRDefault="00C25A47" w:rsidP="00553183">
            <w:pPr>
              <w:keepNext/>
              <w:tabs>
                <w:tab w:val="right" w:pos="452"/>
              </w:tabs>
              <w:jc w:val="center"/>
              <w:rPr>
                <w:b/>
                <w:color w:val="000000"/>
                <w:sz w:val="20"/>
                <w:szCs w:val="20"/>
              </w:rPr>
            </w:pPr>
            <w:r w:rsidRPr="00C25A47">
              <w:rPr>
                <w:b/>
                <w:color w:val="000000"/>
                <w:sz w:val="20"/>
                <w:szCs w:val="20"/>
              </w:rPr>
              <w:t>1</w:t>
            </w:r>
          </w:p>
        </w:tc>
        <w:tc>
          <w:tcPr>
            <w:tcW w:w="476" w:type="pct"/>
            <w:vAlign w:val="center"/>
          </w:tcPr>
          <w:p w14:paraId="4D788E2B" w14:textId="77777777" w:rsidR="00C25A47" w:rsidRPr="00C25A47" w:rsidRDefault="00C25A47" w:rsidP="00553183">
            <w:pPr>
              <w:keepNext/>
              <w:tabs>
                <w:tab w:val="right" w:pos="663"/>
              </w:tabs>
              <w:jc w:val="center"/>
              <w:rPr>
                <w:b/>
                <w:color w:val="000000"/>
                <w:sz w:val="20"/>
                <w:szCs w:val="20"/>
              </w:rPr>
            </w:pPr>
            <w:r w:rsidRPr="00C25A47">
              <w:rPr>
                <w:b/>
                <w:color w:val="000000"/>
                <w:sz w:val="20"/>
                <w:szCs w:val="20"/>
              </w:rPr>
              <w:t>134</w:t>
            </w:r>
          </w:p>
        </w:tc>
        <w:tc>
          <w:tcPr>
            <w:tcW w:w="304" w:type="pct"/>
            <w:vAlign w:val="center"/>
          </w:tcPr>
          <w:p w14:paraId="24F2F53E" w14:textId="77777777" w:rsidR="00C25A47" w:rsidRPr="00C25A47" w:rsidRDefault="00C25A47" w:rsidP="00553183">
            <w:pPr>
              <w:keepNext/>
              <w:tabs>
                <w:tab w:val="right" w:pos="514"/>
              </w:tabs>
              <w:jc w:val="center"/>
              <w:rPr>
                <w:b/>
                <w:color w:val="000000"/>
                <w:sz w:val="20"/>
                <w:szCs w:val="20"/>
              </w:rPr>
            </w:pPr>
            <w:r w:rsidRPr="00C25A47">
              <w:rPr>
                <w:b/>
                <w:color w:val="000000"/>
                <w:sz w:val="20"/>
                <w:szCs w:val="20"/>
              </w:rPr>
              <w:t>45</w:t>
            </w:r>
          </w:p>
        </w:tc>
        <w:tc>
          <w:tcPr>
            <w:tcW w:w="433" w:type="pct"/>
            <w:vAlign w:val="center"/>
          </w:tcPr>
          <w:p w14:paraId="17B71B66" w14:textId="77777777" w:rsidR="00C25A47" w:rsidRPr="00C25A47" w:rsidRDefault="00C25A47" w:rsidP="00553183">
            <w:pPr>
              <w:keepNext/>
              <w:tabs>
                <w:tab w:val="right" w:pos="590"/>
              </w:tabs>
              <w:jc w:val="center"/>
              <w:rPr>
                <w:b/>
                <w:color w:val="000000"/>
                <w:sz w:val="20"/>
                <w:szCs w:val="20"/>
              </w:rPr>
            </w:pPr>
            <w:r w:rsidRPr="00C25A47">
              <w:rPr>
                <w:b/>
                <w:color w:val="000000"/>
                <w:sz w:val="20"/>
                <w:szCs w:val="20"/>
              </w:rPr>
              <w:t>11,279</w:t>
            </w:r>
          </w:p>
        </w:tc>
        <w:tc>
          <w:tcPr>
            <w:tcW w:w="304" w:type="pct"/>
            <w:vAlign w:val="center"/>
          </w:tcPr>
          <w:p w14:paraId="66A2E3A8" w14:textId="77777777" w:rsidR="00C25A47" w:rsidRPr="00C25A47" w:rsidRDefault="00C25A47" w:rsidP="00553183">
            <w:pPr>
              <w:keepNext/>
              <w:tabs>
                <w:tab w:val="right" w:pos="501"/>
              </w:tabs>
              <w:jc w:val="center"/>
              <w:rPr>
                <w:b/>
                <w:color w:val="000000"/>
                <w:sz w:val="20"/>
                <w:szCs w:val="20"/>
              </w:rPr>
            </w:pPr>
            <w:r w:rsidRPr="00C25A47">
              <w:rPr>
                <w:b/>
                <w:color w:val="000000"/>
                <w:sz w:val="20"/>
                <w:szCs w:val="20"/>
              </w:rPr>
              <w:t>32</w:t>
            </w:r>
          </w:p>
        </w:tc>
        <w:tc>
          <w:tcPr>
            <w:tcW w:w="434" w:type="pct"/>
            <w:vAlign w:val="center"/>
          </w:tcPr>
          <w:p w14:paraId="12048870" w14:textId="77777777" w:rsidR="00C25A47" w:rsidRPr="00C25A47" w:rsidRDefault="00C25A47" w:rsidP="00553183">
            <w:pPr>
              <w:keepNext/>
              <w:tabs>
                <w:tab w:val="right" w:pos="501"/>
              </w:tabs>
              <w:jc w:val="center"/>
              <w:rPr>
                <w:b/>
                <w:color w:val="000000"/>
                <w:sz w:val="20"/>
                <w:szCs w:val="20"/>
              </w:rPr>
            </w:pPr>
            <w:r w:rsidRPr="00C25A47">
              <w:rPr>
                <w:b/>
                <w:color w:val="000000"/>
                <w:sz w:val="20"/>
                <w:szCs w:val="20"/>
              </w:rPr>
              <w:t>8,121</w:t>
            </w:r>
          </w:p>
        </w:tc>
        <w:tc>
          <w:tcPr>
            <w:tcW w:w="304" w:type="pct"/>
            <w:vAlign w:val="center"/>
          </w:tcPr>
          <w:p w14:paraId="52F2F373" w14:textId="77777777" w:rsidR="00C25A47" w:rsidRPr="00C25A47" w:rsidRDefault="00C25A47" w:rsidP="00553183">
            <w:pPr>
              <w:keepNext/>
              <w:tabs>
                <w:tab w:val="right" w:pos="573"/>
              </w:tabs>
              <w:jc w:val="center"/>
              <w:rPr>
                <w:b/>
                <w:color w:val="000000"/>
                <w:sz w:val="20"/>
                <w:szCs w:val="20"/>
              </w:rPr>
            </w:pPr>
            <w:r w:rsidRPr="00C25A47">
              <w:rPr>
                <w:b/>
                <w:color w:val="000000"/>
                <w:sz w:val="20"/>
                <w:szCs w:val="20"/>
              </w:rPr>
              <w:t>5</w:t>
            </w:r>
          </w:p>
        </w:tc>
        <w:tc>
          <w:tcPr>
            <w:tcW w:w="452" w:type="pct"/>
            <w:vAlign w:val="center"/>
          </w:tcPr>
          <w:p w14:paraId="4D72568C" w14:textId="77777777" w:rsidR="00C25A47" w:rsidRPr="00C25A47" w:rsidRDefault="00C25A47" w:rsidP="00553183">
            <w:pPr>
              <w:keepNext/>
              <w:tabs>
                <w:tab w:val="right" w:pos="573"/>
              </w:tabs>
              <w:jc w:val="center"/>
              <w:rPr>
                <w:b/>
                <w:color w:val="000000"/>
                <w:sz w:val="20"/>
                <w:szCs w:val="20"/>
              </w:rPr>
            </w:pPr>
            <w:r w:rsidRPr="00C25A47">
              <w:rPr>
                <w:b/>
                <w:color w:val="000000"/>
                <w:sz w:val="20"/>
                <w:szCs w:val="20"/>
              </w:rPr>
              <w:t>831</w:t>
            </w:r>
          </w:p>
        </w:tc>
        <w:tc>
          <w:tcPr>
            <w:tcW w:w="276" w:type="pct"/>
            <w:vAlign w:val="center"/>
          </w:tcPr>
          <w:p w14:paraId="366F158C" w14:textId="77777777" w:rsidR="00C25A47" w:rsidRPr="00C25A47" w:rsidRDefault="00C25A47" w:rsidP="00553183">
            <w:pPr>
              <w:keepNext/>
              <w:tabs>
                <w:tab w:val="right" w:pos="573"/>
              </w:tabs>
              <w:jc w:val="center"/>
              <w:rPr>
                <w:b/>
                <w:color w:val="000000"/>
                <w:sz w:val="20"/>
                <w:szCs w:val="20"/>
              </w:rPr>
            </w:pPr>
            <w:r w:rsidRPr="00C25A47">
              <w:rPr>
                <w:b/>
                <w:color w:val="000000"/>
                <w:sz w:val="20"/>
                <w:szCs w:val="20"/>
              </w:rPr>
              <w:t>83</w:t>
            </w:r>
          </w:p>
        </w:tc>
        <w:tc>
          <w:tcPr>
            <w:tcW w:w="459" w:type="pct"/>
            <w:vAlign w:val="center"/>
          </w:tcPr>
          <w:p w14:paraId="5E9A69C9" w14:textId="77777777" w:rsidR="00C25A47" w:rsidRPr="00C25A47" w:rsidRDefault="00C25A47" w:rsidP="00553183">
            <w:pPr>
              <w:keepNext/>
              <w:tabs>
                <w:tab w:val="right" w:pos="654"/>
              </w:tabs>
              <w:jc w:val="center"/>
              <w:rPr>
                <w:b/>
                <w:color w:val="000000"/>
                <w:sz w:val="20"/>
                <w:szCs w:val="20"/>
              </w:rPr>
            </w:pPr>
            <w:r w:rsidRPr="00C25A47">
              <w:rPr>
                <w:b/>
                <w:color w:val="000000"/>
                <w:sz w:val="20"/>
                <w:szCs w:val="20"/>
              </w:rPr>
              <w:t>20,365</w:t>
            </w:r>
          </w:p>
        </w:tc>
      </w:tr>
      <w:tr w:rsidR="00C25A47" w:rsidRPr="00C25A47" w14:paraId="35488FDB" w14:textId="77777777" w:rsidTr="00AA6EDE">
        <w:trPr>
          <w:trHeight w:val="288"/>
        </w:trPr>
        <w:tc>
          <w:tcPr>
            <w:tcW w:w="5000" w:type="pct"/>
            <w:gridSpan w:val="11"/>
            <w:vAlign w:val="center"/>
          </w:tcPr>
          <w:p w14:paraId="77D158CC" w14:textId="77777777" w:rsidR="00C25A47" w:rsidRPr="00C25A47" w:rsidRDefault="00C25A47" w:rsidP="00553183">
            <w:pPr>
              <w:keepNext/>
              <w:tabs>
                <w:tab w:val="right" w:pos="654"/>
              </w:tabs>
              <w:rPr>
                <w:b/>
                <w:color w:val="000000"/>
                <w:sz w:val="20"/>
                <w:szCs w:val="20"/>
              </w:rPr>
            </w:pPr>
            <w:r w:rsidRPr="00C25A47">
              <w:rPr>
                <w:b/>
                <w:color w:val="000000"/>
                <w:sz w:val="20"/>
                <w:szCs w:val="20"/>
              </w:rPr>
              <w:t>Commercial</w:t>
            </w:r>
          </w:p>
        </w:tc>
      </w:tr>
      <w:tr w:rsidR="00AA6EDE" w:rsidRPr="00C25A47" w14:paraId="02A8E589" w14:textId="77777777" w:rsidTr="00AA6EDE">
        <w:trPr>
          <w:trHeight w:val="288"/>
        </w:trPr>
        <w:tc>
          <w:tcPr>
            <w:tcW w:w="1296" w:type="pct"/>
          </w:tcPr>
          <w:p w14:paraId="3BC3A73D" w14:textId="77777777" w:rsidR="00C25A47" w:rsidRPr="00C25A47" w:rsidRDefault="00C25A47" w:rsidP="00553183">
            <w:pPr>
              <w:keepNext/>
              <w:rPr>
                <w:color w:val="000000"/>
                <w:sz w:val="20"/>
                <w:szCs w:val="20"/>
              </w:rPr>
            </w:pPr>
            <w:r w:rsidRPr="00C25A47">
              <w:rPr>
                <w:color w:val="000000"/>
                <w:sz w:val="20"/>
                <w:szCs w:val="20"/>
              </w:rPr>
              <w:t>SBA - 504</w:t>
            </w:r>
          </w:p>
        </w:tc>
        <w:tc>
          <w:tcPr>
            <w:tcW w:w="261" w:type="pct"/>
            <w:shd w:val="clear" w:color="auto" w:fill="auto"/>
            <w:vAlign w:val="center"/>
          </w:tcPr>
          <w:p w14:paraId="5BF3B177" w14:textId="77777777" w:rsidR="00C25A47" w:rsidRPr="00C25A47" w:rsidRDefault="00C25A47" w:rsidP="00553183">
            <w:pPr>
              <w:tabs>
                <w:tab w:val="right" w:pos="452"/>
              </w:tabs>
              <w:jc w:val="center"/>
              <w:rPr>
                <w:color w:val="000000"/>
                <w:sz w:val="20"/>
                <w:szCs w:val="20"/>
              </w:rPr>
            </w:pPr>
            <w:r w:rsidRPr="00C25A47">
              <w:rPr>
                <w:color w:val="000000"/>
                <w:sz w:val="20"/>
                <w:szCs w:val="20"/>
              </w:rPr>
              <w:t>2</w:t>
            </w:r>
          </w:p>
        </w:tc>
        <w:tc>
          <w:tcPr>
            <w:tcW w:w="476" w:type="pct"/>
            <w:shd w:val="clear" w:color="auto" w:fill="auto"/>
            <w:vAlign w:val="center"/>
          </w:tcPr>
          <w:p w14:paraId="2EEC080F" w14:textId="77777777" w:rsidR="00C25A47" w:rsidRPr="00C25A47" w:rsidRDefault="00C25A47" w:rsidP="00553183">
            <w:pPr>
              <w:tabs>
                <w:tab w:val="right" w:pos="663"/>
              </w:tabs>
              <w:jc w:val="center"/>
              <w:rPr>
                <w:color w:val="000000"/>
                <w:sz w:val="20"/>
                <w:szCs w:val="20"/>
              </w:rPr>
            </w:pPr>
            <w:r w:rsidRPr="00C25A47">
              <w:rPr>
                <w:color w:val="000000"/>
                <w:sz w:val="20"/>
                <w:szCs w:val="20"/>
              </w:rPr>
              <w:t>700</w:t>
            </w:r>
          </w:p>
        </w:tc>
        <w:tc>
          <w:tcPr>
            <w:tcW w:w="304" w:type="pct"/>
            <w:shd w:val="clear" w:color="auto" w:fill="auto"/>
            <w:vAlign w:val="center"/>
          </w:tcPr>
          <w:p w14:paraId="2FFDFB85" w14:textId="77777777" w:rsidR="00C25A47" w:rsidRPr="00C25A47" w:rsidRDefault="00C25A47" w:rsidP="00553183">
            <w:pPr>
              <w:tabs>
                <w:tab w:val="right" w:pos="514"/>
              </w:tabs>
              <w:jc w:val="center"/>
              <w:rPr>
                <w:color w:val="000000"/>
                <w:sz w:val="20"/>
                <w:szCs w:val="20"/>
              </w:rPr>
            </w:pPr>
            <w:r w:rsidRPr="00C25A47">
              <w:rPr>
                <w:color w:val="000000"/>
                <w:sz w:val="20"/>
                <w:szCs w:val="20"/>
              </w:rPr>
              <w:t>12</w:t>
            </w:r>
          </w:p>
        </w:tc>
        <w:tc>
          <w:tcPr>
            <w:tcW w:w="433" w:type="pct"/>
            <w:shd w:val="clear" w:color="auto" w:fill="auto"/>
            <w:vAlign w:val="center"/>
          </w:tcPr>
          <w:p w14:paraId="3DA6EF83" w14:textId="77777777" w:rsidR="00C25A47" w:rsidRPr="00C25A47" w:rsidRDefault="00C25A47" w:rsidP="00553183">
            <w:pPr>
              <w:tabs>
                <w:tab w:val="right" w:pos="590"/>
              </w:tabs>
              <w:jc w:val="center"/>
              <w:rPr>
                <w:color w:val="000000"/>
                <w:sz w:val="20"/>
                <w:szCs w:val="20"/>
              </w:rPr>
            </w:pPr>
            <w:r w:rsidRPr="00C25A47">
              <w:rPr>
                <w:color w:val="000000"/>
                <w:sz w:val="20"/>
                <w:szCs w:val="20"/>
              </w:rPr>
              <w:t>8,357</w:t>
            </w:r>
          </w:p>
        </w:tc>
        <w:tc>
          <w:tcPr>
            <w:tcW w:w="304" w:type="pct"/>
            <w:shd w:val="clear" w:color="auto" w:fill="auto"/>
            <w:vAlign w:val="center"/>
          </w:tcPr>
          <w:p w14:paraId="483F5865" w14:textId="77777777" w:rsidR="00C25A47" w:rsidRPr="00C25A47" w:rsidRDefault="00C25A47" w:rsidP="00553183">
            <w:pPr>
              <w:tabs>
                <w:tab w:val="right" w:pos="501"/>
              </w:tabs>
              <w:jc w:val="center"/>
              <w:rPr>
                <w:color w:val="000000"/>
                <w:sz w:val="20"/>
                <w:szCs w:val="20"/>
              </w:rPr>
            </w:pPr>
            <w:r w:rsidRPr="00C25A47">
              <w:rPr>
                <w:color w:val="000000"/>
                <w:sz w:val="20"/>
                <w:szCs w:val="20"/>
              </w:rPr>
              <w:t>19</w:t>
            </w:r>
          </w:p>
        </w:tc>
        <w:tc>
          <w:tcPr>
            <w:tcW w:w="434" w:type="pct"/>
            <w:shd w:val="clear" w:color="auto" w:fill="auto"/>
            <w:vAlign w:val="center"/>
          </w:tcPr>
          <w:p w14:paraId="412EF26F" w14:textId="77777777" w:rsidR="00C25A47" w:rsidRPr="00C25A47" w:rsidRDefault="00C25A47" w:rsidP="00553183">
            <w:pPr>
              <w:tabs>
                <w:tab w:val="right" w:pos="501"/>
              </w:tabs>
              <w:jc w:val="center"/>
              <w:rPr>
                <w:color w:val="000000"/>
                <w:sz w:val="20"/>
                <w:szCs w:val="20"/>
              </w:rPr>
            </w:pPr>
            <w:r w:rsidRPr="00C25A47">
              <w:rPr>
                <w:color w:val="000000"/>
                <w:sz w:val="20"/>
                <w:szCs w:val="20"/>
              </w:rPr>
              <w:t>10,075</w:t>
            </w:r>
          </w:p>
        </w:tc>
        <w:tc>
          <w:tcPr>
            <w:tcW w:w="304" w:type="pct"/>
            <w:shd w:val="clear" w:color="auto" w:fill="auto"/>
            <w:vAlign w:val="center"/>
          </w:tcPr>
          <w:p w14:paraId="41175AB3" w14:textId="77777777" w:rsidR="00C25A47" w:rsidRPr="00C25A47" w:rsidRDefault="00C25A47" w:rsidP="00553183">
            <w:pPr>
              <w:tabs>
                <w:tab w:val="right" w:pos="501"/>
              </w:tabs>
              <w:jc w:val="center"/>
              <w:rPr>
                <w:color w:val="000000"/>
                <w:sz w:val="20"/>
                <w:szCs w:val="20"/>
              </w:rPr>
            </w:pPr>
            <w:r w:rsidRPr="00C25A47">
              <w:rPr>
                <w:color w:val="000000"/>
                <w:sz w:val="20"/>
                <w:szCs w:val="20"/>
              </w:rPr>
              <w:t>0</w:t>
            </w:r>
          </w:p>
        </w:tc>
        <w:tc>
          <w:tcPr>
            <w:tcW w:w="452" w:type="pct"/>
            <w:shd w:val="clear" w:color="auto" w:fill="auto"/>
            <w:vAlign w:val="center"/>
          </w:tcPr>
          <w:p w14:paraId="37FF5EB8" w14:textId="77777777" w:rsidR="00C25A47" w:rsidRPr="00C25A47" w:rsidRDefault="00C25A47" w:rsidP="00553183">
            <w:pPr>
              <w:tabs>
                <w:tab w:val="right" w:pos="501"/>
              </w:tabs>
              <w:jc w:val="center"/>
              <w:rPr>
                <w:color w:val="000000"/>
                <w:sz w:val="20"/>
                <w:szCs w:val="20"/>
              </w:rPr>
            </w:pPr>
            <w:r w:rsidRPr="00C25A47">
              <w:rPr>
                <w:color w:val="000000"/>
                <w:sz w:val="20"/>
                <w:szCs w:val="20"/>
              </w:rPr>
              <w:t>0</w:t>
            </w:r>
          </w:p>
        </w:tc>
        <w:tc>
          <w:tcPr>
            <w:tcW w:w="276" w:type="pct"/>
            <w:shd w:val="clear" w:color="auto" w:fill="auto"/>
            <w:vAlign w:val="center"/>
          </w:tcPr>
          <w:p w14:paraId="5AE17C94" w14:textId="77777777" w:rsidR="00C25A47" w:rsidRPr="00C25A47" w:rsidRDefault="00C25A47" w:rsidP="00553183">
            <w:pPr>
              <w:tabs>
                <w:tab w:val="right" w:pos="573"/>
              </w:tabs>
              <w:jc w:val="center"/>
              <w:rPr>
                <w:b/>
                <w:color w:val="000000"/>
                <w:sz w:val="20"/>
                <w:szCs w:val="20"/>
              </w:rPr>
            </w:pPr>
            <w:r w:rsidRPr="00C25A47">
              <w:rPr>
                <w:b/>
                <w:color w:val="000000"/>
                <w:sz w:val="20"/>
                <w:szCs w:val="20"/>
              </w:rPr>
              <w:t>33</w:t>
            </w:r>
          </w:p>
        </w:tc>
        <w:tc>
          <w:tcPr>
            <w:tcW w:w="459" w:type="pct"/>
            <w:shd w:val="clear" w:color="auto" w:fill="auto"/>
            <w:vAlign w:val="center"/>
          </w:tcPr>
          <w:p w14:paraId="17751B66" w14:textId="77777777" w:rsidR="00C25A47" w:rsidRPr="00C25A47" w:rsidRDefault="00C25A47" w:rsidP="00553183">
            <w:pPr>
              <w:tabs>
                <w:tab w:val="right" w:pos="654"/>
              </w:tabs>
              <w:jc w:val="center"/>
              <w:rPr>
                <w:b/>
                <w:color w:val="000000"/>
                <w:sz w:val="20"/>
                <w:szCs w:val="20"/>
              </w:rPr>
            </w:pPr>
            <w:r w:rsidRPr="00C25A47">
              <w:rPr>
                <w:b/>
                <w:color w:val="000000"/>
                <w:sz w:val="20"/>
                <w:szCs w:val="20"/>
              </w:rPr>
              <w:t>19,132</w:t>
            </w:r>
          </w:p>
        </w:tc>
      </w:tr>
      <w:tr w:rsidR="00AA6EDE" w:rsidRPr="00C25A47" w14:paraId="06BBBE53" w14:textId="77777777" w:rsidTr="00AA6EDE">
        <w:trPr>
          <w:trHeight w:val="288"/>
        </w:trPr>
        <w:tc>
          <w:tcPr>
            <w:tcW w:w="1296" w:type="pct"/>
          </w:tcPr>
          <w:p w14:paraId="247A6534" w14:textId="77777777" w:rsidR="00C25A47" w:rsidRPr="00C25A47" w:rsidRDefault="00C25A47" w:rsidP="00553183">
            <w:pPr>
              <w:keepNext/>
              <w:rPr>
                <w:color w:val="000000"/>
                <w:sz w:val="20"/>
                <w:szCs w:val="20"/>
              </w:rPr>
            </w:pPr>
            <w:r w:rsidRPr="00C25A47">
              <w:rPr>
                <w:color w:val="000000"/>
                <w:sz w:val="20"/>
                <w:szCs w:val="20"/>
              </w:rPr>
              <w:t>SBA – 7A</w:t>
            </w:r>
          </w:p>
        </w:tc>
        <w:tc>
          <w:tcPr>
            <w:tcW w:w="261" w:type="pct"/>
            <w:shd w:val="clear" w:color="auto" w:fill="auto"/>
            <w:vAlign w:val="center"/>
          </w:tcPr>
          <w:p w14:paraId="06894AB9" w14:textId="77777777" w:rsidR="00C25A47" w:rsidRPr="00C25A47" w:rsidRDefault="00C25A47" w:rsidP="00553183">
            <w:pPr>
              <w:tabs>
                <w:tab w:val="right" w:pos="452"/>
              </w:tabs>
              <w:jc w:val="center"/>
              <w:rPr>
                <w:color w:val="000000"/>
                <w:sz w:val="20"/>
                <w:szCs w:val="20"/>
              </w:rPr>
            </w:pPr>
            <w:r w:rsidRPr="00C25A47">
              <w:rPr>
                <w:color w:val="000000"/>
                <w:sz w:val="20"/>
                <w:szCs w:val="20"/>
              </w:rPr>
              <w:t>0</w:t>
            </w:r>
          </w:p>
        </w:tc>
        <w:tc>
          <w:tcPr>
            <w:tcW w:w="476" w:type="pct"/>
            <w:shd w:val="clear" w:color="auto" w:fill="auto"/>
            <w:vAlign w:val="center"/>
          </w:tcPr>
          <w:p w14:paraId="5C04429E" w14:textId="77777777" w:rsidR="00C25A47" w:rsidRPr="00C25A47" w:rsidRDefault="00C25A47" w:rsidP="00553183">
            <w:pPr>
              <w:tabs>
                <w:tab w:val="right" w:pos="663"/>
              </w:tabs>
              <w:jc w:val="center"/>
              <w:rPr>
                <w:color w:val="000000"/>
                <w:sz w:val="20"/>
                <w:szCs w:val="20"/>
              </w:rPr>
            </w:pPr>
            <w:r w:rsidRPr="00C25A47">
              <w:rPr>
                <w:color w:val="000000"/>
                <w:sz w:val="20"/>
                <w:szCs w:val="20"/>
              </w:rPr>
              <w:t>0</w:t>
            </w:r>
          </w:p>
        </w:tc>
        <w:tc>
          <w:tcPr>
            <w:tcW w:w="304" w:type="pct"/>
            <w:shd w:val="clear" w:color="auto" w:fill="auto"/>
            <w:vAlign w:val="center"/>
          </w:tcPr>
          <w:p w14:paraId="2A7C9612" w14:textId="77777777" w:rsidR="00C25A47" w:rsidRPr="00C25A47" w:rsidRDefault="00C25A47" w:rsidP="00553183">
            <w:pPr>
              <w:tabs>
                <w:tab w:val="right" w:pos="514"/>
              </w:tabs>
              <w:jc w:val="center"/>
              <w:rPr>
                <w:color w:val="000000"/>
                <w:sz w:val="20"/>
                <w:szCs w:val="20"/>
              </w:rPr>
            </w:pPr>
            <w:r w:rsidRPr="00C25A47">
              <w:rPr>
                <w:color w:val="000000"/>
                <w:sz w:val="20"/>
                <w:szCs w:val="20"/>
              </w:rPr>
              <w:t>1</w:t>
            </w:r>
          </w:p>
        </w:tc>
        <w:tc>
          <w:tcPr>
            <w:tcW w:w="433" w:type="pct"/>
            <w:shd w:val="clear" w:color="auto" w:fill="auto"/>
            <w:vAlign w:val="center"/>
          </w:tcPr>
          <w:p w14:paraId="0895EEE2" w14:textId="77777777" w:rsidR="00C25A47" w:rsidRPr="00C25A47" w:rsidRDefault="00C25A47" w:rsidP="00553183">
            <w:pPr>
              <w:tabs>
                <w:tab w:val="right" w:pos="590"/>
              </w:tabs>
              <w:jc w:val="center"/>
              <w:rPr>
                <w:color w:val="000000"/>
                <w:sz w:val="20"/>
                <w:szCs w:val="20"/>
              </w:rPr>
            </w:pPr>
            <w:r w:rsidRPr="00C25A47">
              <w:rPr>
                <w:color w:val="000000"/>
                <w:sz w:val="20"/>
                <w:szCs w:val="20"/>
              </w:rPr>
              <w:t>250</w:t>
            </w:r>
          </w:p>
        </w:tc>
        <w:tc>
          <w:tcPr>
            <w:tcW w:w="304" w:type="pct"/>
            <w:shd w:val="clear" w:color="auto" w:fill="auto"/>
            <w:vAlign w:val="center"/>
          </w:tcPr>
          <w:p w14:paraId="7AFA0C5F" w14:textId="77777777" w:rsidR="00C25A47" w:rsidRPr="00C25A47" w:rsidRDefault="00C25A47" w:rsidP="00553183">
            <w:pPr>
              <w:tabs>
                <w:tab w:val="right" w:pos="501"/>
              </w:tabs>
              <w:jc w:val="center"/>
              <w:rPr>
                <w:color w:val="000000"/>
                <w:sz w:val="20"/>
                <w:szCs w:val="20"/>
              </w:rPr>
            </w:pPr>
            <w:r w:rsidRPr="00C25A47">
              <w:rPr>
                <w:color w:val="000000"/>
                <w:sz w:val="20"/>
                <w:szCs w:val="20"/>
              </w:rPr>
              <w:t>3</w:t>
            </w:r>
          </w:p>
        </w:tc>
        <w:tc>
          <w:tcPr>
            <w:tcW w:w="434" w:type="pct"/>
            <w:shd w:val="clear" w:color="auto" w:fill="auto"/>
            <w:vAlign w:val="center"/>
          </w:tcPr>
          <w:p w14:paraId="65B98229" w14:textId="77777777" w:rsidR="00C25A47" w:rsidRPr="00C25A47" w:rsidRDefault="00C25A47" w:rsidP="00553183">
            <w:pPr>
              <w:tabs>
                <w:tab w:val="right" w:pos="501"/>
              </w:tabs>
              <w:jc w:val="center"/>
              <w:rPr>
                <w:color w:val="000000"/>
                <w:sz w:val="20"/>
                <w:szCs w:val="20"/>
              </w:rPr>
            </w:pPr>
            <w:r w:rsidRPr="00C25A47">
              <w:rPr>
                <w:color w:val="000000"/>
                <w:sz w:val="20"/>
                <w:szCs w:val="20"/>
              </w:rPr>
              <w:t>500</w:t>
            </w:r>
          </w:p>
        </w:tc>
        <w:tc>
          <w:tcPr>
            <w:tcW w:w="304" w:type="pct"/>
            <w:shd w:val="clear" w:color="auto" w:fill="auto"/>
            <w:vAlign w:val="center"/>
          </w:tcPr>
          <w:p w14:paraId="18C33D3B" w14:textId="77777777" w:rsidR="00C25A47" w:rsidRPr="00C25A47" w:rsidRDefault="00C25A47" w:rsidP="00553183">
            <w:pPr>
              <w:tabs>
                <w:tab w:val="right" w:pos="501"/>
              </w:tabs>
              <w:jc w:val="center"/>
              <w:rPr>
                <w:color w:val="000000"/>
                <w:sz w:val="20"/>
                <w:szCs w:val="20"/>
              </w:rPr>
            </w:pPr>
            <w:r w:rsidRPr="00C25A47">
              <w:rPr>
                <w:color w:val="000000"/>
                <w:sz w:val="20"/>
                <w:szCs w:val="20"/>
              </w:rPr>
              <w:t>0</w:t>
            </w:r>
          </w:p>
        </w:tc>
        <w:tc>
          <w:tcPr>
            <w:tcW w:w="452" w:type="pct"/>
            <w:shd w:val="clear" w:color="auto" w:fill="auto"/>
            <w:vAlign w:val="center"/>
          </w:tcPr>
          <w:p w14:paraId="1510CE36" w14:textId="77777777" w:rsidR="00C25A47" w:rsidRPr="00C25A47" w:rsidRDefault="00C25A47" w:rsidP="00553183">
            <w:pPr>
              <w:tabs>
                <w:tab w:val="right" w:pos="501"/>
              </w:tabs>
              <w:jc w:val="center"/>
              <w:rPr>
                <w:color w:val="000000"/>
                <w:sz w:val="20"/>
                <w:szCs w:val="20"/>
              </w:rPr>
            </w:pPr>
            <w:r w:rsidRPr="00C25A47">
              <w:rPr>
                <w:color w:val="000000"/>
                <w:sz w:val="20"/>
                <w:szCs w:val="20"/>
              </w:rPr>
              <w:t>0</w:t>
            </w:r>
          </w:p>
        </w:tc>
        <w:tc>
          <w:tcPr>
            <w:tcW w:w="276" w:type="pct"/>
            <w:shd w:val="clear" w:color="auto" w:fill="auto"/>
            <w:vAlign w:val="center"/>
          </w:tcPr>
          <w:p w14:paraId="40C3B5EC" w14:textId="77777777" w:rsidR="00C25A47" w:rsidRPr="00C25A47" w:rsidRDefault="00C25A47" w:rsidP="00553183">
            <w:pPr>
              <w:tabs>
                <w:tab w:val="right" w:pos="573"/>
              </w:tabs>
              <w:jc w:val="center"/>
              <w:rPr>
                <w:b/>
                <w:color w:val="000000"/>
                <w:sz w:val="20"/>
                <w:szCs w:val="20"/>
              </w:rPr>
            </w:pPr>
            <w:r w:rsidRPr="00C25A47">
              <w:rPr>
                <w:b/>
                <w:color w:val="000000"/>
                <w:sz w:val="20"/>
                <w:szCs w:val="20"/>
              </w:rPr>
              <w:t>4</w:t>
            </w:r>
          </w:p>
        </w:tc>
        <w:tc>
          <w:tcPr>
            <w:tcW w:w="459" w:type="pct"/>
            <w:shd w:val="clear" w:color="auto" w:fill="auto"/>
            <w:vAlign w:val="center"/>
          </w:tcPr>
          <w:p w14:paraId="2F270370" w14:textId="77777777" w:rsidR="00C25A47" w:rsidRPr="00C25A47" w:rsidRDefault="00C25A47" w:rsidP="00553183">
            <w:pPr>
              <w:tabs>
                <w:tab w:val="right" w:pos="654"/>
              </w:tabs>
              <w:jc w:val="center"/>
              <w:rPr>
                <w:b/>
                <w:color w:val="000000"/>
                <w:sz w:val="20"/>
                <w:szCs w:val="20"/>
              </w:rPr>
            </w:pPr>
            <w:r w:rsidRPr="00C25A47">
              <w:rPr>
                <w:b/>
                <w:color w:val="000000"/>
                <w:sz w:val="20"/>
                <w:szCs w:val="20"/>
              </w:rPr>
              <w:t>750</w:t>
            </w:r>
          </w:p>
        </w:tc>
      </w:tr>
      <w:tr w:rsidR="00AA6EDE" w:rsidRPr="00C25A47" w14:paraId="0C9509A1" w14:textId="77777777" w:rsidTr="00AA6EDE">
        <w:trPr>
          <w:trHeight w:val="288"/>
        </w:trPr>
        <w:tc>
          <w:tcPr>
            <w:tcW w:w="1296" w:type="pct"/>
          </w:tcPr>
          <w:p w14:paraId="6B813970" w14:textId="77777777" w:rsidR="00C25A47" w:rsidRPr="00C25A47" w:rsidRDefault="00C25A47" w:rsidP="00553183">
            <w:pPr>
              <w:keepNext/>
              <w:rPr>
                <w:b/>
                <w:color w:val="000000"/>
                <w:sz w:val="20"/>
                <w:szCs w:val="20"/>
              </w:rPr>
            </w:pPr>
            <w:r w:rsidRPr="00C25A47">
              <w:rPr>
                <w:b/>
                <w:color w:val="000000"/>
                <w:sz w:val="20"/>
                <w:szCs w:val="20"/>
              </w:rPr>
              <w:t>Sub-Total Commercial</w:t>
            </w:r>
          </w:p>
        </w:tc>
        <w:tc>
          <w:tcPr>
            <w:tcW w:w="261" w:type="pct"/>
            <w:vAlign w:val="center"/>
          </w:tcPr>
          <w:p w14:paraId="57855BDF" w14:textId="77777777" w:rsidR="00C25A47" w:rsidRPr="00C25A47" w:rsidRDefault="00C25A47" w:rsidP="00553183">
            <w:pPr>
              <w:keepNext/>
              <w:tabs>
                <w:tab w:val="right" w:pos="452"/>
              </w:tabs>
              <w:jc w:val="center"/>
              <w:rPr>
                <w:b/>
                <w:color w:val="000000"/>
                <w:sz w:val="20"/>
                <w:szCs w:val="20"/>
              </w:rPr>
            </w:pPr>
            <w:r w:rsidRPr="00C25A47">
              <w:rPr>
                <w:b/>
                <w:color w:val="000000"/>
                <w:sz w:val="20"/>
                <w:szCs w:val="20"/>
              </w:rPr>
              <w:t>2</w:t>
            </w:r>
          </w:p>
        </w:tc>
        <w:tc>
          <w:tcPr>
            <w:tcW w:w="476" w:type="pct"/>
            <w:vAlign w:val="center"/>
          </w:tcPr>
          <w:p w14:paraId="3222604A" w14:textId="77777777" w:rsidR="00C25A47" w:rsidRPr="00C25A47" w:rsidRDefault="00C25A47" w:rsidP="00553183">
            <w:pPr>
              <w:keepNext/>
              <w:tabs>
                <w:tab w:val="right" w:pos="663"/>
              </w:tabs>
              <w:jc w:val="center"/>
              <w:rPr>
                <w:b/>
                <w:color w:val="000000"/>
                <w:sz w:val="20"/>
                <w:szCs w:val="20"/>
              </w:rPr>
            </w:pPr>
            <w:r w:rsidRPr="00C25A47">
              <w:rPr>
                <w:b/>
                <w:color w:val="000000"/>
                <w:sz w:val="20"/>
                <w:szCs w:val="20"/>
              </w:rPr>
              <w:t>700</w:t>
            </w:r>
          </w:p>
        </w:tc>
        <w:tc>
          <w:tcPr>
            <w:tcW w:w="304" w:type="pct"/>
            <w:vAlign w:val="center"/>
          </w:tcPr>
          <w:p w14:paraId="6BD4CE66" w14:textId="77777777" w:rsidR="00C25A47" w:rsidRPr="00C25A47" w:rsidRDefault="00C25A47" w:rsidP="00553183">
            <w:pPr>
              <w:keepNext/>
              <w:tabs>
                <w:tab w:val="right" w:pos="514"/>
              </w:tabs>
              <w:jc w:val="center"/>
              <w:rPr>
                <w:b/>
                <w:color w:val="000000"/>
                <w:sz w:val="20"/>
                <w:szCs w:val="20"/>
              </w:rPr>
            </w:pPr>
            <w:r w:rsidRPr="00C25A47">
              <w:rPr>
                <w:b/>
                <w:color w:val="000000"/>
                <w:sz w:val="20"/>
                <w:szCs w:val="20"/>
              </w:rPr>
              <w:t>13</w:t>
            </w:r>
          </w:p>
        </w:tc>
        <w:tc>
          <w:tcPr>
            <w:tcW w:w="433" w:type="pct"/>
            <w:vAlign w:val="center"/>
          </w:tcPr>
          <w:p w14:paraId="5DFEFEE3" w14:textId="77777777" w:rsidR="00C25A47" w:rsidRPr="00C25A47" w:rsidRDefault="00C25A47" w:rsidP="00553183">
            <w:pPr>
              <w:keepNext/>
              <w:tabs>
                <w:tab w:val="right" w:pos="590"/>
              </w:tabs>
              <w:jc w:val="center"/>
              <w:rPr>
                <w:b/>
                <w:color w:val="000000"/>
                <w:sz w:val="20"/>
                <w:szCs w:val="20"/>
              </w:rPr>
            </w:pPr>
            <w:r w:rsidRPr="00C25A47">
              <w:rPr>
                <w:b/>
                <w:color w:val="000000"/>
                <w:sz w:val="20"/>
                <w:szCs w:val="20"/>
              </w:rPr>
              <w:t>8,607</w:t>
            </w:r>
          </w:p>
        </w:tc>
        <w:tc>
          <w:tcPr>
            <w:tcW w:w="304" w:type="pct"/>
            <w:vAlign w:val="center"/>
          </w:tcPr>
          <w:p w14:paraId="1A853098" w14:textId="77777777" w:rsidR="00C25A47" w:rsidRPr="00C25A47" w:rsidRDefault="00C25A47" w:rsidP="00553183">
            <w:pPr>
              <w:keepNext/>
              <w:tabs>
                <w:tab w:val="right" w:pos="501"/>
              </w:tabs>
              <w:jc w:val="center"/>
              <w:rPr>
                <w:b/>
                <w:color w:val="000000"/>
                <w:sz w:val="20"/>
                <w:szCs w:val="20"/>
              </w:rPr>
            </w:pPr>
            <w:r w:rsidRPr="00C25A47">
              <w:rPr>
                <w:b/>
                <w:color w:val="000000"/>
                <w:sz w:val="20"/>
                <w:szCs w:val="20"/>
              </w:rPr>
              <w:t>22</w:t>
            </w:r>
          </w:p>
        </w:tc>
        <w:tc>
          <w:tcPr>
            <w:tcW w:w="434" w:type="pct"/>
            <w:vAlign w:val="center"/>
          </w:tcPr>
          <w:p w14:paraId="02A600CD" w14:textId="77777777" w:rsidR="00C25A47" w:rsidRPr="00C25A47" w:rsidRDefault="00C25A47" w:rsidP="00553183">
            <w:pPr>
              <w:keepNext/>
              <w:tabs>
                <w:tab w:val="right" w:pos="501"/>
              </w:tabs>
              <w:jc w:val="center"/>
              <w:rPr>
                <w:b/>
                <w:color w:val="000000"/>
                <w:sz w:val="20"/>
                <w:szCs w:val="20"/>
              </w:rPr>
            </w:pPr>
            <w:r w:rsidRPr="00C25A47">
              <w:rPr>
                <w:b/>
                <w:color w:val="000000"/>
                <w:sz w:val="20"/>
                <w:szCs w:val="20"/>
              </w:rPr>
              <w:t>10,575</w:t>
            </w:r>
          </w:p>
        </w:tc>
        <w:tc>
          <w:tcPr>
            <w:tcW w:w="304" w:type="pct"/>
            <w:vAlign w:val="center"/>
          </w:tcPr>
          <w:p w14:paraId="35797A30" w14:textId="1C52086F" w:rsidR="00C25A47" w:rsidRPr="00C25A47" w:rsidRDefault="00700C4D" w:rsidP="00553183">
            <w:pPr>
              <w:keepNext/>
              <w:tabs>
                <w:tab w:val="right" w:pos="573"/>
              </w:tabs>
              <w:jc w:val="center"/>
              <w:rPr>
                <w:b/>
                <w:color w:val="000000"/>
                <w:sz w:val="20"/>
                <w:szCs w:val="20"/>
              </w:rPr>
            </w:pPr>
            <w:r>
              <w:rPr>
                <w:b/>
                <w:color w:val="000000"/>
                <w:sz w:val="20"/>
                <w:szCs w:val="20"/>
              </w:rPr>
              <w:t>0</w:t>
            </w:r>
          </w:p>
        </w:tc>
        <w:tc>
          <w:tcPr>
            <w:tcW w:w="452" w:type="pct"/>
            <w:vAlign w:val="center"/>
          </w:tcPr>
          <w:p w14:paraId="10514262" w14:textId="042D4635" w:rsidR="00C25A47" w:rsidRPr="00C25A47" w:rsidRDefault="00700C4D" w:rsidP="00553183">
            <w:pPr>
              <w:keepNext/>
              <w:tabs>
                <w:tab w:val="right" w:pos="573"/>
              </w:tabs>
              <w:jc w:val="center"/>
              <w:rPr>
                <w:b/>
                <w:color w:val="000000"/>
                <w:sz w:val="20"/>
                <w:szCs w:val="20"/>
              </w:rPr>
            </w:pPr>
            <w:r>
              <w:rPr>
                <w:b/>
                <w:color w:val="000000"/>
                <w:sz w:val="20"/>
                <w:szCs w:val="20"/>
              </w:rPr>
              <w:t>0</w:t>
            </w:r>
          </w:p>
        </w:tc>
        <w:tc>
          <w:tcPr>
            <w:tcW w:w="276" w:type="pct"/>
            <w:vAlign w:val="center"/>
          </w:tcPr>
          <w:p w14:paraId="186C63E6" w14:textId="77777777" w:rsidR="00C25A47" w:rsidRPr="00C25A47" w:rsidRDefault="00C25A47" w:rsidP="00553183">
            <w:pPr>
              <w:keepNext/>
              <w:tabs>
                <w:tab w:val="right" w:pos="573"/>
              </w:tabs>
              <w:jc w:val="center"/>
              <w:rPr>
                <w:b/>
                <w:color w:val="000000"/>
                <w:sz w:val="20"/>
                <w:szCs w:val="20"/>
              </w:rPr>
            </w:pPr>
            <w:r w:rsidRPr="00C25A47">
              <w:rPr>
                <w:b/>
                <w:color w:val="000000"/>
                <w:sz w:val="20"/>
                <w:szCs w:val="20"/>
              </w:rPr>
              <w:t>37</w:t>
            </w:r>
          </w:p>
        </w:tc>
        <w:tc>
          <w:tcPr>
            <w:tcW w:w="459" w:type="pct"/>
            <w:vAlign w:val="center"/>
          </w:tcPr>
          <w:p w14:paraId="11412E2C" w14:textId="77777777" w:rsidR="00C25A47" w:rsidRPr="00C25A47" w:rsidRDefault="00C25A47" w:rsidP="00553183">
            <w:pPr>
              <w:keepNext/>
              <w:tabs>
                <w:tab w:val="right" w:pos="654"/>
              </w:tabs>
              <w:jc w:val="center"/>
              <w:rPr>
                <w:b/>
                <w:color w:val="000000"/>
                <w:sz w:val="20"/>
                <w:szCs w:val="20"/>
              </w:rPr>
            </w:pPr>
            <w:r w:rsidRPr="00C25A47">
              <w:rPr>
                <w:b/>
                <w:color w:val="000000"/>
                <w:sz w:val="20"/>
                <w:szCs w:val="20"/>
              </w:rPr>
              <w:t>19,882</w:t>
            </w:r>
          </w:p>
        </w:tc>
      </w:tr>
      <w:tr w:rsidR="00AA6EDE" w:rsidRPr="00C25A47" w14:paraId="092E5EFA" w14:textId="77777777" w:rsidTr="00AA6EDE">
        <w:trPr>
          <w:trHeight w:val="288"/>
        </w:trPr>
        <w:tc>
          <w:tcPr>
            <w:tcW w:w="1296" w:type="pct"/>
          </w:tcPr>
          <w:p w14:paraId="4C9F2F71" w14:textId="77777777" w:rsidR="00C25A47" w:rsidRPr="00C25A47" w:rsidRDefault="00C25A47" w:rsidP="00553183">
            <w:pPr>
              <w:keepNext/>
              <w:rPr>
                <w:b/>
                <w:color w:val="000000"/>
                <w:sz w:val="20"/>
                <w:szCs w:val="20"/>
              </w:rPr>
            </w:pPr>
            <w:r w:rsidRPr="00C25A47">
              <w:rPr>
                <w:b/>
                <w:color w:val="000000"/>
                <w:sz w:val="20"/>
                <w:szCs w:val="20"/>
              </w:rPr>
              <w:t>Totals</w:t>
            </w:r>
          </w:p>
        </w:tc>
        <w:tc>
          <w:tcPr>
            <w:tcW w:w="261" w:type="pct"/>
          </w:tcPr>
          <w:p w14:paraId="11EBE69C" w14:textId="77777777" w:rsidR="00C25A47" w:rsidRPr="00C25A47" w:rsidRDefault="00C25A47" w:rsidP="00553183">
            <w:pPr>
              <w:keepNext/>
              <w:tabs>
                <w:tab w:val="right" w:pos="452"/>
              </w:tabs>
              <w:jc w:val="center"/>
              <w:rPr>
                <w:b/>
                <w:color w:val="000000"/>
                <w:sz w:val="20"/>
                <w:szCs w:val="20"/>
              </w:rPr>
            </w:pPr>
            <w:r w:rsidRPr="00C25A47">
              <w:rPr>
                <w:b/>
                <w:color w:val="000000"/>
                <w:sz w:val="20"/>
                <w:szCs w:val="20"/>
              </w:rPr>
              <w:t>3</w:t>
            </w:r>
          </w:p>
        </w:tc>
        <w:tc>
          <w:tcPr>
            <w:tcW w:w="476" w:type="pct"/>
          </w:tcPr>
          <w:p w14:paraId="21FA9902" w14:textId="77777777" w:rsidR="00C25A47" w:rsidRPr="00C25A47" w:rsidRDefault="00C25A47" w:rsidP="00553183">
            <w:pPr>
              <w:keepNext/>
              <w:tabs>
                <w:tab w:val="right" w:pos="663"/>
              </w:tabs>
              <w:jc w:val="center"/>
              <w:rPr>
                <w:b/>
                <w:color w:val="000000"/>
                <w:sz w:val="20"/>
                <w:szCs w:val="20"/>
              </w:rPr>
            </w:pPr>
            <w:r w:rsidRPr="00C25A47">
              <w:rPr>
                <w:b/>
                <w:color w:val="000000"/>
                <w:sz w:val="20"/>
                <w:szCs w:val="20"/>
              </w:rPr>
              <w:t>834</w:t>
            </w:r>
          </w:p>
        </w:tc>
        <w:tc>
          <w:tcPr>
            <w:tcW w:w="304" w:type="pct"/>
          </w:tcPr>
          <w:p w14:paraId="25CCAD42" w14:textId="77777777" w:rsidR="00C25A47" w:rsidRPr="00C25A47" w:rsidRDefault="00C25A47" w:rsidP="00553183">
            <w:pPr>
              <w:keepNext/>
              <w:tabs>
                <w:tab w:val="right" w:pos="514"/>
              </w:tabs>
              <w:jc w:val="center"/>
              <w:rPr>
                <w:b/>
                <w:color w:val="000000"/>
                <w:sz w:val="20"/>
                <w:szCs w:val="20"/>
              </w:rPr>
            </w:pPr>
            <w:r w:rsidRPr="00C25A47">
              <w:rPr>
                <w:b/>
                <w:color w:val="000000"/>
                <w:sz w:val="20"/>
                <w:szCs w:val="20"/>
              </w:rPr>
              <w:t>58</w:t>
            </w:r>
          </w:p>
        </w:tc>
        <w:tc>
          <w:tcPr>
            <w:tcW w:w="433" w:type="pct"/>
          </w:tcPr>
          <w:p w14:paraId="381F740D" w14:textId="77777777" w:rsidR="00C25A47" w:rsidRPr="00C25A47" w:rsidRDefault="00C25A47" w:rsidP="00553183">
            <w:pPr>
              <w:keepNext/>
              <w:tabs>
                <w:tab w:val="right" w:pos="590"/>
              </w:tabs>
              <w:jc w:val="center"/>
              <w:rPr>
                <w:b/>
                <w:color w:val="000000"/>
                <w:sz w:val="20"/>
                <w:szCs w:val="20"/>
              </w:rPr>
            </w:pPr>
            <w:r w:rsidRPr="00C25A47">
              <w:rPr>
                <w:b/>
                <w:color w:val="000000"/>
                <w:sz w:val="20"/>
                <w:szCs w:val="20"/>
              </w:rPr>
              <w:t>19,886</w:t>
            </w:r>
          </w:p>
        </w:tc>
        <w:tc>
          <w:tcPr>
            <w:tcW w:w="304" w:type="pct"/>
          </w:tcPr>
          <w:p w14:paraId="29B3DD9B" w14:textId="77777777" w:rsidR="00C25A47" w:rsidRPr="00C25A47" w:rsidRDefault="00C25A47" w:rsidP="00553183">
            <w:pPr>
              <w:keepNext/>
              <w:tabs>
                <w:tab w:val="right" w:pos="501"/>
              </w:tabs>
              <w:jc w:val="center"/>
              <w:rPr>
                <w:b/>
                <w:color w:val="000000"/>
                <w:sz w:val="20"/>
                <w:szCs w:val="20"/>
              </w:rPr>
            </w:pPr>
            <w:r w:rsidRPr="00C25A47">
              <w:rPr>
                <w:b/>
                <w:color w:val="000000"/>
                <w:sz w:val="20"/>
                <w:szCs w:val="20"/>
              </w:rPr>
              <w:t>54</w:t>
            </w:r>
          </w:p>
        </w:tc>
        <w:tc>
          <w:tcPr>
            <w:tcW w:w="434" w:type="pct"/>
          </w:tcPr>
          <w:p w14:paraId="744956B3" w14:textId="77777777" w:rsidR="00C25A47" w:rsidRPr="00C25A47" w:rsidRDefault="00C25A47" w:rsidP="00553183">
            <w:pPr>
              <w:keepNext/>
              <w:tabs>
                <w:tab w:val="right" w:pos="501"/>
              </w:tabs>
              <w:jc w:val="center"/>
              <w:rPr>
                <w:b/>
                <w:color w:val="000000"/>
                <w:sz w:val="20"/>
                <w:szCs w:val="20"/>
              </w:rPr>
            </w:pPr>
            <w:r w:rsidRPr="00C25A47">
              <w:rPr>
                <w:b/>
                <w:color w:val="000000"/>
                <w:sz w:val="20"/>
                <w:szCs w:val="20"/>
              </w:rPr>
              <w:t>18,696</w:t>
            </w:r>
          </w:p>
        </w:tc>
        <w:tc>
          <w:tcPr>
            <w:tcW w:w="304" w:type="pct"/>
          </w:tcPr>
          <w:p w14:paraId="3C901799" w14:textId="77777777" w:rsidR="00C25A47" w:rsidRPr="00C25A47" w:rsidRDefault="00C25A47" w:rsidP="00553183">
            <w:pPr>
              <w:keepNext/>
              <w:tabs>
                <w:tab w:val="right" w:pos="573"/>
              </w:tabs>
              <w:jc w:val="center"/>
              <w:rPr>
                <w:b/>
                <w:color w:val="000000"/>
                <w:sz w:val="20"/>
                <w:szCs w:val="20"/>
              </w:rPr>
            </w:pPr>
            <w:r w:rsidRPr="00C25A47">
              <w:rPr>
                <w:b/>
                <w:color w:val="000000"/>
                <w:sz w:val="20"/>
                <w:szCs w:val="20"/>
              </w:rPr>
              <w:t>5</w:t>
            </w:r>
          </w:p>
        </w:tc>
        <w:tc>
          <w:tcPr>
            <w:tcW w:w="452" w:type="pct"/>
          </w:tcPr>
          <w:p w14:paraId="7EE62B1C" w14:textId="77777777" w:rsidR="00C25A47" w:rsidRPr="00C25A47" w:rsidRDefault="00C25A47" w:rsidP="00553183">
            <w:pPr>
              <w:keepNext/>
              <w:tabs>
                <w:tab w:val="right" w:pos="573"/>
              </w:tabs>
              <w:jc w:val="center"/>
              <w:rPr>
                <w:b/>
                <w:color w:val="000000"/>
                <w:sz w:val="20"/>
                <w:szCs w:val="20"/>
              </w:rPr>
            </w:pPr>
            <w:r w:rsidRPr="00C25A47">
              <w:rPr>
                <w:b/>
                <w:color w:val="000000"/>
                <w:sz w:val="20"/>
                <w:szCs w:val="20"/>
              </w:rPr>
              <w:t>831</w:t>
            </w:r>
          </w:p>
        </w:tc>
        <w:tc>
          <w:tcPr>
            <w:tcW w:w="276" w:type="pct"/>
          </w:tcPr>
          <w:p w14:paraId="5F10CBE7" w14:textId="77777777" w:rsidR="00C25A47" w:rsidRPr="00C25A47" w:rsidRDefault="00C25A47" w:rsidP="00553183">
            <w:pPr>
              <w:keepNext/>
              <w:tabs>
                <w:tab w:val="right" w:pos="573"/>
              </w:tabs>
              <w:jc w:val="center"/>
              <w:rPr>
                <w:b/>
                <w:color w:val="000000"/>
                <w:sz w:val="20"/>
                <w:szCs w:val="20"/>
              </w:rPr>
            </w:pPr>
            <w:r w:rsidRPr="00C25A47">
              <w:rPr>
                <w:b/>
                <w:color w:val="000000"/>
                <w:sz w:val="20"/>
                <w:szCs w:val="20"/>
              </w:rPr>
              <w:t>120</w:t>
            </w:r>
          </w:p>
        </w:tc>
        <w:tc>
          <w:tcPr>
            <w:tcW w:w="459" w:type="pct"/>
          </w:tcPr>
          <w:p w14:paraId="226B4B24" w14:textId="77777777" w:rsidR="00C25A47" w:rsidRPr="00C25A47" w:rsidRDefault="00C25A47" w:rsidP="00553183">
            <w:pPr>
              <w:keepNext/>
              <w:tabs>
                <w:tab w:val="right" w:pos="654"/>
              </w:tabs>
              <w:jc w:val="center"/>
              <w:rPr>
                <w:b/>
                <w:color w:val="000000"/>
                <w:sz w:val="20"/>
                <w:szCs w:val="20"/>
              </w:rPr>
            </w:pPr>
            <w:r w:rsidRPr="00C25A47">
              <w:rPr>
                <w:b/>
                <w:color w:val="000000"/>
                <w:sz w:val="20"/>
                <w:szCs w:val="20"/>
              </w:rPr>
              <w:t>40,247</w:t>
            </w:r>
          </w:p>
        </w:tc>
      </w:tr>
      <w:tr w:rsidR="00C25A47" w:rsidRPr="007B72C9" w14:paraId="0008148C" w14:textId="77777777" w:rsidTr="00AA6EDE">
        <w:trPr>
          <w:trHeight w:val="288"/>
        </w:trPr>
        <w:tc>
          <w:tcPr>
            <w:tcW w:w="5000" w:type="pct"/>
            <w:gridSpan w:val="11"/>
          </w:tcPr>
          <w:p w14:paraId="52FE4774" w14:textId="77777777" w:rsidR="00C25A47" w:rsidRPr="007B72C9" w:rsidRDefault="00C25A47" w:rsidP="00553183">
            <w:pPr>
              <w:keepNext/>
              <w:tabs>
                <w:tab w:val="right" w:pos="654"/>
              </w:tabs>
              <w:rPr>
                <w:b/>
                <w:color w:val="000000"/>
                <w:sz w:val="16"/>
                <w:szCs w:val="16"/>
              </w:rPr>
            </w:pPr>
            <w:r w:rsidRPr="007B72C9">
              <w:rPr>
                <w:i/>
                <w:color w:val="000000"/>
                <w:sz w:val="16"/>
                <w:szCs w:val="16"/>
              </w:rPr>
              <w:t>Source:  Bank Data</w:t>
            </w:r>
          </w:p>
        </w:tc>
      </w:tr>
    </w:tbl>
    <w:p w14:paraId="5108E572" w14:textId="77777777" w:rsidR="00C25A47" w:rsidRDefault="00C25A47" w:rsidP="00C25A47">
      <w:pPr>
        <w:rPr>
          <w:bCs/>
        </w:rPr>
      </w:pPr>
    </w:p>
    <w:p w14:paraId="5D573528" w14:textId="6555518B" w:rsidR="00C25A47" w:rsidRPr="006215DC" w:rsidRDefault="00C25A47" w:rsidP="00C25A47">
      <w:pPr>
        <w:rPr>
          <w:bCs/>
        </w:rPr>
      </w:pPr>
      <w:r w:rsidRPr="006215DC">
        <w:rPr>
          <w:bCs/>
        </w:rPr>
        <w:t>The following highlights</w:t>
      </w:r>
      <w:r w:rsidR="00700C4D">
        <w:rPr>
          <w:bCs/>
        </w:rPr>
        <w:t xml:space="preserve"> some </w:t>
      </w:r>
      <w:r w:rsidRPr="006215DC">
        <w:rPr>
          <w:bCs/>
        </w:rPr>
        <w:t xml:space="preserve">innovative and flexible loan programs offered by the bank. </w:t>
      </w:r>
    </w:p>
    <w:p w14:paraId="4F2456DC" w14:textId="3EC321CD" w:rsidR="0051497F" w:rsidRDefault="0051497F" w:rsidP="00C25A47">
      <w:pPr>
        <w:rPr>
          <w:bCs/>
          <w:u w:val="single"/>
        </w:rPr>
      </w:pPr>
    </w:p>
    <w:p w14:paraId="78546CDD" w14:textId="1C038C26" w:rsidR="00C25A47" w:rsidRPr="002D0B08" w:rsidRDefault="00C25A47" w:rsidP="00C25A47">
      <w:pPr>
        <w:rPr>
          <w:bCs/>
          <w:u w:val="single"/>
        </w:rPr>
      </w:pPr>
      <w:r>
        <w:rPr>
          <w:bCs/>
          <w:u w:val="single"/>
        </w:rPr>
        <w:t>Home Mortgage Lending Programs</w:t>
      </w:r>
    </w:p>
    <w:p w14:paraId="59E155B1" w14:textId="77777777" w:rsidR="00C25A47" w:rsidRPr="002D0B08" w:rsidRDefault="00C25A47" w:rsidP="00C25A47">
      <w:pPr>
        <w:rPr>
          <w:bCs/>
          <w:u w:val="single"/>
        </w:rPr>
      </w:pPr>
    </w:p>
    <w:p w14:paraId="34A1476F" w14:textId="1045ABC3" w:rsidR="00C25A47" w:rsidRPr="002D0B08" w:rsidRDefault="00C25A47" w:rsidP="00C25A47">
      <w:pPr>
        <w:pStyle w:val="ListParagraph"/>
        <w:widowControl/>
        <w:numPr>
          <w:ilvl w:val="0"/>
          <w:numId w:val="27"/>
        </w:numPr>
        <w:contextualSpacing/>
        <w:rPr>
          <w:rFonts w:ascii="Times New Roman" w:hAnsi="Times New Roman" w:cs="Times New Roman"/>
          <w:bCs/>
        </w:rPr>
      </w:pPr>
      <w:r w:rsidRPr="00B63F38">
        <w:rPr>
          <w:rFonts w:ascii="Times New Roman" w:hAnsi="Times New Roman" w:cs="Times New Roman"/>
          <w:b/>
          <w:bCs/>
          <w:i/>
        </w:rPr>
        <w:t>Federal Housing Administration (FHA)</w:t>
      </w:r>
      <w:r w:rsidRPr="00B63F38">
        <w:rPr>
          <w:rFonts w:ascii="Times New Roman" w:hAnsi="Times New Roman" w:cs="Times New Roman"/>
          <w:bCs/>
        </w:rPr>
        <w:t>:</w:t>
      </w:r>
      <w:r w:rsidR="00D87EA2">
        <w:rPr>
          <w:rFonts w:ascii="Times New Roman" w:hAnsi="Times New Roman" w:cs="Times New Roman"/>
          <w:bCs/>
        </w:rPr>
        <w:t xml:space="preserve"> </w:t>
      </w:r>
      <w:r w:rsidR="001734F8" w:rsidRPr="00D87EA2">
        <w:rPr>
          <w:rFonts w:ascii="Times New Roman" w:hAnsi="Times New Roman" w:cs="Times New Roman"/>
          <w:bCs/>
        </w:rPr>
        <w:t>Borrowers</w:t>
      </w:r>
      <w:r w:rsidR="001734F8">
        <w:rPr>
          <w:rFonts w:ascii="Times New Roman" w:hAnsi="Times New Roman" w:cs="Times New Roman"/>
          <w:bCs/>
        </w:rPr>
        <w:t xml:space="preserve"> </w:t>
      </w:r>
      <w:r w:rsidR="001734F8" w:rsidRPr="001734F8">
        <w:rPr>
          <w:rFonts w:ascii="Times New Roman" w:hAnsi="Times New Roman" w:cs="Times New Roman"/>
          <w:bCs/>
        </w:rPr>
        <w:t>must</w:t>
      </w:r>
      <w:r w:rsidR="001734F8">
        <w:rPr>
          <w:rFonts w:ascii="Times New Roman" w:hAnsi="Times New Roman" w:cs="Times New Roman"/>
          <w:bCs/>
        </w:rPr>
        <w:t xml:space="preserve"> meet </w:t>
      </w:r>
      <w:proofErr w:type="spellStart"/>
      <w:r w:rsidRPr="001734F8">
        <w:rPr>
          <w:rFonts w:ascii="Times New Roman" w:hAnsi="Times New Roman" w:cs="Times New Roman"/>
          <w:bCs/>
        </w:rPr>
        <w:t>meet</w:t>
      </w:r>
      <w:proofErr w:type="spellEnd"/>
      <w:r w:rsidRPr="002D0B08">
        <w:rPr>
          <w:rFonts w:ascii="Times New Roman" w:hAnsi="Times New Roman" w:cs="Times New Roman"/>
          <w:bCs/>
        </w:rPr>
        <w:t xml:space="preserve"> certain</w:t>
      </w:r>
      <w:r w:rsidR="0051497F">
        <w:rPr>
          <w:rFonts w:ascii="Times New Roman" w:hAnsi="Times New Roman" w:cs="Times New Roman"/>
          <w:bCs/>
        </w:rPr>
        <w:t xml:space="preserve"> FHA</w:t>
      </w:r>
      <w:r w:rsidRPr="002D0B08">
        <w:rPr>
          <w:rFonts w:ascii="Times New Roman" w:hAnsi="Times New Roman" w:cs="Times New Roman"/>
          <w:bCs/>
        </w:rPr>
        <w:t xml:space="preserve"> </w:t>
      </w:r>
      <w:r w:rsidR="00AA2CFB">
        <w:rPr>
          <w:rFonts w:ascii="Times New Roman" w:hAnsi="Times New Roman" w:cs="Times New Roman"/>
          <w:bCs/>
        </w:rPr>
        <w:t xml:space="preserve">income </w:t>
      </w:r>
      <w:r w:rsidR="0051497F">
        <w:rPr>
          <w:rFonts w:ascii="Times New Roman" w:hAnsi="Times New Roman" w:cs="Times New Roman"/>
          <w:bCs/>
        </w:rPr>
        <w:t>r</w:t>
      </w:r>
      <w:r w:rsidRPr="002D0B08">
        <w:rPr>
          <w:rFonts w:ascii="Times New Roman" w:hAnsi="Times New Roman" w:cs="Times New Roman"/>
          <w:bCs/>
        </w:rPr>
        <w:t xml:space="preserve">equirements </w:t>
      </w:r>
      <w:r w:rsidR="00AA2CFB">
        <w:rPr>
          <w:rFonts w:ascii="Times New Roman" w:hAnsi="Times New Roman" w:cs="Times New Roman"/>
          <w:bCs/>
        </w:rPr>
        <w:t>to qualify</w:t>
      </w:r>
      <w:r w:rsidRPr="002D0B08">
        <w:rPr>
          <w:rFonts w:ascii="Times New Roman" w:hAnsi="Times New Roman" w:cs="Times New Roman"/>
          <w:bCs/>
        </w:rPr>
        <w:t>.  FHA loans benefit low- and moder</w:t>
      </w:r>
      <w:r w:rsidR="00AA2CFB">
        <w:rPr>
          <w:rFonts w:ascii="Times New Roman" w:hAnsi="Times New Roman" w:cs="Times New Roman"/>
          <w:bCs/>
        </w:rPr>
        <w:t xml:space="preserve">ate-income buyers due to </w:t>
      </w:r>
      <w:r w:rsidRPr="002D0B08">
        <w:rPr>
          <w:rFonts w:ascii="Times New Roman" w:hAnsi="Times New Roman" w:cs="Times New Roman"/>
          <w:bCs/>
        </w:rPr>
        <w:t xml:space="preserve">low down payments, low closing costs, </w:t>
      </w:r>
      <w:r w:rsidR="00C21B34" w:rsidRPr="002D0B08">
        <w:rPr>
          <w:rFonts w:ascii="Times New Roman" w:hAnsi="Times New Roman" w:cs="Times New Roman"/>
          <w:bCs/>
        </w:rPr>
        <w:t>and relaxed</w:t>
      </w:r>
      <w:r w:rsidRPr="002D0B08">
        <w:rPr>
          <w:rFonts w:ascii="Times New Roman" w:hAnsi="Times New Roman" w:cs="Times New Roman"/>
          <w:bCs/>
        </w:rPr>
        <w:t xml:space="preserve"> credit qualifications.</w:t>
      </w:r>
    </w:p>
    <w:p w14:paraId="2A3E48E3" w14:textId="77777777" w:rsidR="00C25A47" w:rsidRPr="002D0B08" w:rsidRDefault="00C25A47" w:rsidP="00C25A47">
      <w:pPr>
        <w:rPr>
          <w:bCs/>
          <w:u w:val="single"/>
        </w:rPr>
      </w:pPr>
    </w:p>
    <w:p w14:paraId="327F04F5" w14:textId="5BDB0193" w:rsidR="00C25A47" w:rsidRPr="002D0B08" w:rsidRDefault="00C25A47" w:rsidP="00C25A47">
      <w:pPr>
        <w:pStyle w:val="ListParagraph"/>
        <w:widowControl/>
        <w:numPr>
          <w:ilvl w:val="0"/>
          <w:numId w:val="27"/>
        </w:numPr>
        <w:contextualSpacing/>
        <w:rPr>
          <w:rFonts w:ascii="Times New Roman" w:hAnsi="Times New Roman" w:cs="Times New Roman"/>
          <w:bCs/>
          <w:u w:val="single"/>
        </w:rPr>
      </w:pPr>
      <w:r w:rsidRPr="00B63F38">
        <w:rPr>
          <w:rFonts w:ascii="Times New Roman" w:hAnsi="Times New Roman" w:cs="Times New Roman"/>
          <w:b/>
          <w:bCs/>
          <w:i/>
        </w:rPr>
        <w:t>Veterans Administration (VA):</w:t>
      </w:r>
      <w:r w:rsidRPr="00B63F38">
        <w:rPr>
          <w:rFonts w:ascii="Times New Roman" w:hAnsi="Times New Roman" w:cs="Times New Roman"/>
          <w:bCs/>
          <w:i/>
        </w:rPr>
        <w:t xml:space="preserve"> </w:t>
      </w:r>
      <w:r w:rsidRPr="002D0B08">
        <w:rPr>
          <w:rFonts w:ascii="Times New Roman" w:hAnsi="Times New Roman" w:cs="Times New Roman"/>
          <w:bCs/>
        </w:rPr>
        <w:t>VA loans require no down payment and the U.S. Department of Veterans Affairs guarantees them.  Borrowers must meet both service requirements and credit/income requirements to be eligible.  VA allo</w:t>
      </w:r>
      <w:r w:rsidR="00AA2CFB">
        <w:rPr>
          <w:rFonts w:ascii="Times New Roman" w:hAnsi="Times New Roman" w:cs="Times New Roman"/>
          <w:bCs/>
        </w:rPr>
        <w:t xml:space="preserve">ws sellers to pay all </w:t>
      </w:r>
      <w:r w:rsidRPr="002D0B08">
        <w:rPr>
          <w:rFonts w:ascii="Times New Roman" w:hAnsi="Times New Roman" w:cs="Times New Roman"/>
          <w:bCs/>
        </w:rPr>
        <w:t xml:space="preserve">mortgage loan-related closing </w:t>
      </w:r>
      <w:r w:rsidR="00C21B34" w:rsidRPr="002D0B08">
        <w:rPr>
          <w:rFonts w:ascii="Times New Roman" w:hAnsi="Times New Roman" w:cs="Times New Roman"/>
          <w:bCs/>
        </w:rPr>
        <w:t>costs, up to 4.0 percent in concessions, which can cover expenses such as property taxes</w:t>
      </w:r>
      <w:r w:rsidRPr="002D0B08">
        <w:rPr>
          <w:rFonts w:ascii="Times New Roman" w:hAnsi="Times New Roman" w:cs="Times New Roman"/>
          <w:bCs/>
        </w:rPr>
        <w:t xml:space="preserve"> and homeowner’s insurance.</w:t>
      </w:r>
    </w:p>
    <w:p w14:paraId="4DEDF256" w14:textId="77777777" w:rsidR="00C25A47" w:rsidRPr="002D0B08" w:rsidRDefault="00C25A47" w:rsidP="00C25A47">
      <w:pPr>
        <w:rPr>
          <w:bCs/>
          <w:u w:val="single"/>
        </w:rPr>
      </w:pPr>
    </w:p>
    <w:p w14:paraId="3C76A416" w14:textId="4D4AE8B6" w:rsidR="00C25A47" w:rsidRPr="002D0B08" w:rsidRDefault="00C25A47" w:rsidP="00C25A47">
      <w:pPr>
        <w:rPr>
          <w:bCs/>
        </w:rPr>
      </w:pPr>
      <w:r w:rsidRPr="002D0B08">
        <w:rPr>
          <w:bCs/>
        </w:rPr>
        <w:t xml:space="preserve">NBTC is a </w:t>
      </w:r>
      <w:proofErr w:type="spellStart"/>
      <w:r w:rsidRPr="002D0B08">
        <w:rPr>
          <w:bCs/>
        </w:rPr>
        <w:t>MassHousing</w:t>
      </w:r>
      <w:proofErr w:type="spellEnd"/>
      <w:r w:rsidRPr="002D0B08">
        <w:rPr>
          <w:bCs/>
        </w:rPr>
        <w:t xml:space="preserve"> approved lender.  </w:t>
      </w:r>
      <w:proofErr w:type="spellStart"/>
      <w:r w:rsidRPr="002D0B08">
        <w:rPr>
          <w:bCs/>
        </w:rPr>
        <w:t>MassHousing</w:t>
      </w:r>
      <w:proofErr w:type="spellEnd"/>
      <w:r w:rsidRPr="002D0B08">
        <w:rPr>
          <w:bCs/>
        </w:rPr>
        <w:t xml:space="preserve"> is a nonprofit, public agency working to support affordable housing for low- and moderate-income Massachusetts residents.  </w:t>
      </w:r>
      <w:proofErr w:type="spellStart"/>
      <w:r w:rsidRPr="002D0B08">
        <w:rPr>
          <w:bCs/>
        </w:rPr>
        <w:t>MassHousing</w:t>
      </w:r>
      <w:proofErr w:type="spellEnd"/>
      <w:r w:rsidRPr="002D0B08">
        <w:rPr>
          <w:bCs/>
        </w:rPr>
        <w:t xml:space="preserve"> loan programs offer low down payments, competitive rates, and discounted mortgage insurance.  The following describes</w:t>
      </w:r>
      <w:r w:rsidR="00700C4D">
        <w:rPr>
          <w:bCs/>
        </w:rPr>
        <w:t xml:space="preserve"> some of</w:t>
      </w:r>
      <w:r w:rsidRPr="002D0B08">
        <w:rPr>
          <w:bCs/>
        </w:rPr>
        <w:t xml:space="preserve"> the </w:t>
      </w:r>
      <w:proofErr w:type="spellStart"/>
      <w:r w:rsidRPr="002D0B08">
        <w:rPr>
          <w:bCs/>
        </w:rPr>
        <w:t>MassHousing</w:t>
      </w:r>
      <w:proofErr w:type="spellEnd"/>
      <w:r w:rsidRPr="002D0B08">
        <w:rPr>
          <w:bCs/>
        </w:rPr>
        <w:t xml:space="preserve"> programs NBTC offers.  </w:t>
      </w:r>
    </w:p>
    <w:p w14:paraId="2E81A77A" w14:textId="77777777" w:rsidR="00C25A47" w:rsidRPr="00B63F38" w:rsidRDefault="00C25A47" w:rsidP="00C25A47">
      <w:pPr>
        <w:rPr>
          <w:b/>
          <w:bCs/>
          <w:u w:val="single"/>
        </w:rPr>
      </w:pPr>
    </w:p>
    <w:p w14:paraId="3F02B1BC" w14:textId="7BD844E8" w:rsidR="00C25A47" w:rsidRPr="002D0B08" w:rsidRDefault="00C25A47" w:rsidP="00C25A47">
      <w:pPr>
        <w:pStyle w:val="ListParagraph"/>
        <w:widowControl/>
        <w:numPr>
          <w:ilvl w:val="0"/>
          <w:numId w:val="28"/>
        </w:numPr>
        <w:contextualSpacing/>
        <w:rPr>
          <w:rFonts w:ascii="Times New Roman" w:hAnsi="Times New Roman" w:cs="Times New Roman"/>
          <w:bCs/>
          <w:u w:val="single"/>
        </w:rPr>
      </w:pPr>
      <w:r w:rsidRPr="00B63F38">
        <w:rPr>
          <w:rFonts w:ascii="Times New Roman" w:hAnsi="Times New Roman" w:cs="Times New Roman"/>
          <w:b/>
          <w:bCs/>
          <w:i/>
        </w:rPr>
        <w:t>MHP ONE Mortgage</w:t>
      </w:r>
      <w:r w:rsidRPr="002D0B08">
        <w:rPr>
          <w:rFonts w:ascii="Times New Roman" w:hAnsi="Times New Roman" w:cs="Times New Roman"/>
          <w:bCs/>
          <w:i/>
        </w:rPr>
        <w:t>:</w:t>
      </w:r>
      <w:r>
        <w:rPr>
          <w:rFonts w:ascii="Times New Roman" w:hAnsi="Times New Roman" w:cs="Times New Roman"/>
          <w:b/>
          <w:bCs/>
          <w:i/>
        </w:rPr>
        <w:t xml:space="preserve"> </w:t>
      </w:r>
      <w:r w:rsidRPr="002D0B08">
        <w:rPr>
          <w:rFonts w:ascii="Times New Roman" w:hAnsi="Times New Roman" w:cs="Times New Roman"/>
          <w:bCs/>
        </w:rPr>
        <w:t>The One Mortgage program is a first time homebuyers program fro</w:t>
      </w:r>
      <w:r w:rsidR="00AA2CFB">
        <w:rPr>
          <w:rFonts w:ascii="Times New Roman" w:hAnsi="Times New Roman" w:cs="Times New Roman"/>
          <w:bCs/>
        </w:rPr>
        <w:t xml:space="preserve">m the Mass Housing Partnership.  </w:t>
      </w:r>
      <w:r w:rsidRPr="002D0B08">
        <w:rPr>
          <w:rFonts w:ascii="Times New Roman" w:hAnsi="Times New Roman" w:cs="Times New Roman"/>
          <w:bCs/>
        </w:rPr>
        <w:t xml:space="preserve">This program </w:t>
      </w:r>
      <w:r w:rsidR="00C21B34">
        <w:rPr>
          <w:rFonts w:ascii="Times New Roman" w:hAnsi="Times New Roman" w:cs="Times New Roman"/>
          <w:bCs/>
        </w:rPr>
        <w:t xml:space="preserve">offers </w:t>
      </w:r>
      <w:r w:rsidR="00C21B34" w:rsidRPr="002D0B08">
        <w:rPr>
          <w:rFonts w:ascii="Times New Roman" w:hAnsi="Times New Roman" w:cs="Times New Roman"/>
          <w:bCs/>
        </w:rPr>
        <w:t>a</w:t>
      </w:r>
      <w:r w:rsidRPr="002D0B08">
        <w:rPr>
          <w:rFonts w:ascii="Times New Roman" w:hAnsi="Times New Roman" w:cs="Times New Roman"/>
          <w:bCs/>
        </w:rPr>
        <w:t xml:space="preserve"> </w:t>
      </w:r>
      <w:r w:rsidR="004F5994">
        <w:rPr>
          <w:rFonts w:ascii="Times New Roman" w:hAnsi="Times New Roman" w:cs="Times New Roman"/>
          <w:bCs/>
        </w:rPr>
        <w:t xml:space="preserve">low </w:t>
      </w:r>
      <w:r w:rsidRPr="002D0B08">
        <w:rPr>
          <w:rFonts w:ascii="Times New Roman" w:hAnsi="Times New Roman" w:cs="Times New Roman"/>
          <w:bCs/>
        </w:rPr>
        <w:t>fixed</w:t>
      </w:r>
      <w:r w:rsidR="00990295">
        <w:rPr>
          <w:rFonts w:ascii="Times New Roman" w:hAnsi="Times New Roman" w:cs="Times New Roman"/>
          <w:bCs/>
        </w:rPr>
        <w:t>-</w:t>
      </w:r>
      <w:r w:rsidRPr="002D0B08">
        <w:rPr>
          <w:rFonts w:ascii="Times New Roman" w:hAnsi="Times New Roman" w:cs="Times New Roman"/>
          <w:bCs/>
        </w:rPr>
        <w:t>rate with as little as 3</w:t>
      </w:r>
      <w:r w:rsidR="00AA2CFB">
        <w:rPr>
          <w:rFonts w:ascii="Times New Roman" w:hAnsi="Times New Roman" w:cs="Times New Roman"/>
          <w:bCs/>
        </w:rPr>
        <w:t>.0</w:t>
      </w:r>
      <w:r>
        <w:rPr>
          <w:rFonts w:ascii="Times New Roman" w:hAnsi="Times New Roman" w:cs="Times New Roman"/>
          <w:bCs/>
        </w:rPr>
        <w:t xml:space="preserve"> percent</w:t>
      </w:r>
      <w:r w:rsidRPr="002D0B08">
        <w:rPr>
          <w:rFonts w:ascii="Times New Roman" w:hAnsi="Times New Roman" w:cs="Times New Roman"/>
          <w:bCs/>
        </w:rPr>
        <w:t xml:space="preserve"> down. </w:t>
      </w:r>
      <w:r w:rsidR="00AA2CFB">
        <w:rPr>
          <w:rFonts w:ascii="Times New Roman" w:hAnsi="Times New Roman" w:cs="Times New Roman"/>
          <w:bCs/>
        </w:rPr>
        <w:t xml:space="preserve"> In addition, this program </w:t>
      </w:r>
      <w:r w:rsidRPr="002D0B08">
        <w:rPr>
          <w:rFonts w:ascii="Times New Roman" w:hAnsi="Times New Roman" w:cs="Times New Roman"/>
          <w:bCs/>
        </w:rPr>
        <w:t xml:space="preserve">offers financial </w:t>
      </w:r>
      <w:r w:rsidR="00AA2CFB">
        <w:rPr>
          <w:rFonts w:ascii="Times New Roman" w:hAnsi="Times New Roman" w:cs="Times New Roman"/>
          <w:bCs/>
        </w:rPr>
        <w:t>assistance for eligible low-and moderate-income buyers.</w:t>
      </w:r>
    </w:p>
    <w:p w14:paraId="65695EE6" w14:textId="77777777" w:rsidR="00C25A47" w:rsidRPr="002D0B08" w:rsidRDefault="00C25A47" w:rsidP="00C25A47">
      <w:pPr>
        <w:rPr>
          <w:bCs/>
          <w:u w:val="single"/>
        </w:rPr>
      </w:pPr>
    </w:p>
    <w:p w14:paraId="166A8316" w14:textId="32D876B0" w:rsidR="00C25A47" w:rsidRPr="002D0B08" w:rsidRDefault="00C25A47" w:rsidP="00C25A47">
      <w:pPr>
        <w:pStyle w:val="ListParagraph"/>
        <w:widowControl/>
        <w:numPr>
          <w:ilvl w:val="0"/>
          <w:numId w:val="28"/>
        </w:numPr>
        <w:contextualSpacing/>
        <w:rPr>
          <w:rFonts w:ascii="Times New Roman" w:hAnsi="Times New Roman" w:cs="Times New Roman"/>
          <w:bCs/>
        </w:rPr>
      </w:pPr>
      <w:proofErr w:type="spellStart"/>
      <w:r w:rsidRPr="00B63F38">
        <w:rPr>
          <w:rFonts w:ascii="Times New Roman" w:hAnsi="Times New Roman" w:cs="Times New Roman"/>
          <w:b/>
          <w:bCs/>
          <w:i/>
        </w:rPr>
        <w:t>MassHousing</w:t>
      </w:r>
      <w:proofErr w:type="spellEnd"/>
      <w:r w:rsidRPr="00B63F38">
        <w:rPr>
          <w:rFonts w:ascii="Times New Roman" w:hAnsi="Times New Roman" w:cs="Times New Roman"/>
          <w:b/>
          <w:bCs/>
          <w:i/>
        </w:rPr>
        <w:t xml:space="preserve"> Mortgage</w:t>
      </w:r>
      <w:r>
        <w:rPr>
          <w:rFonts w:ascii="Times New Roman" w:hAnsi="Times New Roman" w:cs="Times New Roman"/>
          <w:bCs/>
          <w:i/>
        </w:rPr>
        <w:t xml:space="preserve">: </w:t>
      </w:r>
      <w:r w:rsidRPr="002D0B08">
        <w:rPr>
          <w:rFonts w:ascii="Times New Roman" w:hAnsi="Times New Roman" w:cs="Times New Roman"/>
          <w:bCs/>
        </w:rPr>
        <w:t>Th</w:t>
      </w:r>
      <w:r w:rsidR="00AA2CFB">
        <w:rPr>
          <w:rFonts w:ascii="Times New Roman" w:hAnsi="Times New Roman" w:cs="Times New Roman"/>
          <w:bCs/>
        </w:rPr>
        <w:t>is program offers a traditional</w:t>
      </w:r>
      <w:r w:rsidRPr="002D0B08">
        <w:rPr>
          <w:rFonts w:ascii="Times New Roman" w:hAnsi="Times New Roman" w:cs="Times New Roman"/>
          <w:bCs/>
        </w:rPr>
        <w:t xml:space="preserve"> 30-year fixed-rate mortgage.  Borrowers may finance up to 97.0 percent loan-to-value.  The </w:t>
      </w:r>
      <w:proofErr w:type="spellStart"/>
      <w:r w:rsidRPr="002D0B08">
        <w:rPr>
          <w:rFonts w:ascii="Times New Roman" w:hAnsi="Times New Roman" w:cs="Times New Roman"/>
          <w:bCs/>
        </w:rPr>
        <w:t>MassHousing</w:t>
      </w:r>
      <w:proofErr w:type="spellEnd"/>
      <w:r w:rsidRPr="002D0B08">
        <w:rPr>
          <w:rFonts w:ascii="Times New Roman" w:hAnsi="Times New Roman" w:cs="Times New Roman"/>
          <w:bCs/>
        </w:rPr>
        <w:t xml:space="preserve"> Mortgage Insurance Fund insures loans with down payments of less than 20.0 percent.  Borrowers benefit from flexible underwriting, low down payments</w:t>
      </w:r>
      <w:r w:rsidR="004F5994">
        <w:rPr>
          <w:rFonts w:ascii="Times New Roman" w:hAnsi="Times New Roman" w:cs="Times New Roman"/>
          <w:bCs/>
        </w:rPr>
        <w:t>,</w:t>
      </w:r>
      <w:r w:rsidRPr="002D0B08">
        <w:rPr>
          <w:rFonts w:ascii="Times New Roman" w:hAnsi="Times New Roman" w:cs="Times New Roman"/>
          <w:bCs/>
        </w:rPr>
        <w:t xml:space="preserve"> and quick processing due to automated underwriting and online mortgage insurance approvals.</w:t>
      </w:r>
    </w:p>
    <w:p w14:paraId="0F339B31" w14:textId="77777777" w:rsidR="00C25A47" w:rsidRPr="00B63F38" w:rsidRDefault="00C25A47" w:rsidP="00C25A47">
      <w:pPr>
        <w:rPr>
          <w:b/>
          <w:bCs/>
        </w:rPr>
      </w:pPr>
    </w:p>
    <w:p w14:paraId="49D5631E" w14:textId="490D6FC7" w:rsidR="00C25A47" w:rsidRPr="002D0B08" w:rsidRDefault="00C25A47" w:rsidP="00C25A47">
      <w:pPr>
        <w:pStyle w:val="ListParagraph"/>
        <w:widowControl/>
        <w:numPr>
          <w:ilvl w:val="0"/>
          <w:numId w:val="28"/>
        </w:numPr>
        <w:contextualSpacing/>
        <w:rPr>
          <w:rFonts w:ascii="Times New Roman" w:hAnsi="Times New Roman" w:cs="Times New Roman"/>
          <w:bCs/>
        </w:rPr>
      </w:pPr>
      <w:proofErr w:type="spellStart"/>
      <w:r w:rsidRPr="00B63F38">
        <w:rPr>
          <w:rFonts w:ascii="Times New Roman" w:hAnsi="Times New Roman" w:cs="Times New Roman"/>
          <w:b/>
          <w:bCs/>
          <w:i/>
        </w:rPr>
        <w:t>MassHousing</w:t>
      </w:r>
      <w:proofErr w:type="spellEnd"/>
      <w:r w:rsidRPr="00B63F38">
        <w:rPr>
          <w:rFonts w:ascii="Times New Roman" w:hAnsi="Times New Roman" w:cs="Times New Roman"/>
          <w:b/>
          <w:bCs/>
          <w:i/>
        </w:rPr>
        <w:t xml:space="preserve"> Mortgage with No Mortgage Insurance</w:t>
      </w:r>
      <w:r>
        <w:rPr>
          <w:rFonts w:ascii="Times New Roman" w:hAnsi="Times New Roman" w:cs="Times New Roman"/>
          <w:bCs/>
          <w:i/>
        </w:rPr>
        <w:t xml:space="preserve">: </w:t>
      </w:r>
      <w:r w:rsidRPr="002D0B08">
        <w:rPr>
          <w:rFonts w:ascii="Times New Roman" w:hAnsi="Times New Roman" w:cs="Times New Roman"/>
          <w:bCs/>
        </w:rPr>
        <w:t xml:space="preserve">Eligible borrowers can obtain affordable, fixed-rate financing </w:t>
      </w:r>
      <w:r w:rsidR="00C21B34" w:rsidRPr="002D0B08">
        <w:rPr>
          <w:rFonts w:ascii="Times New Roman" w:hAnsi="Times New Roman" w:cs="Times New Roman"/>
          <w:bCs/>
        </w:rPr>
        <w:t>without mortgage</w:t>
      </w:r>
      <w:r w:rsidRPr="002D0B08">
        <w:rPr>
          <w:rFonts w:ascii="Times New Roman" w:hAnsi="Times New Roman" w:cs="Times New Roman"/>
          <w:bCs/>
        </w:rPr>
        <w:t xml:space="preserve"> insurance.</w:t>
      </w:r>
      <w:r w:rsidRPr="002D0B08">
        <w:rPr>
          <w:rFonts w:ascii="Times New Roman" w:hAnsi="Times New Roman" w:cs="Times New Roman"/>
          <w:b/>
          <w:bCs/>
        </w:rPr>
        <w:t xml:space="preserve">  </w:t>
      </w:r>
      <w:r w:rsidRPr="002D0B08">
        <w:rPr>
          <w:rFonts w:ascii="Times New Roman" w:hAnsi="Times New Roman" w:cs="Times New Roman"/>
          <w:bCs/>
        </w:rPr>
        <w:t xml:space="preserve">This product provides up to 97.0 percent loan-to-value financing without mortgage insurance on single-family homes and condominiums and 95.0 percent loan-to-value financing on </w:t>
      </w:r>
      <w:proofErr w:type="gramStart"/>
      <w:r w:rsidRPr="002D0B08">
        <w:rPr>
          <w:rFonts w:ascii="Times New Roman" w:hAnsi="Times New Roman" w:cs="Times New Roman"/>
          <w:bCs/>
        </w:rPr>
        <w:t>two-to-four</w:t>
      </w:r>
      <w:proofErr w:type="gramEnd"/>
      <w:r w:rsidRPr="002D0B08">
        <w:rPr>
          <w:rFonts w:ascii="Times New Roman" w:hAnsi="Times New Roman" w:cs="Times New Roman"/>
          <w:bCs/>
        </w:rPr>
        <w:t xml:space="preserve"> family homes.   </w:t>
      </w:r>
    </w:p>
    <w:p w14:paraId="289183B2" w14:textId="77777777" w:rsidR="00C25A47" w:rsidRPr="002D0B08" w:rsidRDefault="00C25A47" w:rsidP="00C25A47">
      <w:pPr>
        <w:spacing w:before="240"/>
        <w:rPr>
          <w:bCs/>
          <w:u w:val="single"/>
        </w:rPr>
      </w:pPr>
      <w:r w:rsidRPr="002D0B08">
        <w:rPr>
          <w:bCs/>
          <w:u w:val="single"/>
        </w:rPr>
        <w:t>Small Business Lending Programs</w:t>
      </w:r>
    </w:p>
    <w:p w14:paraId="71761B67" w14:textId="77777777" w:rsidR="00C25A47" w:rsidRDefault="00C25A47" w:rsidP="00C25A47">
      <w:pPr>
        <w:spacing w:before="240"/>
        <w:rPr>
          <w:bCs/>
        </w:rPr>
      </w:pPr>
      <w:r w:rsidRPr="002D0B08">
        <w:rPr>
          <w:bCs/>
        </w:rPr>
        <w:t xml:space="preserve">In addition to its standard commercial loan programs, the bank also offers the following flexible small business loan programs, in cooperation with the SBA and the Massachusetts Business Development Corporation. </w:t>
      </w:r>
    </w:p>
    <w:p w14:paraId="17E55F5F" w14:textId="7FFEF900" w:rsidR="00C25A47" w:rsidRDefault="00C25A47" w:rsidP="00447A7F">
      <w:pPr>
        <w:pStyle w:val="ListParagraph"/>
        <w:widowControl/>
        <w:numPr>
          <w:ilvl w:val="0"/>
          <w:numId w:val="29"/>
        </w:numPr>
        <w:spacing w:before="240"/>
        <w:contextualSpacing/>
        <w:rPr>
          <w:rFonts w:ascii="Times New Roman" w:hAnsi="Times New Roman" w:cs="Times New Roman"/>
          <w:bCs/>
        </w:rPr>
      </w:pPr>
      <w:r w:rsidRPr="00B63F38">
        <w:rPr>
          <w:rFonts w:ascii="Times New Roman" w:hAnsi="Times New Roman" w:cs="Times New Roman"/>
          <w:b/>
          <w:bCs/>
          <w:i/>
        </w:rPr>
        <w:t>SBA 504 Loan Program</w:t>
      </w:r>
      <w:r w:rsidRPr="000E5CD0">
        <w:rPr>
          <w:rFonts w:ascii="Times New Roman" w:hAnsi="Times New Roman" w:cs="Times New Roman"/>
          <w:bCs/>
        </w:rPr>
        <w:t xml:space="preserve">: This loan program provides small businesses with long-term financing through a Certified Development Company (CDC) and promotes business growth and job creation.  Generally, the loan structure includes a 10.0 percent equity investment by the small business, 40.0 percent participation from the CDC, and 50.0 percent participation by the bank. </w:t>
      </w:r>
    </w:p>
    <w:p w14:paraId="68F97FFA" w14:textId="77777777" w:rsidR="00447A7F" w:rsidRPr="00447A7F" w:rsidRDefault="00447A7F" w:rsidP="00447A7F">
      <w:pPr>
        <w:pStyle w:val="ListParagraph"/>
        <w:widowControl/>
        <w:spacing w:before="240"/>
        <w:contextualSpacing/>
        <w:rPr>
          <w:rFonts w:ascii="Times New Roman" w:hAnsi="Times New Roman" w:cs="Times New Roman"/>
          <w:bCs/>
        </w:rPr>
      </w:pPr>
    </w:p>
    <w:p w14:paraId="5588912F" w14:textId="2385F206" w:rsidR="00C25A47" w:rsidRDefault="00C25A47" w:rsidP="00C25A47">
      <w:pPr>
        <w:pStyle w:val="ListParagraph"/>
        <w:widowControl/>
        <w:numPr>
          <w:ilvl w:val="0"/>
          <w:numId w:val="29"/>
        </w:numPr>
        <w:spacing w:before="240"/>
        <w:contextualSpacing/>
        <w:rPr>
          <w:rFonts w:ascii="Times New Roman" w:hAnsi="Times New Roman" w:cs="Times New Roman"/>
          <w:bCs/>
        </w:rPr>
      </w:pPr>
      <w:r w:rsidRPr="00B63F38">
        <w:rPr>
          <w:rFonts w:ascii="Times New Roman" w:hAnsi="Times New Roman" w:cs="Times New Roman"/>
          <w:b/>
          <w:bCs/>
          <w:i/>
        </w:rPr>
        <w:t>SBA 7a Loan Program</w:t>
      </w:r>
      <w:r w:rsidRPr="000E5CD0">
        <w:rPr>
          <w:rFonts w:ascii="Times New Roman" w:hAnsi="Times New Roman" w:cs="Times New Roman"/>
          <w:bCs/>
        </w:rPr>
        <w:t xml:space="preserve">: The bank is a preferred lender for the SBA 7A program.  This loan product offers small businesses a maximum loan amount of $5 million with the SBA guaranteeing up to 85.0 percent of most loan values.  </w:t>
      </w:r>
      <w:r w:rsidR="00C21B34" w:rsidRPr="000E5CD0">
        <w:rPr>
          <w:rFonts w:ascii="Times New Roman" w:hAnsi="Times New Roman" w:cs="Times New Roman"/>
          <w:bCs/>
        </w:rPr>
        <w:t>This is</w:t>
      </w:r>
      <w:r w:rsidRPr="000E5CD0">
        <w:rPr>
          <w:rFonts w:ascii="Times New Roman" w:hAnsi="Times New Roman" w:cs="Times New Roman"/>
          <w:bCs/>
        </w:rPr>
        <w:t xml:space="preserve"> the SBA’s primary program for providing financing to small businesses. </w:t>
      </w:r>
    </w:p>
    <w:p w14:paraId="73369176" w14:textId="77777777" w:rsidR="00C25A47" w:rsidRPr="00B63F38" w:rsidRDefault="00C25A47" w:rsidP="00C25A47">
      <w:pPr>
        <w:pStyle w:val="ListParagraph"/>
        <w:rPr>
          <w:rFonts w:ascii="Times New Roman" w:hAnsi="Times New Roman" w:cs="Times New Roman"/>
          <w:b/>
          <w:bCs/>
        </w:rPr>
      </w:pPr>
    </w:p>
    <w:p w14:paraId="2562EC00" w14:textId="78DFBA27" w:rsidR="00447A7F" w:rsidRDefault="00C25A47" w:rsidP="003265E0">
      <w:pPr>
        <w:pStyle w:val="ListParagraph"/>
        <w:widowControl/>
        <w:numPr>
          <w:ilvl w:val="0"/>
          <w:numId w:val="29"/>
        </w:numPr>
        <w:spacing w:after="160"/>
        <w:contextualSpacing/>
        <w:rPr>
          <w:rFonts w:ascii="Times New Roman" w:hAnsi="Times New Roman" w:cs="Times New Roman"/>
          <w:bCs/>
        </w:rPr>
      </w:pPr>
      <w:r w:rsidRPr="00B63F38">
        <w:rPr>
          <w:rFonts w:ascii="Times New Roman" w:hAnsi="Times New Roman" w:cs="Times New Roman"/>
          <w:b/>
          <w:bCs/>
          <w:i/>
        </w:rPr>
        <w:t>SBA 504 Refinance Program</w:t>
      </w:r>
      <w:r>
        <w:rPr>
          <w:rFonts w:ascii="Times New Roman" w:hAnsi="Times New Roman" w:cs="Times New Roman"/>
          <w:bCs/>
        </w:rPr>
        <w:t xml:space="preserve">: </w:t>
      </w:r>
      <w:r w:rsidRPr="00293474">
        <w:rPr>
          <w:rFonts w:ascii="Times New Roman" w:hAnsi="Times New Roman" w:cs="Times New Roman"/>
          <w:bCs/>
        </w:rPr>
        <w:t>This debt restructuring loan program allows small businesses to refinance qualifying 504 loans.  Businesses must be in continuous operation for two years as of the application date</w:t>
      </w:r>
    </w:p>
    <w:p w14:paraId="082DD513" w14:textId="77777777" w:rsidR="00CC431D" w:rsidRPr="00CC431D" w:rsidRDefault="00CC431D" w:rsidP="00CC431D">
      <w:pPr>
        <w:pStyle w:val="ListParagraph"/>
        <w:rPr>
          <w:rFonts w:ascii="Times New Roman" w:hAnsi="Times New Roman" w:cs="Times New Roman"/>
          <w:bCs/>
        </w:rPr>
      </w:pPr>
    </w:p>
    <w:p w14:paraId="77ABEEC5" w14:textId="296D19DE" w:rsidR="00CC431D" w:rsidRPr="00CC6CBF" w:rsidRDefault="00CC431D" w:rsidP="00CC6CBF">
      <w:pPr>
        <w:pStyle w:val="ListParagraph"/>
        <w:widowControl/>
        <w:numPr>
          <w:ilvl w:val="0"/>
          <w:numId w:val="29"/>
        </w:numPr>
        <w:spacing w:after="160"/>
        <w:contextualSpacing/>
        <w:rPr>
          <w:bCs/>
        </w:rPr>
      </w:pPr>
      <w:r w:rsidRPr="00CC431D">
        <w:rPr>
          <w:rFonts w:ascii="Times New Roman" w:hAnsi="Times New Roman" w:cs="Times New Roman"/>
          <w:b/>
          <w:bCs/>
        </w:rPr>
        <w:t>Paycheck Protection Program (PPP)</w:t>
      </w:r>
      <w:r>
        <w:rPr>
          <w:rFonts w:ascii="Times New Roman" w:hAnsi="Times New Roman" w:cs="Times New Roman"/>
          <w:bCs/>
        </w:rPr>
        <w:t xml:space="preserve">:  </w:t>
      </w:r>
      <w:r w:rsidRPr="00CC431D">
        <w:rPr>
          <w:rFonts w:ascii="Times New Roman" w:hAnsi="Times New Roman" w:cs="Times New Roman"/>
          <w:bCs/>
        </w:rPr>
        <w:t xml:space="preserve">The PPP is a federal loan program that is part of </w:t>
      </w:r>
      <w:r w:rsidR="00C21B34" w:rsidRPr="00CC431D">
        <w:rPr>
          <w:rFonts w:ascii="Times New Roman" w:hAnsi="Times New Roman" w:cs="Times New Roman"/>
          <w:bCs/>
        </w:rPr>
        <w:t xml:space="preserve">the </w:t>
      </w:r>
      <w:r w:rsidR="00C21B34">
        <w:rPr>
          <w:rFonts w:ascii="Times New Roman" w:hAnsi="Times New Roman" w:cs="Times New Roman"/>
          <w:bCs/>
        </w:rPr>
        <w:t>Coronavirus</w:t>
      </w:r>
      <w:r w:rsidR="00990295">
        <w:rPr>
          <w:rFonts w:ascii="Times New Roman" w:hAnsi="Times New Roman" w:cs="Times New Roman"/>
          <w:bCs/>
        </w:rPr>
        <w:t xml:space="preserve"> Aid, Relief, and Economic Security Act</w:t>
      </w:r>
      <w:r w:rsidR="00FD3706">
        <w:rPr>
          <w:rFonts w:ascii="Times New Roman" w:hAnsi="Times New Roman" w:cs="Times New Roman"/>
          <w:bCs/>
        </w:rPr>
        <w:t>.</w:t>
      </w:r>
      <w:r w:rsidR="00A46D14">
        <w:rPr>
          <w:rFonts w:ascii="Times New Roman" w:hAnsi="Times New Roman" w:cs="Times New Roman"/>
          <w:bCs/>
        </w:rPr>
        <w:t xml:space="preserve">  PPP</w:t>
      </w:r>
      <w:r w:rsidRPr="00CC431D">
        <w:rPr>
          <w:rFonts w:ascii="Times New Roman" w:hAnsi="Times New Roman" w:cs="Times New Roman"/>
          <w:bCs/>
        </w:rPr>
        <w:t xml:space="preserve"> helps small- and medium-sized businesses affected by the COVID-19 </w:t>
      </w:r>
      <w:r w:rsidR="00C21B34" w:rsidRPr="00CC431D">
        <w:rPr>
          <w:rFonts w:ascii="Times New Roman" w:hAnsi="Times New Roman" w:cs="Times New Roman"/>
          <w:bCs/>
        </w:rPr>
        <w:t>pandemic cover</w:t>
      </w:r>
      <w:r w:rsidRPr="00CC431D">
        <w:rPr>
          <w:rFonts w:ascii="Times New Roman" w:hAnsi="Times New Roman" w:cs="Times New Roman"/>
          <w:bCs/>
        </w:rPr>
        <w:t xml:space="preserve"> payroll</w:t>
      </w:r>
      <w:r w:rsidR="00990295">
        <w:rPr>
          <w:rFonts w:ascii="Times New Roman" w:hAnsi="Times New Roman" w:cs="Times New Roman"/>
          <w:bCs/>
        </w:rPr>
        <w:t xml:space="preserve"> costs</w:t>
      </w:r>
      <w:r w:rsidRPr="00CC431D">
        <w:rPr>
          <w:rFonts w:ascii="Times New Roman" w:hAnsi="Times New Roman" w:cs="Times New Roman"/>
          <w:bCs/>
        </w:rPr>
        <w:t xml:space="preserve"> and certain other expenses.</w:t>
      </w:r>
      <w:r>
        <w:rPr>
          <w:rFonts w:ascii="Times New Roman" w:hAnsi="Times New Roman" w:cs="Times New Roman"/>
          <w:bCs/>
        </w:rPr>
        <w:t xml:space="preserve">  </w:t>
      </w:r>
      <w:r w:rsidR="007D49DF">
        <w:rPr>
          <w:rFonts w:ascii="Times New Roman" w:hAnsi="Times New Roman" w:cs="Times New Roman"/>
          <w:bCs/>
        </w:rPr>
        <w:t xml:space="preserve">In April 2020, </w:t>
      </w:r>
      <w:r>
        <w:rPr>
          <w:rFonts w:ascii="Times New Roman" w:hAnsi="Times New Roman" w:cs="Times New Roman"/>
          <w:bCs/>
        </w:rPr>
        <w:t xml:space="preserve">NBTC </w:t>
      </w:r>
      <w:r w:rsidR="007D49DF">
        <w:rPr>
          <w:rFonts w:ascii="Times New Roman" w:hAnsi="Times New Roman" w:cs="Times New Roman"/>
          <w:bCs/>
        </w:rPr>
        <w:t xml:space="preserve">originated 570 loans totaling approximately $106.3 million.  </w:t>
      </w:r>
      <w:r w:rsidR="007C6A88">
        <w:rPr>
          <w:rFonts w:ascii="Times New Roman" w:hAnsi="Times New Roman" w:cs="Times New Roman"/>
          <w:bCs/>
        </w:rPr>
        <w:t xml:space="preserve"> </w:t>
      </w:r>
    </w:p>
    <w:p w14:paraId="624C79C6" w14:textId="77777777" w:rsidR="00447A7F" w:rsidRPr="00520574" w:rsidRDefault="00447A7F" w:rsidP="00447A7F">
      <w:pPr>
        <w:rPr>
          <w:b/>
          <w:bCs/>
          <w:u w:val="single"/>
        </w:rPr>
      </w:pPr>
      <w:r w:rsidRPr="00520574">
        <w:rPr>
          <w:b/>
          <w:bCs/>
          <w:u w:val="single"/>
        </w:rPr>
        <w:t>Community Development Loans</w:t>
      </w:r>
    </w:p>
    <w:p w14:paraId="2AE87E0F" w14:textId="77777777" w:rsidR="00447A7F" w:rsidRDefault="00447A7F" w:rsidP="00447A7F">
      <w:pPr>
        <w:rPr>
          <w:b/>
          <w:bCs/>
        </w:rPr>
      </w:pPr>
    </w:p>
    <w:p w14:paraId="286A05DA" w14:textId="0CABA4BB" w:rsidR="005F720E" w:rsidRDefault="00447A7F" w:rsidP="00447A7F">
      <w:pPr>
        <w:rPr>
          <w:rFonts w:eastAsia="Calibri"/>
        </w:rPr>
      </w:pPr>
      <w:r>
        <w:rPr>
          <w:rFonts w:eastAsia="Calibri"/>
        </w:rPr>
        <w:t xml:space="preserve">The institution provides a relatively high level of community development loans.  </w:t>
      </w:r>
      <w:r w:rsidR="006835EB">
        <w:rPr>
          <w:rFonts w:eastAsia="Calibri"/>
        </w:rPr>
        <w:t>During the</w:t>
      </w:r>
      <w:r>
        <w:rPr>
          <w:rFonts w:eastAsia="Calibri"/>
        </w:rPr>
        <w:t xml:space="preserve"> </w:t>
      </w:r>
      <w:r w:rsidRPr="00293474">
        <w:rPr>
          <w:rFonts w:eastAsia="Calibri"/>
        </w:rPr>
        <w:t>evaluation period, the bank originated 17 loans totaling $</w:t>
      </w:r>
      <w:r>
        <w:rPr>
          <w:rFonts w:eastAsia="Calibri"/>
        </w:rPr>
        <w:t>60.2</w:t>
      </w:r>
      <w:r w:rsidRPr="00293474">
        <w:rPr>
          <w:rFonts w:eastAsia="Calibri"/>
        </w:rPr>
        <w:t xml:space="preserve"> million. </w:t>
      </w:r>
      <w:r>
        <w:rPr>
          <w:rFonts w:eastAsia="Calibri"/>
        </w:rPr>
        <w:t xml:space="preserve"> </w:t>
      </w:r>
      <w:r w:rsidRPr="00293474">
        <w:rPr>
          <w:rFonts w:eastAsia="Calibri"/>
        </w:rPr>
        <w:t>Of these loans,</w:t>
      </w:r>
      <w:r>
        <w:rPr>
          <w:rFonts w:eastAsia="Calibri"/>
        </w:rPr>
        <w:t xml:space="preserve"> eight loans totaling $41.8 million were within the bank’s assessment area and nine</w:t>
      </w:r>
      <w:r w:rsidRPr="00293474">
        <w:rPr>
          <w:rFonts w:eastAsia="Calibri"/>
        </w:rPr>
        <w:t xml:space="preserve"> </w:t>
      </w:r>
      <w:r>
        <w:rPr>
          <w:rFonts w:eastAsia="Calibri"/>
        </w:rPr>
        <w:t xml:space="preserve">loans </w:t>
      </w:r>
      <w:r w:rsidRPr="00293474">
        <w:rPr>
          <w:rFonts w:eastAsia="Calibri"/>
        </w:rPr>
        <w:t>totaling $18.4 million</w:t>
      </w:r>
      <w:r>
        <w:rPr>
          <w:rFonts w:eastAsia="Calibri"/>
        </w:rPr>
        <w:t xml:space="preserve"> were in Massachusetts, but </w:t>
      </w:r>
      <w:r w:rsidR="00BC7CBA">
        <w:rPr>
          <w:rFonts w:eastAsia="Calibri"/>
        </w:rPr>
        <w:t xml:space="preserve">in </w:t>
      </w:r>
      <w:r w:rsidR="00F60690">
        <w:rPr>
          <w:rFonts w:eastAsia="Calibri"/>
        </w:rPr>
        <w:t>communities</w:t>
      </w:r>
      <w:r w:rsidR="00BC7CBA">
        <w:rPr>
          <w:rFonts w:eastAsia="Calibri"/>
        </w:rPr>
        <w:t xml:space="preserve"> adjacen</w:t>
      </w:r>
      <w:r>
        <w:rPr>
          <w:rFonts w:eastAsia="Calibri"/>
        </w:rPr>
        <w:t>t to the assessment area</w:t>
      </w:r>
      <w:r w:rsidRPr="00293474">
        <w:rPr>
          <w:rFonts w:eastAsia="Calibri"/>
        </w:rPr>
        <w:t xml:space="preserve">. </w:t>
      </w:r>
      <w:r>
        <w:rPr>
          <w:rFonts w:eastAsia="Calibri"/>
        </w:rPr>
        <w:t xml:space="preserve"> </w:t>
      </w:r>
      <w:r w:rsidRPr="00293474">
        <w:rPr>
          <w:rFonts w:eastAsia="Calibri"/>
        </w:rPr>
        <w:t xml:space="preserve">This level of community development lending represents 2.8 percent of average total assets and 3.2 </w:t>
      </w:r>
      <w:r>
        <w:rPr>
          <w:rFonts w:eastAsia="Calibri"/>
        </w:rPr>
        <w:t>percen</w:t>
      </w:r>
      <w:r w:rsidR="005F720E">
        <w:rPr>
          <w:rFonts w:eastAsia="Calibri"/>
        </w:rPr>
        <w:t xml:space="preserve">t of </w:t>
      </w:r>
      <w:r w:rsidR="005F720E">
        <w:rPr>
          <w:rFonts w:eastAsia="Calibri"/>
        </w:rPr>
        <w:lastRenderedPageBreak/>
        <w:t>average total loans.  C</w:t>
      </w:r>
      <w:r w:rsidRPr="00293474">
        <w:rPr>
          <w:rFonts w:eastAsia="Calibri"/>
        </w:rPr>
        <w:t xml:space="preserve">ommunity development lending </w:t>
      </w:r>
      <w:r w:rsidR="005F720E">
        <w:rPr>
          <w:rFonts w:eastAsia="Calibri"/>
        </w:rPr>
        <w:t xml:space="preserve">levels increased </w:t>
      </w:r>
      <w:r w:rsidRPr="00293474">
        <w:rPr>
          <w:rFonts w:eastAsia="Calibri"/>
        </w:rPr>
        <w:t>sinc</w:t>
      </w:r>
      <w:r w:rsidR="005F720E">
        <w:rPr>
          <w:rFonts w:eastAsia="Calibri"/>
        </w:rPr>
        <w:t>e the previous evaluation</w:t>
      </w:r>
      <w:r w:rsidRPr="00293474">
        <w:rPr>
          <w:rFonts w:eastAsia="Calibri"/>
        </w:rPr>
        <w:t xml:space="preserve">, </w:t>
      </w:r>
      <w:r w:rsidR="005F720E">
        <w:rPr>
          <w:rFonts w:eastAsia="Calibri"/>
        </w:rPr>
        <w:t xml:space="preserve">when the bank made </w:t>
      </w:r>
      <w:r w:rsidRPr="00293474">
        <w:rPr>
          <w:rFonts w:eastAsia="Calibri"/>
        </w:rPr>
        <w:t>16 loans totaling $56.4 mi</w:t>
      </w:r>
      <w:r>
        <w:rPr>
          <w:rFonts w:eastAsia="Calibri"/>
        </w:rPr>
        <w:t>llion</w:t>
      </w:r>
      <w:r w:rsidR="005F720E">
        <w:rPr>
          <w:rFonts w:eastAsia="Calibri"/>
        </w:rPr>
        <w:t xml:space="preserve">.  </w:t>
      </w:r>
      <w:proofErr w:type="gramStart"/>
      <w:r w:rsidR="00D21C07" w:rsidRPr="008A2CBC">
        <w:rPr>
          <w:rFonts w:eastAsia="Calibri"/>
        </w:rPr>
        <w:t xml:space="preserve">Compared to </w:t>
      </w:r>
      <w:r w:rsidR="00C21B34" w:rsidRPr="008A2CBC">
        <w:rPr>
          <w:rFonts w:eastAsia="Calibri"/>
        </w:rPr>
        <w:t>similarly situated</w:t>
      </w:r>
      <w:r w:rsidR="00D21C07" w:rsidRPr="008A2CBC">
        <w:rPr>
          <w:rFonts w:eastAsia="Calibri"/>
        </w:rPr>
        <w:t xml:space="preserve"> </w:t>
      </w:r>
      <w:proofErr w:type="spellStart"/>
      <w:r w:rsidR="00D21C07" w:rsidRPr="008A2CBC">
        <w:rPr>
          <w:rFonts w:eastAsia="Calibri"/>
        </w:rPr>
        <w:t>Avidia</w:t>
      </w:r>
      <w:proofErr w:type="spellEnd"/>
      <w:r w:rsidR="00D21C07" w:rsidRPr="008A2CBC">
        <w:rPr>
          <w:rFonts w:eastAsia="Calibri"/>
        </w:rPr>
        <w:t xml:space="preserve"> Bank</w:t>
      </w:r>
      <w:r w:rsidR="008A2CBC" w:rsidRPr="008A2CBC">
        <w:rPr>
          <w:rFonts w:eastAsia="Calibri"/>
        </w:rPr>
        <w:t xml:space="preserve">, </w:t>
      </w:r>
      <w:proofErr w:type="spellStart"/>
      <w:r w:rsidR="008A2CBC" w:rsidRPr="008A2CBC">
        <w:rPr>
          <w:rFonts w:eastAsia="Calibri"/>
        </w:rPr>
        <w:t>Avidia</w:t>
      </w:r>
      <w:proofErr w:type="spellEnd"/>
      <w:r w:rsidR="008A2CBC" w:rsidRPr="008A2CBC">
        <w:rPr>
          <w:rFonts w:eastAsia="Calibri"/>
        </w:rPr>
        <w:t xml:space="preserve"> Bank</w:t>
      </w:r>
      <w:r w:rsidR="00D21C07" w:rsidRPr="008A2CBC">
        <w:rPr>
          <w:rFonts w:eastAsia="Calibri"/>
        </w:rPr>
        <w:t xml:space="preserve"> </w:t>
      </w:r>
      <w:r w:rsidR="00C21B34" w:rsidRPr="008A2CBC">
        <w:rPr>
          <w:rFonts w:eastAsia="Calibri"/>
        </w:rPr>
        <w:t>originated double</w:t>
      </w:r>
      <w:r w:rsidR="00F116B0" w:rsidRPr="008A2CBC">
        <w:rPr>
          <w:rFonts w:eastAsia="Calibri"/>
        </w:rPr>
        <w:t xml:space="preserve"> the loans, by number, and nearly double the dollar amount.</w:t>
      </w:r>
      <w:proofErr w:type="gramEnd"/>
      <w:r w:rsidR="00F116B0" w:rsidRPr="008A2CBC">
        <w:rPr>
          <w:rFonts w:eastAsia="Calibri"/>
        </w:rPr>
        <w:t xml:space="preserve">  </w:t>
      </w:r>
      <w:proofErr w:type="spellStart"/>
      <w:r w:rsidR="00F116B0" w:rsidRPr="008A2CBC">
        <w:rPr>
          <w:rFonts w:eastAsia="Calibri"/>
        </w:rPr>
        <w:t>Avidia</w:t>
      </w:r>
      <w:proofErr w:type="spellEnd"/>
      <w:r w:rsidR="00F116B0" w:rsidRPr="008A2CBC">
        <w:rPr>
          <w:rFonts w:eastAsia="Calibri"/>
        </w:rPr>
        <w:t xml:space="preserve"> </w:t>
      </w:r>
      <w:r w:rsidR="00177555" w:rsidRPr="008A2CBC">
        <w:rPr>
          <w:rFonts w:eastAsia="Calibri"/>
        </w:rPr>
        <w:t xml:space="preserve">Bank </w:t>
      </w:r>
      <w:proofErr w:type="gramStart"/>
      <w:r w:rsidR="00F116B0" w:rsidRPr="008A2CBC">
        <w:rPr>
          <w:rFonts w:eastAsia="Calibri"/>
        </w:rPr>
        <w:t>w</w:t>
      </w:r>
      <w:r w:rsidR="008A2CBC" w:rsidRPr="008A2CBC">
        <w:rPr>
          <w:rFonts w:eastAsia="Calibri"/>
        </w:rPr>
        <w:t>as</w:t>
      </w:r>
      <w:r w:rsidR="00F116B0" w:rsidRPr="008A2CBC">
        <w:rPr>
          <w:rFonts w:eastAsia="Calibri"/>
        </w:rPr>
        <w:t xml:space="preserve"> considered</w:t>
      </w:r>
      <w:proofErr w:type="gramEnd"/>
      <w:r w:rsidR="00F116B0" w:rsidRPr="008A2CBC">
        <w:rPr>
          <w:rFonts w:eastAsia="Calibri"/>
        </w:rPr>
        <w:t xml:space="preserve"> </w:t>
      </w:r>
      <w:r w:rsidR="008A2CBC" w:rsidRPr="008A2CBC">
        <w:rPr>
          <w:rFonts w:eastAsia="Calibri"/>
        </w:rPr>
        <w:t xml:space="preserve">a </w:t>
      </w:r>
      <w:r w:rsidR="002736DE">
        <w:rPr>
          <w:rFonts w:eastAsia="Calibri"/>
        </w:rPr>
        <w:t xml:space="preserve">community development </w:t>
      </w:r>
      <w:r w:rsidR="00F116B0" w:rsidRPr="008A2CBC">
        <w:rPr>
          <w:rFonts w:eastAsia="Calibri"/>
        </w:rPr>
        <w:t xml:space="preserve">leader in </w:t>
      </w:r>
      <w:r w:rsidR="008A2CBC" w:rsidRPr="008A2CBC">
        <w:rPr>
          <w:rFonts w:eastAsia="Calibri"/>
        </w:rPr>
        <w:t xml:space="preserve">its </w:t>
      </w:r>
      <w:r w:rsidR="00F116B0" w:rsidRPr="008A2CBC">
        <w:rPr>
          <w:rFonts w:eastAsia="Calibri"/>
        </w:rPr>
        <w:t>assessment area.</w:t>
      </w:r>
    </w:p>
    <w:p w14:paraId="6780CD0F" w14:textId="17A79925" w:rsidR="005F720E" w:rsidRDefault="005F720E" w:rsidP="00447A7F">
      <w:pPr>
        <w:rPr>
          <w:rFonts w:eastAsia="Calibri"/>
        </w:rPr>
      </w:pPr>
    </w:p>
    <w:p w14:paraId="3438C789" w14:textId="486CA4BE" w:rsidR="00447A7F" w:rsidRPr="00293474" w:rsidRDefault="00447A7F" w:rsidP="00447A7F">
      <w:pPr>
        <w:rPr>
          <w:rFonts w:eastAsia="Calibri"/>
        </w:rPr>
      </w:pPr>
      <w:r>
        <w:rPr>
          <w:rFonts w:eastAsia="Calibri"/>
        </w:rPr>
        <w:t>The following table illustrates</w:t>
      </w:r>
      <w:r w:rsidRPr="00293474">
        <w:rPr>
          <w:rFonts w:eastAsia="Calibri"/>
        </w:rPr>
        <w:t xml:space="preserve"> the bank’s community development loans by year and community development category.</w:t>
      </w:r>
      <w:r w:rsidR="005F720E">
        <w:rPr>
          <w:rFonts w:eastAsia="Calibri"/>
        </w:rPr>
        <w:t xml:space="preserve">  </w:t>
      </w:r>
    </w:p>
    <w:p w14:paraId="014BB48E" w14:textId="77777777" w:rsidR="00447A7F" w:rsidRDefault="00447A7F" w:rsidP="00447A7F">
      <w:pPr>
        <w:rPr>
          <w:b/>
          <w:bCs/>
        </w:rPr>
      </w:pPr>
    </w:p>
    <w:tbl>
      <w:tblPr>
        <w:tblStyle w:val="TableGrid4"/>
        <w:tblW w:w="9645" w:type="dxa"/>
        <w:tblLayout w:type="fixed"/>
        <w:tblLook w:val="01E0" w:firstRow="1" w:lastRow="1" w:firstColumn="1" w:lastColumn="1" w:noHBand="0" w:noVBand="0"/>
        <w:tblCaption w:val="Community Development: Lending "/>
      </w:tblPr>
      <w:tblGrid>
        <w:gridCol w:w="1812"/>
        <w:gridCol w:w="700"/>
        <w:gridCol w:w="894"/>
        <w:gridCol w:w="616"/>
        <w:gridCol w:w="914"/>
        <w:gridCol w:w="616"/>
        <w:gridCol w:w="914"/>
        <w:gridCol w:w="671"/>
        <w:gridCol w:w="949"/>
        <w:gridCol w:w="659"/>
        <w:gridCol w:w="900"/>
      </w:tblGrid>
      <w:tr w:rsidR="00447A7F" w:rsidRPr="007B72C9" w14:paraId="363A17C5" w14:textId="77777777" w:rsidTr="007613E5">
        <w:trPr>
          <w:trHeight w:val="360"/>
          <w:tblHeader/>
        </w:trPr>
        <w:tc>
          <w:tcPr>
            <w:tcW w:w="9645" w:type="dxa"/>
            <w:gridSpan w:val="11"/>
          </w:tcPr>
          <w:p w14:paraId="505A60A2" w14:textId="77777777" w:rsidR="00447A7F" w:rsidRPr="00447A7F" w:rsidRDefault="00447A7F" w:rsidP="007613E5">
            <w:pPr>
              <w:keepNext/>
              <w:jc w:val="center"/>
              <w:rPr>
                <w:b/>
                <w:sz w:val="20"/>
                <w:szCs w:val="20"/>
              </w:rPr>
            </w:pPr>
            <w:r w:rsidRPr="00447A7F">
              <w:rPr>
                <w:b/>
                <w:sz w:val="20"/>
                <w:szCs w:val="20"/>
              </w:rPr>
              <w:t>Community Development Lending</w:t>
            </w:r>
          </w:p>
        </w:tc>
      </w:tr>
      <w:tr w:rsidR="00447A7F" w:rsidRPr="007B72C9" w14:paraId="2C7A4165" w14:textId="77777777" w:rsidTr="007613E5">
        <w:trPr>
          <w:trHeight w:val="288"/>
        </w:trPr>
        <w:tc>
          <w:tcPr>
            <w:tcW w:w="1812" w:type="dxa"/>
            <w:vMerge w:val="restart"/>
          </w:tcPr>
          <w:p w14:paraId="6DAEBB9A" w14:textId="77777777" w:rsidR="00447A7F" w:rsidRPr="00447A7F" w:rsidRDefault="00447A7F" w:rsidP="007613E5">
            <w:pPr>
              <w:keepNext/>
              <w:rPr>
                <w:b/>
                <w:sz w:val="20"/>
                <w:szCs w:val="20"/>
              </w:rPr>
            </w:pPr>
            <w:r w:rsidRPr="00447A7F">
              <w:rPr>
                <w:b/>
                <w:sz w:val="20"/>
                <w:szCs w:val="20"/>
              </w:rPr>
              <w:t>Activity Year</w:t>
            </w:r>
          </w:p>
        </w:tc>
        <w:tc>
          <w:tcPr>
            <w:tcW w:w="1594" w:type="dxa"/>
            <w:gridSpan w:val="2"/>
          </w:tcPr>
          <w:p w14:paraId="635FF762" w14:textId="77777777" w:rsidR="00447A7F" w:rsidRPr="00447A7F" w:rsidRDefault="00447A7F" w:rsidP="007613E5">
            <w:pPr>
              <w:keepNext/>
              <w:jc w:val="center"/>
              <w:rPr>
                <w:b/>
                <w:sz w:val="20"/>
                <w:szCs w:val="20"/>
              </w:rPr>
            </w:pPr>
            <w:r w:rsidRPr="00447A7F">
              <w:rPr>
                <w:b/>
                <w:sz w:val="20"/>
                <w:szCs w:val="20"/>
              </w:rPr>
              <w:t>Affordable Housing</w:t>
            </w:r>
          </w:p>
        </w:tc>
        <w:tc>
          <w:tcPr>
            <w:tcW w:w="1530" w:type="dxa"/>
            <w:gridSpan w:val="2"/>
          </w:tcPr>
          <w:p w14:paraId="73A24EED" w14:textId="77777777" w:rsidR="00447A7F" w:rsidRPr="00447A7F" w:rsidRDefault="00447A7F" w:rsidP="007613E5">
            <w:pPr>
              <w:keepNext/>
              <w:jc w:val="center"/>
              <w:rPr>
                <w:b/>
                <w:sz w:val="20"/>
                <w:szCs w:val="20"/>
              </w:rPr>
            </w:pPr>
            <w:r w:rsidRPr="00447A7F">
              <w:rPr>
                <w:b/>
                <w:sz w:val="20"/>
                <w:szCs w:val="20"/>
              </w:rPr>
              <w:t>Community Services</w:t>
            </w:r>
          </w:p>
        </w:tc>
        <w:tc>
          <w:tcPr>
            <w:tcW w:w="1530" w:type="dxa"/>
            <w:gridSpan w:val="2"/>
          </w:tcPr>
          <w:p w14:paraId="34BAE29E" w14:textId="77777777" w:rsidR="00447A7F" w:rsidRPr="00447A7F" w:rsidRDefault="00447A7F" w:rsidP="007613E5">
            <w:pPr>
              <w:keepNext/>
              <w:jc w:val="center"/>
              <w:rPr>
                <w:b/>
                <w:sz w:val="20"/>
                <w:szCs w:val="20"/>
              </w:rPr>
            </w:pPr>
            <w:r w:rsidRPr="00447A7F">
              <w:rPr>
                <w:b/>
                <w:sz w:val="20"/>
                <w:szCs w:val="20"/>
              </w:rPr>
              <w:t>Economic Development</w:t>
            </w:r>
          </w:p>
        </w:tc>
        <w:tc>
          <w:tcPr>
            <w:tcW w:w="1620" w:type="dxa"/>
            <w:gridSpan w:val="2"/>
          </w:tcPr>
          <w:p w14:paraId="00949F72" w14:textId="77777777" w:rsidR="00447A7F" w:rsidRPr="00447A7F" w:rsidRDefault="00447A7F" w:rsidP="007613E5">
            <w:pPr>
              <w:keepNext/>
              <w:jc w:val="center"/>
              <w:rPr>
                <w:b/>
                <w:sz w:val="20"/>
                <w:szCs w:val="20"/>
              </w:rPr>
            </w:pPr>
            <w:r w:rsidRPr="00447A7F">
              <w:rPr>
                <w:b/>
                <w:sz w:val="20"/>
                <w:szCs w:val="20"/>
              </w:rPr>
              <w:t>Revitalize or Stabilize</w:t>
            </w:r>
          </w:p>
        </w:tc>
        <w:tc>
          <w:tcPr>
            <w:tcW w:w="1559" w:type="dxa"/>
            <w:gridSpan w:val="2"/>
          </w:tcPr>
          <w:p w14:paraId="60B575EF" w14:textId="77777777" w:rsidR="00447A7F" w:rsidRPr="00447A7F" w:rsidRDefault="00447A7F" w:rsidP="007613E5">
            <w:pPr>
              <w:keepNext/>
              <w:jc w:val="center"/>
              <w:rPr>
                <w:b/>
                <w:sz w:val="20"/>
                <w:szCs w:val="20"/>
              </w:rPr>
            </w:pPr>
            <w:r w:rsidRPr="00447A7F">
              <w:rPr>
                <w:b/>
                <w:sz w:val="20"/>
                <w:szCs w:val="20"/>
              </w:rPr>
              <w:t>Totals</w:t>
            </w:r>
          </w:p>
        </w:tc>
      </w:tr>
      <w:tr w:rsidR="00447A7F" w:rsidRPr="007B72C9" w14:paraId="648D5B4C" w14:textId="77777777" w:rsidTr="007613E5">
        <w:trPr>
          <w:trHeight w:val="288"/>
        </w:trPr>
        <w:tc>
          <w:tcPr>
            <w:tcW w:w="1812" w:type="dxa"/>
            <w:vMerge/>
          </w:tcPr>
          <w:p w14:paraId="692B9063" w14:textId="77777777" w:rsidR="00447A7F" w:rsidRPr="00447A7F" w:rsidRDefault="00447A7F" w:rsidP="007613E5">
            <w:pPr>
              <w:keepNext/>
              <w:rPr>
                <w:sz w:val="20"/>
                <w:szCs w:val="20"/>
                <w:highlight w:val="green"/>
              </w:rPr>
            </w:pPr>
          </w:p>
        </w:tc>
        <w:tc>
          <w:tcPr>
            <w:tcW w:w="700" w:type="dxa"/>
          </w:tcPr>
          <w:p w14:paraId="474F17DB" w14:textId="77777777" w:rsidR="00447A7F" w:rsidRPr="00447A7F" w:rsidRDefault="00447A7F" w:rsidP="007613E5">
            <w:pPr>
              <w:keepNext/>
              <w:jc w:val="center"/>
              <w:rPr>
                <w:b/>
                <w:sz w:val="20"/>
                <w:szCs w:val="20"/>
              </w:rPr>
            </w:pPr>
            <w:r w:rsidRPr="00447A7F">
              <w:rPr>
                <w:b/>
                <w:sz w:val="20"/>
                <w:szCs w:val="20"/>
              </w:rPr>
              <w:t>#</w:t>
            </w:r>
          </w:p>
        </w:tc>
        <w:tc>
          <w:tcPr>
            <w:tcW w:w="894" w:type="dxa"/>
          </w:tcPr>
          <w:p w14:paraId="405309FF" w14:textId="77777777" w:rsidR="00447A7F" w:rsidRPr="00447A7F" w:rsidRDefault="00447A7F" w:rsidP="007613E5">
            <w:pPr>
              <w:keepNext/>
              <w:jc w:val="center"/>
              <w:rPr>
                <w:b/>
                <w:sz w:val="20"/>
                <w:szCs w:val="20"/>
              </w:rPr>
            </w:pPr>
            <w:r w:rsidRPr="00447A7F">
              <w:rPr>
                <w:b/>
                <w:sz w:val="20"/>
                <w:szCs w:val="20"/>
              </w:rPr>
              <w:t>$(000s)</w:t>
            </w:r>
          </w:p>
        </w:tc>
        <w:tc>
          <w:tcPr>
            <w:tcW w:w="616" w:type="dxa"/>
          </w:tcPr>
          <w:p w14:paraId="4CB34285" w14:textId="77777777" w:rsidR="00447A7F" w:rsidRPr="00447A7F" w:rsidRDefault="00447A7F" w:rsidP="007613E5">
            <w:pPr>
              <w:keepNext/>
              <w:jc w:val="center"/>
              <w:rPr>
                <w:b/>
                <w:sz w:val="20"/>
                <w:szCs w:val="20"/>
              </w:rPr>
            </w:pPr>
            <w:r w:rsidRPr="00447A7F">
              <w:rPr>
                <w:b/>
                <w:sz w:val="20"/>
                <w:szCs w:val="20"/>
              </w:rPr>
              <w:t>#</w:t>
            </w:r>
          </w:p>
        </w:tc>
        <w:tc>
          <w:tcPr>
            <w:tcW w:w="914" w:type="dxa"/>
          </w:tcPr>
          <w:p w14:paraId="140BBBB7" w14:textId="77777777" w:rsidR="00447A7F" w:rsidRPr="00447A7F" w:rsidRDefault="00447A7F" w:rsidP="007613E5">
            <w:pPr>
              <w:keepNext/>
              <w:jc w:val="center"/>
              <w:rPr>
                <w:b/>
                <w:sz w:val="20"/>
                <w:szCs w:val="20"/>
              </w:rPr>
            </w:pPr>
            <w:r w:rsidRPr="00447A7F">
              <w:rPr>
                <w:b/>
                <w:sz w:val="20"/>
                <w:szCs w:val="20"/>
              </w:rPr>
              <w:t>$(000s)</w:t>
            </w:r>
          </w:p>
        </w:tc>
        <w:tc>
          <w:tcPr>
            <w:tcW w:w="616" w:type="dxa"/>
          </w:tcPr>
          <w:p w14:paraId="212D1554" w14:textId="77777777" w:rsidR="00447A7F" w:rsidRPr="00447A7F" w:rsidRDefault="00447A7F" w:rsidP="007613E5">
            <w:pPr>
              <w:keepNext/>
              <w:jc w:val="center"/>
              <w:rPr>
                <w:b/>
                <w:sz w:val="20"/>
                <w:szCs w:val="20"/>
              </w:rPr>
            </w:pPr>
            <w:r w:rsidRPr="00447A7F">
              <w:rPr>
                <w:b/>
                <w:sz w:val="20"/>
                <w:szCs w:val="20"/>
              </w:rPr>
              <w:t>#</w:t>
            </w:r>
          </w:p>
        </w:tc>
        <w:tc>
          <w:tcPr>
            <w:tcW w:w="914" w:type="dxa"/>
          </w:tcPr>
          <w:p w14:paraId="5997F3AF" w14:textId="77777777" w:rsidR="00447A7F" w:rsidRPr="00447A7F" w:rsidRDefault="00447A7F" w:rsidP="007613E5">
            <w:pPr>
              <w:keepNext/>
              <w:jc w:val="center"/>
              <w:rPr>
                <w:b/>
                <w:sz w:val="20"/>
                <w:szCs w:val="20"/>
              </w:rPr>
            </w:pPr>
            <w:r w:rsidRPr="00447A7F">
              <w:rPr>
                <w:b/>
                <w:sz w:val="20"/>
                <w:szCs w:val="20"/>
              </w:rPr>
              <w:t>$(000s)</w:t>
            </w:r>
          </w:p>
        </w:tc>
        <w:tc>
          <w:tcPr>
            <w:tcW w:w="671" w:type="dxa"/>
          </w:tcPr>
          <w:p w14:paraId="356C54F2" w14:textId="77777777" w:rsidR="00447A7F" w:rsidRPr="00447A7F" w:rsidRDefault="00447A7F" w:rsidP="007613E5">
            <w:pPr>
              <w:keepNext/>
              <w:jc w:val="center"/>
              <w:rPr>
                <w:b/>
                <w:sz w:val="20"/>
                <w:szCs w:val="20"/>
              </w:rPr>
            </w:pPr>
            <w:r w:rsidRPr="00447A7F">
              <w:rPr>
                <w:b/>
                <w:sz w:val="20"/>
                <w:szCs w:val="20"/>
              </w:rPr>
              <w:t>#</w:t>
            </w:r>
          </w:p>
        </w:tc>
        <w:tc>
          <w:tcPr>
            <w:tcW w:w="949" w:type="dxa"/>
          </w:tcPr>
          <w:p w14:paraId="18038FA0" w14:textId="77777777" w:rsidR="00447A7F" w:rsidRPr="00447A7F" w:rsidRDefault="00447A7F" w:rsidP="007613E5">
            <w:pPr>
              <w:keepNext/>
              <w:jc w:val="center"/>
              <w:rPr>
                <w:b/>
                <w:sz w:val="20"/>
                <w:szCs w:val="20"/>
              </w:rPr>
            </w:pPr>
            <w:r w:rsidRPr="00447A7F">
              <w:rPr>
                <w:b/>
                <w:sz w:val="20"/>
                <w:szCs w:val="20"/>
              </w:rPr>
              <w:t>$(000s)</w:t>
            </w:r>
          </w:p>
        </w:tc>
        <w:tc>
          <w:tcPr>
            <w:tcW w:w="659" w:type="dxa"/>
          </w:tcPr>
          <w:p w14:paraId="5BA99A15" w14:textId="77777777" w:rsidR="00447A7F" w:rsidRPr="00447A7F" w:rsidRDefault="00447A7F" w:rsidP="007613E5">
            <w:pPr>
              <w:keepNext/>
              <w:jc w:val="center"/>
              <w:rPr>
                <w:b/>
                <w:sz w:val="20"/>
                <w:szCs w:val="20"/>
              </w:rPr>
            </w:pPr>
            <w:r w:rsidRPr="00447A7F">
              <w:rPr>
                <w:b/>
                <w:sz w:val="20"/>
                <w:szCs w:val="20"/>
              </w:rPr>
              <w:t>#</w:t>
            </w:r>
          </w:p>
        </w:tc>
        <w:tc>
          <w:tcPr>
            <w:tcW w:w="900" w:type="dxa"/>
          </w:tcPr>
          <w:p w14:paraId="1488F0DF" w14:textId="77777777" w:rsidR="00447A7F" w:rsidRPr="00447A7F" w:rsidRDefault="00447A7F" w:rsidP="007613E5">
            <w:pPr>
              <w:keepNext/>
              <w:jc w:val="center"/>
              <w:rPr>
                <w:b/>
                <w:sz w:val="20"/>
                <w:szCs w:val="20"/>
              </w:rPr>
            </w:pPr>
            <w:r w:rsidRPr="00447A7F">
              <w:rPr>
                <w:b/>
                <w:sz w:val="20"/>
                <w:szCs w:val="20"/>
              </w:rPr>
              <w:t>$(000s)</w:t>
            </w:r>
          </w:p>
        </w:tc>
      </w:tr>
      <w:tr w:rsidR="00447A7F" w:rsidRPr="007B72C9" w14:paraId="3064EE97" w14:textId="77777777" w:rsidTr="007613E5">
        <w:trPr>
          <w:trHeight w:val="288"/>
        </w:trPr>
        <w:tc>
          <w:tcPr>
            <w:tcW w:w="1812" w:type="dxa"/>
          </w:tcPr>
          <w:p w14:paraId="1DF46CF8" w14:textId="0AF8E165" w:rsidR="00447A7F" w:rsidRPr="00447A7F" w:rsidRDefault="00447A7F" w:rsidP="007613E5">
            <w:pPr>
              <w:keepNext/>
              <w:rPr>
                <w:sz w:val="20"/>
                <w:szCs w:val="20"/>
              </w:rPr>
            </w:pPr>
            <w:r w:rsidRPr="00447A7F">
              <w:rPr>
                <w:sz w:val="20"/>
                <w:szCs w:val="20"/>
              </w:rPr>
              <w:t>2017</w:t>
            </w:r>
            <w:r w:rsidR="005F720E">
              <w:rPr>
                <w:sz w:val="20"/>
                <w:szCs w:val="20"/>
              </w:rPr>
              <w:t xml:space="preserve"> </w:t>
            </w:r>
          </w:p>
        </w:tc>
        <w:tc>
          <w:tcPr>
            <w:tcW w:w="700" w:type="dxa"/>
          </w:tcPr>
          <w:p w14:paraId="45053152" w14:textId="77777777" w:rsidR="00447A7F" w:rsidRPr="00447A7F" w:rsidRDefault="00447A7F" w:rsidP="007613E5">
            <w:pPr>
              <w:keepNext/>
              <w:jc w:val="center"/>
              <w:rPr>
                <w:sz w:val="20"/>
                <w:szCs w:val="20"/>
              </w:rPr>
            </w:pPr>
            <w:r w:rsidRPr="00447A7F">
              <w:rPr>
                <w:sz w:val="20"/>
                <w:szCs w:val="20"/>
              </w:rPr>
              <w:t>3</w:t>
            </w:r>
          </w:p>
        </w:tc>
        <w:tc>
          <w:tcPr>
            <w:tcW w:w="894" w:type="dxa"/>
          </w:tcPr>
          <w:p w14:paraId="7341FEB6" w14:textId="77777777" w:rsidR="00447A7F" w:rsidRPr="00447A7F" w:rsidRDefault="00447A7F" w:rsidP="007613E5">
            <w:pPr>
              <w:keepNext/>
              <w:jc w:val="center"/>
              <w:rPr>
                <w:sz w:val="20"/>
                <w:szCs w:val="20"/>
              </w:rPr>
            </w:pPr>
            <w:r w:rsidRPr="00447A7F">
              <w:rPr>
                <w:sz w:val="20"/>
                <w:szCs w:val="20"/>
              </w:rPr>
              <w:t>6,142</w:t>
            </w:r>
          </w:p>
        </w:tc>
        <w:tc>
          <w:tcPr>
            <w:tcW w:w="616" w:type="dxa"/>
          </w:tcPr>
          <w:p w14:paraId="45D589D9" w14:textId="77777777" w:rsidR="00447A7F" w:rsidRPr="00447A7F" w:rsidRDefault="00447A7F" w:rsidP="007613E5">
            <w:pPr>
              <w:keepNext/>
              <w:jc w:val="center"/>
              <w:rPr>
                <w:sz w:val="20"/>
                <w:szCs w:val="20"/>
              </w:rPr>
            </w:pPr>
            <w:r w:rsidRPr="00447A7F">
              <w:rPr>
                <w:sz w:val="20"/>
                <w:szCs w:val="20"/>
              </w:rPr>
              <w:t>0</w:t>
            </w:r>
          </w:p>
        </w:tc>
        <w:tc>
          <w:tcPr>
            <w:tcW w:w="914" w:type="dxa"/>
          </w:tcPr>
          <w:p w14:paraId="2C161BE1" w14:textId="77777777" w:rsidR="00447A7F" w:rsidRPr="00447A7F" w:rsidRDefault="00447A7F" w:rsidP="007613E5">
            <w:pPr>
              <w:keepNext/>
              <w:jc w:val="center"/>
              <w:rPr>
                <w:sz w:val="20"/>
                <w:szCs w:val="20"/>
              </w:rPr>
            </w:pPr>
            <w:r w:rsidRPr="00447A7F">
              <w:rPr>
                <w:sz w:val="20"/>
                <w:szCs w:val="20"/>
              </w:rPr>
              <w:t>0</w:t>
            </w:r>
          </w:p>
        </w:tc>
        <w:tc>
          <w:tcPr>
            <w:tcW w:w="616" w:type="dxa"/>
          </w:tcPr>
          <w:p w14:paraId="67385C9B" w14:textId="77777777" w:rsidR="00447A7F" w:rsidRPr="00447A7F" w:rsidRDefault="00447A7F" w:rsidP="007613E5">
            <w:pPr>
              <w:keepNext/>
              <w:jc w:val="center"/>
              <w:rPr>
                <w:sz w:val="20"/>
                <w:szCs w:val="20"/>
              </w:rPr>
            </w:pPr>
            <w:r w:rsidRPr="00447A7F">
              <w:rPr>
                <w:sz w:val="20"/>
                <w:szCs w:val="20"/>
              </w:rPr>
              <w:t>0</w:t>
            </w:r>
          </w:p>
        </w:tc>
        <w:tc>
          <w:tcPr>
            <w:tcW w:w="914" w:type="dxa"/>
          </w:tcPr>
          <w:p w14:paraId="7845864A" w14:textId="77777777" w:rsidR="00447A7F" w:rsidRPr="00447A7F" w:rsidRDefault="00447A7F" w:rsidP="007613E5">
            <w:pPr>
              <w:keepNext/>
              <w:jc w:val="center"/>
              <w:rPr>
                <w:sz w:val="20"/>
                <w:szCs w:val="20"/>
              </w:rPr>
            </w:pPr>
            <w:r w:rsidRPr="00447A7F">
              <w:rPr>
                <w:sz w:val="20"/>
                <w:szCs w:val="20"/>
              </w:rPr>
              <w:t>0</w:t>
            </w:r>
          </w:p>
        </w:tc>
        <w:tc>
          <w:tcPr>
            <w:tcW w:w="671" w:type="dxa"/>
          </w:tcPr>
          <w:p w14:paraId="1E3DB8E0" w14:textId="77777777" w:rsidR="00447A7F" w:rsidRPr="00447A7F" w:rsidRDefault="00447A7F" w:rsidP="007613E5">
            <w:pPr>
              <w:keepNext/>
              <w:jc w:val="center"/>
              <w:rPr>
                <w:sz w:val="20"/>
                <w:szCs w:val="20"/>
              </w:rPr>
            </w:pPr>
            <w:r w:rsidRPr="00447A7F">
              <w:rPr>
                <w:sz w:val="20"/>
                <w:szCs w:val="20"/>
              </w:rPr>
              <w:t>3</w:t>
            </w:r>
          </w:p>
        </w:tc>
        <w:tc>
          <w:tcPr>
            <w:tcW w:w="949" w:type="dxa"/>
          </w:tcPr>
          <w:p w14:paraId="40EA23BF" w14:textId="77777777" w:rsidR="00447A7F" w:rsidRPr="00447A7F" w:rsidRDefault="00447A7F" w:rsidP="007613E5">
            <w:pPr>
              <w:keepNext/>
              <w:jc w:val="center"/>
              <w:rPr>
                <w:sz w:val="20"/>
                <w:szCs w:val="20"/>
              </w:rPr>
            </w:pPr>
            <w:r w:rsidRPr="00447A7F">
              <w:rPr>
                <w:sz w:val="20"/>
                <w:szCs w:val="20"/>
              </w:rPr>
              <w:t>39,544</w:t>
            </w:r>
          </w:p>
        </w:tc>
        <w:tc>
          <w:tcPr>
            <w:tcW w:w="659" w:type="dxa"/>
          </w:tcPr>
          <w:p w14:paraId="716A1CF7" w14:textId="77777777" w:rsidR="00447A7F" w:rsidRPr="00447A7F" w:rsidRDefault="00447A7F" w:rsidP="007613E5">
            <w:pPr>
              <w:keepNext/>
              <w:jc w:val="center"/>
              <w:rPr>
                <w:b/>
                <w:sz w:val="20"/>
                <w:szCs w:val="20"/>
              </w:rPr>
            </w:pPr>
            <w:r w:rsidRPr="00447A7F">
              <w:rPr>
                <w:b/>
                <w:sz w:val="20"/>
                <w:szCs w:val="20"/>
              </w:rPr>
              <w:t>6</w:t>
            </w:r>
          </w:p>
        </w:tc>
        <w:tc>
          <w:tcPr>
            <w:tcW w:w="900" w:type="dxa"/>
          </w:tcPr>
          <w:p w14:paraId="0EE633FB" w14:textId="77777777" w:rsidR="00447A7F" w:rsidRPr="00447A7F" w:rsidRDefault="00447A7F" w:rsidP="007613E5">
            <w:pPr>
              <w:keepNext/>
              <w:jc w:val="center"/>
              <w:rPr>
                <w:b/>
                <w:sz w:val="20"/>
                <w:szCs w:val="20"/>
              </w:rPr>
            </w:pPr>
            <w:r w:rsidRPr="00447A7F">
              <w:rPr>
                <w:b/>
                <w:sz w:val="20"/>
                <w:szCs w:val="20"/>
              </w:rPr>
              <w:t>45,686</w:t>
            </w:r>
          </w:p>
        </w:tc>
      </w:tr>
      <w:tr w:rsidR="00447A7F" w:rsidRPr="007B72C9" w14:paraId="40DCD1E6" w14:textId="77777777" w:rsidTr="007613E5">
        <w:trPr>
          <w:trHeight w:val="288"/>
        </w:trPr>
        <w:tc>
          <w:tcPr>
            <w:tcW w:w="1812" w:type="dxa"/>
          </w:tcPr>
          <w:p w14:paraId="2B21D87F" w14:textId="77777777" w:rsidR="00447A7F" w:rsidRPr="00447A7F" w:rsidRDefault="00447A7F" w:rsidP="007613E5">
            <w:pPr>
              <w:keepNext/>
              <w:rPr>
                <w:sz w:val="20"/>
                <w:szCs w:val="20"/>
              </w:rPr>
            </w:pPr>
            <w:r w:rsidRPr="00447A7F">
              <w:rPr>
                <w:sz w:val="20"/>
                <w:szCs w:val="20"/>
              </w:rPr>
              <w:t>2018</w:t>
            </w:r>
          </w:p>
        </w:tc>
        <w:tc>
          <w:tcPr>
            <w:tcW w:w="700" w:type="dxa"/>
          </w:tcPr>
          <w:p w14:paraId="4C7B381C" w14:textId="77777777" w:rsidR="00447A7F" w:rsidRPr="00447A7F" w:rsidRDefault="00447A7F" w:rsidP="007613E5">
            <w:pPr>
              <w:keepNext/>
              <w:jc w:val="center"/>
              <w:rPr>
                <w:sz w:val="20"/>
                <w:szCs w:val="20"/>
              </w:rPr>
            </w:pPr>
            <w:r w:rsidRPr="00447A7F">
              <w:rPr>
                <w:sz w:val="20"/>
                <w:szCs w:val="20"/>
              </w:rPr>
              <w:t>5</w:t>
            </w:r>
          </w:p>
        </w:tc>
        <w:tc>
          <w:tcPr>
            <w:tcW w:w="894" w:type="dxa"/>
          </w:tcPr>
          <w:p w14:paraId="2E2457F3" w14:textId="77777777" w:rsidR="00447A7F" w:rsidRPr="00447A7F" w:rsidRDefault="00447A7F" w:rsidP="007613E5">
            <w:pPr>
              <w:keepNext/>
              <w:jc w:val="center"/>
              <w:rPr>
                <w:sz w:val="20"/>
                <w:szCs w:val="20"/>
              </w:rPr>
            </w:pPr>
            <w:r w:rsidRPr="00447A7F">
              <w:rPr>
                <w:sz w:val="20"/>
                <w:szCs w:val="20"/>
              </w:rPr>
              <w:t>9,155</w:t>
            </w:r>
          </w:p>
        </w:tc>
        <w:tc>
          <w:tcPr>
            <w:tcW w:w="616" w:type="dxa"/>
          </w:tcPr>
          <w:p w14:paraId="434ECD95" w14:textId="77777777" w:rsidR="00447A7F" w:rsidRPr="00447A7F" w:rsidRDefault="00447A7F" w:rsidP="007613E5">
            <w:pPr>
              <w:keepNext/>
              <w:jc w:val="center"/>
              <w:rPr>
                <w:sz w:val="20"/>
                <w:szCs w:val="20"/>
              </w:rPr>
            </w:pPr>
            <w:r w:rsidRPr="00447A7F">
              <w:rPr>
                <w:sz w:val="20"/>
                <w:szCs w:val="20"/>
              </w:rPr>
              <w:t>0</w:t>
            </w:r>
          </w:p>
        </w:tc>
        <w:tc>
          <w:tcPr>
            <w:tcW w:w="914" w:type="dxa"/>
          </w:tcPr>
          <w:p w14:paraId="4131B1D5" w14:textId="77777777" w:rsidR="00447A7F" w:rsidRPr="00447A7F" w:rsidRDefault="00447A7F" w:rsidP="007613E5">
            <w:pPr>
              <w:keepNext/>
              <w:jc w:val="center"/>
              <w:rPr>
                <w:sz w:val="20"/>
                <w:szCs w:val="20"/>
              </w:rPr>
            </w:pPr>
            <w:r w:rsidRPr="00447A7F">
              <w:rPr>
                <w:sz w:val="20"/>
                <w:szCs w:val="20"/>
              </w:rPr>
              <w:t>0</w:t>
            </w:r>
          </w:p>
        </w:tc>
        <w:tc>
          <w:tcPr>
            <w:tcW w:w="616" w:type="dxa"/>
          </w:tcPr>
          <w:p w14:paraId="2A801704" w14:textId="77777777" w:rsidR="00447A7F" w:rsidRPr="00447A7F" w:rsidRDefault="00447A7F" w:rsidP="007613E5">
            <w:pPr>
              <w:keepNext/>
              <w:jc w:val="center"/>
              <w:rPr>
                <w:sz w:val="20"/>
                <w:szCs w:val="20"/>
              </w:rPr>
            </w:pPr>
            <w:r w:rsidRPr="00447A7F">
              <w:rPr>
                <w:sz w:val="20"/>
                <w:szCs w:val="20"/>
              </w:rPr>
              <w:t>0</w:t>
            </w:r>
          </w:p>
        </w:tc>
        <w:tc>
          <w:tcPr>
            <w:tcW w:w="914" w:type="dxa"/>
          </w:tcPr>
          <w:p w14:paraId="0EFFB7BE" w14:textId="77777777" w:rsidR="00447A7F" w:rsidRPr="00447A7F" w:rsidRDefault="00447A7F" w:rsidP="007613E5">
            <w:pPr>
              <w:keepNext/>
              <w:jc w:val="center"/>
              <w:rPr>
                <w:sz w:val="20"/>
                <w:szCs w:val="20"/>
              </w:rPr>
            </w:pPr>
            <w:r w:rsidRPr="00447A7F">
              <w:rPr>
                <w:sz w:val="20"/>
                <w:szCs w:val="20"/>
              </w:rPr>
              <w:t>0</w:t>
            </w:r>
          </w:p>
        </w:tc>
        <w:tc>
          <w:tcPr>
            <w:tcW w:w="671" w:type="dxa"/>
          </w:tcPr>
          <w:p w14:paraId="0338ABD9" w14:textId="77777777" w:rsidR="00447A7F" w:rsidRPr="00447A7F" w:rsidRDefault="00447A7F" w:rsidP="007613E5">
            <w:pPr>
              <w:keepNext/>
              <w:jc w:val="center"/>
              <w:rPr>
                <w:sz w:val="20"/>
                <w:szCs w:val="20"/>
              </w:rPr>
            </w:pPr>
            <w:r w:rsidRPr="00447A7F">
              <w:rPr>
                <w:sz w:val="20"/>
                <w:szCs w:val="20"/>
              </w:rPr>
              <w:t>0</w:t>
            </w:r>
          </w:p>
        </w:tc>
        <w:tc>
          <w:tcPr>
            <w:tcW w:w="949" w:type="dxa"/>
          </w:tcPr>
          <w:p w14:paraId="302563AC" w14:textId="77777777" w:rsidR="00447A7F" w:rsidRPr="00447A7F" w:rsidRDefault="00447A7F" w:rsidP="007613E5">
            <w:pPr>
              <w:keepNext/>
              <w:jc w:val="center"/>
              <w:rPr>
                <w:sz w:val="20"/>
                <w:szCs w:val="20"/>
              </w:rPr>
            </w:pPr>
            <w:r w:rsidRPr="00447A7F">
              <w:rPr>
                <w:sz w:val="20"/>
                <w:szCs w:val="20"/>
              </w:rPr>
              <w:t>0</w:t>
            </w:r>
          </w:p>
        </w:tc>
        <w:tc>
          <w:tcPr>
            <w:tcW w:w="659" w:type="dxa"/>
          </w:tcPr>
          <w:p w14:paraId="256D8E09" w14:textId="77777777" w:rsidR="00447A7F" w:rsidRPr="00447A7F" w:rsidRDefault="00447A7F" w:rsidP="007613E5">
            <w:pPr>
              <w:keepNext/>
              <w:jc w:val="center"/>
              <w:rPr>
                <w:b/>
                <w:sz w:val="20"/>
                <w:szCs w:val="20"/>
              </w:rPr>
            </w:pPr>
            <w:r w:rsidRPr="00447A7F">
              <w:rPr>
                <w:b/>
                <w:sz w:val="20"/>
                <w:szCs w:val="20"/>
              </w:rPr>
              <w:t>5</w:t>
            </w:r>
          </w:p>
        </w:tc>
        <w:tc>
          <w:tcPr>
            <w:tcW w:w="900" w:type="dxa"/>
          </w:tcPr>
          <w:p w14:paraId="76EEC3DC" w14:textId="77777777" w:rsidR="00447A7F" w:rsidRPr="00447A7F" w:rsidRDefault="00447A7F" w:rsidP="007613E5">
            <w:pPr>
              <w:keepNext/>
              <w:jc w:val="center"/>
              <w:rPr>
                <w:b/>
                <w:sz w:val="20"/>
                <w:szCs w:val="20"/>
              </w:rPr>
            </w:pPr>
            <w:r w:rsidRPr="00447A7F">
              <w:rPr>
                <w:b/>
                <w:sz w:val="20"/>
                <w:szCs w:val="20"/>
              </w:rPr>
              <w:t>9,155</w:t>
            </w:r>
          </w:p>
        </w:tc>
      </w:tr>
      <w:tr w:rsidR="00447A7F" w:rsidRPr="007B72C9" w14:paraId="50ED3BE4" w14:textId="77777777" w:rsidTr="007613E5">
        <w:trPr>
          <w:trHeight w:val="288"/>
        </w:trPr>
        <w:tc>
          <w:tcPr>
            <w:tcW w:w="1812" w:type="dxa"/>
          </w:tcPr>
          <w:p w14:paraId="726D2B82" w14:textId="77777777" w:rsidR="00447A7F" w:rsidRPr="00447A7F" w:rsidRDefault="00447A7F" w:rsidP="007613E5">
            <w:pPr>
              <w:keepNext/>
              <w:rPr>
                <w:sz w:val="20"/>
                <w:szCs w:val="20"/>
              </w:rPr>
            </w:pPr>
            <w:r w:rsidRPr="00447A7F">
              <w:rPr>
                <w:sz w:val="20"/>
                <w:szCs w:val="20"/>
              </w:rPr>
              <w:t>2019</w:t>
            </w:r>
          </w:p>
        </w:tc>
        <w:tc>
          <w:tcPr>
            <w:tcW w:w="700" w:type="dxa"/>
          </w:tcPr>
          <w:p w14:paraId="612B1AF4" w14:textId="77777777" w:rsidR="00447A7F" w:rsidRPr="00447A7F" w:rsidRDefault="00447A7F" w:rsidP="007613E5">
            <w:pPr>
              <w:keepNext/>
              <w:jc w:val="center"/>
              <w:rPr>
                <w:sz w:val="20"/>
                <w:szCs w:val="20"/>
              </w:rPr>
            </w:pPr>
            <w:r w:rsidRPr="00447A7F">
              <w:rPr>
                <w:sz w:val="20"/>
                <w:szCs w:val="20"/>
              </w:rPr>
              <w:t>6</w:t>
            </w:r>
          </w:p>
        </w:tc>
        <w:tc>
          <w:tcPr>
            <w:tcW w:w="894" w:type="dxa"/>
          </w:tcPr>
          <w:p w14:paraId="4DB5DEE0" w14:textId="77777777" w:rsidR="00447A7F" w:rsidRPr="00447A7F" w:rsidRDefault="00447A7F" w:rsidP="007613E5">
            <w:pPr>
              <w:keepNext/>
              <w:jc w:val="center"/>
              <w:rPr>
                <w:sz w:val="20"/>
                <w:szCs w:val="20"/>
              </w:rPr>
            </w:pPr>
            <w:r w:rsidRPr="00447A7F">
              <w:rPr>
                <w:sz w:val="20"/>
                <w:szCs w:val="20"/>
              </w:rPr>
              <w:t>5,399</w:t>
            </w:r>
          </w:p>
        </w:tc>
        <w:tc>
          <w:tcPr>
            <w:tcW w:w="616" w:type="dxa"/>
          </w:tcPr>
          <w:p w14:paraId="55342837" w14:textId="77777777" w:rsidR="00447A7F" w:rsidRPr="00447A7F" w:rsidRDefault="00447A7F" w:rsidP="007613E5">
            <w:pPr>
              <w:keepNext/>
              <w:jc w:val="center"/>
              <w:rPr>
                <w:sz w:val="20"/>
                <w:szCs w:val="20"/>
              </w:rPr>
            </w:pPr>
            <w:r w:rsidRPr="00447A7F">
              <w:rPr>
                <w:sz w:val="20"/>
                <w:szCs w:val="20"/>
              </w:rPr>
              <w:t>0</w:t>
            </w:r>
          </w:p>
        </w:tc>
        <w:tc>
          <w:tcPr>
            <w:tcW w:w="914" w:type="dxa"/>
          </w:tcPr>
          <w:p w14:paraId="4CF7B4F3" w14:textId="77777777" w:rsidR="00447A7F" w:rsidRPr="00447A7F" w:rsidRDefault="00447A7F" w:rsidP="007613E5">
            <w:pPr>
              <w:keepNext/>
              <w:jc w:val="center"/>
              <w:rPr>
                <w:sz w:val="20"/>
                <w:szCs w:val="20"/>
              </w:rPr>
            </w:pPr>
            <w:r w:rsidRPr="00447A7F">
              <w:rPr>
                <w:sz w:val="20"/>
                <w:szCs w:val="20"/>
              </w:rPr>
              <w:t>0</w:t>
            </w:r>
          </w:p>
        </w:tc>
        <w:tc>
          <w:tcPr>
            <w:tcW w:w="616" w:type="dxa"/>
          </w:tcPr>
          <w:p w14:paraId="55E5A87D" w14:textId="77777777" w:rsidR="00447A7F" w:rsidRPr="00447A7F" w:rsidRDefault="00447A7F" w:rsidP="007613E5">
            <w:pPr>
              <w:keepNext/>
              <w:jc w:val="center"/>
              <w:rPr>
                <w:sz w:val="20"/>
                <w:szCs w:val="20"/>
              </w:rPr>
            </w:pPr>
            <w:r w:rsidRPr="00447A7F">
              <w:rPr>
                <w:sz w:val="20"/>
                <w:szCs w:val="20"/>
              </w:rPr>
              <w:t>0</w:t>
            </w:r>
          </w:p>
        </w:tc>
        <w:tc>
          <w:tcPr>
            <w:tcW w:w="914" w:type="dxa"/>
          </w:tcPr>
          <w:p w14:paraId="667DB7EC" w14:textId="77777777" w:rsidR="00447A7F" w:rsidRPr="00447A7F" w:rsidRDefault="00447A7F" w:rsidP="007613E5">
            <w:pPr>
              <w:keepNext/>
              <w:jc w:val="center"/>
              <w:rPr>
                <w:sz w:val="20"/>
                <w:szCs w:val="20"/>
              </w:rPr>
            </w:pPr>
            <w:r w:rsidRPr="00447A7F">
              <w:rPr>
                <w:sz w:val="20"/>
                <w:szCs w:val="20"/>
              </w:rPr>
              <w:t>0</w:t>
            </w:r>
          </w:p>
        </w:tc>
        <w:tc>
          <w:tcPr>
            <w:tcW w:w="671" w:type="dxa"/>
          </w:tcPr>
          <w:p w14:paraId="0005C3E3" w14:textId="77777777" w:rsidR="00447A7F" w:rsidRPr="00447A7F" w:rsidRDefault="00447A7F" w:rsidP="007613E5">
            <w:pPr>
              <w:keepNext/>
              <w:jc w:val="center"/>
              <w:rPr>
                <w:sz w:val="20"/>
                <w:szCs w:val="20"/>
              </w:rPr>
            </w:pPr>
            <w:r w:rsidRPr="00447A7F">
              <w:rPr>
                <w:sz w:val="20"/>
                <w:szCs w:val="20"/>
              </w:rPr>
              <w:t>0</w:t>
            </w:r>
          </w:p>
        </w:tc>
        <w:tc>
          <w:tcPr>
            <w:tcW w:w="949" w:type="dxa"/>
          </w:tcPr>
          <w:p w14:paraId="78388532" w14:textId="77777777" w:rsidR="00447A7F" w:rsidRPr="00447A7F" w:rsidRDefault="00447A7F" w:rsidP="007613E5">
            <w:pPr>
              <w:keepNext/>
              <w:jc w:val="center"/>
              <w:rPr>
                <w:sz w:val="20"/>
                <w:szCs w:val="20"/>
              </w:rPr>
            </w:pPr>
            <w:r w:rsidRPr="00447A7F">
              <w:rPr>
                <w:sz w:val="20"/>
                <w:szCs w:val="20"/>
              </w:rPr>
              <w:t>0</w:t>
            </w:r>
          </w:p>
        </w:tc>
        <w:tc>
          <w:tcPr>
            <w:tcW w:w="659" w:type="dxa"/>
          </w:tcPr>
          <w:p w14:paraId="2B5AD60A" w14:textId="77777777" w:rsidR="00447A7F" w:rsidRPr="00447A7F" w:rsidRDefault="00447A7F" w:rsidP="007613E5">
            <w:pPr>
              <w:keepNext/>
              <w:jc w:val="center"/>
              <w:rPr>
                <w:b/>
                <w:sz w:val="20"/>
                <w:szCs w:val="20"/>
              </w:rPr>
            </w:pPr>
            <w:r w:rsidRPr="00447A7F">
              <w:rPr>
                <w:b/>
                <w:sz w:val="20"/>
                <w:szCs w:val="20"/>
              </w:rPr>
              <w:t>6</w:t>
            </w:r>
          </w:p>
        </w:tc>
        <w:tc>
          <w:tcPr>
            <w:tcW w:w="900" w:type="dxa"/>
          </w:tcPr>
          <w:p w14:paraId="56D1FD3F" w14:textId="77777777" w:rsidR="00447A7F" w:rsidRPr="00447A7F" w:rsidRDefault="00447A7F" w:rsidP="007613E5">
            <w:pPr>
              <w:keepNext/>
              <w:jc w:val="center"/>
              <w:rPr>
                <w:b/>
                <w:sz w:val="20"/>
                <w:szCs w:val="20"/>
              </w:rPr>
            </w:pPr>
            <w:r w:rsidRPr="00447A7F">
              <w:rPr>
                <w:b/>
                <w:sz w:val="20"/>
                <w:szCs w:val="20"/>
              </w:rPr>
              <w:t>5,399</w:t>
            </w:r>
          </w:p>
        </w:tc>
      </w:tr>
      <w:tr w:rsidR="00177555" w:rsidRPr="007B72C9" w14:paraId="3A193B8E" w14:textId="77777777" w:rsidTr="007613E5">
        <w:trPr>
          <w:trHeight w:val="288"/>
        </w:trPr>
        <w:tc>
          <w:tcPr>
            <w:tcW w:w="1812" w:type="dxa"/>
          </w:tcPr>
          <w:p w14:paraId="0CC76A71" w14:textId="563105E9" w:rsidR="00177555" w:rsidRPr="00CA76DC" w:rsidRDefault="00B53F5D" w:rsidP="007613E5">
            <w:pPr>
              <w:keepNext/>
              <w:rPr>
                <w:sz w:val="20"/>
                <w:szCs w:val="20"/>
              </w:rPr>
            </w:pPr>
            <w:r w:rsidRPr="00CA76DC">
              <w:rPr>
                <w:sz w:val="20"/>
                <w:szCs w:val="20"/>
              </w:rPr>
              <w:t xml:space="preserve">YTD </w:t>
            </w:r>
            <w:r w:rsidR="00177555" w:rsidRPr="00CA76DC">
              <w:rPr>
                <w:sz w:val="20"/>
                <w:szCs w:val="20"/>
              </w:rPr>
              <w:t>2020*</w:t>
            </w:r>
          </w:p>
        </w:tc>
        <w:tc>
          <w:tcPr>
            <w:tcW w:w="700" w:type="dxa"/>
          </w:tcPr>
          <w:p w14:paraId="594B3649" w14:textId="3E935540" w:rsidR="00177555" w:rsidRPr="00447A7F" w:rsidRDefault="00177555" w:rsidP="007613E5">
            <w:pPr>
              <w:keepNext/>
              <w:jc w:val="center"/>
              <w:rPr>
                <w:b/>
                <w:sz w:val="20"/>
                <w:szCs w:val="20"/>
              </w:rPr>
            </w:pPr>
            <w:r>
              <w:rPr>
                <w:b/>
                <w:sz w:val="20"/>
                <w:szCs w:val="20"/>
              </w:rPr>
              <w:t>0</w:t>
            </w:r>
          </w:p>
        </w:tc>
        <w:tc>
          <w:tcPr>
            <w:tcW w:w="894" w:type="dxa"/>
          </w:tcPr>
          <w:p w14:paraId="356E6211" w14:textId="41E90D03" w:rsidR="00177555" w:rsidRPr="00447A7F" w:rsidRDefault="00177555" w:rsidP="007613E5">
            <w:pPr>
              <w:keepNext/>
              <w:jc w:val="center"/>
              <w:rPr>
                <w:b/>
                <w:sz w:val="20"/>
                <w:szCs w:val="20"/>
              </w:rPr>
            </w:pPr>
            <w:r>
              <w:rPr>
                <w:b/>
                <w:sz w:val="20"/>
                <w:szCs w:val="20"/>
              </w:rPr>
              <w:t>0</w:t>
            </w:r>
          </w:p>
        </w:tc>
        <w:tc>
          <w:tcPr>
            <w:tcW w:w="616" w:type="dxa"/>
          </w:tcPr>
          <w:p w14:paraId="66B4EDF4" w14:textId="7D3E1558" w:rsidR="00177555" w:rsidRPr="00447A7F" w:rsidRDefault="00177555" w:rsidP="007613E5">
            <w:pPr>
              <w:keepNext/>
              <w:jc w:val="center"/>
              <w:rPr>
                <w:b/>
                <w:sz w:val="20"/>
                <w:szCs w:val="20"/>
              </w:rPr>
            </w:pPr>
            <w:r>
              <w:rPr>
                <w:b/>
                <w:sz w:val="20"/>
                <w:szCs w:val="20"/>
              </w:rPr>
              <w:t>0</w:t>
            </w:r>
          </w:p>
        </w:tc>
        <w:tc>
          <w:tcPr>
            <w:tcW w:w="914" w:type="dxa"/>
          </w:tcPr>
          <w:p w14:paraId="4619AA4B" w14:textId="44F6FB08" w:rsidR="00177555" w:rsidRPr="00447A7F" w:rsidRDefault="00177555" w:rsidP="007613E5">
            <w:pPr>
              <w:keepNext/>
              <w:jc w:val="center"/>
              <w:rPr>
                <w:b/>
                <w:sz w:val="20"/>
                <w:szCs w:val="20"/>
              </w:rPr>
            </w:pPr>
            <w:r>
              <w:rPr>
                <w:b/>
                <w:sz w:val="20"/>
                <w:szCs w:val="20"/>
              </w:rPr>
              <w:t>0</w:t>
            </w:r>
          </w:p>
        </w:tc>
        <w:tc>
          <w:tcPr>
            <w:tcW w:w="616" w:type="dxa"/>
          </w:tcPr>
          <w:p w14:paraId="61A6D45D" w14:textId="4328E1CB" w:rsidR="00177555" w:rsidRPr="00447A7F" w:rsidRDefault="00177555" w:rsidP="007613E5">
            <w:pPr>
              <w:keepNext/>
              <w:jc w:val="center"/>
              <w:rPr>
                <w:b/>
                <w:sz w:val="20"/>
                <w:szCs w:val="20"/>
              </w:rPr>
            </w:pPr>
            <w:r>
              <w:rPr>
                <w:b/>
                <w:sz w:val="20"/>
                <w:szCs w:val="20"/>
              </w:rPr>
              <w:t>0</w:t>
            </w:r>
          </w:p>
        </w:tc>
        <w:tc>
          <w:tcPr>
            <w:tcW w:w="914" w:type="dxa"/>
          </w:tcPr>
          <w:p w14:paraId="582DDACF" w14:textId="66328B5B" w:rsidR="00177555" w:rsidRPr="00447A7F" w:rsidRDefault="00177555" w:rsidP="007613E5">
            <w:pPr>
              <w:keepNext/>
              <w:jc w:val="center"/>
              <w:rPr>
                <w:b/>
                <w:sz w:val="20"/>
                <w:szCs w:val="20"/>
              </w:rPr>
            </w:pPr>
            <w:r>
              <w:rPr>
                <w:b/>
                <w:sz w:val="20"/>
                <w:szCs w:val="20"/>
              </w:rPr>
              <w:t>0</w:t>
            </w:r>
          </w:p>
        </w:tc>
        <w:tc>
          <w:tcPr>
            <w:tcW w:w="671" w:type="dxa"/>
          </w:tcPr>
          <w:p w14:paraId="72302E08" w14:textId="6E00C9D9" w:rsidR="00177555" w:rsidRPr="00447A7F" w:rsidRDefault="00177555" w:rsidP="007613E5">
            <w:pPr>
              <w:keepNext/>
              <w:jc w:val="center"/>
              <w:rPr>
                <w:b/>
                <w:sz w:val="20"/>
                <w:szCs w:val="20"/>
              </w:rPr>
            </w:pPr>
            <w:r>
              <w:rPr>
                <w:b/>
                <w:sz w:val="20"/>
                <w:szCs w:val="20"/>
              </w:rPr>
              <w:t>0</w:t>
            </w:r>
          </w:p>
        </w:tc>
        <w:tc>
          <w:tcPr>
            <w:tcW w:w="949" w:type="dxa"/>
          </w:tcPr>
          <w:p w14:paraId="3D62EC42" w14:textId="4D9A1619" w:rsidR="00177555" w:rsidRPr="00447A7F" w:rsidRDefault="00177555" w:rsidP="007613E5">
            <w:pPr>
              <w:keepNext/>
              <w:jc w:val="center"/>
              <w:rPr>
                <w:b/>
                <w:sz w:val="20"/>
                <w:szCs w:val="20"/>
              </w:rPr>
            </w:pPr>
            <w:r>
              <w:rPr>
                <w:b/>
                <w:sz w:val="20"/>
                <w:szCs w:val="20"/>
              </w:rPr>
              <w:t>0</w:t>
            </w:r>
          </w:p>
        </w:tc>
        <w:tc>
          <w:tcPr>
            <w:tcW w:w="659" w:type="dxa"/>
          </w:tcPr>
          <w:p w14:paraId="170E637D" w14:textId="17FCAE3B" w:rsidR="00177555" w:rsidRPr="00447A7F" w:rsidRDefault="00177555" w:rsidP="007613E5">
            <w:pPr>
              <w:keepNext/>
              <w:jc w:val="center"/>
              <w:rPr>
                <w:b/>
                <w:sz w:val="20"/>
                <w:szCs w:val="20"/>
              </w:rPr>
            </w:pPr>
            <w:r>
              <w:rPr>
                <w:b/>
                <w:sz w:val="20"/>
                <w:szCs w:val="20"/>
              </w:rPr>
              <w:t>0</w:t>
            </w:r>
          </w:p>
        </w:tc>
        <w:tc>
          <w:tcPr>
            <w:tcW w:w="900" w:type="dxa"/>
          </w:tcPr>
          <w:p w14:paraId="1E0B7F24" w14:textId="21194FF1" w:rsidR="00177555" w:rsidRPr="00447A7F" w:rsidRDefault="00177555" w:rsidP="007613E5">
            <w:pPr>
              <w:keepNext/>
              <w:jc w:val="center"/>
              <w:rPr>
                <w:b/>
                <w:sz w:val="20"/>
                <w:szCs w:val="20"/>
              </w:rPr>
            </w:pPr>
            <w:r>
              <w:rPr>
                <w:b/>
                <w:sz w:val="20"/>
                <w:szCs w:val="20"/>
              </w:rPr>
              <w:t>0</w:t>
            </w:r>
          </w:p>
        </w:tc>
      </w:tr>
      <w:tr w:rsidR="00447A7F" w:rsidRPr="007B72C9" w14:paraId="5CEDD73F" w14:textId="77777777" w:rsidTr="007613E5">
        <w:trPr>
          <w:trHeight w:val="288"/>
        </w:trPr>
        <w:tc>
          <w:tcPr>
            <w:tcW w:w="1812" w:type="dxa"/>
          </w:tcPr>
          <w:p w14:paraId="381F8A25" w14:textId="77777777" w:rsidR="00447A7F" w:rsidRPr="00447A7F" w:rsidRDefault="00447A7F" w:rsidP="007613E5">
            <w:pPr>
              <w:keepNext/>
              <w:rPr>
                <w:b/>
                <w:sz w:val="20"/>
                <w:szCs w:val="20"/>
                <w:highlight w:val="green"/>
              </w:rPr>
            </w:pPr>
            <w:r w:rsidRPr="00447A7F">
              <w:rPr>
                <w:b/>
                <w:sz w:val="20"/>
                <w:szCs w:val="20"/>
              </w:rPr>
              <w:t>Total</w:t>
            </w:r>
          </w:p>
        </w:tc>
        <w:tc>
          <w:tcPr>
            <w:tcW w:w="700" w:type="dxa"/>
          </w:tcPr>
          <w:p w14:paraId="2D0391FF" w14:textId="77777777" w:rsidR="00447A7F" w:rsidRPr="00447A7F" w:rsidRDefault="00447A7F" w:rsidP="007613E5">
            <w:pPr>
              <w:keepNext/>
              <w:jc w:val="center"/>
              <w:rPr>
                <w:b/>
                <w:sz w:val="20"/>
                <w:szCs w:val="20"/>
              </w:rPr>
            </w:pPr>
            <w:r w:rsidRPr="00447A7F">
              <w:rPr>
                <w:b/>
                <w:sz w:val="20"/>
                <w:szCs w:val="20"/>
              </w:rPr>
              <w:t>14</w:t>
            </w:r>
          </w:p>
        </w:tc>
        <w:tc>
          <w:tcPr>
            <w:tcW w:w="894" w:type="dxa"/>
          </w:tcPr>
          <w:p w14:paraId="7D04B455" w14:textId="77777777" w:rsidR="00447A7F" w:rsidRPr="00447A7F" w:rsidRDefault="00447A7F" w:rsidP="007613E5">
            <w:pPr>
              <w:keepNext/>
              <w:jc w:val="center"/>
              <w:rPr>
                <w:b/>
                <w:sz w:val="20"/>
                <w:szCs w:val="20"/>
              </w:rPr>
            </w:pPr>
            <w:r w:rsidRPr="00447A7F">
              <w:rPr>
                <w:b/>
                <w:sz w:val="20"/>
                <w:szCs w:val="20"/>
              </w:rPr>
              <w:t>20,696</w:t>
            </w:r>
          </w:p>
        </w:tc>
        <w:tc>
          <w:tcPr>
            <w:tcW w:w="616" w:type="dxa"/>
          </w:tcPr>
          <w:p w14:paraId="388712C5" w14:textId="77777777" w:rsidR="00447A7F" w:rsidRPr="00447A7F" w:rsidRDefault="00447A7F" w:rsidP="007613E5">
            <w:pPr>
              <w:keepNext/>
              <w:jc w:val="center"/>
              <w:rPr>
                <w:b/>
                <w:sz w:val="20"/>
                <w:szCs w:val="20"/>
              </w:rPr>
            </w:pPr>
            <w:r w:rsidRPr="00447A7F">
              <w:rPr>
                <w:b/>
                <w:sz w:val="20"/>
                <w:szCs w:val="20"/>
              </w:rPr>
              <w:t>0</w:t>
            </w:r>
          </w:p>
        </w:tc>
        <w:tc>
          <w:tcPr>
            <w:tcW w:w="914" w:type="dxa"/>
          </w:tcPr>
          <w:p w14:paraId="30E7ED01" w14:textId="77777777" w:rsidR="00447A7F" w:rsidRPr="00447A7F" w:rsidRDefault="00447A7F" w:rsidP="007613E5">
            <w:pPr>
              <w:keepNext/>
              <w:jc w:val="center"/>
              <w:rPr>
                <w:b/>
                <w:sz w:val="20"/>
                <w:szCs w:val="20"/>
              </w:rPr>
            </w:pPr>
            <w:r w:rsidRPr="00447A7F">
              <w:rPr>
                <w:b/>
                <w:sz w:val="20"/>
                <w:szCs w:val="20"/>
              </w:rPr>
              <w:t>0</w:t>
            </w:r>
          </w:p>
        </w:tc>
        <w:tc>
          <w:tcPr>
            <w:tcW w:w="616" w:type="dxa"/>
          </w:tcPr>
          <w:p w14:paraId="4C7C063F" w14:textId="77777777" w:rsidR="00447A7F" w:rsidRPr="00447A7F" w:rsidRDefault="00447A7F" w:rsidP="007613E5">
            <w:pPr>
              <w:keepNext/>
              <w:jc w:val="center"/>
              <w:rPr>
                <w:b/>
                <w:sz w:val="20"/>
                <w:szCs w:val="20"/>
              </w:rPr>
            </w:pPr>
            <w:r w:rsidRPr="00447A7F">
              <w:rPr>
                <w:b/>
                <w:sz w:val="20"/>
                <w:szCs w:val="20"/>
              </w:rPr>
              <w:t>0</w:t>
            </w:r>
          </w:p>
        </w:tc>
        <w:tc>
          <w:tcPr>
            <w:tcW w:w="914" w:type="dxa"/>
          </w:tcPr>
          <w:p w14:paraId="4D087248" w14:textId="77777777" w:rsidR="00447A7F" w:rsidRPr="00447A7F" w:rsidRDefault="00447A7F" w:rsidP="007613E5">
            <w:pPr>
              <w:keepNext/>
              <w:jc w:val="center"/>
              <w:rPr>
                <w:b/>
                <w:sz w:val="20"/>
                <w:szCs w:val="20"/>
              </w:rPr>
            </w:pPr>
            <w:r w:rsidRPr="00447A7F">
              <w:rPr>
                <w:b/>
                <w:sz w:val="20"/>
                <w:szCs w:val="20"/>
              </w:rPr>
              <w:t>0</w:t>
            </w:r>
          </w:p>
        </w:tc>
        <w:tc>
          <w:tcPr>
            <w:tcW w:w="671" w:type="dxa"/>
          </w:tcPr>
          <w:p w14:paraId="5815145D" w14:textId="77777777" w:rsidR="00447A7F" w:rsidRPr="00447A7F" w:rsidRDefault="00447A7F" w:rsidP="007613E5">
            <w:pPr>
              <w:keepNext/>
              <w:jc w:val="center"/>
              <w:rPr>
                <w:b/>
                <w:sz w:val="20"/>
                <w:szCs w:val="20"/>
              </w:rPr>
            </w:pPr>
            <w:r w:rsidRPr="00447A7F">
              <w:rPr>
                <w:b/>
                <w:sz w:val="20"/>
                <w:szCs w:val="20"/>
              </w:rPr>
              <w:t>3</w:t>
            </w:r>
          </w:p>
        </w:tc>
        <w:tc>
          <w:tcPr>
            <w:tcW w:w="949" w:type="dxa"/>
          </w:tcPr>
          <w:p w14:paraId="3BBB1651" w14:textId="77777777" w:rsidR="00447A7F" w:rsidRPr="00447A7F" w:rsidRDefault="00447A7F" w:rsidP="007613E5">
            <w:pPr>
              <w:keepNext/>
              <w:jc w:val="center"/>
              <w:rPr>
                <w:b/>
                <w:sz w:val="20"/>
                <w:szCs w:val="20"/>
              </w:rPr>
            </w:pPr>
            <w:r w:rsidRPr="00447A7F">
              <w:rPr>
                <w:b/>
                <w:sz w:val="20"/>
                <w:szCs w:val="20"/>
              </w:rPr>
              <w:t>39,544</w:t>
            </w:r>
          </w:p>
        </w:tc>
        <w:tc>
          <w:tcPr>
            <w:tcW w:w="659" w:type="dxa"/>
          </w:tcPr>
          <w:p w14:paraId="1353F5CC" w14:textId="77777777" w:rsidR="00447A7F" w:rsidRPr="00447A7F" w:rsidRDefault="00447A7F" w:rsidP="007613E5">
            <w:pPr>
              <w:keepNext/>
              <w:jc w:val="center"/>
              <w:rPr>
                <w:b/>
                <w:sz w:val="20"/>
                <w:szCs w:val="20"/>
              </w:rPr>
            </w:pPr>
            <w:r w:rsidRPr="00447A7F">
              <w:rPr>
                <w:b/>
                <w:sz w:val="20"/>
                <w:szCs w:val="20"/>
              </w:rPr>
              <w:t>17</w:t>
            </w:r>
          </w:p>
        </w:tc>
        <w:tc>
          <w:tcPr>
            <w:tcW w:w="900" w:type="dxa"/>
          </w:tcPr>
          <w:p w14:paraId="17095AD2" w14:textId="77777777" w:rsidR="00447A7F" w:rsidRPr="00447A7F" w:rsidRDefault="00447A7F" w:rsidP="007613E5">
            <w:pPr>
              <w:keepNext/>
              <w:jc w:val="center"/>
              <w:rPr>
                <w:b/>
                <w:sz w:val="20"/>
                <w:szCs w:val="20"/>
              </w:rPr>
            </w:pPr>
            <w:r w:rsidRPr="00447A7F">
              <w:rPr>
                <w:b/>
                <w:sz w:val="20"/>
                <w:szCs w:val="20"/>
              </w:rPr>
              <w:t>60,240</w:t>
            </w:r>
          </w:p>
        </w:tc>
      </w:tr>
      <w:tr w:rsidR="00447A7F" w:rsidRPr="007B72C9" w14:paraId="389F6347" w14:textId="77777777" w:rsidTr="007613E5">
        <w:trPr>
          <w:trHeight w:val="288"/>
        </w:trPr>
        <w:tc>
          <w:tcPr>
            <w:tcW w:w="9645" w:type="dxa"/>
            <w:gridSpan w:val="11"/>
          </w:tcPr>
          <w:p w14:paraId="1AF90B39" w14:textId="77777777" w:rsidR="00447A7F" w:rsidRDefault="00447A7F" w:rsidP="007613E5">
            <w:pPr>
              <w:keepNext/>
              <w:rPr>
                <w:i/>
                <w:sz w:val="16"/>
                <w:szCs w:val="16"/>
              </w:rPr>
            </w:pPr>
            <w:r w:rsidRPr="007B72C9">
              <w:rPr>
                <w:i/>
                <w:sz w:val="16"/>
                <w:szCs w:val="16"/>
              </w:rPr>
              <w:t>Source:  Bank Data</w:t>
            </w:r>
          </w:p>
          <w:p w14:paraId="2B676521" w14:textId="2BFA1DCE" w:rsidR="00177555" w:rsidRPr="00A82F9F" w:rsidRDefault="00A82F9F" w:rsidP="00A82F9F">
            <w:pPr>
              <w:keepNext/>
              <w:rPr>
                <w:b/>
                <w:sz w:val="20"/>
                <w:szCs w:val="20"/>
              </w:rPr>
            </w:pPr>
            <w:r>
              <w:rPr>
                <w:i/>
                <w:sz w:val="16"/>
                <w:szCs w:val="16"/>
              </w:rPr>
              <w:t xml:space="preserve">* </w:t>
            </w:r>
            <w:r w:rsidR="00177555" w:rsidRPr="00A82F9F">
              <w:rPr>
                <w:i/>
                <w:sz w:val="16"/>
                <w:szCs w:val="16"/>
              </w:rPr>
              <w:t xml:space="preserve">Lending activity not available as bank compiles data annually at </w:t>
            </w:r>
            <w:r w:rsidR="00C21B34" w:rsidRPr="00A82F9F">
              <w:rPr>
                <w:i/>
                <w:sz w:val="16"/>
                <w:szCs w:val="16"/>
              </w:rPr>
              <w:t>year-end</w:t>
            </w:r>
            <w:r w:rsidR="00177555" w:rsidRPr="00A82F9F">
              <w:rPr>
                <w:b/>
                <w:sz w:val="20"/>
                <w:szCs w:val="20"/>
              </w:rPr>
              <w:t>.</w:t>
            </w:r>
          </w:p>
        </w:tc>
      </w:tr>
    </w:tbl>
    <w:p w14:paraId="55B06EC9" w14:textId="77777777" w:rsidR="00447A7F" w:rsidRDefault="00447A7F" w:rsidP="00447A7F">
      <w:pPr>
        <w:rPr>
          <w:b/>
          <w:bCs/>
        </w:rPr>
      </w:pPr>
    </w:p>
    <w:p w14:paraId="6C97069C" w14:textId="77777777" w:rsidR="00447A7F" w:rsidRPr="00293474" w:rsidRDefault="00447A7F" w:rsidP="00447A7F">
      <w:pPr>
        <w:jc w:val="both"/>
        <w:rPr>
          <w:rFonts w:eastAsia="Calibri"/>
        </w:rPr>
      </w:pPr>
      <w:r w:rsidRPr="00293474">
        <w:rPr>
          <w:rFonts w:eastAsia="Calibri"/>
        </w:rPr>
        <w:t xml:space="preserve">The following illustrates examples of the bank’s community development loans: </w:t>
      </w:r>
    </w:p>
    <w:p w14:paraId="78E57698" w14:textId="77777777" w:rsidR="00447A7F" w:rsidRPr="00293474" w:rsidRDefault="00447A7F" w:rsidP="00447A7F">
      <w:pPr>
        <w:jc w:val="both"/>
        <w:rPr>
          <w:rFonts w:eastAsia="Calibri"/>
        </w:rPr>
      </w:pPr>
    </w:p>
    <w:p w14:paraId="1603A307" w14:textId="4080A051" w:rsidR="00447A7F" w:rsidRPr="00293474" w:rsidRDefault="00447A7F" w:rsidP="00447A7F">
      <w:pPr>
        <w:numPr>
          <w:ilvl w:val="0"/>
          <w:numId w:val="30"/>
        </w:numPr>
        <w:contextualSpacing/>
        <w:rPr>
          <w:rFonts w:eastAsia="Calibri"/>
        </w:rPr>
      </w:pPr>
      <w:r>
        <w:rPr>
          <w:rFonts w:eastAsia="Calibri"/>
        </w:rPr>
        <w:t xml:space="preserve">In 2017, the bank originated a $2.5 million loan to assist in </w:t>
      </w:r>
      <w:r w:rsidR="00C21B34">
        <w:rPr>
          <w:rFonts w:eastAsia="Calibri"/>
        </w:rPr>
        <w:t>redeveloping a</w:t>
      </w:r>
      <w:r>
        <w:rPr>
          <w:rFonts w:eastAsia="Calibri"/>
        </w:rPr>
        <w:t xml:space="preserve"> vacant commercial building into</w:t>
      </w:r>
      <w:r w:rsidR="002736DE">
        <w:rPr>
          <w:rFonts w:eastAsia="Calibri"/>
        </w:rPr>
        <w:t xml:space="preserve"> </w:t>
      </w:r>
      <w:r>
        <w:rPr>
          <w:rFonts w:eastAsia="Calibri"/>
        </w:rPr>
        <w:t xml:space="preserve">146 residential rental units in Lowell.  The project </w:t>
      </w:r>
      <w:proofErr w:type="gramStart"/>
      <w:r>
        <w:rPr>
          <w:rFonts w:eastAsia="Calibri"/>
        </w:rPr>
        <w:t>was awarded</w:t>
      </w:r>
      <w:proofErr w:type="gramEnd"/>
      <w:r>
        <w:rPr>
          <w:rFonts w:eastAsia="Calibri"/>
        </w:rPr>
        <w:t xml:space="preserve"> Housing Development Incentive Zone tax credits by the Massachusetts Department of Housing and Community Development.  The tax credits support neighborhood revitalization in</w:t>
      </w:r>
      <w:r w:rsidR="00F60690">
        <w:rPr>
          <w:rFonts w:eastAsia="Calibri"/>
        </w:rPr>
        <w:t xml:space="preserve"> </w:t>
      </w:r>
      <w:r>
        <w:rPr>
          <w:rFonts w:eastAsia="Calibri"/>
        </w:rPr>
        <w:t>Lowell.</w:t>
      </w:r>
    </w:p>
    <w:p w14:paraId="0A3C3A1E" w14:textId="77777777" w:rsidR="00447A7F" w:rsidRPr="00415A54" w:rsidRDefault="00447A7F" w:rsidP="003265E0">
      <w:pPr>
        <w:contextualSpacing/>
        <w:rPr>
          <w:rFonts w:eastAsia="Calibri"/>
        </w:rPr>
      </w:pPr>
    </w:p>
    <w:p w14:paraId="438E3444" w14:textId="75102460" w:rsidR="00447A7F" w:rsidRDefault="00447A7F" w:rsidP="00447A7F">
      <w:pPr>
        <w:pStyle w:val="NoSpacing"/>
        <w:numPr>
          <w:ilvl w:val="0"/>
          <w:numId w:val="30"/>
        </w:numPr>
      </w:pPr>
      <w:r w:rsidRPr="00C946F6">
        <w:rPr>
          <w:rFonts w:ascii="Times New Roman" w:hAnsi="Times New Roman" w:cs="Times New Roman"/>
          <w:sz w:val="24"/>
          <w:szCs w:val="24"/>
        </w:rPr>
        <w:t>In 2018, the bank originated a $35.3 million loan to acqui</w:t>
      </w:r>
      <w:r w:rsidR="00177555">
        <w:rPr>
          <w:rFonts w:ascii="Times New Roman" w:hAnsi="Times New Roman" w:cs="Times New Roman"/>
          <w:sz w:val="24"/>
          <w:szCs w:val="24"/>
        </w:rPr>
        <w:t xml:space="preserve">re </w:t>
      </w:r>
      <w:r w:rsidR="00C21B34">
        <w:rPr>
          <w:rFonts w:ascii="Times New Roman" w:hAnsi="Times New Roman" w:cs="Times New Roman"/>
          <w:sz w:val="24"/>
          <w:szCs w:val="24"/>
        </w:rPr>
        <w:t xml:space="preserve">a </w:t>
      </w:r>
      <w:r w:rsidR="00C21B34" w:rsidRPr="00C946F6">
        <w:rPr>
          <w:rFonts w:ascii="Times New Roman" w:hAnsi="Times New Roman" w:cs="Times New Roman"/>
          <w:sz w:val="24"/>
          <w:szCs w:val="24"/>
        </w:rPr>
        <w:t>property</w:t>
      </w:r>
      <w:r w:rsidRPr="00C946F6">
        <w:rPr>
          <w:rFonts w:ascii="Times New Roman" w:hAnsi="Times New Roman" w:cs="Times New Roman"/>
          <w:sz w:val="24"/>
          <w:szCs w:val="24"/>
        </w:rPr>
        <w:t xml:space="preserve"> </w:t>
      </w:r>
      <w:r w:rsidR="00C21B34" w:rsidRPr="00C946F6">
        <w:rPr>
          <w:rFonts w:ascii="Times New Roman" w:hAnsi="Times New Roman" w:cs="Times New Roman"/>
          <w:sz w:val="24"/>
          <w:szCs w:val="24"/>
        </w:rPr>
        <w:t>and construct</w:t>
      </w:r>
      <w:r w:rsidRPr="00C946F6">
        <w:rPr>
          <w:rFonts w:ascii="Times New Roman" w:hAnsi="Times New Roman" w:cs="Times New Roman"/>
          <w:sz w:val="24"/>
          <w:szCs w:val="24"/>
        </w:rPr>
        <w:t xml:space="preserve"> a 70-unit multi-family r</w:t>
      </w:r>
      <w:r w:rsidR="00F116B0">
        <w:rPr>
          <w:rFonts w:ascii="Times New Roman" w:hAnsi="Times New Roman" w:cs="Times New Roman"/>
          <w:sz w:val="24"/>
          <w:szCs w:val="24"/>
        </w:rPr>
        <w:t>ental property in Brighton</w:t>
      </w:r>
      <w:r w:rsidR="002736DE">
        <w:rPr>
          <w:rFonts w:ascii="Times New Roman" w:hAnsi="Times New Roman" w:cs="Times New Roman"/>
          <w:sz w:val="24"/>
          <w:szCs w:val="24"/>
        </w:rPr>
        <w:t>.</w:t>
      </w:r>
      <w:r w:rsidR="00F116B0">
        <w:rPr>
          <w:rFonts w:ascii="Times New Roman" w:hAnsi="Times New Roman" w:cs="Times New Roman"/>
          <w:sz w:val="24"/>
          <w:szCs w:val="24"/>
        </w:rPr>
        <w:t xml:space="preserve">  </w:t>
      </w:r>
      <w:r w:rsidRPr="00C946F6">
        <w:rPr>
          <w:rFonts w:ascii="Times New Roman" w:hAnsi="Times New Roman" w:cs="Times New Roman"/>
          <w:sz w:val="24"/>
          <w:szCs w:val="24"/>
        </w:rPr>
        <w:t xml:space="preserve">This property includes </w:t>
      </w:r>
      <w:r>
        <w:rPr>
          <w:rFonts w:ascii="Times New Roman" w:hAnsi="Times New Roman" w:cs="Times New Roman"/>
          <w:sz w:val="24"/>
          <w:szCs w:val="24"/>
        </w:rPr>
        <w:t>nine</w:t>
      </w:r>
      <w:r w:rsidRPr="00C946F6">
        <w:rPr>
          <w:rFonts w:ascii="Times New Roman" w:hAnsi="Times New Roman" w:cs="Times New Roman"/>
          <w:sz w:val="24"/>
          <w:szCs w:val="24"/>
        </w:rPr>
        <w:t xml:space="preserve"> affordable units, which will provide affordable housing to the </w:t>
      </w:r>
      <w:r w:rsidR="002736DE">
        <w:rPr>
          <w:rFonts w:ascii="Times New Roman" w:hAnsi="Times New Roman" w:cs="Times New Roman"/>
          <w:sz w:val="24"/>
          <w:szCs w:val="24"/>
        </w:rPr>
        <w:t xml:space="preserve">area’s </w:t>
      </w:r>
      <w:r w:rsidRPr="00C946F6">
        <w:rPr>
          <w:rFonts w:ascii="Times New Roman" w:hAnsi="Times New Roman" w:cs="Times New Roman"/>
          <w:sz w:val="24"/>
          <w:szCs w:val="24"/>
        </w:rPr>
        <w:t>low-</w:t>
      </w:r>
      <w:r w:rsidR="00F116B0">
        <w:rPr>
          <w:rFonts w:ascii="Times New Roman" w:hAnsi="Times New Roman" w:cs="Times New Roman"/>
          <w:sz w:val="24"/>
          <w:szCs w:val="24"/>
        </w:rPr>
        <w:t xml:space="preserve"> and moderate-</w:t>
      </w:r>
      <w:r w:rsidRPr="00C946F6">
        <w:rPr>
          <w:rFonts w:ascii="Times New Roman" w:hAnsi="Times New Roman" w:cs="Times New Roman"/>
          <w:sz w:val="24"/>
          <w:szCs w:val="24"/>
        </w:rPr>
        <w:t>income population. The bank received credit for a pro-rated share of the loan</w:t>
      </w:r>
      <w:r>
        <w:rPr>
          <w:rFonts w:ascii="Times New Roman" w:hAnsi="Times New Roman" w:cs="Times New Roman"/>
          <w:sz w:val="24"/>
          <w:szCs w:val="24"/>
        </w:rPr>
        <w:t xml:space="preserve"> amount, or</w:t>
      </w:r>
      <w:r w:rsidRPr="00C946F6">
        <w:rPr>
          <w:rFonts w:ascii="Times New Roman" w:hAnsi="Times New Roman" w:cs="Times New Roman"/>
          <w:sz w:val="24"/>
          <w:szCs w:val="24"/>
        </w:rPr>
        <w:t xml:space="preserve"> $4,532,142</w:t>
      </w:r>
      <w:r w:rsidRPr="00415A54">
        <w:t>.</w:t>
      </w:r>
      <w:r>
        <w:t xml:space="preserve"> </w:t>
      </w:r>
    </w:p>
    <w:p w14:paraId="4177E45A" w14:textId="77777777" w:rsidR="00447A7F" w:rsidRDefault="00447A7F" w:rsidP="00F116B0">
      <w:pPr>
        <w:ind w:left="720"/>
        <w:contextualSpacing/>
        <w:rPr>
          <w:rFonts w:eastAsia="Calibri"/>
        </w:rPr>
      </w:pPr>
    </w:p>
    <w:p w14:paraId="67581BB2" w14:textId="5AF08DDF" w:rsidR="008161AE" w:rsidRPr="002736DE" w:rsidRDefault="00447A7F" w:rsidP="002736DE">
      <w:pPr>
        <w:pStyle w:val="ListParagraph"/>
        <w:numPr>
          <w:ilvl w:val="0"/>
          <w:numId w:val="30"/>
        </w:numPr>
        <w:tabs>
          <w:tab w:val="center" w:pos="4680"/>
        </w:tabs>
        <w:rPr>
          <w:rFonts w:ascii="Times New Roman" w:hAnsi="Times New Roman" w:cs="Times New Roman"/>
        </w:rPr>
      </w:pPr>
      <w:r w:rsidRPr="002736DE">
        <w:rPr>
          <w:rFonts w:ascii="Times New Roman" w:eastAsia="Calibri" w:hAnsi="Times New Roman" w:cs="Times New Roman"/>
        </w:rPr>
        <w:t xml:space="preserve">In 2019, the bank originated a $17.7 million loan </w:t>
      </w:r>
      <w:r w:rsidR="00C21B34" w:rsidRPr="002736DE">
        <w:rPr>
          <w:rFonts w:ascii="Times New Roman" w:eastAsia="Calibri" w:hAnsi="Times New Roman" w:cs="Times New Roman"/>
        </w:rPr>
        <w:t>to construct and</w:t>
      </w:r>
      <w:r w:rsidR="00177555" w:rsidRPr="002736DE">
        <w:rPr>
          <w:rFonts w:ascii="Times New Roman" w:eastAsia="Calibri" w:hAnsi="Times New Roman" w:cs="Times New Roman"/>
        </w:rPr>
        <w:t xml:space="preserve"> </w:t>
      </w:r>
      <w:r w:rsidRPr="002736DE">
        <w:rPr>
          <w:rFonts w:ascii="Times New Roman" w:eastAsia="Calibri" w:hAnsi="Times New Roman" w:cs="Times New Roman"/>
        </w:rPr>
        <w:t>develop 83 cond</w:t>
      </w:r>
      <w:r w:rsidR="00F116B0" w:rsidRPr="002736DE">
        <w:rPr>
          <w:rFonts w:ascii="Times New Roman" w:eastAsia="Calibri" w:hAnsi="Times New Roman" w:cs="Times New Roman"/>
        </w:rPr>
        <w:t xml:space="preserve">ominium units in Wakefield.  </w:t>
      </w:r>
      <w:r w:rsidRPr="002736DE">
        <w:rPr>
          <w:rFonts w:ascii="Times New Roman" w:eastAsia="Calibri" w:hAnsi="Times New Roman" w:cs="Times New Roman"/>
        </w:rPr>
        <w:t xml:space="preserve">This property includes 10 affordable units, which will provide affordable housing to low- and moderate-income families.   The bank received </w:t>
      </w:r>
      <w:r w:rsidR="002736DE">
        <w:rPr>
          <w:rFonts w:ascii="Times New Roman" w:eastAsia="Calibri" w:hAnsi="Times New Roman" w:cs="Times New Roman"/>
        </w:rPr>
        <w:t xml:space="preserve">credit for </w:t>
      </w:r>
      <w:r w:rsidRPr="002736DE">
        <w:rPr>
          <w:rFonts w:ascii="Times New Roman" w:eastAsia="Calibri" w:hAnsi="Times New Roman" w:cs="Times New Roman"/>
        </w:rPr>
        <w:t>a pro-rated share of the loan amount, or $2.1 million.</w:t>
      </w:r>
    </w:p>
    <w:p w14:paraId="4CDFEFEA" w14:textId="553D4606" w:rsidR="00C563AB" w:rsidRDefault="00C563AB" w:rsidP="008161AE">
      <w:pPr>
        <w:tabs>
          <w:tab w:val="center" w:pos="4680"/>
        </w:tabs>
      </w:pPr>
    </w:p>
    <w:p w14:paraId="2128B25F" w14:textId="77777777" w:rsidR="00C563AB" w:rsidRPr="00C563AB" w:rsidRDefault="00C563AB" w:rsidP="00C563AB">
      <w:pPr>
        <w:rPr>
          <w:b/>
          <w:bCs/>
        </w:rPr>
      </w:pPr>
      <w:r w:rsidRPr="00C563AB">
        <w:rPr>
          <w:b/>
          <w:bCs/>
        </w:rPr>
        <w:t>INVESTMENT TEST</w:t>
      </w:r>
    </w:p>
    <w:p w14:paraId="5747AAB5" w14:textId="77777777" w:rsidR="004F5994" w:rsidRDefault="004F5994" w:rsidP="004F5994">
      <w:pPr>
        <w:rPr>
          <w:bCs/>
          <w:spacing w:val="-3"/>
        </w:rPr>
      </w:pPr>
    </w:p>
    <w:p w14:paraId="5061BC74" w14:textId="64912975" w:rsidR="004F5994" w:rsidRPr="00A75CB5" w:rsidRDefault="004F5994" w:rsidP="004F5994">
      <w:pPr>
        <w:rPr>
          <w:bCs/>
          <w:spacing w:val="-3"/>
        </w:rPr>
      </w:pPr>
      <w:r>
        <w:rPr>
          <w:bCs/>
          <w:spacing w:val="-3"/>
        </w:rPr>
        <w:t xml:space="preserve">The Investment Test </w:t>
      </w:r>
      <w:proofErr w:type="gramStart"/>
      <w:r>
        <w:rPr>
          <w:bCs/>
          <w:spacing w:val="-3"/>
        </w:rPr>
        <w:t>is rated</w:t>
      </w:r>
      <w:proofErr w:type="gramEnd"/>
      <w:r>
        <w:rPr>
          <w:bCs/>
          <w:spacing w:val="-3"/>
        </w:rPr>
        <w:t xml:space="preserve"> High Satisfactory.  </w:t>
      </w:r>
      <w:r w:rsidRPr="00A75CB5">
        <w:rPr>
          <w:bCs/>
          <w:spacing w:val="-3"/>
        </w:rPr>
        <w:t xml:space="preserve">The following sections discuss the bank’s performance under each criterion.   </w:t>
      </w:r>
    </w:p>
    <w:p w14:paraId="314F9A70" w14:textId="77777777" w:rsidR="00C563AB" w:rsidRPr="00C563AB" w:rsidRDefault="00C563AB" w:rsidP="00C563AB">
      <w:pPr>
        <w:rPr>
          <w:bCs/>
        </w:rPr>
      </w:pPr>
    </w:p>
    <w:p w14:paraId="55E48FCE" w14:textId="2FDB5B0C" w:rsidR="00C563AB" w:rsidRPr="00C563AB" w:rsidRDefault="00C563AB" w:rsidP="00C563AB">
      <w:pPr>
        <w:rPr>
          <w:bCs/>
        </w:rPr>
      </w:pPr>
      <w:r w:rsidRPr="00C563AB">
        <w:rPr>
          <w:bCs/>
        </w:rPr>
        <w:t xml:space="preserve">NBTC </w:t>
      </w:r>
      <w:r w:rsidR="006E1E2A">
        <w:rPr>
          <w:bCs/>
        </w:rPr>
        <w:t>has a</w:t>
      </w:r>
      <w:r>
        <w:rPr>
          <w:bCs/>
        </w:rPr>
        <w:t xml:space="preserve"> significant</w:t>
      </w:r>
      <w:r w:rsidRPr="00C563AB">
        <w:rPr>
          <w:bCs/>
        </w:rPr>
        <w:t xml:space="preserve"> level of qualified community development investments and grants, </w:t>
      </w:r>
      <w:r>
        <w:rPr>
          <w:bCs/>
        </w:rPr>
        <w:t xml:space="preserve">occasionally in a leadership position, particularly those that </w:t>
      </w:r>
      <w:proofErr w:type="gramStart"/>
      <w:r>
        <w:rPr>
          <w:bCs/>
        </w:rPr>
        <w:t>are not routinely provided</w:t>
      </w:r>
      <w:proofErr w:type="gramEnd"/>
      <w:r>
        <w:rPr>
          <w:bCs/>
        </w:rPr>
        <w:t xml:space="preserve"> by </w:t>
      </w:r>
      <w:r w:rsidRPr="00C563AB">
        <w:rPr>
          <w:bCs/>
        </w:rPr>
        <w:t xml:space="preserve">private </w:t>
      </w:r>
      <w:r w:rsidRPr="00C563AB">
        <w:rPr>
          <w:bCs/>
        </w:rPr>
        <w:lastRenderedPageBreak/>
        <w:t xml:space="preserve">investors.  The bank exhibits adequate responsiveness to credit and community economic development needs.  </w:t>
      </w:r>
      <w:r w:rsidR="006E1E2A" w:rsidRPr="00C563AB">
        <w:rPr>
          <w:bCs/>
        </w:rPr>
        <w:t xml:space="preserve">The institution </w:t>
      </w:r>
      <w:r w:rsidR="006E6215">
        <w:rPr>
          <w:bCs/>
        </w:rPr>
        <w:t xml:space="preserve">occasionally </w:t>
      </w:r>
      <w:r w:rsidR="006E1E2A" w:rsidRPr="00C563AB">
        <w:rPr>
          <w:bCs/>
        </w:rPr>
        <w:t xml:space="preserve">uses innovative and/or complex investments to support community development initiatives.  </w:t>
      </w:r>
    </w:p>
    <w:p w14:paraId="3C6DB8DD" w14:textId="77777777" w:rsidR="00C563AB" w:rsidRPr="00C563AB" w:rsidRDefault="00C563AB" w:rsidP="00C563AB">
      <w:pPr>
        <w:rPr>
          <w:bCs/>
        </w:rPr>
      </w:pPr>
    </w:p>
    <w:p w14:paraId="5859C6C2" w14:textId="77777777" w:rsidR="00C563AB" w:rsidRPr="008A085C" w:rsidRDefault="00C563AB" w:rsidP="00C563AB">
      <w:pPr>
        <w:rPr>
          <w:b/>
          <w:bCs/>
          <w:u w:val="single"/>
        </w:rPr>
      </w:pPr>
      <w:r w:rsidRPr="008A085C">
        <w:rPr>
          <w:b/>
          <w:bCs/>
          <w:u w:val="single"/>
        </w:rPr>
        <w:t>Investment and Grant Activity</w:t>
      </w:r>
    </w:p>
    <w:p w14:paraId="072ADD77" w14:textId="77777777" w:rsidR="00C563AB" w:rsidRPr="00C563AB" w:rsidRDefault="00C563AB" w:rsidP="00C563AB">
      <w:pPr>
        <w:rPr>
          <w:bCs/>
        </w:rPr>
      </w:pPr>
    </w:p>
    <w:p w14:paraId="7C38ED59" w14:textId="0D40AF48" w:rsidR="005C219E" w:rsidRDefault="007613E5" w:rsidP="005C219E">
      <w:pPr>
        <w:widowControl w:val="0"/>
        <w:rPr>
          <w:bCs/>
        </w:rPr>
      </w:pPr>
      <w:r>
        <w:rPr>
          <w:bCs/>
        </w:rPr>
        <w:t xml:space="preserve">NBTC </w:t>
      </w:r>
      <w:r w:rsidR="006E1E2A">
        <w:rPr>
          <w:bCs/>
        </w:rPr>
        <w:t>made a significant</w:t>
      </w:r>
      <w:r w:rsidR="00C563AB" w:rsidRPr="00C563AB">
        <w:rPr>
          <w:bCs/>
        </w:rPr>
        <w:t xml:space="preserve"> level of qualified investments, totaling approximately $</w:t>
      </w:r>
      <w:r w:rsidR="006E1E2A">
        <w:rPr>
          <w:bCs/>
        </w:rPr>
        <w:t>8.7</w:t>
      </w:r>
      <w:r w:rsidR="00C563AB" w:rsidRPr="00C563AB">
        <w:rPr>
          <w:bCs/>
        </w:rPr>
        <w:t xml:space="preserve"> million</w:t>
      </w:r>
      <w:r w:rsidR="00D87EA2">
        <w:rPr>
          <w:bCs/>
        </w:rPr>
        <w:t xml:space="preserve">. </w:t>
      </w:r>
      <w:r w:rsidR="00474A46" w:rsidRPr="00474A46">
        <w:t xml:space="preserve"> </w:t>
      </w:r>
      <w:r w:rsidR="00474A46" w:rsidRPr="00D87EA2">
        <w:t>Th</w:t>
      </w:r>
      <w:r w:rsidR="00D87EA2">
        <w:t>is</w:t>
      </w:r>
      <w:r w:rsidR="00474A46" w:rsidRPr="00D87EA2">
        <w:t xml:space="preserve"> total represents </w:t>
      </w:r>
      <w:r w:rsidR="007A7B0F" w:rsidRPr="00D87EA2">
        <w:t>.4</w:t>
      </w:r>
      <w:r w:rsidR="00474A46" w:rsidRPr="00D87EA2">
        <w:t xml:space="preserve"> percent of average total assets and </w:t>
      </w:r>
      <w:r w:rsidR="007A7B0F" w:rsidRPr="00D87EA2">
        <w:t>5.6</w:t>
      </w:r>
      <w:r w:rsidR="00474A46" w:rsidRPr="00D87EA2">
        <w:t xml:space="preserve"> percent of average total securities since the previous evaluation</w:t>
      </w:r>
      <w:r w:rsidR="004F5994">
        <w:t xml:space="preserve">.  </w:t>
      </w:r>
      <w:proofErr w:type="gramStart"/>
      <w:r w:rsidR="004F5994">
        <w:t>Since the previous evaluation, the</w:t>
      </w:r>
      <w:r w:rsidR="008A085C" w:rsidRPr="00C563AB">
        <w:rPr>
          <w:bCs/>
        </w:rPr>
        <w:t xml:space="preserve"> bank made four</w:t>
      </w:r>
      <w:r w:rsidR="008A085C">
        <w:rPr>
          <w:bCs/>
        </w:rPr>
        <w:t xml:space="preserve"> new equity investments for </w:t>
      </w:r>
      <w:r w:rsidR="008A085C" w:rsidRPr="00C563AB">
        <w:rPr>
          <w:bCs/>
        </w:rPr>
        <w:t>approximately $4.3 million</w:t>
      </w:r>
      <w:r w:rsidR="00B53F5D">
        <w:rPr>
          <w:bCs/>
        </w:rPr>
        <w:t xml:space="preserve"> </w:t>
      </w:r>
      <w:r w:rsidR="00C21B34">
        <w:rPr>
          <w:bCs/>
        </w:rPr>
        <w:t>and maintains nine prior</w:t>
      </w:r>
      <w:r w:rsidR="0021606D">
        <w:rPr>
          <w:bCs/>
        </w:rPr>
        <w:t xml:space="preserve"> period </w:t>
      </w:r>
      <w:r w:rsidR="008A085C">
        <w:rPr>
          <w:bCs/>
        </w:rPr>
        <w:t xml:space="preserve">investments with </w:t>
      </w:r>
      <w:r w:rsidR="00C21B34">
        <w:rPr>
          <w:bCs/>
        </w:rPr>
        <w:t>a $</w:t>
      </w:r>
      <w:r w:rsidR="0021606D">
        <w:rPr>
          <w:bCs/>
        </w:rPr>
        <w:t>3.7 million</w:t>
      </w:r>
      <w:r w:rsidR="00B53F5D">
        <w:rPr>
          <w:bCs/>
        </w:rPr>
        <w:t xml:space="preserve"> book value</w:t>
      </w:r>
      <w:r w:rsidR="00C563AB" w:rsidRPr="00C563AB">
        <w:rPr>
          <w:bCs/>
        </w:rPr>
        <w:t>.</w:t>
      </w:r>
      <w:proofErr w:type="gramEnd"/>
      <w:r w:rsidR="00C563AB" w:rsidRPr="00C563AB">
        <w:rPr>
          <w:bCs/>
        </w:rPr>
        <w:t xml:space="preserve">  </w:t>
      </w:r>
      <w:r w:rsidR="0021606D">
        <w:rPr>
          <w:bCs/>
        </w:rPr>
        <w:t>In addition,</w:t>
      </w:r>
      <w:r w:rsidR="00B53F5D">
        <w:rPr>
          <w:bCs/>
        </w:rPr>
        <w:t xml:space="preserve"> </w:t>
      </w:r>
      <w:r w:rsidR="0021606D">
        <w:rPr>
          <w:bCs/>
        </w:rPr>
        <w:t xml:space="preserve">the bank made 116 qualified grants and donations </w:t>
      </w:r>
      <w:r w:rsidR="00655C15">
        <w:rPr>
          <w:bCs/>
        </w:rPr>
        <w:t>totaling $712,000</w:t>
      </w:r>
      <w:r w:rsidR="008A085C">
        <w:rPr>
          <w:bCs/>
        </w:rPr>
        <w:t xml:space="preserve">.  </w:t>
      </w:r>
      <w:r w:rsidR="000A287D">
        <w:rPr>
          <w:bCs/>
        </w:rPr>
        <w:t xml:space="preserve">The </w:t>
      </w:r>
      <w:r w:rsidR="00620AFE">
        <w:rPr>
          <w:bCs/>
        </w:rPr>
        <w:t>Northern Bank Charitable Foundation (Foundation)</w:t>
      </w:r>
      <w:r w:rsidR="000A287D">
        <w:rPr>
          <w:bCs/>
        </w:rPr>
        <w:t xml:space="preserve"> established</w:t>
      </w:r>
      <w:r w:rsidR="00620AFE">
        <w:rPr>
          <w:bCs/>
        </w:rPr>
        <w:t xml:space="preserve"> to promote community development initiatives in the assessment area</w:t>
      </w:r>
      <w:r w:rsidR="000A287D">
        <w:rPr>
          <w:bCs/>
        </w:rPr>
        <w:t xml:space="preserve"> provided a majority of the grants</w:t>
      </w:r>
      <w:r w:rsidR="00620AFE">
        <w:rPr>
          <w:bCs/>
        </w:rPr>
        <w:t xml:space="preserve">.  </w:t>
      </w:r>
      <w:r w:rsidR="0021606D">
        <w:rPr>
          <w:bCs/>
        </w:rPr>
        <w:t>Compared to the previous evaluation, new equity investments increased from $2.7 million, and grants and donations increased from $466,000; however, the total number of grants and donations decreased to 116 from 138.  Investment activity was similar to the previous evaluation</w:t>
      </w:r>
      <w:r w:rsidR="002736DE">
        <w:rPr>
          <w:bCs/>
        </w:rPr>
        <w:t>.</w:t>
      </w:r>
      <w:r w:rsidR="0021606D">
        <w:rPr>
          <w:bCs/>
        </w:rPr>
        <w:t xml:space="preserve">  </w:t>
      </w:r>
    </w:p>
    <w:p w14:paraId="05481A62" w14:textId="77777777" w:rsidR="005C219E" w:rsidRDefault="005C219E" w:rsidP="005C219E">
      <w:pPr>
        <w:widowControl w:val="0"/>
        <w:rPr>
          <w:bCs/>
        </w:rPr>
      </w:pPr>
    </w:p>
    <w:p w14:paraId="03E4D3C0" w14:textId="53B19D91" w:rsidR="005C219E" w:rsidRDefault="005C219E" w:rsidP="005C219E">
      <w:pPr>
        <w:widowControl w:val="0"/>
      </w:pPr>
      <w:r w:rsidRPr="009379BA">
        <w:t xml:space="preserve">The </w:t>
      </w:r>
      <w:r>
        <w:t xml:space="preserve">following </w:t>
      </w:r>
      <w:r w:rsidRPr="009379BA">
        <w:t xml:space="preserve">table summarizes the bank’s community development </w:t>
      </w:r>
      <w:r>
        <w:t>investments</w:t>
      </w:r>
      <w:r w:rsidRPr="009379BA">
        <w:t xml:space="preserve"> by year and purpose.</w:t>
      </w:r>
    </w:p>
    <w:p w14:paraId="28A422E2" w14:textId="77777777" w:rsidR="00C563AB" w:rsidRPr="00C563AB" w:rsidRDefault="00C563AB" w:rsidP="00C563AB">
      <w:pPr>
        <w:rPr>
          <w:bCs/>
        </w:rPr>
      </w:pPr>
    </w:p>
    <w:tbl>
      <w:tblPr>
        <w:tblW w:w="9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7"/>
        <w:gridCol w:w="700"/>
        <w:gridCol w:w="894"/>
        <w:gridCol w:w="616"/>
        <w:gridCol w:w="914"/>
        <w:gridCol w:w="616"/>
        <w:gridCol w:w="914"/>
        <w:gridCol w:w="671"/>
        <w:gridCol w:w="949"/>
        <w:gridCol w:w="659"/>
        <w:gridCol w:w="900"/>
      </w:tblGrid>
      <w:tr w:rsidR="00C563AB" w:rsidRPr="00C563AB" w14:paraId="592A7753" w14:textId="77777777" w:rsidTr="007613E5">
        <w:trPr>
          <w:trHeight w:val="360"/>
          <w:jc w:val="center"/>
        </w:trPr>
        <w:tc>
          <w:tcPr>
            <w:tcW w:w="9820" w:type="dxa"/>
            <w:gridSpan w:val="11"/>
            <w:shd w:val="clear" w:color="auto" w:fill="auto"/>
            <w:vAlign w:val="center"/>
          </w:tcPr>
          <w:p w14:paraId="3BDAEFB3" w14:textId="77777777" w:rsidR="00C563AB" w:rsidRPr="00C563AB" w:rsidRDefault="00C563AB" w:rsidP="00C563AB">
            <w:pPr>
              <w:keepNext/>
              <w:widowControl w:val="0"/>
              <w:jc w:val="center"/>
              <w:rPr>
                <w:b/>
                <w:sz w:val="20"/>
                <w:szCs w:val="20"/>
              </w:rPr>
            </w:pPr>
            <w:r w:rsidRPr="00C563AB">
              <w:rPr>
                <w:b/>
                <w:sz w:val="20"/>
                <w:szCs w:val="20"/>
              </w:rPr>
              <w:t>Qualified Investments</w:t>
            </w:r>
          </w:p>
        </w:tc>
      </w:tr>
      <w:tr w:rsidR="00C563AB" w:rsidRPr="00C563AB" w14:paraId="57E72B62" w14:textId="77777777" w:rsidTr="007613E5">
        <w:trPr>
          <w:trHeight w:val="288"/>
          <w:jc w:val="center"/>
        </w:trPr>
        <w:tc>
          <w:tcPr>
            <w:tcW w:w="1987" w:type="dxa"/>
            <w:vMerge w:val="restart"/>
            <w:shd w:val="clear" w:color="auto" w:fill="auto"/>
            <w:vAlign w:val="center"/>
          </w:tcPr>
          <w:p w14:paraId="4D308810" w14:textId="77777777" w:rsidR="00C563AB" w:rsidRPr="00C563AB" w:rsidRDefault="00C563AB" w:rsidP="00C563AB">
            <w:pPr>
              <w:keepNext/>
              <w:widowControl w:val="0"/>
              <w:rPr>
                <w:b/>
                <w:sz w:val="20"/>
                <w:szCs w:val="20"/>
              </w:rPr>
            </w:pPr>
            <w:r w:rsidRPr="00C563AB">
              <w:rPr>
                <w:b/>
                <w:sz w:val="20"/>
                <w:szCs w:val="20"/>
              </w:rPr>
              <w:t>Activity Year</w:t>
            </w:r>
          </w:p>
        </w:tc>
        <w:tc>
          <w:tcPr>
            <w:tcW w:w="1594" w:type="dxa"/>
            <w:gridSpan w:val="2"/>
            <w:shd w:val="clear" w:color="auto" w:fill="auto"/>
            <w:vAlign w:val="center"/>
          </w:tcPr>
          <w:p w14:paraId="59E0B0A4" w14:textId="77777777" w:rsidR="00C563AB" w:rsidRPr="00C563AB" w:rsidRDefault="00C563AB" w:rsidP="00C563AB">
            <w:pPr>
              <w:keepNext/>
              <w:widowControl w:val="0"/>
              <w:jc w:val="center"/>
              <w:rPr>
                <w:b/>
                <w:sz w:val="20"/>
                <w:szCs w:val="20"/>
              </w:rPr>
            </w:pPr>
            <w:r w:rsidRPr="00C563AB">
              <w:rPr>
                <w:b/>
                <w:sz w:val="20"/>
                <w:szCs w:val="20"/>
              </w:rPr>
              <w:t>Affordable Housing</w:t>
            </w:r>
          </w:p>
        </w:tc>
        <w:tc>
          <w:tcPr>
            <w:tcW w:w="1530" w:type="dxa"/>
            <w:gridSpan w:val="2"/>
            <w:shd w:val="clear" w:color="auto" w:fill="auto"/>
            <w:vAlign w:val="center"/>
          </w:tcPr>
          <w:p w14:paraId="1BE573D3" w14:textId="77777777" w:rsidR="00C563AB" w:rsidRPr="00C563AB" w:rsidRDefault="00C563AB" w:rsidP="00C563AB">
            <w:pPr>
              <w:keepNext/>
              <w:widowControl w:val="0"/>
              <w:jc w:val="center"/>
              <w:rPr>
                <w:b/>
                <w:sz w:val="20"/>
                <w:szCs w:val="20"/>
              </w:rPr>
            </w:pPr>
            <w:r w:rsidRPr="00C563AB">
              <w:rPr>
                <w:b/>
                <w:sz w:val="20"/>
                <w:szCs w:val="20"/>
              </w:rPr>
              <w:t>Community Services</w:t>
            </w:r>
          </w:p>
        </w:tc>
        <w:tc>
          <w:tcPr>
            <w:tcW w:w="1530" w:type="dxa"/>
            <w:gridSpan w:val="2"/>
            <w:shd w:val="clear" w:color="auto" w:fill="auto"/>
            <w:vAlign w:val="center"/>
          </w:tcPr>
          <w:p w14:paraId="4C991CE0" w14:textId="77777777" w:rsidR="00C563AB" w:rsidRPr="00C563AB" w:rsidRDefault="00C563AB" w:rsidP="00C563AB">
            <w:pPr>
              <w:keepNext/>
              <w:widowControl w:val="0"/>
              <w:jc w:val="center"/>
              <w:rPr>
                <w:b/>
                <w:sz w:val="20"/>
                <w:szCs w:val="20"/>
              </w:rPr>
            </w:pPr>
            <w:r w:rsidRPr="00C563AB">
              <w:rPr>
                <w:b/>
                <w:sz w:val="20"/>
                <w:szCs w:val="20"/>
              </w:rPr>
              <w:t>Economic Development</w:t>
            </w:r>
          </w:p>
        </w:tc>
        <w:tc>
          <w:tcPr>
            <w:tcW w:w="1620" w:type="dxa"/>
            <w:gridSpan w:val="2"/>
            <w:shd w:val="clear" w:color="auto" w:fill="auto"/>
            <w:vAlign w:val="center"/>
          </w:tcPr>
          <w:p w14:paraId="28F59232" w14:textId="77777777" w:rsidR="00C563AB" w:rsidRPr="00C563AB" w:rsidRDefault="00C563AB" w:rsidP="00C563AB">
            <w:pPr>
              <w:keepNext/>
              <w:widowControl w:val="0"/>
              <w:jc w:val="center"/>
              <w:rPr>
                <w:b/>
                <w:sz w:val="20"/>
                <w:szCs w:val="20"/>
              </w:rPr>
            </w:pPr>
            <w:r w:rsidRPr="00C563AB">
              <w:rPr>
                <w:b/>
                <w:sz w:val="20"/>
                <w:szCs w:val="20"/>
              </w:rPr>
              <w:t>Revitalize or Stabilize</w:t>
            </w:r>
          </w:p>
        </w:tc>
        <w:tc>
          <w:tcPr>
            <w:tcW w:w="1559" w:type="dxa"/>
            <w:gridSpan w:val="2"/>
            <w:shd w:val="clear" w:color="auto" w:fill="auto"/>
            <w:vAlign w:val="center"/>
          </w:tcPr>
          <w:p w14:paraId="6FF65351" w14:textId="77777777" w:rsidR="00C563AB" w:rsidRPr="00C563AB" w:rsidRDefault="00C563AB" w:rsidP="00C563AB">
            <w:pPr>
              <w:keepNext/>
              <w:widowControl w:val="0"/>
              <w:jc w:val="center"/>
              <w:rPr>
                <w:b/>
                <w:sz w:val="20"/>
                <w:szCs w:val="20"/>
              </w:rPr>
            </w:pPr>
            <w:r w:rsidRPr="00C563AB">
              <w:rPr>
                <w:b/>
                <w:sz w:val="20"/>
                <w:szCs w:val="20"/>
              </w:rPr>
              <w:t>Totals</w:t>
            </w:r>
          </w:p>
        </w:tc>
      </w:tr>
      <w:tr w:rsidR="00C563AB" w:rsidRPr="00C563AB" w14:paraId="54A99E4C" w14:textId="77777777" w:rsidTr="007613E5">
        <w:trPr>
          <w:trHeight w:val="288"/>
          <w:jc w:val="center"/>
        </w:trPr>
        <w:tc>
          <w:tcPr>
            <w:tcW w:w="1987" w:type="dxa"/>
            <w:vMerge/>
            <w:shd w:val="clear" w:color="auto" w:fill="auto"/>
            <w:vAlign w:val="center"/>
          </w:tcPr>
          <w:p w14:paraId="5A782A3D" w14:textId="77777777" w:rsidR="00C563AB" w:rsidRPr="00C563AB" w:rsidRDefault="00C563AB" w:rsidP="00C563AB">
            <w:pPr>
              <w:keepNext/>
              <w:widowControl w:val="0"/>
              <w:rPr>
                <w:sz w:val="20"/>
                <w:szCs w:val="20"/>
                <w:highlight w:val="green"/>
              </w:rPr>
            </w:pPr>
          </w:p>
        </w:tc>
        <w:tc>
          <w:tcPr>
            <w:tcW w:w="700" w:type="dxa"/>
            <w:shd w:val="clear" w:color="auto" w:fill="auto"/>
            <w:vAlign w:val="center"/>
          </w:tcPr>
          <w:p w14:paraId="4EF9459E" w14:textId="77777777" w:rsidR="00C563AB" w:rsidRPr="00C563AB" w:rsidRDefault="00C563AB" w:rsidP="00C563AB">
            <w:pPr>
              <w:keepNext/>
              <w:widowControl w:val="0"/>
              <w:jc w:val="center"/>
              <w:rPr>
                <w:b/>
                <w:sz w:val="20"/>
                <w:szCs w:val="20"/>
              </w:rPr>
            </w:pPr>
            <w:r w:rsidRPr="00C563AB">
              <w:rPr>
                <w:b/>
                <w:sz w:val="20"/>
                <w:szCs w:val="20"/>
              </w:rPr>
              <w:t>#</w:t>
            </w:r>
          </w:p>
        </w:tc>
        <w:tc>
          <w:tcPr>
            <w:tcW w:w="894" w:type="dxa"/>
            <w:shd w:val="clear" w:color="auto" w:fill="auto"/>
            <w:vAlign w:val="center"/>
          </w:tcPr>
          <w:p w14:paraId="4BF0A7F9" w14:textId="77777777" w:rsidR="00C563AB" w:rsidRPr="00C563AB" w:rsidRDefault="00C563AB" w:rsidP="00C563AB">
            <w:pPr>
              <w:keepNext/>
              <w:widowControl w:val="0"/>
              <w:jc w:val="center"/>
              <w:rPr>
                <w:b/>
                <w:sz w:val="20"/>
                <w:szCs w:val="20"/>
              </w:rPr>
            </w:pPr>
            <w:r w:rsidRPr="00C563AB">
              <w:rPr>
                <w:b/>
                <w:sz w:val="20"/>
                <w:szCs w:val="20"/>
              </w:rPr>
              <w:t>$(000s)</w:t>
            </w:r>
          </w:p>
        </w:tc>
        <w:tc>
          <w:tcPr>
            <w:tcW w:w="616" w:type="dxa"/>
            <w:shd w:val="clear" w:color="auto" w:fill="auto"/>
            <w:vAlign w:val="center"/>
          </w:tcPr>
          <w:p w14:paraId="6A68D2AC" w14:textId="77777777" w:rsidR="00C563AB" w:rsidRPr="00C563AB" w:rsidRDefault="00C563AB" w:rsidP="00C563AB">
            <w:pPr>
              <w:keepNext/>
              <w:widowControl w:val="0"/>
              <w:jc w:val="center"/>
              <w:rPr>
                <w:b/>
                <w:sz w:val="20"/>
                <w:szCs w:val="20"/>
              </w:rPr>
            </w:pPr>
            <w:r w:rsidRPr="00C563AB">
              <w:rPr>
                <w:b/>
                <w:sz w:val="20"/>
                <w:szCs w:val="20"/>
              </w:rPr>
              <w:t>#</w:t>
            </w:r>
          </w:p>
        </w:tc>
        <w:tc>
          <w:tcPr>
            <w:tcW w:w="914" w:type="dxa"/>
            <w:shd w:val="clear" w:color="auto" w:fill="auto"/>
            <w:vAlign w:val="center"/>
          </w:tcPr>
          <w:p w14:paraId="5266FACF" w14:textId="77777777" w:rsidR="00C563AB" w:rsidRPr="00C563AB" w:rsidRDefault="00C563AB" w:rsidP="00C563AB">
            <w:pPr>
              <w:keepNext/>
              <w:widowControl w:val="0"/>
              <w:jc w:val="center"/>
              <w:rPr>
                <w:b/>
                <w:sz w:val="20"/>
                <w:szCs w:val="20"/>
              </w:rPr>
            </w:pPr>
            <w:r w:rsidRPr="00C563AB">
              <w:rPr>
                <w:b/>
                <w:sz w:val="20"/>
                <w:szCs w:val="20"/>
              </w:rPr>
              <w:t>$(000s)</w:t>
            </w:r>
          </w:p>
        </w:tc>
        <w:tc>
          <w:tcPr>
            <w:tcW w:w="616" w:type="dxa"/>
            <w:shd w:val="clear" w:color="auto" w:fill="auto"/>
            <w:vAlign w:val="center"/>
          </w:tcPr>
          <w:p w14:paraId="53B0A75F" w14:textId="77777777" w:rsidR="00C563AB" w:rsidRPr="00C563AB" w:rsidRDefault="00C563AB" w:rsidP="00C563AB">
            <w:pPr>
              <w:keepNext/>
              <w:widowControl w:val="0"/>
              <w:jc w:val="center"/>
              <w:rPr>
                <w:b/>
                <w:sz w:val="20"/>
                <w:szCs w:val="20"/>
              </w:rPr>
            </w:pPr>
            <w:r w:rsidRPr="00C563AB">
              <w:rPr>
                <w:b/>
                <w:sz w:val="20"/>
                <w:szCs w:val="20"/>
              </w:rPr>
              <w:t>#</w:t>
            </w:r>
          </w:p>
        </w:tc>
        <w:tc>
          <w:tcPr>
            <w:tcW w:w="914" w:type="dxa"/>
            <w:shd w:val="clear" w:color="auto" w:fill="auto"/>
            <w:vAlign w:val="center"/>
          </w:tcPr>
          <w:p w14:paraId="3B11CEFD" w14:textId="77777777" w:rsidR="00C563AB" w:rsidRPr="00C563AB" w:rsidRDefault="00C563AB" w:rsidP="00C563AB">
            <w:pPr>
              <w:keepNext/>
              <w:widowControl w:val="0"/>
              <w:jc w:val="center"/>
              <w:rPr>
                <w:b/>
                <w:sz w:val="20"/>
                <w:szCs w:val="20"/>
              </w:rPr>
            </w:pPr>
            <w:r w:rsidRPr="00C563AB">
              <w:rPr>
                <w:b/>
                <w:sz w:val="20"/>
                <w:szCs w:val="20"/>
              </w:rPr>
              <w:t>$(000s)</w:t>
            </w:r>
          </w:p>
        </w:tc>
        <w:tc>
          <w:tcPr>
            <w:tcW w:w="671" w:type="dxa"/>
            <w:shd w:val="clear" w:color="auto" w:fill="auto"/>
            <w:vAlign w:val="center"/>
          </w:tcPr>
          <w:p w14:paraId="353E93D5" w14:textId="77777777" w:rsidR="00C563AB" w:rsidRPr="00C563AB" w:rsidRDefault="00C563AB" w:rsidP="00C563AB">
            <w:pPr>
              <w:keepNext/>
              <w:widowControl w:val="0"/>
              <w:jc w:val="center"/>
              <w:rPr>
                <w:b/>
                <w:sz w:val="20"/>
                <w:szCs w:val="20"/>
              </w:rPr>
            </w:pPr>
            <w:r w:rsidRPr="00C563AB">
              <w:rPr>
                <w:b/>
                <w:sz w:val="20"/>
                <w:szCs w:val="20"/>
              </w:rPr>
              <w:t>#</w:t>
            </w:r>
          </w:p>
        </w:tc>
        <w:tc>
          <w:tcPr>
            <w:tcW w:w="949" w:type="dxa"/>
            <w:shd w:val="clear" w:color="auto" w:fill="auto"/>
            <w:vAlign w:val="center"/>
          </w:tcPr>
          <w:p w14:paraId="3CBA16A4" w14:textId="77777777" w:rsidR="00C563AB" w:rsidRPr="00C563AB" w:rsidRDefault="00C563AB" w:rsidP="00C563AB">
            <w:pPr>
              <w:keepNext/>
              <w:widowControl w:val="0"/>
              <w:jc w:val="center"/>
              <w:rPr>
                <w:b/>
                <w:sz w:val="20"/>
                <w:szCs w:val="20"/>
              </w:rPr>
            </w:pPr>
            <w:r w:rsidRPr="00C563AB">
              <w:rPr>
                <w:b/>
                <w:sz w:val="20"/>
                <w:szCs w:val="20"/>
              </w:rPr>
              <w:t>$(000s)</w:t>
            </w:r>
          </w:p>
        </w:tc>
        <w:tc>
          <w:tcPr>
            <w:tcW w:w="659" w:type="dxa"/>
            <w:shd w:val="clear" w:color="auto" w:fill="auto"/>
            <w:vAlign w:val="center"/>
          </w:tcPr>
          <w:p w14:paraId="4A035743" w14:textId="77777777" w:rsidR="00C563AB" w:rsidRPr="00C563AB" w:rsidRDefault="00C563AB" w:rsidP="00C563AB">
            <w:pPr>
              <w:keepNext/>
              <w:widowControl w:val="0"/>
              <w:jc w:val="center"/>
              <w:rPr>
                <w:b/>
                <w:sz w:val="20"/>
                <w:szCs w:val="20"/>
              </w:rPr>
            </w:pPr>
            <w:r w:rsidRPr="00C563AB">
              <w:rPr>
                <w:b/>
                <w:sz w:val="20"/>
                <w:szCs w:val="20"/>
              </w:rPr>
              <w:t>#</w:t>
            </w:r>
          </w:p>
        </w:tc>
        <w:tc>
          <w:tcPr>
            <w:tcW w:w="900" w:type="dxa"/>
            <w:shd w:val="clear" w:color="auto" w:fill="auto"/>
            <w:vAlign w:val="center"/>
          </w:tcPr>
          <w:p w14:paraId="7D377C54" w14:textId="77777777" w:rsidR="00C563AB" w:rsidRPr="00C563AB" w:rsidRDefault="00C563AB" w:rsidP="00C563AB">
            <w:pPr>
              <w:keepNext/>
              <w:widowControl w:val="0"/>
              <w:jc w:val="center"/>
              <w:rPr>
                <w:b/>
                <w:sz w:val="20"/>
                <w:szCs w:val="20"/>
              </w:rPr>
            </w:pPr>
            <w:r w:rsidRPr="00C563AB">
              <w:rPr>
                <w:b/>
                <w:sz w:val="20"/>
                <w:szCs w:val="20"/>
              </w:rPr>
              <w:t>$(000s)</w:t>
            </w:r>
          </w:p>
        </w:tc>
      </w:tr>
      <w:tr w:rsidR="00C563AB" w:rsidRPr="00C563AB" w14:paraId="30718838" w14:textId="77777777" w:rsidTr="007613E5">
        <w:trPr>
          <w:trHeight w:val="288"/>
          <w:jc w:val="center"/>
        </w:trPr>
        <w:tc>
          <w:tcPr>
            <w:tcW w:w="1987" w:type="dxa"/>
            <w:shd w:val="clear" w:color="auto" w:fill="auto"/>
            <w:vAlign w:val="center"/>
          </w:tcPr>
          <w:p w14:paraId="0A2AA626" w14:textId="77777777" w:rsidR="00C563AB" w:rsidRPr="00C563AB" w:rsidRDefault="00C563AB" w:rsidP="00C563AB">
            <w:pPr>
              <w:keepNext/>
              <w:widowControl w:val="0"/>
              <w:rPr>
                <w:sz w:val="20"/>
                <w:szCs w:val="20"/>
              </w:rPr>
            </w:pPr>
            <w:r w:rsidRPr="00C563AB">
              <w:rPr>
                <w:sz w:val="20"/>
                <w:szCs w:val="20"/>
              </w:rPr>
              <w:t>Prior Period</w:t>
            </w:r>
          </w:p>
        </w:tc>
        <w:tc>
          <w:tcPr>
            <w:tcW w:w="700" w:type="dxa"/>
            <w:shd w:val="clear" w:color="auto" w:fill="auto"/>
            <w:vAlign w:val="center"/>
          </w:tcPr>
          <w:p w14:paraId="2134BFCC" w14:textId="77777777" w:rsidR="00C563AB" w:rsidRPr="00C563AB" w:rsidRDefault="00C563AB" w:rsidP="00C563AB">
            <w:pPr>
              <w:keepNext/>
              <w:widowControl w:val="0"/>
              <w:jc w:val="center"/>
              <w:rPr>
                <w:sz w:val="20"/>
                <w:szCs w:val="20"/>
              </w:rPr>
            </w:pPr>
            <w:r w:rsidRPr="00C563AB">
              <w:rPr>
                <w:sz w:val="20"/>
                <w:szCs w:val="20"/>
              </w:rPr>
              <w:t>8</w:t>
            </w:r>
          </w:p>
        </w:tc>
        <w:tc>
          <w:tcPr>
            <w:tcW w:w="894" w:type="dxa"/>
            <w:shd w:val="clear" w:color="auto" w:fill="auto"/>
            <w:vAlign w:val="center"/>
          </w:tcPr>
          <w:p w14:paraId="7FAEAD3A" w14:textId="77777777" w:rsidR="00C563AB" w:rsidRPr="00C563AB" w:rsidRDefault="00C563AB" w:rsidP="00C563AB">
            <w:pPr>
              <w:keepNext/>
              <w:widowControl w:val="0"/>
              <w:jc w:val="center"/>
              <w:rPr>
                <w:sz w:val="20"/>
                <w:szCs w:val="20"/>
              </w:rPr>
            </w:pPr>
            <w:r w:rsidRPr="00C563AB">
              <w:rPr>
                <w:sz w:val="20"/>
                <w:szCs w:val="20"/>
              </w:rPr>
              <w:t>3,360</w:t>
            </w:r>
          </w:p>
        </w:tc>
        <w:tc>
          <w:tcPr>
            <w:tcW w:w="616" w:type="dxa"/>
            <w:shd w:val="clear" w:color="auto" w:fill="auto"/>
            <w:vAlign w:val="center"/>
          </w:tcPr>
          <w:p w14:paraId="6B388C25" w14:textId="77777777" w:rsidR="00C563AB" w:rsidRPr="00C563AB" w:rsidRDefault="00C563AB" w:rsidP="00C563AB">
            <w:pPr>
              <w:keepNext/>
              <w:widowControl w:val="0"/>
              <w:jc w:val="center"/>
              <w:rPr>
                <w:sz w:val="20"/>
                <w:szCs w:val="20"/>
              </w:rPr>
            </w:pPr>
            <w:r w:rsidRPr="00C563AB">
              <w:rPr>
                <w:sz w:val="20"/>
                <w:szCs w:val="20"/>
              </w:rPr>
              <w:t>0</w:t>
            </w:r>
          </w:p>
        </w:tc>
        <w:tc>
          <w:tcPr>
            <w:tcW w:w="914" w:type="dxa"/>
            <w:shd w:val="clear" w:color="auto" w:fill="auto"/>
            <w:vAlign w:val="center"/>
          </w:tcPr>
          <w:p w14:paraId="73654DDE" w14:textId="77777777" w:rsidR="00C563AB" w:rsidRPr="00C563AB" w:rsidRDefault="00C563AB" w:rsidP="00C563AB">
            <w:pPr>
              <w:keepNext/>
              <w:widowControl w:val="0"/>
              <w:jc w:val="center"/>
              <w:rPr>
                <w:sz w:val="20"/>
                <w:szCs w:val="20"/>
              </w:rPr>
            </w:pPr>
            <w:r w:rsidRPr="00C563AB">
              <w:rPr>
                <w:sz w:val="20"/>
                <w:szCs w:val="20"/>
              </w:rPr>
              <w:t>0</w:t>
            </w:r>
          </w:p>
        </w:tc>
        <w:tc>
          <w:tcPr>
            <w:tcW w:w="616" w:type="dxa"/>
            <w:shd w:val="clear" w:color="auto" w:fill="auto"/>
            <w:vAlign w:val="center"/>
          </w:tcPr>
          <w:p w14:paraId="1069232E" w14:textId="77777777" w:rsidR="00C563AB" w:rsidRPr="00C563AB" w:rsidRDefault="00C563AB" w:rsidP="00C563AB">
            <w:pPr>
              <w:keepNext/>
              <w:widowControl w:val="0"/>
              <w:jc w:val="center"/>
              <w:rPr>
                <w:sz w:val="20"/>
                <w:szCs w:val="20"/>
              </w:rPr>
            </w:pPr>
            <w:r w:rsidRPr="00C563AB">
              <w:rPr>
                <w:sz w:val="20"/>
                <w:szCs w:val="20"/>
              </w:rPr>
              <w:t>1</w:t>
            </w:r>
          </w:p>
        </w:tc>
        <w:tc>
          <w:tcPr>
            <w:tcW w:w="914" w:type="dxa"/>
            <w:shd w:val="clear" w:color="auto" w:fill="auto"/>
            <w:vAlign w:val="center"/>
          </w:tcPr>
          <w:p w14:paraId="2C7753FC" w14:textId="77777777" w:rsidR="00C563AB" w:rsidRPr="00C563AB" w:rsidRDefault="00C563AB" w:rsidP="00C563AB">
            <w:pPr>
              <w:keepNext/>
              <w:widowControl w:val="0"/>
              <w:jc w:val="center"/>
              <w:rPr>
                <w:sz w:val="20"/>
                <w:szCs w:val="20"/>
              </w:rPr>
            </w:pPr>
            <w:r w:rsidRPr="00C563AB">
              <w:rPr>
                <w:sz w:val="20"/>
                <w:szCs w:val="20"/>
              </w:rPr>
              <w:t>335</w:t>
            </w:r>
          </w:p>
        </w:tc>
        <w:tc>
          <w:tcPr>
            <w:tcW w:w="671" w:type="dxa"/>
            <w:shd w:val="clear" w:color="auto" w:fill="auto"/>
            <w:vAlign w:val="center"/>
          </w:tcPr>
          <w:p w14:paraId="78DDADD4" w14:textId="77777777" w:rsidR="00C563AB" w:rsidRPr="00C563AB" w:rsidRDefault="00C563AB" w:rsidP="00C563AB">
            <w:pPr>
              <w:keepNext/>
              <w:widowControl w:val="0"/>
              <w:jc w:val="center"/>
              <w:rPr>
                <w:sz w:val="20"/>
                <w:szCs w:val="20"/>
              </w:rPr>
            </w:pPr>
            <w:r w:rsidRPr="00C563AB">
              <w:rPr>
                <w:sz w:val="20"/>
                <w:szCs w:val="20"/>
              </w:rPr>
              <w:t>0</w:t>
            </w:r>
          </w:p>
        </w:tc>
        <w:tc>
          <w:tcPr>
            <w:tcW w:w="949" w:type="dxa"/>
            <w:shd w:val="clear" w:color="auto" w:fill="auto"/>
            <w:vAlign w:val="center"/>
          </w:tcPr>
          <w:p w14:paraId="6B62A290" w14:textId="77777777" w:rsidR="00C563AB" w:rsidRPr="00C563AB" w:rsidRDefault="00C563AB" w:rsidP="00C563AB">
            <w:pPr>
              <w:keepNext/>
              <w:widowControl w:val="0"/>
              <w:jc w:val="center"/>
              <w:rPr>
                <w:sz w:val="20"/>
                <w:szCs w:val="20"/>
              </w:rPr>
            </w:pPr>
            <w:r w:rsidRPr="00C563AB">
              <w:rPr>
                <w:sz w:val="20"/>
                <w:szCs w:val="20"/>
              </w:rPr>
              <w:t>0</w:t>
            </w:r>
          </w:p>
        </w:tc>
        <w:tc>
          <w:tcPr>
            <w:tcW w:w="659" w:type="dxa"/>
            <w:shd w:val="clear" w:color="auto" w:fill="auto"/>
            <w:vAlign w:val="center"/>
          </w:tcPr>
          <w:p w14:paraId="42035497" w14:textId="77777777" w:rsidR="00C563AB" w:rsidRPr="00C563AB" w:rsidRDefault="00C563AB" w:rsidP="00C563AB">
            <w:pPr>
              <w:keepNext/>
              <w:widowControl w:val="0"/>
              <w:jc w:val="center"/>
              <w:rPr>
                <w:b/>
                <w:sz w:val="20"/>
                <w:szCs w:val="20"/>
              </w:rPr>
            </w:pPr>
            <w:r w:rsidRPr="00C563AB">
              <w:rPr>
                <w:b/>
                <w:sz w:val="20"/>
                <w:szCs w:val="20"/>
              </w:rPr>
              <w:t>9</w:t>
            </w:r>
          </w:p>
        </w:tc>
        <w:tc>
          <w:tcPr>
            <w:tcW w:w="900" w:type="dxa"/>
            <w:shd w:val="clear" w:color="auto" w:fill="auto"/>
            <w:vAlign w:val="center"/>
          </w:tcPr>
          <w:p w14:paraId="14D0FC73" w14:textId="77777777" w:rsidR="00C563AB" w:rsidRPr="00C563AB" w:rsidRDefault="00C563AB" w:rsidP="00C563AB">
            <w:pPr>
              <w:keepNext/>
              <w:widowControl w:val="0"/>
              <w:jc w:val="center"/>
              <w:rPr>
                <w:b/>
                <w:sz w:val="20"/>
                <w:szCs w:val="20"/>
              </w:rPr>
            </w:pPr>
            <w:r w:rsidRPr="00C563AB">
              <w:rPr>
                <w:b/>
                <w:sz w:val="20"/>
                <w:szCs w:val="20"/>
              </w:rPr>
              <w:t>3,695</w:t>
            </w:r>
          </w:p>
        </w:tc>
      </w:tr>
      <w:tr w:rsidR="00C563AB" w:rsidRPr="00C563AB" w14:paraId="578DD11F" w14:textId="77777777" w:rsidTr="007613E5">
        <w:trPr>
          <w:trHeight w:val="288"/>
          <w:jc w:val="center"/>
        </w:trPr>
        <w:tc>
          <w:tcPr>
            <w:tcW w:w="1987" w:type="dxa"/>
            <w:shd w:val="clear" w:color="auto" w:fill="auto"/>
            <w:vAlign w:val="center"/>
          </w:tcPr>
          <w:p w14:paraId="0E8387EA" w14:textId="423E9645" w:rsidR="00C563AB" w:rsidRPr="00C563AB" w:rsidRDefault="00C563AB" w:rsidP="00C563AB">
            <w:pPr>
              <w:keepNext/>
              <w:widowControl w:val="0"/>
              <w:rPr>
                <w:sz w:val="20"/>
                <w:szCs w:val="20"/>
              </w:rPr>
            </w:pPr>
            <w:r w:rsidRPr="00C563AB">
              <w:rPr>
                <w:sz w:val="20"/>
                <w:szCs w:val="20"/>
              </w:rPr>
              <w:t>2017</w:t>
            </w:r>
          </w:p>
        </w:tc>
        <w:tc>
          <w:tcPr>
            <w:tcW w:w="700" w:type="dxa"/>
            <w:shd w:val="clear" w:color="auto" w:fill="auto"/>
            <w:vAlign w:val="center"/>
          </w:tcPr>
          <w:p w14:paraId="6701DEFE" w14:textId="77777777" w:rsidR="00C563AB" w:rsidRPr="00C563AB" w:rsidRDefault="00C563AB" w:rsidP="00C563AB">
            <w:pPr>
              <w:keepNext/>
              <w:widowControl w:val="0"/>
              <w:jc w:val="center"/>
              <w:rPr>
                <w:sz w:val="20"/>
                <w:szCs w:val="20"/>
              </w:rPr>
            </w:pPr>
            <w:r w:rsidRPr="00C563AB">
              <w:rPr>
                <w:sz w:val="20"/>
                <w:szCs w:val="20"/>
              </w:rPr>
              <w:t>0</w:t>
            </w:r>
          </w:p>
        </w:tc>
        <w:tc>
          <w:tcPr>
            <w:tcW w:w="894" w:type="dxa"/>
            <w:shd w:val="clear" w:color="auto" w:fill="auto"/>
            <w:vAlign w:val="center"/>
          </w:tcPr>
          <w:p w14:paraId="4DD49EF3" w14:textId="77777777" w:rsidR="00C563AB" w:rsidRPr="00C563AB" w:rsidRDefault="00C563AB" w:rsidP="00C563AB">
            <w:pPr>
              <w:keepNext/>
              <w:widowControl w:val="0"/>
              <w:jc w:val="center"/>
              <w:rPr>
                <w:sz w:val="20"/>
                <w:szCs w:val="20"/>
              </w:rPr>
            </w:pPr>
            <w:r w:rsidRPr="00C563AB">
              <w:rPr>
                <w:sz w:val="20"/>
                <w:szCs w:val="20"/>
              </w:rPr>
              <w:t>0</w:t>
            </w:r>
          </w:p>
        </w:tc>
        <w:tc>
          <w:tcPr>
            <w:tcW w:w="616" w:type="dxa"/>
            <w:shd w:val="clear" w:color="auto" w:fill="auto"/>
            <w:vAlign w:val="center"/>
          </w:tcPr>
          <w:p w14:paraId="70E2A099" w14:textId="77777777" w:rsidR="00C563AB" w:rsidRPr="00C563AB" w:rsidRDefault="00C563AB" w:rsidP="00C563AB">
            <w:pPr>
              <w:keepNext/>
              <w:widowControl w:val="0"/>
              <w:jc w:val="center"/>
              <w:rPr>
                <w:sz w:val="20"/>
                <w:szCs w:val="20"/>
              </w:rPr>
            </w:pPr>
            <w:r w:rsidRPr="00C563AB">
              <w:rPr>
                <w:sz w:val="20"/>
                <w:szCs w:val="20"/>
              </w:rPr>
              <w:t>0</w:t>
            </w:r>
          </w:p>
        </w:tc>
        <w:tc>
          <w:tcPr>
            <w:tcW w:w="914" w:type="dxa"/>
            <w:shd w:val="clear" w:color="auto" w:fill="auto"/>
            <w:vAlign w:val="center"/>
          </w:tcPr>
          <w:p w14:paraId="413802FF" w14:textId="77777777" w:rsidR="00C563AB" w:rsidRPr="00C563AB" w:rsidRDefault="00C563AB" w:rsidP="00C563AB">
            <w:pPr>
              <w:keepNext/>
              <w:widowControl w:val="0"/>
              <w:jc w:val="center"/>
              <w:rPr>
                <w:sz w:val="20"/>
                <w:szCs w:val="20"/>
              </w:rPr>
            </w:pPr>
            <w:r w:rsidRPr="00C563AB">
              <w:rPr>
                <w:sz w:val="20"/>
                <w:szCs w:val="20"/>
              </w:rPr>
              <w:t>0</w:t>
            </w:r>
          </w:p>
        </w:tc>
        <w:tc>
          <w:tcPr>
            <w:tcW w:w="616" w:type="dxa"/>
            <w:shd w:val="clear" w:color="auto" w:fill="auto"/>
            <w:vAlign w:val="center"/>
          </w:tcPr>
          <w:p w14:paraId="1CD7BC64" w14:textId="77777777" w:rsidR="00C563AB" w:rsidRPr="00C563AB" w:rsidRDefault="00C563AB" w:rsidP="00C563AB">
            <w:pPr>
              <w:keepNext/>
              <w:widowControl w:val="0"/>
              <w:jc w:val="center"/>
              <w:rPr>
                <w:sz w:val="20"/>
                <w:szCs w:val="20"/>
              </w:rPr>
            </w:pPr>
            <w:r w:rsidRPr="00C563AB">
              <w:rPr>
                <w:sz w:val="20"/>
                <w:szCs w:val="20"/>
              </w:rPr>
              <w:t>0</w:t>
            </w:r>
          </w:p>
        </w:tc>
        <w:tc>
          <w:tcPr>
            <w:tcW w:w="914" w:type="dxa"/>
            <w:shd w:val="clear" w:color="auto" w:fill="auto"/>
            <w:vAlign w:val="center"/>
          </w:tcPr>
          <w:p w14:paraId="1B63144F" w14:textId="77777777" w:rsidR="00C563AB" w:rsidRPr="00C563AB" w:rsidRDefault="00C563AB" w:rsidP="00C563AB">
            <w:pPr>
              <w:keepNext/>
              <w:widowControl w:val="0"/>
              <w:jc w:val="center"/>
              <w:rPr>
                <w:sz w:val="20"/>
                <w:szCs w:val="20"/>
              </w:rPr>
            </w:pPr>
            <w:r w:rsidRPr="00C563AB">
              <w:rPr>
                <w:sz w:val="20"/>
                <w:szCs w:val="20"/>
              </w:rPr>
              <w:t>0</w:t>
            </w:r>
          </w:p>
        </w:tc>
        <w:tc>
          <w:tcPr>
            <w:tcW w:w="671" w:type="dxa"/>
            <w:shd w:val="clear" w:color="auto" w:fill="auto"/>
            <w:vAlign w:val="center"/>
          </w:tcPr>
          <w:p w14:paraId="430ED538" w14:textId="77777777" w:rsidR="00C563AB" w:rsidRPr="00C563AB" w:rsidRDefault="00C563AB" w:rsidP="00C563AB">
            <w:pPr>
              <w:keepNext/>
              <w:widowControl w:val="0"/>
              <w:jc w:val="center"/>
              <w:rPr>
                <w:sz w:val="20"/>
                <w:szCs w:val="20"/>
              </w:rPr>
            </w:pPr>
            <w:r w:rsidRPr="00C563AB">
              <w:rPr>
                <w:sz w:val="20"/>
                <w:szCs w:val="20"/>
              </w:rPr>
              <w:t>2</w:t>
            </w:r>
          </w:p>
        </w:tc>
        <w:tc>
          <w:tcPr>
            <w:tcW w:w="949" w:type="dxa"/>
            <w:shd w:val="clear" w:color="auto" w:fill="auto"/>
            <w:vAlign w:val="center"/>
          </w:tcPr>
          <w:p w14:paraId="2B1699DD" w14:textId="77777777" w:rsidR="00C563AB" w:rsidRPr="00C563AB" w:rsidRDefault="00C563AB" w:rsidP="00C563AB">
            <w:pPr>
              <w:keepNext/>
              <w:widowControl w:val="0"/>
              <w:jc w:val="center"/>
              <w:rPr>
                <w:sz w:val="20"/>
                <w:szCs w:val="20"/>
              </w:rPr>
            </w:pPr>
            <w:r w:rsidRPr="00C563AB">
              <w:rPr>
                <w:sz w:val="20"/>
                <w:szCs w:val="20"/>
              </w:rPr>
              <w:t>2,450</w:t>
            </w:r>
          </w:p>
        </w:tc>
        <w:tc>
          <w:tcPr>
            <w:tcW w:w="659" w:type="dxa"/>
            <w:shd w:val="clear" w:color="auto" w:fill="auto"/>
            <w:vAlign w:val="center"/>
          </w:tcPr>
          <w:p w14:paraId="1D1988EE" w14:textId="77777777" w:rsidR="00C563AB" w:rsidRPr="00C563AB" w:rsidRDefault="00C563AB" w:rsidP="00C563AB">
            <w:pPr>
              <w:keepNext/>
              <w:widowControl w:val="0"/>
              <w:jc w:val="center"/>
              <w:rPr>
                <w:b/>
                <w:sz w:val="20"/>
                <w:szCs w:val="20"/>
              </w:rPr>
            </w:pPr>
            <w:r w:rsidRPr="00C563AB">
              <w:rPr>
                <w:b/>
                <w:sz w:val="20"/>
                <w:szCs w:val="20"/>
              </w:rPr>
              <w:t>2</w:t>
            </w:r>
          </w:p>
        </w:tc>
        <w:tc>
          <w:tcPr>
            <w:tcW w:w="900" w:type="dxa"/>
            <w:shd w:val="clear" w:color="auto" w:fill="auto"/>
            <w:vAlign w:val="center"/>
          </w:tcPr>
          <w:p w14:paraId="77A6DD89" w14:textId="77777777" w:rsidR="00C563AB" w:rsidRPr="00C563AB" w:rsidRDefault="00C563AB" w:rsidP="00C563AB">
            <w:pPr>
              <w:keepNext/>
              <w:widowControl w:val="0"/>
              <w:jc w:val="center"/>
              <w:rPr>
                <w:b/>
                <w:sz w:val="20"/>
                <w:szCs w:val="20"/>
              </w:rPr>
            </w:pPr>
            <w:r w:rsidRPr="00C563AB">
              <w:rPr>
                <w:b/>
                <w:sz w:val="20"/>
                <w:szCs w:val="20"/>
              </w:rPr>
              <w:t>2,450</w:t>
            </w:r>
          </w:p>
        </w:tc>
      </w:tr>
      <w:tr w:rsidR="00C563AB" w:rsidRPr="00C563AB" w14:paraId="19FA9A74" w14:textId="77777777" w:rsidTr="007613E5">
        <w:trPr>
          <w:trHeight w:val="288"/>
          <w:jc w:val="center"/>
        </w:trPr>
        <w:tc>
          <w:tcPr>
            <w:tcW w:w="1987" w:type="dxa"/>
            <w:shd w:val="clear" w:color="auto" w:fill="auto"/>
            <w:vAlign w:val="center"/>
          </w:tcPr>
          <w:p w14:paraId="769C71F1" w14:textId="77777777" w:rsidR="00C563AB" w:rsidRPr="00C563AB" w:rsidRDefault="00C563AB" w:rsidP="00C563AB">
            <w:pPr>
              <w:keepNext/>
              <w:widowControl w:val="0"/>
              <w:rPr>
                <w:sz w:val="20"/>
                <w:szCs w:val="20"/>
              </w:rPr>
            </w:pPr>
            <w:r w:rsidRPr="00C563AB">
              <w:rPr>
                <w:sz w:val="20"/>
                <w:szCs w:val="20"/>
              </w:rPr>
              <w:t>2018</w:t>
            </w:r>
          </w:p>
        </w:tc>
        <w:tc>
          <w:tcPr>
            <w:tcW w:w="700" w:type="dxa"/>
            <w:shd w:val="clear" w:color="auto" w:fill="auto"/>
            <w:vAlign w:val="center"/>
          </w:tcPr>
          <w:p w14:paraId="6ACC2907" w14:textId="77777777" w:rsidR="00C563AB" w:rsidRPr="00C563AB" w:rsidRDefault="00C563AB" w:rsidP="00C563AB">
            <w:pPr>
              <w:keepNext/>
              <w:widowControl w:val="0"/>
              <w:jc w:val="center"/>
              <w:rPr>
                <w:sz w:val="20"/>
                <w:szCs w:val="20"/>
              </w:rPr>
            </w:pPr>
            <w:r w:rsidRPr="00C563AB">
              <w:rPr>
                <w:sz w:val="20"/>
                <w:szCs w:val="20"/>
              </w:rPr>
              <w:t>0</w:t>
            </w:r>
          </w:p>
        </w:tc>
        <w:tc>
          <w:tcPr>
            <w:tcW w:w="894" w:type="dxa"/>
            <w:shd w:val="clear" w:color="auto" w:fill="auto"/>
            <w:vAlign w:val="center"/>
          </w:tcPr>
          <w:p w14:paraId="354EE2C3" w14:textId="77777777" w:rsidR="00C563AB" w:rsidRPr="00C563AB" w:rsidRDefault="00C563AB" w:rsidP="00C563AB">
            <w:pPr>
              <w:keepNext/>
              <w:widowControl w:val="0"/>
              <w:jc w:val="center"/>
              <w:rPr>
                <w:sz w:val="20"/>
                <w:szCs w:val="20"/>
              </w:rPr>
            </w:pPr>
            <w:r w:rsidRPr="00C563AB">
              <w:rPr>
                <w:sz w:val="20"/>
                <w:szCs w:val="20"/>
              </w:rPr>
              <w:t>0</w:t>
            </w:r>
          </w:p>
        </w:tc>
        <w:tc>
          <w:tcPr>
            <w:tcW w:w="616" w:type="dxa"/>
            <w:shd w:val="clear" w:color="auto" w:fill="auto"/>
            <w:vAlign w:val="center"/>
          </w:tcPr>
          <w:p w14:paraId="2E5E1800" w14:textId="77777777" w:rsidR="00C563AB" w:rsidRPr="00C563AB" w:rsidRDefault="00C563AB" w:rsidP="00C563AB">
            <w:pPr>
              <w:keepNext/>
              <w:widowControl w:val="0"/>
              <w:jc w:val="center"/>
              <w:rPr>
                <w:sz w:val="20"/>
                <w:szCs w:val="20"/>
              </w:rPr>
            </w:pPr>
            <w:r w:rsidRPr="00C563AB">
              <w:rPr>
                <w:sz w:val="20"/>
                <w:szCs w:val="20"/>
              </w:rPr>
              <w:t>0</w:t>
            </w:r>
          </w:p>
        </w:tc>
        <w:tc>
          <w:tcPr>
            <w:tcW w:w="914" w:type="dxa"/>
            <w:shd w:val="clear" w:color="auto" w:fill="auto"/>
            <w:vAlign w:val="center"/>
          </w:tcPr>
          <w:p w14:paraId="6ACB8493" w14:textId="77777777" w:rsidR="00C563AB" w:rsidRPr="00C563AB" w:rsidRDefault="00C563AB" w:rsidP="00C563AB">
            <w:pPr>
              <w:keepNext/>
              <w:widowControl w:val="0"/>
              <w:jc w:val="center"/>
              <w:rPr>
                <w:sz w:val="20"/>
                <w:szCs w:val="20"/>
              </w:rPr>
            </w:pPr>
            <w:r w:rsidRPr="00C563AB">
              <w:rPr>
                <w:sz w:val="20"/>
                <w:szCs w:val="20"/>
              </w:rPr>
              <w:t>0</w:t>
            </w:r>
          </w:p>
        </w:tc>
        <w:tc>
          <w:tcPr>
            <w:tcW w:w="616" w:type="dxa"/>
            <w:shd w:val="clear" w:color="auto" w:fill="auto"/>
            <w:vAlign w:val="center"/>
          </w:tcPr>
          <w:p w14:paraId="1CA9EDAC" w14:textId="77777777" w:rsidR="00C563AB" w:rsidRPr="00C563AB" w:rsidRDefault="00C563AB" w:rsidP="00C563AB">
            <w:pPr>
              <w:keepNext/>
              <w:widowControl w:val="0"/>
              <w:jc w:val="center"/>
              <w:rPr>
                <w:sz w:val="20"/>
                <w:szCs w:val="20"/>
              </w:rPr>
            </w:pPr>
            <w:r w:rsidRPr="00C563AB">
              <w:rPr>
                <w:sz w:val="20"/>
                <w:szCs w:val="20"/>
              </w:rPr>
              <w:t>0</w:t>
            </w:r>
          </w:p>
        </w:tc>
        <w:tc>
          <w:tcPr>
            <w:tcW w:w="914" w:type="dxa"/>
            <w:shd w:val="clear" w:color="auto" w:fill="auto"/>
            <w:vAlign w:val="center"/>
          </w:tcPr>
          <w:p w14:paraId="3E0F931C" w14:textId="77777777" w:rsidR="00C563AB" w:rsidRPr="00C563AB" w:rsidRDefault="00C563AB" w:rsidP="00C563AB">
            <w:pPr>
              <w:keepNext/>
              <w:widowControl w:val="0"/>
              <w:jc w:val="center"/>
              <w:rPr>
                <w:sz w:val="20"/>
                <w:szCs w:val="20"/>
              </w:rPr>
            </w:pPr>
            <w:r w:rsidRPr="00C563AB">
              <w:rPr>
                <w:sz w:val="20"/>
                <w:szCs w:val="20"/>
              </w:rPr>
              <w:t>0</w:t>
            </w:r>
          </w:p>
        </w:tc>
        <w:tc>
          <w:tcPr>
            <w:tcW w:w="671" w:type="dxa"/>
            <w:shd w:val="clear" w:color="auto" w:fill="auto"/>
            <w:vAlign w:val="center"/>
          </w:tcPr>
          <w:p w14:paraId="768B78C7" w14:textId="77777777" w:rsidR="00C563AB" w:rsidRPr="00C563AB" w:rsidRDefault="00C563AB" w:rsidP="00C563AB">
            <w:pPr>
              <w:keepNext/>
              <w:widowControl w:val="0"/>
              <w:jc w:val="center"/>
              <w:rPr>
                <w:sz w:val="20"/>
                <w:szCs w:val="20"/>
              </w:rPr>
            </w:pPr>
            <w:r w:rsidRPr="00C563AB">
              <w:rPr>
                <w:sz w:val="20"/>
                <w:szCs w:val="20"/>
              </w:rPr>
              <w:t>1</w:t>
            </w:r>
          </w:p>
        </w:tc>
        <w:tc>
          <w:tcPr>
            <w:tcW w:w="949" w:type="dxa"/>
            <w:shd w:val="clear" w:color="auto" w:fill="auto"/>
            <w:vAlign w:val="center"/>
          </w:tcPr>
          <w:p w14:paraId="5FA561CD" w14:textId="77777777" w:rsidR="00C563AB" w:rsidRPr="00C563AB" w:rsidRDefault="00C563AB" w:rsidP="00C563AB">
            <w:pPr>
              <w:keepNext/>
              <w:widowControl w:val="0"/>
              <w:jc w:val="center"/>
              <w:rPr>
                <w:sz w:val="20"/>
                <w:szCs w:val="20"/>
              </w:rPr>
            </w:pPr>
            <w:r w:rsidRPr="00C563AB">
              <w:rPr>
                <w:sz w:val="20"/>
                <w:szCs w:val="20"/>
              </w:rPr>
              <w:t>1,200</w:t>
            </w:r>
          </w:p>
        </w:tc>
        <w:tc>
          <w:tcPr>
            <w:tcW w:w="659" w:type="dxa"/>
            <w:shd w:val="clear" w:color="auto" w:fill="auto"/>
            <w:vAlign w:val="center"/>
          </w:tcPr>
          <w:p w14:paraId="66A5EAE2" w14:textId="77777777" w:rsidR="00C563AB" w:rsidRPr="00C563AB" w:rsidRDefault="00C563AB" w:rsidP="00C563AB">
            <w:pPr>
              <w:keepNext/>
              <w:widowControl w:val="0"/>
              <w:jc w:val="center"/>
              <w:rPr>
                <w:b/>
                <w:sz w:val="20"/>
                <w:szCs w:val="20"/>
              </w:rPr>
            </w:pPr>
            <w:r w:rsidRPr="00C563AB">
              <w:rPr>
                <w:b/>
                <w:sz w:val="20"/>
                <w:szCs w:val="20"/>
              </w:rPr>
              <w:t>1</w:t>
            </w:r>
          </w:p>
        </w:tc>
        <w:tc>
          <w:tcPr>
            <w:tcW w:w="900" w:type="dxa"/>
            <w:shd w:val="clear" w:color="auto" w:fill="auto"/>
            <w:vAlign w:val="center"/>
          </w:tcPr>
          <w:p w14:paraId="0630D225" w14:textId="77777777" w:rsidR="00C563AB" w:rsidRPr="00C563AB" w:rsidRDefault="00C563AB" w:rsidP="00C563AB">
            <w:pPr>
              <w:keepNext/>
              <w:widowControl w:val="0"/>
              <w:jc w:val="center"/>
              <w:rPr>
                <w:b/>
                <w:sz w:val="20"/>
                <w:szCs w:val="20"/>
              </w:rPr>
            </w:pPr>
            <w:r w:rsidRPr="00C563AB">
              <w:rPr>
                <w:b/>
                <w:sz w:val="20"/>
                <w:szCs w:val="20"/>
              </w:rPr>
              <w:t>1,200</w:t>
            </w:r>
          </w:p>
        </w:tc>
      </w:tr>
      <w:tr w:rsidR="00C563AB" w:rsidRPr="00C563AB" w14:paraId="0EE712AF" w14:textId="77777777" w:rsidTr="007613E5">
        <w:trPr>
          <w:trHeight w:val="288"/>
          <w:jc w:val="center"/>
        </w:trPr>
        <w:tc>
          <w:tcPr>
            <w:tcW w:w="1987" w:type="dxa"/>
            <w:shd w:val="clear" w:color="auto" w:fill="auto"/>
            <w:vAlign w:val="center"/>
          </w:tcPr>
          <w:p w14:paraId="3E0412C8" w14:textId="77777777" w:rsidR="00C563AB" w:rsidRPr="00C563AB" w:rsidRDefault="00C563AB" w:rsidP="00C563AB">
            <w:pPr>
              <w:keepNext/>
              <w:widowControl w:val="0"/>
              <w:rPr>
                <w:sz w:val="20"/>
                <w:szCs w:val="20"/>
              </w:rPr>
            </w:pPr>
            <w:r w:rsidRPr="00C563AB">
              <w:rPr>
                <w:sz w:val="20"/>
                <w:szCs w:val="20"/>
              </w:rPr>
              <w:t>2019</w:t>
            </w:r>
          </w:p>
        </w:tc>
        <w:tc>
          <w:tcPr>
            <w:tcW w:w="700" w:type="dxa"/>
            <w:shd w:val="clear" w:color="auto" w:fill="auto"/>
            <w:vAlign w:val="center"/>
          </w:tcPr>
          <w:p w14:paraId="3D5156CD" w14:textId="77777777" w:rsidR="00C563AB" w:rsidRPr="00C563AB" w:rsidRDefault="00C563AB" w:rsidP="00C563AB">
            <w:pPr>
              <w:keepNext/>
              <w:widowControl w:val="0"/>
              <w:jc w:val="center"/>
              <w:rPr>
                <w:sz w:val="20"/>
                <w:szCs w:val="20"/>
              </w:rPr>
            </w:pPr>
            <w:r w:rsidRPr="00C563AB">
              <w:rPr>
                <w:sz w:val="20"/>
                <w:szCs w:val="20"/>
              </w:rPr>
              <w:t>0</w:t>
            </w:r>
          </w:p>
        </w:tc>
        <w:tc>
          <w:tcPr>
            <w:tcW w:w="894" w:type="dxa"/>
            <w:shd w:val="clear" w:color="auto" w:fill="auto"/>
            <w:vAlign w:val="center"/>
          </w:tcPr>
          <w:p w14:paraId="747BCFA2" w14:textId="77777777" w:rsidR="00C563AB" w:rsidRPr="00C563AB" w:rsidRDefault="00C563AB" w:rsidP="00C563AB">
            <w:pPr>
              <w:keepNext/>
              <w:widowControl w:val="0"/>
              <w:jc w:val="center"/>
              <w:rPr>
                <w:sz w:val="20"/>
                <w:szCs w:val="20"/>
              </w:rPr>
            </w:pPr>
            <w:r w:rsidRPr="00C563AB">
              <w:rPr>
                <w:sz w:val="20"/>
                <w:szCs w:val="20"/>
              </w:rPr>
              <w:t>0</w:t>
            </w:r>
          </w:p>
        </w:tc>
        <w:tc>
          <w:tcPr>
            <w:tcW w:w="616" w:type="dxa"/>
            <w:shd w:val="clear" w:color="auto" w:fill="auto"/>
            <w:vAlign w:val="center"/>
          </w:tcPr>
          <w:p w14:paraId="4CD97FE6" w14:textId="77777777" w:rsidR="00C563AB" w:rsidRPr="00C563AB" w:rsidRDefault="00C563AB" w:rsidP="00C563AB">
            <w:pPr>
              <w:keepNext/>
              <w:widowControl w:val="0"/>
              <w:jc w:val="center"/>
              <w:rPr>
                <w:sz w:val="20"/>
                <w:szCs w:val="20"/>
              </w:rPr>
            </w:pPr>
            <w:r w:rsidRPr="00C563AB">
              <w:rPr>
                <w:sz w:val="20"/>
                <w:szCs w:val="20"/>
              </w:rPr>
              <w:t>0</w:t>
            </w:r>
          </w:p>
        </w:tc>
        <w:tc>
          <w:tcPr>
            <w:tcW w:w="914" w:type="dxa"/>
            <w:shd w:val="clear" w:color="auto" w:fill="auto"/>
            <w:vAlign w:val="center"/>
          </w:tcPr>
          <w:p w14:paraId="4F0C72BF" w14:textId="77777777" w:rsidR="00C563AB" w:rsidRPr="00C563AB" w:rsidRDefault="00C563AB" w:rsidP="00C563AB">
            <w:pPr>
              <w:keepNext/>
              <w:widowControl w:val="0"/>
              <w:jc w:val="center"/>
              <w:rPr>
                <w:sz w:val="20"/>
                <w:szCs w:val="20"/>
              </w:rPr>
            </w:pPr>
            <w:r w:rsidRPr="00C563AB">
              <w:rPr>
                <w:sz w:val="20"/>
                <w:szCs w:val="20"/>
              </w:rPr>
              <w:t>0</w:t>
            </w:r>
          </w:p>
        </w:tc>
        <w:tc>
          <w:tcPr>
            <w:tcW w:w="616" w:type="dxa"/>
            <w:shd w:val="clear" w:color="auto" w:fill="auto"/>
            <w:vAlign w:val="center"/>
          </w:tcPr>
          <w:p w14:paraId="2B9ADB36" w14:textId="77777777" w:rsidR="00C563AB" w:rsidRPr="00C563AB" w:rsidRDefault="00C563AB" w:rsidP="00C563AB">
            <w:pPr>
              <w:keepNext/>
              <w:widowControl w:val="0"/>
              <w:jc w:val="center"/>
              <w:rPr>
                <w:sz w:val="20"/>
                <w:szCs w:val="20"/>
              </w:rPr>
            </w:pPr>
            <w:r w:rsidRPr="00C563AB">
              <w:rPr>
                <w:sz w:val="20"/>
                <w:szCs w:val="20"/>
              </w:rPr>
              <w:t>0</w:t>
            </w:r>
          </w:p>
        </w:tc>
        <w:tc>
          <w:tcPr>
            <w:tcW w:w="914" w:type="dxa"/>
            <w:shd w:val="clear" w:color="auto" w:fill="auto"/>
            <w:vAlign w:val="center"/>
          </w:tcPr>
          <w:p w14:paraId="6ED86794" w14:textId="77777777" w:rsidR="00C563AB" w:rsidRPr="00C563AB" w:rsidRDefault="00C563AB" w:rsidP="00C563AB">
            <w:pPr>
              <w:keepNext/>
              <w:widowControl w:val="0"/>
              <w:jc w:val="center"/>
              <w:rPr>
                <w:sz w:val="20"/>
                <w:szCs w:val="20"/>
              </w:rPr>
            </w:pPr>
            <w:r w:rsidRPr="00C563AB">
              <w:rPr>
                <w:sz w:val="20"/>
                <w:szCs w:val="20"/>
              </w:rPr>
              <w:t>0</w:t>
            </w:r>
          </w:p>
        </w:tc>
        <w:tc>
          <w:tcPr>
            <w:tcW w:w="671" w:type="dxa"/>
            <w:shd w:val="clear" w:color="auto" w:fill="auto"/>
            <w:vAlign w:val="center"/>
          </w:tcPr>
          <w:p w14:paraId="7F0A851C" w14:textId="77777777" w:rsidR="00C563AB" w:rsidRPr="00C563AB" w:rsidRDefault="00C563AB" w:rsidP="00C563AB">
            <w:pPr>
              <w:keepNext/>
              <w:widowControl w:val="0"/>
              <w:jc w:val="center"/>
              <w:rPr>
                <w:sz w:val="20"/>
                <w:szCs w:val="20"/>
              </w:rPr>
            </w:pPr>
            <w:r w:rsidRPr="00C563AB">
              <w:rPr>
                <w:sz w:val="20"/>
                <w:szCs w:val="20"/>
              </w:rPr>
              <w:t>1</w:t>
            </w:r>
          </w:p>
        </w:tc>
        <w:tc>
          <w:tcPr>
            <w:tcW w:w="949" w:type="dxa"/>
            <w:shd w:val="clear" w:color="auto" w:fill="auto"/>
            <w:vAlign w:val="center"/>
          </w:tcPr>
          <w:p w14:paraId="51A17630" w14:textId="77777777" w:rsidR="00C563AB" w:rsidRPr="00C563AB" w:rsidRDefault="00C563AB" w:rsidP="00C563AB">
            <w:pPr>
              <w:keepNext/>
              <w:widowControl w:val="0"/>
              <w:jc w:val="center"/>
              <w:rPr>
                <w:sz w:val="20"/>
                <w:szCs w:val="20"/>
              </w:rPr>
            </w:pPr>
            <w:r w:rsidRPr="00C563AB">
              <w:rPr>
                <w:sz w:val="20"/>
                <w:szCs w:val="20"/>
              </w:rPr>
              <w:t>609</w:t>
            </w:r>
          </w:p>
        </w:tc>
        <w:tc>
          <w:tcPr>
            <w:tcW w:w="659" w:type="dxa"/>
            <w:shd w:val="clear" w:color="auto" w:fill="auto"/>
            <w:vAlign w:val="center"/>
          </w:tcPr>
          <w:p w14:paraId="3A3FE262" w14:textId="77777777" w:rsidR="00C563AB" w:rsidRPr="00C563AB" w:rsidRDefault="00C563AB" w:rsidP="00C563AB">
            <w:pPr>
              <w:keepNext/>
              <w:widowControl w:val="0"/>
              <w:jc w:val="center"/>
              <w:rPr>
                <w:b/>
                <w:sz w:val="20"/>
                <w:szCs w:val="20"/>
              </w:rPr>
            </w:pPr>
            <w:r w:rsidRPr="00C563AB">
              <w:rPr>
                <w:b/>
                <w:sz w:val="20"/>
                <w:szCs w:val="20"/>
              </w:rPr>
              <w:t>1</w:t>
            </w:r>
          </w:p>
        </w:tc>
        <w:tc>
          <w:tcPr>
            <w:tcW w:w="900" w:type="dxa"/>
            <w:shd w:val="clear" w:color="auto" w:fill="auto"/>
            <w:vAlign w:val="center"/>
          </w:tcPr>
          <w:p w14:paraId="3FDCA65D" w14:textId="77777777" w:rsidR="00C563AB" w:rsidRPr="00C563AB" w:rsidRDefault="00C563AB" w:rsidP="00C563AB">
            <w:pPr>
              <w:keepNext/>
              <w:widowControl w:val="0"/>
              <w:jc w:val="center"/>
              <w:rPr>
                <w:b/>
                <w:sz w:val="20"/>
                <w:szCs w:val="20"/>
              </w:rPr>
            </w:pPr>
            <w:r w:rsidRPr="00C563AB">
              <w:rPr>
                <w:b/>
                <w:sz w:val="20"/>
                <w:szCs w:val="20"/>
              </w:rPr>
              <w:t>609</w:t>
            </w:r>
          </w:p>
        </w:tc>
      </w:tr>
      <w:tr w:rsidR="00C563AB" w:rsidRPr="00C563AB" w14:paraId="6A2FD359" w14:textId="77777777" w:rsidTr="007613E5">
        <w:trPr>
          <w:trHeight w:val="288"/>
          <w:jc w:val="center"/>
        </w:trPr>
        <w:tc>
          <w:tcPr>
            <w:tcW w:w="1987" w:type="dxa"/>
            <w:shd w:val="clear" w:color="auto" w:fill="auto"/>
            <w:vAlign w:val="center"/>
          </w:tcPr>
          <w:p w14:paraId="51C46F55" w14:textId="472D408F" w:rsidR="00C563AB" w:rsidRPr="00C563AB" w:rsidRDefault="00C563AB" w:rsidP="00C563AB">
            <w:pPr>
              <w:keepNext/>
              <w:widowControl w:val="0"/>
              <w:rPr>
                <w:sz w:val="20"/>
                <w:szCs w:val="20"/>
              </w:rPr>
            </w:pPr>
            <w:r w:rsidRPr="00C563AB">
              <w:rPr>
                <w:sz w:val="20"/>
                <w:szCs w:val="20"/>
              </w:rPr>
              <w:t>YTD 2020</w:t>
            </w:r>
            <w:r w:rsidR="00B53F5D">
              <w:rPr>
                <w:sz w:val="20"/>
                <w:szCs w:val="20"/>
              </w:rPr>
              <w:t>*</w:t>
            </w:r>
          </w:p>
        </w:tc>
        <w:tc>
          <w:tcPr>
            <w:tcW w:w="700" w:type="dxa"/>
            <w:shd w:val="clear" w:color="auto" w:fill="auto"/>
            <w:vAlign w:val="center"/>
          </w:tcPr>
          <w:p w14:paraId="77EFECB6" w14:textId="77777777" w:rsidR="00C563AB" w:rsidRPr="00C563AB" w:rsidRDefault="00C563AB" w:rsidP="00C563AB">
            <w:pPr>
              <w:keepNext/>
              <w:widowControl w:val="0"/>
              <w:jc w:val="center"/>
              <w:rPr>
                <w:sz w:val="20"/>
                <w:szCs w:val="20"/>
              </w:rPr>
            </w:pPr>
            <w:r w:rsidRPr="00C563AB">
              <w:rPr>
                <w:sz w:val="20"/>
                <w:szCs w:val="20"/>
              </w:rPr>
              <w:t>0</w:t>
            </w:r>
          </w:p>
        </w:tc>
        <w:tc>
          <w:tcPr>
            <w:tcW w:w="894" w:type="dxa"/>
            <w:shd w:val="clear" w:color="auto" w:fill="auto"/>
            <w:vAlign w:val="center"/>
          </w:tcPr>
          <w:p w14:paraId="4A590458" w14:textId="77777777" w:rsidR="00C563AB" w:rsidRPr="00C563AB" w:rsidRDefault="00C563AB" w:rsidP="00C563AB">
            <w:pPr>
              <w:keepNext/>
              <w:widowControl w:val="0"/>
              <w:jc w:val="center"/>
              <w:rPr>
                <w:sz w:val="20"/>
                <w:szCs w:val="20"/>
              </w:rPr>
            </w:pPr>
            <w:r w:rsidRPr="00C563AB">
              <w:rPr>
                <w:sz w:val="20"/>
                <w:szCs w:val="20"/>
              </w:rPr>
              <w:t>0</w:t>
            </w:r>
          </w:p>
        </w:tc>
        <w:tc>
          <w:tcPr>
            <w:tcW w:w="616" w:type="dxa"/>
            <w:shd w:val="clear" w:color="auto" w:fill="auto"/>
            <w:vAlign w:val="center"/>
          </w:tcPr>
          <w:p w14:paraId="5408721E" w14:textId="77777777" w:rsidR="00C563AB" w:rsidRPr="00C563AB" w:rsidRDefault="00C563AB" w:rsidP="00C563AB">
            <w:pPr>
              <w:keepNext/>
              <w:widowControl w:val="0"/>
              <w:jc w:val="center"/>
              <w:rPr>
                <w:sz w:val="20"/>
                <w:szCs w:val="20"/>
              </w:rPr>
            </w:pPr>
            <w:r w:rsidRPr="00C563AB">
              <w:rPr>
                <w:sz w:val="20"/>
                <w:szCs w:val="20"/>
              </w:rPr>
              <w:t>0</w:t>
            </w:r>
          </w:p>
        </w:tc>
        <w:tc>
          <w:tcPr>
            <w:tcW w:w="914" w:type="dxa"/>
            <w:shd w:val="clear" w:color="auto" w:fill="auto"/>
            <w:vAlign w:val="center"/>
          </w:tcPr>
          <w:p w14:paraId="630ED40B" w14:textId="77777777" w:rsidR="00C563AB" w:rsidRPr="00C563AB" w:rsidRDefault="00C563AB" w:rsidP="00C563AB">
            <w:pPr>
              <w:keepNext/>
              <w:widowControl w:val="0"/>
              <w:jc w:val="center"/>
              <w:rPr>
                <w:sz w:val="20"/>
                <w:szCs w:val="20"/>
              </w:rPr>
            </w:pPr>
            <w:r w:rsidRPr="00C563AB">
              <w:rPr>
                <w:sz w:val="20"/>
                <w:szCs w:val="20"/>
              </w:rPr>
              <w:t>0</w:t>
            </w:r>
          </w:p>
        </w:tc>
        <w:tc>
          <w:tcPr>
            <w:tcW w:w="616" w:type="dxa"/>
            <w:shd w:val="clear" w:color="auto" w:fill="auto"/>
            <w:vAlign w:val="center"/>
          </w:tcPr>
          <w:p w14:paraId="4AE9A075" w14:textId="77777777" w:rsidR="00C563AB" w:rsidRPr="00C563AB" w:rsidRDefault="00C563AB" w:rsidP="00C563AB">
            <w:pPr>
              <w:keepNext/>
              <w:widowControl w:val="0"/>
              <w:jc w:val="center"/>
              <w:rPr>
                <w:sz w:val="20"/>
                <w:szCs w:val="20"/>
              </w:rPr>
            </w:pPr>
            <w:r w:rsidRPr="00C563AB">
              <w:rPr>
                <w:sz w:val="20"/>
                <w:szCs w:val="20"/>
              </w:rPr>
              <w:t>0</w:t>
            </w:r>
          </w:p>
        </w:tc>
        <w:tc>
          <w:tcPr>
            <w:tcW w:w="914" w:type="dxa"/>
            <w:shd w:val="clear" w:color="auto" w:fill="auto"/>
            <w:vAlign w:val="center"/>
          </w:tcPr>
          <w:p w14:paraId="7FBD8902" w14:textId="77777777" w:rsidR="00C563AB" w:rsidRPr="00C563AB" w:rsidRDefault="00C563AB" w:rsidP="00C563AB">
            <w:pPr>
              <w:keepNext/>
              <w:widowControl w:val="0"/>
              <w:jc w:val="center"/>
              <w:rPr>
                <w:sz w:val="20"/>
                <w:szCs w:val="20"/>
              </w:rPr>
            </w:pPr>
            <w:r w:rsidRPr="00C563AB">
              <w:rPr>
                <w:sz w:val="20"/>
                <w:szCs w:val="20"/>
              </w:rPr>
              <w:t>0</w:t>
            </w:r>
          </w:p>
        </w:tc>
        <w:tc>
          <w:tcPr>
            <w:tcW w:w="671" w:type="dxa"/>
            <w:shd w:val="clear" w:color="auto" w:fill="auto"/>
            <w:vAlign w:val="center"/>
          </w:tcPr>
          <w:p w14:paraId="253E1022" w14:textId="77777777" w:rsidR="00C563AB" w:rsidRPr="00C563AB" w:rsidRDefault="00C563AB" w:rsidP="00C563AB">
            <w:pPr>
              <w:keepNext/>
              <w:widowControl w:val="0"/>
              <w:jc w:val="center"/>
              <w:rPr>
                <w:sz w:val="20"/>
                <w:szCs w:val="20"/>
              </w:rPr>
            </w:pPr>
            <w:r w:rsidRPr="00C563AB">
              <w:rPr>
                <w:sz w:val="20"/>
                <w:szCs w:val="20"/>
              </w:rPr>
              <w:t>0</w:t>
            </w:r>
          </w:p>
        </w:tc>
        <w:tc>
          <w:tcPr>
            <w:tcW w:w="949" w:type="dxa"/>
            <w:shd w:val="clear" w:color="auto" w:fill="auto"/>
            <w:vAlign w:val="center"/>
          </w:tcPr>
          <w:p w14:paraId="58FDAC4F" w14:textId="77777777" w:rsidR="00C563AB" w:rsidRPr="00C563AB" w:rsidRDefault="00C563AB" w:rsidP="00C563AB">
            <w:pPr>
              <w:keepNext/>
              <w:widowControl w:val="0"/>
              <w:jc w:val="center"/>
              <w:rPr>
                <w:sz w:val="20"/>
                <w:szCs w:val="20"/>
              </w:rPr>
            </w:pPr>
            <w:r w:rsidRPr="00C563AB">
              <w:rPr>
                <w:sz w:val="20"/>
                <w:szCs w:val="20"/>
              </w:rPr>
              <w:t>0</w:t>
            </w:r>
          </w:p>
        </w:tc>
        <w:tc>
          <w:tcPr>
            <w:tcW w:w="659" w:type="dxa"/>
            <w:shd w:val="clear" w:color="auto" w:fill="auto"/>
            <w:vAlign w:val="center"/>
          </w:tcPr>
          <w:p w14:paraId="16C8493D" w14:textId="77777777" w:rsidR="00C563AB" w:rsidRPr="00C563AB" w:rsidRDefault="00C563AB" w:rsidP="00C563AB">
            <w:pPr>
              <w:keepNext/>
              <w:widowControl w:val="0"/>
              <w:jc w:val="center"/>
              <w:rPr>
                <w:b/>
                <w:sz w:val="20"/>
                <w:szCs w:val="20"/>
              </w:rPr>
            </w:pPr>
            <w:r w:rsidRPr="00C563AB">
              <w:rPr>
                <w:b/>
                <w:sz w:val="20"/>
                <w:szCs w:val="20"/>
              </w:rPr>
              <w:t>0</w:t>
            </w:r>
          </w:p>
        </w:tc>
        <w:tc>
          <w:tcPr>
            <w:tcW w:w="900" w:type="dxa"/>
            <w:shd w:val="clear" w:color="auto" w:fill="auto"/>
            <w:vAlign w:val="center"/>
          </w:tcPr>
          <w:p w14:paraId="1CAE6A46" w14:textId="77777777" w:rsidR="00C563AB" w:rsidRPr="00C563AB" w:rsidRDefault="00C563AB" w:rsidP="00C563AB">
            <w:pPr>
              <w:keepNext/>
              <w:widowControl w:val="0"/>
              <w:jc w:val="center"/>
              <w:rPr>
                <w:b/>
                <w:sz w:val="20"/>
                <w:szCs w:val="20"/>
              </w:rPr>
            </w:pPr>
            <w:r w:rsidRPr="00C563AB">
              <w:rPr>
                <w:b/>
                <w:sz w:val="20"/>
                <w:szCs w:val="20"/>
              </w:rPr>
              <w:t xml:space="preserve">0                                                                                                                                                                                                                                                                                                                                                                                </w:t>
            </w:r>
          </w:p>
        </w:tc>
      </w:tr>
      <w:tr w:rsidR="00C563AB" w:rsidRPr="00C563AB" w14:paraId="424A7D94" w14:textId="77777777" w:rsidTr="007613E5">
        <w:trPr>
          <w:trHeight w:val="288"/>
          <w:jc w:val="center"/>
        </w:trPr>
        <w:tc>
          <w:tcPr>
            <w:tcW w:w="1987" w:type="dxa"/>
            <w:shd w:val="clear" w:color="auto" w:fill="auto"/>
            <w:vAlign w:val="center"/>
          </w:tcPr>
          <w:p w14:paraId="47CBE7F4" w14:textId="77777777" w:rsidR="00C563AB" w:rsidRPr="00C563AB" w:rsidRDefault="00C563AB" w:rsidP="00C563AB">
            <w:pPr>
              <w:keepNext/>
              <w:widowControl w:val="0"/>
              <w:rPr>
                <w:b/>
                <w:sz w:val="20"/>
                <w:szCs w:val="20"/>
              </w:rPr>
            </w:pPr>
            <w:r w:rsidRPr="00C563AB">
              <w:rPr>
                <w:b/>
                <w:sz w:val="20"/>
                <w:szCs w:val="20"/>
              </w:rPr>
              <w:t>Subtotal</w:t>
            </w:r>
          </w:p>
        </w:tc>
        <w:tc>
          <w:tcPr>
            <w:tcW w:w="700" w:type="dxa"/>
            <w:shd w:val="clear" w:color="auto" w:fill="auto"/>
            <w:vAlign w:val="center"/>
          </w:tcPr>
          <w:p w14:paraId="748E67AF" w14:textId="77777777" w:rsidR="00C563AB" w:rsidRPr="00C563AB" w:rsidRDefault="00C563AB" w:rsidP="00C563AB">
            <w:pPr>
              <w:keepNext/>
              <w:widowControl w:val="0"/>
              <w:jc w:val="center"/>
              <w:rPr>
                <w:b/>
                <w:sz w:val="20"/>
                <w:szCs w:val="20"/>
              </w:rPr>
            </w:pPr>
            <w:r w:rsidRPr="00C563AB">
              <w:rPr>
                <w:b/>
                <w:sz w:val="20"/>
                <w:szCs w:val="20"/>
              </w:rPr>
              <w:t>8</w:t>
            </w:r>
          </w:p>
        </w:tc>
        <w:tc>
          <w:tcPr>
            <w:tcW w:w="894" w:type="dxa"/>
            <w:shd w:val="clear" w:color="auto" w:fill="auto"/>
            <w:vAlign w:val="center"/>
          </w:tcPr>
          <w:p w14:paraId="162CA1EF" w14:textId="77777777" w:rsidR="00C563AB" w:rsidRPr="00C563AB" w:rsidRDefault="00C563AB" w:rsidP="00C563AB">
            <w:pPr>
              <w:keepNext/>
              <w:widowControl w:val="0"/>
              <w:jc w:val="center"/>
              <w:rPr>
                <w:b/>
                <w:sz w:val="20"/>
                <w:szCs w:val="20"/>
              </w:rPr>
            </w:pPr>
            <w:r w:rsidRPr="00C563AB">
              <w:rPr>
                <w:b/>
                <w:sz w:val="20"/>
                <w:szCs w:val="20"/>
              </w:rPr>
              <w:t>3,360</w:t>
            </w:r>
          </w:p>
        </w:tc>
        <w:tc>
          <w:tcPr>
            <w:tcW w:w="616" w:type="dxa"/>
            <w:shd w:val="clear" w:color="auto" w:fill="auto"/>
            <w:vAlign w:val="center"/>
          </w:tcPr>
          <w:p w14:paraId="494CFCF4" w14:textId="77777777" w:rsidR="00C563AB" w:rsidRPr="00C563AB" w:rsidRDefault="00C563AB" w:rsidP="00C563AB">
            <w:pPr>
              <w:keepNext/>
              <w:widowControl w:val="0"/>
              <w:jc w:val="center"/>
              <w:rPr>
                <w:b/>
                <w:sz w:val="20"/>
                <w:szCs w:val="20"/>
              </w:rPr>
            </w:pPr>
            <w:r w:rsidRPr="00C563AB">
              <w:rPr>
                <w:b/>
                <w:sz w:val="20"/>
                <w:szCs w:val="20"/>
              </w:rPr>
              <w:t>0</w:t>
            </w:r>
          </w:p>
        </w:tc>
        <w:tc>
          <w:tcPr>
            <w:tcW w:w="914" w:type="dxa"/>
            <w:shd w:val="clear" w:color="auto" w:fill="auto"/>
            <w:vAlign w:val="center"/>
          </w:tcPr>
          <w:p w14:paraId="29910026" w14:textId="77777777" w:rsidR="00C563AB" w:rsidRPr="00C563AB" w:rsidRDefault="00C563AB" w:rsidP="00C563AB">
            <w:pPr>
              <w:keepNext/>
              <w:widowControl w:val="0"/>
              <w:jc w:val="center"/>
              <w:rPr>
                <w:b/>
                <w:sz w:val="20"/>
                <w:szCs w:val="20"/>
              </w:rPr>
            </w:pPr>
            <w:r w:rsidRPr="00C563AB">
              <w:rPr>
                <w:b/>
                <w:sz w:val="20"/>
                <w:szCs w:val="20"/>
              </w:rPr>
              <w:t>0</w:t>
            </w:r>
          </w:p>
        </w:tc>
        <w:tc>
          <w:tcPr>
            <w:tcW w:w="616" w:type="dxa"/>
            <w:shd w:val="clear" w:color="auto" w:fill="auto"/>
            <w:vAlign w:val="center"/>
          </w:tcPr>
          <w:p w14:paraId="3ABF6DAC" w14:textId="77777777" w:rsidR="00C563AB" w:rsidRPr="00C563AB" w:rsidRDefault="00C563AB" w:rsidP="00C563AB">
            <w:pPr>
              <w:keepNext/>
              <w:widowControl w:val="0"/>
              <w:jc w:val="center"/>
              <w:rPr>
                <w:b/>
                <w:sz w:val="20"/>
                <w:szCs w:val="20"/>
              </w:rPr>
            </w:pPr>
            <w:r w:rsidRPr="00C563AB">
              <w:rPr>
                <w:b/>
                <w:sz w:val="20"/>
                <w:szCs w:val="20"/>
              </w:rPr>
              <w:t>1</w:t>
            </w:r>
          </w:p>
        </w:tc>
        <w:tc>
          <w:tcPr>
            <w:tcW w:w="914" w:type="dxa"/>
            <w:shd w:val="clear" w:color="auto" w:fill="auto"/>
            <w:vAlign w:val="center"/>
          </w:tcPr>
          <w:p w14:paraId="5CDF3E58" w14:textId="77777777" w:rsidR="00C563AB" w:rsidRPr="00C563AB" w:rsidRDefault="00C563AB" w:rsidP="00C563AB">
            <w:pPr>
              <w:keepNext/>
              <w:widowControl w:val="0"/>
              <w:jc w:val="center"/>
              <w:rPr>
                <w:b/>
                <w:sz w:val="20"/>
                <w:szCs w:val="20"/>
              </w:rPr>
            </w:pPr>
            <w:r w:rsidRPr="00C563AB">
              <w:rPr>
                <w:b/>
                <w:sz w:val="20"/>
                <w:szCs w:val="20"/>
              </w:rPr>
              <w:t>335</w:t>
            </w:r>
          </w:p>
        </w:tc>
        <w:tc>
          <w:tcPr>
            <w:tcW w:w="671" w:type="dxa"/>
            <w:shd w:val="clear" w:color="auto" w:fill="auto"/>
            <w:vAlign w:val="center"/>
          </w:tcPr>
          <w:p w14:paraId="7B678E28" w14:textId="77777777" w:rsidR="00C563AB" w:rsidRPr="00C563AB" w:rsidRDefault="00C563AB" w:rsidP="00C563AB">
            <w:pPr>
              <w:keepNext/>
              <w:widowControl w:val="0"/>
              <w:jc w:val="center"/>
              <w:rPr>
                <w:b/>
                <w:sz w:val="20"/>
                <w:szCs w:val="20"/>
              </w:rPr>
            </w:pPr>
            <w:r w:rsidRPr="00C563AB">
              <w:rPr>
                <w:b/>
                <w:sz w:val="20"/>
                <w:szCs w:val="20"/>
              </w:rPr>
              <w:t>4</w:t>
            </w:r>
          </w:p>
        </w:tc>
        <w:tc>
          <w:tcPr>
            <w:tcW w:w="949" w:type="dxa"/>
            <w:shd w:val="clear" w:color="auto" w:fill="auto"/>
            <w:vAlign w:val="center"/>
          </w:tcPr>
          <w:p w14:paraId="4EC58CB7" w14:textId="77777777" w:rsidR="00C563AB" w:rsidRPr="00C563AB" w:rsidRDefault="00C563AB" w:rsidP="00C563AB">
            <w:pPr>
              <w:keepNext/>
              <w:widowControl w:val="0"/>
              <w:jc w:val="center"/>
              <w:rPr>
                <w:b/>
                <w:sz w:val="20"/>
                <w:szCs w:val="20"/>
              </w:rPr>
            </w:pPr>
            <w:r w:rsidRPr="00C563AB">
              <w:rPr>
                <w:b/>
                <w:sz w:val="20"/>
                <w:szCs w:val="20"/>
              </w:rPr>
              <w:t>4,259</w:t>
            </w:r>
          </w:p>
        </w:tc>
        <w:tc>
          <w:tcPr>
            <w:tcW w:w="659" w:type="dxa"/>
            <w:shd w:val="clear" w:color="auto" w:fill="auto"/>
            <w:vAlign w:val="center"/>
          </w:tcPr>
          <w:p w14:paraId="0BB42FCF" w14:textId="77777777" w:rsidR="00C563AB" w:rsidRPr="00C563AB" w:rsidRDefault="00C563AB" w:rsidP="00C563AB">
            <w:pPr>
              <w:keepNext/>
              <w:widowControl w:val="0"/>
              <w:jc w:val="center"/>
              <w:rPr>
                <w:b/>
                <w:sz w:val="20"/>
                <w:szCs w:val="20"/>
              </w:rPr>
            </w:pPr>
            <w:r w:rsidRPr="00C563AB">
              <w:rPr>
                <w:b/>
                <w:sz w:val="20"/>
                <w:szCs w:val="20"/>
              </w:rPr>
              <w:t>13</w:t>
            </w:r>
          </w:p>
        </w:tc>
        <w:tc>
          <w:tcPr>
            <w:tcW w:w="900" w:type="dxa"/>
            <w:shd w:val="clear" w:color="auto" w:fill="auto"/>
            <w:vAlign w:val="center"/>
          </w:tcPr>
          <w:p w14:paraId="1A9ADE2F" w14:textId="77777777" w:rsidR="00C563AB" w:rsidRPr="00C563AB" w:rsidRDefault="00C563AB" w:rsidP="00C563AB">
            <w:pPr>
              <w:keepNext/>
              <w:widowControl w:val="0"/>
              <w:jc w:val="center"/>
              <w:rPr>
                <w:b/>
                <w:sz w:val="20"/>
                <w:szCs w:val="20"/>
              </w:rPr>
            </w:pPr>
            <w:r w:rsidRPr="00C563AB">
              <w:rPr>
                <w:b/>
                <w:sz w:val="20"/>
                <w:szCs w:val="20"/>
              </w:rPr>
              <w:t>7,954</w:t>
            </w:r>
          </w:p>
        </w:tc>
      </w:tr>
      <w:tr w:rsidR="00C563AB" w:rsidRPr="00C563AB" w14:paraId="240999BD" w14:textId="77777777" w:rsidTr="007613E5">
        <w:trPr>
          <w:trHeight w:val="288"/>
          <w:jc w:val="center"/>
        </w:trPr>
        <w:tc>
          <w:tcPr>
            <w:tcW w:w="1987" w:type="dxa"/>
            <w:shd w:val="clear" w:color="auto" w:fill="auto"/>
            <w:vAlign w:val="center"/>
          </w:tcPr>
          <w:p w14:paraId="3EC05BB3" w14:textId="77777777" w:rsidR="00C563AB" w:rsidRPr="00C563AB" w:rsidRDefault="00C563AB" w:rsidP="00C563AB">
            <w:pPr>
              <w:keepNext/>
              <w:widowControl w:val="0"/>
              <w:rPr>
                <w:sz w:val="20"/>
                <w:szCs w:val="20"/>
              </w:rPr>
            </w:pPr>
            <w:r w:rsidRPr="00C563AB">
              <w:rPr>
                <w:sz w:val="20"/>
                <w:szCs w:val="20"/>
              </w:rPr>
              <w:t>Qualified Grants &amp; Donations</w:t>
            </w:r>
          </w:p>
        </w:tc>
        <w:tc>
          <w:tcPr>
            <w:tcW w:w="700" w:type="dxa"/>
            <w:shd w:val="clear" w:color="auto" w:fill="auto"/>
            <w:vAlign w:val="center"/>
          </w:tcPr>
          <w:p w14:paraId="748AC00F" w14:textId="77777777" w:rsidR="00C563AB" w:rsidRPr="00C563AB" w:rsidRDefault="00C563AB" w:rsidP="00C563AB">
            <w:pPr>
              <w:keepNext/>
              <w:widowControl w:val="0"/>
              <w:jc w:val="center"/>
              <w:rPr>
                <w:sz w:val="20"/>
                <w:szCs w:val="20"/>
              </w:rPr>
            </w:pPr>
            <w:r w:rsidRPr="00C563AB">
              <w:rPr>
                <w:sz w:val="20"/>
                <w:szCs w:val="20"/>
              </w:rPr>
              <w:t>22</w:t>
            </w:r>
          </w:p>
        </w:tc>
        <w:tc>
          <w:tcPr>
            <w:tcW w:w="894" w:type="dxa"/>
            <w:shd w:val="clear" w:color="auto" w:fill="auto"/>
            <w:vAlign w:val="center"/>
          </w:tcPr>
          <w:p w14:paraId="09F6FE15" w14:textId="77777777" w:rsidR="00C563AB" w:rsidRPr="00C563AB" w:rsidRDefault="00C563AB" w:rsidP="00C563AB">
            <w:pPr>
              <w:keepNext/>
              <w:widowControl w:val="0"/>
              <w:jc w:val="center"/>
              <w:rPr>
                <w:sz w:val="20"/>
                <w:szCs w:val="20"/>
              </w:rPr>
            </w:pPr>
            <w:r w:rsidRPr="00C563AB">
              <w:rPr>
                <w:sz w:val="20"/>
                <w:szCs w:val="20"/>
              </w:rPr>
              <w:t>198</w:t>
            </w:r>
          </w:p>
        </w:tc>
        <w:tc>
          <w:tcPr>
            <w:tcW w:w="616" w:type="dxa"/>
            <w:shd w:val="clear" w:color="auto" w:fill="auto"/>
            <w:vAlign w:val="center"/>
          </w:tcPr>
          <w:p w14:paraId="637E1E34" w14:textId="77777777" w:rsidR="00C563AB" w:rsidRPr="00C563AB" w:rsidRDefault="00C563AB" w:rsidP="00C563AB">
            <w:pPr>
              <w:keepNext/>
              <w:widowControl w:val="0"/>
              <w:jc w:val="center"/>
              <w:rPr>
                <w:sz w:val="20"/>
                <w:szCs w:val="20"/>
              </w:rPr>
            </w:pPr>
            <w:r w:rsidRPr="00C563AB">
              <w:rPr>
                <w:sz w:val="20"/>
                <w:szCs w:val="20"/>
              </w:rPr>
              <w:t>93</w:t>
            </w:r>
          </w:p>
        </w:tc>
        <w:tc>
          <w:tcPr>
            <w:tcW w:w="914" w:type="dxa"/>
            <w:shd w:val="clear" w:color="auto" w:fill="auto"/>
            <w:vAlign w:val="center"/>
          </w:tcPr>
          <w:p w14:paraId="7859A207" w14:textId="77777777" w:rsidR="00C563AB" w:rsidRPr="00C563AB" w:rsidRDefault="00C563AB" w:rsidP="00C563AB">
            <w:pPr>
              <w:keepNext/>
              <w:widowControl w:val="0"/>
              <w:jc w:val="center"/>
              <w:rPr>
                <w:sz w:val="20"/>
                <w:szCs w:val="20"/>
              </w:rPr>
            </w:pPr>
            <w:r w:rsidRPr="00C563AB">
              <w:rPr>
                <w:sz w:val="20"/>
                <w:szCs w:val="20"/>
              </w:rPr>
              <w:t>504</w:t>
            </w:r>
          </w:p>
        </w:tc>
        <w:tc>
          <w:tcPr>
            <w:tcW w:w="616" w:type="dxa"/>
            <w:shd w:val="clear" w:color="auto" w:fill="auto"/>
            <w:vAlign w:val="center"/>
          </w:tcPr>
          <w:p w14:paraId="21A9F163" w14:textId="77777777" w:rsidR="00C563AB" w:rsidRPr="00C563AB" w:rsidRDefault="00C563AB" w:rsidP="00C563AB">
            <w:pPr>
              <w:keepNext/>
              <w:widowControl w:val="0"/>
              <w:jc w:val="center"/>
              <w:rPr>
                <w:sz w:val="20"/>
                <w:szCs w:val="20"/>
              </w:rPr>
            </w:pPr>
            <w:r w:rsidRPr="00C563AB">
              <w:rPr>
                <w:sz w:val="20"/>
                <w:szCs w:val="20"/>
              </w:rPr>
              <w:t>1</w:t>
            </w:r>
          </w:p>
        </w:tc>
        <w:tc>
          <w:tcPr>
            <w:tcW w:w="914" w:type="dxa"/>
            <w:shd w:val="clear" w:color="auto" w:fill="auto"/>
            <w:vAlign w:val="center"/>
          </w:tcPr>
          <w:p w14:paraId="0F9E2CC6" w14:textId="77777777" w:rsidR="00C563AB" w:rsidRPr="00C563AB" w:rsidRDefault="00C563AB" w:rsidP="00C563AB">
            <w:pPr>
              <w:keepNext/>
              <w:widowControl w:val="0"/>
              <w:jc w:val="center"/>
              <w:rPr>
                <w:sz w:val="20"/>
                <w:szCs w:val="20"/>
              </w:rPr>
            </w:pPr>
            <w:r w:rsidRPr="00C563AB">
              <w:rPr>
                <w:sz w:val="20"/>
                <w:szCs w:val="20"/>
              </w:rPr>
              <w:t>10</w:t>
            </w:r>
          </w:p>
        </w:tc>
        <w:tc>
          <w:tcPr>
            <w:tcW w:w="671" w:type="dxa"/>
            <w:shd w:val="clear" w:color="auto" w:fill="auto"/>
            <w:vAlign w:val="center"/>
          </w:tcPr>
          <w:p w14:paraId="4228582F" w14:textId="77777777" w:rsidR="00C563AB" w:rsidRPr="00C563AB" w:rsidRDefault="00C563AB" w:rsidP="00C563AB">
            <w:pPr>
              <w:keepNext/>
              <w:widowControl w:val="0"/>
              <w:jc w:val="center"/>
              <w:rPr>
                <w:sz w:val="20"/>
                <w:szCs w:val="20"/>
              </w:rPr>
            </w:pPr>
            <w:r w:rsidRPr="00C563AB">
              <w:rPr>
                <w:sz w:val="20"/>
                <w:szCs w:val="20"/>
              </w:rPr>
              <w:t>0</w:t>
            </w:r>
          </w:p>
        </w:tc>
        <w:tc>
          <w:tcPr>
            <w:tcW w:w="949" w:type="dxa"/>
            <w:shd w:val="clear" w:color="auto" w:fill="auto"/>
            <w:vAlign w:val="center"/>
          </w:tcPr>
          <w:p w14:paraId="20CBDC04" w14:textId="77777777" w:rsidR="00C563AB" w:rsidRPr="00C563AB" w:rsidRDefault="00C563AB" w:rsidP="00C563AB">
            <w:pPr>
              <w:keepNext/>
              <w:widowControl w:val="0"/>
              <w:jc w:val="center"/>
              <w:rPr>
                <w:sz w:val="20"/>
                <w:szCs w:val="20"/>
              </w:rPr>
            </w:pPr>
            <w:r w:rsidRPr="00C563AB">
              <w:rPr>
                <w:sz w:val="20"/>
                <w:szCs w:val="20"/>
              </w:rPr>
              <w:t>0</w:t>
            </w:r>
          </w:p>
        </w:tc>
        <w:tc>
          <w:tcPr>
            <w:tcW w:w="659" w:type="dxa"/>
            <w:shd w:val="clear" w:color="auto" w:fill="auto"/>
            <w:vAlign w:val="center"/>
          </w:tcPr>
          <w:p w14:paraId="47C4503B" w14:textId="77777777" w:rsidR="00C563AB" w:rsidRPr="00C563AB" w:rsidRDefault="00C563AB" w:rsidP="00C563AB">
            <w:pPr>
              <w:keepNext/>
              <w:widowControl w:val="0"/>
              <w:jc w:val="center"/>
              <w:rPr>
                <w:b/>
                <w:sz w:val="20"/>
                <w:szCs w:val="20"/>
              </w:rPr>
            </w:pPr>
            <w:r w:rsidRPr="00C563AB">
              <w:rPr>
                <w:b/>
                <w:sz w:val="20"/>
                <w:szCs w:val="20"/>
              </w:rPr>
              <w:t>116</w:t>
            </w:r>
          </w:p>
        </w:tc>
        <w:tc>
          <w:tcPr>
            <w:tcW w:w="900" w:type="dxa"/>
            <w:shd w:val="clear" w:color="auto" w:fill="auto"/>
            <w:vAlign w:val="center"/>
          </w:tcPr>
          <w:p w14:paraId="5146CBE9" w14:textId="77777777" w:rsidR="00C563AB" w:rsidRPr="00C563AB" w:rsidRDefault="00C563AB" w:rsidP="00C563AB">
            <w:pPr>
              <w:keepNext/>
              <w:widowControl w:val="0"/>
              <w:jc w:val="center"/>
              <w:rPr>
                <w:b/>
                <w:sz w:val="20"/>
                <w:szCs w:val="20"/>
              </w:rPr>
            </w:pPr>
            <w:r w:rsidRPr="00C563AB">
              <w:rPr>
                <w:b/>
                <w:sz w:val="20"/>
                <w:szCs w:val="20"/>
              </w:rPr>
              <w:t>712</w:t>
            </w:r>
          </w:p>
        </w:tc>
      </w:tr>
      <w:tr w:rsidR="00C563AB" w:rsidRPr="00C563AB" w14:paraId="504D17B4" w14:textId="77777777" w:rsidTr="007613E5">
        <w:trPr>
          <w:trHeight w:val="288"/>
          <w:jc w:val="center"/>
        </w:trPr>
        <w:tc>
          <w:tcPr>
            <w:tcW w:w="1987" w:type="dxa"/>
            <w:shd w:val="clear" w:color="auto" w:fill="auto"/>
            <w:vAlign w:val="center"/>
          </w:tcPr>
          <w:p w14:paraId="1F5BB750" w14:textId="77777777" w:rsidR="00C563AB" w:rsidRPr="00C563AB" w:rsidRDefault="00C563AB" w:rsidP="00C563AB">
            <w:pPr>
              <w:keepNext/>
              <w:widowControl w:val="0"/>
              <w:rPr>
                <w:b/>
                <w:sz w:val="20"/>
                <w:szCs w:val="20"/>
                <w:highlight w:val="green"/>
              </w:rPr>
            </w:pPr>
            <w:r w:rsidRPr="00C563AB">
              <w:rPr>
                <w:b/>
                <w:sz w:val="20"/>
                <w:szCs w:val="20"/>
              </w:rPr>
              <w:t>Total</w:t>
            </w:r>
          </w:p>
        </w:tc>
        <w:tc>
          <w:tcPr>
            <w:tcW w:w="700" w:type="dxa"/>
            <w:shd w:val="clear" w:color="auto" w:fill="auto"/>
            <w:vAlign w:val="center"/>
          </w:tcPr>
          <w:p w14:paraId="1C942EC3" w14:textId="77777777" w:rsidR="00C563AB" w:rsidRPr="00C563AB" w:rsidRDefault="00C563AB" w:rsidP="00C563AB">
            <w:pPr>
              <w:keepNext/>
              <w:widowControl w:val="0"/>
              <w:jc w:val="center"/>
              <w:rPr>
                <w:b/>
                <w:sz w:val="20"/>
                <w:szCs w:val="20"/>
              </w:rPr>
            </w:pPr>
            <w:r w:rsidRPr="00C563AB">
              <w:rPr>
                <w:b/>
                <w:sz w:val="20"/>
                <w:szCs w:val="20"/>
              </w:rPr>
              <w:t>30</w:t>
            </w:r>
          </w:p>
        </w:tc>
        <w:tc>
          <w:tcPr>
            <w:tcW w:w="894" w:type="dxa"/>
            <w:shd w:val="clear" w:color="auto" w:fill="auto"/>
            <w:vAlign w:val="center"/>
          </w:tcPr>
          <w:p w14:paraId="7BD2B93E" w14:textId="77777777" w:rsidR="00C563AB" w:rsidRPr="00C563AB" w:rsidRDefault="00C563AB" w:rsidP="00C563AB">
            <w:pPr>
              <w:keepNext/>
              <w:widowControl w:val="0"/>
              <w:jc w:val="center"/>
              <w:rPr>
                <w:b/>
                <w:sz w:val="20"/>
                <w:szCs w:val="20"/>
              </w:rPr>
            </w:pPr>
            <w:r w:rsidRPr="00C563AB">
              <w:rPr>
                <w:b/>
                <w:sz w:val="20"/>
                <w:szCs w:val="20"/>
              </w:rPr>
              <w:t>3,558</w:t>
            </w:r>
          </w:p>
        </w:tc>
        <w:tc>
          <w:tcPr>
            <w:tcW w:w="616" w:type="dxa"/>
            <w:shd w:val="clear" w:color="auto" w:fill="auto"/>
            <w:vAlign w:val="center"/>
          </w:tcPr>
          <w:p w14:paraId="5E196786" w14:textId="77777777" w:rsidR="00C563AB" w:rsidRPr="00C563AB" w:rsidRDefault="00C563AB" w:rsidP="00C563AB">
            <w:pPr>
              <w:keepNext/>
              <w:widowControl w:val="0"/>
              <w:jc w:val="center"/>
              <w:rPr>
                <w:b/>
                <w:sz w:val="20"/>
                <w:szCs w:val="20"/>
              </w:rPr>
            </w:pPr>
            <w:r w:rsidRPr="00C563AB">
              <w:rPr>
                <w:b/>
                <w:sz w:val="20"/>
                <w:szCs w:val="20"/>
              </w:rPr>
              <w:t>93</w:t>
            </w:r>
          </w:p>
        </w:tc>
        <w:tc>
          <w:tcPr>
            <w:tcW w:w="914" w:type="dxa"/>
            <w:shd w:val="clear" w:color="auto" w:fill="auto"/>
            <w:vAlign w:val="center"/>
          </w:tcPr>
          <w:p w14:paraId="0FA55E05" w14:textId="77777777" w:rsidR="00C563AB" w:rsidRPr="00C563AB" w:rsidRDefault="00C563AB" w:rsidP="00C563AB">
            <w:pPr>
              <w:keepNext/>
              <w:widowControl w:val="0"/>
              <w:jc w:val="center"/>
              <w:rPr>
                <w:b/>
                <w:sz w:val="20"/>
                <w:szCs w:val="20"/>
              </w:rPr>
            </w:pPr>
            <w:r w:rsidRPr="00C563AB">
              <w:rPr>
                <w:b/>
                <w:sz w:val="20"/>
                <w:szCs w:val="20"/>
              </w:rPr>
              <w:t>504</w:t>
            </w:r>
          </w:p>
        </w:tc>
        <w:tc>
          <w:tcPr>
            <w:tcW w:w="616" w:type="dxa"/>
            <w:shd w:val="clear" w:color="auto" w:fill="auto"/>
            <w:vAlign w:val="center"/>
          </w:tcPr>
          <w:p w14:paraId="56148D3A" w14:textId="77777777" w:rsidR="00C563AB" w:rsidRPr="00C563AB" w:rsidRDefault="00C563AB" w:rsidP="00C563AB">
            <w:pPr>
              <w:keepNext/>
              <w:widowControl w:val="0"/>
              <w:jc w:val="center"/>
              <w:rPr>
                <w:b/>
                <w:sz w:val="20"/>
                <w:szCs w:val="20"/>
              </w:rPr>
            </w:pPr>
            <w:r w:rsidRPr="00C563AB">
              <w:rPr>
                <w:b/>
                <w:sz w:val="20"/>
                <w:szCs w:val="20"/>
              </w:rPr>
              <w:t>2</w:t>
            </w:r>
          </w:p>
        </w:tc>
        <w:tc>
          <w:tcPr>
            <w:tcW w:w="914" w:type="dxa"/>
            <w:shd w:val="clear" w:color="auto" w:fill="auto"/>
            <w:vAlign w:val="center"/>
          </w:tcPr>
          <w:p w14:paraId="6D7AD8BD" w14:textId="77777777" w:rsidR="00C563AB" w:rsidRPr="00C563AB" w:rsidRDefault="00C563AB" w:rsidP="00C563AB">
            <w:pPr>
              <w:keepNext/>
              <w:widowControl w:val="0"/>
              <w:jc w:val="center"/>
              <w:rPr>
                <w:b/>
                <w:sz w:val="20"/>
                <w:szCs w:val="20"/>
              </w:rPr>
            </w:pPr>
            <w:r w:rsidRPr="00C563AB">
              <w:rPr>
                <w:b/>
                <w:sz w:val="20"/>
                <w:szCs w:val="20"/>
              </w:rPr>
              <w:t>345</w:t>
            </w:r>
          </w:p>
        </w:tc>
        <w:tc>
          <w:tcPr>
            <w:tcW w:w="671" w:type="dxa"/>
            <w:shd w:val="clear" w:color="auto" w:fill="auto"/>
            <w:vAlign w:val="center"/>
          </w:tcPr>
          <w:p w14:paraId="1CD9AF5E" w14:textId="77777777" w:rsidR="00C563AB" w:rsidRPr="00C563AB" w:rsidRDefault="00C563AB" w:rsidP="00C563AB">
            <w:pPr>
              <w:keepNext/>
              <w:widowControl w:val="0"/>
              <w:jc w:val="center"/>
              <w:rPr>
                <w:b/>
                <w:sz w:val="20"/>
                <w:szCs w:val="20"/>
              </w:rPr>
            </w:pPr>
            <w:r w:rsidRPr="00C563AB">
              <w:rPr>
                <w:b/>
                <w:sz w:val="20"/>
                <w:szCs w:val="20"/>
              </w:rPr>
              <w:t>4</w:t>
            </w:r>
          </w:p>
        </w:tc>
        <w:tc>
          <w:tcPr>
            <w:tcW w:w="949" w:type="dxa"/>
            <w:shd w:val="clear" w:color="auto" w:fill="auto"/>
            <w:vAlign w:val="center"/>
          </w:tcPr>
          <w:p w14:paraId="6629616B" w14:textId="77777777" w:rsidR="00C563AB" w:rsidRPr="00C563AB" w:rsidRDefault="00C563AB" w:rsidP="00C563AB">
            <w:pPr>
              <w:keepNext/>
              <w:widowControl w:val="0"/>
              <w:jc w:val="center"/>
              <w:rPr>
                <w:b/>
                <w:sz w:val="20"/>
                <w:szCs w:val="20"/>
              </w:rPr>
            </w:pPr>
            <w:r w:rsidRPr="00C563AB">
              <w:rPr>
                <w:b/>
                <w:sz w:val="20"/>
                <w:szCs w:val="20"/>
              </w:rPr>
              <w:t>4,259</w:t>
            </w:r>
          </w:p>
        </w:tc>
        <w:tc>
          <w:tcPr>
            <w:tcW w:w="659" w:type="dxa"/>
            <w:shd w:val="clear" w:color="auto" w:fill="auto"/>
            <w:vAlign w:val="center"/>
          </w:tcPr>
          <w:p w14:paraId="5C8B2F85" w14:textId="77777777" w:rsidR="00C563AB" w:rsidRPr="00C563AB" w:rsidRDefault="00C563AB" w:rsidP="00C563AB">
            <w:pPr>
              <w:keepNext/>
              <w:widowControl w:val="0"/>
              <w:jc w:val="center"/>
              <w:rPr>
                <w:b/>
                <w:sz w:val="20"/>
                <w:szCs w:val="20"/>
              </w:rPr>
            </w:pPr>
            <w:r w:rsidRPr="00C563AB">
              <w:rPr>
                <w:b/>
                <w:sz w:val="20"/>
                <w:szCs w:val="20"/>
              </w:rPr>
              <w:t>129</w:t>
            </w:r>
          </w:p>
        </w:tc>
        <w:tc>
          <w:tcPr>
            <w:tcW w:w="900" w:type="dxa"/>
            <w:shd w:val="clear" w:color="auto" w:fill="auto"/>
            <w:vAlign w:val="center"/>
          </w:tcPr>
          <w:p w14:paraId="62AADF80" w14:textId="77777777" w:rsidR="00C563AB" w:rsidRPr="00C563AB" w:rsidRDefault="00C563AB" w:rsidP="00C563AB">
            <w:pPr>
              <w:keepNext/>
              <w:widowControl w:val="0"/>
              <w:jc w:val="center"/>
              <w:rPr>
                <w:b/>
                <w:sz w:val="20"/>
                <w:szCs w:val="20"/>
              </w:rPr>
            </w:pPr>
            <w:r w:rsidRPr="00C563AB">
              <w:rPr>
                <w:b/>
                <w:sz w:val="20"/>
                <w:szCs w:val="20"/>
              </w:rPr>
              <w:t>8,666</w:t>
            </w:r>
          </w:p>
        </w:tc>
      </w:tr>
      <w:tr w:rsidR="00C563AB" w:rsidRPr="00C563AB" w14:paraId="7FFCEF23" w14:textId="77777777" w:rsidTr="007613E5">
        <w:trPr>
          <w:trHeight w:val="288"/>
          <w:jc w:val="center"/>
        </w:trPr>
        <w:tc>
          <w:tcPr>
            <w:tcW w:w="9820" w:type="dxa"/>
            <w:gridSpan w:val="11"/>
            <w:shd w:val="clear" w:color="auto" w:fill="auto"/>
            <w:vAlign w:val="center"/>
          </w:tcPr>
          <w:p w14:paraId="74E9BFFF" w14:textId="77777777" w:rsidR="00C563AB" w:rsidRDefault="00C563AB" w:rsidP="00C563AB">
            <w:pPr>
              <w:keepNext/>
              <w:widowControl w:val="0"/>
              <w:rPr>
                <w:i/>
                <w:sz w:val="16"/>
                <w:szCs w:val="16"/>
              </w:rPr>
            </w:pPr>
            <w:r w:rsidRPr="00C563AB">
              <w:rPr>
                <w:i/>
                <w:sz w:val="16"/>
                <w:szCs w:val="16"/>
              </w:rPr>
              <w:t>Source:  Bank Records</w:t>
            </w:r>
          </w:p>
          <w:p w14:paraId="389324F0" w14:textId="75519B35" w:rsidR="00B53F5D" w:rsidRPr="00A82F9F" w:rsidRDefault="00A82F9F" w:rsidP="00A82F9F">
            <w:pPr>
              <w:keepNext/>
              <w:rPr>
                <w:rFonts w:ascii="Courier" w:hAnsi="Courier" w:cs="Courier"/>
                <w:sz w:val="16"/>
                <w:szCs w:val="16"/>
              </w:rPr>
            </w:pPr>
            <w:r w:rsidRPr="00A82F9F">
              <w:rPr>
                <w:sz w:val="16"/>
                <w:szCs w:val="16"/>
              </w:rPr>
              <w:t>*</w:t>
            </w:r>
            <w:r w:rsidR="00B53F5D" w:rsidRPr="00A82F9F">
              <w:rPr>
                <w:i/>
                <w:sz w:val="16"/>
                <w:szCs w:val="16"/>
              </w:rPr>
              <w:t xml:space="preserve">Lending activity not available as bank compiles data annually at </w:t>
            </w:r>
            <w:r w:rsidR="00C21B34" w:rsidRPr="00A82F9F">
              <w:rPr>
                <w:i/>
                <w:sz w:val="16"/>
                <w:szCs w:val="16"/>
              </w:rPr>
              <w:t>year-end</w:t>
            </w:r>
            <w:r w:rsidR="00B53F5D" w:rsidRPr="00A82F9F">
              <w:rPr>
                <w:i/>
                <w:sz w:val="16"/>
                <w:szCs w:val="16"/>
              </w:rPr>
              <w:t>.</w:t>
            </w:r>
          </w:p>
        </w:tc>
      </w:tr>
    </w:tbl>
    <w:p w14:paraId="464BCEBF" w14:textId="77777777" w:rsidR="007613E5" w:rsidRDefault="007613E5" w:rsidP="00C563AB">
      <w:pPr>
        <w:rPr>
          <w:bCs/>
        </w:rPr>
      </w:pPr>
    </w:p>
    <w:p w14:paraId="32D561AF" w14:textId="52141AC0" w:rsidR="00C563AB" w:rsidRDefault="00C563AB" w:rsidP="00C563AB">
      <w:pPr>
        <w:rPr>
          <w:bCs/>
        </w:rPr>
      </w:pPr>
      <w:r w:rsidRPr="00C563AB">
        <w:rPr>
          <w:bCs/>
        </w:rPr>
        <w:t xml:space="preserve">The following summarizes the </w:t>
      </w:r>
      <w:r w:rsidR="00C21B34">
        <w:rPr>
          <w:bCs/>
        </w:rPr>
        <w:t xml:space="preserve">new </w:t>
      </w:r>
      <w:r w:rsidR="00C21B34" w:rsidRPr="00C563AB">
        <w:rPr>
          <w:bCs/>
        </w:rPr>
        <w:t>equity</w:t>
      </w:r>
      <w:r w:rsidRPr="00C563AB">
        <w:rPr>
          <w:bCs/>
        </w:rPr>
        <w:t xml:space="preserve"> investments</w:t>
      </w:r>
      <w:r w:rsidR="00B53F5D">
        <w:rPr>
          <w:bCs/>
        </w:rPr>
        <w:t>,</w:t>
      </w:r>
      <w:r w:rsidRPr="00C563AB">
        <w:rPr>
          <w:bCs/>
        </w:rPr>
        <w:t xml:space="preserve"> examples of prior period investments</w:t>
      </w:r>
      <w:r w:rsidR="00B53F5D">
        <w:rPr>
          <w:bCs/>
        </w:rPr>
        <w:t>,</w:t>
      </w:r>
      <w:r w:rsidRPr="00C563AB">
        <w:rPr>
          <w:bCs/>
        </w:rPr>
        <w:t xml:space="preserve"> and</w:t>
      </w:r>
      <w:r w:rsidR="00B53F5D">
        <w:rPr>
          <w:bCs/>
        </w:rPr>
        <w:t xml:space="preserve"> </w:t>
      </w:r>
      <w:r w:rsidRPr="00C563AB">
        <w:rPr>
          <w:bCs/>
        </w:rPr>
        <w:t>qualified grants and donations made by the bank and its charitable foundation:</w:t>
      </w:r>
    </w:p>
    <w:p w14:paraId="68532AD6" w14:textId="77777777" w:rsidR="00D87EA2" w:rsidRPr="00C563AB" w:rsidRDefault="00D87EA2" w:rsidP="00C563AB">
      <w:pPr>
        <w:rPr>
          <w:bCs/>
        </w:rPr>
      </w:pPr>
    </w:p>
    <w:p w14:paraId="24D04227" w14:textId="77777777" w:rsidR="00C563AB" w:rsidRPr="00C563AB" w:rsidRDefault="00C563AB" w:rsidP="00C563AB">
      <w:pPr>
        <w:rPr>
          <w:bCs/>
          <w:u w:val="single"/>
        </w:rPr>
      </w:pPr>
      <w:r w:rsidRPr="00C563AB">
        <w:rPr>
          <w:bCs/>
          <w:u w:val="single"/>
        </w:rPr>
        <w:t>Equity Investments</w:t>
      </w:r>
    </w:p>
    <w:p w14:paraId="64869381" w14:textId="77777777" w:rsidR="00C563AB" w:rsidRPr="00C563AB" w:rsidRDefault="00C563AB" w:rsidP="00C563AB">
      <w:pPr>
        <w:rPr>
          <w:bCs/>
          <w:u w:val="single"/>
        </w:rPr>
      </w:pPr>
    </w:p>
    <w:p w14:paraId="6E9347B0" w14:textId="520784B7" w:rsidR="00B4192C" w:rsidRDefault="00B4192C" w:rsidP="00B4192C">
      <w:pPr>
        <w:rPr>
          <w:bCs/>
          <w:i/>
        </w:rPr>
      </w:pPr>
      <w:r>
        <w:rPr>
          <w:bCs/>
          <w:i/>
        </w:rPr>
        <w:t>Current Period</w:t>
      </w:r>
    </w:p>
    <w:p w14:paraId="057B488F" w14:textId="77777777" w:rsidR="00B4192C" w:rsidRDefault="00B4192C" w:rsidP="00B4192C">
      <w:pPr>
        <w:rPr>
          <w:bCs/>
          <w:i/>
        </w:rPr>
      </w:pPr>
    </w:p>
    <w:p w14:paraId="1B94BADD" w14:textId="4EEB7EE8" w:rsidR="00B4192C" w:rsidRPr="00B4192C" w:rsidRDefault="00B4192C" w:rsidP="00B4192C">
      <w:pPr>
        <w:numPr>
          <w:ilvl w:val="0"/>
          <w:numId w:val="31"/>
        </w:numPr>
        <w:spacing w:after="160"/>
        <w:rPr>
          <w:bCs/>
          <w:i/>
        </w:rPr>
      </w:pPr>
      <w:r w:rsidRPr="003265E0">
        <w:rPr>
          <w:b/>
          <w:bCs/>
          <w:i/>
        </w:rPr>
        <w:t>The Edge Lowell</w:t>
      </w:r>
      <w:r w:rsidRPr="00C563AB">
        <w:rPr>
          <w:b/>
          <w:bCs/>
        </w:rPr>
        <w:t>:</w:t>
      </w:r>
      <w:r w:rsidRPr="00C563AB">
        <w:rPr>
          <w:bCs/>
          <w:i/>
        </w:rPr>
        <w:t xml:space="preserve">  </w:t>
      </w:r>
      <w:r w:rsidRPr="00C563AB">
        <w:rPr>
          <w:bCs/>
        </w:rPr>
        <w:t>In 2017,</w:t>
      </w:r>
      <w:r w:rsidRPr="00C563AB">
        <w:rPr>
          <w:bCs/>
          <w:i/>
        </w:rPr>
        <w:t xml:space="preserve"> </w:t>
      </w:r>
      <w:r w:rsidRPr="00C563AB">
        <w:rPr>
          <w:bCs/>
        </w:rPr>
        <w:t>the bank</w:t>
      </w:r>
      <w:r>
        <w:rPr>
          <w:bCs/>
        </w:rPr>
        <w:t xml:space="preserve"> invested</w:t>
      </w:r>
      <w:r w:rsidRPr="00C563AB">
        <w:rPr>
          <w:bCs/>
        </w:rPr>
        <w:t xml:space="preserve"> $1.7 million to rehabilitate and renovate a multi-unit residential property.  The </w:t>
      </w:r>
      <w:r>
        <w:rPr>
          <w:bCs/>
        </w:rPr>
        <w:t xml:space="preserve">investment </w:t>
      </w:r>
      <w:r w:rsidR="002736DE">
        <w:rPr>
          <w:bCs/>
        </w:rPr>
        <w:t>offers</w:t>
      </w:r>
      <w:r w:rsidRPr="00C563AB">
        <w:rPr>
          <w:bCs/>
        </w:rPr>
        <w:t xml:space="preserve"> a historic tax credit incentive to develop apartments </w:t>
      </w:r>
      <w:r>
        <w:rPr>
          <w:bCs/>
        </w:rPr>
        <w:t xml:space="preserve">to </w:t>
      </w:r>
      <w:r w:rsidRPr="00C563AB">
        <w:rPr>
          <w:bCs/>
        </w:rPr>
        <w:t>house</w:t>
      </w:r>
      <w:r>
        <w:rPr>
          <w:bCs/>
        </w:rPr>
        <w:t xml:space="preserve"> </w:t>
      </w:r>
      <w:r w:rsidRPr="00C563AB">
        <w:rPr>
          <w:bCs/>
        </w:rPr>
        <w:t xml:space="preserve">students and young professionals.  The property, known as The Edge, is in a low-income geography in Lowell.  The property </w:t>
      </w:r>
      <w:proofErr w:type="gramStart"/>
      <w:r w:rsidRPr="00C563AB">
        <w:rPr>
          <w:bCs/>
        </w:rPr>
        <w:t>was developed</w:t>
      </w:r>
      <w:proofErr w:type="gramEnd"/>
      <w:r w:rsidRPr="00C563AB">
        <w:rPr>
          <w:bCs/>
        </w:rPr>
        <w:t xml:space="preserve"> under </w:t>
      </w:r>
      <w:r>
        <w:rPr>
          <w:bCs/>
        </w:rPr>
        <w:lastRenderedPageBreak/>
        <w:t xml:space="preserve">the </w:t>
      </w:r>
      <w:r w:rsidRPr="00C563AB">
        <w:rPr>
          <w:bCs/>
        </w:rPr>
        <w:t xml:space="preserve">Massachusetts’ Housing Development </w:t>
      </w:r>
      <w:r>
        <w:rPr>
          <w:bCs/>
        </w:rPr>
        <w:t>Incentive Program (</w:t>
      </w:r>
      <w:r w:rsidR="003348B5">
        <w:rPr>
          <w:bCs/>
        </w:rPr>
        <w:t xml:space="preserve">HDIP - </w:t>
      </w:r>
      <w:r>
        <w:rPr>
          <w:bCs/>
        </w:rPr>
        <w:t xml:space="preserve">Chapter 40V).  The property </w:t>
      </w:r>
      <w:proofErr w:type="gramStart"/>
      <w:r>
        <w:rPr>
          <w:bCs/>
        </w:rPr>
        <w:t>was</w:t>
      </w:r>
      <w:r w:rsidRPr="00C563AB">
        <w:rPr>
          <w:bCs/>
        </w:rPr>
        <w:t xml:space="preserve"> designed</w:t>
      </w:r>
      <w:proofErr w:type="gramEnd"/>
      <w:r w:rsidRPr="00C563AB">
        <w:rPr>
          <w:bCs/>
        </w:rPr>
        <w:t xml:space="preserve"> to increase residential growth, expand diversity of housing stock, </w:t>
      </w:r>
      <w:r w:rsidRPr="00073352">
        <w:rPr>
          <w:bCs/>
        </w:rPr>
        <w:t>support economic development,</w:t>
      </w:r>
      <w:r w:rsidRPr="00C563AB">
        <w:rPr>
          <w:bCs/>
        </w:rPr>
        <w:t xml:space="preserve"> and promote neighborhood stabilization in designated Housing Development Zon</w:t>
      </w:r>
      <w:r>
        <w:rPr>
          <w:bCs/>
        </w:rPr>
        <w:t xml:space="preserve">es </w:t>
      </w:r>
      <w:r w:rsidR="001B4B39">
        <w:rPr>
          <w:bCs/>
        </w:rPr>
        <w:t xml:space="preserve">(HD) </w:t>
      </w:r>
      <w:r>
        <w:rPr>
          <w:bCs/>
        </w:rPr>
        <w:t>within Gateway cities</w:t>
      </w:r>
      <w:r w:rsidRPr="00C563AB">
        <w:rPr>
          <w:bCs/>
        </w:rPr>
        <w:t>.</w:t>
      </w:r>
    </w:p>
    <w:p w14:paraId="0834C0BA" w14:textId="5521390C" w:rsidR="00B4192C" w:rsidRPr="00C563AB" w:rsidRDefault="00B4192C" w:rsidP="00B4192C">
      <w:pPr>
        <w:numPr>
          <w:ilvl w:val="0"/>
          <w:numId w:val="31"/>
        </w:numPr>
        <w:spacing w:after="160"/>
        <w:rPr>
          <w:bCs/>
          <w:i/>
        </w:rPr>
      </w:pPr>
      <w:r w:rsidRPr="003265E0">
        <w:rPr>
          <w:b/>
          <w:bCs/>
          <w:i/>
        </w:rPr>
        <w:t>The Vault Lynn</w:t>
      </w:r>
      <w:r w:rsidRPr="00C563AB">
        <w:rPr>
          <w:b/>
          <w:bCs/>
        </w:rPr>
        <w:t>:</w:t>
      </w:r>
      <w:r w:rsidRPr="00C563AB">
        <w:rPr>
          <w:bCs/>
          <w:i/>
        </w:rPr>
        <w:t xml:space="preserve">  </w:t>
      </w:r>
      <w:r w:rsidRPr="00C563AB">
        <w:rPr>
          <w:bCs/>
        </w:rPr>
        <w:t>In 2017 and 2018, the bank invest</w:t>
      </w:r>
      <w:r>
        <w:rPr>
          <w:bCs/>
        </w:rPr>
        <w:t>ed</w:t>
      </w:r>
      <w:r w:rsidRPr="00C563AB">
        <w:rPr>
          <w:bCs/>
        </w:rPr>
        <w:t xml:space="preserve"> $750,000 and $1.2 million, respectively, to rehabilitate and renovate a multi-unit residential property.  The property, known as The Vault, is in</w:t>
      </w:r>
      <w:r>
        <w:rPr>
          <w:bCs/>
        </w:rPr>
        <w:t xml:space="preserve"> a</w:t>
      </w:r>
      <w:r w:rsidRPr="00C563AB">
        <w:rPr>
          <w:bCs/>
        </w:rPr>
        <w:t xml:space="preserve"> low-income geography in downtown Lynn.  </w:t>
      </w:r>
      <w:r w:rsidR="00496007" w:rsidRPr="00C563AB">
        <w:rPr>
          <w:bCs/>
        </w:rPr>
        <w:t>The development quali</w:t>
      </w:r>
      <w:r w:rsidR="00496007">
        <w:rPr>
          <w:bCs/>
        </w:rPr>
        <w:t>fies</w:t>
      </w:r>
      <w:r w:rsidR="00496007" w:rsidRPr="00C563AB">
        <w:rPr>
          <w:bCs/>
        </w:rPr>
        <w:t xml:space="preserve"> for </w:t>
      </w:r>
      <w:r w:rsidR="00496007">
        <w:rPr>
          <w:bCs/>
        </w:rPr>
        <w:t>h</w:t>
      </w:r>
      <w:r w:rsidR="00496007" w:rsidRPr="00C563AB">
        <w:rPr>
          <w:bCs/>
        </w:rPr>
        <w:t xml:space="preserve">istoric </w:t>
      </w:r>
      <w:r w:rsidR="00496007">
        <w:rPr>
          <w:bCs/>
        </w:rPr>
        <w:t>r</w:t>
      </w:r>
      <w:r w:rsidR="00496007" w:rsidRPr="00C563AB">
        <w:rPr>
          <w:bCs/>
        </w:rPr>
        <w:t xml:space="preserve">ehabilitation </w:t>
      </w:r>
      <w:r w:rsidR="00496007">
        <w:rPr>
          <w:bCs/>
        </w:rPr>
        <w:t>t</w:t>
      </w:r>
      <w:r w:rsidR="00496007" w:rsidRPr="00C563AB">
        <w:rPr>
          <w:bCs/>
        </w:rPr>
        <w:t xml:space="preserve">ax </w:t>
      </w:r>
      <w:r w:rsidR="00496007">
        <w:rPr>
          <w:bCs/>
        </w:rPr>
        <w:t>c</w:t>
      </w:r>
      <w:r w:rsidR="00496007" w:rsidRPr="00C563AB">
        <w:rPr>
          <w:bCs/>
        </w:rPr>
        <w:t>redits.</w:t>
      </w:r>
    </w:p>
    <w:p w14:paraId="3BD39894" w14:textId="2BBBCB8E" w:rsidR="00B4192C" w:rsidRPr="00B4192C" w:rsidRDefault="00B4192C" w:rsidP="00B4192C">
      <w:pPr>
        <w:numPr>
          <w:ilvl w:val="0"/>
          <w:numId w:val="31"/>
        </w:numPr>
        <w:spacing w:after="160"/>
        <w:rPr>
          <w:bCs/>
          <w:i/>
        </w:rPr>
      </w:pPr>
      <w:r w:rsidRPr="00B4192C">
        <w:rPr>
          <w:b/>
          <w:bCs/>
          <w:i/>
        </w:rPr>
        <w:t>Houghton on the Grid Worcester</w:t>
      </w:r>
      <w:r w:rsidRPr="00B4192C">
        <w:rPr>
          <w:b/>
          <w:bCs/>
        </w:rPr>
        <w:t>:</w:t>
      </w:r>
      <w:r w:rsidRPr="00B4192C">
        <w:rPr>
          <w:bCs/>
          <w:i/>
        </w:rPr>
        <w:t xml:space="preserve"> </w:t>
      </w:r>
      <w:r w:rsidRPr="00B4192C">
        <w:rPr>
          <w:bCs/>
        </w:rPr>
        <w:t xml:space="preserve">In 2019, the bank invested $609,000 in historic tax credits </w:t>
      </w:r>
      <w:r w:rsidR="004F5994">
        <w:rPr>
          <w:bCs/>
        </w:rPr>
        <w:t>to redevelop a</w:t>
      </w:r>
      <w:r w:rsidRPr="00B4192C">
        <w:rPr>
          <w:bCs/>
        </w:rPr>
        <w:t xml:space="preserve"> historic building in Worcester now used as residences.  The subject property is in a moderate-income census tract</w:t>
      </w:r>
      <w:r w:rsidR="00496007">
        <w:rPr>
          <w:bCs/>
        </w:rPr>
        <w:t xml:space="preserve"> with adjacent</w:t>
      </w:r>
      <w:r w:rsidRPr="00B4192C">
        <w:rPr>
          <w:bCs/>
        </w:rPr>
        <w:t xml:space="preserve"> low- </w:t>
      </w:r>
      <w:r w:rsidR="00496007">
        <w:rPr>
          <w:bCs/>
        </w:rPr>
        <w:t>and</w:t>
      </w:r>
      <w:r w:rsidRPr="00B4192C">
        <w:rPr>
          <w:bCs/>
        </w:rPr>
        <w:t xml:space="preserve"> moderate-income</w:t>
      </w:r>
      <w:r w:rsidR="00496007">
        <w:rPr>
          <w:bCs/>
        </w:rPr>
        <w:t xml:space="preserve"> tracts.</w:t>
      </w:r>
      <w:r w:rsidRPr="00B4192C">
        <w:rPr>
          <w:bCs/>
        </w:rPr>
        <w:t xml:space="preserve">  The redevelopment and the bank’s investment </w:t>
      </w:r>
      <w:r w:rsidR="00496007">
        <w:rPr>
          <w:bCs/>
        </w:rPr>
        <w:t xml:space="preserve">helped to </w:t>
      </w:r>
      <w:r w:rsidRPr="00B4192C">
        <w:rPr>
          <w:bCs/>
        </w:rPr>
        <w:t>revitalize and stabilize the downtown Worcester area</w:t>
      </w:r>
      <w:r>
        <w:rPr>
          <w:bCs/>
        </w:rPr>
        <w:t>.</w:t>
      </w:r>
      <w:r w:rsidRPr="00B4192C">
        <w:rPr>
          <w:bCs/>
        </w:rPr>
        <w:t xml:space="preserve"> </w:t>
      </w:r>
    </w:p>
    <w:p w14:paraId="7F1793C0" w14:textId="02D64A9D" w:rsidR="00B4192C" w:rsidRPr="00B4192C" w:rsidRDefault="00B4192C" w:rsidP="00C563AB">
      <w:pPr>
        <w:rPr>
          <w:bCs/>
        </w:rPr>
      </w:pPr>
      <w:r>
        <w:rPr>
          <w:bCs/>
        </w:rPr>
        <w:t xml:space="preserve">Although the new equity investments in Lowell, Lynn, and Worcester are outside of the bank’s assessment area, the bank received credit </w:t>
      </w:r>
      <w:r w:rsidR="00355CCE">
        <w:rPr>
          <w:bCs/>
        </w:rPr>
        <w:t xml:space="preserve">for </w:t>
      </w:r>
      <w:r w:rsidR="006835EB">
        <w:rPr>
          <w:bCs/>
        </w:rPr>
        <w:t>them,</w:t>
      </w:r>
      <w:r>
        <w:rPr>
          <w:bCs/>
        </w:rPr>
        <w:t xml:space="preserve"> as it was responsive to its assessment area needs</w:t>
      </w:r>
      <w:r w:rsidR="00355CCE">
        <w:rPr>
          <w:bCs/>
        </w:rPr>
        <w:t xml:space="preserve">.  </w:t>
      </w:r>
      <w:r>
        <w:t>Massachusetts designated each</w:t>
      </w:r>
      <w:r w:rsidR="000A287D">
        <w:t xml:space="preserve"> </w:t>
      </w:r>
      <w:r w:rsidR="006835EB">
        <w:t>municipality</w:t>
      </w:r>
      <w:r w:rsidR="000A287D">
        <w:t xml:space="preserve"> </w:t>
      </w:r>
      <w:r>
        <w:t>as a Gateway city.  Gateway c</w:t>
      </w:r>
      <w:r w:rsidRPr="003F6DDE">
        <w:t xml:space="preserve">ities are midsize urban centers that anchor regional economies around the state. </w:t>
      </w:r>
      <w:r>
        <w:t xml:space="preserve"> In these Gateway cities, the availability of </w:t>
      </w:r>
      <w:r w:rsidR="00496007">
        <w:t>h</w:t>
      </w:r>
      <w:r>
        <w:t xml:space="preserve">istoric </w:t>
      </w:r>
      <w:r w:rsidR="00496007">
        <w:t>t</w:t>
      </w:r>
      <w:r>
        <w:t xml:space="preserve">ax </w:t>
      </w:r>
      <w:r w:rsidR="00496007">
        <w:t>c</w:t>
      </w:r>
      <w:r>
        <w:t xml:space="preserve">redits for certain property encourages </w:t>
      </w:r>
      <w:r w:rsidR="006835EB">
        <w:t>revitalizing</w:t>
      </w:r>
      <w:r>
        <w:t xml:space="preserve"> existing mill-type buildings into residential apartment style living.  These cities and properties qualified for </w:t>
      </w:r>
      <w:r w:rsidR="00496007">
        <w:t>h</w:t>
      </w:r>
      <w:r>
        <w:t xml:space="preserve">istoric </w:t>
      </w:r>
      <w:r w:rsidR="00496007">
        <w:t>t</w:t>
      </w:r>
      <w:r>
        <w:t xml:space="preserve">ax </w:t>
      </w:r>
      <w:r w:rsidR="00496007">
        <w:t>c</w:t>
      </w:r>
      <w:r>
        <w:t>redits and substantiate</w:t>
      </w:r>
      <w:r w:rsidR="00496007">
        <w:t>d</w:t>
      </w:r>
      <w:r>
        <w:t xml:space="preserve"> the need to renovat</w:t>
      </w:r>
      <w:r w:rsidR="00355CCE">
        <w:t>e and rehabi</w:t>
      </w:r>
      <w:r w:rsidR="00F60690">
        <w:t>lita</w:t>
      </w:r>
      <w:r w:rsidR="00355CCE">
        <w:t xml:space="preserve">te </w:t>
      </w:r>
      <w:r>
        <w:t>these properties.</w:t>
      </w:r>
    </w:p>
    <w:p w14:paraId="036A1B29" w14:textId="77777777" w:rsidR="00B4192C" w:rsidRDefault="00B4192C" w:rsidP="00C563AB">
      <w:pPr>
        <w:rPr>
          <w:bCs/>
          <w:i/>
        </w:rPr>
      </w:pPr>
    </w:p>
    <w:p w14:paraId="19D5A4B1" w14:textId="49ABA966" w:rsidR="00C563AB" w:rsidRPr="00C563AB" w:rsidRDefault="00C21B34" w:rsidP="00C563AB">
      <w:pPr>
        <w:rPr>
          <w:bCs/>
          <w:i/>
        </w:rPr>
      </w:pPr>
      <w:r w:rsidRPr="00C563AB">
        <w:rPr>
          <w:bCs/>
          <w:i/>
        </w:rPr>
        <w:t>Prior</w:t>
      </w:r>
      <w:r>
        <w:rPr>
          <w:bCs/>
          <w:i/>
        </w:rPr>
        <w:t xml:space="preserve"> Period</w:t>
      </w:r>
      <w:r w:rsidR="006E1E2A">
        <w:rPr>
          <w:bCs/>
          <w:i/>
        </w:rPr>
        <w:t xml:space="preserve"> </w:t>
      </w:r>
    </w:p>
    <w:p w14:paraId="341BD233" w14:textId="77777777" w:rsidR="00C563AB" w:rsidRPr="00C563AB" w:rsidRDefault="00C563AB" w:rsidP="00C563AB">
      <w:pPr>
        <w:rPr>
          <w:bCs/>
        </w:rPr>
      </w:pPr>
    </w:p>
    <w:p w14:paraId="1B4870AC" w14:textId="2C514894" w:rsidR="00C563AB" w:rsidRPr="00C563AB" w:rsidRDefault="00C563AB" w:rsidP="003265E0">
      <w:pPr>
        <w:numPr>
          <w:ilvl w:val="0"/>
          <w:numId w:val="31"/>
        </w:numPr>
        <w:spacing w:after="160"/>
        <w:rPr>
          <w:bCs/>
          <w:i/>
        </w:rPr>
      </w:pPr>
      <w:r w:rsidRPr="003265E0">
        <w:rPr>
          <w:b/>
          <w:bCs/>
          <w:i/>
        </w:rPr>
        <w:t>Federal National Mortgage Association Mortgage-Backed Securities:</w:t>
      </w:r>
      <w:r w:rsidRPr="00C563AB">
        <w:rPr>
          <w:bCs/>
        </w:rPr>
        <w:t xml:space="preserve"> The bank continues to hold seven mortgage-backed </w:t>
      </w:r>
      <w:r w:rsidR="00C21B34" w:rsidRPr="00C563AB">
        <w:rPr>
          <w:bCs/>
        </w:rPr>
        <w:t>securities</w:t>
      </w:r>
      <w:r w:rsidR="00C21B34">
        <w:rPr>
          <w:bCs/>
        </w:rPr>
        <w:t xml:space="preserve">. </w:t>
      </w:r>
      <w:r w:rsidR="00496007">
        <w:rPr>
          <w:bCs/>
        </w:rPr>
        <w:t>R</w:t>
      </w:r>
      <w:r w:rsidRPr="00C563AB">
        <w:rPr>
          <w:bCs/>
        </w:rPr>
        <w:t>esidential loans made to low- and moderate-income borrowers whose properties are located within the assessment area</w:t>
      </w:r>
      <w:r w:rsidR="00B53F5D">
        <w:rPr>
          <w:bCs/>
        </w:rPr>
        <w:t xml:space="preserve"> are the security</w:t>
      </w:r>
      <w:r w:rsidRPr="00C563AB">
        <w:rPr>
          <w:bCs/>
        </w:rPr>
        <w:t xml:space="preserve">.  The current book </w:t>
      </w:r>
      <w:r w:rsidR="00C21B34" w:rsidRPr="00C563AB">
        <w:rPr>
          <w:bCs/>
        </w:rPr>
        <w:t xml:space="preserve">value </w:t>
      </w:r>
      <w:r w:rsidR="00C21B34">
        <w:rPr>
          <w:bCs/>
        </w:rPr>
        <w:t>is</w:t>
      </w:r>
      <w:r w:rsidR="00B53F5D">
        <w:rPr>
          <w:bCs/>
        </w:rPr>
        <w:t xml:space="preserve"> </w:t>
      </w:r>
      <w:r w:rsidRPr="00C563AB">
        <w:rPr>
          <w:bCs/>
        </w:rPr>
        <w:t xml:space="preserve">approximately $2.1 million. </w:t>
      </w:r>
    </w:p>
    <w:p w14:paraId="264401EF" w14:textId="2D1E83B2" w:rsidR="00C563AB" w:rsidRPr="00954725" w:rsidRDefault="00C563AB" w:rsidP="003265E0">
      <w:pPr>
        <w:numPr>
          <w:ilvl w:val="0"/>
          <w:numId w:val="31"/>
        </w:numPr>
        <w:spacing w:after="160"/>
        <w:rPr>
          <w:b/>
          <w:bCs/>
        </w:rPr>
      </w:pPr>
      <w:r w:rsidRPr="003265E0">
        <w:rPr>
          <w:b/>
          <w:bCs/>
          <w:i/>
        </w:rPr>
        <w:t>Access Capital Strategies Community Investment Fund, Inc. (ACSCIF):</w:t>
      </w:r>
      <w:r w:rsidRPr="00C563AB">
        <w:rPr>
          <w:b/>
          <w:bCs/>
        </w:rPr>
        <w:t xml:space="preserve"> </w:t>
      </w:r>
      <w:r w:rsidRPr="00C563AB">
        <w:rPr>
          <w:bCs/>
        </w:rPr>
        <w:t xml:space="preserve">The bank continues to hold a stake in this fund, which provides a secondary market and financing vehicle for </w:t>
      </w:r>
      <w:proofErr w:type="gramStart"/>
      <w:r w:rsidRPr="00C563AB">
        <w:rPr>
          <w:bCs/>
        </w:rPr>
        <w:t>community development loan originators</w:t>
      </w:r>
      <w:proofErr w:type="gramEnd"/>
      <w:r w:rsidRPr="00C563AB">
        <w:rPr>
          <w:bCs/>
        </w:rPr>
        <w:t xml:space="preserve">.  The </w:t>
      </w:r>
      <w:r w:rsidR="00C21B34">
        <w:rPr>
          <w:bCs/>
        </w:rPr>
        <w:t xml:space="preserve">ACSCIF </w:t>
      </w:r>
      <w:r w:rsidR="00C21B34" w:rsidRPr="00C563AB">
        <w:rPr>
          <w:bCs/>
        </w:rPr>
        <w:t>invests</w:t>
      </w:r>
      <w:r w:rsidRPr="00C563AB">
        <w:rPr>
          <w:bCs/>
        </w:rPr>
        <w:t xml:space="preserve"> in securities designed to promote affordable housing and economic development for low- and moderate-income individuals and geographies.  The current book </w:t>
      </w:r>
      <w:r w:rsidR="00C21B34" w:rsidRPr="00C563AB">
        <w:rPr>
          <w:bCs/>
        </w:rPr>
        <w:t>value is</w:t>
      </w:r>
      <w:r w:rsidRPr="00C563AB">
        <w:rPr>
          <w:bCs/>
        </w:rPr>
        <w:t xml:space="preserve"> approximately $1.3 million.  </w:t>
      </w:r>
    </w:p>
    <w:p w14:paraId="3B893E53" w14:textId="77777777" w:rsidR="00C563AB" w:rsidRPr="00C563AB" w:rsidRDefault="00C563AB" w:rsidP="00C563AB">
      <w:pPr>
        <w:rPr>
          <w:bCs/>
          <w:i/>
        </w:rPr>
      </w:pPr>
      <w:r w:rsidRPr="00C563AB">
        <w:rPr>
          <w:bCs/>
          <w:i/>
        </w:rPr>
        <w:t>Qualified Grants and Donations</w:t>
      </w:r>
    </w:p>
    <w:p w14:paraId="1B28C368" w14:textId="77777777" w:rsidR="00C563AB" w:rsidRPr="00C563AB" w:rsidRDefault="00C563AB" w:rsidP="00C563AB">
      <w:pPr>
        <w:rPr>
          <w:bCs/>
        </w:rPr>
      </w:pPr>
    </w:p>
    <w:p w14:paraId="6D019AFF" w14:textId="444994AF" w:rsidR="00BC7CBA" w:rsidRPr="00445D8F" w:rsidRDefault="00C563AB" w:rsidP="00BC7CBA">
      <w:pPr>
        <w:numPr>
          <w:ilvl w:val="0"/>
          <w:numId w:val="32"/>
        </w:numPr>
        <w:spacing w:after="160"/>
        <w:rPr>
          <w:bCs/>
        </w:rPr>
      </w:pPr>
      <w:r w:rsidRPr="003265E0">
        <w:rPr>
          <w:b/>
          <w:bCs/>
          <w:i/>
        </w:rPr>
        <w:t>Heading Home, Inc.:</w:t>
      </w:r>
      <w:r w:rsidRPr="00C563AB">
        <w:rPr>
          <w:bCs/>
          <w:i/>
        </w:rPr>
        <w:t xml:space="preserve"> </w:t>
      </w:r>
      <w:r w:rsidRPr="00C563AB">
        <w:rPr>
          <w:bCs/>
        </w:rPr>
        <w:t>Heading Home is a nonprofit housing assistance organization whose mission is to end homelessness.  It provides emergency shelter, transitional and permanent housing, and supportive services to homeless and formerly homeless families and individual</w:t>
      </w:r>
      <w:r w:rsidR="00F8635C">
        <w:rPr>
          <w:bCs/>
        </w:rPr>
        <w:t>s</w:t>
      </w:r>
      <w:r w:rsidRPr="00C563AB">
        <w:rPr>
          <w:bCs/>
        </w:rPr>
        <w:t xml:space="preserve"> in the assessment area.  Heading Home owns and operates approximately 500 affordable units and provides direct services to over 1,400 individuals</w:t>
      </w:r>
      <w:r w:rsidR="00FB2556">
        <w:rPr>
          <w:bCs/>
        </w:rPr>
        <w:t>,</w:t>
      </w:r>
      <w:r w:rsidRPr="00C563AB">
        <w:rPr>
          <w:bCs/>
        </w:rPr>
        <w:t xml:space="preserve"> annually.  </w:t>
      </w:r>
      <w:r w:rsidR="00BC7CBA">
        <w:rPr>
          <w:bCs/>
        </w:rPr>
        <w:t xml:space="preserve">During the 2018-2019 football season, for every touchdown that the New England Patriots scored, the bank donated $1,000.  </w:t>
      </w:r>
      <w:r w:rsidR="00355CCE">
        <w:rPr>
          <w:bCs/>
        </w:rPr>
        <w:t>Collectively, th</w:t>
      </w:r>
      <w:r w:rsidRPr="00C563AB">
        <w:rPr>
          <w:bCs/>
        </w:rPr>
        <w:t xml:space="preserve">e bank and </w:t>
      </w:r>
      <w:r w:rsidR="00FB2556">
        <w:rPr>
          <w:bCs/>
        </w:rPr>
        <w:t xml:space="preserve">the </w:t>
      </w:r>
      <w:r w:rsidRPr="00C563AB">
        <w:rPr>
          <w:bCs/>
        </w:rPr>
        <w:t xml:space="preserve">Charitable Foundation donated $140,000 over </w:t>
      </w:r>
      <w:r w:rsidR="00C21B34" w:rsidRPr="00C563AB">
        <w:rPr>
          <w:bCs/>
        </w:rPr>
        <w:t>the evaluation</w:t>
      </w:r>
      <w:r w:rsidRPr="00C563AB">
        <w:rPr>
          <w:bCs/>
        </w:rPr>
        <w:t xml:space="preserve"> period.   </w:t>
      </w:r>
      <w:r w:rsidRPr="00C563AB">
        <w:rPr>
          <w:b/>
          <w:bCs/>
        </w:rPr>
        <w:t xml:space="preserve"> </w:t>
      </w:r>
    </w:p>
    <w:p w14:paraId="6112D6E9" w14:textId="5A65A7DC" w:rsidR="00C563AB" w:rsidRPr="00C563AB" w:rsidRDefault="00C563AB" w:rsidP="003265E0">
      <w:pPr>
        <w:numPr>
          <w:ilvl w:val="0"/>
          <w:numId w:val="32"/>
        </w:numPr>
        <w:spacing w:after="160"/>
        <w:rPr>
          <w:b/>
          <w:bCs/>
        </w:rPr>
      </w:pPr>
      <w:r w:rsidRPr="003265E0">
        <w:rPr>
          <w:b/>
          <w:bCs/>
          <w:i/>
        </w:rPr>
        <w:lastRenderedPageBreak/>
        <w:t>Boys &amp; Girls Clubs</w:t>
      </w:r>
      <w:r w:rsidRPr="00C563AB">
        <w:rPr>
          <w:b/>
          <w:bCs/>
        </w:rPr>
        <w:t>:</w:t>
      </w:r>
      <w:r w:rsidRPr="00C563AB">
        <w:rPr>
          <w:bCs/>
          <w:i/>
        </w:rPr>
        <w:t xml:space="preserve"> </w:t>
      </w:r>
      <w:r w:rsidRPr="00C563AB">
        <w:rPr>
          <w:bCs/>
        </w:rPr>
        <w:t xml:space="preserve">The Boys &amp; Girls Club is national organization with independent chapters whose goal is to </w:t>
      </w:r>
      <w:r w:rsidR="00C21B34" w:rsidRPr="00C563AB">
        <w:rPr>
          <w:bCs/>
        </w:rPr>
        <w:t>help children break</w:t>
      </w:r>
      <w:r w:rsidRPr="00C563AB">
        <w:rPr>
          <w:bCs/>
        </w:rPr>
        <w:t xml:space="preserve"> the </w:t>
      </w:r>
      <w:r w:rsidR="00496007">
        <w:rPr>
          <w:bCs/>
        </w:rPr>
        <w:t xml:space="preserve">poverty </w:t>
      </w:r>
      <w:r w:rsidRPr="00C563AB">
        <w:rPr>
          <w:bCs/>
        </w:rPr>
        <w:t xml:space="preserve">cycle. Throughout the evaluation period, the bank and </w:t>
      </w:r>
      <w:r w:rsidR="00C21B34" w:rsidRPr="00C563AB">
        <w:rPr>
          <w:bCs/>
        </w:rPr>
        <w:t>Foundation donated</w:t>
      </w:r>
      <w:r w:rsidR="00C21B34">
        <w:rPr>
          <w:bCs/>
        </w:rPr>
        <w:t xml:space="preserve"> </w:t>
      </w:r>
      <w:r w:rsidR="00C21B34" w:rsidRPr="00C563AB">
        <w:rPr>
          <w:bCs/>
        </w:rPr>
        <w:t>approximately</w:t>
      </w:r>
      <w:r w:rsidRPr="00C563AB">
        <w:rPr>
          <w:bCs/>
        </w:rPr>
        <w:t xml:space="preserve"> $171,000 to the Boys &amp; Girls Clubs of Billerica and Woburn</w:t>
      </w:r>
      <w:r w:rsidR="00FB2556">
        <w:rPr>
          <w:bCs/>
        </w:rPr>
        <w:t xml:space="preserve">.  Both </w:t>
      </w:r>
      <w:r w:rsidR="00C21B34">
        <w:rPr>
          <w:bCs/>
        </w:rPr>
        <w:t xml:space="preserve">organizations </w:t>
      </w:r>
      <w:r w:rsidR="00C21B34" w:rsidRPr="00C563AB">
        <w:rPr>
          <w:bCs/>
        </w:rPr>
        <w:t>support</w:t>
      </w:r>
      <w:r w:rsidRPr="00C563AB">
        <w:rPr>
          <w:bCs/>
        </w:rPr>
        <w:t xml:space="preserve"> low- and moderate-income individuals and finance annual membership for those who cannot afford it.      </w:t>
      </w:r>
    </w:p>
    <w:p w14:paraId="2ACB9FDB" w14:textId="6204405C" w:rsidR="00C563AB" w:rsidRPr="00C563AB" w:rsidRDefault="00C563AB" w:rsidP="003265E0">
      <w:pPr>
        <w:numPr>
          <w:ilvl w:val="0"/>
          <w:numId w:val="32"/>
        </w:numPr>
        <w:spacing w:after="160"/>
        <w:rPr>
          <w:b/>
          <w:bCs/>
        </w:rPr>
      </w:pPr>
      <w:r w:rsidRPr="003265E0">
        <w:rPr>
          <w:b/>
          <w:bCs/>
          <w:i/>
        </w:rPr>
        <w:t>Food Assistance</w:t>
      </w:r>
      <w:r w:rsidRPr="00C563AB">
        <w:rPr>
          <w:b/>
          <w:bCs/>
        </w:rPr>
        <w:t>:</w:t>
      </w:r>
      <w:r w:rsidRPr="00C563AB">
        <w:rPr>
          <w:bCs/>
          <w:i/>
        </w:rPr>
        <w:t xml:space="preserve"> </w:t>
      </w:r>
      <w:r w:rsidRPr="00C563AB">
        <w:rPr>
          <w:bCs/>
        </w:rPr>
        <w:t>The Foundation and bank donated to multiple food pantries and organizations providing meals and basic needs across the assessment area</w:t>
      </w:r>
      <w:r w:rsidR="00FB2556">
        <w:rPr>
          <w:bCs/>
        </w:rPr>
        <w:t>.</w:t>
      </w:r>
      <w:r w:rsidRPr="00C563AB">
        <w:rPr>
          <w:bCs/>
        </w:rPr>
        <w:t xml:space="preserve">  The </w:t>
      </w:r>
      <w:r w:rsidR="00C21B34" w:rsidRPr="00C563AB">
        <w:rPr>
          <w:bCs/>
        </w:rPr>
        <w:t>Foundation donated</w:t>
      </w:r>
      <w:r w:rsidR="00C21B34">
        <w:rPr>
          <w:bCs/>
        </w:rPr>
        <w:t xml:space="preserve"> </w:t>
      </w:r>
      <w:r w:rsidR="00C21B34" w:rsidRPr="00C563AB">
        <w:rPr>
          <w:bCs/>
        </w:rPr>
        <w:t>$</w:t>
      </w:r>
      <w:r w:rsidRPr="00C563AB">
        <w:rPr>
          <w:bCs/>
        </w:rPr>
        <w:t xml:space="preserve">20,000 to People Helping People, which provides food, medicine, heat and utility payment assistance to low-income </w:t>
      </w:r>
      <w:r w:rsidR="00FB2556">
        <w:rPr>
          <w:bCs/>
        </w:rPr>
        <w:t xml:space="preserve">Burlington </w:t>
      </w:r>
      <w:r w:rsidRPr="00C563AB">
        <w:rPr>
          <w:bCs/>
        </w:rPr>
        <w:t>residents</w:t>
      </w:r>
      <w:r w:rsidR="00C21B34">
        <w:rPr>
          <w:bCs/>
        </w:rPr>
        <w:t>.</w:t>
      </w:r>
      <w:r w:rsidRPr="00C563AB">
        <w:rPr>
          <w:bCs/>
        </w:rPr>
        <w:t xml:space="preserve">  The Foundation and bank donated an additional $56,400 </w:t>
      </w:r>
      <w:r w:rsidR="00C21B34">
        <w:rPr>
          <w:bCs/>
        </w:rPr>
        <w:t xml:space="preserve">to </w:t>
      </w:r>
      <w:r w:rsidR="00C21B34" w:rsidRPr="00C563AB">
        <w:rPr>
          <w:bCs/>
        </w:rPr>
        <w:t>14</w:t>
      </w:r>
      <w:r w:rsidRPr="00C563AB">
        <w:rPr>
          <w:bCs/>
        </w:rPr>
        <w:t xml:space="preserve"> other food pantries and meal programs, including Acton Community Supper and Food Pantry, Bread of Life, Elizabeth Peabody House, Loaves and Fishes, Melrose Farmers Market, Merrimack Valley Catholic Charities, Reading Food Pantry, Sudbury Food Pantry, Table of Plenty, and others.  These donations </w:t>
      </w:r>
      <w:r w:rsidR="00C21B34" w:rsidRPr="00C563AB">
        <w:rPr>
          <w:bCs/>
        </w:rPr>
        <w:t>respon</w:t>
      </w:r>
      <w:r w:rsidR="00C21B34">
        <w:rPr>
          <w:bCs/>
        </w:rPr>
        <w:t xml:space="preserve">d </w:t>
      </w:r>
      <w:r w:rsidR="00C21B34" w:rsidRPr="00C563AB">
        <w:rPr>
          <w:bCs/>
        </w:rPr>
        <w:t>to</w:t>
      </w:r>
      <w:r w:rsidRPr="00C563AB">
        <w:rPr>
          <w:bCs/>
        </w:rPr>
        <w:t xml:space="preserve"> </w:t>
      </w:r>
      <w:r w:rsidR="00FB2556">
        <w:rPr>
          <w:bCs/>
        </w:rPr>
        <w:t xml:space="preserve">the assessment area’s </w:t>
      </w:r>
      <w:r w:rsidRPr="00C563AB">
        <w:rPr>
          <w:bCs/>
        </w:rPr>
        <w:t>community service needs</w:t>
      </w:r>
      <w:r w:rsidR="00FB2556">
        <w:rPr>
          <w:bCs/>
        </w:rPr>
        <w:t>.</w:t>
      </w:r>
      <w:r w:rsidRPr="00C563AB">
        <w:rPr>
          <w:bCs/>
        </w:rPr>
        <w:t xml:space="preserve">     </w:t>
      </w:r>
    </w:p>
    <w:p w14:paraId="5149B15F" w14:textId="77777777" w:rsidR="00C563AB" w:rsidRPr="00C563AB" w:rsidRDefault="00C563AB" w:rsidP="00C563AB">
      <w:pPr>
        <w:rPr>
          <w:b/>
          <w:bCs/>
          <w:u w:val="single"/>
        </w:rPr>
      </w:pPr>
      <w:r w:rsidRPr="00C563AB">
        <w:rPr>
          <w:b/>
          <w:bCs/>
          <w:u w:val="single"/>
        </w:rPr>
        <w:t>Responsiveness to Credit and Community Development Needs</w:t>
      </w:r>
    </w:p>
    <w:p w14:paraId="13267782" w14:textId="77777777" w:rsidR="00C563AB" w:rsidRPr="00C563AB" w:rsidRDefault="00C563AB" w:rsidP="00C563AB">
      <w:pPr>
        <w:rPr>
          <w:bCs/>
        </w:rPr>
      </w:pPr>
    </w:p>
    <w:p w14:paraId="52E0EBCA" w14:textId="7BCE50FA" w:rsidR="00BC7CBA" w:rsidRPr="00BC7CBA" w:rsidRDefault="007613E5" w:rsidP="00BC7CBA">
      <w:pPr>
        <w:rPr>
          <w:color w:val="1F497D"/>
          <w:sz w:val="22"/>
          <w:szCs w:val="22"/>
        </w:rPr>
      </w:pPr>
      <w:r>
        <w:rPr>
          <w:bCs/>
        </w:rPr>
        <w:t>NBTC</w:t>
      </w:r>
      <w:r w:rsidR="00C563AB" w:rsidRPr="00C563AB">
        <w:rPr>
          <w:bCs/>
        </w:rPr>
        <w:t xml:space="preserve"> exhibits adequate responsiveness to credit and community economic development needs.  </w:t>
      </w:r>
      <w:r w:rsidR="00355CCE">
        <w:rPr>
          <w:bCs/>
        </w:rPr>
        <w:t>New e</w:t>
      </w:r>
      <w:r w:rsidR="00C563AB" w:rsidRPr="00C563AB">
        <w:rPr>
          <w:bCs/>
        </w:rPr>
        <w:t xml:space="preserve">quity investments </w:t>
      </w:r>
      <w:r w:rsidR="008301B3">
        <w:rPr>
          <w:bCs/>
        </w:rPr>
        <w:t>stimulated development in weak</w:t>
      </w:r>
      <w:r w:rsidR="004F5994">
        <w:rPr>
          <w:bCs/>
        </w:rPr>
        <w:t>er</w:t>
      </w:r>
      <w:r w:rsidR="008301B3">
        <w:rPr>
          <w:bCs/>
        </w:rPr>
        <w:t xml:space="preserve"> real estate markets and </w:t>
      </w:r>
      <w:r w:rsidR="00496007">
        <w:rPr>
          <w:bCs/>
        </w:rPr>
        <w:t xml:space="preserve">assisted in </w:t>
      </w:r>
      <w:r w:rsidR="00C563AB" w:rsidRPr="00C563AB">
        <w:rPr>
          <w:bCs/>
        </w:rPr>
        <w:t>revitaliz</w:t>
      </w:r>
      <w:r w:rsidR="00496007">
        <w:rPr>
          <w:bCs/>
        </w:rPr>
        <w:t>ing</w:t>
      </w:r>
      <w:r w:rsidR="00C563AB" w:rsidRPr="00C563AB">
        <w:rPr>
          <w:bCs/>
        </w:rPr>
        <w:t xml:space="preserve"> or stabiliz</w:t>
      </w:r>
      <w:r w:rsidR="00496007">
        <w:rPr>
          <w:bCs/>
        </w:rPr>
        <w:t>ing</w:t>
      </w:r>
      <w:r w:rsidR="00C563AB" w:rsidRPr="00C563AB">
        <w:rPr>
          <w:bCs/>
        </w:rPr>
        <w:t xml:space="preserve"> low- and moderate-income geographies</w:t>
      </w:r>
      <w:r w:rsidR="00131D7B">
        <w:rPr>
          <w:bCs/>
        </w:rPr>
        <w:t xml:space="preserve">.  </w:t>
      </w:r>
      <w:r w:rsidR="00355CCE">
        <w:rPr>
          <w:bCs/>
        </w:rPr>
        <w:t>Additionally, p</w:t>
      </w:r>
      <w:r w:rsidR="00C563AB" w:rsidRPr="00C563AB">
        <w:rPr>
          <w:bCs/>
        </w:rPr>
        <w:t>rior period investments</w:t>
      </w:r>
      <w:r w:rsidR="00DE2264">
        <w:rPr>
          <w:bCs/>
        </w:rPr>
        <w:t xml:space="preserve"> continue</w:t>
      </w:r>
      <w:r w:rsidR="00496007">
        <w:rPr>
          <w:bCs/>
        </w:rPr>
        <w:t>d</w:t>
      </w:r>
      <w:r w:rsidR="00DE2264">
        <w:rPr>
          <w:bCs/>
        </w:rPr>
        <w:t xml:space="preserve"> to</w:t>
      </w:r>
      <w:r w:rsidR="00C563AB" w:rsidRPr="00C563AB">
        <w:rPr>
          <w:bCs/>
        </w:rPr>
        <w:t xml:space="preserve"> promote affordable housing for low-and moderate-income individuals</w:t>
      </w:r>
      <w:r w:rsidR="00DE2264">
        <w:rPr>
          <w:bCs/>
        </w:rPr>
        <w:t xml:space="preserve">. </w:t>
      </w:r>
      <w:r w:rsidR="00355CCE">
        <w:rPr>
          <w:bCs/>
        </w:rPr>
        <w:t>Further</w:t>
      </w:r>
      <w:r w:rsidR="00131D7B" w:rsidRPr="00131D7B">
        <w:rPr>
          <w:bCs/>
        </w:rPr>
        <w:t xml:space="preserve">, the </w:t>
      </w:r>
      <w:r w:rsidR="00BC7CBA" w:rsidRPr="00131D7B">
        <w:rPr>
          <w:bCs/>
        </w:rPr>
        <w:t>bank’s donations to Heading Home</w:t>
      </w:r>
      <w:r w:rsidR="00C563AB" w:rsidRPr="00131D7B">
        <w:rPr>
          <w:bCs/>
        </w:rPr>
        <w:t xml:space="preserve"> </w:t>
      </w:r>
      <w:r w:rsidR="00BC7CBA" w:rsidRPr="00131D7B">
        <w:rPr>
          <w:bCs/>
        </w:rPr>
        <w:t xml:space="preserve">helped </w:t>
      </w:r>
      <w:r w:rsidR="00355CCE">
        <w:t>transition</w:t>
      </w:r>
      <w:r w:rsidR="00BC7CBA" w:rsidRPr="00131D7B">
        <w:t xml:space="preserve"> a homeless family of four into </w:t>
      </w:r>
      <w:r w:rsidR="00355CCE">
        <w:t>a</w:t>
      </w:r>
      <w:r w:rsidR="00BC7CBA" w:rsidRPr="00131D7B">
        <w:t xml:space="preserve"> new home.</w:t>
      </w:r>
      <w:r w:rsidR="00496007" w:rsidRPr="00496007">
        <w:rPr>
          <w:bCs/>
        </w:rPr>
        <w:t xml:space="preserve"> </w:t>
      </w:r>
      <w:r w:rsidR="00496007">
        <w:rPr>
          <w:bCs/>
        </w:rPr>
        <w:t>The prior period investments and donations meet a</w:t>
      </w:r>
      <w:r w:rsidR="00496007" w:rsidRPr="00C563AB">
        <w:rPr>
          <w:bCs/>
        </w:rPr>
        <w:t xml:space="preserve"> critic</w:t>
      </w:r>
      <w:r w:rsidR="00496007">
        <w:rPr>
          <w:bCs/>
        </w:rPr>
        <w:t xml:space="preserve">al need for affordable housing.  A </w:t>
      </w:r>
      <w:r w:rsidR="00496007" w:rsidRPr="00C563AB">
        <w:rPr>
          <w:bCs/>
        </w:rPr>
        <w:t xml:space="preserve">community contact, examiner determination, and </w:t>
      </w:r>
      <w:r w:rsidR="00496007">
        <w:rPr>
          <w:bCs/>
        </w:rPr>
        <w:t xml:space="preserve">state and local government </w:t>
      </w:r>
      <w:r w:rsidR="00496007" w:rsidRPr="00C563AB">
        <w:rPr>
          <w:bCs/>
        </w:rPr>
        <w:t>affordable housing initiatives</w:t>
      </w:r>
      <w:r w:rsidR="00496007">
        <w:rPr>
          <w:bCs/>
        </w:rPr>
        <w:t xml:space="preserve"> illustrated a need for affordable housing.  </w:t>
      </w:r>
    </w:p>
    <w:p w14:paraId="78754520" w14:textId="77777777" w:rsidR="00C563AB" w:rsidRPr="00C563AB" w:rsidRDefault="00C563AB" w:rsidP="00C563AB">
      <w:pPr>
        <w:rPr>
          <w:bCs/>
        </w:rPr>
      </w:pPr>
    </w:p>
    <w:p w14:paraId="45E9C2E7" w14:textId="77777777" w:rsidR="00C563AB" w:rsidRPr="00C563AB" w:rsidRDefault="00C563AB" w:rsidP="00C563AB">
      <w:pPr>
        <w:rPr>
          <w:b/>
          <w:bCs/>
          <w:u w:val="single"/>
        </w:rPr>
      </w:pPr>
      <w:r w:rsidRPr="00C563AB">
        <w:rPr>
          <w:b/>
          <w:bCs/>
          <w:u w:val="single"/>
        </w:rPr>
        <w:t>Community Development Initiatives</w:t>
      </w:r>
    </w:p>
    <w:p w14:paraId="1C7BB6BC" w14:textId="77777777" w:rsidR="00DE2264" w:rsidRDefault="00DE2264" w:rsidP="00C563AB">
      <w:pPr>
        <w:rPr>
          <w:bCs/>
        </w:rPr>
      </w:pPr>
    </w:p>
    <w:p w14:paraId="2685BA85" w14:textId="7D7CB71D" w:rsidR="007613E5" w:rsidRDefault="00701692" w:rsidP="00C563AB">
      <w:r>
        <w:rPr>
          <w:bCs/>
        </w:rPr>
        <w:t xml:space="preserve">The institution </w:t>
      </w:r>
      <w:r w:rsidR="003348B5">
        <w:rPr>
          <w:bCs/>
        </w:rPr>
        <w:t>occasionally uses</w:t>
      </w:r>
      <w:r w:rsidR="00C563AB" w:rsidRPr="00C563AB">
        <w:rPr>
          <w:bCs/>
        </w:rPr>
        <w:t xml:space="preserve"> innovative and/or complex investments to support community development initiatives.  </w:t>
      </w:r>
      <w:r w:rsidR="001B4B39">
        <w:rPr>
          <w:bCs/>
        </w:rPr>
        <w:t>The t</w:t>
      </w:r>
      <w:r w:rsidR="003348B5">
        <w:rPr>
          <w:bCs/>
        </w:rPr>
        <w:t xml:space="preserve">hree new equity investments were complex in that they required multiple organizations to coordinate </w:t>
      </w:r>
      <w:proofErr w:type="gramStart"/>
      <w:r w:rsidR="006835EB">
        <w:rPr>
          <w:bCs/>
        </w:rPr>
        <w:t>efforts,</w:t>
      </w:r>
      <w:proofErr w:type="gramEnd"/>
      <w:r w:rsidR="00F32768">
        <w:rPr>
          <w:bCs/>
        </w:rPr>
        <w:t xml:space="preserve"> </w:t>
      </w:r>
      <w:r w:rsidR="003348B5">
        <w:rPr>
          <w:bCs/>
        </w:rPr>
        <w:t>included barriers that made the program difficult to implement</w:t>
      </w:r>
      <w:r w:rsidR="00F32768">
        <w:rPr>
          <w:bCs/>
        </w:rPr>
        <w:t xml:space="preserve">, and took years </w:t>
      </w:r>
      <w:r w:rsidR="001B4B39">
        <w:rPr>
          <w:bCs/>
        </w:rPr>
        <w:t>to come to fruition</w:t>
      </w:r>
      <w:r w:rsidR="003348B5">
        <w:rPr>
          <w:bCs/>
        </w:rPr>
        <w:t xml:space="preserve">.  For example, for the </w:t>
      </w:r>
      <w:proofErr w:type="spellStart"/>
      <w:r w:rsidR="003348B5" w:rsidRPr="00087537">
        <w:rPr>
          <w:bCs/>
        </w:rPr>
        <w:t>The</w:t>
      </w:r>
      <w:proofErr w:type="spellEnd"/>
      <w:r w:rsidR="003348B5" w:rsidRPr="00087537">
        <w:rPr>
          <w:bCs/>
        </w:rPr>
        <w:t xml:space="preserve"> Vault Lynn project, </w:t>
      </w:r>
      <w:r w:rsidR="00F32768">
        <w:rPr>
          <w:bCs/>
        </w:rPr>
        <w:t xml:space="preserve">it was </w:t>
      </w:r>
      <w:r w:rsidR="00F32768">
        <w:t xml:space="preserve">one of Lynn’s first projects to leverage </w:t>
      </w:r>
      <w:r w:rsidR="006E6215">
        <w:t xml:space="preserve">the </w:t>
      </w:r>
      <w:r w:rsidR="00F32768">
        <w:t xml:space="preserve">HDIP. </w:t>
      </w:r>
      <w:r w:rsidR="006E6215">
        <w:t xml:space="preserve"> </w:t>
      </w:r>
      <w:r w:rsidR="00F32768">
        <w:t>Before any revitalization could occur</w:t>
      </w:r>
      <w:r w:rsidR="006E6215">
        <w:t xml:space="preserve"> or any project qualify for HDIP tax incentives</w:t>
      </w:r>
      <w:r w:rsidR="00F32768">
        <w:t xml:space="preserve">, the Lynn City Council had to </w:t>
      </w:r>
      <w:r w:rsidR="006E6215">
        <w:t>designate and establish boundaries for the</w:t>
      </w:r>
      <w:r w:rsidR="001B4B39">
        <w:t xml:space="preserve"> HD Zone</w:t>
      </w:r>
      <w:r w:rsidR="006E6215">
        <w:t>.  This occurred</w:t>
      </w:r>
      <w:r w:rsidR="00CB16EF">
        <w:t xml:space="preserve"> in January 2015.  </w:t>
      </w:r>
      <w:r w:rsidR="001B4B39">
        <w:t xml:space="preserve"> Following the</w:t>
      </w:r>
      <w:r w:rsidR="00CB16EF">
        <w:t xml:space="preserve"> designation</w:t>
      </w:r>
      <w:r w:rsidR="001B4B39">
        <w:t>, t</w:t>
      </w:r>
      <w:r w:rsidR="00F32768">
        <w:t xml:space="preserve">wo Lynn-focused organizations, the Economic Development and Industrial </w:t>
      </w:r>
      <w:r w:rsidR="001B4B39">
        <w:t>Corporation</w:t>
      </w:r>
      <w:r w:rsidR="00F32768">
        <w:t xml:space="preserve"> and Lynn Economic Advancement and Development </w:t>
      </w:r>
      <w:r w:rsidR="00DD7E17">
        <w:t xml:space="preserve">needed to </w:t>
      </w:r>
      <w:r w:rsidR="00F32768">
        <w:t>coordinate efforts</w:t>
      </w:r>
      <w:r w:rsidR="001B4B39">
        <w:t xml:space="preserve">. </w:t>
      </w:r>
    </w:p>
    <w:p w14:paraId="184472C4" w14:textId="77777777" w:rsidR="00CC6CBF" w:rsidRDefault="00CC6CBF" w:rsidP="00C563AB">
      <w:pPr>
        <w:rPr>
          <w:bCs/>
        </w:rPr>
      </w:pPr>
    </w:p>
    <w:p w14:paraId="68B478F9" w14:textId="77777777" w:rsidR="007613E5" w:rsidRPr="00520574" w:rsidRDefault="007613E5" w:rsidP="007613E5">
      <w:pPr>
        <w:rPr>
          <w:b/>
          <w:bCs/>
        </w:rPr>
      </w:pPr>
      <w:r w:rsidRPr="00520574">
        <w:rPr>
          <w:b/>
          <w:bCs/>
        </w:rPr>
        <w:t>SERVICE TEST</w:t>
      </w:r>
    </w:p>
    <w:p w14:paraId="69AD8FA2" w14:textId="77777777" w:rsidR="004F5994" w:rsidRDefault="004F5994" w:rsidP="004F5994">
      <w:pPr>
        <w:rPr>
          <w:bCs/>
          <w:spacing w:val="-3"/>
        </w:rPr>
      </w:pPr>
    </w:p>
    <w:p w14:paraId="42C51E8A" w14:textId="545BD324" w:rsidR="004F5994" w:rsidRPr="00A75CB5" w:rsidRDefault="004F5994" w:rsidP="004F5994">
      <w:pPr>
        <w:rPr>
          <w:bCs/>
          <w:spacing w:val="-3"/>
        </w:rPr>
      </w:pPr>
      <w:r>
        <w:rPr>
          <w:bCs/>
          <w:spacing w:val="-3"/>
        </w:rPr>
        <w:t xml:space="preserve">The Service Test </w:t>
      </w:r>
      <w:proofErr w:type="gramStart"/>
      <w:r>
        <w:rPr>
          <w:bCs/>
          <w:spacing w:val="-3"/>
        </w:rPr>
        <w:t>is rated</w:t>
      </w:r>
      <w:proofErr w:type="gramEnd"/>
      <w:r>
        <w:rPr>
          <w:bCs/>
          <w:spacing w:val="-3"/>
        </w:rPr>
        <w:t xml:space="preserve"> High Satisfactory.  </w:t>
      </w:r>
      <w:r w:rsidRPr="00A75CB5">
        <w:rPr>
          <w:bCs/>
          <w:spacing w:val="-3"/>
        </w:rPr>
        <w:t xml:space="preserve">The following sections discuss the bank’s performance under each criterion.   </w:t>
      </w:r>
    </w:p>
    <w:p w14:paraId="6E91D061" w14:textId="77777777" w:rsidR="007613E5" w:rsidRDefault="007613E5" w:rsidP="007613E5">
      <w:pPr>
        <w:rPr>
          <w:bCs/>
        </w:rPr>
      </w:pPr>
    </w:p>
    <w:p w14:paraId="6AF416F7" w14:textId="30CAF420" w:rsidR="007613E5" w:rsidRDefault="007613E5" w:rsidP="007613E5">
      <w:pPr>
        <w:rPr>
          <w:bCs/>
        </w:rPr>
      </w:pPr>
      <w:r>
        <w:rPr>
          <w:bCs/>
        </w:rPr>
        <w:t>The b</w:t>
      </w:r>
      <w:r w:rsidRPr="00233332">
        <w:rPr>
          <w:bCs/>
        </w:rPr>
        <w:t>ank’s delivery systems are reasonably accessible to essentially all p</w:t>
      </w:r>
      <w:r>
        <w:rPr>
          <w:bCs/>
        </w:rPr>
        <w:t xml:space="preserve">ortions of its assessment area.  </w:t>
      </w:r>
      <w:r w:rsidRPr="00233332">
        <w:rPr>
          <w:bCs/>
        </w:rPr>
        <w:t>To the extent change</w:t>
      </w:r>
      <w:r>
        <w:rPr>
          <w:bCs/>
        </w:rPr>
        <w:t xml:space="preserve">s </w:t>
      </w:r>
      <w:proofErr w:type="gramStart"/>
      <w:r>
        <w:rPr>
          <w:bCs/>
        </w:rPr>
        <w:t>have been made</w:t>
      </w:r>
      <w:proofErr w:type="gramEnd"/>
      <w:r>
        <w:rPr>
          <w:bCs/>
        </w:rPr>
        <w:t xml:space="preserve">, the </w:t>
      </w:r>
      <w:r w:rsidR="00C21B34">
        <w:rPr>
          <w:bCs/>
        </w:rPr>
        <w:t>b</w:t>
      </w:r>
      <w:r w:rsidR="00C21B34" w:rsidRPr="00233332">
        <w:rPr>
          <w:bCs/>
        </w:rPr>
        <w:t>ank is</w:t>
      </w:r>
      <w:r w:rsidRPr="00233332">
        <w:rPr>
          <w:bCs/>
        </w:rPr>
        <w:t xml:space="preserve"> opening and closing of branches has </w:t>
      </w:r>
      <w:r w:rsidR="00E8665B">
        <w:rPr>
          <w:bCs/>
        </w:rPr>
        <w:t xml:space="preserve">generally </w:t>
      </w:r>
      <w:r w:rsidRPr="00233332">
        <w:rPr>
          <w:bCs/>
        </w:rPr>
        <w:t xml:space="preserve">not adversely affected the accessibility of its delivery systems, </w:t>
      </w:r>
      <w:r w:rsidRPr="00233332">
        <w:rPr>
          <w:bCs/>
        </w:rPr>
        <w:lastRenderedPageBreak/>
        <w:t>particularly in low- and moderate-income geographies and to low- and moderate-income individuals.  Services (including, where appropriate, business hours) do not vary in a way that inconveniences portions of the assessment area, particularly low- and moderate-income geographies and</w:t>
      </w:r>
      <w:r w:rsidR="00DE2264">
        <w:rPr>
          <w:bCs/>
        </w:rPr>
        <w:t>/or</w:t>
      </w:r>
      <w:r w:rsidRPr="00233332">
        <w:rPr>
          <w:bCs/>
        </w:rPr>
        <w:t xml:space="preserve"> individuals.  In addition, the </w:t>
      </w:r>
      <w:r>
        <w:rPr>
          <w:bCs/>
        </w:rPr>
        <w:t>b</w:t>
      </w:r>
      <w:r w:rsidRPr="00233332">
        <w:rPr>
          <w:bCs/>
        </w:rPr>
        <w:t>ank provides a relatively high level of community development services.</w:t>
      </w:r>
    </w:p>
    <w:p w14:paraId="54AE5FC4" w14:textId="3A91F31B" w:rsidR="007613E5" w:rsidRPr="00520574" w:rsidRDefault="007613E5" w:rsidP="007613E5">
      <w:pPr>
        <w:rPr>
          <w:bCs/>
        </w:rPr>
      </w:pPr>
    </w:p>
    <w:p w14:paraId="409CD239" w14:textId="77777777" w:rsidR="007613E5" w:rsidRDefault="007613E5" w:rsidP="007613E5">
      <w:pPr>
        <w:rPr>
          <w:b/>
          <w:bCs/>
          <w:u w:val="single"/>
        </w:rPr>
      </w:pPr>
      <w:r w:rsidRPr="00520574">
        <w:rPr>
          <w:b/>
          <w:bCs/>
          <w:u w:val="single"/>
        </w:rPr>
        <w:t>Accessibility of Delivery Systems</w:t>
      </w:r>
    </w:p>
    <w:p w14:paraId="5B399D63" w14:textId="77777777" w:rsidR="007613E5" w:rsidRPr="00233332" w:rsidRDefault="007613E5" w:rsidP="007613E5">
      <w:pPr>
        <w:rPr>
          <w:bCs/>
        </w:rPr>
      </w:pPr>
      <w:r w:rsidRPr="00233332">
        <w:rPr>
          <w:bCs/>
        </w:rPr>
        <w:t xml:space="preserve">Delivery systems are reasonably accessible to essentially all portions of its assessment area.  Alternative delivery systems supplement the </w:t>
      </w:r>
      <w:r>
        <w:rPr>
          <w:bCs/>
        </w:rPr>
        <w:t>b</w:t>
      </w:r>
      <w:r w:rsidRPr="00233332">
        <w:rPr>
          <w:bCs/>
        </w:rPr>
        <w:t>ank’s branches.</w:t>
      </w:r>
    </w:p>
    <w:p w14:paraId="11ABD2E7" w14:textId="7A3C4013" w:rsidR="007613E5" w:rsidRDefault="007613E5" w:rsidP="007613E5">
      <w:pPr>
        <w:rPr>
          <w:bCs/>
        </w:rPr>
      </w:pPr>
    </w:p>
    <w:tbl>
      <w:tblPr>
        <w:tblStyle w:val="TableGrid"/>
        <w:tblW w:w="0" w:type="auto"/>
        <w:tblLook w:val="04A0" w:firstRow="1" w:lastRow="0" w:firstColumn="1" w:lastColumn="0" w:noHBand="0" w:noVBand="1"/>
        <w:tblCaption w:val="Performance Context: Branch and ATM Distribution by Geography Income Level"/>
      </w:tblPr>
      <w:tblGrid>
        <w:gridCol w:w="1572"/>
        <w:gridCol w:w="961"/>
        <w:gridCol w:w="965"/>
        <w:gridCol w:w="1016"/>
        <w:gridCol w:w="971"/>
        <w:gridCol w:w="966"/>
        <w:gridCol w:w="970"/>
        <w:gridCol w:w="962"/>
        <w:gridCol w:w="967"/>
      </w:tblGrid>
      <w:tr w:rsidR="006E70BD" w:rsidRPr="00E3516B" w14:paraId="2C79A2F9" w14:textId="77777777" w:rsidTr="006E70BD">
        <w:trPr>
          <w:trHeight w:val="360"/>
          <w:tblHeader/>
        </w:trPr>
        <w:tc>
          <w:tcPr>
            <w:tcW w:w="9350" w:type="dxa"/>
            <w:gridSpan w:val="9"/>
          </w:tcPr>
          <w:p w14:paraId="62748E08" w14:textId="4F240B52" w:rsidR="006E70BD" w:rsidRPr="006E70BD" w:rsidRDefault="006E70BD" w:rsidP="00DE2264">
            <w:pPr>
              <w:keepNext/>
              <w:contextualSpacing/>
              <w:jc w:val="center"/>
              <w:rPr>
                <w:rFonts w:cs="Times New Roman"/>
                <w:sz w:val="20"/>
                <w:szCs w:val="20"/>
              </w:rPr>
            </w:pPr>
            <w:r w:rsidRPr="006E70BD">
              <w:rPr>
                <w:rFonts w:cs="Times New Roman"/>
                <w:b/>
                <w:color w:val="000000"/>
                <w:sz w:val="20"/>
                <w:szCs w:val="20"/>
              </w:rPr>
              <w:t xml:space="preserve">- </w:t>
            </w:r>
            <w:r w:rsidRPr="006E70BD">
              <w:rPr>
                <w:rFonts w:cs="Times New Roman"/>
                <w:b/>
                <w:sz w:val="20"/>
                <w:szCs w:val="20"/>
              </w:rPr>
              <w:t>Branch and ATM Distribution by Geography Income Level</w:t>
            </w:r>
          </w:p>
        </w:tc>
      </w:tr>
      <w:tr w:rsidR="006E70BD" w:rsidRPr="00E3516B" w14:paraId="52F8D258" w14:textId="77777777" w:rsidTr="006E70BD">
        <w:trPr>
          <w:trHeight w:val="288"/>
        </w:trPr>
        <w:tc>
          <w:tcPr>
            <w:tcW w:w="1572" w:type="dxa"/>
            <w:vMerge w:val="restart"/>
          </w:tcPr>
          <w:p w14:paraId="516DF622" w14:textId="77777777" w:rsidR="006E70BD" w:rsidRPr="006E70BD" w:rsidRDefault="006E70BD" w:rsidP="006E70BD">
            <w:pPr>
              <w:keepNext/>
              <w:contextualSpacing/>
              <w:rPr>
                <w:rFonts w:cs="Times New Roman"/>
                <w:b/>
                <w:sz w:val="20"/>
                <w:szCs w:val="20"/>
              </w:rPr>
            </w:pPr>
            <w:r w:rsidRPr="006E70BD">
              <w:rPr>
                <w:rFonts w:cs="Times New Roman"/>
                <w:b/>
                <w:sz w:val="20"/>
                <w:szCs w:val="20"/>
              </w:rPr>
              <w:t>Tract Income Level</w:t>
            </w:r>
          </w:p>
        </w:tc>
        <w:tc>
          <w:tcPr>
            <w:tcW w:w="1926" w:type="dxa"/>
            <w:gridSpan w:val="2"/>
          </w:tcPr>
          <w:p w14:paraId="028861BA" w14:textId="77777777" w:rsidR="006E70BD" w:rsidRPr="006E70BD" w:rsidRDefault="006E70BD" w:rsidP="006E70BD">
            <w:pPr>
              <w:keepNext/>
              <w:contextualSpacing/>
              <w:jc w:val="center"/>
              <w:rPr>
                <w:rFonts w:cs="Times New Roman"/>
                <w:b/>
                <w:sz w:val="20"/>
                <w:szCs w:val="20"/>
              </w:rPr>
            </w:pPr>
            <w:r w:rsidRPr="006E70BD">
              <w:rPr>
                <w:rFonts w:cs="Times New Roman"/>
                <w:b/>
                <w:sz w:val="20"/>
                <w:szCs w:val="20"/>
              </w:rPr>
              <w:t>Census Tracts</w:t>
            </w:r>
          </w:p>
        </w:tc>
        <w:tc>
          <w:tcPr>
            <w:tcW w:w="1987" w:type="dxa"/>
            <w:gridSpan w:val="2"/>
          </w:tcPr>
          <w:p w14:paraId="4519DB36" w14:textId="77777777" w:rsidR="006E70BD" w:rsidRPr="006E70BD" w:rsidRDefault="006E70BD" w:rsidP="006E70BD">
            <w:pPr>
              <w:keepNext/>
              <w:contextualSpacing/>
              <w:jc w:val="center"/>
              <w:rPr>
                <w:rFonts w:cs="Times New Roman"/>
                <w:b/>
                <w:sz w:val="20"/>
                <w:szCs w:val="20"/>
              </w:rPr>
            </w:pPr>
            <w:r w:rsidRPr="006E70BD">
              <w:rPr>
                <w:rFonts w:cs="Times New Roman"/>
                <w:b/>
                <w:sz w:val="20"/>
                <w:szCs w:val="20"/>
              </w:rPr>
              <w:t>Population</w:t>
            </w:r>
          </w:p>
        </w:tc>
        <w:tc>
          <w:tcPr>
            <w:tcW w:w="1936" w:type="dxa"/>
            <w:gridSpan w:val="2"/>
          </w:tcPr>
          <w:p w14:paraId="0BFB7AC4" w14:textId="77777777" w:rsidR="006E70BD" w:rsidRPr="006E70BD" w:rsidRDefault="006E70BD" w:rsidP="006E70BD">
            <w:pPr>
              <w:keepNext/>
              <w:contextualSpacing/>
              <w:jc w:val="center"/>
              <w:rPr>
                <w:rFonts w:cs="Times New Roman"/>
                <w:b/>
                <w:sz w:val="20"/>
                <w:szCs w:val="20"/>
              </w:rPr>
            </w:pPr>
            <w:r w:rsidRPr="006E70BD">
              <w:rPr>
                <w:rFonts w:cs="Times New Roman"/>
                <w:b/>
                <w:sz w:val="20"/>
                <w:szCs w:val="20"/>
              </w:rPr>
              <w:t>Branches</w:t>
            </w:r>
          </w:p>
        </w:tc>
        <w:tc>
          <w:tcPr>
            <w:tcW w:w="1929" w:type="dxa"/>
            <w:gridSpan w:val="2"/>
          </w:tcPr>
          <w:p w14:paraId="49A17B02" w14:textId="77777777" w:rsidR="006E70BD" w:rsidRPr="006E70BD" w:rsidRDefault="006E70BD" w:rsidP="006E70BD">
            <w:pPr>
              <w:keepNext/>
              <w:contextualSpacing/>
              <w:jc w:val="center"/>
              <w:rPr>
                <w:rFonts w:cs="Times New Roman"/>
                <w:b/>
                <w:sz w:val="20"/>
                <w:szCs w:val="20"/>
              </w:rPr>
            </w:pPr>
            <w:r w:rsidRPr="006E70BD">
              <w:rPr>
                <w:rFonts w:cs="Times New Roman"/>
                <w:b/>
                <w:sz w:val="20"/>
                <w:szCs w:val="20"/>
              </w:rPr>
              <w:t>ATMs</w:t>
            </w:r>
          </w:p>
        </w:tc>
      </w:tr>
      <w:tr w:rsidR="006E70BD" w:rsidRPr="00E3516B" w14:paraId="7D846A69" w14:textId="77777777" w:rsidTr="006E70BD">
        <w:trPr>
          <w:trHeight w:val="288"/>
        </w:trPr>
        <w:tc>
          <w:tcPr>
            <w:tcW w:w="1572" w:type="dxa"/>
            <w:vMerge/>
          </w:tcPr>
          <w:p w14:paraId="2EAA52E9" w14:textId="77777777" w:rsidR="006E70BD" w:rsidRPr="006E70BD" w:rsidRDefault="006E70BD" w:rsidP="006E70BD">
            <w:pPr>
              <w:keepNext/>
              <w:contextualSpacing/>
              <w:rPr>
                <w:rFonts w:cs="Times New Roman"/>
                <w:sz w:val="20"/>
                <w:szCs w:val="20"/>
              </w:rPr>
            </w:pPr>
          </w:p>
        </w:tc>
        <w:tc>
          <w:tcPr>
            <w:tcW w:w="961" w:type="dxa"/>
          </w:tcPr>
          <w:p w14:paraId="573B7F6C" w14:textId="77777777" w:rsidR="006E70BD" w:rsidRPr="006E70BD" w:rsidRDefault="006E70BD" w:rsidP="006E70BD">
            <w:pPr>
              <w:keepNext/>
              <w:contextualSpacing/>
              <w:jc w:val="center"/>
              <w:rPr>
                <w:rFonts w:cs="Times New Roman"/>
                <w:b/>
                <w:sz w:val="20"/>
                <w:szCs w:val="20"/>
              </w:rPr>
            </w:pPr>
            <w:r w:rsidRPr="006E70BD">
              <w:rPr>
                <w:rFonts w:cs="Times New Roman"/>
                <w:b/>
                <w:sz w:val="20"/>
                <w:szCs w:val="20"/>
              </w:rPr>
              <w:t>#</w:t>
            </w:r>
          </w:p>
        </w:tc>
        <w:tc>
          <w:tcPr>
            <w:tcW w:w="965" w:type="dxa"/>
          </w:tcPr>
          <w:p w14:paraId="209436B7" w14:textId="77777777" w:rsidR="006E70BD" w:rsidRPr="006E70BD" w:rsidRDefault="006E70BD" w:rsidP="006E70BD">
            <w:pPr>
              <w:keepNext/>
              <w:contextualSpacing/>
              <w:jc w:val="center"/>
              <w:rPr>
                <w:rFonts w:cs="Times New Roman"/>
                <w:b/>
                <w:sz w:val="20"/>
                <w:szCs w:val="20"/>
              </w:rPr>
            </w:pPr>
            <w:r w:rsidRPr="006E70BD">
              <w:rPr>
                <w:rFonts w:cs="Times New Roman"/>
                <w:b/>
                <w:sz w:val="20"/>
                <w:szCs w:val="20"/>
              </w:rPr>
              <w:t>%</w:t>
            </w:r>
          </w:p>
        </w:tc>
        <w:tc>
          <w:tcPr>
            <w:tcW w:w="1016" w:type="dxa"/>
          </w:tcPr>
          <w:p w14:paraId="7103D435" w14:textId="77777777" w:rsidR="006E70BD" w:rsidRPr="006E70BD" w:rsidRDefault="006E70BD" w:rsidP="006E70BD">
            <w:pPr>
              <w:keepNext/>
              <w:contextualSpacing/>
              <w:jc w:val="center"/>
              <w:rPr>
                <w:rFonts w:cs="Times New Roman"/>
                <w:b/>
                <w:sz w:val="20"/>
                <w:szCs w:val="20"/>
              </w:rPr>
            </w:pPr>
            <w:r w:rsidRPr="006E70BD">
              <w:rPr>
                <w:rFonts w:cs="Times New Roman"/>
                <w:b/>
                <w:sz w:val="20"/>
                <w:szCs w:val="20"/>
              </w:rPr>
              <w:t>#</w:t>
            </w:r>
          </w:p>
        </w:tc>
        <w:tc>
          <w:tcPr>
            <w:tcW w:w="971" w:type="dxa"/>
          </w:tcPr>
          <w:p w14:paraId="3AF0EB44" w14:textId="77777777" w:rsidR="006E70BD" w:rsidRPr="006E70BD" w:rsidRDefault="006E70BD" w:rsidP="006E70BD">
            <w:pPr>
              <w:keepNext/>
              <w:contextualSpacing/>
              <w:jc w:val="center"/>
              <w:rPr>
                <w:rFonts w:cs="Times New Roman"/>
                <w:b/>
                <w:sz w:val="20"/>
                <w:szCs w:val="20"/>
              </w:rPr>
            </w:pPr>
            <w:r w:rsidRPr="006E70BD">
              <w:rPr>
                <w:rFonts w:cs="Times New Roman"/>
                <w:b/>
                <w:sz w:val="20"/>
                <w:szCs w:val="20"/>
              </w:rPr>
              <w:t>%</w:t>
            </w:r>
          </w:p>
        </w:tc>
        <w:tc>
          <w:tcPr>
            <w:tcW w:w="966" w:type="dxa"/>
          </w:tcPr>
          <w:p w14:paraId="477E6CD7" w14:textId="77777777" w:rsidR="006E70BD" w:rsidRPr="006E70BD" w:rsidRDefault="006E70BD" w:rsidP="006E70BD">
            <w:pPr>
              <w:keepNext/>
              <w:contextualSpacing/>
              <w:jc w:val="center"/>
              <w:rPr>
                <w:rFonts w:cs="Times New Roman"/>
                <w:b/>
                <w:sz w:val="20"/>
                <w:szCs w:val="20"/>
              </w:rPr>
            </w:pPr>
            <w:r w:rsidRPr="006E70BD">
              <w:rPr>
                <w:rFonts w:cs="Times New Roman"/>
                <w:b/>
                <w:sz w:val="20"/>
                <w:szCs w:val="20"/>
              </w:rPr>
              <w:t>#</w:t>
            </w:r>
          </w:p>
        </w:tc>
        <w:tc>
          <w:tcPr>
            <w:tcW w:w="970" w:type="dxa"/>
          </w:tcPr>
          <w:p w14:paraId="5822457A" w14:textId="77777777" w:rsidR="006E70BD" w:rsidRPr="006E70BD" w:rsidRDefault="006E70BD" w:rsidP="006E70BD">
            <w:pPr>
              <w:keepNext/>
              <w:contextualSpacing/>
              <w:jc w:val="center"/>
              <w:rPr>
                <w:rFonts w:cs="Times New Roman"/>
                <w:b/>
                <w:sz w:val="20"/>
                <w:szCs w:val="20"/>
              </w:rPr>
            </w:pPr>
            <w:r w:rsidRPr="006E70BD">
              <w:rPr>
                <w:rFonts w:cs="Times New Roman"/>
                <w:b/>
                <w:sz w:val="20"/>
                <w:szCs w:val="20"/>
              </w:rPr>
              <w:t>%</w:t>
            </w:r>
          </w:p>
        </w:tc>
        <w:tc>
          <w:tcPr>
            <w:tcW w:w="962" w:type="dxa"/>
          </w:tcPr>
          <w:p w14:paraId="35D03D33" w14:textId="77777777" w:rsidR="006E70BD" w:rsidRPr="006E70BD" w:rsidRDefault="006E70BD" w:rsidP="006E70BD">
            <w:pPr>
              <w:keepNext/>
              <w:contextualSpacing/>
              <w:jc w:val="center"/>
              <w:rPr>
                <w:rFonts w:cs="Times New Roman"/>
                <w:b/>
                <w:sz w:val="20"/>
                <w:szCs w:val="20"/>
              </w:rPr>
            </w:pPr>
            <w:r w:rsidRPr="006E70BD">
              <w:rPr>
                <w:rFonts w:cs="Times New Roman"/>
                <w:b/>
                <w:sz w:val="20"/>
                <w:szCs w:val="20"/>
              </w:rPr>
              <w:t>#</w:t>
            </w:r>
          </w:p>
        </w:tc>
        <w:tc>
          <w:tcPr>
            <w:tcW w:w="967" w:type="dxa"/>
          </w:tcPr>
          <w:p w14:paraId="10C8AC3D" w14:textId="77777777" w:rsidR="006E70BD" w:rsidRPr="006E70BD" w:rsidRDefault="006E70BD" w:rsidP="006E70BD">
            <w:pPr>
              <w:keepNext/>
              <w:contextualSpacing/>
              <w:jc w:val="center"/>
              <w:rPr>
                <w:rFonts w:cs="Times New Roman"/>
                <w:b/>
                <w:sz w:val="20"/>
                <w:szCs w:val="20"/>
              </w:rPr>
            </w:pPr>
            <w:r w:rsidRPr="006E70BD">
              <w:rPr>
                <w:rFonts w:cs="Times New Roman"/>
                <w:b/>
                <w:sz w:val="20"/>
                <w:szCs w:val="20"/>
              </w:rPr>
              <w:t>%</w:t>
            </w:r>
          </w:p>
        </w:tc>
      </w:tr>
      <w:tr w:rsidR="006E70BD" w:rsidRPr="00E3516B" w14:paraId="505B893F" w14:textId="77777777" w:rsidTr="006E70BD">
        <w:trPr>
          <w:trHeight w:val="288"/>
        </w:trPr>
        <w:tc>
          <w:tcPr>
            <w:tcW w:w="1572" w:type="dxa"/>
          </w:tcPr>
          <w:p w14:paraId="5BF33E92" w14:textId="77777777" w:rsidR="006E70BD" w:rsidRPr="006E70BD" w:rsidRDefault="006E70BD" w:rsidP="006E70BD">
            <w:pPr>
              <w:keepNext/>
              <w:contextualSpacing/>
              <w:rPr>
                <w:rFonts w:cs="Times New Roman"/>
                <w:sz w:val="20"/>
                <w:szCs w:val="20"/>
              </w:rPr>
            </w:pPr>
            <w:r w:rsidRPr="006E70BD">
              <w:rPr>
                <w:rFonts w:cs="Times New Roman"/>
                <w:sz w:val="20"/>
                <w:szCs w:val="20"/>
              </w:rPr>
              <w:t>Low</w:t>
            </w:r>
          </w:p>
        </w:tc>
        <w:tc>
          <w:tcPr>
            <w:tcW w:w="961" w:type="dxa"/>
          </w:tcPr>
          <w:p w14:paraId="1DB44DC5" w14:textId="261F082E" w:rsidR="006E70BD" w:rsidRPr="006E70BD" w:rsidRDefault="006E70BD" w:rsidP="006E70BD">
            <w:pPr>
              <w:keepNext/>
              <w:contextualSpacing/>
              <w:jc w:val="center"/>
              <w:rPr>
                <w:rFonts w:cs="Times New Roman"/>
                <w:sz w:val="20"/>
                <w:szCs w:val="20"/>
              </w:rPr>
            </w:pPr>
            <w:r w:rsidRPr="006E70BD">
              <w:rPr>
                <w:sz w:val="20"/>
                <w:szCs w:val="20"/>
              </w:rPr>
              <w:t>22</w:t>
            </w:r>
          </w:p>
        </w:tc>
        <w:tc>
          <w:tcPr>
            <w:tcW w:w="965" w:type="dxa"/>
          </w:tcPr>
          <w:p w14:paraId="2918332B" w14:textId="0F89A2CF" w:rsidR="006E70BD" w:rsidRPr="006E70BD" w:rsidRDefault="006E70BD" w:rsidP="006E70BD">
            <w:pPr>
              <w:keepNext/>
              <w:contextualSpacing/>
              <w:jc w:val="center"/>
              <w:rPr>
                <w:rFonts w:cs="Times New Roman"/>
                <w:sz w:val="20"/>
                <w:szCs w:val="20"/>
              </w:rPr>
            </w:pPr>
            <w:r w:rsidRPr="006E70BD">
              <w:rPr>
                <w:sz w:val="20"/>
                <w:szCs w:val="20"/>
              </w:rPr>
              <w:t>6.9</w:t>
            </w:r>
          </w:p>
        </w:tc>
        <w:tc>
          <w:tcPr>
            <w:tcW w:w="1016" w:type="dxa"/>
          </w:tcPr>
          <w:p w14:paraId="206FBFBB" w14:textId="04E07C4E" w:rsidR="006E70BD" w:rsidRPr="006E70BD" w:rsidRDefault="006E70BD" w:rsidP="006E70BD">
            <w:pPr>
              <w:keepNext/>
              <w:contextualSpacing/>
              <w:jc w:val="center"/>
              <w:rPr>
                <w:rFonts w:cs="Times New Roman"/>
                <w:sz w:val="20"/>
                <w:szCs w:val="20"/>
              </w:rPr>
            </w:pPr>
            <w:r w:rsidRPr="006E70BD">
              <w:rPr>
                <w:sz w:val="20"/>
                <w:szCs w:val="20"/>
              </w:rPr>
              <w:t>96,338</w:t>
            </w:r>
          </w:p>
        </w:tc>
        <w:tc>
          <w:tcPr>
            <w:tcW w:w="971" w:type="dxa"/>
          </w:tcPr>
          <w:p w14:paraId="7A1B2ADE" w14:textId="330D7210" w:rsidR="006E70BD" w:rsidRPr="006E70BD" w:rsidRDefault="006E70BD" w:rsidP="006E70BD">
            <w:pPr>
              <w:keepNext/>
              <w:contextualSpacing/>
              <w:jc w:val="center"/>
              <w:rPr>
                <w:rFonts w:cs="Times New Roman"/>
                <w:sz w:val="20"/>
                <w:szCs w:val="20"/>
              </w:rPr>
            </w:pPr>
            <w:r w:rsidRPr="006E70BD">
              <w:rPr>
                <w:sz w:val="20"/>
                <w:szCs w:val="20"/>
              </w:rPr>
              <w:t>6.2</w:t>
            </w:r>
          </w:p>
        </w:tc>
        <w:tc>
          <w:tcPr>
            <w:tcW w:w="966" w:type="dxa"/>
          </w:tcPr>
          <w:p w14:paraId="7F4880DA" w14:textId="596DA61E" w:rsidR="006E70BD" w:rsidRPr="006E70BD" w:rsidRDefault="006E70BD" w:rsidP="006E70BD">
            <w:pPr>
              <w:keepNext/>
              <w:contextualSpacing/>
              <w:jc w:val="center"/>
              <w:rPr>
                <w:rFonts w:cs="Times New Roman"/>
                <w:sz w:val="20"/>
                <w:szCs w:val="20"/>
              </w:rPr>
            </w:pPr>
            <w:r w:rsidRPr="006E70BD">
              <w:rPr>
                <w:sz w:val="20"/>
                <w:szCs w:val="20"/>
              </w:rPr>
              <w:t>0</w:t>
            </w:r>
          </w:p>
        </w:tc>
        <w:tc>
          <w:tcPr>
            <w:tcW w:w="970" w:type="dxa"/>
          </w:tcPr>
          <w:p w14:paraId="1B84354A" w14:textId="5E8AB6B2" w:rsidR="006E70BD" w:rsidRPr="006E70BD" w:rsidRDefault="006E70BD" w:rsidP="006E70BD">
            <w:pPr>
              <w:keepNext/>
              <w:contextualSpacing/>
              <w:jc w:val="center"/>
              <w:rPr>
                <w:rFonts w:cs="Times New Roman"/>
                <w:sz w:val="20"/>
                <w:szCs w:val="20"/>
              </w:rPr>
            </w:pPr>
            <w:r w:rsidRPr="006E70BD">
              <w:rPr>
                <w:sz w:val="20"/>
                <w:szCs w:val="20"/>
              </w:rPr>
              <w:t>0.0</w:t>
            </w:r>
          </w:p>
        </w:tc>
        <w:tc>
          <w:tcPr>
            <w:tcW w:w="962" w:type="dxa"/>
          </w:tcPr>
          <w:p w14:paraId="39FD28BB" w14:textId="2A85B69B" w:rsidR="006E70BD" w:rsidRPr="006E70BD" w:rsidRDefault="006E70BD" w:rsidP="006E70BD">
            <w:pPr>
              <w:keepNext/>
              <w:contextualSpacing/>
              <w:jc w:val="center"/>
              <w:rPr>
                <w:rFonts w:cs="Times New Roman"/>
                <w:sz w:val="20"/>
                <w:szCs w:val="20"/>
              </w:rPr>
            </w:pPr>
            <w:r w:rsidRPr="006E70BD">
              <w:rPr>
                <w:sz w:val="20"/>
                <w:szCs w:val="20"/>
              </w:rPr>
              <w:t>0</w:t>
            </w:r>
          </w:p>
        </w:tc>
        <w:tc>
          <w:tcPr>
            <w:tcW w:w="967" w:type="dxa"/>
          </w:tcPr>
          <w:p w14:paraId="40106766" w14:textId="66BB11B4" w:rsidR="006E70BD" w:rsidRPr="006E70BD" w:rsidRDefault="006E70BD" w:rsidP="006E70BD">
            <w:pPr>
              <w:keepNext/>
              <w:contextualSpacing/>
              <w:jc w:val="center"/>
              <w:rPr>
                <w:rFonts w:cs="Times New Roman"/>
                <w:sz w:val="20"/>
                <w:szCs w:val="20"/>
              </w:rPr>
            </w:pPr>
            <w:r w:rsidRPr="006E70BD">
              <w:rPr>
                <w:sz w:val="20"/>
                <w:szCs w:val="20"/>
              </w:rPr>
              <w:t>0.0</w:t>
            </w:r>
          </w:p>
        </w:tc>
      </w:tr>
      <w:tr w:rsidR="006E70BD" w:rsidRPr="00E3516B" w14:paraId="2E694E62" w14:textId="77777777" w:rsidTr="006E70BD">
        <w:trPr>
          <w:trHeight w:val="288"/>
        </w:trPr>
        <w:tc>
          <w:tcPr>
            <w:tcW w:w="1572" w:type="dxa"/>
          </w:tcPr>
          <w:p w14:paraId="62AD23E1" w14:textId="77777777" w:rsidR="006E70BD" w:rsidRPr="006E70BD" w:rsidRDefault="006E70BD" w:rsidP="006E70BD">
            <w:pPr>
              <w:keepNext/>
              <w:contextualSpacing/>
              <w:rPr>
                <w:rFonts w:cs="Times New Roman"/>
                <w:sz w:val="20"/>
                <w:szCs w:val="20"/>
              </w:rPr>
            </w:pPr>
            <w:r w:rsidRPr="006E70BD">
              <w:rPr>
                <w:rFonts w:cs="Times New Roman"/>
                <w:sz w:val="20"/>
                <w:szCs w:val="20"/>
              </w:rPr>
              <w:t>Moderate</w:t>
            </w:r>
          </w:p>
        </w:tc>
        <w:tc>
          <w:tcPr>
            <w:tcW w:w="961" w:type="dxa"/>
          </w:tcPr>
          <w:p w14:paraId="27466175" w14:textId="2E37875D" w:rsidR="006E70BD" w:rsidRPr="006E70BD" w:rsidRDefault="006E70BD" w:rsidP="006E70BD">
            <w:pPr>
              <w:keepNext/>
              <w:contextualSpacing/>
              <w:jc w:val="center"/>
              <w:rPr>
                <w:rFonts w:cs="Times New Roman"/>
                <w:sz w:val="20"/>
                <w:szCs w:val="20"/>
              </w:rPr>
            </w:pPr>
            <w:r w:rsidRPr="006E70BD">
              <w:rPr>
                <w:sz w:val="20"/>
                <w:szCs w:val="20"/>
              </w:rPr>
              <w:t>55</w:t>
            </w:r>
          </w:p>
        </w:tc>
        <w:tc>
          <w:tcPr>
            <w:tcW w:w="965" w:type="dxa"/>
          </w:tcPr>
          <w:p w14:paraId="52157C80" w14:textId="2350BC0D" w:rsidR="006E70BD" w:rsidRPr="006E70BD" w:rsidRDefault="006E70BD" w:rsidP="006E70BD">
            <w:pPr>
              <w:keepNext/>
              <w:contextualSpacing/>
              <w:jc w:val="center"/>
              <w:rPr>
                <w:rFonts w:cs="Times New Roman"/>
                <w:sz w:val="20"/>
                <w:szCs w:val="20"/>
              </w:rPr>
            </w:pPr>
            <w:r w:rsidRPr="006E70BD">
              <w:rPr>
                <w:sz w:val="20"/>
                <w:szCs w:val="20"/>
              </w:rPr>
              <w:t>17.3</w:t>
            </w:r>
          </w:p>
        </w:tc>
        <w:tc>
          <w:tcPr>
            <w:tcW w:w="1016" w:type="dxa"/>
          </w:tcPr>
          <w:p w14:paraId="1D5620C8" w14:textId="25DD8C5B" w:rsidR="006E70BD" w:rsidRPr="006E70BD" w:rsidRDefault="006E70BD" w:rsidP="006E70BD">
            <w:pPr>
              <w:keepNext/>
              <w:contextualSpacing/>
              <w:jc w:val="center"/>
              <w:rPr>
                <w:rFonts w:cs="Times New Roman"/>
                <w:sz w:val="20"/>
                <w:szCs w:val="20"/>
              </w:rPr>
            </w:pPr>
            <w:r w:rsidRPr="006E70BD">
              <w:rPr>
                <w:sz w:val="20"/>
                <w:szCs w:val="20"/>
              </w:rPr>
              <w:t>263,448</w:t>
            </w:r>
          </w:p>
        </w:tc>
        <w:tc>
          <w:tcPr>
            <w:tcW w:w="971" w:type="dxa"/>
          </w:tcPr>
          <w:p w14:paraId="0C3449D0" w14:textId="3F5E4FE8" w:rsidR="006E70BD" w:rsidRPr="006E70BD" w:rsidRDefault="006E70BD" w:rsidP="006E70BD">
            <w:pPr>
              <w:keepNext/>
              <w:contextualSpacing/>
              <w:jc w:val="center"/>
              <w:rPr>
                <w:rFonts w:cs="Times New Roman"/>
                <w:sz w:val="20"/>
                <w:szCs w:val="20"/>
              </w:rPr>
            </w:pPr>
            <w:r w:rsidRPr="006E70BD">
              <w:rPr>
                <w:sz w:val="20"/>
                <w:szCs w:val="20"/>
              </w:rPr>
              <w:t>16.9</w:t>
            </w:r>
          </w:p>
        </w:tc>
        <w:tc>
          <w:tcPr>
            <w:tcW w:w="966" w:type="dxa"/>
          </w:tcPr>
          <w:p w14:paraId="4D006A08" w14:textId="0A8FB6CA" w:rsidR="006E70BD" w:rsidRPr="006E70BD" w:rsidRDefault="006E70BD" w:rsidP="006E70BD">
            <w:pPr>
              <w:keepNext/>
              <w:contextualSpacing/>
              <w:jc w:val="center"/>
              <w:rPr>
                <w:rFonts w:cs="Times New Roman"/>
                <w:sz w:val="20"/>
                <w:szCs w:val="20"/>
              </w:rPr>
            </w:pPr>
            <w:r w:rsidRPr="006E70BD">
              <w:rPr>
                <w:sz w:val="20"/>
                <w:szCs w:val="20"/>
              </w:rPr>
              <w:t>0</w:t>
            </w:r>
          </w:p>
        </w:tc>
        <w:tc>
          <w:tcPr>
            <w:tcW w:w="970" w:type="dxa"/>
          </w:tcPr>
          <w:p w14:paraId="23F09AF6" w14:textId="46641AFB" w:rsidR="006E70BD" w:rsidRPr="006E70BD" w:rsidRDefault="006E70BD" w:rsidP="006E70BD">
            <w:pPr>
              <w:keepNext/>
              <w:contextualSpacing/>
              <w:jc w:val="center"/>
              <w:rPr>
                <w:rFonts w:cs="Times New Roman"/>
                <w:sz w:val="20"/>
                <w:szCs w:val="20"/>
              </w:rPr>
            </w:pPr>
            <w:r w:rsidRPr="006E70BD">
              <w:rPr>
                <w:sz w:val="20"/>
                <w:szCs w:val="20"/>
              </w:rPr>
              <w:t>0.0</w:t>
            </w:r>
          </w:p>
        </w:tc>
        <w:tc>
          <w:tcPr>
            <w:tcW w:w="962" w:type="dxa"/>
          </w:tcPr>
          <w:p w14:paraId="607591FA" w14:textId="31A3057A" w:rsidR="006E70BD" w:rsidRPr="006E70BD" w:rsidRDefault="006E70BD" w:rsidP="006E70BD">
            <w:pPr>
              <w:keepNext/>
              <w:contextualSpacing/>
              <w:jc w:val="center"/>
              <w:rPr>
                <w:rFonts w:cs="Times New Roman"/>
                <w:sz w:val="20"/>
                <w:szCs w:val="20"/>
              </w:rPr>
            </w:pPr>
            <w:r w:rsidRPr="006E70BD">
              <w:rPr>
                <w:sz w:val="20"/>
                <w:szCs w:val="20"/>
              </w:rPr>
              <w:t>0</w:t>
            </w:r>
          </w:p>
        </w:tc>
        <w:tc>
          <w:tcPr>
            <w:tcW w:w="967" w:type="dxa"/>
          </w:tcPr>
          <w:p w14:paraId="196E1005" w14:textId="5615E00D" w:rsidR="006E70BD" w:rsidRPr="006E70BD" w:rsidRDefault="006E70BD" w:rsidP="006E70BD">
            <w:pPr>
              <w:keepNext/>
              <w:contextualSpacing/>
              <w:jc w:val="center"/>
              <w:rPr>
                <w:rFonts w:cs="Times New Roman"/>
                <w:sz w:val="20"/>
                <w:szCs w:val="20"/>
              </w:rPr>
            </w:pPr>
            <w:r w:rsidRPr="006E70BD">
              <w:rPr>
                <w:sz w:val="20"/>
                <w:szCs w:val="20"/>
              </w:rPr>
              <w:t>0.0</w:t>
            </w:r>
          </w:p>
        </w:tc>
      </w:tr>
      <w:tr w:rsidR="006E70BD" w:rsidRPr="00E3516B" w14:paraId="0BE78AA9" w14:textId="77777777" w:rsidTr="006E70BD">
        <w:trPr>
          <w:trHeight w:val="288"/>
        </w:trPr>
        <w:tc>
          <w:tcPr>
            <w:tcW w:w="1572" w:type="dxa"/>
          </w:tcPr>
          <w:p w14:paraId="18F0D2C8" w14:textId="77777777" w:rsidR="006E70BD" w:rsidRPr="006E70BD" w:rsidRDefault="006E70BD" w:rsidP="006E70BD">
            <w:pPr>
              <w:keepNext/>
              <w:contextualSpacing/>
              <w:rPr>
                <w:rFonts w:cs="Times New Roman"/>
                <w:sz w:val="20"/>
                <w:szCs w:val="20"/>
              </w:rPr>
            </w:pPr>
            <w:r w:rsidRPr="006E70BD">
              <w:rPr>
                <w:rFonts w:cs="Times New Roman"/>
                <w:sz w:val="20"/>
                <w:szCs w:val="20"/>
              </w:rPr>
              <w:t>Middle</w:t>
            </w:r>
          </w:p>
        </w:tc>
        <w:tc>
          <w:tcPr>
            <w:tcW w:w="961" w:type="dxa"/>
          </w:tcPr>
          <w:p w14:paraId="69D2F994" w14:textId="6B4AFA37" w:rsidR="006E70BD" w:rsidRPr="006E70BD" w:rsidRDefault="006E70BD" w:rsidP="006E70BD">
            <w:pPr>
              <w:keepNext/>
              <w:contextualSpacing/>
              <w:jc w:val="center"/>
              <w:rPr>
                <w:rFonts w:cs="Times New Roman"/>
                <w:sz w:val="20"/>
                <w:szCs w:val="20"/>
              </w:rPr>
            </w:pPr>
            <w:r w:rsidRPr="006E70BD">
              <w:rPr>
                <w:sz w:val="20"/>
                <w:szCs w:val="20"/>
              </w:rPr>
              <w:t>126</w:t>
            </w:r>
          </w:p>
        </w:tc>
        <w:tc>
          <w:tcPr>
            <w:tcW w:w="965" w:type="dxa"/>
          </w:tcPr>
          <w:p w14:paraId="5DBD8213" w14:textId="366DF25D" w:rsidR="006E70BD" w:rsidRPr="006E70BD" w:rsidRDefault="006E70BD" w:rsidP="006E70BD">
            <w:pPr>
              <w:keepNext/>
              <w:contextualSpacing/>
              <w:jc w:val="center"/>
              <w:rPr>
                <w:rFonts w:cs="Times New Roman"/>
                <w:sz w:val="20"/>
                <w:szCs w:val="20"/>
              </w:rPr>
            </w:pPr>
            <w:r w:rsidRPr="006E70BD">
              <w:rPr>
                <w:sz w:val="20"/>
                <w:szCs w:val="20"/>
              </w:rPr>
              <w:t>39.6</w:t>
            </w:r>
          </w:p>
        </w:tc>
        <w:tc>
          <w:tcPr>
            <w:tcW w:w="1016" w:type="dxa"/>
          </w:tcPr>
          <w:p w14:paraId="4A33EE8A" w14:textId="202C50BF" w:rsidR="006E70BD" w:rsidRPr="006E70BD" w:rsidRDefault="006E70BD" w:rsidP="006E70BD">
            <w:pPr>
              <w:keepNext/>
              <w:contextualSpacing/>
              <w:jc w:val="center"/>
              <w:rPr>
                <w:rFonts w:cs="Times New Roman"/>
                <w:sz w:val="20"/>
                <w:szCs w:val="20"/>
              </w:rPr>
            </w:pPr>
            <w:r w:rsidRPr="006E70BD">
              <w:rPr>
                <w:sz w:val="20"/>
                <w:szCs w:val="20"/>
              </w:rPr>
              <w:t>644,764</w:t>
            </w:r>
          </w:p>
        </w:tc>
        <w:tc>
          <w:tcPr>
            <w:tcW w:w="971" w:type="dxa"/>
          </w:tcPr>
          <w:p w14:paraId="45530397" w14:textId="5F228494" w:rsidR="006E70BD" w:rsidRPr="006E70BD" w:rsidRDefault="006E70BD" w:rsidP="006E70BD">
            <w:pPr>
              <w:keepNext/>
              <w:contextualSpacing/>
              <w:jc w:val="center"/>
              <w:rPr>
                <w:rFonts w:cs="Times New Roman"/>
                <w:sz w:val="20"/>
                <w:szCs w:val="20"/>
              </w:rPr>
            </w:pPr>
            <w:r w:rsidRPr="006E70BD">
              <w:rPr>
                <w:sz w:val="20"/>
                <w:szCs w:val="20"/>
              </w:rPr>
              <w:t>41.4</w:t>
            </w:r>
          </w:p>
        </w:tc>
        <w:tc>
          <w:tcPr>
            <w:tcW w:w="966" w:type="dxa"/>
          </w:tcPr>
          <w:p w14:paraId="1CBDA16F" w14:textId="096BE07C" w:rsidR="006E70BD" w:rsidRPr="006E70BD" w:rsidRDefault="006E70BD" w:rsidP="006E70BD">
            <w:pPr>
              <w:keepNext/>
              <w:contextualSpacing/>
              <w:jc w:val="center"/>
              <w:rPr>
                <w:rFonts w:cs="Times New Roman"/>
                <w:sz w:val="20"/>
                <w:szCs w:val="20"/>
              </w:rPr>
            </w:pPr>
            <w:r w:rsidRPr="006E70BD">
              <w:rPr>
                <w:sz w:val="20"/>
                <w:szCs w:val="20"/>
              </w:rPr>
              <w:t>5</w:t>
            </w:r>
          </w:p>
        </w:tc>
        <w:tc>
          <w:tcPr>
            <w:tcW w:w="970" w:type="dxa"/>
          </w:tcPr>
          <w:p w14:paraId="31E6D02E" w14:textId="0A8FAB99" w:rsidR="006E70BD" w:rsidRPr="006E70BD" w:rsidRDefault="006E70BD" w:rsidP="006E70BD">
            <w:pPr>
              <w:keepNext/>
              <w:contextualSpacing/>
              <w:jc w:val="center"/>
              <w:rPr>
                <w:rFonts w:cs="Times New Roman"/>
                <w:sz w:val="20"/>
                <w:szCs w:val="20"/>
              </w:rPr>
            </w:pPr>
            <w:r w:rsidRPr="006E70BD">
              <w:rPr>
                <w:sz w:val="20"/>
                <w:szCs w:val="20"/>
              </w:rPr>
              <w:t>41.7</w:t>
            </w:r>
          </w:p>
        </w:tc>
        <w:tc>
          <w:tcPr>
            <w:tcW w:w="962" w:type="dxa"/>
          </w:tcPr>
          <w:p w14:paraId="7ECD38AB" w14:textId="20413E8C" w:rsidR="006E70BD" w:rsidRPr="006E70BD" w:rsidRDefault="006E70BD" w:rsidP="006E70BD">
            <w:pPr>
              <w:keepNext/>
              <w:contextualSpacing/>
              <w:jc w:val="center"/>
              <w:rPr>
                <w:rFonts w:cs="Times New Roman"/>
                <w:sz w:val="20"/>
                <w:szCs w:val="20"/>
              </w:rPr>
            </w:pPr>
            <w:r w:rsidRPr="006E70BD">
              <w:rPr>
                <w:sz w:val="20"/>
                <w:szCs w:val="20"/>
              </w:rPr>
              <w:t>5</w:t>
            </w:r>
          </w:p>
        </w:tc>
        <w:tc>
          <w:tcPr>
            <w:tcW w:w="967" w:type="dxa"/>
          </w:tcPr>
          <w:p w14:paraId="2203EEA9" w14:textId="020942F3" w:rsidR="006E70BD" w:rsidRPr="006E70BD" w:rsidRDefault="006E70BD" w:rsidP="006E70BD">
            <w:pPr>
              <w:keepNext/>
              <w:contextualSpacing/>
              <w:jc w:val="center"/>
              <w:rPr>
                <w:rFonts w:cs="Times New Roman"/>
                <w:sz w:val="20"/>
                <w:szCs w:val="20"/>
              </w:rPr>
            </w:pPr>
            <w:r w:rsidRPr="006E70BD">
              <w:rPr>
                <w:sz w:val="20"/>
                <w:szCs w:val="20"/>
              </w:rPr>
              <w:t>41.7</w:t>
            </w:r>
          </w:p>
        </w:tc>
      </w:tr>
      <w:tr w:rsidR="006E70BD" w:rsidRPr="00E3516B" w14:paraId="346D286F" w14:textId="77777777" w:rsidTr="006E70BD">
        <w:trPr>
          <w:trHeight w:val="288"/>
        </w:trPr>
        <w:tc>
          <w:tcPr>
            <w:tcW w:w="1572" w:type="dxa"/>
          </w:tcPr>
          <w:p w14:paraId="4CBF30E3" w14:textId="77777777" w:rsidR="006E70BD" w:rsidRPr="006E70BD" w:rsidRDefault="006E70BD" w:rsidP="006E70BD">
            <w:pPr>
              <w:keepNext/>
              <w:contextualSpacing/>
              <w:rPr>
                <w:rFonts w:cs="Times New Roman"/>
                <w:sz w:val="20"/>
                <w:szCs w:val="20"/>
              </w:rPr>
            </w:pPr>
            <w:r w:rsidRPr="006E70BD">
              <w:rPr>
                <w:rFonts w:cs="Times New Roman"/>
                <w:sz w:val="20"/>
                <w:szCs w:val="20"/>
              </w:rPr>
              <w:t>Upper</w:t>
            </w:r>
          </w:p>
        </w:tc>
        <w:tc>
          <w:tcPr>
            <w:tcW w:w="961" w:type="dxa"/>
          </w:tcPr>
          <w:p w14:paraId="5DC356D8" w14:textId="32F7A04B" w:rsidR="006E70BD" w:rsidRPr="006E70BD" w:rsidRDefault="006E70BD" w:rsidP="006E70BD">
            <w:pPr>
              <w:keepNext/>
              <w:contextualSpacing/>
              <w:jc w:val="center"/>
              <w:rPr>
                <w:rFonts w:cs="Times New Roman"/>
                <w:sz w:val="20"/>
                <w:szCs w:val="20"/>
              </w:rPr>
            </w:pPr>
            <w:r w:rsidRPr="006E70BD">
              <w:rPr>
                <w:sz w:val="20"/>
                <w:szCs w:val="20"/>
              </w:rPr>
              <w:t>114</w:t>
            </w:r>
          </w:p>
        </w:tc>
        <w:tc>
          <w:tcPr>
            <w:tcW w:w="965" w:type="dxa"/>
          </w:tcPr>
          <w:p w14:paraId="29E78944" w14:textId="60CD3429" w:rsidR="006E70BD" w:rsidRPr="006E70BD" w:rsidRDefault="006E70BD" w:rsidP="006E70BD">
            <w:pPr>
              <w:keepNext/>
              <w:contextualSpacing/>
              <w:jc w:val="center"/>
              <w:rPr>
                <w:rFonts w:cs="Times New Roman"/>
                <w:sz w:val="20"/>
                <w:szCs w:val="20"/>
              </w:rPr>
            </w:pPr>
            <w:r w:rsidRPr="006E70BD">
              <w:rPr>
                <w:sz w:val="20"/>
                <w:szCs w:val="20"/>
              </w:rPr>
              <w:t>35.9</w:t>
            </w:r>
          </w:p>
        </w:tc>
        <w:tc>
          <w:tcPr>
            <w:tcW w:w="1016" w:type="dxa"/>
          </w:tcPr>
          <w:p w14:paraId="3289C5A7" w14:textId="4A450FC3" w:rsidR="006E70BD" w:rsidRPr="006E70BD" w:rsidRDefault="006E70BD" w:rsidP="006E70BD">
            <w:pPr>
              <w:keepNext/>
              <w:contextualSpacing/>
              <w:jc w:val="center"/>
              <w:rPr>
                <w:rFonts w:cs="Times New Roman"/>
                <w:sz w:val="20"/>
                <w:szCs w:val="20"/>
              </w:rPr>
            </w:pPr>
            <w:r w:rsidRPr="006E70BD">
              <w:rPr>
                <w:sz w:val="20"/>
                <w:szCs w:val="20"/>
              </w:rPr>
              <w:t>551,566</w:t>
            </w:r>
          </w:p>
        </w:tc>
        <w:tc>
          <w:tcPr>
            <w:tcW w:w="971" w:type="dxa"/>
          </w:tcPr>
          <w:p w14:paraId="6A706A3D" w14:textId="567A7831" w:rsidR="006E70BD" w:rsidRPr="006E70BD" w:rsidRDefault="006E70BD" w:rsidP="006E70BD">
            <w:pPr>
              <w:keepNext/>
              <w:contextualSpacing/>
              <w:jc w:val="center"/>
              <w:rPr>
                <w:rFonts w:cs="Times New Roman"/>
                <w:sz w:val="20"/>
                <w:szCs w:val="20"/>
              </w:rPr>
            </w:pPr>
            <w:r w:rsidRPr="006E70BD">
              <w:rPr>
                <w:sz w:val="20"/>
                <w:szCs w:val="20"/>
              </w:rPr>
              <w:t>35.4</w:t>
            </w:r>
          </w:p>
        </w:tc>
        <w:tc>
          <w:tcPr>
            <w:tcW w:w="966" w:type="dxa"/>
          </w:tcPr>
          <w:p w14:paraId="75A88671" w14:textId="44B6C90D" w:rsidR="006E70BD" w:rsidRPr="006E70BD" w:rsidRDefault="006E70BD" w:rsidP="006E70BD">
            <w:pPr>
              <w:keepNext/>
              <w:contextualSpacing/>
              <w:jc w:val="center"/>
              <w:rPr>
                <w:rFonts w:cs="Times New Roman"/>
                <w:sz w:val="20"/>
                <w:szCs w:val="20"/>
              </w:rPr>
            </w:pPr>
            <w:r w:rsidRPr="006E70BD">
              <w:rPr>
                <w:sz w:val="20"/>
                <w:szCs w:val="20"/>
              </w:rPr>
              <w:t>7</w:t>
            </w:r>
          </w:p>
        </w:tc>
        <w:tc>
          <w:tcPr>
            <w:tcW w:w="970" w:type="dxa"/>
          </w:tcPr>
          <w:p w14:paraId="5D3A868C" w14:textId="334BC19A" w:rsidR="006E70BD" w:rsidRPr="006E70BD" w:rsidRDefault="006E70BD" w:rsidP="006E70BD">
            <w:pPr>
              <w:keepNext/>
              <w:contextualSpacing/>
              <w:jc w:val="center"/>
              <w:rPr>
                <w:rFonts w:cs="Times New Roman"/>
                <w:sz w:val="20"/>
                <w:szCs w:val="20"/>
              </w:rPr>
            </w:pPr>
            <w:r w:rsidRPr="006E70BD">
              <w:rPr>
                <w:sz w:val="20"/>
                <w:szCs w:val="20"/>
              </w:rPr>
              <w:t>58.3</w:t>
            </w:r>
          </w:p>
        </w:tc>
        <w:tc>
          <w:tcPr>
            <w:tcW w:w="962" w:type="dxa"/>
          </w:tcPr>
          <w:p w14:paraId="29489F79" w14:textId="385A1FB2" w:rsidR="006E70BD" w:rsidRPr="006E70BD" w:rsidRDefault="006E70BD" w:rsidP="006E70BD">
            <w:pPr>
              <w:keepNext/>
              <w:contextualSpacing/>
              <w:jc w:val="center"/>
              <w:rPr>
                <w:rFonts w:cs="Times New Roman"/>
                <w:sz w:val="20"/>
                <w:szCs w:val="20"/>
              </w:rPr>
            </w:pPr>
            <w:r w:rsidRPr="006E70BD">
              <w:rPr>
                <w:sz w:val="20"/>
                <w:szCs w:val="20"/>
              </w:rPr>
              <w:t>7</w:t>
            </w:r>
          </w:p>
        </w:tc>
        <w:tc>
          <w:tcPr>
            <w:tcW w:w="967" w:type="dxa"/>
          </w:tcPr>
          <w:p w14:paraId="621AAD09" w14:textId="747ECB13" w:rsidR="006E70BD" w:rsidRPr="006E70BD" w:rsidRDefault="006E70BD" w:rsidP="006E70BD">
            <w:pPr>
              <w:keepNext/>
              <w:contextualSpacing/>
              <w:jc w:val="center"/>
              <w:rPr>
                <w:rFonts w:cs="Times New Roman"/>
                <w:sz w:val="20"/>
                <w:szCs w:val="20"/>
              </w:rPr>
            </w:pPr>
            <w:r w:rsidRPr="006E70BD">
              <w:rPr>
                <w:sz w:val="20"/>
                <w:szCs w:val="20"/>
              </w:rPr>
              <w:t>58.3</w:t>
            </w:r>
          </w:p>
        </w:tc>
      </w:tr>
      <w:tr w:rsidR="006E70BD" w:rsidRPr="00E3516B" w14:paraId="764D42A4" w14:textId="77777777" w:rsidTr="006E70BD">
        <w:trPr>
          <w:trHeight w:val="288"/>
        </w:trPr>
        <w:tc>
          <w:tcPr>
            <w:tcW w:w="1572" w:type="dxa"/>
          </w:tcPr>
          <w:p w14:paraId="5AB4EEF5" w14:textId="77777777" w:rsidR="006E70BD" w:rsidRPr="006E70BD" w:rsidRDefault="006E70BD" w:rsidP="006E70BD">
            <w:pPr>
              <w:keepNext/>
              <w:contextualSpacing/>
              <w:rPr>
                <w:rFonts w:cs="Times New Roman"/>
                <w:sz w:val="20"/>
                <w:szCs w:val="20"/>
              </w:rPr>
            </w:pPr>
            <w:r w:rsidRPr="006E70BD">
              <w:rPr>
                <w:rFonts w:cs="Times New Roman"/>
                <w:sz w:val="20"/>
                <w:szCs w:val="20"/>
              </w:rPr>
              <w:t>NA</w:t>
            </w:r>
          </w:p>
        </w:tc>
        <w:tc>
          <w:tcPr>
            <w:tcW w:w="961" w:type="dxa"/>
          </w:tcPr>
          <w:p w14:paraId="6A401587" w14:textId="3B56FDB5" w:rsidR="006E70BD" w:rsidRPr="006E70BD" w:rsidRDefault="006E70BD" w:rsidP="006E70BD">
            <w:pPr>
              <w:keepNext/>
              <w:contextualSpacing/>
              <w:jc w:val="center"/>
              <w:rPr>
                <w:rFonts w:cs="Times New Roman"/>
                <w:sz w:val="20"/>
                <w:szCs w:val="20"/>
              </w:rPr>
            </w:pPr>
            <w:r w:rsidRPr="006E70BD">
              <w:rPr>
                <w:sz w:val="20"/>
                <w:szCs w:val="20"/>
              </w:rPr>
              <w:t>1</w:t>
            </w:r>
          </w:p>
        </w:tc>
        <w:tc>
          <w:tcPr>
            <w:tcW w:w="965" w:type="dxa"/>
          </w:tcPr>
          <w:p w14:paraId="3786C4CB" w14:textId="134FE96A" w:rsidR="006E70BD" w:rsidRPr="006E70BD" w:rsidRDefault="006E70BD" w:rsidP="006E70BD">
            <w:pPr>
              <w:keepNext/>
              <w:contextualSpacing/>
              <w:jc w:val="center"/>
              <w:rPr>
                <w:rFonts w:cs="Times New Roman"/>
                <w:sz w:val="20"/>
                <w:szCs w:val="20"/>
              </w:rPr>
            </w:pPr>
            <w:r w:rsidRPr="006E70BD">
              <w:rPr>
                <w:sz w:val="20"/>
                <w:szCs w:val="20"/>
              </w:rPr>
              <w:t>0.3</w:t>
            </w:r>
          </w:p>
        </w:tc>
        <w:tc>
          <w:tcPr>
            <w:tcW w:w="1016" w:type="dxa"/>
          </w:tcPr>
          <w:p w14:paraId="4838770A" w14:textId="3361CD2A" w:rsidR="006E70BD" w:rsidRPr="006E70BD" w:rsidRDefault="006E70BD" w:rsidP="006E70BD">
            <w:pPr>
              <w:keepNext/>
              <w:contextualSpacing/>
              <w:jc w:val="center"/>
              <w:rPr>
                <w:rFonts w:cs="Times New Roman"/>
                <w:sz w:val="20"/>
                <w:szCs w:val="20"/>
              </w:rPr>
            </w:pPr>
            <w:r w:rsidRPr="006E70BD">
              <w:rPr>
                <w:sz w:val="20"/>
                <w:szCs w:val="20"/>
              </w:rPr>
              <w:t>0</w:t>
            </w:r>
          </w:p>
        </w:tc>
        <w:tc>
          <w:tcPr>
            <w:tcW w:w="971" w:type="dxa"/>
          </w:tcPr>
          <w:p w14:paraId="393B8590" w14:textId="4A08842C" w:rsidR="006E70BD" w:rsidRPr="006E70BD" w:rsidRDefault="006E70BD" w:rsidP="006E70BD">
            <w:pPr>
              <w:keepNext/>
              <w:contextualSpacing/>
              <w:jc w:val="center"/>
              <w:rPr>
                <w:rFonts w:cs="Times New Roman"/>
                <w:sz w:val="20"/>
                <w:szCs w:val="20"/>
              </w:rPr>
            </w:pPr>
            <w:r w:rsidRPr="006E70BD">
              <w:rPr>
                <w:sz w:val="20"/>
                <w:szCs w:val="20"/>
              </w:rPr>
              <w:t>0.0</w:t>
            </w:r>
          </w:p>
        </w:tc>
        <w:tc>
          <w:tcPr>
            <w:tcW w:w="966" w:type="dxa"/>
          </w:tcPr>
          <w:p w14:paraId="3B7FB15E" w14:textId="7C4F0E87" w:rsidR="006E70BD" w:rsidRPr="006E70BD" w:rsidRDefault="006E70BD" w:rsidP="006E70BD">
            <w:pPr>
              <w:keepNext/>
              <w:contextualSpacing/>
              <w:jc w:val="center"/>
              <w:rPr>
                <w:rFonts w:cs="Times New Roman"/>
                <w:sz w:val="20"/>
                <w:szCs w:val="20"/>
              </w:rPr>
            </w:pPr>
            <w:r w:rsidRPr="006E70BD">
              <w:rPr>
                <w:sz w:val="20"/>
                <w:szCs w:val="20"/>
              </w:rPr>
              <w:t>0</w:t>
            </w:r>
          </w:p>
        </w:tc>
        <w:tc>
          <w:tcPr>
            <w:tcW w:w="970" w:type="dxa"/>
          </w:tcPr>
          <w:p w14:paraId="2CC424A3" w14:textId="7FED4C39" w:rsidR="006E70BD" w:rsidRPr="006E70BD" w:rsidRDefault="006E70BD" w:rsidP="006E70BD">
            <w:pPr>
              <w:keepNext/>
              <w:contextualSpacing/>
              <w:jc w:val="center"/>
              <w:rPr>
                <w:rFonts w:cs="Times New Roman"/>
                <w:sz w:val="20"/>
                <w:szCs w:val="20"/>
              </w:rPr>
            </w:pPr>
            <w:r w:rsidRPr="006E70BD">
              <w:rPr>
                <w:sz w:val="20"/>
                <w:szCs w:val="20"/>
              </w:rPr>
              <w:t>0.0</w:t>
            </w:r>
          </w:p>
        </w:tc>
        <w:tc>
          <w:tcPr>
            <w:tcW w:w="962" w:type="dxa"/>
          </w:tcPr>
          <w:p w14:paraId="7BBE519C" w14:textId="3F419FD3" w:rsidR="006E70BD" w:rsidRPr="006E70BD" w:rsidRDefault="006E70BD" w:rsidP="006E70BD">
            <w:pPr>
              <w:keepNext/>
              <w:contextualSpacing/>
              <w:jc w:val="center"/>
              <w:rPr>
                <w:rFonts w:cs="Times New Roman"/>
                <w:sz w:val="20"/>
                <w:szCs w:val="20"/>
              </w:rPr>
            </w:pPr>
            <w:r w:rsidRPr="006E70BD">
              <w:rPr>
                <w:sz w:val="20"/>
                <w:szCs w:val="20"/>
              </w:rPr>
              <w:t>0</w:t>
            </w:r>
          </w:p>
        </w:tc>
        <w:tc>
          <w:tcPr>
            <w:tcW w:w="967" w:type="dxa"/>
          </w:tcPr>
          <w:p w14:paraId="4F4DCA0D" w14:textId="539D284F" w:rsidR="006E70BD" w:rsidRPr="006E70BD" w:rsidRDefault="006E70BD" w:rsidP="006E70BD">
            <w:pPr>
              <w:keepNext/>
              <w:contextualSpacing/>
              <w:jc w:val="center"/>
              <w:rPr>
                <w:rFonts w:cs="Times New Roman"/>
                <w:sz w:val="20"/>
                <w:szCs w:val="20"/>
              </w:rPr>
            </w:pPr>
            <w:r w:rsidRPr="006E70BD">
              <w:rPr>
                <w:sz w:val="20"/>
                <w:szCs w:val="20"/>
              </w:rPr>
              <w:t>0.0</w:t>
            </w:r>
          </w:p>
        </w:tc>
      </w:tr>
      <w:tr w:rsidR="006E70BD" w:rsidRPr="00E3516B" w14:paraId="75790D23" w14:textId="77777777" w:rsidTr="006E70BD">
        <w:trPr>
          <w:trHeight w:val="288"/>
        </w:trPr>
        <w:tc>
          <w:tcPr>
            <w:tcW w:w="1572" w:type="dxa"/>
          </w:tcPr>
          <w:p w14:paraId="0D027954" w14:textId="77777777" w:rsidR="006E70BD" w:rsidRPr="006E70BD" w:rsidRDefault="006E70BD" w:rsidP="006E70BD">
            <w:pPr>
              <w:keepNext/>
              <w:contextualSpacing/>
              <w:rPr>
                <w:rFonts w:cs="Times New Roman"/>
                <w:b/>
                <w:sz w:val="20"/>
                <w:szCs w:val="20"/>
              </w:rPr>
            </w:pPr>
            <w:r w:rsidRPr="006E70BD">
              <w:rPr>
                <w:rFonts w:cs="Times New Roman"/>
                <w:b/>
                <w:sz w:val="20"/>
                <w:szCs w:val="20"/>
              </w:rPr>
              <w:t>Total</w:t>
            </w:r>
          </w:p>
        </w:tc>
        <w:tc>
          <w:tcPr>
            <w:tcW w:w="961" w:type="dxa"/>
          </w:tcPr>
          <w:p w14:paraId="32F546C9" w14:textId="7BBA471E" w:rsidR="006E70BD" w:rsidRPr="006E70BD" w:rsidRDefault="006E70BD" w:rsidP="006E70BD">
            <w:pPr>
              <w:keepNext/>
              <w:contextualSpacing/>
              <w:jc w:val="center"/>
              <w:rPr>
                <w:rFonts w:cs="Times New Roman"/>
                <w:b/>
                <w:sz w:val="20"/>
                <w:szCs w:val="20"/>
              </w:rPr>
            </w:pPr>
            <w:r w:rsidRPr="006E70BD">
              <w:rPr>
                <w:sz w:val="20"/>
                <w:szCs w:val="20"/>
              </w:rPr>
              <w:t>318</w:t>
            </w:r>
          </w:p>
        </w:tc>
        <w:tc>
          <w:tcPr>
            <w:tcW w:w="965" w:type="dxa"/>
          </w:tcPr>
          <w:p w14:paraId="06A95A80" w14:textId="34475245" w:rsidR="006E70BD" w:rsidRPr="006E70BD" w:rsidRDefault="006E70BD" w:rsidP="006E70BD">
            <w:pPr>
              <w:keepNext/>
              <w:contextualSpacing/>
              <w:jc w:val="center"/>
              <w:rPr>
                <w:rFonts w:cs="Times New Roman"/>
                <w:b/>
                <w:sz w:val="20"/>
                <w:szCs w:val="20"/>
              </w:rPr>
            </w:pPr>
            <w:r w:rsidRPr="006E70BD">
              <w:rPr>
                <w:sz w:val="20"/>
                <w:szCs w:val="20"/>
              </w:rPr>
              <w:t>100.0</w:t>
            </w:r>
          </w:p>
        </w:tc>
        <w:tc>
          <w:tcPr>
            <w:tcW w:w="1016" w:type="dxa"/>
          </w:tcPr>
          <w:p w14:paraId="2A018CEF" w14:textId="43C36380" w:rsidR="006E70BD" w:rsidRPr="006E70BD" w:rsidRDefault="006E70BD" w:rsidP="006E70BD">
            <w:pPr>
              <w:keepNext/>
              <w:contextualSpacing/>
              <w:jc w:val="center"/>
              <w:rPr>
                <w:rFonts w:cs="Times New Roman"/>
                <w:b/>
                <w:sz w:val="20"/>
                <w:szCs w:val="20"/>
              </w:rPr>
            </w:pPr>
            <w:r w:rsidRPr="006E70BD">
              <w:rPr>
                <w:sz w:val="20"/>
                <w:szCs w:val="20"/>
              </w:rPr>
              <w:t>1,556,116</w:t>
            </w:r>
          </w:p>
        </w:tc>
        <w:tc>
          <w:tcPr>
            <w:tcW w:w="971" w:type="dxa"/>
          </w:tcPr>
          <w:p w14:paraId="18887BA7" w14:textId="39CD0556" w:rsidR="006E70BD" w:rsidRPr="006E70BD" w:rsidRDefault="006E70BD" w:rsidP="006E70BD">
            <w:pPr>
              <w:keepNext/>
              <w:contextualSpacing/>
              <w:jc w:val="center"/>
              <w:rPr>
                <w:rFonts w:cs="Times New Roman"/>
                <w:b/>
                <w:sz w:val="20"/>
                <w:szCs w:val="20"/>
              </w:rPr>
            </w:pPr>
            <w:r w:rsidRPr="006E70BD">
              <w:rPr>
                <w:sz w:val="20"/>
                <w:szCs w:val="20"/>
              </w:rPr>
              <w:t>100.0</w:t>
            </w:r>
          </w:p>
        </w:tc>
        <w:tc>
          <w:tcPr>
            <w:tcW w:w="966" w:type="dxa"/>
          </w:tcPr>
          <w:p w14:paraId="46FC6C71" w14:textId="4D921839" w:rsidR="006E70BD" w:rsidRPr="006E70BD" w:rsidRDefault="006E70BD" w:rsidP="006E70BD">
            <w:pPr>
              <w:keepNext/>
              <w:contextualSpacing/>
              <w:jc w:val="center"/>
              <w:rPr>
                <w:rFonts w:cs="Times New Roman"/>
                <w:b/>
                <w:sz w:val="20"/>
                <w:szCs w:val="20"/>
              </w:rPr>
            </w:pPr>
            <w:r w:rsidRPr="006E70BD">
              <w:rPr>
                <w:sz w:val="20"/>
                <w:szCs w:val="20"/>
              </w:rPr>
              <w:t>12</w:t>
            </w:r>
          </w:p>
        </w:tc>
        <w:tc>
          <w:tcPr>
            <w:tcW w:w="970" w:type="dxa"/>
          </w:tcPr>
          <w:p w14:paraId="5CD8FC6C" w14:textId="78B823BC" w:rsidR="006E70BD" w:rsidRPr="006E70BD" w:rsidRDefault="006E70BD" w:rsidP="006E70BD">
            <w:pPr>
              <w:keepNext/>
              <w:contextualSpacing/>
              <w:jc w:val="center"/>
              <w:rPr>
                <w:rFonts w:cs="Times New Roman"/>
                <w:b/>
                <w:sz w:val="20"/>
                <w:szCs w:val="20"/>
              </w:rPr>
            </w:pPr>
            <w:r w:rsidRPr="006E70BD">
              <w:rPr>
                <w:sz w:val="20"/>
                <w:szCs w:val="20"/>
              </w:rPr>
              <w:t>100.0</w:t>
            </w:r>
          </w:p>
        </w:tc>
        <w:tc>
          <w:tcPr>
            <w:tcW w:w="962" w:type="dxa"/>
          </w:tcPr>
          <w:p w14:paraId="0B589F1E" w14:textId="4F20438D" w:rsidR="006E70BD" w:rsidRPr="006E70BD" w:rsidRDefault="006E70BD" w:rsidP="006E70BD">
            <w:pPr>
              <w:keepNext/>
              <w:contextualSpacing/>
              <w:jc w:val="center"/>
              <w:rPr>
                <w:rFonts w:cs="Times New Roman"/>
                <w:b/>
                <w:sz w:val="20"/>
                <w:szCs w:val="20"/>
              </w:rPr>
            </w:pPr>
            <w:r w:rsidRPr="006E70BD">
              <w:rPr>
                <w:sz w:val="20"/>
                <w:szCs w:val="20"/>
              </w:rPr>
              <w:t>12</w:t>
            </w:r>
          </w:p>
        </w:tc>
        <w:tc>
          <w:tcPr>
            <w:tcW w:w="967" w:type="dxa"/>
          </w:tcPr>
          <w:p w14:paraId="61DCFA3E" w14:textId="23CC64CC" w:rsidR="006E70BD" w:rsidRPr="006E70BD" w:rsidRDefault="006E70BD" w:rsidP="006E70BD">
            <w:pPr>
              <w:keepNext/>
              <w:contextualSpacing/>
              <w:jc w:val="center"/>
              <w:rPr>
                <w:rFonts w:cs="Times New Roman"/>
                <w:b/>
                <w:sz w:val="20"/>
                <w:szCs w:val="20"/>
              </w:rPr>
            </w:pPr>
            <w:r w:rsidRPr="006E70BD">
              <w:rPr>
                <w:sz w:val="20"/>
                <w:szCs w:val="20"/>
              </w:rPr>
              <w:t>100.0</w:t>
            </w:r>
          </w:p>
        </w:tc>
      </w:tr>
      <w:tr w:rsidR="006E70BD" w:rsidRPr="00E3516B" w14:paraId="73B163CD" w14:textId="77777777" w:rsidTr="006E70BD">
        <w:trPr>
          <w:trHeight w:val="288"/>
        </w:trPr>
        <w:tc>
          <w:tcPr>
            <w:tcW w:w="9350" w:type="dxa"/>
            <w:gridSpan w:val="9"/>
          </w:tcPr>
          <w:p w14:paraId="3FF9F824" w14:textId="77777777" w:rsidR="006E70BD" w:rsidRPr="00E3516B" w:rsidRDefault="006E70BD" w:rsidP="006E70BD">
            <w:pPr>
              <w:keepNext/>
              <w:contextualSpacing/>
              <w:rPr>
                <w:i/>
                <w:sz w:val="16"/>
                <w:szCs w:val="16"/>
              </w:rPr>
            </w:pPr>
            <w:r>
              <w:rPr>
                <w:i/>
                <w:sz w:val="16"/>
                <w:szCs w:val="16"/>
              </w:rPr>
              <w:t>Source:  2015 ACS Data; Bank Data</w:t>
            </w:r>
          </w:p>
        </w:tc>
      </w:tr>
    </w:tbl>
    <w:p w14:paraId="7473252A" w14:textId="77777777" w:rsidR="006E70BD" w:rsidRDefault="006E70BD" w:rsidP="007613E5">
      <w:pPr>
        <w:rPr>
          <w:bCs/>
        </w:rPr>
      </w:pPr>
    </w:p>
    <w:p w14:paraId="23A880B7" w14:textId="163B71CE" w:rsidR="00E8665B" w:rsidRDefault="005257BA" w:rsidP="00E8665B">
      <w:pPr>
        <w:rPr>
          <w:bCs/>
        </w:rPr>
      </w:pPr>
      <w:r w:rsidRPr="00AF63AC">
        <w:rPr>
          <w:bCs/>
        </w:rPr>
        <w:t>The bank operates 12 full-</w:t>
      </w:r>
      <w:r w:rsidR="00C21B34" w:rsidRPr="00AF63AC">
        <w:rPr>
          <w:bCs/>
        </w:rPr>
        <w:t>service offices</w:t>
      </w:r>
      <w:r w:rsidR="00E8665B" w:rsidRPr="00AF63AC">
        <w:rPr>
          <w:bCs/>
        </w:rPr>
        <w:t>, and each maintains an</w:t>
      </w:r>
      <w:r w:rsidRPr="00AF63AC">
        <w:rPr>
          <w:bCs/>
        </w:rPr>
        <w:t xml:space="preserve"> ATM.  </w:t>
      </w:r>
      <w:r w:rsidR="009B4689" w:rsidRPr="00AF63AC">
        <w:rPr>
          <w:bCs/>
        </w:rPr>
        <w:t xml:space="preserve"> </w:t>
      </w:r>
      <w:r w:rsidR="00E8665B" w:rsidRPr="00AF63AC">
        <w:rPr>
          <w:bCs/>
        </w:rPr>
        <w:t>No offices o</w:t>
      </w:r>
      <w:r w:rsidR="00C21B34" w:rsidRPr="00AF63AC">
        <w:rPr>
          <w:bCs/>
        </w:rPr>
        <w:t>r</w:t>
      </w:r>
      <w:r w:rsidR="009B4689" w:rsidRPr="00AF63AC">
        <w:rPr>
          <w:bCs/>
        </w:rPr>
        <w:t xml:space="preserve"> ATMs </w:t>
      </w:r>
      <w:r w:rsidR="00DE2264" w:rsidRPr="00AF63AC">
        <w:rPr>
          <w:bCs/>
        </w:rPr>
        <w:t xml:space="preserve">are </w:t>
      </w:r>
      <w:r w:rsidR="009B4689" w:rsidRPr="00AF63AC">
        <w:rPr>
          <w:bCs/>
        </w:rPr>
        <w:t xml:space="preserve">in </w:t>
      </w:r>
      <w:r w:rsidR="00D25F18" w:rsidRPr="00AF63AC">
        <w:rPr>
          <w:bCs/>
        </w:rPr>
        <w:t xml:space="preserve">the </w:t>
      </w:r>
      <w:r w:rsidR="009B4689" w:rsidRPr="00AF63AC">
        <w:rPr>
          <w:bCs/>
        </w:rPr>
        <w:t xml:space="preserve">low- </w:t>
      </w:r>
      <w:r w:rsidR="00E8665B" w:rsidRPr="00AF63AC">
        <w:rPr>
          <w:bCs/>
        </w:rPr>
        <w:t>or</w:t>
      </w:r>
      <w:r w:rsidR="009B4689" w:rsidRPr="00AF63AC">
        <w:rPr>
          <w:bCs/>
        </w:rPr>
        <w:t xml:space="preserve"> moderate-income census tracts.  </w:t>
      </w:r>
      <w:r w:rsidR="00E8665B" w:rsidRPr="00AF63AC">
        <w:rPr>
          <w:bCs/>
        </w:rPr>
        <w:t xml:space="preserve">Although </w:t>
      </w:r>
      <w:r w:rsidR="006B1122" w:rsidRPr="00AF63AC">
        <w:rPr>
          <w:bCs/>
        </w:rPr>
        <w:t xml:space="preserve">the bank does not maintain any offices in the low- </w:t>
      </w:r>
      <w:r w:rsidR="00D25F18" w:rsidRPr="00AF63AC">
        <w:rPr>
          <w:bCs/>
        </w:rPr>
        <w:t xml:space="preserve">or </w:t>
      </w:r>
      <w:r w:rsidR="006B1122" w:rsidRPr="00AF63AC">
        <w:rPr>
          <w:bCs/>
        </w:rPr>
        <w:t xml:space="preserve">moderate-income tracts, </w:t>
      </w:r>
      <w:r w:rsidR="00E8665B" w:rsidRPr="00AF63AC">
        <w:rPr>
          <w:bCs/>
        </w:rPr>
        <w:t>the Chelmsford</w:t>
      </w:r>
      <w:r w:rsidR="006B1122" w:rsidRPr="00AF63AC">
        <w:rPr>
          <w:bCs/>
        </w:rPr>
        <w:t xml:space="preserve"> branch</w:t>
      </w:r>
      <w:r w:rsidR="00E8665B" w:rsidRPr="00AF63AC">
        <w:rPr>
          <w:bCs/>
        </w:rPr>
        <w:t xml:space="preserve"> </w:t>
      </w:r>
      <w:r w:rsidR="00D25F18" w:rsidRPr="00AF63AC">
        <w:rPr>
          <w:bCs/>
        </w:rPr>
        <w:t xml:space="preserve">(upper-income census tracts) abut </w:t>
      </w:r>
      <w:proofErr w:type="gramStart"/>
      <w:r w:rsidR="00087537">
        <w:rPr>
          <w:bCs/>
        </w:rPr>
        <w:t xml:space="preserve">two </w:t>
      </w:r>
      <w:r w:rsidR="00D25F18" w:rsidRPr="00AF63AC">
        <w:rPr>
          <w:bCs/>
        </w:rPr>
        <w:t xml:space="preserve"> moderate</w:t>
      </w:r>
      <w:proofErr w:type="gramEnd"/>
      <w:r w:rsidR="00D25F18" w:rsidRPr="00AF63AC">
        <w:rPr>
          <w:bCs/>
        </w:rPr>
        <w:t>-income census tracts in Low</w:t>
      </w:r>
      <w:r w:rsidR="004F5994">
        <w:rPr>
          <w:bCs/>
        </w:rPr>
        <w:t xml:space="preserve">ell.  </w:t>
      </w:r>
      <w:r w:rsidR="007A7B0F" w:rsidRPr="00AF63AC">
        <w:rPr>
          <w:bCs/>
        </w:rPr>
        <w:t xml:space="preserve">Lowell </w:t>
      </w:r>
      <w:r w:rsidR="00087537">
        <w:rPr>
          <w:bCs/>
        </w:rPr>
        <w:t xml:space="preserve">has </w:t>
      </w:r>
      <w:proofErr w:type="gramStart"/>
      <w:r w:rsidR="00087537">
        <w:rPr>
          <w:bCs/>
        </w:rPr>
        <w:t xml:space="preserve">10 </w:t>
      </w:r>
      <w:r w:rsidR="00E8665B" w:rsidRPr="00AF63AC">
        <w:rPr>
          <w:bCs/>
        </w:rPr>
        <w:t xml:space="preserve"> moderate</w:t>
      </w:r>
      <w:proofErr w:type="gramEnd"/>
      <w:r w:rsidR="00E8665B" w:rsidRPr="00AF63AC">
        <w:rPr>
          <w:bCs/>
        </w:rPr>
        <w:t xml:space="preserve">-income census tracts. </w:t>
      </w:r>
      <w:r w:rsidR="007A7B0F" w:rsidRPr="00AF63AC">
        <w:rPr>
          <w:bCs/>
        </w:rPr>
        <w:t xml:space="preserve"> </w:t>
      </w:r>
    </w:p>
    <w:p w14:paraId="6A05F3DF" w14:textId="77777777" w:rsidR="00087537" w:rsidRDefault="00087537" w:rsidP="005D74FC">
      <w:pPr>
        <w:rPr>
          <w:bCs/>
        </w:rPr>
      </w:pPr>
    </w:p>
    <w:p w14:paraId="7705325E" w14:textId="51EF726F" w:rsidR="005257BA" w:rsidRDefault="005D74FC" w:rsidP="005D74FC">
      <w:pPr>
        <w:rPr>
          <w:bCs/>
        </w:rPr>
      </w:pPr>
      <w:r>
        <w:rPr>
          <w:bCs/>
        </w:rPr>
        <w:t>In addition to the branch network</w:t>
      </w:r>
      <w:r w:rsidR="00C21B34">
        <w:rPr>
          <w:bCs/>
        </w:rPr>
        <w:t>,</w:t>
      </w:r>
      <w:r>
        <w:rPr>
          <w:bCs/>
        </w:rPr>
        <w:t xml:space="preserve"> NBTC </w:t>
      </w:r>
      <w:r w:rsidR="006B1122">
        <w:rPr>
          <w:bCs/>
        </w:rPr>
        <w:t>offers</w:t>
      </w:r>
      <w:r>
        <w:rPr>
          <w:bCs/>
        </w:rPr>
        <w:t xml:space="preserve"> </w:t>
      </w:r>
      <w:r w:rsidRPr="005D74FC">
        <w:rPr>
          <w:bCs/>
        </w:rPr>
        <w:t>mobile</w:t>
      </w:r>
      <w:r w:rsidR="00C03554">
        <w:rPr>
          <w:bCs/>
        </w:rPr>
        <w:t xml:space="preserve"> and online</w:t>
      </w:r>
      <w:r>
        <w:rPr>
          <w:bCs/>
        </w:rPr>
        <w:t xml:space="preserve"> bankin</w:t>
      </w:r>
      <w:r w:rsidR="006B1122">
        <w:rPr>
          <w:bCs/>
        </w:rPr>
        <w:t xml:space="preserve">g, </w:t>
      </w:r>
      <w:r w:rsidR="0064561E">
        <w:rPr>
          <w:bCs/>
        </w:rPr>
        <w:t xml:space="preserve">Northern </w:t>
      </w:r>
      <w:proofErr w:type="spellStart"/>
      <w:r w:rsidR="0064561E">
        <w:rPr>
          <w:bCs/>
        </w:rPr>
        <w:t>PeoplePay</w:t>
      </w:r>
      <w:proofErr w:type="spellEnd"/>
      <w:r w:rsidR="006B1122">
        <w:rPr>
          <w:bCs/>
        </w:rPr>
        <w:t xml:space="preserve"> (person-to-person payment system)</w:t>
      </w:r>
      <w:r w:rsidR="0064561E">
        <w:rPr>
          <w:bCs/>
        </w:rPr>
        <w:t>,</w:t>
      </w:r>
      <w:r w:rsidRPr="005D74FC">
        <w:rPr>
          <w:bCs/>
        </w:rPr>
        <w:t xml:space="preserve"> and</w:t>
      </w:r>
      <w:r w:rsidR="0064561E" w:rsidRPr="0064561E">
        <w:rPr>
          <w:bCs/>
        </w:rPr>
        <w:t xml:space="preserve"> debit cards</w:t>
      </w:r>
      <w:r w:rsidR="0064561E">
        <w:rPr>
          <w:bCs/>
        </w:rPr>
        <w:t xml:space="preserve">.  </w:t>
      </w:r>
    </w:p>
    <w:p w14:paraId="081CD6E7" w14:textId="77777777" w:rsidR="00C03554" w:rsidRDefault="00C03554" w:rsidP="007613E5">
      <w:pPr>
        <w:rPr>
          <w:b/>
          <w:bCs/>
          <w:u w:val="single"/>
        </w:rPr>
      </w:pPr>
    </w:p>
    <w:p w14:paraId="07C6AF41" w14:textId="17ED5D31" w:rsidR="007613E5" w:rsidRPr="00520574" w:rsidRDefault="007613E5" w:rsidP="007613E5">
      <w:pPr>
        <w:rPr>
          <w:b/>
          <w:bCs/>
          <w:u w:val="single"/>
        </w:rPr>
      </w:pPr>
      <w:r w:rsidRPr="00520574">
        <w:rPr>
          <w:b/>
          <w:bCs/>
          <w:u w:val="single"/>
        </w:rPr>
        <w:t>Changes in Branch Locations</w:t>
      </w:r>
    </w:p>
    <w:p w14:paraId="6C3E0117" w14:textId="77777777" w:rsidR="007613E5" w:rsidRDefault="007613E5" w:rsidP="007613E5">
      <w:pPr>
        <w:rPr>
          <w:bCs/>
        </w:rPr>
      </w:pPr>
    </w:p>
    <w:p w14:paraId="21BCBD34" w14:textId="11992EE8" w:rsidR="007613E5" w:rsidRDefault="007613E5" w:rsidP="007613E5">
      <w:pPr>
        <w:rPr>
          <w:bCs/>
        </w:rPr>
      </w:pPr>
      <w:r w:rsidRPr="00233332">
        <w:rPr>
          <w:bCs/>
        </w:rPr>
        <w:t>The bank di</w:t>
      </w:r>
      <w:r w:rsidR="00D234B6">
        <w:rPr>
          <w:bCs/>
        </w:rPr>
        <w:t xml:space="preserve">d not open or close </w:t>
      </w:r>
      <w:r w:rsidR="00C21B34">
        <w:rPr>
          <w:bCs/>
        </w:rPr>
        <w:t>any offices</w:t>
      </w:r>
      <w:r w:rsidRPr="00233332">
        <w:rPr>
          <w:bCs/>
        </w:rPr>
        <w:t xml:space="preserve"> during the evaluation period.  </w:t>
      </w:r>
    </w:p>
    <w:p w14:paraId="32F038E9" w14:textId="61DA7EB4" w:rsidR="00445D8F" w:rsidRPr="00520574" w:rsidRDefault="00445D8F" w:rsidP="007613E5">
      <w:pPr>
        <w:rPr>
          <w:bCs/>
        </w:rPr>
      </w:pPr>
    </w:p>
    <w:p w14:paraId="55A37FAE" w14:textId="77777777" w:rsidR="007613E5" w:rsidRPr="00520574" w:rsidRDefault="007613E5" w:rsidP="007613E5">
      <w:pPr>
        <w:rPr>
          <w:b/>
          <w:bCs/>
          <w:u w:val="single"/>
        </w:rPr>
      </w:pPr>
      <w:r w:rsidRPr="00520574">
        <w:rPr>
          <w:b/>
          <w:bCs/>
          <w:u w:val="single"/>
        </w:rPr>
        <w:t>Reasonableness of Business Hours and Services</w:t>
      </w:r>
    </w:p>
    <w:p w14:paraId="7C66137E" w14:textId="77777777" w:rsidR="007613E5" w:rsidRDefault="007613E5" w:rsidP="007613E5">
      <w:pPr>
        <w:rPr>
          <w:iCs/>
          <w:color w:val="000000"/>
        </w:rPr>
      </w:pPr>
    </w:p>
    <w:p w14:paraId="7306CE71" w14:textId="3B46FA90" w:rsidR="007613E5" w:rsidRPr="00233332" w:rsidRDefault="007613E5" w:rsidP="007613E5">
      <w:pPr>
        <w:rPr>
          <w:iCs/>
          <w:color w:val="000000"/>
        </w:rPr>
      </w:pPr>
      <w:r w:rsidRPr="00233332">
        <w:rPr>
          <w:iCs/>
          <w:color w:val="000000"/>
        </w:rPr>
        <w:t xml:space="preserve">Services, including, where appropriate, business hours, do not vary in a way that inconveniences portions of the assessment area, particularly low- and moderate-income geographies and individuals.  </w:t>
      </w:r>
      <w:r w:rsidR="00C21B34" w:rsidRPr="00233332">
        <w:rPr>
          <w:iCs/>
          <w:color w:val="000000"/>
        </w:rPr>
        <w:t>Hours are</w:t>
      </w:r>
      <w:r w:rsidRPr="00233332">
        <w:rPr>
          <w:iCs/>
          <w:color w:val="000000"/>
        </w:rPr>
        <w:t xml:space="preserve"> consistent across all</w:t>
      </w:r>
      <w:r w:rsidR="00C03554">
        <w:rPr>
          <w:iCs/>
          <w:color w:val="000000"/>
        </w:rPr>
        <w:t xml:space="preserve"> </w:t>
      </w:r>
      <w:r w:rsidR="00C21B34">
        <w:rPr>
          <w:iCs/>
          <w:color w:val="000000"/>
        </w:rPr>
        <w:t>locations</w:t>
      </w:r>
      <w:r w:rsidR="00C21B34" w:rsidRPr="00233332">
        <w:rPr>
          <w:iCs/>
          <w:color w:val="000000"/>
        </w:rPr>
        <w:t xml:space="preserve"> </w:t>
      </w:r>
      <w:r w:rsidR="006B6A79">
        <w:rPr>
          <w:iCs/>
          <w:color w:val="000000"/>
        </w:rPr>
        <w:t xml:space="preserve">from </w:t>
      </w:r>
      <w:r w:rsidR="00C21B34" w:rsidRPr="00233332">
        <w:rPr>
          <w:iCs/>
          <w:color w:val="000000"/>
        </w:rPr>
        <w:t>8:30</w:t>
      </w:r>
      <w:r w:rsidRPr="00233332">
        <w:rPr>
          <w:iCs/>
          <w:color w:val="000000"/>
        </w:rPr>
        <w:t xml:space="preserve"> A</w:t>
      </w:r>
      <w:r w:rsidR="00C03554">
        <w:rPr>
          <w:iCs/>
          <w:color w:val="000000"/>
        </w:rPr>
        <w:t>.</w:t>
      </w:r>
      <w:r w:rsidRPr="00233332">
        <w:rPr>
          <w:iCs/>
          <w:color w:val="000000"/>
        </w:rPr>
        <w:t>M</w:t>
      </w:r>
      <w:r w:rsidR="00C03554">
        <w:rPr>
          <w:iCs/>
          <w:color w:val="000000"/>
        </w:rPr>
        <w:t>.</w:t>
      </w:r>
      <w:r w:rsidRPr="00233332">
        <w:rPr>
          <w:iCs/>
          <w:color w:val="000000"/>
        </w:rPr>
        <w:t xml:space="preserve"> to 5 P</w:t>
      </w:r>
      <w:r w:rsidR="00C03554">
        <w:rPr>
          <w:iCs/>
          <w:color w:val="000000"/>
        </w:rPr>
        <w:t>.</w:t>
      </w:r>
      <w:r w:rsidRPr="00233332">
        <w:rPr>
          <w:iCs/>
          <w:color w:val="000000"/>
        </w:rPr>
        <w:t>M</w:t>
      </w:r>
      <w:r w:rsidR="00C03554">
        <w:rPr>
          <w:iCs/>
          <w:color w:val="000000"/>
        </w:rPr>
        <w:t>.</w:t>
      </w:r>
      <w:r w:rsidRPr="00233332">
        <w:rPr>
          <w:iCs/>
          <w:color w:val="000000"/>
        </w:rPr>
        <w:t>, with extended hours on Thursdays and Fridays and limited hours on Saturdays</w:t>
      </w:r>
      <w:r w:rsidR="00C21B34">
        <w:rPr>
          <w:iCs/>
          <w:color w:val="000000"/>
        </w:rPr>
        <w:t>.</w:t>
      </w:r>
      <w:r w:rsidRPr="00233332">
        <w:rPr>
          <w:iCs/>
          <w:color w:val="000000"/>
        </w:rPr>
        <w:t xml:space="preserve">  </w:t>
      </w:r>
    </w:p>
    <w:p w14:paraId="672AC70D" w14:textId="77777777" w:rsidR="007613E5" w:rsidRPr="00520574" w:rsidRDefault="007613E5" w:rsidP="007613E5">
      <w:pPr>
        <w:rPr>
          <w:iCs/>
          <w:color w:val="000000"/>
        </w:rPr>
      </w:pPr>
    </w:p>
    <w:p w14:paraId="6F231D41" w14:textId="77777777" w:rsidR="007613E5" w:rsidRPr="00520574" w:rsidRDefault="007613E5" w:rsidP="007613E5">
      <w:pPr>
        <w:widowControl w:val="0"/>
        <w:rPr>
          <w:b/>
          <w:snapToGrid w:val="0"/>
          <w:color w:val="000000"/>
          <w:u w:val="single"/>
          <w:lang w:eastAsia="x-none"/>
        </w:rPr>
      </w:pPr>
      <w:r w:rsidRPr="00520574">
        <w:rPr>
          <w:b/>
          <w:snapToGrid w:val="0"/>
          <w:color w:val="000000"/>
          <w:u w:val="single"/>
          <w:lang w:eastAsia="x-none"/>
        </w:rPr>
        <w:t>Community Development Services</w:t>
      </w:r>
    </w:p>
    <w:p w14:paraId="31263728" w14:textId="77777777" w:rsidR="007613E5" w:rsidRDefault="007613E5" w:rsidP="007613E5">
      <w:pPr>
        <w:widowControl w:val="0"/>
        <w:rPr>
          <w:snapToGrid w:val="0"/>
          <w:color w:val="000000"/>
          <w:lang w:eastAsia="x-none"/>
        </w:rPr>
      </w:pPr>
    </w:p>
    <w:p w14:paraId="1E4184FE" w14:textId="3CA924C4" w:rsidR="00BD3250" w:rsidRDefault="007613E5" w:rsidP="007613E5">
      <w:pPr>
        <w:widowControl w:val="0"/>
        <w:rPr>
          <w:snapToGrid w:val="0"/>
          <w:color w:val="000000"/>
          <w:lang w:eastAsia="x-none"/>
        </w:rPr>
      </w:pPr>
      <w:r>
        <w:rPr>
          <w:snapToGrid w:val="0"/>
          <w:color w:val="000000"/>
          <w:lang w:eastAsia="x-none"/>
        </w:rPr>
        <w:t xml:space="preserve">The institution </w:t>
      </w:r>
      <w:r w:rsidRPr="00233332">
        <w:rPr>
          <w:snapToGrid w:val="0"/>
          <w:color w:val="000000"/>
          <w:lang w:eastAsia="x-none"/>
        </w:rPr>
        <w:t>provide</w:t>
      </w:r>
      <w:r>
        <w:rPr>
          <w:snapToGrid w:val="0"/>
          <w:color w:val="000000"/>
          <w:lang w:eastAsia="x-none"/>
        </w:rPr>
        <w:t>s a r</w:t>
      </w:r>
      <w:r w:rsidRPr="00233332">
        <w:rPr>
          <w:snapToGrid w:val="0"/>
          <w:color w:val="000000"/>
          <w:lang w:eastAsia="x-none"/>
        </w:rPr>
        <w:t xml:space="preserve">elatively high level of community development services.  During the evaluation period, employees collectively provided 129 instances of community development services, devoting 1,190 services hours to qualified </w:t>
      </w:r>
      <w:r w:rsidR="00C21B34" w:rsidRPr="00233332">
        <w:rPr>
          <w:snapToGrid w:val="0"/>
          <w:color w:val="000000"/>
          <w:lang w:eastAsia="x-none"/>
        </w:rPr>
        <w:t xml:space="preserve">organizations. </w:t>
      </w:r>
      <w:r w:rsidRPr="00233332">
        <w:rPr>
          <w:snapToGrid w:val="0"/>
          <w:color w:val="000000"/>
          <w:lang w:eastAsia="x-none"/>
        </w:rPr>
        <w:t xml:space="preserve">Employees devoted time to </w:t>
      </w:r>
      <w:r w:rsidRPr="00233332">
        <w:rPr>
          <w:snapToGrid w:val="0"/>
          <w:color w:val="000000"/>
          <w:lang w:eastAsia="x-none"/>
        </w:rPr>
        <w:lastRenderedPageBreak/>
        <w:t>community development organizations supporting affordable housing, community services, economic development, first-time homebuyer se</w:t>
      </w:r>
      <w:r w:rsidR="00BD3250">
        <w:rPr>
          <w:snapToGrid w:val="0"/>
          <w:color w:val="000000"/>
          <w:lang w:eastAsia="x-none"/>
        </w:rPr>
        <w:t xml:space="preserve">minars, and financial literacy.  The </w:t>
      </w:r>
      <w:r w:rsidR="00C03554">
        <w:rPr>
          <w:snapToGrid w:val="0"/>
          <w:color w:val="000000"/>
          <w:lang w:eastAsia="x-none"/>
        </w:rPr>
        <w:t xml:space="preserve">service </w:t>
      </w:r>
      <w:r w:rsidR="00C21B34">
        <w:rPr>
          <w:snapToGrid w:val="0"/>
          <w:color w:val="000000"/>
          <w:lang w:eastAsia="x-none"/>
        </w:rPr>
        <w:t>level improved</w:t>
      </w:r>
      <w:r w:rsidR="00BD3250">
        <w:rPr>
          <w:snapToGrid w:val="0"/>
          <w:color w:val="000000"/>
          <w:lang w:eastAsia="x-none"/>
        </w:rPr>
        <w:t xml:space="preserve"> from the previous examination whe</w:t>
      </w:r>
      <w:r w:rsidR="005C219E">
        <w:rPr>
          <w:snapToGrid w:val="0"/>
          <w:color w:val="000000"/>
          <w:lang w:eastAsia="x-none"/>
        </w:rPr>
        <w:t>re</w:t>
      </w:r>
      <w:r w:rsidR="00BD3250">
        <w:rPr>
          <w:snapToGrid w:val="0"/>
          <w:color w:val="000000"/>
          <w:lang w:eastAsia="x-none"/>
        </w:rPr>
        <w:t xml:space="preserve"> services reflected 96 instances.  </w:t>
      </w:r>
    </w:p>
    <w:p w14:paraId="33096D3B" w14:textId="77777777" w:rsidR="00BD3250" w:rsidRDefault="00BD3250" w:rsidP="007613E5">
      <w:pPr>
        <w:widowControl w:val="0"/>
        <w:rPr>
          <w:snapToGrid w:val="0"/>
          <w:color w:val="000000"/>
          <w:lang w:eastAsia="x-none"/>
        </w:rPr>
      </w:pPr>
    </w:p>
    <w:p w14:paraId="221ECCC7" w14:textId="419D1B36" w:rsidR="007613E5" w:rsidRDefault="00A94B54" w:rsidP="007613E5">
      <w:pPr>
        <w:widowControl w:val="0"/>
      </w:pPr>
      <w:r w:rsidRPr="009379BA">
        <w:t xml:space="preserve">The </w:t>
      </w:r>
      <w:r w:rsidR="00C03554">
        <w:t xml:space="preserve">following </w:t>
      </w:r>
      <w:r w:rsidRPr="009379BA">
        <w:t>table summarizes the bank’s community development services by year and purpose.</w:t>
      </w:r>
    </w:p>
    <w:p w14:paraId="1F35C6CC" w14:textId="094D6523" w:rsidR="00A94B54" w:rsidRDefault="00A94B54" w:rsidP="007613E5">
      <w:pPr>
        <w:widowControl w:val="0"/>
        <w:rPr>
          <w:snapToGrid w:val="0"/>
          <w:color w:val="000000"/>
          <w:lang w:eastAsia="x-none"/>
        </w:rPr>
      </w:pP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350"/>
        <w:gridCol w:w="1350"/>
        <w:gridCol w:w="1350"/>
        <w:gridCol w:w="1350"/>
        <w:gridCol w:w="1260"/>
      </w:tblGrid>
      <w:tr w:rsidR="00A94B54" w:rsidRPr="009379BA" w14:paraId="2DEFAE17" w14:textId="77777777" w:rsidTr="006E70BD">
        <w:trPr>
          <w:trHeight w:hRule="exact" w:val="360"/>
          <w:jc w:val="center"/>
        </w:trPr>
        <w:tc>
          <w:tcPr>
            <w:tcW w:w="9000" w:type="dxa"/>
            <w:gridSpan w:val="6"/>
            <w:shd w:val="clear" w:color="auto" w:fill="auto"/>
            <w:vAlign w:val="center"/>
          </w:tcPr>
          <w:p w14:paraId="4729E980" w14:textId="77777777" w:rsidR="00A94B54" w:rsidRPr="009379BA" w:rsidRDefault="00A94B54" w:rsidP="006E70BD">
            <w:pPr>
              <w:jc w:val="center"/>
              <w:rPr>
                <w:b/>
                <w:bCs/>
                <w:sz w:val="20"/>
                <w:szCs w:val="20"/>
              </w:rPr>
            </w:pPr>
            <w:r w:rsidRPr="009379BA">
              <w:rPr>
                <w:b/>
                <w:bCs/>
                <w:sz w:val="20"/>
                <w:szCs w:val="20"/>
              </w:rPr>
              <w:t>Community Development Services</w:t>
            </w:r>
          </w:p>
        </w:tc>
      </w:tr>
      <w:tr w:rsidR="00A94B54" w:rsidRPr="009379BA" w14:paraId="1E33FFC7" w14:textId="77777777" w:rsidTr="006E70BD">
        <w:trPr>
          <w:trHeight w:val="669"/>
          <w:jc w:val="center"/>
        </w:trPr>
        <w:tc>
          <w:tcPr>
            <w:tcW w:w="2340" w:type="dxa"/>
            <w:vMerge w:val="restart"/>
            <w:shd w:val="clear" w:color="auto" w:fill="auto"/>
            <w:vAlign w:val="center"/>
          </w:tcPr>
          <w:p w14:paraId="5EF672FC" w14:textId="77777777" w:rsidR="00A94B54" w:rsidRPr="009379BA" w:rsidRDefault="00A94B54" w:rsidP="006E70BD">
            <w:pPr>
              <w:jc w:val="both"/>
              <w:rPr>
                <w:b/>
                <w:bCs/>
                <w:sz w:val="20"/>
                <w:szCs w:val="20"/>
              </w:rPr>
            </w:pPr>
            <w:r w:rsidRPr="009379BA">
              <w:rPr>
                <w:b/>
                <w:bCs/>
                <w:sz w:val="20"/>
                <w:szCs w:val="20"/>
              </w:rPr>
              <w:t>Activity Year</w:t>
            </w:r>
          </w:p>
        </w:tc>
        <w:tc>
          <w:tcPr>
            <w:tcW w:w="1350" w:type="dxa"/>
            <w:shd w:val="clear" w:color="auto" w:fill="auto"/>
            <w:vAlign w:val="center"/>
          </w:tcPr>
          <w:p w14:paraId="2FA60417" w14:textId="77777777" w:rsidR="00A94B54" w:rsidRPr="009379BA" w:rsidRDefault="00A94B54" w:rsidP="006E70BD">
            <w:pPr>
              <w:jc w:val="center"/>
              <w:rPr>
                <w:bCs/>
                <w:sz w:val="20"/>
                <w:szCs w:val="20"/>
              </w:rPr>
            </w:pPr>
            <w:r w:rsidRPr="009379BA">
              <w:rPr>
                <w:b/>
                <w:bCs/>
                <w:sz w:val="20"/>
                <w:szCs w:val="20"/>
              </w:rPr>
              <w:t>Affordable Housing</w:t>
            </w:r>
          </w:p>
        </w:tc>
        <w:tc>
          <w:tcPr>
            <w:tcW w:w="1350" w:type="dxa"/>
            <w:shd w:val="clear" w:color="auto" w:fill="auto"/>
            <w:vAlign w:val="center"/>
          </w:tcPr>
          <w:p w14:paraId="0EF7B855" w14:textId="77777777" w:rsidR="00A94B54" w:rsidRPr="009379BA" w:rsidRDefault="00A94B54" w:rsidP="006E70BD">
            <w:pPr>
              <w:jc w:val="center"/>
              <w:rPr>
                <w:b/>
                <w:bCs/>
                <w:sz w:val="20"/>
                <w:szCs w:val="20"/>
              </w:rPr>
            </w:pPr>
            <w:r w:rsidRPr="009379BA">
              <w:rPr>
                <w:b/>
                <w:bCs/>
                <w:sz w:val="20"/>
                <w:szCs w:val="20"/>
              </w:rPr>
              <w:t>Community Services</w:t>
            </w:r>
          </w:p>
        </w:tc>
        <w:tc>
          <w:tcPr>
            <w:tcW w:w="1350" w:type="dxa"/>
            <w:shd w:val="clear" w:color="auto" w:fill="auto"/>
            <w:vAlign w:val="center"/>
          </w:tcPr>
          <w:p w14:paraId="50673D6A" w14:textId="77777777" w:rsidR="00A94B54" w:rsidRPr="009379BA" w:rsidRDefault="00A94B54" w:rsidP="006E70BD">
            <w:pPr>
              <w:jc w:val="center"/>
              <w:rPr>
                <w:b/>
                <w:bCs/>
                <w:sz w:val="20"/>
                <w:szCs w:val="20"/>
              </w:rPr>
            </w:pPr>
            <w:r w:rsidRPr="009379BA">
              <w:rPr>
                <w:b/>
                <w:bCs/>
                <w:sz w:val="20"/>
                <w:szCs w:val="20"/>
              </w:rPr>
              <w:t>Economic Development</w:t>
            </w:r>
          </w:p>
        </w:tc>
        <w:tc>
          <w:tcPr>
            <w:tcW w:w="1350" w:type="dxa"/>
            <w:shd w:val="clear" w:color="auto" w:fill="auto"/>
            <w:vAlign w:val="center"/>
          </w:tcPr>
          <w:p w14:paraId="23ABEF9D" w14:textId="77777777" w:rsidR="00A94B54" w:rsidRPr="009379BA" w:rsidRDefault="00A94B54" w:rsidP="006E70BD">
            <w:pPr>
              <w:jc w:val="center"/>
              <w:rPr>
                <w:b/>
                <w:bCs/>
                <w:sz w:val="20"/>
                <w:szCs w:val="20"/>
              </w:rPr>
            </w:pPr>
            <w:r w:rsidRPr="009379BA">
              <w:rPr>
                <w:b/>
                <w:bCs/>
                <w:sz w:val="20"/>
                <w:szCs w:val="20"/>
              </w:rPr>
              <w:t>Revitalize or Stabilize</w:t>
            </w:r>
          </w:p>
        </w:tc>
        <w:tc>
          <w:tcPr>
            <w:tcW w:w="1260" w:type="dxa"/>
            <w:shd w:val="clear" w:color="auto" w:fill="auto"/>
            <w:vAlign w:val="center"/>
          </w:tcPr>
          <w:p w14:paraId="1614274A" w14:textId="77777777" w:rsidR="00A94B54" w:rsidRPr="009379BA" w:rsidRDefault="00A94B54" w:rsidP="006E70BD">
            <w:pPr>
              <w:jc w:val="center"/>
              <w:rPr>
                <w:b/>
                <w:bCs/>
                <w:sz w:val="20"/>
                <w:szCs w:val="20"/>
              </w:rPr>
            </w:pPr>
            <w:r w:rsidRPr="009379BA">
              <w:rPr>
                <w:b/>
                <w:bCs/>
                <w:sz w:val="20"/>
                <w:szCs w:val="20"/>
              </w:rPr>
              <w:t>Totals</w:t>
            </w:r>
          </w:p>
        </w:tc>
      </w:tr>
      <w:tr w:rsidR="00A94B54" w:rsidRPr="009379BA" w14:paraId="086D9645" w14:textId="77777777" w:rsidTr="006E70BD">
        <w:trPr>
          <w:trHeight w:hRule="exact" w:val="288"/>
          <w:jc w:val="center"/>
        </w:trPr>
        <w:tc>
          <w:tcPr>
            <w:tcW w:w="2340" w:type="dxa"/>
            <w:vMerge/>
            <w:shd w:val="clear" w:color="auto" w:fill="auto"/>
            <w:vAlign w:val="center"/>
          </w:tcPr>
          <w:p w14:paraId="4BE82A1E" w14:textId="77777777" w:rsidR="00A94B54" w:rsidRPr="009379BA" w:rsidRDefault="00A94B54" w:rsidP="006E70BD">
            <w:pPr>
              <w:jc w:val="both"/>
              <w:rPr>
                <w:bCs/>
                <w:sz w:val="20"/>
                <w:szCs w:val="20"/>
              </w:rPr>
            </w:pPr>
          </w:p>
        </w:tc>
        <w:tc>
          <w:tcPr>
            <w:tcW w:w="1350" w:type="dxa"/>
            <w:shd w:val="clear" w:color="auto" w:fill="auto"/>
            <w:vAlign w:val="center"/>
          </w:tcPr>
          <w:p w14:paraId="24A49CEA" w14:textId="77777777" w:rsidR="00A94B54" w:rsidRPr="009379BA" w:rsidRDefault="00A94B54" w:rsidP="006E70BD">
            <w:pPr>
              <w:jc w:val="center"/>
              <w:rPr>
                <w:bCs/>
                <w:sz w:val="20"/>
                <w:szCs w:val="20"/>
              </w:rPr>
            </w:pPr>
            <w:r w:rsidRPr="009379BA">
              <w:rPr>
                <w:bCs/>
                <w:sz w:val="20"/>
                <w:szCs w:val="20"/>
              </w:rPr>
              <w:t>#</w:t>
            </w:r>
          </w:p>
        </w:tc>
        <w:tc>
          <w:tcPr>
            <w:tcW w:w="1350" w:type="dxa"/>
            <w:shd w:val="clear" w:color="auto" w:fill="auto"/>
            <w:vAlign w:val="center"/>
          </w:tcPr>
          <w:p w14:paraId="5A247295" w14:textId="77777777" w:rsidR="00A94B54" w:rsidRPr="009379BA" w:rsidRDefault="00A94B54" w:rsidP="006E70BD">
            <w:pPr>
              <w:jc w:val="center"/>
              <w:rPr>
                <w:bCs/>
                <w:sz w:val="20"/>
                <w:szCs w:val="20"/>
              </w:rPr>
            </w:pPr>
            <w:r w:rsidRPr="009379BA">
              <w:rPr>
                <w:bCs/>
                <w:sz w:val="20"/>
                <w:szCs w:val="20"/>
              </w:rPr>
              <w:t>#</w:t>
            </w:r>
          </w:p>
        </w:tc>
        <w:tc>
          <w:tcPr>
            <w:tcW w:w="1350" w:type="dxa"/>
            <w:shd w:val="clear" w:color="auto" w:fill="auto"/>
            <w:vAlign w:val="center"/>
          </w:tcPr>
          <w:p w14:paraId="434C9319" w14:textId="77777777" w:rsidR="00A94B54" w:rsidRPr="009379BA" w:rsidRDefault="00A94B54" w:rsidP="006E70BD">
            <w:pPr>
              <w:jc w:val="center"/>
              <w:rPr>
                <w:bCs/>
                <w:sz w:val="20"/>
                <w:szCs w:val="20"/>
              </w:rPr>
            </w:pPr>
            <w:r w:rsidRPr="009379BA">
              <w:rPr>
                <w:bCs/>
                <w:sz w:val="20"/>
                <w:szCs w:val="20"/>
              </w:rPr>
              <w:t>#</w:t>
            </w:r>
          </w:p>
        </w:tc>
        <w:tc>
          <w:tcPr>
            <w:tcW w:w="1350" w:type="dxa"/>
            <w:shd w:val="clear" w:color="auto" w:fill="auto"/>
            <w:vAlign w:val="center"/>
          </w:tcPr>
          <w:p w14:paraId="6BB3FF2B" w14:textId="77777777" w:rsidR="00A94B54" w:rsidRPr="009379BA" w:rsidRDefault="00A94B54" w:rsidP="006E70BD">
            <w:pPr>
              <w:jc w:val="center"/>
              <w:rPr>
                <w:bCs/>
                <w:sz w:val="20"/>
                <w:szCs w:val="20"/>
              </w:rPr>
            </w:pPr>
            <w:r w:rsidRPr="009379BA">
              <w:rPr>
                <w:bCs/>
                <w:sz w:val="20"/>
                <w:szCs w:val="20"/>
              </w:rPr>
              <w:t>#</w:t>
            </w:r>
          </w:p>
        </w:tc>
        <w:tc>
          <w:tcPr>
            <w:tcW w:w="1260" w:type="dxa"/>
            <w:shd w:val="clear" w:color="auto" w:fill="auto"/>
            <w:vAlign w:val="center"/>
          </w:tcPr>
          <w:p w14:paraId="735113B2" w14:textId="77777777" w:rsidR="00A94B54" w:rsidRPr="009379BA" w:rsidRDefault="00A94B54" w:rsidP="006E70BD">
            <w:pPr>
              <w:jc w:val="center"/>
              <w:rPr>
                <w:bCs/>
                <w:sz w:val="20"/>
                <w:szCs w:val="20"/>
              </w:rPr>
            </w:pPr>
            <w:r w:rsidRPr="009379BA">
              <w:rPr>
                <w:bCs/>
                <w:sz w:val="20"/>
                <w:szCs w:val="20"/>
              </w:rPr>
              <w:t>#</w:t>
            </w:r>
          </w:p>
        </w:tc>
      </w:tr>
      <w:tr w:rsidR="00A94B54" w:rsidRPr="009379BA" w14:paraId="42DADD0C" w14:textId="77777777" w:rsidTr="006E70BD">
        <w:trPr>
          <w:trHeight w:hRule="exact" w:val="288"/>
          <w:jc w:val="center"/>
        </w:trPr>
        <w:tc>
          <w:tcPr>
            <w:tcW w:w="2340" w:type="dxa"/>
            <w:shd w:val="clear" w:color="auto" w:fill="auto"/>
            <w:vAlign w:val="center"/>
          </w:tcPr>
          <w:p w14:paraId="6F2A7941" w14:textId="420F052E" w:rsidR="00A94B54" w:rsidRPr="009379BA" w:rsidRDefault="00A94B54" w:rsidP="006E70BD">
            <w:pPr>
              <w:jc w:val="both"/>
              <w:rPr>
                <w:bCs/>
                <w:sz w:val="20"/>
                <w:szCs w:val="20"/>
              </w:rPr>
            </w:pPr>
            <w:r>
              <w:rPr>
                <w:bCs/>
                <w:sz w:val="20"/>
                <w:szCs w:val="20"/>
              </w:rPr>
              <w:t>2017</w:t>
            </w:r>
          </w:p>
        </w:tc>
        <w:tc>
          <w:tcPr>
            <w:tcW w:w="1350" w:type="dxa"/>
            <w:shd w:val="clear" w:color="auto" w:fill="auto"/>
            <w:vAlign w:val="center"/>
          </w:tcPr>
          <w:p w14:paraId="4B7AA88D" w14:textId="77777777" w:rsidR="00A94B54" w:rsidRPr="009379BA" w:rsidRDefault="00A94B54" w:rsidP="006E70BD">
            <w:pPr>
              <w:jc w:val="center"/>
              <w:rPr>
                <w:bCs/>
                <w:sz w:val="20"/>
                <w:szCs w:val="20"/>
              </w:rPr>
            </w:pPr>
            <w:r>
              <w:rPr>
                <w:bCs/>
                <w:sz w:val="20"/>
                <w:szCs w:val="20"/>
              </w:rPr>
              <w:t>6</w:t>
            </w:r>
          </w:p>
        </w:tc>
        <w:tc>
          <w:tcPr>
            <w:tcW w:w="1350" w:type="dxa"/>
            <w:shd w:val="clear" w:color="auto" w:fill="auto"/>
            <w:vAlign w:val="center"/>
          </w:tcPr>
          <w:p w14:paraId="3BA0FF77" w14:textId="77777777" w:rsidR="00A94B54" w:rsidRPr="009379BA" w:rsidRDefault="00A94B54" w:rsidP="006E70BD">
            <w:pPr>
              <w:jc w:val="center"/>
              <w:rPr>
                <w:bCs/>
                <w:sz w:val="20"/>
                <w:szCs w:val="20"/>
              </w:rPr>
            </w:pPr>
            <w:r>
              <w:rPr>
                <w:bCs/>
                <w:sz w:val="20"/>
                <w:szCs w:val="20"/>
              </w:rPr>
              <w:t>20</w:t>
            </w:r>
          </w:p>
        </w:tc>
        <w:tc>
          <w:tcPr>
            <w:tcW w:w="1350" w:type="dxa"/>
            <w:shd w:val="clear" w:color="auto" w:fill="auto"/>
            <w:vAlign w:val="center"/>
          </w:tcPr>
          <w:p w14:paraId="2A7554B2" w14:textId="77777777" w:rsidR="00A94B54" w:rsidRPr="009379BA" w:rsidRDefault="00A94B54" w:rsidP="006E70BD">
            <w:pPr>
              <w:jc w:val="center"/>
              <w:rPr>
                <w:bCs/>
                <w:sz w:val="20"/>
                <w:szCs w:val="20"/>
              </w:rPr>
            </w:pPr>
            <w:r>
              <w:rPr>
                <w:bCs/>
                <w:sz w:val="20"/>
                <w:szCs w:val="20"/>
              </w:rPr>
              <w:t>4</w:t>
            </w:r>
          </w:p>
        </w:tc>
        <w:tc>
          <w:tcPr>
            <w:tcW w:w="1350" w:type="dxa"/>
            <w:shd w:val="clear" w:color="auto" w:fill="auto"/>
            <w:vAlign w:val="center"/>
          </w:tcPr>
          <w:p w14:paraId="723EE9AF" w14:textId="77777777" w:rsidR="00A94B54" w:rsidRPr="009379BA" w:rsidRDefault="00A94B54" w:rsidP="006E70BD">
            <w:pPr>
              <w:jc w:val="center"/>
              <w:rPr>
                <w:bCs/>
                <w:sz w:val="20"/>
                <w:szCs w:val="20"/>
              </w:rPr>
            </w:pPr>
            <w:r>
              <w:rPr>
                <w:bCs/>
                <w:sz w:val="20"/>
                <w:szCs w:val="20"/>
              </w:rPr>
              <w:t>0</w:t>
            </w:r>
          </w:p>
        </w:tc>
        <w:tc>
          <w:tcPr>
            <w:tcW w:w="1260" w:type="dxa"/>
            <w:shd w:val="clear" w:color="auto" w:fill="auto"/>
            <w:vAlign w:val="center"/>
          </w:tcPr>
          <w:p w14:paraId="7297C12D" w14:textId="77777777" w:rsidR="00A94B54" w:rsidRPr="009379BA" w:rsidRDefault="00A94B54" w:rsidP="006E70BD">
            <w:pPr>
              <w:jc w:val="center"/>
              <w:rPr>
                <w:b/>
                <w:bCs/>
                <w:sz w:val="20"/>
                <w:szCs w:val="20"/>
              </w:rPr>
            </w:pPr>
            <w:r>
              <w:rPr>
                <w:b/>
                <w:bCs/>
                <w:sz w:val="20"/>
                <w:szCs w:val="20"/>
              </w:rPr>
              <w:t>30</w:t>
            </w:r>
          </w:p>
        </w:tc>
      </w:tr>
      <w:tr w:rsidR="00A94B54" w:rsidRPr="009379BA" w14:paraId="1372F598" w14:textId="77777777" w:rsidTr="006E70BD">
        <w:trPr>
          <w:trHeight w:hRule="exact" w:val="288"/>
          <w:jc w:val="center"/>
        </w:trPr>
        <w:tc>
          <w:tcPr>
            <w:tcW w:w="2340" w:type="dxa"/>
            <w:shd w:val="clear" w:color="auto" w:fill="auto"/>
            <w:vAlign w:val="center"/>
          </w:tcPr>
          <w:p w14:paraId="615EFF62" w14:textId="77777777" w:rsidR="00A94B54" w:rsidRPr="009379BA" w:rsidRDefault="00A94B54" w:rsidP="006E70BD">
            <w:pPr>
              <w:jc w:val="both"/>
              <w:rPr>
                <w:bCs/>
                <w:sz w:val="20"/>
                <w:szCs w:val="20"/>
              </w:rPr>
            </w:pPr>
            <w:r>
              <w:rPr>
                <w:bCs/>
                <w:sz w:val="20"/>
                <w:szCs w:val="20"/>
              </w:rPr>
              <w:t>2018</w:t>
            </w:r>
          </w:p>
        </w:tc>
        <w:tc>
          <w:tcPr>
            <w:tcW w:w="1350" w:type="dxa"/>
            <w:shd w:val="clear" w:color="auto" w:fill="auto"/>
            <w:vAlign w:val="center"/>
          </w:tcPr>
          <w:p w14:paraId="14782D45" w14:textId="77777777" w:rsidR="00A94B54" w:rsidRPr="009379BA" w:rsidRDefault="00A94B54" w:rsidP="006E70BD">
            <w:pPr>
              <w:jc w:val="center"/>
              <w:rPr>
                <w:bCs/>
                <w:sz w:val="20"/>
                <w:szCs w:val="20"/>
              </w:rPr>
            </w:pPr>
            <w:r>
              <w:rPr>
                <w:bCs/>
                <w:sz w:val="20"/>
                <w:szCs w:val="20"/>
              </w:rPr>
              <w:t>4</w:t>
            </w:r>
          </w:p>
        </w:tc>
        <w:tc>
          <w:tcPr>
            <w:tcW w:w="1350" w:type="dxa"/>
            <w:shd w:val="clear" w:color="auto" w:fill="auto"/>
            <w:vAlign w:val="center"/>
          </w:tcPr>
          <w:p w14:paraId="616D5B4C" w14:textId="77777777" w:rsidR="00A94B54" w:rsidRPr="009379BA" w:rsidRDefault="00A94B54" w:rsidP="006E70BD">
            <w:pPr>
              <w:jc w:val="center"/>
              <w:rPr>
                <w:bCs/>
                <w:sz w:val="20"/>
                <w:szCs w:val="20"/>
              </w:rPr>
            </w:pPr>
            <w:r>
              <w:rPr>
                <w:bCs/>
                <w:sz w:val="20"/>
                <w:szCs w:val="20"/>
              </w:rPr>
              <w:t>22</w:t>
            </w:r>
          </w:p>
        </w:tc>
        <w:tc>
          <w:tcPr>
            <w:tcW w:w="1350" w:type="dxa"/>
            <w:shd w:val="clear" w:color="auto" w:fill="auto"/>
            <w:vAlign w:val="center"/>
          </w:tcPr>
          <w:p w14:paraId="3B546B65" w14:textId="77777777" w:rsidR="00A94B54" w:rsidRPr="009379BA" w:rsidRDefault="00A94B54" w:rsidP="006E70BD">
            <w:pPr>
              <w:jc w:val="center"/>
              <w:rPr>
                <w:bCs/>
                <w:sz w:val="20"/>
                <w:szCs w:val="20"/>
              </w:rPr>
            </w:pPr>
            <w:r>
              <w:rPr>
                <w:bCs/>
                <w:sz w:val="20"/>
                <w:szCs w:val="20"/>
              </w:rPr>
              <w:t>2</w:t>
            </w:r>
          </w:p>
        </w:tc>
        <w:tc>
          <w:tcPr>
            <w:tcW w:w="1350" w:type="dxa"/>
            <w:shd w:val="clear" w:color="auto" w:fill="auto"/>
            <w:vAlign w:val="center"/>
          </w:tcPr>
          <w:p w14:paraId="30A8D40A" w14:textId="77777777" w:rsidR="00A94B54" w:rsidRPr="009379BA" w:rsidRDefault="00A94B54" w:rsidP="006E70BD">
            <w:pPr>
              <w:jc w:val="center"/>
              <w:rPr>
                <w:bCs/>
                <w:sz w:val="20"/>
                <w:szCs w:val="20"/>
              </w:rPr>
            </w:pPr>
            <w:r>
              <w:rPr>
                <w:bCs/>
                <w:sz w:val="20"/>
                <w:szCs w:val="20"/>
              </w:rPr>
              <w:t>0</w:t>
            </w:r>
          </w:p>
        </w:tc>
        <w:tc>
          <w:tcPr>
            <w:tcW w:w="1260" w:type="dxa"/>
            <w:shd w:val="clear" w:color="auto" w:fill="auto"/>
            <w:vAlign w:val="center"/>
          </w:tcPr>
          <w:p w14:paraId="57DB4F02" w14:textId="77777777" w:rsidR="00A94B54" w:rsidRPr="009379BA" w:rsidRDefault="00A94B54" w:rsidP="006E70BD">
            <w:pPr>
              <w:jc w:val="center"/>
              <w:rPr>
                <w:b/>
                <w:bCs/>
                <w:sz w:val="20"/>
                <w:szCs w:val="20"/>
              </w:rPr>
            </w:pPr>
            <w:r>
              <w:rPr>
                <w:b/>
                <w:bCs/>
                <w:sz w:val="20"/>
                <w:szCs w:val="20"/>
              </w:rPr>
              <w:t>28</w:t>
            </w:r>
          </w:p>
        </w:tc>
      </w:tr>
      <w:tr w:rsidR="00A94B54" w:rsidRPr="009379BA" w14:paraId="0DE6668B" w14:textId="77777777" w:rsidTr="006E70BD">
        <w:trPr>
          <w:trHeight w:hRule="exact" w:val="288"/>
          <w:jc w:val="center"/>
        </w:trPr>
        <w:tc>
          <w:tcPr>
            <w:tcW w:w="2340" w:type="dxa"/>
            <w:shd w:val="clear" w:color="auto" w:fill="auto"/>
            <w:vAlign w:val="center"/>
          </w:tcPr>
          <w:p w14:paraId="3C4470FB" w14:textId="77777777" w:rsidR="00A94B54" w:rsidRPr="009379BA" w:rsidRDefault="00A94B54" w:rsidP="006E70BD">
            <w:pPr>
              <w:jc w:val="both"/>
              <w:rPr>
                <w:bCs/>
                <w:sz w:val="20"/>
                <w:szCs w:val="20"/>
              </w:rPr>
            </w:pPr>
            <w:r>
              <w:rPr>
                <w:bCs/>
                <w:sz w:val="20"/>
                <w:szCs w:val="20"/>
              </w:rPr>
              <w:t>2019</w:t>
            </w:r>
          </w:p>
        </w:tc>
        <w:tc>
          <w:tcPr>
            <w:tcW w:w="1350" w:type="dxa"/>
            <w:shd w:val="clear" w:color="auto" w:fill="auto"/>
            <w:vAlign w:val="center"/>
          </w:tcPr>
          <w:p w14:paraId="28AF1FD5" w14:textId="77777777" w:rsidR="00A94B54" w:rsidRPr="009379BA" w:rsidRDefault="00A94B54" w:rsidP="006E70BD">
            <w:pPr>
              <w:jc w:val="center"/>
              <w:rPr>
                <w:bCs/>
                <w:sz w:val="20"/>
                <w:szCs w:val="20"/>
              </w:rPr>
            </w:pPr>
            <w:r>
              <w:rPr>
                <w:bCs/>
                <w:sz w:val="20"/>
                <w:szCs w:val="20"/>
              </w:rPr>
              <w:t>15</w:t>
            </w:r>
          </w:p>
        </w:tc>
        <w:tc>
          <w:tcPr>
            <w:tcW w:w="1350" w:type="dxa"/>
            <w:shd w:val="clear" w:color="auto" w:fill="auto"/>
            <w:vAlign w:val="center"/>
          </w:tcPr>
          <w:p w14:paraId="6164EF44" w14:textId="77777777" w:rsidR="00A94B54" w:rsidRPr="009379BA" w:rsidRDefault="00A94B54" w:rsidP="006E70BD">
            <w:pPr>
              <w:jc w:val="center"/>
              <w:rPr>
                <w:bCs/>
                <w:sz w:val="20"/>
                <w:szCs w:val="20"/>
              </w:rPr>
            </w:pPr>
            <w:r>
              <w:rPr>
                <w:bCs/>
                <w:sz w:val="20"/>
                <w:szCs w:val="20"/>
              </w:rPr>
              <w:t>32</w:t>
            </w:r>
          </w:p>
        </w:tc>
        <w:tc>
          <w:tcPr>
            <w:tcW w:w="1350" w:type="dxa"/>
            <w:shd w:val="clear" w:color="auto" w:fill="auto"/>
            <w:vAlign w:val="center"/>
          </w:tcPr>
          <w:p w14:paraId="783BE914" w14:textId="77777777" w:rsidR="00A94B54" w:rsidRPr="009379BA" w:rsidRDefault="00A94B54" w:rsidP="006E70BD">
            <w:pPr>
              <w:jc w:val="center"/>
              <w:rPr>
                <w:bCs/>
                <w:sz w:val="20"/>
                <w:szCs w:val="20"/>
              </w:rPr>
            </w:pPr>
            <w:r>
              <w:rPr>
                <w:bCs/>
                <w:sz w:val="20"/>
                <w:szCs w:val="20"/>
              </w:rPr>
              <w:t>1</w:t>
            </w:r>
          </w:p>
        </w:tc>
        <w:tc>
          <w:tcPr>
            <w:tcW w:w="1350" w:type="dxa"/>
            <w:shd w:val="clear" w:color="auto" w:fill="auto"/>
            <w:vAlign w:val="center"/>
          </w:tcPr>
          <w:p w14:paraId="2D699B41" w14:textId="77777777" w:rsidR="00A94B54" w:rsidRPr="009379BA" w:rsidRDefault="00A94B54" w:rsidP="006E70BD">
            <w:pPr>
              <w:jc w:val="center"/>
              <w:rPr>
                <w:bCs/>
                <w:sz w:val="20"/>
                <w:szCs w:val="20"/>
              </w:rPr>
            </w:pPr>
            <w:r>
              <w:rPr>
                <w:bCs/>
                <w:sz w:val="20"/>
                <w:szCs w:val="20"/>
              </w:rPr>
              <w:t>0</w:t>
            </w:r>
          </w:p>
        </w:tc>
        <w:tc>
          <w:tcPr>
            <w:tcW w:w="1260" w:type="dxa"/>
            <w:shd w:val="clear" w:color="auto" w:fill="auto"/>
            <w:vAlign w:val="center"/>
          </w:tcPr>
          <w:p w14:paraId="4775D12C" w14:textId="77777777" w:rsidR="00A94B54" w:rsidRPr="009379BA" w:rsidRDefault="00A94B54" w:rsidP="006E70BD">
            <w:pPr>
              <w:jc w:val="center"/>
              <w:rPr>
                <w:b/>
                <w:bCs/>
                <w:sz w:val="20"/>
                <w:szCs w:val="20"/>
              </w:rPr>
            </w:pPr>
            <w:r>
              <w:rPr>
                <w:b/>
                <w:bCs/>
                <w:sz w:val="20"/>
                <w:szCs w:val="20"/>
              </w:rPr>
              <w:t>48</w:t>
            </w:r>
          </w:p>
        </w:tc>
      </w:tr>
      <w:tr w:rsidR="00A94B54" w:rsidRPr="009379BA" w14:paraId="59747893" w14:textId="77777777" w:rsidTr="006E70BD">
        <w:trPr>
          <w:trHeight w:hRule="exact" w:val="288"/>
          <w:jc w:val="center"/>
        </w:trPr>
        <w:tc>
          <w:tcPr>
            <w:tcW w:w="2340" w:type="dxa"/>
            <w:shd w:val="clear" w:color="auto" w:fill="auto"/>
            <w:vAlign w:val="center"/>
          </w:tcPr>
          <w:p w14:paraId="5AF8A901" w14:textId="77777777" w:rsidR="00A94B54" w:rsidRPr="009379BA" w:rsidRDefault="00A94B54" w:rsidP="006E70BD">
            <w:pPr>
              <w:jc w:val="both"/>
              <w:rPr>
                <w:bCs/>
                <w:sz w:val="20"/>
                <w:szCs w:val="20"/>
              </w:rPr>
            </w:pPr>
            <w:r>
              <w:rPr>
                <w:bCs/>
                <w:sz w:val="20"/>
                <w:szCs w:val="20"/>
              </w:rPr>
              <w:t>YTD 2020</w:t>
            </w:r>
          </w:p>
        </w:tc>
        <w:tc>
          <w:tcPr>
            <w:tcW w:w="1350" w:type="dxa"/>
            <w:shd w:val="clear" w:color="auto" w:fill="auto"/>
            <w:vAlign w:val="center"/>
          </w:tcPr>
          <w:p w14:paraId="10786249" w14:textId="77777777" w:rsidR="00A94B54" w:rsidRPr="009379BA" w:rsidRDefault="00A94B54" w:rsidP="006E70BD">
            <w:pPr>
              <w:jc w:val="center"/>
              <w:rPr>
                <w:bCs/>
                <w:sz w:val="20"/>
                <w:szCs w:val="20"/>
              </w:rPr>
            </w:pPr>
            <w:r>
              <w:rPr>
                <w:bCs/>
                <w:sz w:val="20"/>
                <w:szCs w:val="20"/>
              </w:rPr>
              <w:t>6</w:t>
            </w:r>
          </w:p>
        </w:tc>
        <w:tc>
          <w:tcPr>
            <w:tcW w:w="1350" w:type="dxa"/>
            <w:shd w:val="clear" w:color="auto" w:fill="auto"/>
            <w:vAlign w:val="center"/>
          </w:tcPr>
          <w:p w14:paraId="755F329A" w14:textId="77777777" w:rsidR="00A94B54" w:rsidRPr="009379BA" w:rsidRDefault="00A94B54" w:rsidP="006E70BD">
            <w:pPr>
              <w:jc w:val="center"/>
              <w:rPr>
                <w:bCs/>
                <w:sz w:val="20"/>
                <w:szCs w:val="20"/>
              </w:rPr>
            </w:pPr>
            <w:r>
              <w:rPr>
                <w:bCs/>
                <w:sz w:val="20"/>
                <w:szCs w:val="20"/>
              </w:rPr>
              <w:t>16</w:t>
            </w:r>
          </w:p>
        </w:tc>
        <w:tc>
          <w:tcPr>
            <w:tcW w:w="1350" w:type="dxa"/>
            <w:shd w:val="clear" w:color="auto" w:fill="auto"/>
            <w:vAlign w:val="center"/>
          </w:tcPr>
          <w:p w14:paraId="602544F7" w14:textId="77777777" w:rsidR="00A94B54" w:rsidRPr="009379BA" w:rsidRDefault="00A94B54" w:rsidP="006E70BD">
            <w:pPr>
              <w:jc w:val="center"/>
              <w:rPr>
                <w:bCs/>
                <w:sz w:val="20"/>
                <w:szCs w:val="20"/>
              </w:rPr>
            </w:pPr>
            <w:r>
              <w:rPr>
                <w:bCs/>
                <w:sz w:val="20"/>
                <w:szCs w:val="20"/>
              </w:rPr>
              <w:t>1</w:t>
            </w:r>
          </w:p>
        </w:tc>
        <w:tc>
          <w:tcPr>
            <w:tcW w:w="1350" w:type="dxa"/>
            <w:shd w:val="clear" w:color="auto" w:fill="auto"/>
            <w:vAlign w:val="center"/>
          </w:tcPr>
          <w:p w14:paraId="10D39DDC" w14:textId="77777777" w:rsidR="00A94B54" w:rsidRPr="009379BA" w:rsidRDefault="00A94B54" w:rsidP="006E70BD">
            <w:pPr>
              <w:jc w:val="center"/>
              <w:rPr>
                <w:bCs/>
                <w:sz w:val="20"/>
                <w:szCs w:val="20"/>
              </w:rPr>
            </w:pPr>
            <w:r>
              <w:rPr>
                <w:bCs/>
                <w:sz w:val="20"/>
                <w:szCs w:val="20"/>
              </w:rPr>
              <w:t>0</w:t>
            </w:r>
          </w:p>
        </w:tc>
        <w:tc>
          <w:tcPr>
            <w:tcW w:w="1260" w:type="dxa"/>
            <w:shd w:val="clear" w:color="auto" w:fill="auto"/>
            <w:vAlign w:val="center"/>
          </w:tcPr>
          <w:p w14:paraId="215BCA81" w14:textId="77777777" w:rsidR="00A94B54" w:rsidRPr="009379BA" w:rsidRDefault="00A94B54" w:rsidP="006E70BD">
            <w:pPr>
              <w:jc w:val="center"/>
              <w:rPr>
                <w:b/>
                <w:bCs/>
                <w:sz w:val="20"/>
                <w:szCs w:val="20"/>
              </w:rPr>
            </w:pPr>
            <w:r>
              <w:rPr>
                <w:b/>
                <w:bCs/>
                <w:sz w:val="20"/>
                <w:szCs w:val="20"/>
              </w:rPr>
              <w:t>23</w:t>
            </w:r>
          </w:p>
        </w:tc>
      </w:tr>
      <w:tr w:rsidR="00A94B54" w:rsidRPr="009379BA" w14:paraId="6D7016EE" w14:textId="77777777" w:rsidTr="006E70BD">
        <w:trPr>
          <w:trHeight w:hRule="exact" w:val="288"/>
          <w:jc w:val="center"/>
        </w:trPr>
        <w:tc>
          <w:tcPr>
            <w:tcW w:w="2340" w:type="dxa"/>
            <w:shd w:val="clear" w:color="auto" w:fill="auto"/>
            <w:vAlign w:val="center"/>
          </w:tcPr>
          <w:p w14:paraId="644284B4" w14:textId="77777777" w:rsidR="00A94B54" w:rsidRPr="009379BA" w:rsidRDefault="00A94B54" w:rsidP="006E70BD">
            <w:pPr>
              <w:jc w:val="both"/>
              <w:rPr>
                <w:b/>
                <w:bCs/>
                <w:sz w:val="20"/>
                <w:szCs w:val="20"/>
              </w:rPr>
            </w:pPr>
            <w:r w:rsidRPr="009379BA">
              <w:rPr>
                <w:b/>
                <w:bCs/>
                <w:sz w:val="20"/>
                <w:szCs w:val="20"/>
              </w:rPr>
              <w:t>Total</w:t>
            </w:r>
          </w:p>
        </w:tc>
        <w:tc>
          <w:tcPr>
            <w:tcW w:w="1350" w:type="dxa"/>
            <w:shd w:val="clear" w:color="auto" w:fill="auto"/>
            <w:vAlign w:val="center"/>
          </w:tcPr>
          <w:p w14:paraId="66E9DD68" w14:textId="77777777" w:rsidR="00A94B54" w:rsidRPr="009379BA" w:rsidRDefault="00A94B54" w:rsidP="006E70BD">
            <w:pPr>
              <w:jc w:val="center"/>
              <w:rPr>
                <w:b/>
                <w:bCs/>
                <w:sz w:val="20"/>
                <w:szCs w:val="20"/>
              </w:rPr>
            </w:pPr>
            <w:r>
              <w:rPr>
                <w:b/>
                <w:bCs/>
                <w:sz w:val="20"/>
                <w:szCs w:val="20"/>
              </w:rPr>
              <w:t>31</w:t>
            </w:r>
          </w:p>
        </w:tc>
        <w:tc>
          <w:tcPr>
            <w:tcW w:w="1350" w:type="dxa"/>
            <w:shd w:val="clear" w:color="auto" w:fill="auto"/>
            <w:vAlign w:val="center"/>
          </w:tcPr>
          <w:p w14:paraId="34DFCDD3" w14:textId="77777777" w:rsidR="00A94B54" w:rsidRPr="009379BA" w:rsidRDefault="00A94B54" w:rsidP="006E70BD">
            <w:pPr>
              <w:jc w:val="center"/>
              <w:rPr>
                <w:b/>
                <w:bCs/>
                <w:sz w:val="20"/>
                <w:szCs w:val="20"/>
              </w:rPr>
            </w:pPr>
            <w:r>
              <w:rPr>
                <w:b/>
                <w:bCs/>
                <w:sz w:val="20"/>
                <w:szCs w:val="20"/>
              </w:rPr>
              <w:t>90</w:t>
            </w:r>
          </w:p>
        </w:tc>
        <w:tc>
          <w:tcPr>
            <w:tcW w:w="1350" w:type="dxa"/>
            <w:shd w:val="clear" w:color="auto" w:fill="auto"/>
            <w:vAlign w:val="center"/>
          </w:tcPr>
          <w:p w14:paraId="08E7F8D7" w14:textId="77777777" w:rsidR="00A94B54" w:rsidRPr="009379BA" w:rsidRDefault="00A94B54" w:rsidP="006E70BD">
            <w:pPr>
              <w:jc w:val="center"/>
              <w:rPr>
                <w:b/>
                <w:bCs/>
                <w:sz w:val="20"/>
                <w:szCs w:val="20"/>
              </w:rPr>
            </w:pPr>
            <w:r>
              <w:rPr>
                <w:b/>
                <w:bCs/>
                <w:sz w:val="20"/>
                <w:szCs w:val="20"/>
              </w:rPr>
              <w:t>8</w:t>
            </w:r>
          </w:p>
        </w:tc>
        <w:tc>
          <w:tcPr>
            <w:tcW w:w="1350" w:type="dxa"/>
            <w:shd w:val="clear" w:color="auto" w:fill="auto"/>
            <w:vAlign w:val="center"/>
          </w:tcPr>
          <w:p w14:paraId="4641F3C5" w14:textId="77777777" w:rsidR="00A94B54" w:rsidRPr="009379BA" w:rsidRDefault="00A94B54" w:rsidP="006E70BD">
            <w:pPr>
              <w:jc w:val="center"/>
              <w:rPr>
                <w:b/>
                <w:bCs/>
                <w:sz w:val="20"/>
                <w:szCs w:val="20"/>
              </w:rPr>
            </w:pPr>
            <w:r>
              <w:rPr>
                <w:b/>
                <w:bCs/>
                <w:sz w:val="20"/>
                <w:szCs w:val="20"/>
              </w:rPr>
              <w:t>0</w:t>
            </w:r>
          </w:p>
        </w:tc>
        <w:tc>
          <w:tcPr>
            <w:tcW w:w="1260" w:type="dxa"/>
            <w:shd w:val="clear" w:color="auto" w:fill="auto"/>
            <w:vAlign w:val="center"/>
          </w:tcPr>
          <w:p w14:paraId="6B31B816" w14:textId="77777777" w:rsidR="00A94B54" w:rsidRPr="009379BA" w:rsidRDefault="00A94B54" w:rsidP="006E70BD">
            <w:pPr>
              <w:jc w:val="center"/>
              <w:rPr>
                <w:b/>
                <w:bCs/>
                <w:sz w:val="20"/>
                <w:szCs w:val="20"/>
              </w:rPr>
            </w:pPr>
            <w:r>
              <w:rPr>
                <w:b/>
                <w:bCs/>
                <w:sz w:val="20"/>
                <w:szCs w:val="20"/>
              </w:rPr>
              <w:t>129</w:t>
            </w:r>
          </w:p>
        </w:tc>
      </w:tr>
      <w:tr w:rsidR="00A94B54" w:rsidRPr="009379BA" w14:paraId="4A3E6B4D" w14:textId="77777777" w:rsidTr="006E70BD">
        <w:trPr>
          <w:trHeight w:hRule="exact" w:val="288"/>
          <w:jc w:val="center"/>
        </w:trPr>
        <w:tc>
          <w:tcPr>
            <w:tcW w:w="9000" w:type="dxa"/>
            <w:gridSpan w:val="6"/>
            <w:shd w:val="clear" w:color="auto" w:fill="auto"/>
            <w:vAlign w:val="center"/>
          </w:tcPr>
          <w:p w14:paraId="002C9AE1" w14:textId="77777777" w:rsidR="00A94B54" w:rsidRPr="009379BA" w:rsidRDefault="00A94B54" w:rsidP="006E70BD">
            <w:pPr>
              <w:jc w:val="both"/>
              <w:rPr>
                <w:bCs/>
                <w:i/>
                <w:sz w:val="16"/>
                <w:szCs w:val="16"/>
              </w:rPr>
            </w:pPr>
            <w:r w:rsidRPr="009379BA">
              <w:rPr>
                <w:bCs/>
                <w:i/>
                <w:sz w:val="16"/>
                <w:szCs w:val="16"/>
              </w:rPr>
              <w:t>Source: Bank Records</w:t>
            </w:r>
            <w:r>
              <w:rPr>
                <w:bCs/>
                <w:i/>
                <w:sz w:val="16"/>
                <w:szCs w:val="16"/>
              </w:rPr>
              <w:t>; # denotes instances</w:t>
            </w:r>
          </w:p>
        </w:tc>
      </w:tr>
    </w:tbl>
    <w:p w14:paraId="157760A5" w14:textId="77777777" w:rsidR="00A94B54" w:rsidRDefault="00A94B54" w:rsidP="007613E5">
      <w:pPr>
        <w:widowControl w:val="0"/>
        <w:rPr>
          <w:snapToGrid w:val="0"/>
          <w:color w:val="000000"/>
          <w:lang w:eastAsia="x-none"/>
        </w:rPr>
      </w:pPr>
    </w:p>
    <w:p w14:paraId="08C23F17" w14:textId="3FF44CAB" w:rsidR="007613E5" w:rsidRPr="00233332" w:rsidRDefault="007613E5" w:rsidP="007613E5">
      <w:pPr>
        <w:widowControl w:val="0"/>
        <w:numPr>
          <w:ilvl w:val="0"/>
          <w:numId w:val="33"/>
        </w:numPr>
        <w:rPr>
          <w:snapToGrid w:val="0"/>
          <w:color w:val="000000"/>
          <w:lang w:eastAsia="x-none"/>
        </w:rPr>
      </w:pPr>
      <w:r w:rsidRPr="00233332">
        <w:rPr>
          <w:b/>
          <w:snapToGrid w:val="0"/>
          <w:color w:val="000000"/>
          <w:lang w:eastAsia="x-none"/>
        </w:rPr>
        <w:t xml:space="preserve">Financial Literacy and First Time Homebuyer </w:t>
      </w:r>
      <w:r w:rsidR="0021331D">
        <w:rPr>
          <w:b/>
          <w:snapToGrid w:val="0"/>
          <w:color w:val="000000"/>
          <w:lang w:eastAsia="x-none"/>
        </w:rPr>
        <w:t>S</w:t>
      </w:r>
      <w:r w:rsidRPr="00233332">
        <w:rPr>
          <w:b/>
          <w:snapToGrid w:val="0"/>
          <w:color w:val="000000"/>
          <w:lang w:eastAsia="x-none"/>
        </w:rPr>
        <w:t>eminars</w:t>
      </w:r>
      <w:r>
        <w:rPr>
          <w:b/>
          <w:snapToGrid w:val="0"/>
          <w:color w:val="000000"/>
          <w:lang w:eastAsia="x-none"/>
        </w:rPr>
        <w:t>:</w:t>
      </w:r>
      <w:r w:rsidRPr="00233332">
        <w:rPr>
          <w:b/>
          <w:snapToGrid w:val="0"/>
          <w:color w:val="000000"/>
          <w:lang w:eastAsia="x-none"/>
        </w:rPr>
        <w:t xml:space="preserve">  </w:t>
      </w:r>
      <w:r w:rsidRPr="00233332">
        <w:rPr>
          <w:snapToGrid w:val="0"/>
          <w:color w:val="000000"/>
          <w:lang w:eastAsia="x-none"/>
        </w:rPr>
        <w:t xml:space="preserve">Several employees provided hundreds of </w:t>
      </w:r>
      <w:r w:rsidR="0021331D">
        <w:rPr>
          <w:snapToGrid w:val="0"/>
          <w:color w:val="000000"/>
          <w:lang w:eastAsia="x-none"/>
        </w:rPr>
        <w:t xml:space="preserve">service </w:t>
      </w:r>
      <w:r w:rsidRPr="00233332">
        <w:rPr>
          <w:snapToGrid w:val="0"/>
          <w:color w:val="000000"/>
          <w:lang w:eastAsia="x-none"/>
        </w:rPr>
        <w:t xml:space="preserve">hours </w:t>
      </w:r>
      <w:r w:rsidR="005C219E">
        <w:rPr>
          <w:snapToGrid w:val="0"/>
          <w:color w:val="000000"/>
          <w:lang w:eastAsia="x-none"/>
        </w:rPr>
        <w:t>to improve</w:t>
      </w:r>
      <w:r w:rsidRPr="00233332">
        <w:rPr>
          <w:snapToGrid w:val="0"/>
          <w:color w:val="000000"/>
          <w:lang w:eastAsia="x-none"/>
        </w:rPr>
        <w:t xml:space="preserve"> the financial literacy of low- and moderate-income youths and seniors.  In addition, staff assisted various organizations in conducting first time homebuyer seminars.  </w:t>
      </w:r>
      <w:r w:rsidR="00C21B34">
        <w:rPr>
          <w:snapToGrid w:val="0"/>
          <w:color w:val="000000"/>
          <w:lang w:eastAsia="x-none"/>
        </w:rPr>
        <w:t xml:space="preserve">Personnel </w:t>
      </w:r>
      <w:r w:rsidR="00C21B34" w:rsidRPr="00233332">
        <w:rPr>
          <w:snapToGrid w:val="0"/>
          <w:color w:val="000000"/>
          <w:lang w:eastAsia="x-none"/>
        </w:rPr>
        <w:t>worked</w:t>
      </w:r>
      <w:r w:rsidRPr="00233332">
        <w:rPr>
          <w:snapToGrid w:val="0"/>
          <w:color w:val="000000"/>
          <w:lang w:eastAsia="x-none"/>
        </w:rPr>
        <w:t xml:space="preserve"> with the following </w:t>
      </w:r>
      <w:r w:rsidR="00C21B34" w:rsidRPr="00233332">
        <w:rPr>
          <w:snapToGrid w:val="0"/>
          <w:color w:val="000000"/>
          <w:lang w:eastAsia="x-none"/>
        </w:rPr>
        <w:t>organizations:</w:t>
      </w:r>
      <w:r w:rsidRPr="00233332">
        <w:rPr>
          <w:snapToGrid w:val="0"/>
          <w:color w:val="000000"/>
          <w:lang w:eastAsia="x-none"/>
        </w:rPr>
        <w:t xml:space="preserve"> The Billerica Council of Aging, Budget Buddies, Citizen’s Housing and Planning Association, Community Teamwork, Friends of Milano Center, Junior Achievement, Merrimack Valley Housing Partnership, Minuteman Senior Services, Mystic Valley Elder Services, and the Woburn Senior Center.</w:t>
      </w:r>
    </w:p>
    <w:p w14:paraId="1EFB029D" w14:textId="77777777" w:rsidR="007613E5" w:rsidRPr="00233332" w:rsidRDefault="007613E5" w:rsidP="007613E5">
      <w:pPr>
        <w:widowControl w:val="0"/>
        <w:rPr>
          <w:snapToGrid w:val="0"/>
          <w:color w:val="000000"/>
          <w:lang w:eastAsia="x-none"/>
        </w:rPr>
      </w:pPr>
    </w:p>
    <w:p w14:paraId="1EA00FCA" w14:textId="64CCBD5F" w:rsidR="007613E5" w:rsidRPr="00233332" w:rsidRDefault="007613E5" w:rsidP="007613E5">
      <w:pPr>
        <w:widowControl w:val="0"/>
        <w:numPr>
          <w:ilvl w:val="0"/>
          <w:numId w:val="33"/>
        </w:numPr>
        <w:rPr>
          <w:snapToGrid w:val="0"/>
          <w:color w:val="000000"/>
          <w:lang w:eastAsia="x-none"/>
        </w:rPr>
      </w:pPr>
      <w:r w:rsidRPr="00233332">
        <w:rPr>
          <w:b/>
          <w:snapToGrid w:val="0"/>
          <w:color w:val="000000"/>
          <w:lang w:eastAsia="x-none"/>
        </w:rPr>
        <w:t>Woburn Redevelopment Authority (WRA)</w:t>
      </w:r>
      <w:r>
        <w:rPr>
          <w:b/>
          <w:snapToGrid w:val="0"/>
          <w:color w:val="000000"/>
          <w:lang w:eastAsia="x-none"/>
        </w:rPr>
        <w:t>:</w:t>
      </w:r>
      <w:r w:rsidRPr="00233332">
        <w:rPr>
          <w:b/>
          <w:snapToGrid w:val="0"/>
          <w:color w:val="000000"/>
          <w:lang w:eastAsia="x-none"/>
        </w:rPr>
        <w:t xml:space="preserve">  </w:t>
      </w:r>
      <w:r w:rsidRPr="00233332">
        <w:rPr>
          <w:snapToGrid w:val="0"/>
          <w:color w:val="000000"/>
          <w:lang w:eastAsia="x-none"/>
        </w:rPr>
        <w:t xml:space="preserve">The WRA is an independent municipal urban renewal authority established under Massachusetts General Laws Chapter 121B.  </w:t>
      </w:r>
      <w:proofErr w:type="gramStart"/>
      <w:r w:rsidRPr="00233332">
        <w:rPr>
          <w:snapToGrid w:val="0"/>
          <w:color w:val="000000"/>
          <w:lang w:eastAsia="x-none"/>
        </w:rPr>
        <w:t xml:space="preserve">It is governed by five members, including a bank vice president, who served on the </w:t>
      </w:r>
      <w:r>
        <w:rPr>
          <w:snapToGrid w:val="0"/>
          <w:color w:val="000000"/>
          <w:lang w:eastAsia="x-none"/>
        </w:rPr>
        <w:t>WRA</w:t>
      </w:r>
      <w:r w:rsidRPr="00233332">
        <w:rPr>
          <w:snapToGrid w:val="0"/>
          <w:color w:val="000000"/>
          <w:lang w:eastAsia="x-none"/>
        </w:rPr>
        <w:t xml:space="preserve"> throughout the evaluation period, including as </w:t>
      </w:r>
      <w:r w:rsidR="00C21B34" w:rsidRPr="00233332">
        <w:rPr>
          <w:snapToGrid w:val="0"/>
          <w:color w:val="000000"/>
          <w:lang w:eastAsia="x-none"/>
        </w:rPr>
        <w:t>chairperson</w:t>
      </w:r>
      <w:proofErr w:type="gramEnd"/>
      <w:r w:rsidRPr="00233332">
        <w:rPr>
          <w:snapToGrid w:val="0"/>
          <w:color w:val="000000"/>
          <w:lang w:eastAsia="x-none"/>
        </w:rPr>
        <w:t xml:space="preserve">.  The </w:t>
      </w:r>
      <w:r>
        <w:rPr>
          <w:snapToGrid w:val="0"/>
          <w:color w:val="000000"/>
          <w:lang w:eastAsia="x-none"/>
        </w:rPr>
        <w:t>WRA</w:t>
      </w:r>
      <w:r w:rsidRPr="00233332">
        <w:rPr>
          <w:snapToGrid w:val="0"/>
          <w:color w:val="000000"/>
          <w:lang w:eastAsia="x-none"/>
        </w:rPr>
        <w:t xml:space="preserve"> serves as the </w:t>
      </w:r>
      <w:r w:rsidR="00C21B34">
        <w:rPr>
          <w:snapToGrid w:val="0"/>
          <w:color w:val="000000"/>
          <w:lang w:eastAsia="x-none"/>
        </w:rPr>
        <w:t>c</w:t>
      </w:r>
      <w:r w:rsidRPr="00233332">
        <w:rPr>
          <w:snapToGrid w:val="0"/>
          <w:color w:val="000000"/>
          <w:lang w:eastAsia="x-none"/>
        </w:rPr>
        <w:t>ity’s community development agency, whose functions currently include assisting small businesses in securing Economic Injury Disaster and P</w:t>
      </w:r>
      <w:r w:rsidR="0021331D">
        <w:rPr>
          <w:snapToGrid w:val="0"/>
          <w:color w:val="000000"/>
          <w:lang w:eastAsia="x-none"/>
        </w:rPr>
        <w:t xml:space="preserve">PP </w:t>
      </w:r>
      <w:r w:rsidRPr="00233332">
        <w:rPr>
          <w:snapToGrid w:val="0"/>
          <w:color w:val="000000"/>
          <w:lang w:eastAsia="x-none"/>
        </w:rPr>
        <w:t xml:space="preserve">loans. </w:t>
      </w:r>
    </w:p>
    <w:p w14:paraId="7D8A682F" w14:textId="77777777" w:rsidR="007613E5" w:rsidRPr="00233332" w:rsidRDefault="007613E5" w:rsidP="007613E5">
      <w:pPr>
        <w:widowControl w:val="0"/>
        <w:rPr>
          <w:b/>
          <w:snapToGrid w:val="0"/>
          <w:color w:val="000000"/>
          <w:lang w:eastAsia="x-none"/>
        </w:rPr>
      </w:pPr>
    </w:p>
    <w:p w14:paraId="41CBCEEE" w14:textId="38401CD0" w:rsidR="007613E5" w:rsidRPr="00233332" w:rsidRDefault="007613E5" w:rsidP="007613E5">
      <w:pPr>
        <w:widowControl w:val="0"/>
        <w:numPr>
          <w:ilvl w:val="0"/>
          <w:numId w:val="33"/>
        </w:numPr>
        <w:rPr>
          <w:b/>
          <w:snapToGrid w:val="0"/>
          <w:color w:val="000000"/>
          <w:lang w:eastAsia="x-none"/>
        </w:rPr>
      </w:pPr>
      <w:r>
        <w:rPr>
          <w:b/>
          <w:snapToGrid w:val="0"/>
          <w:color w:val="000000"/>
          <w:lang w:eastAsia="x-none"/>
        </w:rPr>
        <w:t>Heading Home:</w:t>
      </w:r>
      <w:r w:rsidRPr="00233332">
        <w:rPr>
          <w:b/>
          <w:snapToGrid w:val="0"/>
          <w:color w:val="000000"/>
          <w:lang w:eastAsia="x-none"/>
        </w:rPr>
        <w:t xml:space="preserve">  </w:t>
      </w:r>
      <w:r w:rsidRPr="00233332">
        <w:rPr>
          <w:snapToGrid w:val="0"/>
          <w:color w:val="000000"/>
          <w:lang w:eastAsia="x-none"/>
        </w:rPr>
        <w:t>Heading Home provides emergency shelter, transitional</w:t>
      </w:r>
      <w:r w:rsidR="0021331D">
        <w:rPr>
          <w:snapToGrid w:val="0"/>
          <w:color w:val="000000"/>
          <w:lang w:eastAsia="x-none"/>
        </w:rPr>
        <w:t xml:space="preserve"> and permanent</w:t>
      </w:r>
      <w:r w:rsidRPr="00233332">
        <w:rPr>
          <w:snapToGrid w:val="0"/>
          <w:color w:val="000000"/>
          <w:lang w:eastAsia="x-none"/>
        </w:rPr>
        <w:t xml:space="preserve"> housing</w:t>
      </w:r>
      <w:r w:rsidR="00C21B34" w:rsidRPr="00233332">
        <w:rPr>
          <w:snapToGrid w:val="0"/>
          <w:color w:val="000000"/>
          <w:lang w:eastAsia="x-none"/>
        </w:rPr>
        <w:t>, and</w:t>
      </w:r>
      <w:r w:rsidRPr="00233332">
        <w:rPr>
          <w:snapToGrid w:val="0"/>
          <w:color w:val="000000"/>
          <w:lang w:eastAsia="x-none"/>
        </w:rPr>
        <w:t xml:space="preserve"> supportive services to homeless and formerly homeless families and individuals in several municipalities </w:t>
      </w:r>
      <w:r w:rsidR="00C21B34">
        <w:rPr>
          <w:snapToGrid w:val="0"/>
          <w:color w:val="000000"/>
          <w:lang w:eastAsia="x-none"/>
        </w:rPr>
        <w:t xml:space="preserve">throughout </w:t>
      </w:r>
      <w:r w:rsidR="00C21B34" w:rsidRPr="00233332">
        <w:rPr>
          <w:snapToGrid w:val="0"/>
          <w:color w:val="000000"/>
          <w:lang w:eastAsia="x-none"/>
        </w:rPr>
        <w:t>the assessment</w:t>
      </w:r>
      <w:r w:rsidRPr="00233332">
        <w:rPr>
          <w:snapToGrid w:val="0"/>
          <w:color w:val="000000"/>
          <w:lang w:eastAsia="x-none"/>
        </w:rPr>
        <w:t xml:space="preserve"> area.  Several employees </w:t>
      </w:r>
      <w:r w:rsidR="00C21B34">
        <w:rPr>
          <w:snapToGrid w:val="0"/>
          <w:color w:val="000000"/>
          <w:lang w:eastAsia="x-none"/>
        </w:rPr>
        <w:t xml:space="preserve">assisted </w:t>
      </w:r>
      <w:r w:rsidR="00C21B34" w:rsidRPr="00233332">
        <w:rPr>
          <w:snapToGrid w:val="0"/>
          <w:color w:val="000000"/>
          <w:lang w:eastAsia="x-none"/>
        </w:rPr>
        <w:t>this</w:t>
      </w:r>
      <w:r w:rsidRPr="00233332">
        <w:rPr>
          <w:snapToGrid w:val="0"/>
          <w:color w:val="000000"/>
          <w:lang w:eastAsia="x-none"/>
        </w:rPr>
        <w:t xml:space="preserve"> organization </w:t>
      </w:r>
      <w:r w:rsidR="0021331D">
        <w:rPr>
          <w:snapToGrid w:val="0"/>
          <w:color w:val="000000"/>
          <w:lang w:eastAsia="x-none"/>
        </w:rPr>
        <w:t xml:space="preserve">such as serving as </w:t>
      </w:r>
      <w:r w:rsidR="00C21B34">
        <w:rPr>
          <w:snapToGrid w:val="0"/>
          <w:color w:val="000000"/>
          <w:lang w:eastAsia="x-none"/>
        </w:rPr>
        <w:t xml:space="preserve">the </w:t>
      </w:r>
      <w:r w:rsidR="00C21B34" w:rsidRPr="00233332">
        <w:rPr>
          <w:snapToGrid w:val="0"/>
          <w:color w:val="000000"/>
          <w:lang w:eastAsia="x-none"/>
        </w:rPr>
        <w:t>director</w:t>
      </w:r>
      <w:r w:rsidRPr="00233332">
        <w:rPr>
          <w:snapToGrid w:val="0"/>
          <w:color w:val="000000"/>
          <w:lang w:eastAsia="x-none"/>
        </w:rPr>
        <w:t xml:space="preserve">, assisting with marketing, and lending their financial expertise to support the organization’s activities. </w:t>
      </w:r>
    </w:p>
    <w:p w14:paraId="02B9121F" w14:textId="77777777" w:rsidR="007613E5" w:rsidRPr="00233332" w:rsidRDefault="007613E5" w:rsidP="007613E5">
      <w:pPr>
        <w:widowControl w:val="0"/>
        <w:rPr>
          <w:b/>
          <w:snapToGrid w:val="0"/>
          <w:color w:val="000000"/>
          <w:lang w:eastAsia="x-none"/>
        </w:rPr>
      </w:pPr>
    </w:p>
    <w:p w14:paraId="10F8E178" w14:textId="30D6C82F" w:rsidR="007613E5" w:rsidRPr="00233332" w:rsidRDefault="007613E5" w:rsidP="007613E5">
      <w:pPr>
        <w:pStyle w:val="ListParagraph"/>
        <w:numPr>
          <w:ilvl w:val="0"/>
          <w:numId w:val="33"/>
        </w:numPr>
        <w:contextualSpacing/>
        <w:rPr>
          <w:rFonts w:ascii="Times New Roman" w:hAnsi="Times New Roman" w:cs="Times New Roman"/>
          <w:snapToGrid w:val="0"/>
          <w:color w:val="000000"/>
          <w:lang w:eastAsia="x-none"/>
        </w:rPr>
      </w:pPr>
      <w:r w:rsidRPr="00233332">
        <w:rPr>
          <w:rFonts w:ascii="Times New Roman" w:hAnsi="Times New Roman" w:cs="Times New Roman"/>
          <w:b/>
          <w:snapToGrid w:val="0"/>
          <w:color w:val="000000"/>
          <w:lang w:eastAsia="x-none"/>
        </w:rPr>
        <w:t>Ba</w:t>
      </w:r>
      <w:r>
        <w:rPr>
          <w:rFonts w:ascii="Times New Roman" w:hAnsi="Times New Roman" w:cs="Times New Roman"/>
          <w:b/>
          <w:snapToGrid w:val="0"/>
          <w:color w:val="000000"/>
          <w:lang w:eastAsia="x-none"/>
        </w:rPr>
        <w:t>y Colony Development Corporatio</w:t>
      </w:r>
      <w:r w:rsidR="0021331D">
        <w:rPr>
          <w:rFonts w:ascii="Times New Roman" w:hAnsi="Times New Roman" w:cs="Times New Roman"/>
          <w:b/>
          <w:snapToGrid w:val="0"/>
          <w:color w:val="000000"/>
          <w:lang w:eastAsia="x-none"/>
        </w:rPr>
        <w:t>n:</w:t>
      </w:r>
      <w:r w:rsidRPr="00233332">
        <w:rPr>
          <w:rFonts w:ascii="Times New Roman" w:hAnsi="Times New Roman" w:cs="Times New Roman"/>
          <w:b/>
          <w:snapToGrid w:val="0"/>
          <w:color w:val="000000"/>
          <w:lang w:eastAsia="x-none"/>
        </w:rPr>
        <w:t xml:space="preserve">  </w:t>
      </w:r>
      <w:r w:rsidRPr="00233332">
        <w:rPr>
          <w:rFonts w:ascii="Times New Roman" w:hAnsi="Times New Roman" w:cs="Times New Roman"/>
          <w:snapToGrid w:val="0"/>
          <w:color w:val="000000"/>
          <w:lang w:eastAsia="x-none"/>
        </w:rPr>
        <w:t>Bay Colony Development Corp</w:t>
      </w:r>
      <w:r w:rsidR="0021331D">
        <w:rPr>
          <w:rFonts w:ascii="Times New Roman" w:hAnsi="Times New Roman" w:cs="Times New Roman"/>
          <w:snapToGrid w:val="0"/>
          <w:color w:val="000000"/>
          <w:lang w:eastAsia="x-none"/>
        </w:rPr>
        <w:t>oration</w:t>
      </w:r>
      <w:r w:rsidRPr="00233332">
        <w:rPr>
          <w:rFonts w:ascii="Times New Roman" w:hAnsi="Times New Roman" w:cs="Times New Roman"/>
          <w:snapToGrid w:val="0"/>
          <w:color w:val="000000"/>
          <w:lang w:eastAsia="x-none"/>
        </w:rPr>
        <w:t xml:space="preserve"> is a Certified Development </w:t>
      </w:r>
      <w:r w:rsidR="00C21B34" w:rsidRPr="00233332">
        <w:rPr>
          <w:rFonts w:ascii="Times New Roman" w:hAnsi="Times New Roman" w:cs="Times New Roman"/>
          <w:snapToGrid w:val="0"/>
          <w:color w:val="000000"/>
          <w:lang w:eastAsia="x-none"/>
        </w:rPr>
        <w:t>Company whose</w:t>
      </w:r>
      <w:r w:rsidRPr="00233332">
        <w:rPr>
          <w:rFonts w:ascii="Times New Roman" w:hAnsi="Times New Roman" w:cs="Times New Roman"/>
          <w:snapToGrid w:val="0"/>
          <w:color w:val="000000"/>
          <w:lang w:eastAsia="x-none"/>
        </w:rPr>
        <w:t xml:space="preserve"> purpose is to stimulate economic development </w:t>
      </w:r>
      <w:r w:rsidR="00C21B34">
        <w:rPr>
          <w:rFonts w:ascii="Times New Roman" w:hAnsi="Times New Roman" w:cs="Times New Roman"/>
          <w:snapToGrid w:val="0"/>
          <w:color w:val="000000"/>
          <w:lang w:eastAsia="x-none"/>
        </w:rPr>
        <w:t xml:space="preserve">by </w:t>
      </w:r>
      <w:r w:rsidR="00C21B34" w:rsidRPr="00233332">
        <w:rPr>
          <w:rFonts w:ascii="Times New Roman" w:hAnsi="Times New Roman" w:cs="Times New Roman"/>
          <w:snapToGrid w:val="0"/>
          <w:color w:val="000000"/>
          <w:lang w:eastAsia="x-none"/>
        </w:rPr>
        <w:t>creating</w:t>
      </w:r>
      <w:r w:rsidR="00C21B34">
        <w:rPr>
          <w:rFonts w:ascii="Times New Roman" w:hAnsi="Times New Roman" w:cs="Times New Roman"/>
          <w:snapToGrid w:val="0"/>
          <w:color w:val="000000"/>
          <w:lang w:eastAsia="x-none"/>
        </w:rPr>
        <w:t xml:space="preserve"> </w:t>
      </w:r>
      <w:r w:rsidR="00C21B34" w:rsidRPr="00233332">
        <w:rPr>
          <w:rFonts w:ascii="Times New Roman" w:hAnsi="Times New Roman" w:cs="Times New Roman"/>
          <w:snapToGrid w:val="0"/>
          <w:color w:val="000000"/>
          <w:lang w:eastAsia="x-none"/>
        </w:rPr>
        <w:t>and</w:t>
      </w:r>
      <w:r w:rsidRPr="00233332">
        <w:rPr>
          <w:rFonts w:ascii="Times New Roman" w:hAnsi="Times New Roman" w:cs="Times New Roman"/>
          <w:snapToGrid w:val="0"/>
          <w:color w:val="000000"/>
          <w:lang w:eastAsia="x-none"/>
        </w:rPr>
        <w:t xml:space="preserve"> </w:t>
      </w:r>
      <w:r w:rsidR="00C21B34" w:rsidRPr="00233332">
        <w:rPr>
          <w:rFonts w:ascii="Times New Roman" w:hAnsi="Times New Roman" w:cs="Times New Roman"/>
          <w:snapToGrid w:val="0"/>
          <w:color w:val="000000"/>
          <w:lang w:eastAsia="x-none"/>
        </w:rPr>
        <w:t>preserv</w:t>
      </w:r>
      <w:r w:rsidR="00C21B34">
        <w:rPr>
          <w:rFonts w:ascii="Times New Roman" w:hAnsi="Times New Roman" w:cs="Times New Roman"/>
          <w:snapToGrid w:val="0"/>
          <w:color w:val="000000"/>
          <w:lang w:eastAsia="x-none"/>
        </w:rPr>
        <w:t xml:space="preserve">ing </w:t>
      </w:r>
      <w:r w:rsidR="00C21B34" w:rsidRPr="00233332">
        <w:rPr>
          <w:rFonts w:ascii="Times New Roman" w:hAnsi="Times New Roman" w:cs="Times New Roman"/>
          <w:snapToGrid w:val="0"/>
          <w:color w:val="000000"/>
          <w:lang w:eastAsia="x-none"/>
        </w:rPr>
        <w:t>jobs</w:t>
      </w:r>
      <w:r w:rsidRPr="00233332">
        <w:rPr>
          <w:rFonts w:ascii="Times New Roman" w:hAnsi="Times New Roman" w:cs="Times New Roman"/>
          <w:snapToGrid w:val="0"/>
          <w:color w:val="000000"/>
          <w:lang w:eastAsia="x-none"/>
        </w:rPr>
        <w:t xml:space="preserve"> by </w:t>
      </w:r>
      <w:r w:rsidR="00C21B34" w:rsidRPr="00233332">
        <w:rPr>
          <w:rFonts w:ascii="Times New Roman" w:hAnsi="Times New Roman" w:cs="Times New Roman"/>
          <w:snapToGrid w:val="0"/>
          <w:color w:val="000000"/>
          <w:lang w:eastAsia="x-none"/>
        </w:rPr>
        <w:t>providing fixed</w:t>
      </w:r>
      <w:r w:rsidRPr="00233332">
        <w:rPr>
          <w:rFonts w:ascii="Times New Roman" w:hAnsi="Times New Roman" w:cs="Times New Roman"/>
          <w:snapToGrid w:val="0"/>
          <w:color w:val="000000"/>
          <w:lang w:eastAsia="x-none"/>
        </w:rPr>
        <w:t xml:space="preserve"> asset financing at affordable rates and reasonable terms.  It works with loan officers, accountants, real estate brokers, and attorneys and their clients to identify and structure the most beneficial </w:t>
      </w:r>
      <w:r w:rsidR="0021331D">
        <w:rPr>
          <w:rFonts w:ascii="Times New Roman" w:hAnsi="Times New Roman" w:cs="Times New Roman"/>
          <w:snapToGrid w:val="0"/>
          <w:color w:val="000000"/>
          <w:lang w:eastAsia="x-none"/>
        </w:rPr>
        <w:t xml:space="preserve">and appropriate </w:t>
      </w:r>
      <w:r w:rsidRPr="00233332">
        <w:rPr>
          <w:rFonts w:ascii="Times New Roman" w:hAnsi="Times New Roman" w:cs="Times New Roman"/>
          <w:snapToGrid w:val="0"/>
          <w:color w:val="000000"/>
          <w:lang w:eastAsia="x-none"/>
        </w:rPr>
        <w:lastRenderedPageBreak/>
        <w:t xml:space="preserve">financing </w:t>
      </w:r>
      <w:r w:rsidR="00C21B34" w:rsidRPr="00233332">
        <w:rPr>
          <w:rFonts w:ascii="Times New Roman" w:hAnsi="Times New Roman" w:cs="Times New Roman"/>
          <w:snapToGrid w:val="0"/>
          <w:color w:val="000000"/>
          <w:lang w:eastAsia="x-none"/>
        </w:rPr>
        <w:t>program.</w:t>
      </w:r>
      <w:r w:rsidRPr="00233332">
        <w:rPr>
          <w:rFonts w:ascii="Times New Roman" w:hAnsi="Times New Roman" w:cs="Times New Roman"/>
          <w:snapToGrid w:val="0"/>
          <w:color w:val="000000"/>
          <w:lang w:eastAsia="x-none"/>
        </w:rPr>
        <w:t xml:space="preserve">  A</w:t>
      </w:r>
      <w:r w:rsidR="0021331D">
        <w:rPr>
          <w:rFonts w:ascii="Times New Roman" w:hAnsi="Times New Roman" w:cs="Times New Roman"/>
          <w:snapToGrid w:val="0"/>
          <w:color w:val="000000"/>
          <w:lang w:eastAsia="x-none"/>
        </w:rPr>
        <w:t>n</w:t>
      </w:r>
      <w:r w:rsidRPr="00233332">
        <w:rPr>
          <w:rFonts w:ascii="Times New Roman" w:hAnsi="Times New Roman" w:cs="Times New Roman"/>
          <w:snapToGrid w:val="0"/>
          <w:color w:val="000000"/>
          <w:lang w:eastAsia="x-none"/>
        </w:rPr>
        <w:t xml:space="preserve"> employee served as a director</w:t>
      </w:r>
      <w:r w:rsidR="00C21B34">
        <w:rPr>
          <w:rFonts w:ascii="Times New Roman" w:hAnsi="Times New Roman" w:cs="Times New Roman"/>
          <w:snapToGrid w:val="0"/>
          <w:color w:val="000000"/>
          <w:lang w:eastAsia="x-none"/>
        </w:rPr>
        <w:t>.</w:t>
      </w:r>
    </w:p>
    <w:p w14:paraId="6DDE873D" w14:textId="2EE6407F" w:rsidR="005C219E" w:rsidRDefault="005C219E" w:rsidP="007613E5">
      <w:pPr>
        <w:widowControl w:val="0"/>
        <w:rPr>
          <w:b/>
          <w:bCs/>
          <w:sz w:val="28"/>
          <w:szCs w:val="28"/>
        </w:rPr>
      </w:pPr>
    </w:p>
    <w:p w14:paraId="13CEFE44" w14:textId="1356393D" w:rsidR="00BD3250" w:rsidRPr="00D87EA2" w:rsidRDefault="0021331D" w:rsidP="007613E5">
      <w:pPr>
        <w:widowControl w:val="0"/>
        <w:rPr>
          <w:b/>
          <w:bCs/>
          <w:sz w:val="28"/>
          <w:szCs w:val="28"/>
        </w:rPr>
      </w:pPr>
      <w:r w:rsidRPr="00D87EA2">
        <w:rPr>
          <w:b/>
          <w:bCs/>
          <w:sz w:val="28"/>
          <w:szCs w:val="28"/>
        </w:rPr>
        <w:t>DISCRIMINATORY OR OTHER ILLEGAL CREDIT PRACTICES REVIEW</w:t>
      </w:r>
    </w:p>
    <w:p w14:paraId="3E29FAE2" w14:textId="0F7220F3" w:rsidR="0021331D" w:rsidRPr="00D87EA2" w:rsidRDefault="0021331D" w:rsidP="007613E5">
      <w:pPr>
        <w:widowControl w:val="0"/>
        <w:rPr>
          <w:b/>
          <w:bCs/>
          <w:sz w:val="28"/>
          <w:szCs w:val="28"/>
        </w:rPr>
      </w:pPr>
    </w:p>
    <w:p w14:paraId="2866BD3B" w14:textId="13965A58" w:rsidR="0021331D" w:rsidRPr="003265E0" w:rsidRDefault="0021331D" w:rsidP="007613E5">
      <w:pPr>
        <w:widowControl w:val="0"/>
        <w:rPr>
          <w:snapToGrid w:val="0"/>
          <w:color w:val="000000"/>
          <w:lang w:eastAsia="x-none"/>
        </w:rPr>
      </w:pPr>
      <w:r w:rsidRPr="00D87EA2">
        <w:rPr>
          <w:bCs/>
        </w:rPr>
        <w:t>Examiners did not identify any evidence of discriminatory or other illegal credit practices; therefore, this consideration did not affect the institution’s overall CRA rating.</w:t>
      </w:r>
    </w:p>
    <w:p w14:paraId="4CA28468" w14:textId="4DE78019" w:rsidR="00BD3250" w:rsidRDefault="00BD3250" w:rsidP="007613E5">
      <w:pPr>
        <w:widowControl w:val="0"/>
        <w:rPr>
          <w:snapToGrid w:val="0"/>
          <w:color w:val="000000"/>
          <w:lang w:eastAsia="x-none"/>
        </w:rPr>
      </w:pPr>
    </w:p>
    <w:p w14:paraId="452A1181" w14:textId="67791449" w:rsidR="00BD3250" w:rsidRDefault="00BD3250" w:rsidP="007613E5">
      <w:pPr>
        <w:widowControl w:val="0"/>
        <w:rPr>
          <w:snapToGrid w:val="0"/>
          <w:color w:val="000000"/>
          <w:lang w:eastAsia="x-none"/>
        </w:rPr>
      </w:pPr>
    </w:p>
    <w:p w14:paraId="2B0C1195" w14:textId="4C46DC1E" w:rsidR="00BD3250" w:rsidRDefault="00BD3250" w:rsidP="007613E5">
      <w:pPr>
        <w:widowControl w:val="0"/>
        <w:rPr>
          <w:snapToGrid w:val="0"/>
          <w:color w:val="000000"/>
          <w:lang w:eastAsia="x-none"/>
        </w:rPr>
      </w:pPr>
    </w:p>
    <w:p w14:paraId="557738AC" w14:textId="1FFDCAA6" w:rsidR="00BD3250" w:rsidRDefault="00BD3250" w:rsidP="007613E5">
      <w:pPr>
        <w:widowControl w:val="0"/>
        <w:rPr>
          <w:snapToGrid w:val="0"/>
          <w:color w:val="000000"/>
          <w:lang w:eastAsia="x-none"/>
        </w:rPr>
      </w:pPr>
    </w:p>
    <w:p w14:paraId="66540597" w14:textId="1993634B" w:rsidR="00BD3250" w:rsidRDefault="00BD3250" w:rsidP="007613E5">
      <w:pPr>
        <w:widowControl w:val="0"/>
        <w:rPr>
          <w:snapToGrid w:val="0"/>
          <w:color w:val="000000"/>
          <w:lang w:eastAsia="x-none"/>
        </w:rPr>
      </w:pPr>
    </w:p>
    <w:p w14:paraId="248678A2" w14:textId="4C5B91E1" w:rsidR="00BD3250" w:rsidRDefault="00BD3250" w:rsidP="007613E5">
      <w:pPr>
        <w:widowControl w:val="0"/>
        <w:rPr>
          <w:snapToGrid w:val="0"/>
          <w:color w:val="000000"/>
          <w:lang w:eastAsia="x-none"/>
        </w:rPr>
      </w:pPr>
    </w:p>
    <w:p w14:paraId="38C588FB" w14:textId="7BB4B034" w:rsidR="00BD3250" w:rsidRDefault="00BD3250" w:rsidP="007613E5">
      <w:pPr>
        <w:widowControl w:val="0"/>
        <w:rPr>
          <w:snapToGrid w:val="0"/>
          <w:color w:val="000000"/>
          <w:lang w:eastAsia="x-none"/>
        </w:rPr>
      </w:pPr>
    </w:p>
    <w:p w14:paraId="40FFA939" w14:textId="43C7561E" w:rsidR="00576752" w:rsidRDefault="00576752" w:rsidP="00B00A8A">
      <w:pPr>
        <w:keepNext/>
        <w:tabs>
          <w:tab w:val="left" w:pos="480"/>
          <w:tab w:val="left" w:pos="960"/>
          <w:tab w:val="left" w:pos="6840"/>
        </w:tabs>
        <w:outlineLvl w:val="0"/>
        <w:rPr>
          <w:b/>
          <w:bCs/>
          <w:spacing w:val="-3"/>
          <w:sz w:val="28"/>
          <w:szCs w:val="28"/>
        </w:rPr>
      </w:pPr>
      <w:bookmarkStart w:id="7" w:name="_Toc26133561"/>
      <w:bookmarkStart w:id="8" w:name="_Toc40445656"/>
    </w:p>
    <w:p w14:paraId="1D2E7D3B" w14:textId="77777777" w:rsidR="006B6A79" w:rsidRDefault="006B6A79">
      <w:pPr>
        <w:rPr>
          <w:b/>
          <w:bCs/>
          <w:spacing w:val="-3"/>
          <w:sz w:val="28"/>
          <w:szCs w:val="28"/>
        </w:rPr>
      </w:pPr>
      <w:r>
        <w:rPr>
          <w:b/>
          <w:bCs/>
          <w:spacing w:val="-3"/>
          <w:sz w:val="28"/>
          <w:szCs w:val="28"/>
        </w:rPr>
        <w:br w:type="page"/>
      </w:r>
    </w:p>
    <w:p w14:paraId="5964A5F4" w14:textId="1A0DC440" w:rsidR="007613E5" w:rsidRDefault="007613E5" w:rsidP="007613E5">
      <w:pPr>
        <w:keepNext/>
        <w:tabs>
          <w:tab w:val="left" w:pos="480"/>
          <w:tab w:val="left" w:pos="960"/>
          <w:tab w:val="left" w:pos="6840"/>
        </w:tabs>
        <w:jc w:val="center"/>
        <w:outlineLvl w:val="0"/>
        <w:rPr>
          <w:b/>
          <w:bCs/>
          <w:spacing w:val="-3"/>
          <w:sz w:val="28"/>
          <w:szCs w:val="28"/>
        </w:rPr>
      </w:pPr>
      <w:r>
        <w:rPr>
          <w:b/>
          <w:bCs/>
          <w:spacing w:val="-3"/>
          <w:sz w:val="28"/>
          <w:szCs w:val="28"/>
        </w:rPr>
        <w:lastRenderedPageBreak/>
        <w:t>AP</w:t>
      </w:r>
      <w:r w:rsidRPr="00A8470C">
        <w:rPr>
          <w:b/>
          <w:bCs/>
          <w:spacing w:val="-3"/>
          <w:sz w:val="28"/>
          <w:szCs w:val="28"/>
        </w:rPr>
        <w:t>PENDI</w:t>
      </w:r>
      <w:bookmarkEnd w:id="7"/>
      <w:r w:rsidRPr="00A8470C">
        <w:rPr>
          <w:b/>
          <w:bCs/>
          <w:spacing w:val="-3"/>
          <w:sz w:val="28"/>
          <w:szCs w:val="28"/>
        </w:rPr>
        <w:t>X</w:t>
      </w:r>
      <w:bookmarkEnd w:id="8"/>
    </w:p>
    <w:p w14:paraId="47A2DFEB" w14:textId="43C995AC" w:rsidR="00B00A8A" w:rsidRDefault="00B00A8A" w:rsidP="007613E5">
      <w:pPr>
        <w:keepNext/>
        <w:tabs>
          <w:tab w:val="left" w:pos="480"/>
          <w:tab w:val="left" w:pos="960"/>
          <w:tab w:val="left" w:pos="6840"/>
        </w:tabs>
        <w:jc w:val="center"/>
        <w:outlineLvl w:val="0"/>
        <w:rPr>
          <w:b/>
          <w:bCs/>
          <w:spacing w:val="-3"/>
          <w:sz w:val="28"/>
          <w:szCs w:val="28"/>
        </w:rPr>
      </w:pPr>
    </w:p>
    <w:p w14:paraId="64C2CCAA" w14:textId="77777777" w:rsidR="00B00A8A" w:rsidRPr="00C305A0" w:rsidRDefault="00B00A8A" w:rsidP="00B00A8A">
      <w:pPr>
        <w:keepLines/>
        <w:ind w:left="-144" w:right="-144"/>
        <w:rPr>
          <w:b/>
        </w:rPr>
      </w:pPr>
      <w:r w:rsidRPr="00C305A0">
        <w:rPr>
          <w:b/>
        </w:rPr>
        <w:t>SCOPE OF EVALUATION</w:t>
      </w:r>
    </w:p>
    <w:p w14:paraId="20327119" w14:textId="77777777" w:rsidR="00B00A8A" w:rsidRDefault="00B00A8A" w:rsidP="00B00A8A">
      <w:pPr>
        <w:keepLines/>
        <w:ind w:left="-144" w:right="-144"/>
        <w:rPr>
          <w:sz w:val="28"/>
          <w:szCs w:val="28"/>
        </w:rPr>
      </w:pPr>
    </w:p>
    <w:tbl>
      <w:tblPr>
        <w:tblW w:w="0" w:type="auto"/>
        <w:jc w:val="center"/>
        <w:tblLayout w:type="fixed"/>
        <w:tblCellMar>
          <w:left w:w="141" w:type="dxa"/>
          <w:right w:w="141" w:type="dxa"/>
        </w:tblCellMar>
        <w:tblLook w:val="04A0" w:firstRow="1" w:lastRow="0" w:firstColumn="1" w:lastColumn="0" w:noHBand="0" w:noVBand="1"/>
      </w:tblPr>
      <w:tblGrid>
        <w:gridCol w:w="2880"/>
        <w:gridCol w:w="2145"/>
        <w:gridCol w:w="879"/>
        <w:gridCol w:w="1656"/>
      </w:tblGrid>
      <w:tr w:rsidR="00B00A8A" w:rsidRPr="00AB1C3B" w14:paraId="377966D1" w14:textId="77777777" w:rsidTr="00B00A8A">
        <w:trPr>
          <w:trHeight w:val="393"/>
          <w:jc w:val="center"/>
        </w:trPr>
        <w:tc>
          <w:tcPr>
            <w:tcW w:w="7560" w:type="dxa"/>
            <w:gridSpan w:val="4"/>
            <w:tcBorders>
              <w:top w:val="single" w:sz="12" w:space="0" w:color="000000"/>
              <w:left w:val="single" w:sz="12" w:space="0" w:color="000000"/>
              <w:bottom w:val="single" w:sz="8" w:space="0" w:color="000000"/>
              <w:right w:val="single" w:sz="12" w:space="0" w:color="000000"/>
            </w:tcBorders>
            <w:shd w:val="clear" w:color="auto" w:fill="auto"/>
            <w:vAlign w:val="center"/>
          </w:tcPr>
          <w:p w14:paraId="4A298FAB" w14:textId="77777777" w:rsidR="00B00A8A" w:rsidRPr="00AB1C3B" w:rsidRDefault="00B00A8A" w:rsidP="00B00A8A">
            <w:pPr>
              <w:jc w:val="center"/>
              <w:rPr>
                <w:sz w:val="20"/>
                <w:szCs w:val="20"/>
              </w:rPr>
            </w:pPr>
            <w:r w:rsidRPr="00AB1C3B">
              <w:rPr>
                <w:b/>
                <w:sz w:val="20"/>
                <w:szCs w:val="20"/>
              </w:rPr>
              <w:t>SCOPE OF EVALUATION</w:t>
            </w:r>
          </w:p>
        </w:tc>
      </w:tr>
      <w:tr w:rsidR="00B00A8A" w:rsidRPr="00AB1C3B" w14:paraId="393D0E6B" w14:textId="77777777" w:rsidTr="00B00A8A">
        <w:trPr>
          <w:trHeight w:val="511"/>
          <w:jc w:val="center"/>
        </w:trPr>
        <w:tc>
          <w:tcPr>
            <w:tcW w:w="2880" w:type="dxa"/>
            <w:tcBorders>
              <w:top w:val="single" w:sz="8" w:space="0" w:color="000000"/>
              <w:left w:val="single" w:sz="12" w:space="0" w:color="000000"/>
              <w:bottom w:val="single" w:sz="8" w:space="0" w:color="000000"/>
              <w:right w:val="single" w:sz="6" w:space="0" w:color="FFFFFF"/>
            </w:tcBorders>
            <w:shd w:val="clear" w:color="auto" w:fill="auto"/>
          </w:tcPr>
          <w:p w14:paraId="476A35A5" w14:textId="77777777" w:rsidR="00B00A8A" w:rsidRPr="00AB1C3B" w:rsidRDefault="00B00A8A" w:rsidP="00B00A8A">
            <w:pPr>
              <w:spacing w:line="175" w:lineRule="exact"/>
              <w:rPr>
                <w:sz w:val="20"/>
                <w:szCs w:val="20"/>
              </w:rPr>
            </w:pPr>
          </w:p>
          <w:p w14:paraId="5098CCFD" w14:textId="77777777" w:rsidR="00B00A8A" w:rsidRPr="00AB1C3B" w:rsidRDefault="00B00A8A" w:rsidP="00B00A8A">
            <w:pPr>
              <w:rPr>
                <w:sz w:val="20"/>
                <w:szCs w:val="20"/>
              </w:rPr>
            </w:pPr>
            <w:r w:rsidRPr="00AB1C3B">
              <w:rPr>
                <w:b/>
                <w:sz w:val="20"/>
                <w:szCs w:val="20"/>
              </w:rPr>
              <w:t>TIME PERIOD REVIEWED</w:t>
            </w:r>
          </w:p>
        </w:tc>
        <w:tc>
          <w:tcPr>
            <w:tcW w:w="4680" w:type="dxa"/>
            <w:gridSpan w:val="3"/>
            <w:tcBorders>
              <w:top w:val="single" w:sz="8" w:space="0" w:color="000000"/>
              <w:left w:val="single" w:sz="6" w:space="0" w:color="000000"/>
              <w:bottom w:val="single" w:sz="8" w:space="0" w:color="000000"/>
              <w:right w:val="single" w:sz="12" w:space="0" w:color="000000"/>
            </w:tcBorders>
            <w:shd w:val="clear" w:color="auto" w:fill="auto"/>
          </w:tcPr>
          <w:p w14:paraId="10FCDBC8" w14:textId="77777777" w:rsidR="00B00A8A" w:rsidRPr="00AB1C3B" w:rsidRDefault="00B00A8A" w:rsidP="00B00A8A">
            <w:pPr>
              <w:spacing w:line="175" w:lineRule="exact"/>
              <w:rPr>
                <w:sz w:val="20"/>
                <w:szCs w:val="20"/>
              </w:rPr>
            </w:pPr>
          </w:p>
          <w:p w14:paraId="4F884147" w14:textId="6EB51588" w:rsidR="00B00A8A" w:rsidRPr="00AB1C3B" w:rsidRDefault="00B00A8A" w:rsidP="00496007">
            <w:pPr>
              <w:jc w:val="center"/>
              <w:rPr>
                <w:sz w:val="20"/>
                <w:szCs w:val="20"/>
              </w:rPr>
            </w:pPr>
            <w:r w:rsidRPr="00AB1C3B">
              <w:rPr>
                <w:sz w:val="20"/>
                <w:szCs w:val="20"/>
              </w:rPr>
              <w:t>5/1/2017 to 4/27/2020</w:t>
            </w:r>
          </w:p>
        </w:tc>
      </w:tr>
      <w:tr w:rsidR="00B00A8A" w:rsidRPr="00AB1C3B" w14:paraId="3A73B48A" w14:textId="77777777" w:rsidTr="003265E0">
        <w:trPr>
          <w:trHeight w:val="592"/>
          <w:jc w:val="center"/>
        </w:trPr>
        <w:tc>
          <w:tcPr>
            <w:tcW w:w="2880" w:type="dxa"/>
            <w:tcBorders>
              <w:top w:val="single" w:sz="8" w:space="0" w:color="000000"/>
              <w:left w:val="single" w:sz="12" w:space="0" w:color="000000"/>
              <w:bottom w:val="single" w:sz="8" w:space="0" w:color="000000"/>
              <w:right w:val="single" w:sz="8" w:space="0" w:color="000000"/>
            </w:tcBorders>
            <w:shd w:val="clear" w:color="auto" w:fill="auto"/>
          </w:tcPr>
          <w:p w14:paraId="765EFF9A" w14:textId="77777777" w:rsidR="00B00A8A" w:rsidRPr="00AB1C3B" w:rsidRDefault="00B00A8A" w:rsidP="00B00A8A">
            <w:pPr>
              <w:spacing w:line="175" w:lineRule="exact"/>
              <w:rPr>
                <w:b/>
                <w:sz w:val="20"/>
                <w:szCs w:val="20"/>
              </w:rPr>
            </w:pPr>
          </w:p>
          <w:p w14:paraId="3580A3E4" w14:textId="77777777" w:rsidR="00B00A8A" w:rsidRPr="00AB1C3B" w:rsidRDefault="00B00A8A" w:rsidP="00B00A8A">
            <w:pPr>
              <w:rPr>
                <w:b/>
                <w:sz w:val="20"/>
                <w:szCs w:val="20"/>
              </w:rPr>
            </w:pPr>
            <w:r w:rsidRPr="00AB1C3B">
              <w:rPr>
                <w:b/>
                <w:sz w:val="20"/>
                <w:szCs w:val="20"/>
              </w:rPr>
              <w:t xml:space="preserve">FINANCIAL INSTITUTION </w:t>
            </w:r>
          </w:p>
        </w:tc>
        <w:tc>
          <w:tcPr>
            <w:tcW w:w="2145" w:type="dxa"/>
            <w:tcBorders>
              <w:top w:val="single" w:sz="8" w:space="0" w:color="000000"/>
              <w:left w:val="single" w:sz="8" w:space="0" w:color="000000"/>
              <w:bottom w:val="single" w:sz="8" w:space="0" w:color="000000"/>
              <w:right w:val="single" w:sz="8" w:space="0" w:color="000000"/>
            </w:tcBorders>
            <w:shd w:val="clear" w:color="auto" w:fill="auto"/>
          </w:tcPr>
          <w:p w14:paraId="231C3FDD" w14:textId="77777777" w:rsidR="00B00A8A" w:rsidRPr="00AB1C3B" w:rsidRDefault="00B00A8A" w:rsidP="00B00A8A">
            <w:pPr>
              <w:spacing w:line="175" w:lineRule="exact"/>
              <w:jc w:val="center"/>
              <w:rPr>
                <w:b/>
                <w:sz w:val="20"/>
                <w:szCs w:val="20"/>
              </w:rPr>
            </w:pPr>
          </w:p>
          <w:p w14:paraId="0DCAD98E" w14:textId="77777777" w:rsidR="00B00A8A" w:rsidRPr="00AB1C3B" w:rsidRDefault="00B00A8A" w:rsidP="00B00A8A">
            <w:pPr>
              <w:jc w:val="center"/>
              <w:rPr>
                <w:b/>
                <w:sz w:val="20"/>
                <w:szCs w:val="20"/>
              </w:rPr>
            </w:pPr>
          </w:p>
        </w:tc>
        <w:tc>
          <w:tcPr>
            <w:tcW w:w="879" w:type="dxa"/>
            <w:tcBorders>
              <w:top w:val="single" w:sz="8" w:space="0" w:color="000000"/>
              <w:left w:val="single" w:sz="8" w:space="0" w:color="000000"/>
              <w:bottom w:val="single" w:sz="8" w:space="0" w:color="000000"/>
              <w:right w:val="single" w:sz="8" w:space="0" w:color="000000"/>
            </w:tcBorders>
            <w:shd w:val="clear" w:color="auto" w:fill="auto"/>
          </w:tcPr>
          <w:p w14:paraId="3A08CF03" w14:textId="77777777" w:rsidR="00B00A8A" w:rsidRPr="00AB1C3B" w:rsidRDefault="00B00A8A" w:rsidP="00B00A8A">
            <w:pPr>
              <w:spacing w:line="175" w:lineRule="exact"/>
              <w:jc w:val="center"/>
              <w:rPr>
                <w:b/>
                <w:sz w:val="20"/>
                <w:szCs w:val="20"/>
              </w:rPr>
            </w:pPr>
          </w:p>
          <w:p w14:paraId="7EFA894B" w14:textId="77777777" w:rsidR="00B00A8A" w:rsidRPr="00AB1C3B" w:rsidRDefault="00B00A8A" w:rsidP="00B00A8A">
            <w:pPr>
              <w:jc w:val="center"/>
              <w:rPr>
                <w:b/>
                <w:sz w:val="20"/>
                <w:szCs w:val="20"/>
              </w:rPr>
            </w:pPr>
          </w:p>
        </w:tc>
        <w:tc>
          <w:tcPr>
            <w:tcW w:w="1656" w:type="dxa"/>
            <w:tcBorders>
              <w:top w:val="single" w:sz="8" w:space="0" w:color="000000"/>
              <w:left w:val="single" w:sz="8" w:space="0" w:color="000000"/>
              <w:bottom w:val="single" w:sz="8" w:space="0" w:color="000000"/>
              <w:right w:val="single" w:sz="12" w:space="0" w:color="000000"/>
            </w:tcBorders>
            <w:shd w:val="clear" w:color="auto" w:fill="auto"/>
          </w:tcPr>
          <w:p w14:paraId="6C71EEF7" w14:textId="77777777" w:rsidR="00B00A8A" w:rsidRPr="00AB1C3B" w:rsidRDefault="00B00A8A" w:rsidP="00B00A8A">
            <w:pPr>
              <w:spacing w:line="175" w:lineRule="exact"/>
              <w:jc w:val="center"/>
              <w:rPr>
                <w:b/>
                <w:sz w:val="20"/>
                <w:szCs w:val="20"/>
              </w:rPr>
            </w:pPr>
          </w:p>
          <w:p w14:paraId="69E96926" w14:textId="77777777" w:rsidR="00B00A8A" w:rsidRPr="00AB1C3B" w:rsidRDefault="00B00A8A" w:rsidP="00B00A8A">
            <w:pPr>
              <w:jc w:val="center"/>
              <w:rPr>
                <w:b/>
                <w:sz w:val="20"/>
                <w:szCs w:val="20"/>
              </w:rPr>
            </w:pPr>
            <w:r w:rsidRPr="00AB1C3B">
              <w:rPr>
                <w:b/>
                <w:sz w:val="20"/>
                <w:szCs w:val="20"/>
              </w:rPr>
              <w:t>PRODUCTS REVIEWED</w:t>
            </w:r>
          </w:p>
        </w:tc>
      </w:tr>
      <w:tr w:rsidR="00B00A8A" w:rsidRPr="00AB1C3B" w14:paraId="3B00CEB3" w14:textId="77777777" w:rsidTr="003265E0">
        <w:trPr>
          <w:trHeight w:val="484"/>
          <w:jc w:val="center"/>
        </w:trPr>
        <w:tc>
          <w:tcPr>
            <w:tcW w:w="2880" w:type="dxa"/>
            <w:tcBorders>
              <w:top w:val="single" w:sz="8" w:space="0" w:color="000000"/>
              <w:left w:val="single" w:sz="12" w:space="0" w:color="000000"/>
              <w:bottom w:val="single" w:sz="8" w:space="0" w:color="000000"/>
              <w:right w:val="single" w:sz="8" w:space="0" w:color="000000"/>
            </w:tcBorders>
            <w:shd w:val="clear" w:color="auto" w:fill="auto"/>
          </w:tcPr>
          <w:p w14:paraId="03E1F4E4" w14:textId="77777777" w:rsidR="00B00A8A" w:rsidRPr="00AB1C3B" w:rsidRDefault="00B00A8A" w:rsidP="00B00A8A">
            <w:pPr>
              <w:spacing w:line="175" w:lineRule="exact"/>
              <w:rPr>
                <w:sz w:val="20"/>
                <w:szCs w:val="20"/>
              </w:rPr>
            </w:pPr>
          </w:p>
          <w:p w14:paraId="0E7C91BE" w14:textId="77777777" w:rsidR="00B00A8A" w:rsidRPr="00AB1C3B" w:rsidRDefault="00B00A8A" w:rsidP="00B00A8A">
            <w:pPr>
              <w:spacing w:line="175" w:lineRule="exact"/>
              <w:rPr>
                <w:sz w:val="20"/>
                <w:szCs w:val="20"/>
              </w:rPr>
            </w:pPr>
            <w:r w:rsidRPr="00AB1C3B">
              <w:rPr>
                <w:sz w:val="20"/>
                <w:szCs w:val="20"/>
              </w:rPr>
              <w:t>Northern Bank &amp; Trust Company</w:t>
            </w:r>
          </w:p>
        </w:tc>
        <w:tc>
          <w:tcPr>
            <w:tcW w:w="2145" w:type="dxa"/>
            <w:tcBorders>
              <w:top w:val="single" w:sz="8" w:space="0" w:color="000000"/>
              <w:left w:val="single" w:sz="8" w:space="0" w:color="000000"/>
              <w:bottom w:val="single" w:sz="8" w:space="0" w:color="000000"/>
              <w:right w:val="single" w:sz="8" w:space="0" w:color="000000"/>
            </w:tcBorders>
            <w:shd w:val="clear" w:color="auto" w:fill="auto"/>
          </w:tcPr>
          <w:p w14:paraId="5BEFE15E" w14:textId="77777777" w:rsidR="00B00A8A" w:rsidRPr="00AB1C3B" w:rsidRDefault="00B00A8A" w:rsidP="00B00A8A">
            <w:pPr>
              <w:spacing w:line="175" w:lineRule="exact"/>
              <w:jc w:val="center"/>
              <w:rPr>
                <w:b/>
                <w:sz w:val="20"/>
                <w:szCs w:val="20"/>
              </w:rPr>
            </w:pPr>
          </w:p>
        </w:tc>
        <w:tc>
          <w:tcPr>
            <w:tcW w:w="879" w:type="dxa"/>
            <w:tcBorders>
              <w:top w:val="single" w:sz="8" w:space="0" w:color="000000"/>
              <w:left w:val="single" w:sz="8" w:space="0" w:color="000000"/>
              <w:bottom w:val="single" w:sz="8" w:space="0" w:color="000000"/>
              <w:right w:val="single" w:sz="8" w:space="0" w:color="000000"/>
            </w:tcBorders>
            <w:shd w:val="clear" w:color="auto" w:fill="auto"/>
          </w:tcPr>
          <w:p w14:paraId="1CA5A798" w14:textId="77777777" w:rsidR="00B00A8A" w:rsidRPr="00AB1C3B" w:rsidRDefault="00B00A8A" w:rsidP="00B00A8A">
            <w:pPr>
              <w:spacing w:line="175" w:lineRule="exact"/>
              <w:jc w:val="center"/>
              <w:rPr>
                <w:b/>
                <w:sz w:val="20"/>
                <w:szCs w:val="20"/>
              </w:rPr>
            </w:pPr>
          </w:p>
        </w:tc>
        <w:tc>
          <w:tcPr>
            <w:tcW w:w="1656" w:type="dxa"/>
            <w:tcBorders>
              <w:top w:val="single" w:sz="8" w:space="0" w:color="000000"/>
              <w:left w:val="single" w:sz="8" w:space="0" w:color="000000"/>
              <w:bottom w:val="single" w:sz="8" w:space="0" w:color="000000"/>
              <w:right w:val="single" w:sz="12" w:space="0" w:color="000000"/>
            </w:tcBorders>
            <w:shd w:val="clear" w:color="auto" w:fill="auto"/>
          </w:tcPr>
          <w:p w14:paraId="1A1B40E5" w14:textId="77777777" w:rsidR="00B00A8A" w:rsidRDefault="00B00A8A" w:rsidP="00B00A8A">
            <w:pPr>
              <w:spacing w:line="175" w:lineRule="exact"/>
              <w:jc w:val="center"/>
              <w:rPr>
                <w:sz w:val="20"/>
                <w:szCs w:val="20"/>
              </w:rPr>
            </w:pPr>
          </w:p>
          <w:p w14:paraId="22956065" w14:textId="77777777" w:rsidR="00B00A8A" w:rsidRPr="00AB1C3B" w:rsidRDefault="00B00A8A" w:rsidP="00B00A8A">
            <w:pPr>
              <w:spacing w:line="175" w:lineRule="exact"/>
              <w:jc w:val="center"/>
              <w:rPr>
                <w:sz w:val="20"/>
                <w:szCs w:val="20"/>
              </w:rPr>
            </w:pPr>
            <w:r w:rsidRPr="00AB1C3B">
              <w:rPr>
                <w:sz w:val="20"/>
                <w:szCs w:val="20"/>
              </w:rPr>
              <w:t>Residential Home Mortgage Loans</w:t>
            </w:r>
          </w:p>
          <w:p w14:paraId="579FB5F1" w14:textId="77777777" w:rsidR="00B00A8A" w:rsidRPr="00AB1C3B" w:rsidRDefault="00B00A8A" w:rsidP="00B00A8A">
            <w:pPr>
              <w:spacing w:line="175" w:lineRule="exact"/>
              <w:jc w:val="center"/>
              <w:rPr>
                <w:sz w:val="20"/>
                <w:szCs w:val="20"/>
              </w:rPr>
            </w:pPr>
          </w:p>
          <w:p w14:paraId="2513C1AF" w14:textId="77777777" w:rsidR="00B00A8A" w:rsidRDefault="00B00A8A" w:rsidP="00B00A8A">
            <w:pPr>
              <w:spacing w:line="175" w:lineRule="exact"/>
              <w:jc w:val="center"/>
              <w:rPr>
                <w:sz w:val="20"/>
                <w:szCs w:val="20"/>
              </w:rPr>
            </w:pPr>
            <w:r w:rsidRPr="00AB1C3B">
              <w:rPr>
                <w:sz w:val="20"/>
                <w:szCs w:val="20"/>
              </w:rPr>
              <w:t xml:space="preserve">Small Business </w:t>
            </w:r>
          </w:p>
          <w:p w14:paraId="01FA15F8" w14:textId="77777777" w:rsidR="00B00A8A" w:rsidRDefault="00B00A8A" w:rsidP="00B00A8A">
            <w:pPr>
              <w:spacing w:line="175" w:lineRule="exact"/>
              <w:jc w:val="center"/>
              <w:rPr>
                <w:sz w:val="20"/>
                <w:szCs w:val="20"/>
              </w:rPr>
            </w:pPr>
            <w:r w:rsidRPr="00AB1C3B">
              <w:rPr>
                <w:sz w:val="20"/>
                <w:szCs w:val="20"/>
              </w:rPr>
              <w:t>Loans</w:t>
            </w:r>
          </w:p>
          <w:p w14:paraId="722971D4" w14:textId="77777777" w:rsidR="00B00A8A" w:rsidRPr="00AB1C3B" w:rsidRDefault="00B00A8A" w:rsidP="00B00A8A">
            <w:pPr>
              <w:spacing w:line="175" w:lineRule="exact"/>
              <w:jc w:val="center"/>
              <w:rPr>
                <w:b/>
                <w:sz w:val="20"/>
                <w:szCs w:val="20"/>
              </w:rPr>
            </w:pPr>
          </w:p>
        </w:tc>
      </w:tr>
      <w:tr w:rsidR="00B00A8A" w:rsidRPr="00AB1C3B" w14:paraId="278E6C51" w14:textId="77777777" w:rsidTr="003265E0">
        <w:trPr>
          <w:trHeight w:val="610"/>
          <w:jc w:val="center"/>
        </w:trPr>
        <w:tc>
          <w:tcPr>
            <w:tcW w:w="2880" w:type="dxa"/>
            <w:tcBorders>
              <w:top w:val="single" w:sz="8" w:space="0" w:color="000000"/>
              <w:left w:val="single" w:sz="12" w:space="0" w:color="000000"/>
              <w:bottom w:val="single" w:sz="8" w:space="0" w:color="000000"/>
              <w:right w:val="single" w:sz="8" w:space="0" w:color="000000"/>
            </w:tcBorders>
            <w:shd w:val="clear" w:color="auto" w:fill="auto"/>
          </w:tcPr>
          <w:p w14:paraId="29067D2C" w14:textId="77777777" w:rsidR="00B00A8A" w:rsidRPr="00AB1C3B" w:rsidRDefault="00B00A8A" w:rsidP="00B00A8A">
            <w:pPr>
              <w:spacing w:line="175" w:lineRule="exact"/>
              <w:rPr>
                <w:b/>
                <w:sz w:val="20"/>
                <w:szCs w:val="20"/>
              </w:rPr>
            </w:pPr>
          </w:p>
          <w:p w14:paraId="78FCDA25" w14:textId="77777777" w:rsidR="00B00A8A" w:rsidRPr="00AB1C3B" w:rsidRDefault="00B00A8A" w:rsidP="00B00A8A">
            <w:pPr>
              <w:rPr>
                <w:b/>
                <w:sz w:val="20"/>
                <w:szCs w:val="20"/>
              </w:rPr>
            </w:pPr>
            <w:r w:rsidRPr="00AB1C3B">
              <w:rPr>
                <w:b/>
                <w:sz w:val="20"/>
                <w:szCs w:val="20"/>
              </w:rPr>
              <w:t>AFFILIATE(S)</w:t>
            </w:r>
          </w:p>
        </w:tc>
        <w:tc>
          <w:tcPr>
            <w:tcW w:w="2145" w:type="dxa"/>
            <w:tcBorders>
              <w:top w:val="single" w:sz="8" w:space="0" w:color="000000"/>
              <w:left w:val="single" w:sz="8" w:space="0" w:color="000000"/>
              <w:bottom w:val="single" w:sz="8" w:space="0" w:color="000000"/>
              <w:right w:val="single" w:sz="8" w:space="0" w:color="000000"/>
            </w:tcBorders>
            <w:shd w:val="clear" w:color="auto" w:fill="auto"/>
          </w:tcPr>
          <w:p w14:paraId="1749C37E" w14:textId="77777777" w:rsidR="00B00A8A" w:rsidRPr="00AB1C3B" w:rsidRDefault="00B00A8A" w:rsidP="00B00A8A">
            <w:pPr>
              <w:spacing w:line="175" w:lineRule="exact"/>
              <w:jc w:val="center"/>
              <w:rPr>
                <w:b/>
                <w:sz w:val="20"/>
                <w:szCs w:val="20"/>
              </w:rPr>
            </w:pPr>
          </w:p>
          <w:p w14:paraId="03DD6A9B" w14:textId="77777777" w:rsidR="00B00A8A" w:rsidRPr="00AB1C3B" w:rsidRDefault="00B00A8A" w:rsidP="00B00A8A">
            <w:pPr>
              <w:jc w:val="center"/>
              <w:rPr>
                <w:b/>
                <w:sz w:val="20"/>
                <w:szCs w:val="20"/>
              </w:rPr>
            </w:pPr>
            <w:r w:rsidRPr="00AB1C3B">
              <w:rPr>
                <w:b/>
                <w:sz w:val="20"/>
                <w:szCs w:val="20"/>
              </w:rPr>
              <w:t>AFFILIATE RELATIONSHIP</w:t>
            </w:r>
          </w:p>
        </w:tc>
        <w:tc>
          <w:tcPr>
            <w:tcW w:w="879" w:type="dxa"/>
            <w:tcBorders>
              <w:top w:val="single" w:sz="8" w:space="0" w:color="000000"/>
              <w:left w:val="single" w:sz="8" w:space="0" w:color="000000"/>
              <w:bottom w:val="single" w:sz="8" w:space="0" w:color="000000"/>
              <w:right w:val="single" w:sz="8" w:space="0" w:color="000000"/>
            </w:tcBorders>
            <w:shd w:val="clear" w:color="auto" w:fill="auto"/>
          </w:tcPr>
          <w:p w14:paraId="604F67C4" w14:textId="77777777" w:rsidR="00B00A8A" w:rsidRPr="00AB1C3B" w:rsidRDefault="00B00A8A" w:rsidP="00B00A8A">
            <w:pPr>
              <w:spacing w:line="175" w:lineRule="exact"/>
              <w:jc w:val="center"/>
              <w:rPr>
                <w:b/>
                <w:sz w:val="20"/>
                <w:szCs w:val="20"/>
              </w:rPr>
            </w:pPr>
          </w:p>
          <w:p w14:paraId="614CB187" w14:textId="77777777" w:rsidR="00B00A8A" w:rsidRPr="00AB1C3B" w:rsidRDefault="00B00A8A" w:rsidP="00B00A8A">
            <w:pPr>
              <w:jc w:val="center"/>
              <w:rPr>
                <w:b/>
                <w:sz w:val="20"/>
                <w:szCs w:val="20"/>
              </w:rPr>
            </w:pPr>
          </w:p>
        </w:tc>
        <w:tc>
          <w:tcPr>
            <w:tcW w:w="1656" w:type="dxa"/>
            <w:tcBorders>
              <w:top w:val="single" w:sz="8" w:space="0" w:color="000000"/>
              <w:left w:val="single" w:sz="8" w:space="0" w:color="000000"/>
              <w:bottom w:val="single" w:sz="8" w:space="0" w:color="000000"/>
              <w:right w:val="single" w:sz="12" w:space="0" w:color="000000"/>
            </w:tcBorders>
            <w:shd w:val="clear" w:color="auto" w:fill="auto"/>
          </w:tcPr>
          <w:p w14:paraId="56437463" w14:textId="77777777" w:rsidR="00B00A8A" w:rsidRPr="00AB1C3B" w:rsidRDefault="00B00A8A" w:rsidP="00B00A8A">
            <w:pPr>
              <w:spacing w:line="175" w:lineRule="exact"/>
              <w:jc w:val="center"/>
              <w:rPr>
                <w:b/>
                <w:sz w:val="20"/>
                <w:szCs w:val="20"/>
              </w:rPr>
            </w:pPr>
          </w:p>
          <w:p w14:paraId="74D4ECD4" w14:textId="77777777" w:rsidR="00B00A8A" w:rsidRPr="00AB1C3B" w:rsidRDefault="00B00A8A" w:rsidP="00B00A8A">
            <w:pPr>
              <w:tabs>
                <w:tab w:val="right" w:pos="1374"/>
              </w:tabs>
              <w:jc w:val="center"/>
              <w:rPr>
                <w:b/>
                <w:sz w:val="20"/>
                <w:szCs w:val="20"/>
              </w:rPr>
            </w:pPr>
            <w:r w:rsidRPr="00AB1C3B">
              <w:rPr>
                <w:b/>
                <w:sz w:val="20"/>
                <w:szCs w:val="20"/>
              </w:rPr>
              <w:t>PRODUCTS REVIEWED</w:t>
            </w:r>
          </w:p>
        </w:tc>
      </w:tr>
      <w:tr w:rsidR="00B00A8A" w:rsidRPr="00AB1C3B" w14:paraId="47CEAAE6" w14:textId="77777777" w:rsidTr="003265E0">
        <w:trPr>
          <w:trHeight w:val="358"/>
          <w:jc w:val="center"/>
        </w:trPr>
        <w:tc>
          <w:tcPr>
            <w:tcW w:w="2880" w:type="dxa"/>
            <w:tcBorders>
              <w:top w:val="single" w:sz="8" w:space="0" w:color="000000"/>
              <w:left w:val="single" w:sz="12" w:space="0" w:color="000000"/>
              <w:bottom w:val="single" w:sz="8" w:space="0" w:color="000000"/>
              <w:right w:val="single" w:sz="8" w:space="0" w:color="000000"/>
            </w:tcBorders>
            <w:shd w:val="clear" w:color="auto" w:fill="auto"/>
          </w:tcPr>
          <w:p w14:paraId="1DDE171A" w14:textId="77777777" w:rsidR="00B00A8A" w:rsidRPr="00AB1C3B" w:rsidRDefault="00B00A8A" w:rsidP="00B00A8A">
            <w:pPr>
              <w:tabs>
                <w:tab w:val="right" w:pos="2598"/>
              </w:tabs>
              <w:rPr>
                <w:sz w:val="20"/>
                <w:szCs w:val="20"/>
              </w:rPr>
            </w:pPr>
            <w:r>
              <w:rPr>
                <w:sz w:val="20"/>
                <w:szCs w:val="20"/>
              </w:rPr>
              <w:t>NA</w:t>
            </w:r>
          </w:p>
        </w:tc>
        <w:tc>
          <w:tcPr>
            <w:tcW w:w="2145" w:type="dxa"/>
            <w:tcBorders>
              <w:top w:val="single" w:sz="8" w:space="0" w:color="000000"/>
              <w:left w:val="single" w:sz="8" w:space="0" w:color="000000"/>
              <w:bottom w:val="single" w:sz="8" w:space="0" w:color="000000"/>
              <w:right w:val="single" w:sz="8" w:space="0" w:color="000000"/>
            </w:tcBorders>
            <w:shd w:val="clear" w:color="auto" w:fill="auto"/>
          </w:tcPr>
          <w:p w14:paraId="6C28F258" w14:textId="77777777" w:rsidR="00B00A8A" w:rsidRPr="00AB1C3B" w:rsidRDefault="00B00A8A" w:rsidP="00B00A8A">
            <w:pPr>
              <w:rPr>
                <w:b/>
                <w:sz w:val="20"/>
                <w:szCs w:val="20"/>
              </w:rPr>
            </w:pPr>
          </w:p>
        </w:tc>
        <w:tc>
          <w:tcPr>
            <w:tcW w:w="879" w:type="dxa"/>
            <w:tcBorders>
              <w:top w:val="single" w:sz="8" w:space="0" w:color="000000"/>
              <w:left w:val="single" w:sz="8" w:space="0" w:color="000000"/>
              <w:bottom w:val="single" w:sz="8" w:space="0" w:color="000000"/>
              <w:right w:val="single" w:sz="8" w:space="0" w:color="000000"/>
            </w:tcBorders>
            <w:shd w:val="clear" w:color="auto" w:fill="auto"/>
          </w:tcPr>
          <w:p w14:paraId="79E6191E" w14:textId="77777777" w:rsidR="00B00A8A" w:rsidRPr="00AB1C3B" w:rsidRDefault="00B00A8A" w:rsidP="00B00A8A">
            <w:pPr>
              <w:rPr>
                <w:b/>
                <w:sz w:val="20"/>
                <w:szCs w:val="20"/>
              </w:rPr>
            </w:pPr>
          </w:p>
        </w:tc>
        <w:tc>
          <w:tcPr>
            <w:tcW w:w="1656" w:type="dxa"/>
            <w:tcBorders>
              <w:top w:val="single" w:sz="8" w:space="0" w:color="000000"/>
              <w:left w:val="single" w:sz="8" w:space="0" w:color="000000"/>
              <w:bottom w:val="single" w:sz="8" w:space="0" w:color="000000"/>
              <w:right w:val="single" w:sz="12" w:space="0" w:color="000000"/>
            </w:tcBorders>
            <w:shd w:val="clear" w:color="auto" w:fill="auto"/>
          </w:tcPr>
          <w:p w14:paraId="0B5E9D8C" w14:textId="77777777" w:rsidR="00B00A8A" w:rsidRPr="00AB1C3B" w:rsidRDefault="00B00A8A" w:rsidP="00B00A8A">
            <w:pPr>
              <w:rPr>
                <w:b/>
                <w:sz w:val="20"/>
                <w:szCs w:val="20"/>
              </w:rPr>
            </w:pPr>
          </w:p>
        </w:tc>
      </w:tr>
    </w:tbl>
    <w:p w14:paraId="5E7F0561" w14:textId="77777777" w:rsidR="00B00A8A" w:rsidRPr="00AB1C3B" w:rsidRDefault="00B00A8A" w:rsidP="00B00A8A">
      <w:pPr>
        <w:keepLines/>
        <w:ind w:left="-144" w:right="-144"/>
        <w:rPr>
          <w:sz w:val="20"/>
          <w:szCs w:val="20"/>
        </w:rPr>
      </w:pPr>
    </w:p>
    <w:p w14:paraId="203B8581" w14:textId="77777777" w:rsidR="007613E5" w:rsidRPr="00A8470C" w:rsidRDefault="007613E5" w:rsidP="007613E5">
      <w:pPr>
        <w:rPr>
          <w:b/>
        </w:rPr>
      </w:pPr>
      <w:r w:rsidRPr="00A8470C">
        <w:rPr>
          <w:b/>
        </w:rPr>
        <w:t>FAIR LENDING POLICIES AND PROCEDURES</w:t>
      </w:r>
    </w:p>
    <w:p w14:paraId="267D5A8A" w14:textId="77777777" w:rsidR="007613E5" w:rsidRPr="00A8470C" w:rsidRDefault="007613E5" w:rsidP="007613E5"/>
    <w:p w14:paraId="32072E36" w14:textId="77777777" w:rsidR="007613E5" w:rsidRPr="00A8470C" w:rsidRDefault="007613E5" w:rsidP="007613E5">
      <w:r w:rsidRPr="00A8470C">
        <w:t>The Division provides comments regarding an institution’s fair lending policies and procedures pursuant to Regulatory Bulletin 1.3-106, the Division’s Community Reinvestment and Fair Lending Policy.  Based upon a review of the bank’s public comment file and compliance with applicable fair lending laws and regulations, examiners did not identify any violations of those laws or regulations.</w:t>
      </w:r>
    </w:p>
    <w:p w14:paraId="58848B6F" w14:textId="77777777" w:rsidR="007613E5" w:rsidRPr="00A8470C" w:rsidRDefault="007613E5" w:rsidP="007613E5">
      <w:pPr>
        <w:rPr>
          <w:color w:val="FF0000"/>
        </w:rPr>
      </w:pPr>
    </w:p>
    <w:p w14:paraId="6FE5F58B" w14:textId="77777777" w:rsidR="007613E5" w:rsidRPr="00A8470C" w:rsidRDefault="007613E5" w:rsidP="007613E5">
      <w:pPr>
        <w:keepNext/>
        <w:tabs>
          <w:tab w:val="left" w:pos="-1440"/>
          <w:tab w:val="left" w:leader="do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utlineLvl w:val="1"/>
        <w:rPr>
          <w:b/>
          <w:bCs/>
        </w:rPr>
      </w:pPr>
      <w:bookmarkStart w:id="9" w:name="_Toc26133562"/>
      <w:bookmarkStart w:id="10" w:name="_Toc40445657"/>
      <w:r w:rsidRPr="00A8470C">
        <w:rPr>
          <w:b/>
          <w:bCs/>
        </w:rPr>
        <w:t>MINORITY APPLICATION FLOW</w:t>
      </w:r>
      <w:bookmarkEnd w:id="9"/>
      <w:bookmarkEnd w:id="10"/>
    </w:p>
    <w:p w14:paraId="6409B5A1" w14:textId="77777777" w:rsidR="007613E5" w:rsidRPr="00A8470C" w:rsidRDefault="007613E5" w:rsidP="007613E5"/>
    <w:p w14:paraId="6389BD20" w14:textId="7BF9C784" w:rsidR="007613E5" w:rsidRPr="00A8470C" w:rsidRDefault="00420C63" w:rsidP="003265E0">
      <w:pPr>
        <w:tabs>
          <w:tab w:val="center" w:pos="4680"/>
        </w:tabs>
        <w:contextualSpacing/>
        <w:rPr>
          <w:rFonts w:eastAsia="Calibri"/>
        </w:rPr>
      </w:pPr>
      <w:r>
        <w:rPr>
          <w:rFonts w:eastAsia="Calibri"/>
        </w:rPr>
        <w:t>Examiners reviewed t</w:t>
      </w:r>
      <w:r w:rsidR="007613E5" w:rsidRPr="00A8470C">
        <w:rPr>
          <w:rFonts w:eastAsia="Calibri"/>
        </w:rPr>
        <w:t xml:space="preserve">he bank’s </w:t>
      </w:r>
      <w:r>
        <w:rPr>
          <w:rFonts w:eastAsia="Calibri"/>
        </w:rPr>
        <w:t xml:space="preserve">2018 and 2019 </w:t>
      </w:r>
      <w:r w:rsidR="007613E5" w:rsidRPr="00A8470C">
        <w:rPr>
          <w:rFonts w:eastAsia="Calibri"/>
        </w:rPr>
        <w:t xml:space="preserve">HMDA </w:t>
      </w:r>
      <w:r w:rsidR="00C21B34" w:rsidRPr="00A8470C">
        <w:rPr>
          <w:rFonts w:eastAsia="Calibri"/>
        </w:rPr>
        <w:t>LARs to</w:t>
      </w:r>
      <w:r w:rsidR="007613E5" w:rsidRPr="00A8470C">
        <w:rPr>
          <w:rFonts w:eastAsia="Calibri"/>
        </w:rPr>
        <w:t xml:space="preserve"> determine if the application flow from different racial groups within the bank’s assessment </w:t>
      </w:r>
      <w:r w:rsidR="00C21B34" w:rsidRPr="00A8470C">
        <w:rPr>
          <w:rFonts w:eastAsia="Calibri"/>
        </w:rPr>
        <w:t>area reflected</w:t>
      </w:r>
      <w:r w:rsidR="00C21B34">
        <w:rPr>
          <w:rFonts w:eastAsia="Calibri"/>
        </w:rPr>
        <w:t xml:space="preserve"> </w:t>
      </w:r>
      <w:r w:rsidR="00C21B34" w:rsidRPr="00A8470C">
        <w:rPr>
          <w:rFonts w:eastAsia="Calibri"/>
        </w:rPr>
        <w:t>the</w:t>
      </w:r>
      <w:r w:rsidR="007613E5" w:rsidRPr="00A8470C">
        <w:rPr>
          <w:rFonts w:eastAsia="Calibri"/>
        </w:rPr>
        <w:t xml:space="preserve"> assessment area’s demographics. Considering the </w:t>
      </w:r>
      <w:r w:rsidR="00E20968">
        <w:rPr>
          <w:rFonts w:eastAsia="Calibri"/>
        </w:rPr>
        <w:t xml:space="preserve">assessment area’s </w:t>
      </w:r>
      <w:r w:rsidR="007613E5" w:rsidRPr="00A8470C">
        <w:rPr>
          <w:rFonts w:eastAsia="Calibri"/>
        </w:rPr>
        <w:t xml:space="preserve">demographic </w:t>
      </w:r>
      <w:r w:rsidR="00C21B34" w:rsidRPr="00A8470C">
        <w:rPr>
          <w:rFonts w:eastAsia="Calibri"/>
        </w:rPr>
        <w:t>composition and</w:t>
      </w:r>
      <w:r w:rsidR="007613E5" w:rsidRPr="00A8470C">
        <w:rPr>
          <w:rFonts w:eastAsia="Calibri"/>
        </w:rPr>
        <w:t xml:space="preserve"> comparison to </w:t>
      </w:r>
      <w:r w:rsidR="00E20968">
        <w:rPr>
          <w:rFonts w:eastAsia="Calibri"/>
        </w:rPr>
        <w:t xml:space="preserve">2018 </w:t>
      </w:r>
      <w:r w:rsidR="007613E5" w:rsidRPr="00A8470C">
        <w:rPr>
          <w:rFonts w:eastAsia="Calibri"/>
        </w:rPr>
        <w:t xml:space="preserve">aggregate </w:t>
      </w:r>
      <w:r w:rsidR="00C21B34" w:rsidRPr="00A8470C">
        <w:rPr>
          <w:rFonts w:eastAsia="Calibri"/>
        </w:rPr>
        <w:t>data,</w:t>
      </w:r>
      <w:r w:rsidR="007613E5" w:rsidRPr="00A8470C">
        <w:rPr>
          <w:rFonts w:eastAsia="Calibri"/>
        </w:rPr>
        <w:t xml:space="preserve"> the bank’s minority application flow is adequate.</w:t>
      </w:r>
    </w:p>
    <w:p w14:paraId="36295416" w14:textId="77777777" w:rsidR="007613E5" w:rsidRPr="00A8470C" w:rsidRDefault="007613E5" w:rsidP="003265E0">
      <w:pPr>
        <w:tabs>
          <w:tab w:val="center" w:pos="4680"/>
        </w:tabs>
        <w:contextualSpacing/>
        <w:rPr>
          <w:rFonts w:eastAsia="Calibri"/>
        </w:rPr>
      </w:pPr>
    </w:p>
    <w:p w14:paraId="6A8B9333" w14:textId="38680153" w:rsidR="007613E5" w:rsidRPr="00A8470C" w:rsidRDefault="007613E5" w:rsidP="003265E0">
      <w:pPr>
        <w:autoSpaceDE w:val="0"/>
        <w:autoSpaceDN w:val="0"/>
        <w:adjustRightInd w:val="0"/>
        <w:contextualSpacing/>
        <w:rPr>
          <w:rFonts w:eastAsia="Calibri"/>
        </w:rPr>
      </w:pPr>
      <w:r w:rsidRPr="00A8470C">
        <w:rPr>
          <w:rFonts w:eastAsia="Calibri"/>
        </w:rPr>
        <w:t xml:space="preserve">The bank’s assessment area contains </w:t>
      </w:r>
      <w:r w:rsidR="00C21B34" w:rsidRPr="00A8470C">
        <w:rPr>
          <w:rFonts w:eastAsia="Calibri"/>
        </w:rPr>
        <w:t>a population</w:t>
      </w:r>
      <w:r w:rsidRPr="00A8470C">
        <w:rPr>
          <w:rFonts w:eastAsia="Calibri"/>
        </w:rPr>
        <w:t xml:space="preserve"> of 1,556,116 individuals of which 25.2 percent are minorities.  The assessment area’s minority and ethnic population is 4.6 percent Black/African American, 10.5 percent Asian, 0.1 percent American Indian, 7.3 percent Hispanic or Latino</w:t>
      </w:r>
      <w:r w:rsidR="00E20968">
        <w:rPr>
          <w:rFonts w:eastAsia="Calibri"/>
        </w:rPr>
        <w:t>,</w:t>
      </w:r>
      <w:r w:rsidRPr="00A8470C">
        <w:rPr>
          <w:rFonts w:eastAsia="Calibri"/>
        </w:rPr>
        <w:t xml:space="preserve"> and 2.8 percent Other.    </w:t>
      </w:r>
    </w:p>
    <w:p w14:paraId="079B091C" w14:textId="77777777" w:rsidR="007613E5" w:rsidRPr="00A8470C" w:rsidRDefault="007613E5" w:rsidP="003265E0">
      <w:pPr>
        <w:autoSpaceDE w:val="0"/>
        <w:autoSpaceDN w:val="0"/>
        <w:adjustRightInd w:val="0"/>
        <w:contextualSpacing/>
        <w:rPr>
          <w:rFonts w:eastAsia="Calibri"/>
          <w:highlight w:val="yellow"/>
        </w:rPr>
      </w:pPr>
    </w:p>
    <w:p w14:paraId="61B93B21" w14:textId="51F441E1" w:rsidR="007613E5" w:rsidRPr="00A8470C" w:rsidRDefault="007613E5" w:rsidP="003265E0">
      <w:pPr>
        <w:autoSpaceDE w:val="0"/>
        <w:autoSpaceDN w:val="0"/>
        <w:adjustRightInd w:val="0"/>
        <w:contextualSpacing/>
        <w:rPr>
          <w:rFonts w:eastAsia="Calibri"/>
        </w:rPr>
      </w:pPr>
      <w:r w:rsidRPr="00A8470C">
        <w:rPr>
          <w:rFonts w:eastAsia="Calibri"/>
        </w:rPr>
        <w:t xml:space="preserve">In 2018, the bank received 237 HMDA-reportable loan applications from within its assessment area.  Of these, </w:t>
      </w:r>
      <w:r w:rsidR="00E20968">
        <w:rPr>
          <w:rFonts w:eastAsia="Calibri"/>
        </w:rPr>
        <w:t xml:space="preserve">the bank received </w:t>
      </w:r>
      <w:r w:rsidRPr="00A8470C">
        <w:rPr>
          <w:rFonts w:eastAsia="Calibri"/>
        </w:rPr>
        <w:t xml:space="preserve">48 or 20.3 </w:t>
      </w:r>
      <w:r w:rsidR="00C21B34" w:rsidRPr="00A8470C">
        <w:rPr>
          <w:rFonts w:eastAsia="Calibri"/>
        </w:rPr>
        <w:t>percent from</w:t>
      </w:r>
      <w:r w:rsidRPr="00A8470C">
        <w:rPr>
          <w:rFonts w:eastAsia="Calibri"/>
        </w:rPr>
        <w:t xml:space="preserve"> racial minority applicants, </w:t>
      </w:r>
      <w:r w:rsidR="00E20968">
        <w:rPr>
          <w:rFonts w:eastAsia="Calibri"/>
        </w:rPr>
        <w:t xml:space="preserve">greater than </w:t>
      </w:r>
      <w:r w:rsidR="00C21B34">
        <w:rPr>
          <w:rFonts w:eastAsia="Calibri"/>
        </w:rPr>
        <w:t xml:space="preserve">the </w:t>
      </w:r>
      <w:r w:rsidR="00C21B34" w:rsidRPr="00A8470C">
        <w:rPr>
          <w:rFonts w:eastAsia="Calibri"/>
        </w:rPr>
        <w:t>aggregate</w:t>
      </w:r>
      <w:r w:rsidRPr="00A8470C">
        <w:rPr>
          <w:rFonts w:eastAsia="Calibri"/>
        </w:rPr>
        <w:t xml:space="preserve"> performance of 16.1 percent.  Of these 48 applications, </w:t>
      </w:r>
      <w:r w:rsidR="00E20968">
        <w:rPr>
          <w:rFonts w:eastAsia="Calibri"/>
        </w:rPr>
        <w:t xml:space="preserve">the bank originated </w:t>
      </w:r>
      <w:r w:rsidRPr="00A8470C">
        <w:rPr>
          <w:rFonts w:eastAsia="Calibri"/>
        </w:rPr>
        <w:t xml:space="preserve">85.4 percent.  For the same </w:t>
      </w:r>
      <w:r w:rsidR="00C21B34" w:rsidRPr="00A8470C">
        <w:rPr>
          <w:rFonts w:eastAsia="Calibri"/>
        </w:rPr>
        <w:t>time</w:t>
      </w:r>
      <w:r w:rsidRPr="00A8470C">
        <w:rPr>
          <w:rFonts w:eastAsia="Calibri"/>
        </w:rPr>
        <w:t xml:space="preserve">, </w:t>
      </w:r>
      <w:r w:rsidR="00E20968">
        <w:rPr>
          <w:rFonts w:eastAsia="Calibri"/>
        </w:rPr>
        <w:t xml:space="preserve">the bank received </w:t>
      </w:r>
      <w:r w:rsidR="00C21B34" w:rsidRPr="00A8470C">
        <w:rPr>
          <w:rFonts w:eastAsia="Calibri"/>
        </w:rPr>
        <w:t>8</w:t>
      </w:r>
      <w:r w:rsidRPr="00A8470C">
        <w:rPr>
          <w:rFonts w:eastAsia="Calibri"/>
        </w:rPr>
        <w:t xml:space="preserve"> applications, or 3.4 percent</w:t>
      </w:r>
      <w:r w:rsidR="00C21B34" w:rsidRPr="00A8470C">
        <w:rPr>
          <w:rFonts w:eastAsia="Calibri"/>
        </w:rPr>
        <w:t>, from</w:t>
      </w:r>
      <w:r w:rsidRPr="00A8470C">
        <w:rPr>
          <w:rFonts w:eastAsia="Calibri"/>
        </w:rPr>
        <w:t xml:space="preserve"> ethnic groups of Hispanic origin within the assessment area, </w:t>
      </w:r>
      <w:r w:rsidR="00E20968">
        <w:rPr>
          <w:rFonts w:eastAsia="Calibri"/>
        </w:rPr>
        <w:t xml:space="preserve">less than </w:t>
      </w:r>
      <w:r w:rsidR="00C21B34">
        <w:rPr>
          <w:rFonts w:eastAsia="Calibri"/>
        </w:rPr>
        <w:t xml:space="preserve">the </w:t>
      </w:r>
      <w:r w:rsidR="00C21B34" w:rsidRPr="00A8470C">
        <w:rPr>
          <w:rFonts w:eastAsia="Calibri"/>
        </w:rPr>
        <w:t>aggregate</w:t>
      </w:r>
      <w:r w:rsidRPr="00A8470C">
        <w:rPr>
          <w:rFonts w:eastAsia="Calibri"/>
        </w:rPr>
        <w:t xml:space="preserve"> performance of 5.7 percent.  </w:t>
      </w:r>
      <w:r w:rsidR="00E20968">
        <w:rPr>
          <w:rFonts w:eastAsia="Calibri"/>
        </w:rPr>
        <w:t>The bank originated a</w:t>
      </w:r>
      <w:r w:rsidRPr="00A8470C">
        <w:rPr>
          <w:rFonts w:eastAsia="Calibri"/>
        </w:rPr>
        <w:t xml:space="preserve">ll applications from Hispanic </w:t>
      </w:r>
      <w:r w:rsidR="00C21B34" w:rsidRPr="00A8470C">
        <w:rPr>
          <w:rFonts w:eastAsia="Calibri"/>
        </w:rPr>
        <w:t>applicants.</w:t>
      </w:r>
    </w:p>
    <w:p w14:paraId="1A1E5787" w14:textId="77777777" w:rsidR="007613E5" w:rsidRPr="00A8470C" w:rsidRDefault="007613E5" w:rsidP="003265E0">
      <w:pPr>
        <w:autoSpaceDE w:val="0"/>
        <w:autoSpaceDN w:val="0"/>
        <w:adjustRightInd w:val="0"/>
        <w:contextualSpacing/>
        <w:rPr>
          <w:rFonts w:eastAsia="Calibri"/>
          <w:highlight w:val="yellow"/>
        </w:rPr>
      </w:pPr>
    </w:p>
    <w:p w14:paraId="214D03B8" w14:textId="048C807A" w:rsidR="00B00A8A" w:rsidRDefault="00E20968" w:rsidP="003265E0">
      <w:pPr>
        <w:autoSpaceDE w:val="0"/>
        <w:autoSpaceDN w:val="0"/>
        <w:adjustRightInd w:val="0"/>
        <w:contextualSpacing/>
        <w:rPr>
          <w:rFonts w:eastAsia="Calibri"/>
        </w:rPr>
      </w:pPr>
      <w:r>
        <w:rPr>
          <w:rFonts w:eastAsia="Calibri"/>
        </w:rPr>
        <w:t>Examiners reviewed t</w:t>
      </w:r>
      <w:r w:rsidR="002D5204">
        <w:rPr>
          <w:rFonts w:eastAsia="Calibri"/>
        </w:rPr>
        <w:t xml:space="preserve">he </w:t>
      </w:r>
      <w:r w:rsidR="007613E5" w:rsidRPr="00A8470C">
        <w:rPr>
          <w:rFonts w:eastAsia="Calibri"/>
        </w:rPr>
        <w:t xml:space="preserve">2019 </w:t>
      </w:r>
      <w:r w:rsidR="00C21B34" w:rsidRPr="00A8470C">
        <w:rPr>
          <w:rFonts w:eastAsia="Calibri"/>
        </w:rPr>
        <w:t>data,</w:t>
      </w:r>
      <w:r w:rsidR="007613E5" w:rsidRPr="00A8470C">
        <w:rPr>
          <w:rFonts w:eastAsia="Calibri"/>
        </w:rPr>
        <w:t xml:space="preserve"> but examiners</w:t>
      </w:r>
      <w:r>
        <w:rPr>
          <w:rFonts w:eastAsia="Calibri"/>
        </w:rPr>
        <w:t xml:space="preserve"> were unable to </w:t>
      </w:r>
      <w:r w:rsidR="00C21B34">
        <w:rPr>
          <w:rFonts w:eastAsia="Calibri"/>
        </w:rPr>
        <w:t xml:space="preserve">make </w:t>
      </w:r>
      <w:r w:rsidR="00C21B34" w:rsidRPr="00A8470C">
        <w:rPr>
          <w:rFonts w:eastAsia="Calibri"/>
        </w:rPr>
        <w:t>comparisons</w:t>
      </w:r>
      <w:r w:rsidR="007613E5" w:rsidRPr="00A8470C">
        <w:rPr>
          <w:rFonts w:eastAsia="Calibri"/>
        </w:rPr>
        <w:t xml:space="preserve"> to aggregate data, as 2019 aggregate data was unavailable at </w:t>
      </w:r>
      <w:r w:rsidR="00C21B34">
        <w:rPr>
          <w:rFonts w:eastAsia="Calibri"/>
        </w:rPr>
        <w:t xml:space="preserve">evaluation </w:t>
      </w:r>
      <w:r w:rsidR="00C21B34" w:rsidRPr="00A8470C">
        <w:rPr>
          <w:rFonts w:eastAsia="Calibri"/>
        </w:rPr>
        <w:t>time</w:t>
      </w:r>
      <w:r w:rsidR="00C21B34">
        <w:rPr>
          <w:rFonts w:eastAsia="Calibri"/>
        </w:rPr>
        <w:t>.</w:t>
      </w:r>
      <w:r w:rsidR="007613E5" w:rsidRPr="00A8470C">
        <w:rPr>
          <w:rFonts w:eastAsia="Calibri"/>
        </w:rPr>
        <w:t xml:space="preserve">  </w:t>
      </w:r>
      <w:r>
        <w:rPr>
          <w:rFonts w:eastAsia="Calibri"/>
        </w:rPr>
        <w:t>From 2018 to 2019, t</w:t>
      </w:r>
      <w:r w:rsidR="007613E5" w:rsidRPr="00A8470C">
        <w:rPr>
          <w:rFonts w:eastAsia="Calibri"/>
        </w:rPr>
        <w:t>otal HMDA reportable applications within the assessment area increased by 88.9 percent</w:t>
      </w:r>
      <w:r>
        <w:rPr>
          <w:rFonts w:eastAsia="Calibri"/>
        </w:rPr>
        <w:t>.</w:t>
      </w:r>
      <w:r w:rsidR="007613E5" w:rsidRPr="00A8470C">
        <w:rPr>
          <w:rFonts w:eastAsia="Calibri"/>
        </w:rPr>
        <w:t xml:space="preserve">  In 2019, the bank received 69 or 15.3 percent of total applications from racial minorities</w:t>
      </w:r>
      <w:r>
        <w:rPr>
          <w:rFonts w:eastAsia="Calibri"/>
        </w:rPr>
        <w:t xml:space="preserve"> and originated</w:t>
      </w:r>
      <w:r w:rsidR="007613E5" w:rsidRPr="00A8470C">
        <w:rPr>
          <w:rFonts w:eastAsia="Calibri"/>
        </w:rPr>
        <w:t xml:space="preserve"> 78.3 percent</w:t>
      </w:r>
      <w:r>
        <w:rPr>
          <w:rFonts w:eastAsia="Calibri"/>
        </w:rPr>
        <w:t>.</w:t>
      </w:r>
      <w:r w:rsidR="007613E5" w:rsidRPr="00A8470C">
        <w:rPr>
          <w:rFonts w:eastAsia="Calibri"/>
        </w:rPr>
        <w:t xml:space="preserve">  It received four or 0.9 percent of applications from Hispanic applicants</w:t>
      </w:r>
      <w:r>
        <w:rPr>
          <w:rFonts w:eastAsia="Calibri"/>
        </w:rPr>
        <w:t xml:space="preserve"> and originated</w:t>
      </w:r>
      <w:r w:rsidR="007613E5" w:rsidRPr="00A8470C">
        <w:rPr>
          <w:rFonts w:eastAsia="Calibri"/>
        </w:rPr>
        <w:t xml:space="preserve"> 56.3 percent</w:t>
      </w:r>
      <w:r>
        <w:rPr>
          <w:rFonts w:eastAsia="Calibri"/>
        </w:rPr>
        <w:t>.</w:t>
      </w:r>
      <w:r w:rsidR="007613E5" w:rsidRPr="00A8470C">
        <w:rPr>
          <w:rFonts w:eastAsia="Calibri"/>
        </w:rPr>
        <w:t xml:space="preserve"> </w:t>
      </w:r>
    </w:p>
    <w:p w14:paraId="4F6EE419" w14:textId="77777777" w:rsidR="00B00A8A" w:rsidRDefault="00B00A8A" w:rsidP="00E20968">
      <w:pPr>
        <w:autoSpaceDE w:val="0"/>
        <w:autoSpaceDN w:val="0"/>
        <w:adjustRightInd w:val="0"/>
        <w:contextualSpacing/>
        <w:jc w:val="both"/>
        <w:rPr>
          <w:rFonts w:eastAsia="Calibri"/>
        </w:rPr>
      </w:pPr>
    </w:p>
    <w:p w14:paraId="359F6F7F" w14:textId="36CB28CA" w:rsidR="007613E5" w:rsidRPr="00A8470C" w:rsidRDefault="007613E5" w:rsidP="00E20968">
      <w:r w:rsidRPr="00A8470C">
        <w:t>Refer to the following table</w:t>
      </w:r>
      <w:r w:rsidR="002D5204">
        <w:t xml:space="preserve"> </w:t>
      </w:r>
      <w:r w:rsidR="00E20968">
        <w:t xml:space="preserve">for specifics: </w:t>
      </w:r>
    </w:p>
    <w:p w14:paraId="3263B265" w14:textId="77777777" w:rsidR="00B00A8A" w:rsidRPr="00A8470C" w:rsidRDefault="00B00A8A" w:rsidP="007613E5"/>
    <w:tbl>
      <w:tblPr>
        <w:tblW w:w="753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015"/>
        <w:gridCol w:w="753"/>
        <w:gridCol w:w="979"/>
        <w:gridCol w:w="1168"/>
        <w:gridCol w:w="720"/>
        <w:gridCol w:w="900"/>
      </w:tblGrid>
      <w:tr w:rsidR="007613E5" w:rsidRPr="00A8470C" w14:paraId="3A867985" w14:textId="77777777" w:rsidTr="007613E5">
        <w:trPr>
          <w:cantSplit/>
          <w:jc w:val="center"/>
        </w:trPr>
        <w:tc>
          <w:tcPr>
            <w:tcW w:w="3015" w:type="dxa"/>
            <w:vMerge w:val="restart"/>
            <w:tcBorders>
              <w:top w:val="single" w:sz="6" w:space="0" w:color="auto"/>
              <w:left w:val="single" w:sz="18" w:space="0" w:color="auto"/>
              <w:bottom w:val="single" w:sz="6" w:space="0" w:color="auto"/>
              <w:right w:val="single" w:sz="6" w:space="0" w:color="auto"/>
            </w:tcBorders>
          </w:tcPr>
          <w:p w14:paraId="54F26CB8" w14:textId="77777777" w:rsidR="007613E5" w:rsidRPr="00A8470C" w:rsidRDefault="007613E5" w:rsidP="007613E5">
            <w:pPr>
              <w:keepNext/>
              <w:tabs>
                <w:tab w:val="left" w:pos="480"/>
                <w:tab w:val="left" w:pos="960"/>
                <w:tab w:val="left" w:pos="6840"/>
              </w:tabs>
              <w:spacing w:line="256" w:lineRule="auto"/>
              <w:jc w:val="both"/>
              <w:outlineLvl w:val="0"/>
              <w:rPr>
                <w:spacing w:val="-3"/>
                <w:sz w:val="20"/>
                <w:szCs w:val="20"/>
              </w:rPr>
            </w:pPr>
          </w:p>
          <w:p w14:paraId="7341BB56" w14:textId="77777777" w:rsidR="007613E5" w:rsidRPr="00A8470C" w:rsidRDefault="007613E5" w:rsidP="007613E5">
            <w:pPr>
              <w:spacing w:line="256" w:lineRule="auto"/>
              <w:jc w:val="center"/>
              <w:rPr>
                <w:b/>
                <w:spacing w:val="-3"/>
                <w:sz w:val="20"/>
                <w:szCs w:val="20"/>
              </w:rPr>
            </w:pPr>
            <w:r w:rsidRPr="00A8470C">
              <w:rPr>
                <w:b/>
                <w:spacing w:val="-3"/>
                <w:sz w:val="20"/>
                <w:szCs w:val="20"/>
              </w:rPr>
              <w:t>RACE</w:t>
            </w:r>
          </w:p>
        </w:tc>
        <w:tc>
          <w:tcPr>
            <w:tcW w:w="1732" w:type="dxa"/>
            <w:gridSpan w:val="2"/>
            <w:tcBorders>
              <w:top w:val="single" w:sz="6" w:space="0" w:color="auto"/>
              <w:left w:val="single" w:sz="6" w:space="0" w:color="auto"/>
              <w:bottom w:val="single" w:sz="6" w:space="0" w:color="auto"/>
              <w:right w:val="single" w:sz="6" w:space="0" w:color="auto"/>
            </w:tcBorders>
          </w:tcPr>
          <w:p w14:paraId="3BBCD30B" w14:textId="77777777" w:rsidR="007613E5" w:rsidRPr="00A8470C" w:rsidRDefault="007613E5" w:rsidP="007613E5">
            <w:pPr>
              <w:spacing w:line="256" w:lineRule="auto"/>
              <w:jc w:val="center"/>
              <w:rPr>
                <w:b/>
                <w:sz w:val="20"/>
                <w:szCs w:val="20"/>
              </w:rPr>
            </w:pPr>
          </w:p>
          <w:p w14:paraId="55F93020" w14:textId="77777777" w:rsidR="007613E5" w:rsidRPr="00A8470C" w:rsidRDefault="007613E5" w:rsidP="007613E5">
            <w:pPr>
              <w:spacing w:line="256" w:lineRule="auto"/>
              <w:jc w:val="center"/>
              <w:rPr>
                <w:b/>
                <w:sz w:val="20"/>
                <w:szCs w:val="20"/>
              </w:rPr>
            </w:pPr>
            <w:r w:rsidRPr="00A8470C">
              <w:rPr>
                <w:b/>
                <w:sz w:val="20"/>
                <w:szCs w:val="20"/>
              </w:rPr>
              <w:t>Bank 2018</w:t>
            </w:r>
          </w:p>
        </w:tc>
        <w:tc>
          <w:tcPr>
            <w:tcW w:w="1168" w:type="dxa"/>
            <w:tcBorders>
              <w:top w:val="single" w:sz="6" w:space="0" w:color="auto"/>
              <w:left w:val="single" w:sz="6" w:space="0" w:color="auto"/>
              <w:bottom w:val="single" w:sz="6" w:space="0" w:color="auto"/>
              <w:right w:val="single" w:sz="6" w:space="0" w:color="auto"/>
            </w:tcBorders>
            <w:shd w:val="clear" w:color="auto" w:fill="D9D9D9"/>
            <w:hideMark/>
          </w:tcPr>
          <w:p w14:paraId="53B82160" w14:textId="77777777" w:rsidR="007613E5" w:rsidRPr="00A8470C" w:rsidRDefault="007613E5" w:rsidP="007613E5">
            <w:pPr>
              <w:spacing w:line="256" w:lineRule="auto"/>
              <w:jc w:val="center"/>
              <w:rPr>
                <w:b/>
                <w:spacing w:val="-3"/>
                <w:sz w:val="20"/>
                <w:szCs w:val="20"/>
              </w:rPr>
            </w:pPr>
            <w:r w:rsidRPr="00A8470C">
              <w:rPr>
                <w:b/>
                <w:spacing w:val="-3"/>
                <w:sz w:val="20"/>
                <w:szCs w:val="20"/>
              </w:rPr>
              <w:t>2018</w:t>
            </w:r>
          </w:p>
          <w:p w14:paraId="59E55357" w14:textId="77777777" w:rsidR="007613E5" w:rsidRPr="00A8470C" w:rsidRDefault="007613E5" w:rsidP="007613E5">
            <w:pPr>
              <w:spacing w:line="256" w:lineRule="auto"/>
              <w:jc w:val="center"/>
              <w:rPr>
                <w:b/>
                <w:spacing w:val="-3"/>
                <w:sz w:val="20"/>
                <w:szCs w:val="20"/>
              </w:rPr>
            </w:pPr>
            <w:r w:rsidRPr="00A8470C">
              <w:rPr>
                <w:b/>
                <w:spacing w:val="-3"/>
                <w:sz w:val="20"/>
                <w:szCs w:val="20"/>
              </w:rPr>
              <w:t>Aggregate Data</w:t>
            </w:r>
          </w:p>
        </w:tc>
        <w:tc>
          <w:tcPr>
            <w:tcW w:w="1620" w:type="dxa"/>
            <w:gridSpan w:val="2"/>
            <w:tcBorders>
              <w:top w:val="single" w:sz="6" w:space="0" w:color="auto"/>
              <w:left w:val="single" w:sz="6" w:space="0" w:color="auto"/>
              <w:bottom w:val="single" w:sz="6" w:space="0" w:color="auto"/>
              <w:right w:val="single" w:sz="4" w:space="0" w:color="auto"/>
            </w:tcBorders>
          </w:tcPr>
          <w:p w14:paraId="4DBB06EC" w14:textId="77777777" w:rsidR="007613E5" w:rsidRPr="00A8470C" w:rsidRDefault="007613E5" w:rsidP="007613E5">
            <w:pPr>
              <w:spacing w:line="256" w:lineRule="auto"/>
              <w:jc w:val="center"/>
              <w:rPr>
                <w:b/>
                <w:spacing w:val="-3"/>
                <w:sz w:val="20"/>
                <w:szCs w:val="20"/>
              </w:rPr>
            </w:pPr>
          </w:p>
          <w:p w14:paraId="1B056F2B" w14:textId="77777777" w:rsidR="007613E5" w:rsidRPr="00A8470C" w:rsidRDefault="007613E5" w:rsidP="007613E5">
            <w:pPr>
              <w:spacing w:line="256" w:lineRule="auto"/>
              <w:jc w:val="center"/>
              <w:rPr>
                <w:b/>
                <w:spacing w:val="-3"/>
                <w:sz w:val="20"/>
                <w:szCs w:val="20"/>
              </w:rPr>
            </w:pPr>
            <w:r w:rsidRPr="00A8470C">
              <w:rPr>
                <w:b/>
                <w:spacing w:val="-3"/>
                <w:sz w:val="20"/>
                <w:szCs w:val="20"/>
              </w:rPr>
              <w:t>Bank 2019</w:t>
            </w:r>
          </w:p>
        </w:tc>
      </w:tr>
      <w:tr w:rsidR="007613E5" w:rsidRPr="00A8470C" w14:paraId="223E67C7" w14:textId="77777777" w:rsidTr="007613E5">
        <w:trPr>
          <w:cantSplit/>
          <w:jc w:val="center"/>
        </w:trPr>
        <w:tc>
          <w:tcPr>
            <w:tcW w:w="3015" w:type="dxa"/>
            <w:vMerge/>
            <w:tcBorders>
              <w:top w:val="single" w:sz="6" w:space="0" w:color="auto"/>
              <w:left w:val="single" w:sz="18" w:space="0" w:color="auto"/>
              <w:bottom w:val="single" w:sz="6" w:space="0" w:color="auto"/>
              <w:right w:val="single" w:sz="6" w:space="0" w:color="auto"/>
            </w:tcBorders>
            <w:vAlign w:val="center"/>
            <w:hideMark/>
          </w:tcPr>
          <w:p w14:paraId="53F0C64C" w14:textId="77777777" w:rsidR="007613E5" w:rsidRPr="00A8470C" w:rsidRDefault="007613E5" w:rsidP="007613E5">
            <w:pPr>
              <w:spacing w:line="256" w:lineRule="auto"/>
              <w:rPr>
                <w:b/>
                <w:spacing w:val="-3"/>
                <w:sz w:val="20"/>
                <w:szCs w:val="20"/>
              </w:rPr>
            </w:pPr>
          </w:p>
        </w:tc>
        <w:tc>
          <w:tcPr>
            <w:tcW w:w="753" w:type="dxa"/>
            <w:tcBorders>
              <w:top w:val="single" w:sz="6" w:space="0" w:color="auto"/>
              <w:left w:val="single" w:sz="6" w:space="0" w:color="auto"/>
              <w:bottom w:val="single" w:sz="6" w:space="0" w:color="auto"/>
              <w:right w:val="single" w:sz="6" w:space="0" w:color="auto"/>
            </w:tcBorders>
            <w:hideMark/>
          </w:tcPr>
          <w:p w14:paraId="56F4296D" w14:textId="77777777" w:rsidR="007613E5" w:rsidRPr="00A8470C" w:rsidRDefault="007613E5" w:rsidP="007613E5">
            <w:pPr>
              <w:spacing w:line="256" w:lineRule="auto"/>
              <w:jc w:val="center"/>
              <w:rPr>
                <w:spacing w:val="-3"/>
                <w:sz w:val="20"/>
                <w:szCs w:val="20"/>
              </w:rPr>
            </w:pPr>
            <w:r w:rsidRPr="00A8470C">
              <w:rPr>
                <w:spacing w:val="-3"/>
                <w:sz w:val="20"/>
                <w:szCs w:val="20"/>
              </w:rPr>
              <w:t>#</w:t>
            </w:r>
          </w:p>
        </w:tc>
        <w:tc>
          <w:tcPr>
            <w:tcW w:w="979" w:type="dxa"/>
            <w:tcBorders>
              <w:top w:val="single" w:sz="6" w:space="0" w:color="auto"/>
              <w:left w:val="single" w:sz="6" w:space="0" w:color="auto"/>
              <w:bottom w:val="single" w:sz="6" w:space="0" w:color="auto"/>
              <w:right w:val="single" w:sz="6" w:space="0" w:color="auto"/>
            </w:tcBorders>
            <w:hideMark/>
          </w:tcPr>
          <w:p w14:paraId="6FE60FF0" w14:textId="77777777" w:rsidR="007613E5" w:rsidRPr="00A8470C" w:rsidRDefault="007613E5" w:rsidP="007613E5">
            <w:pPr>
              <w:spacing w:line="256" w:lineRule="auto"/>
              <w:jc w:val="center"/>
              <w:rPr>
                <w:spacing w:val="-3"/>
                <w:sz w:val="20"/>
                <w:szCs w:val="20"/>
              </w:rPr>
            </w:pPr>
            <w:r w:rsidRPr="00A8470C">
              <w:rPr>
                <w:spacing w:val="-3"/>
                <w:sz w:val="20"/>
                <w:szCs w:val="20"/>
              </w:rPr>
              <w:t>%</w:t>
            </w:r>
          </w:p>
        </w:tc>
        <w:tc>
          <w:tcPr>
            <w:tcW w:w="1168" w:type="dxa"/>
            <w:tcBorders>
              <w:top w:val="single" w:sz="6" w:space="0" w:color="auto"/>
              <w:left w:val="single" w:sz="6" w:space="0" w:color="auto"/>
              <w:bottom w:val="single" w:sz="6" w:space="0" w:color="auto"/>
              <w:right w:val="single" w:sz="6" w:space="0" w:color="auto"/>
            </w:tcBorders>
            <w:shd w:val="clear" w:color="auto" w:fill="D9D9D9"/>
            <w:hideMark/>
          </w:tcPr>
          <w:p w14:paraId="67FE661E" w14:textId="77777777" w:rsidR="007613E5" w:rsidRPr="00A8470C" w:rsidRDefault="007613E5" w:rsidP="007613E5">
            <w:pPr>
              <w:spacing w:line="256" w:lineRule="auto"/>
              <w:jc w:val="center"/>
              <w:rPr>
                <w:spacing w:val="-3"/>
                <w:sz w:val="20"/>
                <w:szCs w:val="20"/>
              </w:rPr>
            </w:pPr>
            <w:r w:rsidRPr="00A8470C">
              <w:rPr>
                <w:spacing w:val="-3"/>
                <w:sz w:val="20"/>
                <w:szCs w:val="20"/>
              </w:rPr>
              <w:t>%</w:t>
            </w:r>
          </w:p>
        </w:tc>
        <w:tc>
          <w:tcPr>
            <w:tcW w:w="720" w:type="dxa"/>
            <w:tcBorders>
              <w:top w:val="single" w:sz="6" w:space="0" w:color="auto"/>
              <w:left w:val="single" w:sz="6" w:space="0" w:color="auto"/>
              <w:bottom w:val="single" w:sz="6" w:space="0" w:color="auto"/>
              <w:right w:val="single" w:sz="6" w:space="0" w:color="auto"/>
            </w:tcBorders>
            <w:hideMark/>
          </w:tcPr>
          <w:p w14:paraId="25A07786" w14:textId="77777777" w:rsidR="007613E5" w:rsidRPr="00A8470C" w:rsidRDefault="007613E5" w:rsidP="007613E5">
            <w:pPr>
              <w:spacing w:line="256" w:lineRule="auto"/>
              <w:jc w:val="center"/>
              <w:rPr>
                <w:spacing w:val="-3"/>
                <w:sz w:val="20"/>
                <w:szCs w:val="20"/>
              </w:rPr>
            </w:pPr>
            <w:r w:rsidRPr="00A8470C">
              <w:rPr>
                <w:spacing w:val="-3"/>
                <w:sz w:val="20"/>
                <w:szCs w:val="20"/>
              </w:rPr>
              <w:t>#</w:t>
            </w:r>
          </w:p>
        </w:tc>
        <w:tc>
          <w:tcPr>
            <w:tcW w:w="900" w:type="dxa"/>
            <w:tcBorders>
              <w:top w:val="single" w:sz="6" w:space="0" w:color="auto"/>
              <w:left w:val="single" w:sz="6" w:space="0" w:color="auto"/>
              <w:bottom w:val="single" w:sz="6" w:space="0" w:color="auto"/>
              <w:right w:val="single" w:sz="4" w:space="0" w:color="auto"/>
            </w:tcBorders>
            <w:hideMark/>
          </w:tcPr>
          <w:p w14:paraId="1816155E" w14:textId="77777777" w:rsidR="007613E5" w:rsidRPr="00A8470C" w:rsidRDefault="007613E5" w:rsidP="007613E5">
            <w:pPr>
              <w:spacing w:line="256" w:lineRule="auto"/>
              <w:jc w:val="center"/>
              <w:rPr>
                <w:spacing w:val="-3"/>
                <w:sz w:val="20"/>
                <w:szCs w:val="20"/>
              </w:rPr>
            </w:pPr>
            <w:r w:rsidRPr="00A8470C">
              <w:rPr>
                <w:spacing w:val="-3"/>
                <w:sz w:val="20"/>
                <w:szCs w:val="20"/>
              </w:rPr>
              <w:t>%</w:t>
            </w:r>
          </w:p>
        </w:tc>
      </w:tr>
      <w:tr w:rsidR="007613E5" w:rsidRPr="00A8470C" w14:paraId="37A2A174" w14:textId="77777777" w:rsidTr="007613E5">
        <w:trPr>
          <w:jc w:val="center"/>
        </w:trPr>
        <w:tc>
          <w:tcPr>
            <w:tcW w:w="3015" w:type="dxa"/>
            <w:tcBorders>
              <w:top w:val="single" w:sz="6" w:space="0" w:color="auto"/>
              <w:left w:val="single" w:sz="18" w:space="0" w:color="auto"/>
              <w:bottom w:val="single" w:sz="6" w:space="0" w:color="auto"/>
              <w:right w:val="single" w:sz="6" w:space="0" w:color="auto"/>
            </w:tcBorders>
            <w:hideMark/>
          </w:tcPr>
          <w:p w14:paraId="4F2012B6" w14:textId="77777777" w:rsidR="007613E5" w:rsidRPr="00A8470C" w:rsidRDefault="007613E5" w:rsidP="007613E5">
            <w:pPr>
              <w:spacing w:line="256" w:lineRule="auto"/>
              <w:rPr>
                <w:spacing w:val="-3"/>
                <w:sz w:val="20"/>
                <w:szCs w:val="20"/>
              </w:rPr>
            </w:pPr>
            <w:r w:rsidRPr="00A8470C">
              <w:rPr>
                <w:spacing w:val="-3"/>
                <w:sz w:val="20"/>
                <w:szCs w:val="20"/>
              </w:rPr>
              <w:t>American Indian/ Alaska Native</w:t>
            </w:r>
          </w:p>
        </w:tc>
        <w:tc>
          <w:tcPr>
            <w:tcW w:w="753" w:type="dxa"/>
            <w:tcBorders>
              <w:top w:val="single" w:sz="6" w:space="0" w:color="auto"/>
              <w:left w:val="single" w:sz="6" w:space="0" w:color="auto"/>
              <w:bottom w:val="single" w:sz="6" w:space="0" w:color="auto"/>
              <w:right w:val="single" w:sz="6" w:space="0" w:color="auto"/>
            </w:tcBorders>
          </w:tcPr>
          <w:p w14:paraId="1C7AACA8" w14:textId="77777777" w:rsidR="007613E5" w:rsidRPr="00A8470C" w:rsidRDefault="007613E5" w:rsidP="007613E5">
            <w:pPr>
              <w:spacing w:line="256" w:lineRule="auto"/>
              <w:jc w:val="center"/>
              <w:rPr>
                <w:spacing w:val="-3"/>
                <w:sz w:val="20"/>
                <w:szCs w:val="20"/>
              </w:rPr>
            </w:pPr>
            <w:r w:rsidRPr="00A8470C">
              <w:rPr>
                <w:spacing w:val="-3"/>
                <w:sz w:val="20"/>
                <w:szCs w:val="20"/>
              </w:rPr>
              <w:t>0</w:t>
            </w:r>
          </w:p>
        </w:tc>
        <w:tc>
          <w:tcPr>
            <w:tcW w:w="979" w:type="dxa"/>
            <w:tcBorders>
              <w:top w:val="single" w:sz="6" w:space="0" w:color="auto"/>
              <w:left w:val="single" w:sz="6" w:space="0" w:color="auto"/>
              <w:bottom w:val="single" w:sz="6" w:space="0" w:color="auto"/>
              <w:right w:val="single" w:sz="6" w:space="0" w:color="auto"/>
            </w:tcBorders>
          </w:tcPr>
          <w:p w14:paraId="293E6906" w14:textId="77777777" w:rsidR="007613E5" w:rsidRPr="00A8470C" w:rsidRDefault="007613E5" w:rsidP="007613E5">
            <w:pPr>
              <w:spacing w:line="256" w:lineRule="auto"/>
              <w:jc w:val="center"/>
              <w:rPr>
                <w:spacing w:val="-3"/>
                <w:sz w:val="20"/>
                <w:szCs w:val="20"/>
              </w:rPr>
            </w:pPr>
            <w:r w:rsidRPr="00A8470C">
              <w:rPr>
                <w:spacing w:val="-3"/>
                <w:sz w:val="20"/>
                <w:szCs w:val="20"/>
              </w:rPr>
              <w:t>0.0</w:t>
            </w:r>
          </w:p>
        </w:tc>
        <w:tc>
          <w:tcPr>
            <w:tcW w:w="1168" w:type="dxa"/>
            <w:tcBorders>
              <w:top w:val="single" w:sz="6" w:space="0" w:color="auto"/>
              <w:left w:val="single" w:sz="6" w:space="0" w:color="auto"/>
              <w:bottom w:val="single" w:sz="6" w:space="0" w:color="auto"/>
              <w:right w:val="single" w:sz="6" w:space="0" w:color="auto"/>
            </w:tcBorders>
            <w:shd w:val="clear" w:color="auto" w:fill="D9D9D9"/>
          </w:tcPr>
          <w:p w14:paraId="5A4FC34D" w14:textId="77777777" w:rsidR="007613E5" w:rsidRPr="00A8470C" w:rsidRDefault="007613E5" w:rsidP="007613E5">
            <w:pPr>
              <w:spacing w:line="256" w:lineRule="auto"/>
              <w:jc w:val="center"/>
              <w:rPr>
                <w:spacing w:val="-3"/>
                <w:sz w:val="20"/>
                <w:szCs w:val="20"/>
              </w:rPr>
            </w:pPr>
            <w:r w:rsidRPr="00A8470C">
              <w:rPr>
                <w:spacing w:val="-3"/>
                <w:sz w:val="20"/>
                <w:szCs w:val="20"/>
              </w:rPr>
              <w:t>0.3</w:t>
            </w:r>
          </w:p>
        </w:tc>
        <w:tc>
          <w:tcPr>
            <w:tcW w:w="720" w:type="dxa"/>
            <w:tcBorders>
              <w:top w:val="single" w:sz="6" w:space="0" w:color="auto"/>
              <w:left w:val="single" w:sz="6" w:space="0" w:color="auto"/>
              <w:bottom w:val="single" w:sz="6" w:space="0" w:color="auto"/>
              <w:right w:val="single" w:sz="6" w:space="0" w:color="auto"/>
            </w:tcBorders>
          </w:tcPr>
          <w:p w14:paraId="41043CAF" w14:textId="77777777" w:rsidR="007613E5" w:rsidRPr="00A8470C" w:rsidRDefault="007613E5" w:rsidP="007613E5">
            <w:pPr>
              <w:spacing w:line="256" w:lineRule="auto"/>
              <w:jc w:val="center"/>
              <w:rPr>
                <w:spacing w:val="-3"/>
                <w:sz w:val="20"/>
                <w:szCs w:val="20"/>
              </w:rPr>
            </w:pPr>
            <w:r w:rsidRPr="00A8470C">
              <w:rPr>
                <w:spacing w:val="-3"/>
                <w:sz w:val="20"/>
                <w:szCs w:val="20"/>
              </w:rPr>
              <w:t>0</w:t>
            </w:r>
          </w:p>
        </w:tc>
        <w:tc>
          <w:tcPr>
            <w:tcW w:w="900" w:type="dxa"/>
            <w:tcBorders>
              <w:top w:val="single" w:sz="6" w:space="0" w:color="auto"/>
              <w:left w:val="single" w:sz="6" w:space="0" w:color="auto"/>
              <w:bottom w:val="single" w:sz="6" w:space="0" w:color="auto"/>
              <w:right w:val="single" w:sz="4" w:space="0" w:color="auto"/>
            </w:tcBorders>
          </w:tcPr>
          <w:p w14:paraId="5A98EC00" w14:textId="77777777" w:rsidR="007613E5" w:rsidRPr="00A8470C" w:rsidRDefault="007613E5" w:rsidP="007613E5">
            <w:pPr>
              <w:spacing w:line="256" w:lineRule="auto"/>
              <w:jc w:val="center"/>
              <w:rPr>
                <w:spacing w:val="-3"/>
                <w:sz w:val="20"/>
                <w:szCs w:val="20"/>
              </w:rPr>
            </w:pPr>
            <w:r w:rsidRPr="00A8470C">
              <w:rPr>
                <w:spacing w:val="-3"/>
                <w:sz w:val="20"/>
                <w:szCs w:val="20"/>
              </w:rPr>
              <w:t>0.0</w:t>
            </w:r>
          </w:p>
        </w:tc>
      </w:tr>
      <w:tr w:rsidR="007613E5" w:rsidRPr="00A8470C" w14:paraId="6381841F" w14:textId="77777777" w:rsidTr="007613E5">
        <w:trPr>
          <w:jc w:val="center"/>
        </w:trPr>
        <w:tc>
          <w:tcPr>
            <w:tcW w:w="3015" w:type="dxa"/>
            <w:tcBorders>
              <w:top w:val="single" w:sz="6" w:space="0" w:color="auto"/>
              <w:left w:val="single" w:sz="18" w:space="0" w:color="auto"/>
              <w:bottom w:val="single" w:sz="6" w:space="0" w:color="auto"/>
              <w:right w:val="single" w:sz="6" w:space="0" w:color="auto"/>
            </w:tcBorders>
            <w:hideMark/>
          </w:tcPr>
          <w:p w14:paraId="7518B6BB" w14:textId="77777777" w:rsidR="007613E5" w:rsidRPr="00A8470C" w:rsidRDefault="007613E5" w:rsidP="007613E5">
            <w:pPr>
              <w:spacing w:line="256" w:lineRule="auto"/>
              <w:rPr>
                <w:spacing w:val="-3"/>
                <w:sz w:val="20"/>
                <w:szCs w:val="20"/>
              </w:rPr>
            </w:pPr>
            <w:r w:rsidRPr="00A8470C">
              <w:rPr>
                <w:spacing w:val="-3"/>
                <w:sz w:val="20"/>
                <w:szCs w:val="20"/>
              </w:rPr>
              <w:t>Asian</w:t>
            </w:r>
          </w:p>
        </w:tc>
        <w:tc>
          <w:tcPr>
            <w:tcW w:w="753" w:type="dxa"/>
            <w:tcBorders>
              <w:top w:val="single" w:sz="6" w:space="0" w:color="auto"/>
              <w:left w:val="single" w:sz="6" w:space="0" w:color="auto"/>
              <w:bottom w:val="single" w:sz="6" w:space="0" w:color="auto"/>
              <w:right w:val="single" w:sz="6" w:space="0" w:color="auto"/>
            </w:tcBorders>
          </w:tcPr>
          <w:p w14:paraId="50270ABC" w14:textId="77777777" w:rsidR="007613E5" w:rsidRPr="00A8470C" w:rsidRDefault="007613E5" w:rsidP="007613E5">
            <w:pPr>
              <w:spacing w:line="256" w:lineRule="auto"/>
              <w:jc w:val="center"/>
              <w:rPr>
                <w:spacing w:val="-3"/>
                <w:sz w:val="20"/>
                <w:szCs w:val="20"/>
              </w:rPr>
            </w:pPr>
            <w:r w:rsidRPr="00A8470C">
              <w:rPr>
                <w:spacing w:val="-3"/>
                <w:sz w:val="20"/>
                <w:szCs w:val="20"/>
              </w:rPr>
              <w:t>39</w:t>
            </w:r>
          </w:p>
        </w:tc>
        <w:tc>
          <w:tcPr>
            <w:tcW w:w="979" w:type="dxa"/>
            <w:tcBorders>
              <w:top w:val="single" w:sz="6" w:space="0" w:color="auto"/>
              <w:left w:val="single" w:sz="6" w:space="0" w:color="auto"/>
              <w:bottom w:val="single" w:sz="6" w:space="0" w:color="auto"/>
              <w:right w:val="single" w:sz="6" w:space="0" w:color="auto"/>
            </w:tcBorders>
          </w:tcPr>
          <w:p w14:paraId="04D3B03B" w14:textId="77777777" w:rsidR="007613E5" w:rsidRPr="00A8470C" w:rsidRDefault="007613E5" w:rsidP="007613E5">
            <w:pPr>
              <w:spacing w:line="256" w:lineRule="auto"/>
              <w:jc w:val="center"/>
              <w:rPr>
                <w:spacing w:val="-3"/>
                <w:sz w:val="20"/>
                <w:szCs w:val="20"/>
              </w:rPr>
            </w:pPr>
            <w:r w:rsidRPr="00A8470C">
              <w:rPr>
                <w:spacing w:val="-3"/>
                <w:sz w:val="20"/>
                <w:szCs w:val="20"/>
              </w:rPr>
              <w:t>16.5</w:t>
            </w:r>
          </w:p>
        </w:tc>
        <w:tc>
          <w:tcPr>
            <w:tcW w:w="1168" w:type="dxa"/>
            <w:tcBorders>
              <w:top w:val="single" w:sz="6" w:space="0" w:color="auto"/>
              <w:left w:val="single" w:sz="6" w:space="0" w:color="auto"/>
              <w:bottom w:val="single" w:sz="6" w:space="0" w:color="auto"/>
              <w:right w:val="single" w:sz="6" w:space="0" w:color="auto"/>
            </w:tcBorders>
            <w:shd w:val="clear" w:color="auto" w:fill="D9D9D9"/>
          </w:tcPr>
          <w:p w14:paraId="481C8A6B" w14:textId="77777777" w:rsidR="007613E5" w:rsidRPr="00A8470C" w:rsidRDefault="007613E5" w:rsidP="007613E5">
            <w:pPr>
              <w:spacing w:line="256" w:lineRule="auto"/>
              <w:jc w:val="center"/>
              <w:rPr>
                <w:spacing w:val="-3"/>
                <w:sz w:val="20"/>
                <w:szCs w:val="20"/>
              </w:rPr>
            </w:pPr>
            <w:r w:rsidRPr="00A8470C">
              <w:rPr>
                <w:spacing w:val="-3"/>
                <w:sz w:val="20"/>
                <w:szCs w:val="20"/>
              </w:rPr>
              <w:t>11.5</w:t>
            </w:r>
          </w:p>
        </w:tc>
        <w:tc>
          <w:tcPr>
            <w:tcW w:w="720" w:type="dxa"/>
            <w:tcBorders>
              <w:top w:val="single" w:sz="6" w:space="0" w:color="auto"/>
              <w:left w:val="single" w:sz="6" w:space="0" w:color="auto"/>
              <w:bottom w:val="single" w:sz="6" w:space="0" w:color="auto"/>
              <w:right w:val="single" w:sz="6" w:space="0" w:color="auto"/>
            </w:tcBorders>
          </w:tcPr>
          <w:p w14:paraId="09F7138D" w14:textId="77777777" w:rsidR="007613E5" w:rsidRPr="00A8470C" w:rsidRDefault="007613E5" w:rsidP="007613E5">
            <w:pPr>
              <w:spacing w:line="256" w:lineRule="auto"/>
              <w:jc w:val="center"/>
              <w:rPr>
                <w:spacing w:val="-3"/>
                <w:sz w:val="20"/>
                <w:szCs w:val="20"/>
              </w:rPr>
            </w:pPr>
            <w:r w:rsidRPr="00A8470C">
              <w:rPr>
                <w:spacing w:val="-3"/>
                <w:sz w:val="20"/>
                <w:szCs w:val="20"/>
              </w:rPr>
              <w:t>55</w:t>
            </w:r>
          </w:p>
        </w:tc>
        <w:tc>
          <w:tcPr>
            <w:tcW w:w="900" w:type="dxa"/>
            <w:tcBorders>
              <w:top w:val="single" w:sz="6" w:space="0" w:color="auto"/>
              <w:left w:val="single" w:sz="6" w:space="0" w:color="auto"/>
              <w:bottom w:val="single" w:sz="6" w:space="0" w:color="auto"/>
              <w:right w:val="single" w:sz="4" w:space="0" w:color="auto"/>
            </w:tcBorders>
          </w:tcPr>
          <w:p w14:paraId="66B5B22E" w14:textId="77777777" w:rsidR="007613E5" w:rsidRPr="00A8470C" w:rsidRDefault="007613E5" w:rsidP="007613E5">
            <w:pPr>
              <w:spacing w:line="256" w:lineRule="auto"/>
              <w:jc w:val="center"/>
              <w:rPr>
                <w:spacing w:val="-3"/>
                <w:sz w:val="20"/>
                <w:szCs w:val="20"/>
              </w:rPr>
            </w:pPr>
            <w:r w:rsidRPr="00A8470C">
              <w:rPr>
                <w:spacing w:val="-3"/>
                <w:sz w:val="20"/>
                <w:szCs w:val="20"/>
              </w:rPr>
              <w:t>12.2</w:t>
            </w:r>
          </w:p>
        </w:tc>
      </w:tr>
      <w:tr w:rsidR="007613E5" w:rsidRPr="00A8470C" w14:paraId="3B7AAF0B" w14:textId="77777777" w:rsidTr="007613E5">
        <w:trPr>
          <w:jc w:val="center"/>
        </w:trPr>
        <w:tc>
          <w:tcPr>
            <w:tcW w:w="3015" w:type="dxa"/>
            <w:tcBorders>
              <w:top w:val="single" w:sz="6" w:space="0" w:color="auto"/>
              <w:left w:val="single" w:sz="18" w:space="0" w:color="auto"/>
              <w:bottom w:val="single" w:sz="6" w:space="0" w:color="auto"/>
              <w:right w:val="single" w:sz="6" w:space="0" w:color="auto"/>
            </w:tcBorders>
            <w:hideMark/>
          </w:tcPr>
          <w:p w14:paraId="7AB68B4D" w14:textId="77777777" w:rsidR="007613E5" w:rsidRPr="00A8470C" w:rsidRDefault="007613E5" w:rsidP="007613E5">
            <w:pPr>
              <w:spacing w:line="256" w:lineRule="auto"/>
              <w:rPr>
                <w:spacing w:val="-3"/>
                <w:sz w:val="20"/>
                <w:szCs w:val="20"/>
              </w:rPr>
            </w:pPr>
            <w:r w:rsidRPr="00A8470C">
              <w:rPr>
                <w:spacing w:val="-3"/>
                <w:sz w:val="20"/>
                <w:szCs w:val="20"/>
              </w:rPr>
              <w:t>Black/ African American</w:t>
            </w:r>
          </w:p>
        </w:tc>
        <w:tc>
          <w:tcPr>
            <w:tcW w:w="753" w:type="dxa"/>
            <w:tcBorders>
              <w:top w:val="single" w:sz="6" w:space="0" w:color="auto"/>
              <w:left w:val="single" w:sz="6" w:space="0" w:color="auto"/>
              <w:bottom w:val="single" w:sz="6" w:space="0" w:color="auto"/>
              <w:right w:val="single" w:sz="6" w:space="0" w:color="auto"/>
            </w:tcBorders>
          </w:tcPr>
          <w:p w14:paraId="480AF458" w14:textId="77777777" w:rsidR="007613E5" w:rsidRPr="00A8470C" w:rsidRDefault="007613E5" w:rsidP="007613E5">
            <w:pPr>
              <w:spacing w:line="256" w:lineRule="auto"/>
              <w:jc w:val="center"/>
              <w:rPr>
                <w:spacing w:val="-3"/>
                <w:sz w:val="20"/>
                <w:szCs w:val="20"/>
              </w:rPr>
            </w:pPr>
            <w:r w:rsidRPr="00A8470C">
              <w:rPr>
                <w:spacing w:val="-3"/>
                <w:sz w:val="20"/>
                <w:szCs w:val="20"/>
              </w:rPr>
              <w:t>5</w:t>
            </w:r>
          </w:p>
        </w:tc>
        <w:tc>
          <w:tcPr>
            <w:tcW w:w="979" w:type="dxa"/>
            <w:tcBorders>
              <w:top w:val="single" w:sz="6" w:space="0" w:color="auto"/>
              <w:left w:val="single" w:sz="6" w:space="0" w:color="auto"/>
              <w:bottom w:val="single" w:sz="6" w:space="0" w:color="auto"/>
              <w:right w:val="single" w:sz="6" w:space="0" w:color="auto"/>
            </w:tcBorders>
          </w:tcPr>
          <w:p w14:paraId="674CB90C" w14:textId="77777777" w:rsidR="007613E5" w:rsidRPr="00A8470C" w:rsidRDefault="007613E5" w:rsidP="007613E5">
            <w:pPr>
              <w:spacing w:line="256" w:lineRule="auto"/>
              <w:jc w:val="center"/>
              <w:rPr>
                <w:spacing w:val="-3"/>
                <w:sz w:val="20"/>
                <w:szCs w:val="20"/>
              </w:rPr>
            </w:pPr>
            <w:r w:rsidRPr="00A8470C">
              <w:rPr>
                <w:spacing w:val="-3"/>
                <w:sz w:val="20"/>
                <w:szCs w:val="20"/>
              </w:rPr>
              <w:t>2.1</w:t>
            </w:r>
          </w:p>
        </w:tc>
        <w:tc>
          <w:tcPr>
            <w:tcW w:w="1168" w:type="dxa"/>
            <w:tcBorders>
              <w:top w:val="single" w:sz="6" w:space="0" w:color="auto"/>
              <w:left w:val="single" w:sz="6" w:space="0" w:color="auto"/>
              <w:bottom w:val="single" w:sz="6" w:space="0" w:color="auto"/>
              <w:right w:val="single" w:sz="6" w:space="0" w:color="auto"/>
            </w:tcBorders>
            <w:shd w:val="clear" w:color="auto" w:fill="D9D9D9"/>
          </w:tcPr>
          <w:p w14:paraId="0563DC7A" w14:textId="77777777" w:rsidR="007613E5" w:rsidRPr="00A8470C" w:rsidRDefault="007613E5" w:rsidP="007613E5">
            <w:pPr>
              <w:spacing w:line="256" w:lineRule="auto"/>
              <w:jc w:val="center"/>
              <w:rPr>
                <w:spacing w:val="-3"/>
                <w:sz w:val="20"/>
                <w:szCs w:val="20"/>
              </w:rPr>
            </w:pPr>
            <w:r w:rsidRPr="00A8470C">
              <w:rPr>
                <w:spacing w:val="-3"/>
                <w:sz w:val="20"/>
                <w:szCs w:val="20"/>
              </w:rPr>
              <w:t>2.2</w:t>
            </w:r>
          </w:p>
        </w:tc>
        <w:tc>
          <w:tcPr>
            <w:tcW w:w="720" w:type="dxa"/>
            <w:tcBorders>
              <w:top w:val="single" w:sz="6" w:space="0" w:color="auto"/>
              <w:left w:val="single" w:sz="6" w:space="0" w:color="auto"/>
              <w:bottom w:val="single" w:sz="6" w:space="0" w:color="auto"/>
              <w:right w:val="single" w:sz="6" w:space="0" w:color="auto"/>
            </w:tcBorders>
          </w:tcPr>
          <w:p w14:paraId="630DE300" w14:textId="77777777" w:rsidR="007613E5" w:rsidRPr="00A8470C" w:rsidRDefault="007613E5" w:rsidP="007613E5">
            <w:pPr>
              <w:spacing w:line="256" w:lineRule="auto"/>
              <w:jc w:val="center"/>
              <w:rPr>
                <w:spacing w:val="-3"/>
                <w:sz w:val="20"/>
                <w:szCs w:val="20"/>
              </w:rPr>
            </w:pPr>
            <w:r w:rsidRPr="00A8470C">
              <w:rPr>
                <w:spacing w:val="-3"/>
                <w:sz w:val="20"/>
                <w:szCs w:val="20"/>
              </w:rPr>
              <w:t>3</w:t>
            </w:r>
          </w:p>
        </w:tc>
        <w:tc>
          <w:tcPr>
            <w:tcW w:w="900" w:type="dxa"/>
            <w:tcBorders>
              <w:top w:val="single" w:sz="6" w:space="0" w:color="auto"/>
              <w:left w:val="single" w:sz="6" w:space="0" w:color="auto"/>
              <w:bottom w:val="single" w:sz="6" w:space="0" w:color="auto"/>
              <w:right w:val="single" w:sz="4" w:space="0" w:color="auto"/>
            </w:tcBorders>
          </w:tcPr>
          <w:p w14:paraId="26CA570F" w14:textId="77777777" w:rsidR="007613E5" w:rsidRPr="00A8470C" w:rsidRDefault="007613E5" w:rsidP="007613E5">
            <w:pPr>
              <w:spacing w:line="256" w:lineRule="auto"/>
              <w:jc w:val="center"/>
              <w:rPr>
                <w:spacing w:val="-3"/>
                <w:sz w:val="20"/>
                <w:szCs w:val="20"/>
              </w:rPr>
            </w:pPr>
            <w:r w:rsidRPr="00A8470C">
              <w:rPr>
                <w:spacing w:val="-3"/>
                <w:sz w:val="20"/>
                <w:szCs w:val="20"/>
              </w:rPr>
              <w:t>0.7</w:t>
            </w:r>
          </w:p>
        </w:tc>
      </w:tr>
      <w:tr w:rsidR="007613E5" w:rsidRPr="00A8470C" w14:paraId="1B47AC6F" w14:textId="77777777" w:rsidTr="007613E5">
        <w:trPr>
          <w:jc w:val="center"/>
        </w:trPr>
        <w:tc>
          <w:tcPr>
            <w:tcW w:w="3015" w:type="dxa"/>
            <w:tcBorders>
              <w:top w:val="single" w:sz="6" w:space="0" w:color="auto"/>
              <w:left w:val="single" w:sz="18" w:space="0" w:color="auto"/>
              <w:bottom w:val="single" w:sz="6" w:space="0" w:color="auto"/>
              <w:right w:val="single" w:sz="6" w:space="0" w:color="auto"/>
            </w:tcBorders>
            <w:hideMark/>
          </w:tcPr>
          <w:p w14:paraId="6C9A159B" w14:textId="77777777" w:rsidR="007613E5" w:rsidRPr="00A8470C" w:rsidRDefault="007613E5" w:rsidP="007613E5">
            <w:pPr>
              <w:spacing w:line="256" w:lineRule="auto"/>
              <w:rPr>
                <w:spacing w:val="-3"/>
                <w:sz w:val="20"/>
                <w:szCs w:val="20"/>
              </w:rPr>
            </w:pPr>
            <w:r w:rsidRPr="00A8470C">
              <w:rPr>
                <w:spacing w:val="-3"/>
                <w:sz w:val="20"/>
                <w:szCs w:val="20"/>
              </w:rPr>
              <w:t>Hawaiian/Pacific Islander</w:t>
            </w:r>
          </w:p>
        </w:tc>
        <w:tc>
          <w:tcPr>
            <w:tcW w:w="753" w:type="dxa"/>
            <w:tcBorders>
              <w:top w:val="single" w:sz="6" w:space="0" w:color="auto"/>
              <w:left w:val="single" w:sz="6" w:space="0" w:color="auto"/>
              <w:bottom w:val="single" w:sz="6" w:space="0" w:color="auto"/>
              <w:right w:val="single" w:sz="6" w:space="0" w:color="auto"/>
            </w:tcBorders>
          </w:tcPr>
          <w:p w14:paraId="6E3BC8A0" w14:textId="77777777" w:rsidR="007613E5" w:rsidRPr="00A8470C" w:rsidRDefault="007613E5" w:rsidP="007613E5">
            <w:pPr>
              <w:spacing w:line="256" w:lineRule="auto"/>
              <w:jc w:val="center"/>
              <w:rPr>
                <w:spacing w:val="-3"/>
                <w:sz w:val="20"/>
                <w:szCs w:val="20"/>
              </w:rPr>
            </w:pPr>
            <w:r w:rsidRPr="00A8470C">
              <w:rPr>
                <w:spacing w:val="-3"/>
                <w:sz w:val="20"/>
                <w:szCs w:val="20"/>
              </w:rPr>
              <w:t>0</w:t>
            </w:r>
          </w:p>
        </w:tc>
        <w:tc>
          <w:tcPr>
            <w:tcW w:w="979" w:type="dxa"/>
            <w:tcBorders>
              <w:top w:val="single" w:sz="6" w:space="0" w:color="auto"/>
              <w:left w:val="single" w:sz="6" w:space="0" w:color="auto"/>
              <w:bottom w:val="single" w:sz="6" w:space="0" w:color="auto"/>
              <w:right w:val="single" w:sz="6" w:space="0" w:color="auto"/>
            </w:tcBorders>
          </w:tcPr>
          <w:p w14:paraId="068CA2EE" w14:textId="77777777" w:rsidR="007613E5" w:rsidRPr="00A8470C" w:rsidRDefault="007613E5" w:rsidP="007613E5">
            <w:pPr>
              <w:spacing w:line="256" w:lineRule="auto"/>
              <w:jc w:val="center"/>
              <w:rPr>
                <w:spacing w:val="-3"/>
                <w:sz w:val="20"/>
                <w:szCs w:val="20"/>
              </w:rPr>
            </w:pPr>
            <w:r w:rsidRPr="00A8470C">
              <w:rPr>
                <w:spacing w:val="-3"/>
                <w:sz w:val="20"/>
                <w:szCs w:val="20"/>
              </w:rPr>
              <w:t>0.0</w:t>
            </w:r>
          </w:p>
        </w:tc>
        <w:tc>
          <w:tcPr>
            <w:tcW w:w="1168" w:type="dxa"/>
            <w:tcBorders>
              <w:top w:val="single" w:sz="6" w:space="0" w:color="auto"/>
              <w:left w:val="single" w:sz="6" w:space="0" w:color="auto"/>
              <w:bottom w:val="single" w:sz="6" w:space="0" w:color="auto"/>
              <w:right w:val="single" w:sz="6" w:space="0" w:color="auto"/>
            </w:tcBorders>
            <w:shd w:val="clear" w:color="auto" w:fill="D9D9D9"/>
          </w:tcPr>
          <w:p w14:paraId="5C53413A" w14:textId="77777777" w:rsidR="007613E5" w:rsidRPr="00A8470C" w:rsidRDefault="007613E5" w:rsidP="007613E5">
            <w:pPr>
              <w:spacing w:line="256" w:lineRule="auto"/>
              <w:jc w:val="center"/>
              <w:rPr>
                <w:spacing w:val="-3"/>
                <w:sz w:val="20"/>
                <w:szCs w:val="20"/>
              </w:rPr>
            </w:pPr>
            <w:r w:rsidRPr="00A8470C">
              <w:rPr>
                <w:spacing w:val="-3"/>
                <w:sz w:val="20"/>
                <w:szCs w:val="20"/>
              </w:rPr>
              <w:t>0.2</w:t>
            </w:r>
          </w:p>
        </w:tc>
        <w:tc>
          <w:tcPr>
            <w:tcW w:w="720" w:type="dxa"/>
            <w:tcBorders>
              <w:top w:val="single" w:sz="6" w:space="0" w:color="auto"/>
              <w:left w:val="single" w:sz="6" w:space="0" w:color="auto"/>
              <w:bottom w:val="single" w:sz="6" w:space="0" w:color="auto"/>
              <w:right w:val="single" w:sz="6" w:space="0" w:color="auto"/>
            </w:tcBorders>
          </w:tcPr>
          <w:p w14:paraId="00FA33D4" w14:textId="77777777" w:rsidR="007613E5" w:rsidRPr="00A8470C" w:rsidRDefault="007613E5" w:rsidP="007613E5">
            <w:pPr>
              <w:spacing w:line="256" w:lineRule="auto"/>
              <w:jc w:val="center"/>
              <w:rPr>
                <w:spacing w:val="-3"/>
                <w:sz w:val="20"/>
                <w:szCs w:val="20"/>
              </w:rPr>
            </w:pPr>
            <w:r w:rsidRPr="00A8470C">
              <w:rPr>
                <w:spacing w:val="-3"/>
                <w:sz w:val="20"/>
                <w:szCs w:val="20"/>
              </w:rPr>
              <w:t>0</w:t>
            </w:r>
          </w:p>
        </w:tc>
        <w:tc>
          <w:tcPr>
            <w:tcW w:w="900" w:type="dxa"/>
            <w:tcBorders>
              <w:top w:val="single" w:sz="6" w:space="0" w:color="auto"/>
              <w:left w:val="single" w:sz="6" w:space="0" w:color="auto"/>
              <w:bottom w:val="single" w:sz="6" w:space="0" w:color="auto"/>
              <w:right w:val="single" w:sz="4" w:space="0" w:color="auto"/>
            </w:tcBorders>
          </w:tcPr>
          <w:p w14:paraId="19A2F2C2" w14:textId="77777777" w:rsidR="007613E5" w:rsidRPr="00A8470C" w:rsidRDefault="007613E5" w:rsidP="007613E5">
            <w:pPr>
              <w:spacing w:line="256" w:lineRule="auto"/>
              <w:jc w:val="center"/>
              <w:rPr>
                <w:spacing w:val="-3"/>
                <w:sz w:val="20"/>
                <w:szCs w:val="20"/>
              </w:rPr>
            </w:pPr>
            <w:r w:rsidRPr="00A8470C">
              <w:rPr>
                <w:spacing w:val="-3"/>
                <w:sz w:val="20"/>
                <w:szCs w:val="20"/>
              </w:rPr>
              <w:t>0.0</w:t>
            </w:r>
          </w:p>
        </w:tc>
      </w:tr>
      <w:tr w:rsidR="007613E5" w:rsidRPr="00A8470C" w14:paraId="0E20D921" w14:textId="77777777" w:rsidTr="007613E5">
        <w:trPr>
          <w:jc w:val="center"/>
        </w:trPr>
        <w:tc>
          <w:tcPr>
            <w:tcW w:w="3015" w:type="dxa"/>
            <w:tcBorders>
              <w:top w:val="single" w:sz="6" w:space="0" w:color="auto"/>
              <w:left w:val="single" w:sz="18" w:space="0" w:color="auto"/>
              <w:bottom w:val="single" w:sz="6" w:space="0" w:color="auto"/>
              <w:right w:val="single" w:sz="6" w:space="0" w:color="auto"/>
            </w:tcBorders>
            <w:hideMark/>
          </w:tcPr>
          <w:p w14:paraId="27AEE6E5" w14:textId="77777777" w:rsidR="007613E5" w:rsidRPr="00A8470C" w:rsidRDefault="007613E5" w:rsidP="007613E5">
            <w:pPr>
              <w:spacing w:line="256" w:lineRule="auto"/>
              <w:rPr>
                <w:spacing w:val="-3"/>
                <w:sz w:val="20"/>
                <w:szCs w:val="20"/>
              </w:rPr>
            </w:pPr>
            <w:r w:rsidRPr="00A8470C">
              <w:rPr>
                <w:spacing w:val="-3"/>
                <w:sz w:val="20"/>
                <w:szCs w:val="20"/>
              </w:rPr>
              <w:t>2 or more Minority</w:t>
            </w:r>
          </w:p>
        </w:tc>
        <w:tc>
          <w:tcPr>
            <w:tcW w:w="753" w:type="dxa"/>
            <w:tcBorders>
              <w:top w:val="single" w:sz="6" w:space="0" w:color="auto"/>
              <w:left w:val="single" w:sz="6" w:space="0" w:color="auto"/>
              <w:bottom w:val="single" w:sz="6" w:space="0" w:color="auto"/>
              <w:right w:val="single" w:sz="6" w:space="0" w:color="auto"/>
            </w:tcBorders>
          </w:tcPr>
          <w:p w14:paraId="7BDCA2BC" w14:textId="77777777" w:rsidR="007613E5" w:rsidRPr="00A8470C" w:rsidRDefault="007613E5" w:rsidP="007613E5">
            <w:pPr>
              <w:spacing w:line="256" w:lineRule="auto"/>
              <w:jc w:val="center"/>
              <w:rPr>
                <w:spacing w:val="-3"/>
                <w:sz w:val="20"/>
                <w:szCs w:val="20"/>
              </w:rPr>
            </w:pPr>
            <w:r w:rsidRPr="00A8470C">
              <w:rPr>
                <w:spacing w:val="-3"/>
                <w:sz w:val="20"/>
                <w:szCs w:val="20"/>
              </w:rPr>
              <w:t>0</w:t>
            </w:r>
          </w:p>
        </w:tc>
        <w:tc>
          <w:tcPr>
            <w:tcW w:w="979" w:type="dxa"/>
            <w:tcBorders>
              <w:top w:val="single" w:sz="6" w:space="0" w:color="auto"/>
              <w:left w:val="single" w:sz="6" w:space="0" w:color="auto"/>
              <w:bottom w:val="single" w:sz="6" w:space="0" w:color="auto"/>
              <w:right w:val="single" w:sz="6" w:space="0" w:color="auto"/>
            </w:tcBorders>
          </w:tcPr>
          <w:p w14:paraId="5A5C100D" w14:textId="77777777" w:rsidR="007613E5" w:rsidRPr="00A8470C" w:rsidRDefault="007613E5" w:rsidP="007613E5">
            <w:pPr>
              <w:spacing w:line="256" w:lineRule="auto"/>
              <w:jc w:val="center"/>
              <w:rPr>
                <w:spacing w:val="-3"/>
                <w:sz w:val="20"/>
                <w:szCs w:val="20"/>
              </w:rPr>
            </w:pPr>
            <w:r w:rsidRPr="00A8470C">
              <w:rPr>
                <w:spacing w:val="-3"/>
                <w:sz w:val="20"/>
                <w:szCs w:val="20"/>
              </w:rPr>
              <w:t>0.0</w:t>
            </w:r>
          </w:p>
        </w:tc>
        <w:tc>
          <w:tcPr>
            <w:tcW w:w="1168" w:type="dxa"/>
            <w:tcBorders>
              <w:top w:val="single" w:sz="6" w:space="0" w:color="auto"/>
              <w:left w:val="single" w:sz="6" w:space="0" w:color="auto"/>
              <w:bottom w:val="single" w:sz="6" w:space="0" w:color="auto"/>
              <w:right w:val="single" w:sz="6" w:space="0" w:color="auto"/>
            </w:tcBorders>
            <w:shd w:val="clear" w:color="auto" w:fill="D9D9D9"/>
          </w:tcPr>
          <w:p w14:paraId="18E0ADCC" w14:textId="77777777" w:rsidR="007613E5" w:rsidRPr="00A8470C" w:rsidRDefault="007613E5" w:rsidP="007613E5">
            <w:pPr>
              <w:spacing w:line="256" w:lineRule="auto"/>
              <w:jc w:val="center"/>
              <w:rPr>
                <w:spacing w:val="-3"/>
                <w:sz w:val="20"/>
                <w:szCs w:val="20"/>
              </w:rPr>
            </w:pPr>
            <w:r w:rsidRPr="00A8470C">
              <w:rPr>
                <w:spacing w:val="-3"/>
                <w:sz w:val="20"/>
                <w:szCs w:val="20"/>
              </w:rPr>
              <w:t>0.1</w:t>
            </w:r>
          </w:p>
        </w:tc>
        <w:tc>
          <w:tcPr>
            <w:tcW w:w="720" w:type="dxa"/>
            <w:tcBorders>
              <w:top w:val="single" w:sz="6" w:space="0" w:color="auto"/>
              <w:left w:val="single" w:sz="6" w:space="0" w:color="auto"/>
              <w:bottom w:val="single" w:sz="6" w:space="0" w:color="auto"/>
              <w:right w:val="single" w:sz="6" w:space="0" w:color="auto"/>
            </w:tcBorders>
          </w:tcPr>
          <w:p w14:paraId="7E78343C" w14:textId="77777777" w:rsidR="007613E5" w:rsidRPr="00A8470C" w:rsidRDefault="007613E5" w:rsidP="007613E5">
            <w:pPr>
              <w:spacing w:line="256" w:lineRule="auto"/>
              <w:jc w:val="center"/>
              <w:rPr>
                <w:spacing w:val="-3"/>
                <w:sz w:val="20"/>
                <w:szCs w:val="20"/>
              </w:rPr>
            </w:pPr>
            <w:r w:rsidRPr="00A8470C">
              <w:rPr>
                <w:spacing w:val="-3"/>
                <w:sz w:val="20"/>
                <w:szCs w:val="20"/>
              </w:rPr>
              <w:t>0</w:t>
            </w:r>
          </w:p>
        </w:tc>
        <w:tc>
          <w:tcPr>
            <w:tcW w:w="900" w:type="dxa"/>
            <w:tcBorders>
              <w:top w:val="single" w:sz="6" w:space="0" w:color="auto"/>
              <w:left w:val="single" w:sz="6" w:space="0" w:color="auto"/>
              <w:bottom w:val="single" w:sz="6" w:space="0" w:color="auto"/>
              <w:right w:val="single" w:sz="4" w:space="0" w:color="auto"/>
            </w:tcBorders>
          </w:tcPr>
          <w:p w14:paraId="6478ECC9" w14:textId="77777777" w:rsidR="007613E5" w:rsidRPr="00A8470C" w:rsidRDefault="007613E5" w:rsidP="007613E5">
            <w:pPr>
              <w:spacing w:line="256" w:lineRule="auto"/>
              <w:jc w:val="center"/>
              <w:rPr>
                <w:spacing w:val="-3"/>
                <w:sz w:val="20"/>
                <w:szCs w:val="20"/>
              </w:rPr>
            </w:pPr>
            <w:r w:rsidRPr="00A8470C">
              <w:rPr>
                <w:spacing w:val="-3"/>
                <w:sz w:val="20"/>
                <w:szCs w:val="20"/>
              </w:rPr>
              <w:t>0.0</w:t>
            </w:r>
          </w:p>
        </w:tc>
      </w:tr>
      <w:tr w:rsidR="007613E5" w:rsidRPr="00A8470C" w14:paraId="2E11D63C" w14:textId="77777777" w:rsidTr="007613E5">
        <w:trPr>
          <w:jc w:val="center"/>
        </w:trPr>
        <w:tc>
          <w:tcPr>
            <w:tcW w:w="3015" w:type="dxa"/>
            <w:tcBorders>
              <w:top w:val="single" w:sz="6" w:space="0" w:color="auto"/>
              <w:left w:val="single" w:sz="18" w:space="0" w:color="auto"/>
              <w:bottom w:val="single" w:sz="4" w:space="0" w:color="auto"/>
              <w:right w:val="single" w:sz="6" w:space="0" w:color="auto"/>
            </w:tcBorders>
            <w:hideMark/>
          </w:tcPr>
          <w:p w14:paraId="1D366F01" w14:textId="77777777" w:rsidR="007613E5" w:rsidRPr="00A8470C" w:rsidRDefault="007613E5" w:rsidP="007613E5">
            <w:pPr>
              <w:spacing w:line="256" w:lineRule="auto"/>
              <w:rPr>
                <w:spacing w:val="-3"/>
                <w:sz w:val="20"/>
                <w:szCs w:val="20"/>
              </w:rPr>
            </w:pPr>
            <w:r w:rsidRPr="00A8470C">
              <w:rPr>
                <w:spacing w:val="-3"/>
                <w:sz w:val="20"/>
                <w:szCs w:val="20"/>
              </w:rPr>
              <w:t>Joint Race (White/Minority)</w:t>
            </w:r>
          </w:p>
        </w:tc>
        <w:tc>
          <w:tcPr>
            <w:tcW w:w="753" w:type="dxa"/>
            <w:tcBorders>
              <w:top w:val="single" w:sz="6" w:space="0" w:color="auto"/>
              <w:left w:val="single" w:sz="6" w:space="0" w:color="auto"/>
              <w:bottom w:val="single" w:sz="4" w:space="0" w:color="auto"/>
              <w:right w:val="single" w:sz="6" w:space="0" w:color="auto"/>
            </w:tcBorders>
          </w:tcPr>
          <w:p w14:paraId="4C4D2CB0" w14:textId="77777777" w:rsidR="007613E5" w:rsidRPr="00A8470C" w:rsidRDefault="007613E5" w:rsidP="007613E5">
            <w:pPr>
              <w:spacing w:line="256" w:lineRule="auto"/>
              <w:jc w:val="center"/>
              <w:rPr>
                <w:spacing w:val="-3"/>
                <w:sz w:val="20"/>
                <w:szCs w:val="20"/>
              </w:rPr>
            </w:pPr>
            <w:r w:rsidRPr="00A8470C">
              <w:rPr>
                <w:spacing w:val="-3"/>
                <w:sz w:val="20"/>
                <w:szCs w:val="20"/>
              </w:rPr>
              <w:t>4</w:t>
            </w:r>
          </w:p>
        </w:tc>
        <w:tc>
          <w:tcPr>
            <w:tcW w:w="979" w:type="dxa"/>
            <w:tcBorders>
              <w:top w:val="single" w:sz="6" w:space="0" w:color="auto"/>
              <w:left w:val="single" w:sz="6" w:space="0" w:color="auto"/>
              <w:bottom w:val="single" w:sz="4" w:space="0" w:color="auto"/>
              <w:right w:val="single" w:sz="6" w:space="0" w:color="auto"/>
            </w:tcBorders>
          </w:tcPr>
          <w:p w14:paraId="47B84609" w14:textId="77777777" w:rsidR="007613E5" w:rsidRPr="00A8470C" w:rsidRDefault="007613E5" w:rsidP="007613E5">
            <w:pPr>
              <w:spacing w:line="256" w:lineRule="auto"/>
              <w:jc w:val="center"/>
              <w:rPr>
                <w:spacing w:val="-3"/>
                <w:sz w:val="20"/>
                <w:szCs w:val="20"/>
              </w:rPr>
            </w:pPr>
            <w:r w:rsidRPr="00A8470C">
              <w:rPr>
                <w:spacing w:val="-3"/>
                <w:sz w:val="20"/>
                <w:szCs w:val="20"/>
              </w:rPr>
              <w:t>1.7</w:t>
            </w:r>
          </w:p>
        </w:tc>
        <w:tc>
          <w:tcPr>
            <w:tcW w:w="1168" w:type="dxa"/>
            <w:tcBorders>
              <w:top w:val="single" w:sz="6" w:space="0" w:color="auto"/>
              <w:left w:val="single" w:sz="6" w:space="0" w:color="auto"/>
              <w:bottom w:val="single" w:sz="4" w:space="0" w:color="auto"/>
              <w:right w:val="single" w:sz="6" w:space="0" w:color="auto"/>
            </w:tcBorders>
            <w:shd w:val="clear" w:color="auto" w:fill="D9D9D9"/>
          </w:tcPr>
          <w:p w14:paraId="0363A8E8" w14:textId="77777777" w:rsidR="007613E5" w:rsidRPr="00A8470C" w:rsidRDefault="007613E5" w:rsidP="007613E5">
            <w:pPr>
              <w:spacing w:line="256" w:lineRule="auto"/>
              <w:jc w:val="center"/>
              <w:rPr>
                <w:spacing w:val="-3"/>
                <w:sz w:val="20"/>
                <w:szCs w:val="20"/>
              </w:rPr>
            </w:pPr>
            <w:r w:rsidRPr="00A8470C">
              <w:rPr>
                <w:spacing w:val="-3"/>
                <w:sz w:val="20"/>
                <w:szCs w:val="20"/>
              </w:rPr>
              <w:t>1.9</w:t>
            </w:r>
          </w:p>
        </w:tc>
        <w:tc>
          <w:tcPr>
            <w:tcW w:w="720" w:type="dxa"/>
            <w:tcBorders>
              <w:top w:val="single" w:sz="6" w:space="0" w:color="auto"/>
              <w:left w:val="single" w:sz="6" w:space="0" w:color="auto"/>
              <w:bottom w:val="single" w:sz="4" w:space="0" w:color="auto"/>
              <w:right w:val="single" w:sz="6" w:space="0" w:color="auto"/>
            </w:tcBorders>
          </w:tcPr>
          <w:p w14:paraId="21537365" w14:textId="77777777" w:rsidR="007613E5" w:rsidRPr="00A8470C" w:rsidRDefault="007613E5" w:rsidP="007613E5">
            <w:pPr>
              <w:spacing w:line="256" w:lineRule="auto"/>
              <w:jc w:val="center"/>
              <w:rPr>
                <w:spacing w:val="-3"/>
                <w:sz w:val="20"/>
                <w:szCs w:val="20"/>
              </w:rPr>
            </w:pPr>
            <w:r w:rsidRPr="00A8470C">
              <w:rPr>
                <w:spacing w:val="-3"/>
                <w:sz w:val="20"/>
                <w:szCs w:val="20"/>
              </w:rPr>
              <w:t>11</w:t>
            </w:r>
          </w:p>
        </w:tc>
        <w:tc>
          <w:tcPr>
            <w:tcW w:w="900" w:type="dxa"/>
            <w:tcBorders>
              <w:top w:val="single" w:sz="6" w:space="0" w:color="auto"/>
              <w:left w:val="single" w:sz="6" w:space="0" w:color="auto"/>
              <w:bottom w:val="single" w:sz="4" w:space="0" w:color="auto"/>
              <w:right w:val="single" w:sz="4" w:space="0" w:color="auto"/>
            </w:tcBorders>
          </w:tcPr>
          <w:p w14:paraId="197EBC7D" w14:textId="77777777" w:rsidR="007613E5" w:rsidRPr="00A8470C" w:rsidRDefault="007613E5" w:rsidP="007613E5">
            <w:pPr>
              <w:spacing w:line="256" w:lineRule="auto"/>
              <w:jc w:val="center"/>
              <w:rPr>
                <w:spacing w:val="-3"/>
                <w:sz w:val="20"/>
                <w:szCs w:val="20"/>
              </w:rPr>
            </w:pPr>
            <w:r w:rsidRPr="00A8470C">
              <w:rPr>
                <w:spacing w:val="-3"/>
                <w:sz w:val="20"/>
                <w:szCs w:val="20"/>
              </w:rPr>
              <w:t>2.4</w:t>
            </w:r>
          </w:p>
        </w:tc>
      </w:tr>
      <w:tr w:rsidR="007613E5" w:rsidRPr="00A8470C" w14:paraId="55B89E7A" w14:textId="77777777" w:rsidTr="007613E5">
        <w:trPr>
          <w:jc w:val="center"/>
        </w:trPr>
        <w:tc>
          <w:tcPr>
            <w:tcW w:w="3015" w:type="dxa"/>
            <w:tcBorders>
              <w:top w:val="single" w:sz="4" w:space="0" w:color="auto"/>
              <w:left w:val="single" w:sz="18" w:space="0" w:color="auto"/>
              <w:bottom w:val="nil"/>
              <w:right w:val="single" w:sz="6" w:space="0" w:color="auto"/>
            </w:tcBorders>
            <w:hideMark/>
          </w:tcPr>
          <w:p w14:paraId="7D5498EE" w14:textId="77777777" w:rsidR="007613E5" w:rsidRPr="00A8470C" w:rsidRDefault="007613E5" w:rsidP="007613E5">
            <w:pPr>
              <w:spacing w:line="256" w:lineRule="auto"/>
              <w:jc w:val="center"/>
              <w:rPr>
                <w:b/>
                <w:spacing w:val="-3"/>
                <w:sz w:val="20"/>
                <w:szCs w:val="20"/>
              </w:rPr>
            </w:pPr>
            <w:r w:rsidRPr="00A8470C">
              <w:rPr>
                <w:b/>
                <w:spacing w:val="-3"/>
                <w:sz w:val="20"/>
                <w:szCs w:val="20"/>
              </w:rPr>
              <w:t>Total Minority</w:t>
            </w:r>
          </w:p>
        </w:tc>
        <w:tc>
          <w:tcPr>
            <w:tcW w:w="753" w:type="dxa"/>
            <w:tcBorders>
              <w:top w:val="single" w:sz="4" w:space="0" w:color="auto"/>
              <w:left w:val="single" w:sz="6" w:space="0" w:color="auto"/>
              <w:bottom w:val="nil"/>
              <w:right w:val="single" w:sz="6" w:space="0" w:color="auto"/>
            </w:tcBorders>
          </w:tcPr>
          <w:p w14:paraId="317BDA33" w14:textId="77777777" w:rsidR="007613E5" w:rsidRPr="00A8470C" w:rsidRDefault="007613E5" w:rsidP="007613E5">
            <w:pPr>
              <w:spacing w:line="256" w:lineRule="auto"/>
              <w:jc w:val="center"/>
              <w:rPr>
                <w:b/>
                <w:spacing w:val="-3"/>
                <w:sz w:val="20"/>
                <w:szCs w:val="20"/>
              </w:rPr>
            </w:pPr>
            <w:r w:rsidRPr="00A8470C">
              <w:rPr>
                <w:b/>
                <w:spacing w:val="-3"/>
                <w:sz w:val="20"/>
                <w:szCs w:val="20"/>
              </w:rPr>
              <w:t>48</w:t>
            </w:r>
          </w:p>
        </w:tc>
        <w:tc>
          <w:tcPr>
            <w:tcW w:w="979" w:type="dxa"/>
            <w:tcBorders>
              <w:top w:val="single" w:sz="4" w:space="0" w:color="auto"/>
              <w:left w:val="single" w:sz="6" w:space="0" w:color="auto"/>
              <w:bottom w:val="nil"/>
              <w:right w:val="single" w:sz="6" w:space="0" w:color="auto"/>
            </w:tcBorders>
          </w:tcPr>
          <w:p w14:paraId="776E9431" w14:textId="77777777" w:rsidR="007613E5" w:rsidRPr="00A8470C" w:rsidRDefault="007613E5" w:rsidP="007613E5">
            <w:pPr>
              <w:spacing w:line="256" w:lineRule="auto"/>
              <w:jc w:val="center"/>
              <w:rPr>
                <w:rFonts w:eastAsia="Calibri"/>
                <w:b/>
                <w:spacing w:val="-3"/>
                <w:sz w:val="20"/>
                <w:szCs w:val="20"/>
              </w:rPr>
            </w:pPr>
            <w:r w:rsidRPr="00A8470C">
              <w:rPr>
                <w:rFonts w:eastAsia="Calibri"/>
                <w:b/>
                <w:spacing w:val="-3"/>
                <w:sz w:val="20"/>
                <w:szCs w:val="20"/>
              </w:rPr>
              <w:t>20.3</w:t>
            </w:r>
          </w:p>
        </w:tc>
        <w:tc>
          <w:tcPr>
            <w:tcW w:w="1168" w:type="dxa"/>
            <w:tcBorders>
              <w:top w:val="single" w:sz="4" w:space="0" w:color="auto"/>
              <w:left w:val="single" w:sz="6" w:space="0" w:color="auto"/>
              <w:bottom w:val="nil"/>
              <w:right w:val="single" w:sz="6" w:space="0" w:color="auto"/>
            </w:tcBorders>
            <w:shd w:val="clear" w:color="auto" w:fill="D9D9D9"/>
          </w:tcPr>
          <w:p w14:paraId="68380872" w14:textId="77777777" w:rsidR="007613E5" w:rsidRPr="00A8470C" w:rsidRDefault="007613E5" w:rsidP="007613E5">
            <w:pPr>
              <w:spacing w:line="256" w:lineRule="auto"/>
              <w:jc w:val="center"/>
              <w:rPr>
                <w:rFonts w:eastAsia="Calibri"/>
                <w:b/>
                <w:spacing w:val="-3"/>
                <w:sz w:val="20"/>
                <w:szCs w:val="20"/>
              </w:rPr>
            </w:pPr>
            <w:r w:rsidRPr="00A8470C">
              <w:rPr>
                <w:rFonts w:eastAsia="Calibri"/>
                <w:b/>
                <w:spacing w:val="-3"/>
                <w:sz w:val="20"/>
                <w:szCs w:val="20"/>
              </w:rPr>
              <w:t>16.1</w:t>
            </w:r>
          </w:p>
        </w:tc>
        <w:tc>
          <w:tcPr>
            <w:tcW w:w="720" w:type="dxa"/>
            <w:tcBorders>
              <w:top w:val="single" w:sz="4" w:space="0" w:color="auto"/>
              <w:left w:val="single" w:sz="6" w:space="0" w:color="auto"/>
              <w:bottom w:val="nil"/>
              <w:right w:val="single" w:sz="6" w:space="0" w:color="auto"/>
            </w:tcBorders>
          </w:tcPr>
          <w:p w14:paraId="48A8E5F0" w14:textId="77777777" w:rsidR="007613E5" w:rsidRPr="00A8470C" w:rsidRDefault="007613E5" w:rsidP="007613E5">
            <w:pPr>
              <w:spacing w:line="256" w:lineRule="auto"/>
              <w:jc w:val="center"/>
              <w:rPr>
                <w:b/>
                <w:spacing w:val="-3"/>
                <w:sz w:val="20"/>
                <w:szCs w:val="20"/>
              </w:rPr>
            </w:pPr>
            <w:r w:rsidRPr="00A8470C">
              <w:rPr>
                <w:b/>
                <w:spacing w:val="-3"/>
                <w:sz w:val="20"/>
                <w:szCs w:val="20"/>
              </w:rPr>
              <w:t>69</w:t>
            </w:r>
          </w:p>
        </w:tc>
        <w:tc>
          <w:tcPr>
            <w:tcW w:w="900" w:type="dxa"/>
            <w:tcBorders>
              <w:top w:val="single" w:sz="4" w:space="0" w:color="auto"/>
              <w:left w:val="single" w:sz="6" w:space="0" w:color="auto"/>
              <w:bottom w:val="nil"/>
              <w:right w:val="single" w:sz="4" w:space="0" w:color="auto"/>
            </w:tcBorders>
          </w:tcPr>
          <w:p w14:paraId="128A10F1" w14:textId="77777777" w:rsidR="007613E5" w:rsidRPr="00A8470C" w:rsidRDefault="007613E5" w:rsidP="007613E5">
            <w:pPr>
              <w:spacing w:line="256" w:lineRule="auto"/>
              <w:jc w:val="center"/>
              <w:rPr>
                <w:b/>
                <w:spacing w:val="-3"/>
                <w:sz w:val="20"/>
                <w:szCs w:val="20"/>
              </w:rPr>
            </w:pPr>
            <w:r w:rsidRPr="00A8470C">
              <w:rPr>
                <w:b/>
                <w:spacing w:val="-3"/>
                <w:sz w:val="20"/>
                <w:szCs w:val="20"/>
              </w:rPr>
              <w:t>15.3</w:t>
            </w:r>
          </w:p>
        </w:tc>
      </w:tr>
      <w:tr w:rsidR="007613E5" w:rsidRPr="00A8470C" w14:paraId="063194AC" w14:textId="77777777" w:rsidTr="007613E5">
        <w:trPr>
          <w:jc w:val="center"/>
        </w:trPr>
        <w:tc>
          <w:tcPr>
            <w:tcW w:w="3015" w:type="dxa"/>
            <w:tcBorders>
              <w:top w:val="single" w:sz="6" w:space="0" w:color="auto"/>
              <w:left w:val="single" w:sz="18" w:space="0" w:color="auto"/>
              <w:bottom w:val="single" w:sz="4" w:space="0" w:color="auto"/>
              <w:right w:val="single" w:sz="6" w:space="0" w:color="auto"/>
            </w:tcBorders>
            <w:hideMark/>
          </w:tcPr>
          <w:p w14:paraId="26A49F9D" w14:textId="77777777" w:rsidR="007613E5" w:rsidRPr="00A8470C" w:rsidRDefault="007613E5" w:rsidP="007613E5">
            <w:pPr>
              <w:spacing w:line="256" w:lineRule="auto"/>
              <w:rPr>
                <w:spacing w:val="-3"/>
                <w:sz w:val="20"/>
                <w:szCs w:val="20"/>
              </w:rPr>
            </w:pPr>
            <w:r w:rsidRPr="00A8470C">
              <w:rPr>
                <w:spacing w:val="-3"/>
                <w:sz w:val="20"/>
                <w:szCs w:val="20"/>
              </w:rPr>
              <w:t>White</w:t>
            </w:r>
          </w:p>
        </w:tc>
        <w:tc>
          <w:tcPr>
            <w:tcW w:w="753" w:type="dxa"/>
            <w:tcBorders>
              <w:top w:val="single" w:sz="6" w:space="0" w:color="auto"/>
              <w:left w:val="single" w:sz="6" w:space="0" w:color="auto"/>
              <w:bottom w:val="single" w:sz="4" w:space="0" w:color="auto"/>
              <w:right w:val="single" w:sz="6" w:space="0" w:color="auto"/>
            </w:tcBorders>
          </w:tcPr>
          <w:p w14:paraId="148C1617" w14:textId="77777777" w:rsidR="007613E5" w:rsidRPr="00A8470C" w:rsidRDefault="007613E5" w:rsidP="007613E5">
            <w:pPr>
              <w:spacing w:line="256" w:lineRule="auto"/>
              <w:jc w:val="center"/>
              <w:rPr>
                <w:spacing w:val="-3"/>
                <w:sz w:val="20"/>
                <w:szCs w:val="20"/>
              </w:rPr>
            </w:pPr>
            <w:r w:rsidRPr="00A8470C">
              <w:rPr>
                <w:spacing w:val="-3"/>
                <w:sz w:val="20"/>
                <w:szCs w:val="20"/>
              </w:rPr>
              <w:t>167</w:t>
            </w:r>
          </w:p>
        </w:tc>
        <w:tc>
          <w:tcPr>
            <w:tcW w:w="979" w:type="dxa"/>
            <w:tcBorders>
              <w:top w:val="single" w:sz="6" w:space="0" w:color="auto"/>
              <w:left w:val="single" w:sz="6" w:space="0" w:color="auto"/>
              <w:bottom w:val="single" w:sz="4" w:space="0" w:color="auto"/>
              <w:right w:val="single" w:sz="6" w:space="0" w:color="auto"/>
            </w:tcBorders>
          </w:tcPr>
          <w:p w14:paraId="5D3831D7" w14:textId="77777777" w:rsidR="007613E5" w:rsidRPr="00A8470C" w:rsidRDefault="007613E5" w:rsidP="007613E5">
            <w:pPr>
              <w:spacing w:line="256" w:lineRule="auto"/>
              <w:jc w:val="center"/>
              <w:rPr>
                <w:spacing w:val="-3"/>
                <w:sz w:val="20"/>
                <w:szCs w:val="20"/>
              </w:rPr>
            </w:pPr>
            <w:r w:rsidRPr="00A8470C">
              <w:rPr>
                <w:spacing w:val="-3"/>
                <w:sz w:val="20"/>
                <w:szCs w:val="20"/>
              </w:rPr>
              <w:t>70.5</w:t>
            </w:r>
          </w:p>
        </w:tc>
        <w:tc>
          <w:tcPr>
            <w:tcW w:w="1168" w:type="dxa"/>
            <w:tcBorders>
              <w:top w:val="single" w:sz="6" w:space="0" w:color="auto"/>
              <w:left w:val="single" w:sz="6" w:space="0" w:color="auto"/>
              <w:bottom w:val="single" w:sz="4" w:space="0" w:color="auto"/>
              <w:right w:val="single" w:sz="6" w:space="0" w:color="auto"/>
            </w:tcBorders>
            <w:shd w:val="clear" w:color="auto" w:fill="D9D9D9"/>
          </w:tcPr>
          <w:p w14:paraId="4FDCFBDE" w14:textId="77777777" w:rsidR="007613E5" w:rsidRPr="00A8470C" w:rsidRDefault="007613E5" w:rsidP="007613E5">
            <w:pPr>
              <w:spacing w:line="256" w:lineRule="auto"/>
              <w:jc w:val="center"/>
              <w:rPr>
                <w:spacing w:val="-3"/>
                <w:sz w:val="20"/>
                <w:szCs w:val="20"/>
              </w:rPr>
            </w:pPr>
            <w:r w:rsidRPr="00A8470C">
              <w:rPr>
                <w:spacing w:val="-3"/>
                <w:sz w:val="20"/>
                <w:szCs w:val="20"/>
              </w:rPr>
              <w:t>61.9</w:t>
            </w:r>
          </w:p>
        </w:tc>
        <w:tc>
          <w:tcPr>
            <w:tcW w:w="720" w:type="dxa"/>
            <w:tcBorders>
              <w:top w:val="single" w:sz="6" w:space="0" w:color="auto"/>
              <w:left w:val="single" w:sz="6" w:space="0" w:color="auto"/>
              <w:bottom w:val="single" w:sz="4" w:space="0" w:color="auto"/>
              <w:right w:val="single" w:sz="6" w:space="0" w:color="auto"/>
            </w:tcBorders>
          </w:tcPr>
          <w:p w14:paraId="6BB749AA" w14:textId="77777777" w:rsidR="007613E5" w:rsidRPr="00A8470C" w:rsidRDefault="007613E5" w:rsidP="007613E5">
            <w:pPr>
              <w:spacing w:line="256" w:lineRule="auto"/>
              <w:jc w:val="center"/>
              <w:rPr>
                <w:spacing w:val="-3"/>
                <w:sz w:val="20"/>
                <w:szCs w:val="20"/>
              </w:rPr>
            </w:pPr>
            <w:r w:rsidRPr="00A8470C">
              <w:rPr>
                <w:spacing w:val="-3"/>
                <w:sz w:val="20"/>
                <w:szCs w:val="20"/>
              </w:rPr>
              <w:t>330</w:t>
            </w:r>
          </w:p>
        </w:tc>
        <w:tc>
          <w:tcPr>
            <w:tcW w:w="900" w:type="dxa"/>
            <w:tcBorders>
              <w:top w:val="single" w:sz="6" w:space="0" w:color="auto"/>
              <w:left w:val="single" w:sz="6" w:space="0" w:color="auto"/>
              <w:bottom w:val="single" w:sz="4" w:space="0" w:color="auto"/>
              <w:right w:val="single" w:sz="4" w:space="0" w:color="auto"/>
            </w:tcBorders>
          </w:tcPr>
          <w:p w14:paraId="7191ECAD" w14:textId="77777777" w:rsidR="007613E5" w:rsidRPr="00A8470C" w:rsidRDefault="007613E5" w:rsidP="007613E5">
            <w:pPr>
              <w:spacing w:line="256" w:lineRule="auto"/>
              <w:jc w:val="center"/>
              <w:rPr>
                <w:spacing w:val="-3"/>
                <w:sz w:val="20"/>
                <w:szCs w:val="20"/>
              </w:rPr>
            </w:pPr>
            <w:r w:rsidRPr="00A8470C">
              <w:rPr>
                <w:spacing w:val="-3"/>
                <w:sz w:val="20"/>
                <w:szCs w:val="20"/>
              </w:rPr>
              <w:t>73.3</w:t>
            </w:r>
          </w:p>
        </w:tc>
      </w:tr>
      <w:tr w:rsidR="007613E5" w:rsidRPr="00A8470C" w14:paraId="051B2A8D" w14:textId="77777777" w:rsidTr="007613E5">
        <w:trPr>
          <w:jc w:val="center"/>
        </w:trPr>
        <w:tc>
          <w:tcPr>
            <w:tcW w:w="3015" w:type="dxa"/>
            <w:tcBorders>
              <w:top w:val="single" w:sz="6" w:space="0" w:color="auto"/>
              <w:left w:val="single" w:sz="18" w:space="0" w:color="auto"/>
              <w:bottom w:val="single" w:sz="4" w:space="0" w:color="auto"/>
              <w:right w:val="single" w:sz="6" w:space="0" w:color="auto"/>
            </w:tcBorders>
            <w:hideMark/>
          </w:tcPr>
          <w:p w14:paraId="37214CA6" w14:textId="77777777" w:rsidR="007613E5" w:rsidRPr="00A8470C" w:rsidRDefault="007613E5" w:rsidP="007613E5">
            <w:pPr>
              <w:spacing w:line="256" w:lineRule="auto"/>
              <w:rPr>
                <w:spacing w:val="-3"/>
                <w:sz w:val="20"/>
                <w:szCs w:val="20"/>
              </w:rPr>
            </w:pPr>
            <w:r w:rsidRPr="00A8470C">
              <w:rPr>
                <w:spacing w:val="-3"/>
                <w:sz w:val="20"/>
                <w:szCs w:val="20"/>
              </w:rPr>
              <w:t>Race Not Available</w:t>
            </w:r>
          </w:p>
        </w:tc>
        <w:tc>
          <w:tcPr>
            <w:tcW w:w="753" w:type="dxa"/>
            <w:tcBorders>
              <w:top w:val="single" w:sz="6" w:space="0" w:color="auto"/>
              <w:left w:val="single" w:sz="6" w:space="0" w:color="auto"/>
              <w:bottom w:val="single" w:sz="4" w:space="0" w:color="auto"/>
              <w:right w:val="single" w:sz="6" w:space="0" w:color="auto"/>
            </w:tcBorders>
          </w:tcPr>
          <w:p w14:paraId="13863EB2" w14:textId="77777777" w:rsidR="007613E5" w:rsidRPr="00A8470C" w:rsidRDefault="007613E5" w:rsidP="007613E5">
            <w:pPr>
              <w:spacing w:line="256" w:lineRule="auto"/>
              <w:jc w:val="center"/>
              <w:rPr>
                <w:spacing w:val="-3"/>
                <w:sz w:val="20"/>
                <w:szCs w:val="20"/>
              </w:rPr>
            </w:pPr>
            <w:r w:rsidRPr="00A8470C">
              <w:rPr>
                <w:spacing w:val="-3"/>
                <w:sz w:val="20"/>
                <w:szCs w:val="20"/>
              </w:rPr>
              <w:t>22</w:t>
            </w:r>
          </w:p>
        </w:tc>
        <w:tc>
          <w:tcPr>
            <w:tcW w:w="979" w:type="dxa"/>
            <w:tcBorders>
              <w:top w:val="single" w:sz="6" w:space="0" w:color="auto"/>
              <w:left w:val="single" w:sz="6" w:space="0" w:color="auto"/>
              <w:bottom w:val="single" w:sz="4" w:space="0" w:color="auto"/>
              <w:right w:val="single" w:sz="6" w:space="0" w:color="auto"/>
            </w:tcBorders>
          </w:tcPr>
          <w:p w14:paraId="201FE398" w14:textId="77777777" w:rsidR="007613E5" w:rsidRPr="00A8470C" w:rsidRDefault="007613E5" w:rsidP="007613E5">
            <w:pPr>
              <w:spacing w:line="256" w:lineRule="auto"/>
              <w:jc w:val="center"/>
              <w:rPr>
                <w:spacing w:val="-3"/>
                <w:sz w:val="20"/>
                <w:szCs w:val="20"/>
              </w:rPr>
            </w:pPr>
            <w:r w:rsidRPr="00A8470C">
              <w:rPr>
                <w:spacing w:val="-3"/>
                <w:sz w:val="20"/>
                <w:szCs w:val="20"/>
              </w:rPr>
              <w:t>9.3</w:t>
            </w:r>
          </w:p>
        </w:tc>
        <w:tc>
          <w:tcPr>
            <w:tcW w:w="1168" w:type="dxa"/>
            <w:tcBorders>
              <w:top w:val="single" w:sz="6" w:space="0" w:color="auto"/>
              <w:left w:val="single" w:sz="6" w:space="0" w:color="auto"/>
              <w:bottom w:val="single" w:sz="4" w:space="0" w:color="auto"/>
              <w:right w:val="single" w:sz="6" w:space="0" w:color="auto"/>
            </w:tcBorders>
            <w:shd w:val="clear" w:color="auto" w:fill="D9D9D9"/>
          </w:tcPr>
          <w:p w14:paraId="026B0927" w14:textId="77777777" w:rsidR="007613E5" w:rsidRPr="00A8470C" w:rsidRDefault="007613E5" w:rsidP="007613E5">
            <w:pPr>
              <w:spacing w:line="256" w:lineRule="auto"/>
              <w:jc w:val="center"/>
              <w:rPr>
                <w:spacing w:val="-3"/>
                <w:sz w:val="20"/>
                <w:szCs w:val="20"/>
              </w:rPr>
            </w:pPr>
            <w:r w:rsidRPr="00A8470C">
              <w:rPr>
                <w:spacing w:val="-3"/>
                <w:sz w:val="20"/>
                <w:szCs w:val="20"/>
              </w:rPr>
              <w:t>22.0</w:t>
            </w:r>
          </w:p>
        </w:tc>
        <w:tc>
          <w:tcPr>
            <w:tcW w:w="720" w:type="dxa"/>
            <w:tcBorders>
              <w:top w:val="single" w:sz="6" w:space="0" w:color="auto"/>
              <w:left w:val="single" w:sz="6" w:space="0" w:color="auto"/>
              <w:bottom w:val="single" w:sz="4" w:space="0" w:color="auto"/>
              <w:right w:val="single" w:sz="6" w:space="0" w:color="auto"/>
            </w:tcBorders>
          </w:tcPr>
          <w:p w14:paraId="5F4AC2DB" w14:textId="77777777" w:rsidR="007613E5" w:rsidRPr="00A8470C" w:rsidRDefault="007613E5" w:rsidP="007613E5">
            <w:pPr>
              <w:spacing w:line="256" w:lineRule="auto"/>
              <w:jc w:val="center"/>
              <w:rPr>
                <w:spacing w:val="-3"/>
                <w:sz w:val="20"/>
                <w:szCs w:val="20"/>
              </w:rPr>
            </w:pPr>
            <w:r w:rsidRPr="00A8470C">
              <w:rPr>
                <w:spacing w:val="-3"/>
                <w:sz w:val="20"/>
                <w:szCs w:val="20"/>
              </w:rPr>
              <w:t>51</w:t>
            </w:r>
          </w:p>
        </w:tc>
        <w:tc>
          <w:tcPr>
            <w:tcW w:w="900" w:type="dxa"/>
            <w:tcBorders>
              <w:top w:val="single" w:sz="6" w:space="0" w:color="auto"/>
              <w:left w:val="single" w:sz="6" w:space="0" w:color="auto"/>
              <w:bottom w:val="single" w:sz="4" w:space="0" w:color="auto"/>
              <w:right w:val="single" w:sz="4" w:space="0" w:color="auto"/>
            </w:tcBorders>
          </w:tcPr>
          <w:p w14:paraId="52223369" w14:textId="77777777" w:rsidR="007613E5" w:rsidRPr="00A8470C" w:rsidRDefault="007613E5" w:rsidP="007613E5">
            <w:pPr>
              <w:spacing w:line="256" w:lineRule="auto"/>
              <w:jc w:val="center"/>
              <w:rPr>
                <w:spacing w:val="-3"/>
                <w:sz w:val="20"/>
                <w:szCs w:val="20"/>
              </w:rPr>
            </w:pPr>
            <w:r w:rsidRPr="00A8470C">
              <w:rPr>
                <w:spacing w:val="-3"/>
                <w:sz w:val="20"/>
                <w:szCs w:val="20"/>
              </w:rPr>
              <w:t>11.3</w:t>
            </w:r>
          </w:p>
        </w:tc>
      </w:tr>
      <w:tr w:rsidR="007613E5" w:rsidRPr="00A8470C" w14:paraId="1C7243E6" w14:textId="77777777" w:rsidTr="007613E5">
        <w:trPr>
          <w:jc w:val="center"/>
        </w:trPr>
        <w:tc>
          <w:tcPr>
            <w:tcW w:w="3015" w:type="dxa"/>
            <w:tcBorders>
              <w:top w:val="nil"/>
              <w:left w:val="single" w:sz="18" w:space="0" w:color="auto"/>
              <w:bottom w:val="single" w:sz="18" w:space="0" w:color="auto"/>
              <w:right w:val="single" w:sz="6" w:space="0" w:color="auto"/>
            </w:tcBorders>
            <w:hideMark/>
          </w:tcPr>
          <w:p w14:paraId="7E3C09CF" w14:textId="77777777" w:rsidR="007613E5" w:rsidRPr="00A8470C" w:rsidRDefault="007613E5" w:rsidP="007613E5">
            <w:pPr>
              <w:spacing w:line="256" w:lineRule="auto"/>
              <w:jc w:val="center"/>
              <w:rPr>
                <w:b/>
                <w:spacing w:val="-3"/>
                <w:sz w:val="20"/>
                <w:szCs w:val="20"/>
              </w:rPr>
            </w:pPr>
            <w:r w:rsidRPr="00A8470C">
              <w:rPr>
                <w:b/>
                <w:spacing w:val="-3"/>
                <w:sz w:val="20"/>
                <w:szCs w:val="20"/>
              </w:rPr>
              <w:t>Total</w:t>
            </w:r>
          </w:p>
        </w:tc>
        <w:tc>
          <w:tcPr>
            <w:tcW w:w="753" w:type="dxa"/>
            <w:tcBorders>
              <w:top w:val="nil"/>
              <w:left w:val="single" w:sz="6" w:space="0" w:color="auto"/>
              <w:bottom w:val="single" w:sz="18" w:space="0" w:color="auto"/>
              <w:right w:val="single" w:sz="6" w:space="0" w:color="auto"/>
            </w:tcBorders>
          </w:tcPr>
          <w:p w14:paraId="605138F1" w14:textId="77777777" w:rsidR="007613E5" w:rsidRPr="00A8470C" w:rsidRDefault="007613E5" w:rsidP="007613E5">
            <w:pPr>
              <w:spacing w:line="256" w:lineRule="auto"/>
              <w:jc w:val="center"/>
              <w:rPr>
                <w:b/>
                <w:spacing w:val="-3"/>
                <w:sz w:val="20"/>
                <w:szCs w:val="20"/>
              </w:rPr>
            </w:pPr>
            <w:r w:rsidRPr="00A8470C">
              <w:rPr>
                <w:b/>
                <w:spacing w:val="-3"/>
                <w:sz w:val="20"/>
                <w:szCs w:val="20"/>
              </w:rPr>
              <w:t>237</w:t>
            </w:r>
          </w:p>
        </w:tc>
        <w:tc>
          <w:tcPr>
            <w:tcW w:w="979" w:type="dxa"/>
            <w:tcBorders>
              <w:top w:val="nil"/>
              <w:left w:val="single" w:sz="6" w:space="0" w:color="auto"/>
              <w:bottom w:val="single" w:sz="18" w:space="0" w:color="auto"/>
              <w:right w:val="single" w:sz="4" w:space="0" w:color="auto"/>
            </w:tcBorders>
          </w:tcPr>
          <w:p w14:paraId="27026160" w14:textId="77777777" w:rsidR="007613E5" w:rsidRPr="00A8470C" w:rsidRDefault="007613E5" w:rsidP="007613E5">
            <w:pPr>
              <w:spacing w:line="256" w:lineRule="auto"/>
              <w:jc w:val="center"/>
              <w:rPr>
                <w:b/>
                <w:spacing w:val="-3"/>
                <w:sz w:val="20"/>
                <w:szCs w:val="20"/>
              </w:rPr>
            </w:pPr>
            <w:r w:rsidRPr="00A8470C">
              <w:rPr>
                <w:rFonts w:eastAsia="Calibri"/>
                <w:b/>
                <w:spacing w:val="-3"/>
                <w:sz w:val="20"/>
                <w:szCs w:val="20"/>
              </w:rPr>
              <w:t>100.0</w:t>
            </w:r>
          </w:p>
        </w:tc>
        <w:tc>
          <w:tcPr>
            <w:tcW w:w="1168" w:type="dxa"/>
            <w:tcBorders>
              <w:top w:val="nil"/>
              <w:left w:val="single" w:sz="6" w:space="0" w:color="auto"/>
              <w:bottom w:val="single" w:sz="18" w:space="0" w:color="auto"/>
              <w:right w:val="single" w:sz="6" w:space="0" w:color="auto"/>
            </w:tcBorders>
            <w:shd w:val="clear" w:color="auto" w:fill="D9D9D9"/>
          </w:tcPr>
          <w:p w14:paraId="215E61F7" w14:textId="77777777" w:rsidR="007613E5" w:rsidRPr="00A8470C" w:rsidRDefault="007613E5" w:rsidP="007613E5">
            <w:pPr>
              <w:spacing w:line="256" w:lineRule="auto"/>
              <w:jc w:val="center"/>
              <w:rPr>
                <w:b/>
                <w:spacing w:val="-3"/>
                <w:sz w:val="20"/>
                <w:szCs w:val="20"/>
              </w:rPr>
            </w:pPr>
            <w:r w:rsidRPr="00A8470C">
              <w:rPr>
                <w:rFonts w:eastAsia="Calibri"/>
                <w:b/>
                <w:spacing w:val="-3"/>
                <w:sz w:val="20"/>
                <w:szCs w:val="20"/>
              </w:rPr>
              <w:t>100.0</w:t>
            </w:r>
          </w:p>
        </w:tc>
        <w:tc>
          <w:tcPr>
            <w:tcW w:w="720" w:type="dxa"/>
            <w:tcBorders>
              <w:top w:val="nil"/>
              <w:left w:val="single" w:sz="6" w:space="0" w:color="auto"/>
              <w:bottom w:val="single" w:sz="18" w:space="0" w:color="auto"/>
              <w:right w:val="single" w:sz="6" w:space="0" w:color="auto"/>
            </w:tcBorders>
          </w:tcPr>
          <w:p w14:paraId="3CE0FC26" w14:textId="77777777" w:rsidR="007613E5" w:rsidRPr="00A8470C" w:rsidRDefault="007613E5" w:rsidP="007613E5">
            <w:pPr>
              <w:spacing w:line="256" w:lineRule="auto"/>
              <w:jc w:val="center"/>
              <w:rPr>
                <w:b/>
                <w:spacing w:val="-3"/>
                <w:sz w:val="20"/>
                <w:szCs w:val="20"/>
              </w:rPr>
            </w:pPr>
            <w:r w:rsidRPr="00A8470C">
              <w:rPr>
                <w:b/>
                <w:spacing w:val="-3"/>
                <w:sz w:val="20"/>
                <w:szCs w:val="20"/>
              </w:rPr>
              <w:t>450</w:t>
            </w:r>
          </w:p>
        </w:tc>
        <w:tc>
          <w:tcPr>
            <w:tcW w:w="900" w:type="dxa"/>
            <w:tcBorders>
              <w:top w:val="single" w:sz="4" w:space="0" w:color="auto"/>
              <w:left w:val="single" w:sz="6" w:space="0" w:color="auto"/>
              <w:bottom w:val="single" w:sz="18" w:space="0" w:color="auto"/>
              <w:right w:val="single" w:sz="4" w:space="0" w:color="auto"/>
            </w:tcBorders>
          </w:tcPr>
          <w:p w14:paraId="1E361938" w14:textId="77777777" w:rsidR="007613E5" w:rsidRPr="00A8470C" w:rsidRDefault="007613E5" w:rsidP="007613E5">
            <w:pPr>
              <w:spacing w:line="256" w:lineRule="auto"/>
              <w:jc w:val="center"/>
              <w:rPr>
                <w:b/>
                <w:spacing w:val="-3"/>
                <w:sz w:val="20"/>
                <w:szCs w:val="20"/>
              </w:rPr>
            </w:pPr>
            <w:r w:rsidRPr="00A8470C">
              <w:rPr>
                <w:rFonts w:eastAsia="Calibri"/>
                <w:b/>
                <w:spacing w:val="-3"/>
                <w:sz w:val="20"/>
                <w:szCs w:val="20"/>
              </w:rPr>
              <w:t>100.0</w:t>
            </w:r>
          </w:p>
        </w:tc>
      </w:tr>
      <w:tr w:rsidR="007613E5" w:rsidRPr="00A8470C" w14:paraId="450474C4" w14:textId="77777777" w:rsidTr="007613E5">
        <w:trPr>
          <w:jc w:val="center"/>
        </w:trPr>
        <w:tc>
          <w:tcPr>
            <w:tcW w:w="3015" w:type="dxa"/>
            <w:tcBorders>
              <w:top w:val="nil"/>
              <w:left w:val="single" w:sz="18" w:space="0" w:color="auto"/>
              <w:bottom w:val="single" w:sz="4" w:space="0" w:color="auto"/>
              <w:right w:val="single" w:sz="6" w:space="0" w:color="auto"/>
            </w:tcBorders>
            <w:hideMark/>
          </w:tcPr>
          <w:p w14:paraId="66A39E20" w14:textId="77777777" w:rsidR="007613E5" w:rsidRPr="00A8470C" w:rsidRDefault="007613E5" w:rsidP="007613E5">
            <w:pPr>
              <w:spacing w:line="256" w:lineRule="auto"/>
              <w:jc w:val="center"/>
              <w:rPr>
                <w:b/>
                <w:spacing w:val="-3"/>
                <w:sz w:val="20"/>
                <w:szCs w:val="20"/>
              </w:rPr>
            </w:pPr>
            <w:r w:rsidRPr="00A8470C">
              <w:rPr>
                <w:b/>
                <w:spacing w:val="-3"/>
                <w:sz w:val="20"/>
                <w:szCs w:val="20"/>
              </w:rPr>
              <w:t>ETHNICITY</w:t>
            </w:r>
          </w:p>
        </w:tc>
        <w:tc>
          <w:tcPr>
            <w:tcW w:w="753" w:type="dxa"/>
            <w:tcBorders>
              <w:top w:val="nil"/>
              <w:left w:val="single" w:sz="6" w:space="0" w:color="auto"/>
              <w:bottom w:val="single" w:sz="4" w:space="0" w:color="auto"/>
              <w:right w:val="single" w:sz="6" w:space="0" w:color="auto"/>
            </w:tcBorders>
          </w:tcPr>
          <w:p w14:paraId="2DF62E15" w14:textId="77777777" w:rsidR="007613E5" w:rsidRPr="00A8470C" w:rsidRDefault="007613E5" w:rsidP="007613E5">
            <w:pPr>
              <w:spacing w:line="256" w:lineRule="auto"/>
              <w:jc w:val="center"/>
              <w:rPr>
                <w:b/>
                <w:spacing w:val="-3"/>
                <w:sz w:val="20"/>
                <w:szCs w:val="20"/>
              </w:rPr>
            </w:pPr>
          </w:p>
        </w:tc>
        <w:tc>
          <w:tcPr>
            <w:tcW w:w="979" w:type="dxa"/>
            <w:tcBorders>
              <w:top w:val="nil"/>
              <w:left w:val="single" w:sz="6" w:space="0" w:color="auto"/>
              <w:bottom w:val="single" w:sz="4" w:space="0" w:color="auto"/>
              <w:right w:val="single" w:sz="4" w:space="0" w:color="auto"/>
            </w:tcBorders>
          </w:tcPr>
          <w:p w14:paraId="5852AA27" w14:textId="77777777" w:rsidR="007613E5" w:rsidRPr="00A8470C" w:rsidRDefault="007613E5" w:rsidP="007613E5">
            <w:pPr>
              <w:spacing w:line="256" w:lineRule="auto"/>
              <w:jc w:val="center"/>
              <w:rPr>
                <w:b/>
                <w:spacing w:val="-3"/>
                <w:sz w:val="20"/>
                <w:szCs w:val="20"/>
              </w:rPr>
            </w:pPr>
          </w:p>
        </w:tc>
        <w:tc>
          <w:tcPr>
            <w:tcW w:w="1168" w:type="dxa"/>
            <w:tcBorders>
              <w:top w:val="nil"/>
              <w:left w:val="single" w:sz="6" w:space="0" w:color="auto"/>
              <w:bottom w:val="single" w:sz="4" w:space="0" w:color="auto"/>
              <w:right w:val="single" w:sz="6" w:space="0" w:color="auto"/>
            </w:tcBorders>
            <w:shd w:val="clear" w:color="auto" w:fill="D9D9D9"/>
          </w:tcPr>
          <w:p w14:paraId="765681CA" w14:textId="77777777" w:rsidR="007613E5" w:rsidRPr="00A8470C" w:rsidRDefault="007613E5" w:rsidP="007613E5">
            <w:pPr>
              <w:spacing w:line="256" w:lineRule="auto"/>
              <w:jc w:val="center"/>
              <w:rPr>
                <w:b/>
                <w:spacing w:val="-3"/>
                <w:sz w:val="20"/>
                <w:szCs w:val="20"/>
              </w:rPr>
            </w:pPr>
          </w:p>
        </w:tc>
        <w:tc>
          <w:tcPr>
            <w:tcW w:w="720" w:type="dxa"/>
            <w:tcBorders>
              <w:top w:val="nil"/>
              <w:left w:val="single" w:sz="6" w:space="0" w:color="auto"/>
              <w:bottom w:val="single" w:sz="4" w:space="0" w:color="auto"/>
              <w:right w:val="single" w:sz="6" w:space="0" w:color="auto"/>
            </w:tcBorders>
          </w:tcPr>
          <w:p w14:paraId="6FBE2A9A" w14:textId="77777777" w:rsidR="007613E5" w:rsidRPr="00A8470C" w:rsidRDefault="007613E5" w:rsidP="007613E5">
            <w:pPr>
              <w:spacing w:line="256" w:lineRule="auto"/>
              <w:jc w:val="center"/>
              <w:rPr>
                <w:b/>
                <w:spacing w:val="-3"/>
                <w:sz w:val="20"/>
                <w:szCs w:val="20"/>
              </w:rPr>
            </w:pPr>
          </w:p>
        </w:tc>
        <w:tc>
          <w:tcPr>
            <w:tcW w:w="900" w:type="dxa"/>
            <w:tcBorders>
              <w:top w:val="single" w:sz="18" w:space="0" w:color="auto"/>
              <w:left w:val="single" w:sz="6" w:space="0" w:color="auto"/>
              <w:bottom w:val="single" w:sz="4" w:space="0" w:color="auto"/>
              <w:right w:val="single" w:sz="4" w:space="0" w:color="auto"/>
            </w:tcBorders>
          </w:tcPr>
          <w:p w14:paraId="6D753879" w14:textId="77777777" w:rsidR="007613E5" w:rsidRPr="00A8470C" w:rsidRDefault="007613E5" w:rsidP="007613E5">
            <w:pPr>
              <w:spacing w:line="256" w:lineRule="auto"/>
              <w:jc w:val="center"/>
              <w:rPr>
                <w:b/>
                <w:spacing w:val="-3"/>
                <w:sz w:val="20"/>
                <w:szCs w:val="20"/>
              </w:rPr>
            </w:pPr>
          </w:p>
        </w:tc>
      </w:tr>
      <w:tr w:rsidR="007613E5" w:rsidRPr="00A8470C" w14:paraId="692CF775" w14:textId="77777777" w:rsidTr="007613E5">
        <w:trPr>
          <w:jc w:val="center"/>
        </w:trPr>
        <w:tc>
          <w:tcPr>
            <w:tcW w:w="3015" w:type="dxa"/>
            <w:tcBorders>
              <w:top w:val="single" w:sz="4" w:space="0" w:color="auto"/>
              <w:left w:val="single" w:sz="18" w:space="0" w:color="auto"/>
              <w:bottom w:val="single" w:sz="4" w:space="0" w:color="auto"/>
              <w:right w:val="single" w:sz="6" w:space="0" w:color="auto"/>
            </w:tcBorders>
            <w:hideMark/>
          </w:tcPr>
          <w:p w14:paraId="570051F4" w14:textId="77777777" w:rsidR="007613E5" w:rsidRPr="00A8470C" w:rsidRDefault="007613E5" w:rsidP="007613E5">
            <w:pPr>
              <w:spacing w:line="256" w:lineRule="auto"/>
              <w:rPr>
                <w:spacing w:val="-3"/>
                <w:sz w:val="20"/>
                <w:szCs w:val="20"/>
              </w:rPr>
            </w:pPr>
            <w:r w:rsidRPr="00A8470C">
              <w:rPr>
                <w:spacing w:val="-3"/>
                <w:sz w:val="20"/>
                <w:szCs w:val="20"/>
              </w:rPr>
              <w:t>Hispanic or Latino</w:t>
            </w:r>
          </w:p>
        </w:tc>
        <w:tc>
          <w:tcPr>
            <w:tcW w:w="753" w:type="dxa"/>
            <w:tcBorders>
              <w:top w:val="single" w:sz="4" w:space="0" w:color="auto"/>
              <w:left w:val="single" w:sz="6" w:space="0" w:color="auto"/>
              <w:bottom w:val="single" w:sz="4" w:space="0" w:color="auto"/>
              <w:right w:val="single" w:sz="6" w:space="0" w:color="auto"/>
            </w:tcBorders>
          </w:tcPr>
          <w:p w14:paraId="4254D3CF" w14:textId="77777777" w:rsidR="007613E5" w:rsidRPr="00A8470C" w:rsidRDefault="007613E5" w:rsidP="007613E5">
            <w:pPr>
              <w:spacing w:line="256" w:lineRule="auto"/>
              <w:jc w:val="center"/>
              <w:rPr>
                <w:spacing w:val="-3"/>
                <w:sz w:val="20"/>
                <w:szCs w:val="20"/>
              </w:rPr>
            </w:pPr>
            <w:r w:rsidRPr="00A8470C">
              <w:rPr>
                <w:spacing w:val="-3"/>
                <w:sz w:val="20"/>
                <w:szCs w:val="20"/>
              </w:rPr>
              <w:t>4</w:t>
            </w:r>
          </w:p>
        </w:tc>
        <w:tc>
          <w:tcPr>
            <w:tcW w:w="979" w:type="dxa"/>
            <w:tcBorders>
              <w:top w:val="single" w:sz="4" w:space="0" w:color="auto"/>
              <w:left w:val="single" w:sz="6" w:space="0" w:color="auto"/>
              <w:bottom w:val="single" w:sz="4" w:space="0" w:color="auto"/>
              <w:right w:val="single" w:sz="4" w:space="0" w:color="auto"/>
            </w:tcBorders>
          </w:tcPr>
          <w:p w14:paraId="4B4E81B1" w14:textId="77777777" w:rsidR="007613E5" w:rsidRPr="00A8470C" w:rsidRDefault="007613E5" w:rsidP="007613E5">
            <w:pPr>
              <w:spacing w:line="256" w:lineRule="auto"/>
              <w:jc w:val="center"/>
              <w:rPr>
                <w:spacing w:val="-3"/>
                <w:sz w:val="20"/>
                <w:szCs w:val="20"/>
              </w:rPr>
            </w:pPr>
            <w:r w:rsidRPr="00A8470C">
              <w:rPr>
                <w:spacing w:val="-3"/>
                <w:sz w:val="20"/>
                <w:szCs w:val="20"/>
              </w:rPr>
              <w:t>1.7</w:t>
            </w:r>
          </w:p>
        </w:tc>
        <w:tc>
          <w:tcPr>
            <w:tcW w:w="1168" w:type="dxa"/>
            <w:tcBorders>
              <w:top w:val="single" w:sz="4" w:space="0" w:color="auto"/>
              <w:left w:val="single" w:sz="6" w:space="0" w:color="auto"/>
              <w:bottom w:val="single" w:sz="4" w:space="0" w:color="auto"/>
              <w:right w:val="single" w:sz="6" w:space="0" w:color="auto"/>
            </w:tcBorders>
            <w:shd w:val="clear" w:color="auto" w:fill="D9D9D9"/>
          </w:tcPr>
          <w:p w14:paraId="1DD246CF" w14:textId="77777777" w:rsidR="007613E5" w:rsidRPr="00A8470C" w:rsidRDefault="007613E5" w:rsidP="007613E5">
            <w:pPr>
              <w:spacing w:line="256" w:lineRule="auto"/>
              <w:jc w:val="center"/>
              <w:rPr>
                <w:spacing w:val="-3"/>
                <w:sz w:val="20"/>
                <w:szCs w:val="20"/>
              </w:rPr>
            </w:pPr>
            <w:r w:rsidRPr="00A8470C">
              <w:rPr>
                <w:spacing w:val="-3"/>
                <w:sz w:val="20"/>
                <w:szCs w:val="20"/>
              </w:rPr>
              <w:t>4.5</w:t>
            </w:r>
          </w:p>
        </w:tc>
        <w:tc>
          <w:tcPr>
            <w:tcW w:w="720" w:type="dxa"/>
            <w:tcBorders>
              <w:top w:val="single" w:sz="4" w:space="0" w:color="auto"/>
              <w:left w:val="single" w:sz="6" w:space="0" w:color="auto"/>
              <w:bottom w:val="single" w:sz="4" w:space="0" w:color="auto"/>
              <w:right w:val="single" w:sz="6" w:space="0" w:color="auto"/>
            </w:tcBorders>
          </w:tcPr>
          <w:p w14:paraId="26F32F12" w14:textId="77777777" w:rsidR="007613E5" w:rsidRPr="00A8470C" w:rsidRDefault="007613E5" w:rsidP="007613E5">
            <w:pPr>
              <w:spacing w:line="256" w:lineRule="auto"/>
              <w:jc w:val="center"/>
              <w:rPr>
                <w:spacing w:val="-3"/>
                <w:sz w:val="20"/>
                <w:szCs w:val="20"/>
              </w:rPr>
            </w:pPr>
            <w:r w:rsidRPr="00A8470C">
              <w:rPr>
                <w:spacing w:val="-3"/>
                <w:sz w:val="20"/>
                <w:szCs w:val="20"/>
              </w:rPr>
              <w:t>3</w:t>
            </w:r>
          </w:p>
        </w:tc>
        <w:tc>
          <w:tcPr>
            <w:tcW w:w="900" w:type="dxa"/>
            <w:tcBorders>
              <w:top w:val="single" w:sz="4" w:space="0" w:color="auto"/>
              <w:left w:val="single" w:sz="6" w:space="0" w:color="auto"/>
              <w:bottom w:val="single" w:sz="4" w:space="0" w:color="auto"/>
              <w:right w:val="single" w:sz="4" w:space="0" w:color="auto"/>
            </w:tcBorders>
          </w:tcPr>
          <w:p w14:paraId="5A617E09" w14:textId="77777777" w:rsidR="007613E5" w:rsidRPr="00A8470C" w:rsidRDefault="007613E5" w:rsidP="007613E5">
            <w:pPr>
              <w:spacing w:line="256" w:lineRule="auto"/>
              <w:jc w:val="center"/>
              <w:rPr>
                <w:spacing w:val="-3"/>
                <w:sz w:val="20"/>
                <w:szCs w:val="20"/>
              </w:rPr>
            </w:pPr>
            <w:r w:rsidRPr="00A8470C">
              <w:rPr>
                <w:spacing w:val="-3"/>
                <w:sz w:val="20"/>
                <w:szCs w:val="20"/>
              </w:rPr>
              <w:t>0.7</w:t>
            </w:r>
          </w:p>
        </w:tc>
      </w:tr>
      <w:tr w:rsidR="007613E5" w:rsidRPr="00A8470C" w14:paraId="78C83BC3" w14:textId="77777777" w:rsidTr="007613E5">
        <w:trPr>
          <w:jc w:val="center"/>
        </w:trPr>
        <w:tc>
          <w:tcPr>
            <w:tcW w:w="3015" w:type="dxa"/>
            <w:tcBorders>
              <w:top w:val="single" w:sz="4" w:space="0" w:color="auto"/>
              <w:left w:val="single" w:sz="18" w:space="0" w:color="auto"/>
              <w:bottom w:val="single" w:sz="4" w:space="0" w:color="auto"/>
              <w:right w:val="single" w:sz="6" w:space="0" w:color="auto"/>
            </w:tcBorders>
            <w:hideMark/>
          </w:tcPr>
          <w:p w14:paraId="7D1E3BAF" w14:textId="77777777" w:rsidR="007613E5" w:rsidRPr="00A8470C" w:rsidRDefault="007613E5" w:rsidP="007613E5">
            <w:pPr>
              <w:spacing w:line="256" w:lineRule="auto"/>
              <w:rPr>
                <w:spacing w:val="-3"/>
                <w:sz w:val="20"/>
                <w:szCs w:val="20"/>
              </w:rPr>
            </w:pPr>
            <w:r w:rsidRPr="00A8470C">
              <w:rPr>
                <w:spacing w:val="-3"/>
                <w:sz w:val="20"/>
                <w:szCs w:val="20"/>
              </w:rPr>
              <w:t>Joint (</w:t>
            </w:r>
            <w:proofErr w:type="spellStart"/>
            <w:r w:rsidRPr="00A8470C">
              <w:rPr>
                <w:spacing w:val="-3"/>
                <w:sz w:val="20"/>
                <w:szCs w:val="20"/>
              </w:rPr>
              <w:t>Hisp</w:t>
            </w:r>
            <w:proofErr w:type="spellEnd"/>
            <w:r w:rsidRPr="00A8470C">
              <w:rPr>
                <w:spacing w:val="-3"/>
                <w:sz w:val="20"/>
                <w:szCs w:val="20"/>
              </w:rPr>
              <w:t>/</w:t>
            </w:r>
            <w:proofErr w:type="spellStart"/>
            <w:r w:rsidRPr="00A8470C">
              <w:rPr>
                <w:spacing w:val="-3"/>
                <w:sz w:val="20"/>
                <w:szCs w:val="20"/>
              </w:rPr>
              <w:t>Lat</w:t>
            </w:r>
            <w:proofErr w:type="spellEnd"/>
            <w:r w:rsidRPr="00A8470C">
              <w:rPr>
                <w:spacing w:val="-3"/>
                <w:sz w:val="20"/>
                <w:szCs w:val="20"/>
              </w:rPr>
              <w:t xml:space="preserve"> /Not </w:t>
            </w:r>
            <w:proofErr w:type="spellStart"/>
            <w:r w:rsidRPr="00A8470C">
              <w:rPr>
                <w:spacing w:val="-3"/>
                <w:sz w:val="20"/>
                <w:szCs w:val="20"/>
              </w:rPr>
              <w:t>Hisp</w:t>
            </w:r>
            <w:proofErr w:type="spellEnd"/>
            <w:r w:rsidRPr="00A8470C">
              <w:rPr>
                <w:spacing w:val="-3"/>
                <w:sz w:val="20"/>
                <w:szCs w:val="20"/>
              </w:rPr>
              <w:t>/</w:t>
            </w:r>
            <w:proofErr w:type="spellStart"/>
            <w:r w:rsidRPr="00A8470C">
              <w:rPr>
                <w:spacing w:val="-3"/>
                <w:sz w:val="20"/>
                <w:szCs w:val="20"/>
              </w:rPr>
              <w:t>Lat</w:t>
            </w:r>
            <w:proofErr w:type="spellEnd"/>
            <w:r w:rsidRPr="00A8470C">
              <w:rPr>
                <w:spacing w:val="-3"/>
                <w:sz w:val="20"/>
                <w:szCs w:val="20"/>
              </w:rPr>
              <w:t>)</w:t>
            </w:r>
          </w:p>
        </w:tc>
        <w:tc>
          <w:tcPr>
            <w:tcW w:w="753" w:type="dxa"/>
            <w:tcBorders>
              <w:top w:val="single" w:sz="4" w:space="0" w:color="auto"/>
              <w:left w:val="single" w:sz="6" w:space="0" w:color="auto"/>
              <w:bottom w:val="single" w:sz="4" w:space="0" w:color="auto"/>
              <w:right w:val="single" w:sz="6" w:space="0" w:color="auto"/>
            </w:tcBorders>
          </w:tcPr>
          <w:p w14:paraId="0BE4B644" w14:textId="77777777" w:rsidR="007613E5" w:rsidRPr="00A8470C" w:rsidRDefault="007613E5" w:rsidP="007613E5">
            <w:pPr>
              <w:spacing w:line="256" w:lineRule="auto"/>
              <w:jc w:val="center"/>
              <w:rPr>
                <w:spacing w:val="-3"/>
                <w:sz w:val="20"/>
                <w:szCs w:val="20"/>
              </w:rPr>
            </w:pPr>
            <w:r w:rsidRPr="00A8470C">
              <w:rPr>
                <w:spacing w:val="-3"/>
                <w:sz w:val="20"/>
                <w:szCs w:val="20"/>
              </w:rPr>
              <w:t>4</w:t>
            </w:r>
          </w:p>
        </w:tc>
        <w:tc>
          <w:tcPr>
            <w:tcW w:w="979" w:type="dxa"/>
            <w:tcBorders>
              <w:top w:val="single" w:sz="4" w:space="0" w:color="auto"/>
              <w:left w:val="single" w:sz="6" w:space="0" w:color="auto"/>
              <w:bottom w:val="single" w:sz="4" w:space="0" w:color="auto"/>
              <w:right w:val="single" w:sz="4" w:space="0" w:color="auto"/>
            </w:tcBorders>
          </w:tcPr>
          <w:p w14:paraId="603114C2" w14:textId="77777777" w:rsidR="007613E5" w:rsidRPr="00A8470C" w:rsidRDefault="007613E5" w:rsidP="007613E5">
            <w:pPr>
              <w:spacing w:line="256" w:lineRule="auto"/>
              <w:jc w:val="center"/>
              <w:rPr>
                <w:spacing w:val="-3"/>
                <w:sz w:val="20"/>
                <w:szCs w:val="20"/>
              </w:rPr>
            </w:pPr>
            <w:r w:rsidRPr="00A8470C">
              <w:rPr>
                <w:spacing w:val="-3"/>
                <w:sz w:val="20"/>
                <w:szCs w:val="20"/>
              </w:rPr>
              <w:t>1.7</w:t>
            </w:r>
          </w:p>
        </w:tc>
        <w:tc>
          <w:tcPr>
            <w:tcW w:w="1168" w:type="dxa"/>
            <w:tcBorders>
              <w:top w:val="single" w:sz="4" w:space="0" w:color="auto"/>
              <w:left w:val="single" w:sz="6" w:space="0" w:color="auto"/>
              <w:bottom w:val="single" w:sz="4" w:space="0" w:color="auto"/>
              <w:right w:val="single" w:sz="6" w:space="0" w:color="auto"/>
            </w:tcBorders>
            <w:shd w:val="clear" w:color="auto" w:fill="D9D9D9"/>
          </w:tcPr>
          <w:p w14:paraId="55F6504F" w14:textId="77777777" w:rsidR="007613E5" w:rsidRPr="00A8470C" w:rsidRDefault="007613E5" w:rsidP="007613E5">
            <w:pPr>
              <w:spacing w:line="256" w:lineRule="auto"/>
              <w:jc w:val="center"/>
              <w:rPr>
                <w:spacing w:val="-3"/>
                <w:sz w:val="20"/>
                <w:szCs w:val="20"/>
              </w:rPr>
            </w:pPr>
            <w:r w:rsidRPr="00A8470C">
              <w:rPr>
                <w:spacing w:val="-3"/>
                <w:sz w:val="20"/>
                <w:szCs w:val="20"/>
              </w:rPr>
              <w:t>1.2</w:t>
            </w:r>
          </w:p>
        </w:tc>
        <w:tc>
          <w:tcPr>
            <w:tcW w:w="720" w:type="dxa"/>
            <w:tcBorders>
              <w:top w:val="single" w:sz="4" w:space="0" w:color="auto"/>
              <w:left w:val="single" w:sz="6" w:space="0" w:color="auto"/>
              <w:bottom w:val="single" w:sz="4" w:space="0" w:color="auto"/>
              <w:right w:val="single" w:sz="6" w:space="0" w:color="auto"/>
            </w:tcBorders>
          </w:tcPr>
          <w:p w14:paraId="6573CDE0" w14:textId="77777777" w:rsidR="007613E5" w:rsidRPr="00A8470C" w:rsidRDefault="007613E5" w:rsidP="007613E5">
            <w:pPr>
              <w:spacing w:line="256" w:lineRule="auto"/>
              <w:jc w:val="center"/>
              <w:rPr>
                <w:spacing w:val="-3"/>
                <w:sz w:val="20"/>
                <w:szCs w:val="20"/>
              </w:rPr>
            </w:pPr>
            <w:r w:rsidRPr="00A8470C">
              <w:rPr>
                <w:spacing w:val="-3"/>
                <w:sz w:val="20"/>
                <w:szCs w:val="20"/>
              </w:rPr>
              <w:t>1</w:t>
            </w:r>
          </w:p>
        </w:tc>
        <w:tc>
          <w:tcPr>
            <w:tcW w:w="900" w:type="dxa"/>
            <w:tcBorders>
              <w:top w:val="single" w:sz="4" w:space="0" w:color="auto"/>
              <w:left w:val="single" w:sz="6" w:space="0" w:color="auto"/>
              <w:bottom w:val="single" w:sz="4" w:space="0" w:color="auto"/>
              <w:right w:val="single" w:sz="4" w:space="0" w:color="auto"/>
            </w:tcBorders>
          </w:tcPr>
          <w:p w14:paraId="26ADE8C9" w14:textId="77777777" w:rsidR="007613E5" w:rsidRPr="00A8470C" w:rsidRDefault="007613E5" w:rsidP="007613E5">
            <w:pPr>
              <w:spacing w:line="256" w:lineRule="auto"/>
              <w:jc w:val="center"/>
              <w:rPr>
                <w:spacing w:val="-3"/>
                <w:sz w:val="20"/>
                <w:szCs w:val="20"/>
              </w:rPr>
            </w:pPr>
            <w:r w:rsidRPr="00A8470C">
              <w:rPr>
                <w:spacing w:val="-3"/>
                <w:sz w:val="20"/>
                <w:szCs w:val="20"/>
              </w:rPr>
              <w:t>0.2</w:t>
            </w:r>
          </w:p>
        </w:tc>
      </w:tr>
      <w:tr w:rsidR="007613E5" w:rsidRPr="00A8470C" w14:paraId="5903FA91" w14:textId="77777777" w:rsidTr="007613E5">
        <w:trPr>
          <w:jc w:val="center"/>
        </w:trPr>
        <w:tc>
          <w:tcPr>
            <w:tcW w:w="3015" w:type="dxa"/>
            <w:tcBorders>
              <w:top w:val="single" w:sz="4" w:space="0" w:color="auto"/>
              <w:left w:val="single" w:sz="18" w:space="0" w:color="auto"/>
              <w:bottom w:val="single" w:sz="4" w:space="0" w:color="auto"/>
              <w:right w:val="single" w:sz="6" w:space="0" w:color="auto"/>
            </w:tcBorders>
          </w:tcPr>
          <w:p w14:paraId="34A99264" w14:textId="77777777" w:rsidR="007613E5" w:rsidRPr="00A8470C" w:rsidRDefault="007613E5" w:rsidP="007613E5">
            <w:pPr>
              <w:spacing w:line="256" w:lineRule="auto"/>
              <w:rPr>
                <w:b/>
                <w:spacing w:val="-3"/>
                <w:sz w:val="20"/>
                <w:szCs w:val="20"/>
              </w:rPr>
            </w:pPr>
            <w:r w:rsidRPr="00A8470C">
              <w:rPr>
                <w:b/>
                <w:spacing w:val="-3"/>
                <w:sz w:val="20"/>
                <w:szCs w:val="20"/>
              </w:rPr>
              <w:t xml:space="preserve">   Total Hispanic Minority</w:t>
            </w:r>
          </w:p>
        </w:tc>
        <w:tc>
          <w:tcPr>
            <w:tcW w:w="753" w:type="dxa"/>
            <w:tcBorders>
              <w:top w:val="single" w:sz="4" w:space="0" w:color="auto"/>
              <w:left w:val="single" w:sz="6" w:space="0" w:color="auto"/>
              <w:bottom w:val="single" w:sz="4" w:space="0" w:color="auto"/>
              <w:right w:val="single" w:sz="6" w:space="0" w:color="auto"/>
            </w:tcBorders>
          </w:tcPr>
          <w:p w14:paraId="6861C531" w14:textId="77777777" w:rsidR="007613E5" w:rsidRPr="00A8470C" w:rsidRDefault="007613E5" w:rsidP="007613E5">
            <w:pPr>
              <w:spacing w:line="256" w:lineRule="auto"/>
              <w:jc w:val="center"/>
              <w:rPr>
                <w:b/>
                <w:spacing w:val="-3"/>
                <w:sz w:val="20"/>
                <w:szCs w:val="20"/>
              </w:rPr>
            </w:pPr>
            <w:r w:rsidRPr="00A8470C">
              <w:rPr>
                <w:b/>
                <w:spacing w:val="-3"/>
                <w:sz w:val="20"/>
                <w:szCs w:val="20"/>
              </w:rPr>
              <w:t>8</w:t>
            </w:r>
          </w:p>
        </w:tc>
        <w:tc>
          <w:tcPr>
            <w:tcW w:w="979" w:type="dxa"/>
            <w:tcBorders>
              <w:top w:val="single" w:sz="4" w:space="0" w:color="auto"/>
              <w:left w:val="single" w:sz="6" w:space="0" w:color="auto"/>
              <w:bottom w:val="single" w:sz="4" w:space="0" w:color="auto"/>
              <w:right w:val="single" w:sz="4" w:space="0" w:color="auto"/>
            </w:tcBorders>
          </w:tcPr>
          <w:p w14:paraId="09D6D1DB" w14:textId="77777777" w:rsidR="007613E5" w:rsidRPr="00A8470C" w:rsidRDefault="007613E5" w:rsidP="007613E5">
            <w:pPr>
              <w:spacing w:line="256" w:lineRule="auto"/>
              <w:jc w:val="center"/>
              <w:rPr>
                <w:b/>
                <w:spacing w:val="-3"/>
                <w:sz w:val="20"/>
                <w:szCs w:val="20"/>
              </w:rPr>
            </w:pPr>
            <w:r w:rsidRPr="00A8470C">
              <w:rPr>
                <w:b/>
                <w:spacing w:val="-3"/>
                <w:sz w:val="20"/>
                <w:szCs w:val="20"/>
              </w:rPr>
              <w:t>3.4</w:t>
            </w:r>
          </w:p>
        </w:tc>
        <w:tc>
          <w:tcPr>
            <w:tcW w:w="1168" w:type="dxa"/>
            <w:tcBorders>
              <w:top w:val="single" w:sz="4" w:space="0" w:color="auto"/>
              <w:left w:val="single" w:sz="6" w:space="0" w:color="auto"/>
              <w:bottom w:val="single" w:sz="4" w:space="0" w:color="auto"/>
              <w:right w:val="single" w:sz="6" w:space="0" w:color="auto"/>
            </w:tcBorders>
            <w:shd w:val="clear" w:color="auto" w:fill="D9D9D9"/>
          </w:tcPr>
          <w:p w14:paraId="113D6500" w14:textId="77777777" w:rsidR="007613E5" w:rsidRPr="00A8470C" w:rsidRDefault="007613E5" w:rsidP="007613E5">
            <w:pPr>
              <w:spacing w:line="256" w:lineRule="auto"/>
              <w:jc w:val="center"/>
              <w:rPr>
                <w:b/>
                <w:spacing w:val="-3"/>
                <w:sz w:val="20"/>
                <w:szCs w:val="20"/>
              </w:rPr>
            </w:pPr>
            <w:r w:rsidRPr="00A8470C">
              <w:rPr>
                <w:b/>
                <w:spacing w:val="-3"/>
                <w:sz w:val="20"/>
                <w:szCs w:val="20"/>
              </w:rPr>
              <w:t>5.7</w:t>
            </w:r>
          </w:p>
        </w:tc>
        <w:tc>
          <w:tcPr>
            <w:tcW w:w="720" w:type="dxa"/>
            <w:tcBorders>
              <w:top w:val="single" w:sz="4" w:space="0" w:color="auto"/>
              <w:left w:val="single" w:sz="6" w:space="0" w:color="auto"/>
              <w:bottom w:val="single" w:sz="4" w:space="0" w:color="auto"/>
              <w:right w:val="single" w:sz="6" w:space="0" w:color="auto"/>
            </w:tcBorders>
          </w:tcPr>
          <w:p w14:paraId="7B586B71" w14:textId="77777777" w:rsidR="007613E5" w:rsidRPr="00A8470C" w:rsidRDefault="007613E5" w:rsidP="007613E5">
            <w:pPr>
              <w:spacing w:line="256" w:lineRule="auto"/>
              <w:jc w:val="center"/>
              <w:rPr>
                <w:b/>
                <w:spacing w:val="-3"/>
                <w:sz w:val="20"/>
                <w:szCs w:val="20"/>
              </w:rPr>
            </w:pPr>
            <w:r w:rsidRPr="00A8470C">
              <w:rPr>
                <w:b/>
                <w:spacing w:val="-3"/>
                <w:sz w:val="20"/>
                <w:szCs w:val="20"/>
              </w:rPr>
              <w:t>4</w:t>
            </w:r>
          </w:p>
        </w:tc>
        <w:tc>
          <w:tcPr>
            <w:tcW w:w="900" w:type="dxa"/>
            <w:tcBorders>
              <w:top w:val="single" w:sz="4" w:space="0" w:color="auto"/>
              <w:left w:val="single" w:sz="6" w:space="0" w:color="auto"/>
              <w:bottom w:val="single" w:sz="4" w:space="0" w:color="auto"/>
              <w:right w:val="single" w:sz="4" w:space="0" w:color="auto"/>
            </w:tcBorders>
          </w:tcPr>
          <w:p w14:paraId="0A1EC1F8" w14:textId="77777777" w:rsidR="007613E5" w:rsidRPr="00A8470C" w:rsidRDefault="007613E5" w:rsidP="007613E5">
            <w:pPr>
              <w:spacing w:line="256" w:lineRule="auto"/>
              <w:jc w:val="center"/>
              <w:rPr>
                <w:b/>
                <w:spacing w:val="-3"/>
                <w:sz w:val="20"/>
                <w:szCs w:val="20"/>
              </w:rPr>
            </w:pPr>
            <w:r w:rsidRPr="00A8470C">
              <w:rPr>
                <w:b/>
                <w:spacing w:val="-3"/>
                <w:sz w:val="20"/>
                <w:szCs w:val="20"/>
              </w:rPr>
              <w:t>0.9</w:t>
            </w:r>
          </w:p>
        </w:tc>
      </w:tr>
      <w:tr w:rsidR="007613E5" w:rsidRPr="00A8470C" w14:paraId="0C96C963" w14:textId="77777777" w:rsidTr="007613E5">
        <w:trPr>
          <w:jc w:val="center"/>
        </w:trPr>
        <w:tc>
          <w:tcPr>
            <w:tcW w:w="3015" w:type="dxa"/>
            <w:tcBorders>
              <w:top w:val="single" w:sz="4" w:space="0" w:color="auto"/>
              <w:left w:val="single" w:sz="18" w:space="0" w:color="auto"/>
              <w:bottom w:val="single" w:sz="4" w:space="0" w:color="auto"/>
              <w:right w:val="single" w:sz="6" w:space="0" w:color="auto"/>
            </w:tcBorders>
            <w:hideMark/>
          </w:tcPr>
          <w:p w14:paraId="08B084B7" w14:textId="77777777" w:rsidR="007613E5" w:rsidRPr="00A8470C" w:rsidRDefault="007613E5" w:rsidP="007613E5">
            <w:pPr>
              <w:spacing w:line="256" w:lineRule="auto"/>
              <w:rPr>
                <w:spacing w:val="-3"/>
                <w:sz w:val="20"/>
                <w:szCs w:val="20"/>
              </w:rPr>
            </w:pPr>
            <w:r w:rsidRPr="00A8470C">
              <w:rPr>
                <w:spacing w:val="-3"/>
                <w:sz w:val="20"/>
                <w:szCs w:val="20"/>
              </w:rPr>
              <w:t>Not Hispanic or Latino</w:t>
            </w:r>
          </w:p>
        </w:tc>
        <w:tc>
          <w:tcPr>
            <w:tcW w:w="753" w:type="dxa"/>
            <w:tcBorders>
              <w:top w:val="single" w:sz="4" w:space="0" w:color="auto"/>
              <w:left w:val="single" w:sz="6" w:space="0" w:color="auto"/>
              <w:bottom w:val="single" w:sz="4" w:space="0" w:color="auto"/>
              <w:right w:val="single" w:sz="6" w:space="0" w:color="auto"/>
            </w:tcBorders>
          </w:tcPr>
          <w:p w14:paraId="76E01381" w14:textId="77777777" w:rsidR="007613E5" w:rsidRPr="00A8470C" w:rsidRDefault="007613E5" w:rsidP="007613E5">
            <w:pPr>
              <w:spacing w:line="256" w:lineRule="auto"/>
              <w:jc w:val="center"/>
              <w:rPr>
                <w:spacing w:val="-3"/>
                <w:sz w:val="20"/>
                <w:szCs w:val="20"/>
              </w:rPr>
            </w:pPr>
            <w:r w:rsidRPr="00A8470C">
              <w:rPr>
                <w:spacing w:val="-3"/>
                <w:sz w:val="20"/>
                <w:szCs w:val="20"/>
              </w:rPr>
              <w:t>207</w:t>
            </w:r>
          </w:p>
        </w:tc>
        <w:tc>
          <w:tcPr>
            <w:tcW w:w="979" w:type="dxa"/>
            <w:tcBorders>
              <w:top w:val="single" w:sz="4" w:space="0" w:color="auto"/>
              <w:left w:val="single" w:sz="6" w:space="0" w:color="auto"/>
              <w:bottom w:val="single" w:sz="4" w:space="0" w:color="auto"/>
              <w:right w:val="single" w:sz="4" w:space="0" w:color="auto"/>
            </w:tcBorders>
          </w:tcPr>
          <w:p w14:paraId="0D593075" w14:textId="77777777" w:rsidR="007613E5" w:rsidRPr="00A8470C" w:rsidRDefault="007613E5" w:rsidP="007613E5">
            <w:pPr>
              <w:spacing w:line="256" w:lineRule="auto"/>
              <w:jc w:val="center"/>
              <w:rPr>
                <w:spacing w:val="-3"/>
                <w:sz w:val="20"/>
                <w:szCs w:val="20"/>
              </w:rPr>
            </w:pPr>
            <w:r w:rsidRPr="00A8470C">
              <w:rPr>
                <w:spacing w:val="-3"/>
                <w:sz w:val="20"/>
                <w:szCs w:val="20"/>
              </w:rPr>
              <w:t>87.3</w:t>
            </w:r>
          </w:p>
        </w:tc>
        <w:tc>
          <w:tcPr>
            <w:tcW w:w="1168" w:type="dxa"/>
            <w:tcBorders>
              <w:top w:val="single" w:sz="4" w:space="0" w:color="auto"/>
              <w:left w:val="single" w:sz="6" w:space="0" w:color="auto"/>
              <w:bottom w:val="single" w:sz="4" w:space="0" w:color="auto"/>
              <w:right w:val="single" w:sz="6" w:space="0" w:color="auto"/>
            </w:tcBorders>
            <w:shd w:val="clear" w:color="auto" w:fill="D9D9D9"/>
          </w:tcPr>
          <w:p w14:paraId="31A49DE5" w14:textId="77777777" w:rsidR="007613E5" w:rsidRPr="00A8470C" w:rsidRDefault="007613E5" w:rsidP="007613E5">
            <w:pPr>
              <w:spacing w:line="256" w:lineRule="auto"/>
              <w:jc w:val="center"/>
              <w:rPr>
                <w:spacing w:val="-3"/>
                <w:sz w:val="20"/>
                <w:szCs w:val="20"/>
              </w:rPr>
            </w:pPr>
            <w:r w:rsidRPr="00A8470C">
              <w:rPr>
                <w:spacing w:val="-3"/>
                <w:sz w:val="20"/>
                <w:szCs w:val="20"/>
              </w:rPr>
              <w:t>71.8</w:t>
            </w:r>
          </w:p>
        </w:tc>
        <w:tc>
          <w:tcPr>
            <w:tcW w:w="720" w:type="dxa"/>
            <w:tcBorders>
              <w:top w:val="single" w:sz="4" w:space="0" w:color="auto"/>
              <w:left w:val="single" w:sz="6" w:space="0" w:color="auto"/>
              <w:bottom w:val="single" w:sz="4" w:space="0" w:color="auto"/>
              <w:right w:val="single" w:sz="6" w:space="0" w:color="auto"/>
            </w:tcBorders>
          </w:tcPr>
          <w:p w14:paraId="134A262C" w14:textId="77777777" w:rsidR="007613E5" w:rsidRPr="00A8470C" w:rsidRDefault="007613E5" w:rsidP="007613E5">
            <w:pPr>
              <w:spacing w:line="256" w:lineRule="auto"/>
              <w:jc w:val="center"/>
              <w:rPr>
                <w:spacing w:val="-3"/>
                <w:sz w:val="20"/>
                <w:szCs w:val="20"/>
              </w:rPr>
            </w:pPr>
            <w:r w:rsidRPr="00A8470C">
              <w:rPr>
                <w:spacing w:val="-3"/>
                <w:sz w:val="20"/>
                <w:szCs w:val="20"/>
              </w:rPr>
              <w:t>388</w:t>
            </w:r>
          </w:p>
        </w:tc>
        <w:tc>
          <w:tcPr>
            <w:tcW w:w="900" w:type="dxa"/>
            <w:tcBorders>
              <w:top w:val="single" w:sz="4" w:space="0" w:color="auto"/>
              <w:left w:val="single" w:sz="6" w:space="0" w:color="auto"/>
              <w:bottom w:val="single" w:sz="4" w:space="0" w:color="auto"/>
              <w:right w:val="single" w:sz="4" w:space="0" w:color="auto"/>
            </w:tcBorders>
          </w:tcPr>
          <w:p w14:paraId="1EA72081" w14:textId="77777777" w:rsidR="007613E5" w:rsidRPr="00A8470C" w:rsidRDefault="007613E5" w:rsidP="007613E5">
            <w:pPr>
              <w:spacing w:line="256" w:lineRule="auto"/>
              <w:jc w:val="center"/>
              <w:rPr>
                <w:spacing w:val="-3"/>
                <w:sz w:val="20"/>
                <w:szCs w:val="20"/>
              </w:rPr>
            </w:pPr>
            <w:r w:rsidRPr="00A8470C">
              <w:rPr>
                <w:spacing w:val="-3"/>
                <w:sz w:val="20"/>
                <w:szCs w:val="20"/>
              </w:rPr>
              <w:t>86.2</w:t>
            </w:r>
          </w:p>
        </w:tc>
      </w:tr>
      <w:tr w:rsidR="007613E5" w:rsidRPr="00A8470C" w14:paraId="48BFB8A2" w14:textId="77777777" w:rsidTr="007613E5">
        <w:trPr>
          <w:jc w:val="center"/>
        </w:trPr>
        <w:tc>
          <w:tcPr>
            <w:tcW w:w="3015" w:type="dxa"/>
            <w:tcBorders>
              <w:top w:val="single" w:sz="4" w:space="0" w:color="auto"/>
              <w:left w:val="single" w:sz="18" w:space="0" w:color="auto"/>
              <w:bottom w:val="single" w:sz="18" w:space="0" w:color="auto"/>
              <w:right w:val="single" w:sz="6" w:space="0" w:color="auto"/>
            </w:tcBorders>
            <w:hideMark/>
          </w:tcPr>
          <w:p w14:paraId="0FB88A3F" w14:textId="77777777" w:rsidR="007613E5" w:rsidRPr="00A8470C" w:rsidRDefault="007613E5" w:rsidP="007613E5">
            <w:pPr>
              <w:spacing w:line="256" w:lineRule="auto"/>
              <w:rPr>
                <w:spacing w:val="-3"/>
                <w:sz w:val="20"/>
                <w:szCs w:val="20"/>
              </w:rPr>
            </w:pPr>
            <w:r w:rsidRPr="00A8470C">
              <w:rPr>
                <w:spacing w:val="-3"/>
                <w:sz w:val="20"/>
                <w:szCs w:val="20"/>
              </w:rPr>
              <w:t>Ethnicity Not Available</w:t>
            </w:r>
          </w:p>
        </w:tc>
        <w:tc>
          <w:tcPr>
            <w:tcW w:w="753" w:type="dxa"/>
            <w:tcBorders>
              <w:top w:val="single" w:sz="4" w:space="0" w:color="auto"/>
              <w:left w:val="single" w:sz="6" w:space="0" w:color="auto"/>
              <w:bottom w:val="single" w:sz="18" w:space="0" w:color="auto"/>
              <w:right w:val="single" w:sz="6" w:space="0" w:color="auto"/>
            </w:tcBorders>
          </w:tcPr>
          <w:p w14:paraId="359C5DF7" w14:textId="77777777" w:rsidR="007613E5" w:rsidRPr="00A8470C" w:rsidRDefault="007613E5" w:rsidP="007613E5">
            <w:pPr>
              <w:spacing w:line="256" w:lineRule="auto"/>
              <w:jc w:val="center"/>
              <w:rPr>
                <w:spacing w:val="-3"/>
                <w:sz w:val="20"/>
                <w:szCs w:val="20"/>
              </w:rPr>
            </w:pPr>
            <w:r w:rsidRPr="00A8470C">
              <w:rPr>
                <w:spacing w:val="-3"/>
                <w:sz w:val="20"/>
                <w:szCs w:val="20"/>
              </w:rPr>
              <w:t>22</w:t>
            </w:r>
          </w:p>
        </w:tc>
        <w:tc>
          <w:tcPr>
            <w:tcW w:w="979" w:type="dxa"/>
            <w:tcBorders>
              <w:top w:val="single" w:sz="4" w:space="0" w:color="auto"/>
              <w:left w:val="single" w:sz="6" w:space="0" w:color="auto"/>
              <w:bottom w:val="single" w:sz="18" w:space="0" w:color="auto"/>
              <w:right w:val="single" w:sz="4" w:space="0" w:color="auto"/>
            </w:tcBorders>
          </w:tcPr>
          <w:p w14:paraId="4ACDA6B8" w14:textId="77777777" w:rsidR="007613E5" w:rsidRPr="00A8470C" w:rsidRDefault="007613E5" w:rsidP="007613E5">
            <w:pPr>
              <w:spacing w:line="256" w:lineRule="auto"/>
              <w:jc w:val="center"/>
              <w:rPr>
                <w:spacing w:val="-3"/>
                <w:sz w:val="20"/>
                <w:szCs w:val="20"/>
              </w:rPr>
            </w:pPr>
            <w:r w:rsidRPr="00A8470C">
              <w:rPr>
                <w:spacing w:val="-3"/>
                <w:sz w:val="20"/>
                <w:szCs w:val="20"/>
              </w:rPr>
              <w:t>9.3</w:t>
            </w:r>
          </w:p>
        </w:tc>
        <w:tc>
          <w:tcPr>
            <w:tcW w:w="1168" w:type="dxa"/>
            <w:tcBorders>
              <w:top w:val="single" w:sz="4" w:space="0" w:color="auto"/>
              <w:left w:val="single" w:sz="6" w:space="0" w:color="auto"/>
              <w:bottom w:val="single" w:sz="18" w:space="0" w:color="auto"/>
              <w:right w:val="single" w:sz="6" w:space="0" w:color="auto"/>
            </w:tcBorders>
            <w:shd w:val="clear" w:color="auto" w:fill="D9D9D9"/>
          </w:tcPr>
          <w:p w14:paraId="4E81C074" w14:textId="77777777" w:rsidR="007613E5" w:rsidRPr="00A8470C" w:rsidRDefault="007613E5" w:rsidP="007613E5">
            <w:pPr>
              <w:spacing w:line="256" w:lineRule="auto"/>
              <w:jc w:val="center"/>
              <w:rPr>
                <w:spacing w:val="-3"/>
                <w:sz w:val="20"/>
                <w:szCs w:val="20"/>
              </w:rPr>
            </w:pPr>
            <w:r w:rsidRPr="00A8470C">
              <w:rPr>
                <w:spacing w:val="-3"/>
                <w:sz w:val="20"/>
                <w:szCs w:val="20"/>
              </w:rPr>
              <w:t>22.6</w:t>
            </w:r>
          </w:p>
        </w:tc>
        <w:tc>
          <w:tcPr>
            <w:tcW w:w="720" w:type="dxa"/>
            <w:tcBorders>
              <w:top w:val="single" w:sz="4" w:space="0" w:color="auto"/>
              <w:left w:val="single" w:sz="6" w:space="0" w:color="auto"/>
              <w:bottom w:val="single" w:sz="18" w:space="0" w:color="auto"/>
              <w:right w:val="single" w:sz="6" w:space="0" w:color="auto"/>
            </w:tcBorders>
          </w:tcPr>
          <w:p w14:paraId="62C0F349" w14:textId="77777777" w:rsidR="007613E5" w:rsidRPr="00A8470C" w:rsidRDefault="007613E5" w:rsidP="007613E5">
            <w:pPr>
              <w:spacing w:line="256" w:lineRule="auto"/>
              <w:jc w:val="center"/>
              <w:rPr>
                <w:spacing w:val="-3"/>
                <w:sz w:val="20"/>
                <w:szCs w:val="20"/>
              </w:rPr>
            </w:pPr>
            <w:r w:rsidRPr="00A8470C">
              <w:rPr>
                <w:spacing w:val="-3"/>
                <w:sz w:val="20"/>
                <w:szCs w:val="20"/>
              </w:rPr>
              <w:t>58</w:t>
            </w:r>
          </w:p>
        </w:tc>
        <w:tc>
          <w:tcPr>
            <w:tcW w:w="900" w:type="dxa"/>
            <w:tcBorders>
              <w:top w:val="single" w:sz="4" w:space="0" w:color="auto"/>
              <w:left w:val="single" w:sz="6" w:space="0" w:color="auto"/>
              <w:bottom w:val="single" w:sz="18" w:space="0" w:color="auto"/>
              <w:right w:val="single" w:sz="4" w:space="0" w:color="auto"/>
            </w:tcBorders>
          </w:tcPr>
          <w:p w14:paraId="1F422CDC" w14:textId="77777777" w:rsidR="007613E5" w:rsidRPr="00A8470C" w:rsidRDefault="007613E5" w:rsidP="007613E5">
            <w:pPr>
              <w:spacing w:line="256" w:lineRule="auto"/>
              <w:jc w:val="center"/>
              <w:rPr>
                <w:spacing w:val="-3"/>
                <w:sz w:val="20"/>
                <w:szCs w:val="20"/>
              </w:rPr>
            </w:pPr>
            <w:r w:rsidRPr="00A8470C">
              <w:rPr>
                <w:spacing w:val="-3"/>
                <w:sz w:val="20"/>
                <w:szCs w:val="20"/>
              </w:rPr>
              <w:t>12.9</w:t>
            </w:r>
          </w:p>
        </w:tc>
      </w:tr>
      <w:tr w:rsidR="007613E5" w:rsidRPr="00A8470C" w14:paraId="76079674" w14:textId="77777777" w:rsidTr="007613E5">
        <w:trPr>
          <w:jc w:val="center"/>
        </w:trPr>
        <w:tc>
          <w:tcPr>
            <w:tcW w:w="3015" w:type="dxa"/>
            <w:tcBorders>
              <w:top w:val="nil"/>
              <w:left w:val="single" w:sz="18" w:space="0" w:color="auto"/>
              <w:bottom w:val="single" w:sz="18" w:space="0" w:color="auto"/>
              <w:right w:val="single" w:sz="6" w:space="0" w:color="auto"/>
            </w:tcBorders>
            <w:hideMark/>
          </w:tcPr>
          <w:p w14:paraId="7E1AE7FA" w14:textId="77777777" w:rsidR="007613E5" w:rsidRPr="00A8470C" w:rsidRDefault="007613E5" w:rsidP="007613E5">
            <w:pPr>
              <w:spacing w:line="256" w:lineRule="auto"/>
              <w:jc w:val="center"/>
              <w:rPr>
                <w:b/>
                <w:spacing w:val="-3"/>
                <w:sz w:val="20"/>
                <w:szCs w:val="20"/>
              </w:rPr>
            </w:pPr>
            <w:r w:rsidRPr="00A8470C">
              <w:rPr>
                <w:b/>
                <w:spacing w:val="-3"/>
                <w:sz w:val="20"/>
                <w:szCs w:val="20"/>
              </w:rPr>
              <w:t>Total</w:t>
            </w:r>
          </w:p>
        </w:tc>
        <w:tc>
          <w:tcPr>
            <w:tcW w:w="753" w:type="dxa"/>
            <w:tcBorders>
              <w:top w:val="nil"/>
              <w:left w:val="single" w:sz="6" w:space="0" w:color="auto"/>
              <w:bottom w:val="single" w:sz="18" w:space="0" w:color="auto"/>
              <w:right w:val="single" w:sz="6" w:space="0" w:color="auto"/>
            </w:tcBorders>
          </w:tcPr>
          <w:p w14:paraId="69426CCF" w14:textId="77777777" w:rsidR="007613E5" w:rsidRPr="00A8470C" w:rsidRDefault="007613E5" w:rsidP="007613E5">
            <w:pPr>
              <w:spacing w:line="256" w:lineRule="auto"/>
              <w:jc w:val="center"/>
              <w:rPr>
                <w:b/>
                <w:spacing w:val="-3"/>
                <w:sz w:val="20"/>
                <w:szCs w:val="20"/>
              </w:rPr>
            </w:pPr>
            <w:r w:rsidRPr="00A8470C">
              <w:rPr>
                <w:b/>
                <w:spacing w:val="-3"/>
                <w:sz w:val="20"/>
                <w:szCs w:val="20"/>
              </w:rPr>
              <w:t>237</w:t>
            </w:r>
          </w:p>
        </w:tc>
        <w:tc>
          <w:tcPr>
            <w:tcW w:w="979" w:type="dxa"/>
            <w:tcBorders>
              <w:top w:val="nil"/>
              <w:left w:val="single" w:sz="6" w:space="0" w:color="auto"/>
              <w:bottom w:val="single" w:sz="18" w:space="0" w:color="auto"/>
              <w:right w:val="single" w:sz="4" w:space="0" w:color="auto"/>
            </w:tcBorders>
          </w:tcPr>
          <w:p w14:paraId="34553F4E" w14:textId="77777777" w:rsidR="007613E5" w:rsidRPr="00A8470C" w:rsidRDefault="007613E5" w:rsidP="007613E5">
            <w:pPr>
              <w:spacing w:line="256" w:lineRule="auto"/>
              <w:jc w:val="center"/>
              <w:rPr>
                <w:b/>
                <w:spacing w:val="-3"/>
                <w:sz w:val="20"/>
                <w:szCs w:val="20"/>
              </w:rPr>
            </w:pPr>
            <w:r w:rsidRPr="00A8470C">
              <w:rPr>
                <w:b/>
                <w:spacing w:val="-3"/>
                <w:sz w:val="20"/>
                <w:szCs w:val="20"/>
              </w:rPr>
              <w:t>100.0</w:t>
            </w:r>
          </w:p>
        </w:tc>
        <w:tc>
          <w:tcPr>
            <w:tcW w:w="1168" w:type="dxa"/>
            <w:tcBorders>
              <w:top w:val="nil"/>
              <w:left w:val="single" w:sz="6" w:space="0" w:color="auto"/>
              <w:bottom w:val="single" w:sz="18" w:space="0" w:color="auto"/>
              <w:right w:val="single" w:sz="6" w:space="0" w:color="auto"/>
            </w:tcBorders>
            <w:shd w:val="clear" w:color="auto" w:fill="D9D9D9"/>
          </w:tcPr>
          <w:p w14:paraId="456A61B6" w14:textId="77777777" w:rsidR="007613E5" w:rsidRPr="00A8470C" w:rsidRDefault="007613E5" w:rsidP="007613E5">
            <w:pPr>
              <w:spacing w:line="256" w:lineRule="auto"/>
              <w:jc w:val="center"/>
              <w:rPr>
                <w:b/>
                <w:spacing w:val="-3"/>
                <w:sz w:val="20"/>
                <w:szCs w:val="20"/>
              </w:rPr>
            </w:pPr>
            <w:r w:rsidRPr="00A8470C">
              <w:rPr>
                <w:rFonts w:eastAsia="Calibri"/>
                <w:b/>
                <w:spacing w:val="-3"/>
                <w:sz w:val="20"/>
                <w:szCs w:val="20"/>
              </w:rPr>
              <w:t>100.0</w:t>
            </w:r>
          </w:p>
        </w:tc>
        <w:tc>
          <w:tcPr>
            <w:tcW w:w="720" w:type="dxa"/>
            <w:tcBorders>
              <w:top w:val="nil"/>
              <w:left w:val="single" w:sz="6" w:space="0" w:color="auto"/>
              <w:bottom w:val="single" w:sz="18" w:space="0" w:color="auto"/>
              <w:right w:val="single" w:sz="6" w:space="0" w:color="auto"/>
            </w:tcBorders>
          </w:tcPr>
          <w:p w14:paraId="1D335CCF" w14:textId="77777777" w:rsidR="007613E5" w:rsidRPr="00A8470C" w:rsidRDefault="007613E5" w:rsidP="007613E5">
            <w:pPr>
              <w:spacing w:line="256" w:lineRule="auto"/>
              <w:jc w:val="center"/>
              <w:rPr>
                <w:b/>
                <w:spacing w:val="-3"/>
                <w:sz w:val="20"/>
                <w:szCs w:val="20"/>
              </w:rPr>
            </w:pPr>
            <w:r w:rsidRPr="00A8470C">
              <w:rPr>
                <w:b/>
                <w:spacing w:val="-3"/>
                <w:sz w:val="20"/>
                <w:szCs w:val="20"/>
              </w:rPr>
              <w:t>450</w:t>
            </w:r>
          </w:p>
        </w:tc>
        <w:tc>
          <w:tcPr>
            <w:tcW w:w="900" w:type="dxa"/>
            <w:tcBorders>
              <w:top w:val="single" w:sz="18" w:space="0" w:color="auto"/>
              <w:left w:val="single" w:sz="6" w:space="0" w:color="auto"/>
              <w:bottom w:val="single" w:sz="18" w:space="0" w:color="auto"/>
              <w:right w:val="single" w:sz="4" w:space="0" w:color="auto"/>
            </w:tcBorders>
          </w:tcPr>
          <w:p w14:paraId="567C34EF" w14:textId="77777777" w:rsidR="007613E5" w:rsidRPr="00A8470C" w:rsidRDefault="007613E5" w:rsidP="007613E5">
            <w:pPr>
              <w:spacing w:line="256" w:lineRule="auto"/>
              <w:jc w:val="center"/>
              <w:rPr>
                <w:b/>
                <w:spacing w:val="-3"/>
                <w:sz w:val="20"/>
                <w:szCs w:val="20"/>
              </w:rPr>
            </w:pPr>
            <w:r w:rsidRPr="00A8470C">
              <w:rPr>
                <w:rFonts w:eastAsia="Calibri"/>
                <w:b/>
                <w:spacing w:val="-3"/>
                <w:sz w:val="20"/>
                <w:szCs w:val="20"/>
              </w:rPr>
              <w:t>100.0</w:t>
            </w:r>
          </w:p>
        </w:tc>
      </w:tr>
    </w:tbl>
    <w:p w14:paraId="53969F1A" w14:textId="77777777" w:rsidR="003265E0" w:rsidRDefault="003265E0" w:rsidP="003265E0">
      <w:pPr>
        <w:rPr>
          <w:bCs/>
          <w:szCs w:val="28"/>
        </w:rPr>
      </w:pPr>
      <w:r>
        <w:rPr>
          <w:bCs/>
          <w:szCs w:val="28"/>
        </w:rPr>
        <w:tab/>
      </w:r>
      <w:r>
        <w:rPr>
          <w:bCs/>
          <w:szCs w:val="28"/>
        </w:rPr>
        <w:tab/>
      </w:r>
      <w:r>
        <w:rPr>
          <w:bCs/>
          <w:szCs w:val="28"/>
        </w:rPr>
        <w:tab/>
      </w:r>
      <w:r>
        <w:rPr>
          <w:bCs/>
          <w:szCs w:val="28"/>
        </w:rPr>
        <w:tab/>
      </w:r>
      <w:r>
        <w:rPr>
          <w:bCs/>
          <w:szCs w:val="28"/>
        </w:rPr>
        <w:tab/>
      </w:r>
    </w:p>
    <w:p w14:paraId="5AA4C6C5" w14:textId="77777777" w:rsidR="004F73B0" w:rsidRDefault="00B00A8A" w:rsidP="003265E0">
      <w:pPr>
        <w:ind w:left="2880" w:firstLine="720"/>
      </w:pPr>
      <w:r>
        <w:t xml:space="preserve"> </w:t>
      </w:r>
    </w:p>
    <w:p w14:paraId="53BD2BB0" w14:textId="77777777" w:rsidR="004F73B0" w:rsidRDefault="004F73B0">
      <w:r>
        <w:br w:type="page"/>
      </w:r>
    </w:p>
    <w:p w14:paraId="2C6A6279" w14:textId="7E6A6BF9" w:rsidR="002D5204" w:rsidRDefault="002D5204" w:rsidP="003265E0">
      <w:pPr>
        <w:ind w:left="2880" w:firstLine="720"/>
        <w:rPr>
          <w:b/>
          <w:bCs/>
          <w:sz w:val="28"/>
          <w:szCs w:val="28"/>
        </w:rPr>
      </w:pPr>
      <w:r w:rsidRPr="00AE1F9E">
        <w:rPr>
          <w:b/>
          <w:bCs/>
          <w:sz w:val="28"/>
          <w:szCs w:val="28"/>
        </w:rPr>
        <w:lastRenderedPageBreak/>
        <w:t>GLOSSARY</w:t>
      </w:r>
    </w:p>
    <w:p w14:paraId="08507EDF" w14:textId="77777777" w:rsidR="002D5204" w:rsidRPr="00AE1F9E" w:rsidRDefault="002D5204" w:rsidP="002D5204">
      <w:pPr>
        <w:jc w:val="center"/>
        <w:rPr>
          <w:b/>
          <w:bCs/>
          <w:sz w:val="28"/>
          <w:szCs w:val="28"/>
        </w:rPr>
      </w:pPr>
    </w:p>
    <w:p w14:paraId="131FEC5C" w14:textId="77777777" w:rsidR="002D5204" w:rsidRPr="00D50F8D" w:rsidRDefault="002D5204" w:rsidP="002D5204">
      <w:r>
        <w:rPr>
          <w:b/>
          <w:bCs/>
        </w:rPr>
        <w:t>Aggregate L</w:t>
      </w:r>
      <w:r w:rsidRPr="00D50F8D">
        <w:rPr>
          <w:b/>
          <w:bCs/>
        </w:rPr>
        <w:t>ending:</w:t>
      </w:r>
      <w:r w:rsidRPr="00D50F8D">
        <w:t xml:space="preserve"> </w:t>
      </w:r>
      <w:r>
        <w:t xml:space="preserve"> </w:t>
      </w:r>
      <w:r w:rsidRPr="00D50F8D">
        <w:t>The number of loans originated and purchased by all reporting lenders in specified income categories as a percentage of the aggregate number of loans originated and purchased by all reporting lenders in the metropolitan area/assessment area.</w:t>
      </w:r>
    </w:p>
    <w:p w14:paraId="4ABB3381" w14:textId="77777777" w:rsidR="002D5204" w:rsidRDefault="002D5204" w:rsidP="002D5204">
      <w:pPr>
        <w:rPr>
          <w:b/>
          <w:bCs/>
        </w:rPr>
      </w:pPr>
    </w:p>
    <w:p w14:paraId="0AB3AA8B" w14:textId="77777777" w:rsidR="002D5204" w:rsidRDefault="002D5204" w:rsidP="002D5204">
      <w:pPr>
        <w:rPr>
          <w:i/>
          <w:iCs/>
        </w:rPr>
      </w:pPr>
      <w:r>
        <w:rPr>
          <w:b/>
          <w:bCs/>
        </w:rPr>
        <w:t xml:space="preserve">Area Median Income: </w:t>
      </w:r>
      <w:r w:rsidRPr="00014F79">
        <w:rPr>
          <w:b/>
          <w:bCs/>
        </w:rPr>
        <w:t xml:space="preserve"> </w:t>
      </w:r>
      <w:r>
        <w:t>The median family income for the MSA, if a person or geography is located in an MSA</w:t>
      </w:r>
      <w:proofErr w:type="gramStart"/>
      <w:r>
        <w:t>;</w:t>
      </w:r>
      <w:proofErr w:type="gramEnd"/>
      <w:r>
        <w:t xml:space="preserve"> or the statewide nonmetropolitan median family income, if a person or geography is located outside an MSA</w:t>
      </w:r>
      <w:r>
        <w:rPr>
          <w:i/>
          <w:iCs/>
        </w:rPr>
        <w:t>.</w:t>
      </w:r>
    </w:p>
    <w:p w14:paraId="29A23F55" w14:textId="77777777" w:rsidR="002D5204" w:rsidRDefault="002D5204" w:rsidP="002D5204">
      <w:pPr>
        <w:rPr>
          <w:b/>
          <w:bCs/>
        </w:rPr>
      </w:pPr>
    </w:p>
    <w:p w14:paraId="5064797E" w14:textId="77777777" w:rsidR="002D5204" w:rsidRDefault="002D5204" w:rsidP="002D5204">
      <w:r>
        <w:rPr>
          <w:b/>
          <w:bCs/>
        </w:rPr>
        <w:t>Assessment Area:</w:t>
      </w:r>
      <w:r>
        <w:t xml:space="preserve">  A geographic area delineated by the bank under the requirements of the Community Reinvestment Act.</w:t>
      </w:r>
    </w:p>
    <w:p w14:paraId="3995B9E7" w14:textId="77777777" w:rsidR="002D5204" w:rsidRDefault="002D5204" w:rsidP="002D5204">
      <w:pPr>
        <w:rPr>
          <w:b/>
          <w:bCs/>
        </w:rPr>
      </w:pPr>
    </w:p>
    <w:p w14:paraId="4009B8AC" w14:textId="77777777" w:rsidR="002D5204" w:rsidRDefault="002D5204" w:rsidP="002D5204">
      <w:r>
        <w:rPr>
          <w:b/>
          <w:bCs/>
        </w:rPr>
        <w:t xml:space="preserve">Census Tract:  </w:t>
      </w:r>
      <w:r>
        <w:t xml:space="preserve">A small, relatively permanent statistical subdivision of a county.  Census tract boundaries normally follow visible features, but they may follow governmental unit boundaries and other non-visible features in some instances.  They always nest within counties.  Census tracts average about 4,000 persons, and their physical size varies widely depending upon population density.  Census tracts </w:t>
      </w:r>
      <w:proofErr w:type="gramStart"/>
      <w:r>
        <w:t>are designed</w:t>
      </w:r>
      <w:proofErr w:type="gramEnd"/>
      <w:r>
        <w:t xml:space="preserve"> to be homogenous for population characteristics, economic status, and living conditions to allow for statistical comparisons.</w:t>
      </w:r>
    </w:p>
    <w:p w14:paraId="4FFE6B96" w14:textId="77777777" w:rsidR="002D5204" w:rsidRDefault="002D5204" w:rsidP="002D5204">
      <w:pPr>
        <w:rPr>
          <w:b/>
          <w:bCs/>
        </w:rPr>
      </w:pPr>
    </w:p>
    <w:p w14:paraId="6E722FCF" w14:textId="77777777" w:rsidR="002D5204" w:rsidRPr="007A6E51" w:rsidRDefault="002D5204" w:rsidP="002D5204">
      <w:pPr>
        <w:widowControl w:val="0"/>
      </w:pPr>
      <w:r w:rsidRPr="00D3354F">
        <w:rPr>
          <w:b/>
          <w:bCs/>
        </w:rPr>
        <w:t>C</w:t>
      </w:r>
      <w:r>
        <w:rPr>
          <w:b/>
          <w:bCs/>
        </w:rPr>
        <w:t xml:space="preserve">ombined Statistical Area (CSA):  </w:t>
      </w:r>
      <w:r w:rsidRPr="007A6E51">
        <w:t xml:space="preserve">A combination of several adjacent metropolitan statistical areas or </w:t>
      </w:r>
      <w:proofErr w:type="spellStart"/>
      <w:r w:rsidRPr="007A6E51">
        <w:t>micropolitan</w:t>
      </w:r>
      <w:proofErr w:type="spellEnd"/>
      <w:r w:rsidRPr="007A6E51">
        <w:t xml:space="preserve"> statistical areas or a mix of the two, which </w:t>
      </w:r>
      <w:proofErr w:type="gramStart"/>
      <w:r w:rsidRPr="007A6E51">
        <w:t>are linked</w:t>
      </w:r>
      <w:proofErr w:type="gramEnd"/>
      <w:r w:rsidRPr="007A6E51">
        <w:t xml:space="preserve"> by economic ties.  </w:t>
      </w:r>
    </w:p>
    <w:p w14:paraId="2DA0FBA1" w14:textId="77777777" w:rsidR="002D5204" w:rsidRPr="00D3354F" w:rsidRDefault="002D5204" w:rsidP="002D5204"/>
    <w:p w14:paraId="13E22AD4" w14:textId="77777777" w:rsidR="002D5204" w:rsidRPr="00D3354F" w:rsidRDefault="002D5204" w:rsidP="002D5204">
      <w:r w:rsidRPr="00D3354F">
        <w:rPr>
          <w:b/>
          <w:bCs/>
        </w:rPr>
        <w:t xml:space="preserve">Community Development:  </w:t>
      </w:r>
      <w:r w:rsidRPr="00D3354F">
        <w:t>For loans, investments, and services to qualify as community development activities, their primary purpose must</w:t>
      </w:r>
      <w:r>
        <w:t>:</w:t>
      </w:r>
    </w:p>
    <w:p w14:paraId="6691CA99" w14:textId="77777777" w:rsidR="002D5204" w:rsidRPr="00D3354F" w:rsidRDefault="002D5204" w:rsidP="002D5204">
      <w:pPr>
        <w:tabs>
          <w:tab w:val="left" w:pos="720"/>
        </w:tabs>
        <w:ind w:left="720" w:hanging="360"/>
      </w:pPr>
      <w:r w:rsidRPr="00D3354F">
        <w:t>(1)</w:t>
      </w:r>
      <w:r w:rsidRPr="00D3354F">
        <w:tab/>
        <w:t>Support affordable housing for low- and moderate-income individuals</w:t>
      </w:r>
      <w:proofErr w:type="gramStart"/>
      <w:r w:rsidRPr="00D3354F">
        <w:t>;</w:t>
      </w:r>
      <w:proofErr w:type="gramEnd"/>
      <w:r w:rsidRPr="00D3354F">
        <w:t xml:space="preserve"> </w:t>
      </w:r>
    </w:p>
    <w:p w14:paraId="021649A5" w14:textId="77777777" w:rsidR="002D5204" w:rsidRPr="00D3354F" w:rsidRDefault="002D5204" w:rsidP="002D5204">
      <w:pPr>
        <w:tabs>
          <w:tab w:val="left" w:pos="720"/>
        </w:tabs>
        <w:ind w:left="720" w:hanging="360"/>
      </w:pPr>
      <w:r w:rsidRPr="00D3354F">
        <w:t>(2)</w:t>
      </w:r>
      <w:r w:rsidRPr="00D3354F">
        <w:tab/>
        <w:t>Target community services toward low- and moderate-income individuals</w:t>
      </w:r>
      <w:proofErr w:type="gramStart"/>
      <w:r w:rsidRPr="00D3354F">
        <w:t>;</w:t>
      </w:r>
      <w:proofErr w:type="gramEnd"/>
      <w:r w:rsidRPr="00D3354F">
        <w:t xml:space="preserve"> </w:t>
      </w:r>
    </w:p>
    <w:p w14:paraId="2C13EE4C" w14:textId="77777777" w:rsidR="002D5204" w:rsidRPr="00D3354F" w:rsidRDefault="002D5204" w:rsidP="002D5204">
      <w:pPr>
        <w:tabs>
          <w:tab w:val="left" w:pos="720"/>
        </w:tabs>
        <w:ind w:left="720" w:hanging="360"/>
      </w:pPr>
      <w:r w:rsidRPr="00D3354F">
        <w:t>(3)</w:t>
      </w:r>
      <w:r w:rsidRPr="00D3354F">
        <w:tab/>
        <w:t xml:space="preserve">Promote economic development by financing small businesses or farms; or </w:t>
      </w:r>
    </w:p>
    <w:p w14:paraId="13A9ABA9" w14:textId="77777777" w:rsidR="002D5204" w:rsidRPr="00D3354F" w:rsidRDefault="002D5204" w:rsidP="002D5204">
      <w:pPr>
        <w:tabs>
          <w:tab w:val="left" w:pos="720"/>
        </w:tabs>
        <w:ind w:left="720" w:hanging="360"/>
      </w:pPr>
      <w:r w:rsidRPr="00D3354F">
        <w:t>(4)</w:t>
      </w:r>
      <w:r w:rsidRPr="00D3354F">
        <w:tab/>
        <w:t>Provide activities that revitalize or stabilize low- and moderate-income geographies, designated disaster areas, o</w:t>
      </w:r>
      <w:r>
        <w:t>r distressed or underserved non</w:t>
      </w:r>
      <w:r w:rsidRPr="00D3354F">
        <w:t>metropolitan middle-income geographies; or</w:t>
      </w:r>
    </w:p>
    <w:p w14:paraId="6F2B38E6" w14:textId="77777777" w:rsidR="002D5204" w:rsidRPr="00D3354F" w:rsidRDefault="002D5204" w:rsidP="002D5204">
      <w:pPr>
        <w:tabs>
          <w:tab w:val="left" w:pos="720"/>
        </w:tabs>
        <w:ind w:left="720" w:hanging="360"/>
      </w:pPr>
      <w:r w:rsidRPr="00D3354F">
        <w:t>(5)</w:t>
      </w:r>
      <w:r w:rsidRPr="00D3354F">
        <w:tab/>
        <w:t>Enable or facilitate projects or activities that address needs regarding foreclosed or abandoned residential properties in designated target areas.</w:t>
      </w:r>
    </w:p>
    <w:p w14:paraId="6832CCD5" w14:textId="77777777" w:rsidR="002D5204" w:rsidRPr="00D3354F" w:rsidRDefault="002D5204" w:rsidP="002D5204"/>
    <w:p w14:paraId="7FE8FC30" w14:textId="77777777" w:rsidR="002D5204" w:rsidRPr="00D3354F" w:rsidRDefault="002D5204" w:rsidP="002D5204">
      <w:r w:rsidRPr="00D3354F">
        <w:rPr>
          <w:b/>
          <w:bCs/>
        </w:rPr>
        <w:t xml:space="preserve">Community Development Corporation (CDC):  </w:t>
      </w:r>
      <w:r w:rsidRPr="00D3354F">
        <w:t>A CDC allows banks and holding companies to make equity type of investments in community development projects.  Bank CDCs can develop innovative debt instruments or provide near-equity investments tailored to the development needs of the community</w:t>
      </w:r>
      <w:r>
        <w:t xml:space="preserve">.  Bank CDCs </w:t>
      </w:r>
      <w:proofErr w:type="gramStart"/>
      <w:r>
        <w:t>are also tailored</w:t>
      </w:r>
      <w:proofErr w:type="gramEnd"/>
      <w:r>
        <w:t xml:space="preserve"> to their</w:t>
      </w:r>
      <w:r w:rsidRPr="00D3354F">
        <w:t xml:space="preserve"> financial and marketing needs</w:t>
      </w:r>
      <w:r>
        <w:t>.</w:t>
      </w:r>
      <w:r w:rsidRPr="00D3354F">
        <w:t xml:space="preserve">  A CDC may purchase, own, rehabilitate, construct, manage</w:t>
      </w:r>
      <w:r>
        <w:t>,</w:t>
      </w:r>
      <w:r w:rsidRPr="00D3354F">
        <w:t xml:space="preserve"> and sell real property.  </w:t>
      </w:r>
      <w:proofErr w:type="gramStart"/>
      <w:r w:rsidRPr="00D3354F">
        <w:t>Also</w:t>
      </w:r>
      <w:proofErr w:type="gramEnd"/>
      <w:r w:rsidRPr="00D3354F">
        <w:t xml:space="preserve">, it may make equity or debt investments in development projects and in local businesses.  The CDC activities </w:t>
      </w:r>
      <w:proofErr w:type="gramStart"/>
      <w:r w:rsidRPr="00D3354F">
        <w:t>are expected</w:t>
      </w:r>
      <w:proofErr w:type="gramEnd"/>
      <w:r w:rsidRPr="00D3354F">
        <w:t xml:space="preserve"> to directly benefit low- and moderate-income groups, and the investment dollars should not represent an undue risk on the banking organization.  </w:t>
      </w:r>
    </w:p>
    <w:p w14:paraId="281FC476" w14:textId="77777777" w:rsidR="002D5204" w:rsidRPr="00D3354F" w:rsidRDefault="002D5204" w:rsidP="002D5204"/>
    <w:p w14:paraId="2A2BEA6F" w14:textId="77777777" w:rsidR="002D5204" w:rsidRPr="00D3354F" w:rsidRDefault="002D5204" w:rsidP="002D5204">
      <w:pPr>
        <w:pStyle w:val="HTMLPreformatted"/>
        <w:rPr>
          <w:rFonts w:ascii="Times New Roman" w:hAnsi="Times New Roman"/>
          <w:sz w:val="24"/>
          <w:szCs w:val="24"/>
        </w:rPr>
      </w:pPr>
      <w:r w:rsidRPr="00D3354F">
        <w:rPr>
          <w:rFonts w:ascii="Times New Roman" w:hAnsi="Times New Roman"/>
          <w:b/>
          <w:bCs/>
          <w:sz w:val="24"/>
          <w:szCs w:val="24"/>
        </w:rPr>
        <w:t>Community Development Financial Institutions (CDFIs):</w:t>
      </w:r>
      <w:r w:rsidRPr="00D3354F">
        <w:rPr>
          <w:rFonts w:ascii="Times New Roman" w:hAnsi="Times New Roman"/>
          <w:sz w:val="24"/>
          <w:szCs w:val="24"/>
        </w:rPr>
        <w:t xml:space="preserve">  CDFIs are private intermediaries (either for profit or nonprofit) with community development as their primary mission.  A CDFI </w:t>
      </w:r>
      <w:r w:rsidRPr="00D3354F">
        <w:rPr>
          <w:rFonts w:ascii="Times New Roman" w:hAnsi="Times New Roman"/>
          <w:sz w:val="24"/>
          <w:szCs w:val="24"/>
        </w:rPr>
        <w:lastRenderedPageBreak/>
        <w:t xml:space="preserve">facilitates the flow of lending and investment capital into distressed communities and to individuals who have been unable to take advantage of the services offered by traditional financial institutions.  Some basic types of CDFIs include community development banks, </w:t>
      </w:r>
      <w:proofErr w:type="gramStart"/>
      <w:r w:rsidRPr="00D3354F">
        <w:rPr>
          <w:rFonts w:ascii="Times New Roman" w:hAnsi="Times New Roman"/>
          <w:sz w:val="24"/>
          <w:szCs w:val="24"/>
        </w:rPr>
        <w:t>community development loan funds</w:t>
      </w:r>
      <w:proofErr w:type="gramEnd"/>
      <w:r w:rsidRPr="00D3354F">
        <w:rPr>
          <w:rFonts w:ascii="Times New Roman" w:hAnsi="Times New Roman"/>
          <w:sz w:val="24"/>
          <w:szCs w:val="24"/>
        </w:rPr>
        <w:t xml:space="preserve">, community development credit unions, micro enterprise funds, and community development venture capital funds.  </w:t>
      </w:r>
    </w:p>
    <w:p w14:paraId="71CD6609" w14:textId="77777777" w:rsidR="002D5204" w:rsidRPr="00D3354F" w:rsidRDefault="002D5204" w:rsidP="002D5204">
      <w:pPr>
        <w:pStyle w:val="HTMLPreformatted"/>
        <w:rPr>
          <w:rFonts w:ascii="Times New Roman" w:hAnsi="Times New Roman"/>
          <w:sz w:val="24"/>
          <w:szCs w:val="24"/>
        </w:rPr>
      </w:pPr>
    </w:p>
    <w:p w14:paraId="6FD04C92" w14:textId="77777777" w:rsidR="002D5204" w:rsidRDefault="002D5204" w:rsidP="002D5204">
      <w:pPr>
        <w:pStyle w:val="HTMLPreformatted"/>
        <w:rPr>
          <w:rFonts w:ascii="Times New Roman" w:hAnsi="Times New Roman"/>
          <w:sz w:val="24"/>
          <w:szCs w:val="24"/>
        </w:rPr>
      </w:pPr>
      <w:r w:rsidRPr="00D3354F">
        <w:rPr>
          <w:rFonts w:ascii="Times New Roman" w:hAnsi="Times New Roman"/>
          <w:sz w:val="24"/>
          <w:szCs w:val="24"/>
        </w:rPr>
        <w:t>A certified CDFI must meet eligibility requirements</w:t>
      </w:r>
      <w:r>
        <w:rPr>
          <w:rFonts w:ascii="Times New Roman" w:hAnsi="Times New Roman"/>
          <w:sz w:val="24"/>
          <w:szCs w:val="24"/>
        </w:rPr>
        <w:t>.  These requirements include the following:</w:t>
      </w:r>
    </w:p>
    <w:p w14:paraId="25166D0F" w14:textId="77777777" w:rsidR="002D5204" w:rsidRDefault="002D5204" w:rsidP="002D5204">
      <w:pPr>
        <w:pStyle w:val="HTMLPreformatted"/>
        <w:numPr>
          <w:ilvl w:val="0"/>
          <w:numId w:val="21"/>
        </w:numPr>
        <w:rPr>
          <w:rFonts w:ascii="Times New Roman" w:hAnsi="Times New Roman"/>
          <w:sz w:val="24"/>
          <w:szCs w:val="24"/>
        </w:rPr>
      </w:pPr>
      <w:r>
        <w:rPr>
          <w:rFonts w:ascii="Times New Roman" w:hAnsi="Times New Roman"/>
          <w:sz w:val="24"/>
          <w:szCs w:val="24"/>
        </w:rPr>
        <w:t>H</w:t>
      </w:r>
      <w:r w:rsidRPr="00D3354F">
        <w:rPr>
          <w:rFonts w:ascii="Times New Roman" w:hAnsi="Times New Roman"/>
          <w:sz w:val="24"/>
          <w:szCs w:val="24"/>
        </w:rPr>
        <w:t xml:space="preserve">aving a primary mission of promoting community development; </w:t>
      </w:r>
    </w:p>
    <w:p w14:paraId="6862A134" w14:textId="77777777" w:rsidR="002D5204" w:rsidRDefault="002D5204" w:rsidP="002D5204">
      <w:pPr>
        <w:pStyle w:val="HTMLPreformatted"/>
        <w:numPr>
          <w:ilvl w:val="0"/>
          <w:numId w:val="21"/>
        </w:numPr>
        <w:rPr>
          <w:rFonts w:ascii="Times New Roman" w:hAnsi="Times New Roman"/>
          <w:sz w:val="24"/>
          <w:szCs w:val="24"/>
        </w:rPr>
      </w:pPr>
      <w:r>
        <w:rPr>
          <w:rFonts w:ascii="Times New Roman" w:hAnsi="Times New Roman"/>
          <w:sz w:val="24"/>
          <w:szCs w:val="24"/>
        </w:rPr>
        <w:t>S</w:t>
      </w:r>
      <w:r w:rsidRPr="00D3354F">
        <w:rPr>
          <w:rFonts w:ascii="Times New Roman" w:hAnsi="Times New Roman"/>
          <w:sz w:val="24"/>
          <w:szCs w:val="24"/>
        </w:rPr>
        <w:t xml:space="preserve">erving an investment area or target population; </w:t>
      </w:r>
    </w:p>
    <w:p w14:paraId="2ACF300B" w14:textId="77777777" w:rsidR="002D5204" w:rsidRDefault="002D5204" w:rsidP="002D5204">
      <w:pPr>
        <w:pStyle w:val="HTMLPreformatted"/>
        <w:numPr>
          <w:ilvl w:val="0"/>
          <w:numId w:val="21"/>
        </w:numPr>
        <w:rPr>
          <w:rFonts w:ascii="Times New Roman" w:hAnsi="Times New Roman"/>
          <w:sz w:val="24"/>
          <w:szCs w:val="24"/>
        </w:rPr>
      </w:pPr>
      <w:r>
        <w:rPr>
          <w:rFonts w:ascii="Times New Roman" w:hAnsi="Times New Roman"/>
          <w:sz w:val="24"/>
          <w:szCs w:val="24"/>
        </w:rPr>
        <w:t>P</w:t>
      </w:r>
      <w:r w:rsidRPr="00D3354F">
        <w:rPr>
          <w:rFonts w:ascii="Times New Roman" w:hAnsi="Times New Roman"/>
          <w:sz w:val="24"/>
          <w:szCs w:val="24"/>
        </w:rPr>
        <w:t xml:space="preserve">roviding development services; </w:t>
      </w:r>
    </w:p>
    <w:p w14:paraId="6972DBE7" w14:textId="77777777" w:rsidR="002D5204" w:rsidRDefault="002D5204" w:rsidP="002D5204">
      <w:pPr>
        <w:pStyle w:val="HTMLPreformatted"/>
        <w:numPr>
          <w:ilvl w:val="0"/>
          <w:numId w:val="21"/>
        </w:numPr>
        <w:rPr>
          <w:rFonts w:ascii="Times New Roman" w:hAnsi="Times New Roman"/>
          <w:sz w:val="24"/>
          <w:szCs w:val="24"/>
        </w:rPr>
      </w:pPr>
      <w:r>
        <w:rPr>
          <w:rFonts w:ascii="Times New Roman" w:hAnsi="Times New Roman"/>
          <w:sz w:val="24"/>
          <w:szCs w:val="24"/>
        </w:rPr>
        <w:t>M</w:t>
      </w:r>
      <w:r w:rsidRPr="00D3354F">
        <w:rPr>
          <w:rFonts w:ascii="Times New Roman" w:hAnsi="Times New Roman"/>
          <w:sz w:val="24"/>
          <w:szCs w:val="24"/>
        </w:rPr>
        <w:t xml:space="preserve">aintaining accountability to residents of its investment area or targeted population through representation on its governing board of directors, or by other means; </w:t>
      </w:r>
    </w:p>
    <w:p w14:paraId="766B18D0" w14:textId="77777777" w:rsidR="002D5204" w:rsidRPr="00D3354F" w:rsidRDefault="002D5204" w:rsidP="002D5204">
      <w:pPr>
        <w:pStyle w:val="HTMLPreformatted"/>
        <w:numPr>
          <w:ilvl w:val="0"/>
          <w:numId w:val="21"/>
        </w:numPr>
        <w:rPr>
          <w:rFonts w:ascii="Times New Roman" w:hAnsi="Times New Roman"/>
          <w:sz w:val="24"/>
          <w:szCs w:val="24"/>
        </w:rPr>
      </w:pPr>
      <w:r>
        <w:rPr>
          <w:rFonts w:ascii="Times New Roman" w:hAnsi="Times New Roman"/>
          <w:sz w:val="24"/>
          <w:szCs w:val="24"/>
        </w:rPr>
        <w:t>N</w:t>
      </w:r>
      <w:r w:rsidRPr="00D3354F">
        <w:rPr>
          <w:rFonts w:ascii="Times New Roman" w:hAnsi="Times New Roman"/>
          <w:sz w:val="24"/>
          <w:szCs w:val="24"/>
        </w:rPr>
        <w:t>ot constituting an agency or instrumentality of the United States, of any state or political subdivision of a state.</w:t>
      </w:r>
    </w:p>
    <w:p w14:paraId="05A3D2FC" w14:textId="77777777" w:rsidR="002D5204" w:rsidRPr="00D3354F" w:rsidRDefault="002D5204" w:rsidP="002D5204">
      <w:pPr>
        <w:pStyle w:val="HTMLPreformatted"/>
        <w:rPr>
          <w:rFonts w:ascii="Times New Roman" w:hAnsi="Times New Roman"/>
          <w:b/>
          <w:bCs/>
          <w:sz w:val="24"/>
          <w:szCs w:val="24"/>
        </w:rPr>
      </w:pPr>
    </w:p>
    <w:p w14:paraId="78E1C4EA" w14:textId="77777777" w:rsidR="002D5204" w:rsidRDefault="002D5204" w:rsidP="002D5204">
      <w:pPr>
        <w:pStyle w:val="HTMLPreformatted"/>
        <w:rPr>
          <w:rFonts w:ascii="Times New Roman" w:hAnsi="Times New Roman"/>
          <w:sz w:val="24"/>
          <w:szCs w:val="24"/>
        </w:rPr>
      </w:pPr>
      <w:r>
        <w:rPr>
          <w:rFonts w:ascii="Times New Roman" w:hAnsi="Times New Roman"/>
          <w:b/>
          <w:bCs/>
          <w:sz w:val="24"/>
          <w:szCs w:val="24"/>
        </w:rPr>
        <w:t>Community Development L</w:t>
      </w:r>
      <w:r w:rsidRPr="00D3354F">
        <w:rPr>
          <w:rFonts w:ascii="Times New Roman" w:hAnsi="Times New Roman"/>
          <w:b/>
          <w:bCs/>
          <w:sz w:val="24"/>
          <w:szCs w:val="24"/>
        </w:rPr>
        <w:t>oan:</w:t>
      </w:r>
      <w:r w:rsidRPr="00D3354F">
        <w:rPr>
          <w:rFonts w:ascii="Times New Roman" w:hAnsi="Times New Roman"/>
          <w:sz w:val="24"/>
          <w:szCs w:val="24"/>
        </w:rPr>
        <w:t xml:space="preserve">  A loan that </w:t>
      </w:r>
    </w:p>
    <w:p w14:paraId="084C4E21" w14:textId="77777777" w:rsidR="002D5204" w:rsidRDefault="002D5204" w:rsidP="002D5204">
      <w:pPr>
        <w:pStyle w:val="HTMLPreformatted"/>
        <w:rPr>
          <w:rFonts w:ascii="Times New Roman" w:hAnsi="Times New Roman"/>
          <w:sz w:val="24"/>
          <w:szCs w:val="24"/>
        </w:rPr>
      </w:pPr>
      <w:r w:rsidRPr="00D3354F">
        <w:rPr>
          <w:rFonts w:ascii="Times New Roman" w:hAnsi="Times New Roman"/>
          <w:sz w:val="24"/>
          <w:szCs w:val="24"/>
        </w:rPr>
        <w:t xml:space="preserve">(1) </w:t>
      </w:r>
      <w:r>
        <w:rPr>
          <w:rFonts w:ascii="Times New Roman" w:hAnsi="Times New Roman"/>
          <w:sz w:val="24"/>
          <w:szCs w:val="24"/>
        </w:rPr>
        <w:t>H</w:t>
      </w:r>
      <w:r w:rsidRPr="00D3354F">
        <w:rPr>
          <w:rFonts w:ascii="Times New Roman" w:hAnsi="Times New Roman"/>
          <w:sz w:val="24"/>
          <w:szCs w:val="24"/>
        </w:rPr>
        <w:t xml:space="preserve">as as its primary purpose community development; and </w:t>
      </w:r>
    </w:p>
    <w:p w14:paraId="725E0B0C" w14:textId="77777777" w:rsidR="002D5204" w:rsidRDefault="002D5204" w:rsidP="002D5204">
      <w:pPr>
        <w:pStyle w:val="HTMLPreformatted"/>
        <w:rPr>
          <w:rFonts w:ascii="Times New Roman" w:hAnsi="Times New Roman"/>
          <w:sz w:val="24"/>
          <w:szCs w:val="24"/>
        </w:rPr>
      </w:pPr>
      <w:r w:rsidRPr="00D3354F">
        <w:rPr>
          <w:rFonts w:ascii="Times New Roman" w:hAnsi="Times New Roman"/>
          <w:sz w:val="24"/>
          <w:szCs w:val="24"/>
        </w:rPr>
        <w:t xml:space="preserve">(2) </w:t>
      </w:r>
      <w:r>
        <w:rPr>
          <w:rFonts w:ascii="Times New Roman" w:hAnsi="Times New Roman"/>
          <w:sz w:val="24"/>
          <w:szCs w:val="24"/>
        </w:rPr>
        <w:t>E</w:t>
      </w:r>
      <w:r w:rsidRPr="00D3354F">
        <w:rPr>
          <w:rFonts w:ascii="Times New Roman" w:hAnsi="Times New Roman"/>
          <w:sz w:val="24"/>
          <w:szCs w:val="24"/>
        </w:rPr>
        <w:t xml:space="preserve">xcept in the case of a wholesale or limited purpose bank:  </w:t>
      </w:r>
    </w:p>
    <w:p w14:paraId="1CDABB01" w14:textId="77777777" w:rsidR="002D5204" w:rsidRDefault="002D5204" w:rsidP="002D5204">
      <w:pPr>
        <w:pStyle w:val="HTMLPreformatted"/>
        <w:ind w:left="720"/>
        <w:rPr>
          <w:rFonts w:ascii="Times New Roman" w:hAnsi="Times New Roman"/>
          <w:sz w:val="24"/>
          <w:szCs w:val="24"/>
        </w:rPr>
      </w:pPr>
      <w:r w:rsidRPr="00D3354F">
        <w:rPr>
          <w:rFonts w:ascii="Times New Roman" w:hAnsi="Times New Roman"/>
          <w:sz w:val="24"/>
          <w:szCs w:val="24"/>
        </w:rPr>
        <w:t>(</w:t>
      </w:r>
      <w:proofErr w:type="spellStart"/>
      <w:r w:rsidRPr="00D3354F">
        <w:rPr>
          <w:rFonts w:ascii="Times New Roman" w:hAnsi="Times New Roman"/>
          <w:sz w:val="24"/>
          <w:szCs w:val="24"/>
        </w:rPr>
        <w:t>i</w:t>
      </w:r>
      <w:proofErr w:type="spellEnd"/>
      <w:r w:rsidRPr="00D3354F">
        <w:rPr>
          <w:rFonts w:ascii="Times New Roman" w:hAnsi="Times New Roman"/>
          <w:sz w:val="24"/>
          <w:szCs w:val="24"/>
        </w:rPr>
        <w:t xml:space="preserve">) </w:t>
      </w:r>
      <w:r>
        <w:rPr>
          <w:rFonts w:ascii="Times New Roman" w:hAnsi="Times New Roman"/>
          <w:sz w:val="24"/>
          <w:szCs w:val="24"/>
        </w:rPr>
        <w:t>H</w:t>
      </w:r>
      <w:r w:rsidRPr="00D3354F">
        <w:rPr>
          <w:rFonts w:ascii="Times New Roman" w:hAnsi="Times New Roman"/>
          <w:sz w:val="24"/>
          <w:szCs w:val="24"/>
        </w:rPr>
        <w:t xml:space="preserve">as not been reported or collected by the bank or an affiliate for consideration in the bank’s assessment area as a home mortgage, small business, small farm, or consumer loan, unless it is a multifamily dwelling loan (as described in Appendix A to Part 203 of this title); and </w:t>
      </w:r>
    </w:p>
    <w:p w14:paraId="0E44E1B8" w14:textId="77777777" w:rsidR="002D5204" w:rsidRPr="00D3354F" w:rsidRDefault="002D5204" w:rsidP="002D5204">
      <w:pPr>
        <w:pStyle w:val="HTMLPreformatted"/>
        <w:ind w:left="720"/>
        <w:rPr>
          <w:rFonts w:ascii="Times New Roman" w:hAnsi="Times New Roman"/>
          <w:sz w:val="24"/>
          <w:szCs w:val="24"/>
        </w:rPr>
      </w:pPr>
      <w:r w:rsidRPr="00D3354F">
        <w:rPr>
          <w:rFonts w:ascii="Times New Roman" w:hAnsi="Times New Roman"/>
          <w:sz w:val="24"/>
          <w:szCs w:val="24"/>
        </w:rPr>
        <w:t xml:space="preserve">(ii) </w:t>
      </w:r>
      <w:r>
        <w:rPr>
          <w:rFonts w:ascii="Times New Roman" w:hAnsi="Times New Roman"/>
          <w:sz w:val="24"/>
          <w:szCs w:val="24"/>
        </w:rPr>
        <w:t>B</w:t>
      </w:r>
      <w:r w:rsidRPr="00D3354F">
        <w:rPr>
          <w:rFonts w:ascii="Times New Roman" w:hAnsi="Times New Roman"/>
          <w:sz w:val="24"/>
          <w:szCs w:val="24"/>
        </w:rPr>
        <w:t>enefits the bank’s assessment area(s) or a broader statewide or regional area includ</w:t>
      </w:r>
      <w:r>
        <w:rPr>
          <w:rFonts w:ascii="Times New Roman" w:hAnsi="Times New Roman"/>
          <w:sz w:val="24"/>
          <w:szCs w:val="24"/>
        </w:rPr>
        <w:t>ing</w:t>
      </w:r>
      <w:r w:rsidRPr="00D3354F">
        <w:rPr>
          <w:rFonts w:ascii="Times New Roman" w:hAnsi="Times New Roman"/>
          <w:sz w:val="24"/>
          <w:szCs w:val="24"/>
        </w:rPr>
        <w:t xml:space="preserve"> the bank’s assessment area(s).   </w:t>
      </w:r>
    </w:p>
    <w:p w14:paraId="039406D8" w14:textId="77777777" w:rsidR="002D5204" w:rsidRPr="00D3354F" w:rsidRDefault="002D5204" w:rsidP="002D5204">
      <w:pPr>
        <w:pStyle w:val="HTMLPreformatted"/>
        <w:rPr>
          <w:rFonts w:ascii="Times New Roman" w:hAnsi="Times New Roman"/>
          <w:b/>
          <w:bCs/>
          <w:sz w:val="24"/>
          <w:szCs w:val="24"/>
        </w:rPr>
      </w:pPr>
    </w:p>
    <w:p w14:paraId="60D74C62" w14:textId="77777777" w:rsidR="002D5204" w:rsidRDefault="002D5204" w:rsidP="002D5204">
      <w:pPr>
        <w:pStyle w:val="HTMLPreformatted"/>
        <w:rPr>
          <w:rFonts w:ascii="Times New Roman" w:hAnsi="Times New Roman"/>
          <w:sz w:val="24"/>
          <w:szCs w:val="24"/>
        </w:rPr>
      </w:pPr>
      <w:r>
        <w:rPr>
          <w:rFonts w:ascii="Times New Roman" w:hAnsi="Times New Roman"/>
          <w:b/>
          <w:bCs/>
          <w:sz w:val="24"/>
          <w:szCs w:val="24"/>
        </w:rPr>
        <w:t>Community Development S</w:t>
      </w:r>
      <w:r w:rsidRPr="00D3354F">
        <w:rPr>
          <w:rFonts w:ascii="Times New Roman" w:hAnsi="Times New Roman"/>
          <w:b/>
          <w:bCs/>
          <w:sz w:val="24"/>
          <w:szCs w:val="24"/>
        </w:rPr>
        <w:t>ervice:</w:t>
      </w:r>
      <w:r w:rsidRPr="00D3354F">
        <w:rPr>
          <w:rFonts w:ascii="Times New Roman" w:hAnsi="Times New Roman"/>
          <w:sz w:val="24"/>
          <w:szCs w:val="24"/>
        </w:rPr>
        <w:t xml:space="preserve">  A service that </w:t>
      </w:r>
    </w:p>
    <w:p w14:paraId="3E9A231E" w14:textId="77777777" w:rsidR="002D5204" w:rsidRDefault="002D5204" w:rsidP="002D5204">
      <w:pPr>
        <w:pStyle w:val="HTMLPreformatted"/>
        <w:ind w:left="720"/>
        <w:rPr>
          <w:rFonts w:ascii="Times New Roman" w:hAnsi="Times New Roman"/>
          <w:sz w:val="24"/>
          <w:szCs w:val="24"/>
        </w:rPr>
      </w:pPr>
      <w:r w:rsidRPr="00D3354F">
        <w:rPr>
          <w:rFonts w:ascii="Times New Roman" w:hAnsi="Times New Roman"/>
          <w:sz w:val="24"/>
          <w:szCs w:val="24"/>
        </w:rPr>
        <w:t xml:space="preserve">(1) </w:t>
      </w:r>
      <w:proofErr w:type="gramStart"/>
      <w:r>
        <w:rPr>
          <w:rFonts w:ascii="Times New Roman" w:hAnsi="Times New Roman"/>
          <w:sz w:val="24"/>
          <w:szCs w:val="24"/>
        </w:rPr>
        <w:t>H</w:t>
      </w:r>
      <w:r w:rsidRPr="00D3354F">
        <w:rPr>
          <w:rFonts w:ascii="Times New Roman" w:hAnsi="Times New Roman"/>
          <w:sz w:val="24"/>
          <w:szCs w:val="24"/>
        </w:rPr>
        <w:t>as</w:t>
      </w:r>
      <w:proofErr w:type="gramEnd"/>
      <w:r w:rsidRPr="00D3354F">
        <w:rPr>
          <w:rFonts w:ascii="Times New Roman" w:hAnsi="Times New Roman"/>
          <w:sz w:val="24"/>
          <w:szCs w:val="24"/>
        </w:rPr>
        <w:t xml:space="preserve"> as its primary purpose community development; </w:t>
      </w:r>
    </w:p>
    <w:p w14:paraId="3A4215BB" w14:textId="77777777" w:rsidR="002D5204" w:rsidRDefault="002D5204" w:rsidP="002D5204">
      <w:pPr>
        <w:pStyle w:val="HTMLPreformatted"/>
        <w:ind w:left="720"/>
        <w:rPr>
          <w:rFonts w:ascii="Times New Roman" w:hAnsi="Times New Roman"/>
          <w:sz w:val="24"/>
          <w:szCs w:val="24"/>
        </w:rPr>
      </w:pPr>
      <w:r w:rsidRPr="00D3354F">
        <w:rPr>
          <w:rFonts w:ascii="Times New Roman" w:hAnsi="Times New Roman"/>
          <w:sz w:val="24"/>
          <w:szCs w:val="24"/>
        </w:rPr>
        <w:t xml:space="preserve">(2) </w:t>
      </w:r>
      <w:r>
        <w:rPr>
          <w:rFonts w:ascii="Times New Roman" w:hAnsi="Times New Roman"/>
          <w:sz w:val="24"/>
          <w:szCs w:val="24"/>
        </w:rPr>
        <w:t>I</w:t>
      </w:r>
      <w:r w:rsidRPr="00D3354F">
        <w:rPr>
          <w:rFonts w:ascii="Times New Roman" w:hAnsi="Times New Roman"/>
          <w:sz w:val="24"/>
          <w:szCs w:val="24"/>
        </w:rPr>
        <w:t xml:space="preserve">s related to the provision of </w:t>
      </w:r>
      <w:r w:rsidRPr="00D3354F">
        <w:rPr>
          <w:rFonts w:ascii="Times New Roman" w:hAnsi="Times New Roman"/>
          <w:sz w:val="24"/>
          <w:szCs w:val="24"/>
          <w:u w:val="single"/>
        </w:rPr>
        <w:t>financial</w:t>
      </w:r>
      <w:r w:rsidRPr="00D3354F">
        <w:rPr>
          <w:rFonts w:ascii="Times New Roman" w:hAnsi="Times New Roman"/>
          <w:sz w:val="24"/>
          <w:szCs w:val="24"/>
        </w:rPr>
        <w:t xml:space="preserve"> services; and </w:t>
      </w:r>
    </w:p>
    <w:p w14:paraId="14488CFD" w14:textId="77777777" w:rsidR="002D5204" w:rsidRPr="00D3354F" w:rsidRDefault="002D5204" w:rsidP="002D5204">
      <w:pPr>
        <w:pStyle w:val="HTMLPreformatted"/>
        <w:ind w:left="720"/>
        <w:rPr>
          <w:rFonts w:ascii="Times New Roman" w:hAnsi="Times New Roman"/>
          <w:sz w:val="24"/>
          <w:szCs w:val="24"/>
        </w:rPr>
      </w:pPr>
      <w:r w:rsidRPr="00D3354F">
        <w:rPr>
          <w:rFonts w:ascii="Times New Roman" w:hAnsi="Times New Roman"/>
          <w:sz w:val="24"/>
          <w:szCs w:val="24"/>
        </w:rPr>
        <w:t xml:space="preserve">(3) </w:t>
      </w:r>
      <w:r>
        <w:rPr>
          <w:rFonts w:ascii="Times New Roman" w:hAnsi="Times New Roman"/>
          <w:sz w:val="24"/>
          <w:szCs w:val="24"/>
        </w:rPr>
        <w:t>H</w:t>
      </w:r>
      <w:r w:rsidRPr="00D3354F">
        <w:rPr>
          <w:rFonts w:ascii="Times New Roman" w:hAnsi="Times New Roman"/>
          <w:sz w:val="24"/>
          <w:szCs w:val="24"/>
        </w:rPr>
        <w:t>as not been considered in the evaluation of the bank’s retail banking services under §</w:t>
      </w:r>
      <w:r>
        <w:rPr>
          <w:rFonts w:ascii="Times New Roman" w:hAnsi="Times New Roman"/>
          <w:sz w:val="24"/>
          <w:szCs w:val="24"/>
        </w:rPr>
        <w:t xml:space="preserve"> </w:t>
      </w:r>
      <w:r w:rsidRPr="00D3354F">
        <w:rPr>
          <w:rFonts w:ascii="Times New Roman" w:hAnsi="Times New Roman"/>
          <w:sz w:val="24"/>
          <w:szCs w:val="24"/>
        </w:rPr>
        <w:t xml:space="preserve">345.24(d).  </w:t>
      </w:r>
    </w:p>
    <w:p w14:paraId="3E558886" w14:textId="77777777" w:rsidR="002D5204" w:rsidRPr="00D3354F" w:rsidRDefault="002D5204" w:rsidP="002D5204">
      <w:pPr>
        <w:rPr>
          <w:b/>
          <w:bCs/>
        </w:rPr>
      </w:pPr>
    </w:p>
    <w:p w14:paraId="72634283" w14:textId="77777777" w:rsidR="002D5204" w:rsidRPr="00D3354F" w:rsidRDefault="002D5204" w:rsidP="002D5204">
      <w:pPr>
        <w:rPr>
          <w:b/>
          <w:bCs/>
        </w:rPr>
      </w:pPr>
      <w:r>
        <w:rPr>
          <w:b/>
          <w:bCs/>
        </w:rPr>
        <w:t>Consumer L</w:t>
      </w:r>
      <w:r w:rsidRPr="00D3354F">
        <w:rPr>
          <w:b/>
          <w:bCs/>
        </w:rPr>
        <w:t xml:space="preserve">oan(s):  </w:t>
      </w:r>
      <w:r w:rsidRPr="00D3354F">
        <w:t>A loan(s) to one or more individuals for household, family, or other personal expenditures.  A consumer loan does not include a home mortgage, small business, or small farm loan.  This definition includes the following categories: motor vehicle loans, credit card loans, home equity loans, other secured consumer loans, and other unsecured consumer loans.</w:t>
      </w:r>
    </w:p>
    <w:p w14:paraId="64FB8084" w14:textId="77777777" w:rsidR="002D5204" w:rsidRDefault="002D5204" w:rsidP="002D5204">
      <w:pPr>
        <w:rPr>
          <w:b/>
          <w:bCs/>
        </w:rPr>
      </w:pPr>
    </w:p>
    <w:p w14:paraId="1F7E3B92" w14:textId="77777777" w:rsidR="002D5204" w:rsidRDefault="002D5204" w:rsidP="002D5204">
      <w:r>
        <w:rPr>
          <w:b/>
          <w:bCs/>
        </w:rPr>
        <w:t xml:space="preserve">Core Based Statistical Areas (CBSAs):  </w:t>
      </w:r>
      <w:r>
        <w:t xml:space="preserve">The county or counties or equivalent entities associated with at least one core (urbanized area or urban cluster) of at least 10,000 population, plus adjacent counties having a high degree of social and economic integration with the core as measured through commuting ties with the counties associated with the core.  Metropolitan and </w:t>
      </w:r>
      <w:proofErr w:type="spellStart"/>
      <w:r>
        <w:t>Micropolitan</w:t>
      </w:r>
      <w:proofErr w:type="spellEnd"/>
      <w:r>
        <w:t xml:space="preserve"> Statistical Areas are the two categories of CBSAs. </w:t>
      </w:r>
    </w:p>
    <w:p w14:paraId="48C00DEE" w14:textId="77777777" w:rsidR="002D5204" w:rsidRPr="00D3354F" w:rsidRDefault="002D5204" w:rsidP="002D5204">
      <w:pPr>
        <w:pStyle w:val="HTMLPreformatted"/>
        <w:rPr>
          <w:rFonts w:ascii="Times New Roman" w:hAnsi="Times New Roman"/>
          <w:sz w:val="24"/>
          <w:szCs w:val="24"/>
        </w:rPr>
      </w:pPr>
    </w:p>
    <w:p w14:paraId="0AE33EA7" w14:textId="77777777" w:rsidR="002D5204" w:rsidRDefault="002D5204" w:rsidP="002D5204">
      <w:pPr>
        <w:pStyle w:val="HTMLPreformatted"/>
        <w:rPr>
          <w:rFonts w:ascii="Times New Roman" w:hAnsi="Times New Roman"/>
          <w:sz w:val="24"/>
          <w:szCs w:val="24"/>
        </w:rPr>
      </w:pPr>
      <w:r>
        <w:rPr>
          <w:rFonts w:ascii="Times New Roman" w:hAnsi="Times New Roman"/>
          <w:b/>
          <w:bCs/>
          <w:sz w:val="24"/>
          <w:szCs w:val="24"/>
        </w:rPr>
        <w:t>Distressed Middle-Income Nonmetropolitan G</w:t>
      </w:r>
      <w:r w:rsidRPr="00D3354F">
        <w:rPr>
          <w:rFonts w:ascii="Times New Roman" w:hAnsi="Times New Roman"/>
          <w:b/>
          <w:bCs/>
          <w:sz w:val="24"/>
          <w:szCs w:val="24"/>
        </w:rPr>
        <w:t>eographies</w:t>
      </w:r>
      <w:r w:rsidRPr="00D3354F">
        <w:rPr>
          <w:rFonts w:ascii="Times New Roman" w:hAnsi="Times New Roman"/>
          <w:sz w:val="24"/>
          <w:szCs w:val="24"/>
        </w:rPr>
        <w:t xml:space="preserve">:  A nonmetropolitan middle-income geography will be designated as distressed if it is in a county that meets one or more of the following triggers:  </w:t>
      </w:r>
    </w:p>
    <w:p w14:paraId="4AE74251" w14:textId="77777777" w:rsidR="002D5204" w:rsidRDefault="002D5204" w:rsidP="002D5204">
      <w:pPr>
        <w:pStyle w:val="HTMLPreformatted"/>
        <w:ind w:left="720"/>
        <w:rPr>
          <w:rFonts w:ascii="Times New Roman" w:hAnsi="Times New Roman"/>
          <w:sz w:val="24"/>
          <w:szCs w:val="24"/>
        </w:rPr>
      </w:pPr>
      <w:r w:rsidRPr="00D3354F">
        <w:rPr>
          <w:rFonts w:ascii="Times New Roman" w:hAnsi="Times New Roman"/>
          <w:sz w:val="24"/>
          <w:szCs w:val="24"/>
        </w:rPr>
        <w:lastRenderedPageBreak/>
        <w:t xml:space="preserve">(1) </w:t>
      </w:r>
      <w:proofErr w:type="gramStart"/>
      <w:r w:rsidRPr="00D3354F">
        <w:rPr>
          <w:rFonts w:ascii="Times New Roman" w:hAnsi="Times New Roman"/>
          <w:sz w:val="24"/>
          <w:szCs w:val="24"/>
        </w:rPr>
        <w:t>an</w:t>
      </w:r>
      <w:proofErr w:type="gramEnd"/>
      <w:r w:rsidRPr="00D3354F">
        <w:rPr>
          <w:rFonts w:ascii="Times New Roman" w:hAnsi="Times New Roman"/>
          <w:sz w:val="24"/>
          <w:szCs w:val="24"/>
        </w:rPr>
        <w:t xml:space="preserve"> unemployment rate of at least 1.5 times the national average; </w:t>
      </w:r>
    </w:p>
    <w:p w14:paraId="24E7F95D" w14:textId="77777777" w:rsidR="002D5204" w:rsidRDefault="002D5204" w:rsidP="002D5204">
      <w:pPr>
        <w:pStyle w:val="HTMLPreformatted"/>
        <w:ind w:left="720"/>
        <w:rPr>
          <w:rFonts w:ascii="Times New Roman" w:hAnsi="Times New Roman"/>
          <w:sz w:val="24"/>
          <w:szCs w:val="24"/>
        </w:rPr>
      </w:pPr>
      <w:r w:rsidRPr="00D3354F">
        <w:rPr>
          <w:rFonts w:ascii="Times New Roman" w:hAnsi="Times New Roman"/>
          <w:sz w:val="24"/>
          <w:szCs w:val="24"/>
        </w:rPr>
        <w:t xml:space="preserve">(2) </w:t>
      </w:r>
      <w:proofErr w:type="gramStart"/>
      <w:r w:rsidRPr="00D3354F">
        <w:rPr>
          <w:rFonts w:ascii="Times New Roman" w:hAnsi="Times New Roman"/>
          <w:sz w:val="24"/>
          <w:szCs w:val="24"/>
        </w:rPr>
        <w:t>a</w:t>
      </w:r>
      <w:proofErr w:type="gramEnd"/>
      <w:r w:rsidRPr="00D3354F">
        <w:rPr>
          <w:rFonts w:ascii="Times New Roman" w:hAnsi="Times New Roman"/>
          <w:sz w:val="24"/>
          <w:szCs w:val="24"/>
        </w:rPr>
        <w:t xml:space="preserve"> poverty rate of 20 percent or more; or,</w:t>
      </w:r>
    </w:p>
    <w:p w14:paraId="725639C0" w14:textId="77777777" w:rsidR="002D5204" w:rsidRPr="00D3354F" w:rsidRDefault="002D5204" w:rsidP="002D5204">
      <w:pPr>
        <w:pStyle w:val="HTMLPreformatted"/>
        <w:ind w:left="720"/>
        <w:rPr>
          <w:rFonts w:ascii="Times New Roman" w:hAnsi="Times New Roman"/>
          <w:b/>
          <w:bCs/>
          <w:sz w:val="24"/>
          <w:szCs w:val="24"/>
        </w:rPr>
      </w:pPr>
      <w:r w:rsidRPr="00D3354F">
        <w:rPr>
          <w:rFonts w:ascii="Times New Roman" w:hAnsi="Times New Roman"/>
          <w:sz w:val="24"/>
          <w:szCs w:val="24"/>
        </w:rPr>
        <w:t xml:space="preserve">(3) a population loss of 10 percent or more between the previous and most recent decennial census or a net migration loss of 5 percent or more over the </w:t>
      </w:r>
      <w:r>
        <w:rPr>
          <w:rFonts w:ascii="Times New Roman" w:hAnsi="Times New Roman"/>
          <w:sz w:val="24"/>
          <w:szCs w:val="24"/>
        </w:rPr>
        <w:t>5</w:t>
      </w:r>
      <w:r w:rsidRPr="00D3354F">
        <w:rPr>
          <w:rFonts w:ascii="Times New Roman" w:hAnsi="Times New Roman"/>
          <w:sz w:val="24"/>
          <w:szCs w:val="24"/>
        </w:rPr>
        <w:t xml:space="preserve">-year period preceding the most recent census.  </w:t>
      </w:r>
    </w:p>
    <w:p w14:paraId="70F27A33" w14:textId="77777777" w:rsidR="002D5204" w:rsidRPr="00D3354F" w:rsidRDefault="002D5204" w:rsidP="002D5204"/>
    <w:p w14:paraId="2146F5AF" w14:textId="77777777" w:rsidR="002D5204" w:rsidRPr="00D3354F" w:rsidRDefault="002D5204" w:rsidP="002D5204">
      <w:r w:rsidRPr="00D3354F">
        <w:rPr>
          <w:b/>
          <w:bCs/>
        </w:rPr>
        <w:t>Family:</w:t>
      </w:r>
      <w:r w:rsidRPr="00D3354F">
        <w:t xml:space="preserve">  Includes a householder and one or more other persons living in the same household who </w:t>
      </w:r>
      <w:proofErr w:type="gramStart"/>
      <w:r w:rsidRPr="00D3354F">
        <w:t>are related</w:t>
      </w:r>
      <w:proofErr w:type="gramEnd"/>
      <w:r w:rsidRPr="00D3354F">
        <w:t xml:space="preserve"> to the householder by birth, marriage, or adoption.  The number of family households always equals the number of families; however, a family household may also include non-relatives living with the family.  Families </w:t>
      </w:r>
      <w:proofErr w:type="gramStart"/>
      <w:r w:rsidRPr="00D3354F">
        <w:t>are classified</w:t>
      </w:r>
      <w:proofErr w:type="gramEnd"/>
      <w:r w:rsidRPr="00D3354F">
        <w:t xml:space="preserve"> by type as either a married-couple family or other family</w:t>
      </w:r>
      <w:r>
        <w:t>.  Other family</w:t>
      </w:r>
      <w:r w:rsidRPr="00D3354F">
        <w:t xml:space="preserve"> is further classified into “male householder” (a family with a male householder and no wife present) or “female householder” (a family with a female householder and no husband present).</w:t>
      </w:r>
    </w:p>
    <w:p w14:paraId="3A4BF77E" w14:textId="77777777" w:rsidR="002D5204" w:rsidRPr="00D3354F" w:rsidRDefault="002D5204" w:rsidP="002D5204"/>
    <w:p w14:paraId="0F626A1A" w14:textId="77777777" w:rsidR="002D5204" w:rsidRPr="00D3354F" w:rsidRDefault="002D5204" w:rsidP="002D5204">
      <w:r w:rsidRPr="00D3354F">
        <w:rPr>
          <w:b/>
          <w:bCs/>
        </w:rPr>
        <w:t>Family Income:</w:t>
      </w:r>
      <w:r w:rsidRPr="00D3354F">
        <w:t xml:space="preserve">  Includes the income of all members of a family that are age 15 and older.</w:t>
      </w:r>
    </w:p>
    <w:p w14:paraId="4D8D2C4E" w14:textId="77777777" w:rsidR="002D5204" w:rsidRPr="00D3354F" w:rsidRDefault="002D5204" w:rsidP="002D5204">
      <w:pPr>
        <w:rPr>
          <w:b/>
          <w:bCs/>
        </w:rPr>
      </w:pPr>
    </w:p>
    <w:p w14:paraId="3BE98367" w14:textId="77777777" w:rsidR="002D5204" w:rsidRPr="00D3354F" w:rsidRDefault="002D5204" w:rsidP="002D5204">
      <w:r w:rsidRPr="00D3354F">
        <w:rPr>
          <w:b/>
          <w:bCs/>
        </w:rPr>
        <w:t>FFIEC-</w:t>
      </w:r>
      <w:r>
        <w:rPr>
          <w:b/>
          <w:bCs/>
        </w:rPr>
        <w:t>Estimated</w:t>
      </w:r>
      <w:r w:rsidRPr="00D3354F">
        <w:rPr>
          <w:b/>
          <w:bCs/>
        </w:rPr>
        <w:t xml:space="preserve"> Income Data:  </w:t>
      </w:r>
      <w:r w:rsidRPr="00D3354F">
        <w:t xml:space="preserve">The Federal Financial Institutions Examination Council (FFIEC) issues annual </w:t>
      </w:r>
      <w:proofErr w:type="gramStart"/>
      <w:r w:rsidRPr="00D3354F">
        <w:t>estimates which</w:t>
      </w:r>
      <w:proofErr w:type="gramEnd"/>
      <w:r w:rsidRPr="00D3354F">
        <w:t xml:space="preserve"> update median family incom</w:t>
      </w:r>
      <w:r>
        <w:t>e from the metropolitan and non</w:t>
      </w:r>
      <w:r w:rsidRPr="00D3354F">
        <w:t>metropolitan areas.  The FFIEC uses American Community Survey data and factors in information from other sources to arrive at an annual estimate that more closely reflects current economic conditions.</w:t>
      </w:r>
    </w:p>
    <w:p w14:paraId="0862E2CF" w14:textId="77777777" w:rsidR="002D5204" w:rsidRPr="00D3354F" w:rsidRDefault="002D5204" w:rsidP="002D5204"/>
    <w:p w14:paraId="54A3D140" w14:textId="77777777" w:rsidR="002D5204" w:rsidRPr="00C74E19" w:rsidRDefault="002D5204" w:rsidP="002D5204">
      <w:r w:rsidRPr="00C74E19">
        <w:rPr>
          <w:b/>
          <w:bCs/>
        </w:rPr>
        <w:t xml:space="preserve">Full-Scope Review:  </w:t>
      </w:r>
      <w:r w:rsidRPr="00C74E19">
        <w:t xml:space="preserve">A full-scope review </w:t>
      </w:r>
      <w:proofErr w:type="gramStart"/>
      <w:r w:rsidRPr="00C74E19">
        <w:t>is accomplished</w:t>
      </w:r>
      <w:proofErr w:type="gramEnd"/>
      <w:r w:rsidRPr="00C74E19">
        <w:t xml:space="preserve"> when examiners complete all applicable interagency examination procedures for an assessment area.  Performance </w:t>
      </w:r>
      <w:r>
        <w:t>under</w:t>
      </w:r>
      <w:r w:rsidRPr="00C74E19">
        <w:t xml:space="preserve"> applicable tests is analyzed considering performance context, quantitative factors (for example, geographic distribution, borrower profile</w:t>
      </w:r>
      <w:r>
        <w:t xml:space="preserve">, and </w:t>
      </w:r>
      <w:r w:rsidRPr="00C74E19">
        <w:t>total number and dollar amount of investments), and qualitative factors (</w:t>
      </w:r>
      <w:r>
        <w:t xml:space="preserve">for example, </w:t>
      </w:r>
      <w:r w:rsidRPr="00C74E19">
        <w:t>innovativeness, complexity, and responsiveness).</w:t>
      </w:r>
    </w:p>
    <w:p w14:paraId="2B9F6AFA" w14:textId="77777777" w:rsidR="002D5204" w:rsidRPr="00D3354F" w:rsidRDefault="002D5204" w:rsidP="002D5204"/>
    <w:p w14:paraId="1DD7D3C9" w14:textId="77777777" w:rsidR="002D5204" w:rsidRPr="00D3354F" w:rsidRDefault="002D5204" w:rsidP="002D5204">
      <w:pPr>
        <w:rPr>
          <w:b/>
          <w:bCs/>
        </w:rPr>
      </w:pPr>
      <w:r w:rsidRPr="00D3354F">
        <w:rPr>
          <w:b/>
          <w:bCs/>
        </w:rPr>
        <w:t xml:space="preserve">Geography:  </w:t>
      </w:r>
      <w:r w:rsidRPr="00D3354F">
        <w:t xml:space="preserve">A census tract delineated by the United States Bureau of the Census in the most recent decennial census.  </w:t>
      </w:r>
      <w:r w:rsidRPr="00D3354F">
        <w:br/>
      </w:r>
    </w:p>
    <w:p w14:paraId="7BE48D20" w14:textId="77777777" w:rsidR="002D5204" w:rsidRPr="00D3354F" w:rsidRDefault="002D5204" w:rsidP="002D5204">
      <w:r w:rsidRPr="00D3354F">
        <w:rPr>
          <w:b/>
          <w:bCs/>
        </w:rPr>
        <w:t xml:space="preserve">Home Mortgage Disclosure Act (HMDA):  </w:t>
      </w:r>
      <w:r w:rsidRPr="00D3354F">
        <w:t>The statute that requires certain mortgage lenders that do business or have banking offices in a metropolitan statistical area to file annual summary reports of their mortgage lending activity.  The reports include such data as the race, gender</w:t>
      </w:r>
      <w:r>
        <w:t>, and the income of applicants;</w:t>
      </w:r>
      <w:r w:rsidRPr="00D3354F">
        <w:t xml:space="preserve"> the amount of loan requested</w:t>
      </w:r>
      <w:r>
        <w:t>;</w:t>
      </w:r>
      <w:r w:rsidRPr="00D3354F">
        <w:t xml:space="preserve"> </w:t>
      </w:r>
      <w:r>
        <w:t xml:space="preserve">and </w:t>
      </w:r>
      <w:r w:rsidRPr="00D3354F">
        <w:t>the disposition of the application (approved, denied, and withdrawn).</w:t>
      </w:r>
    </w:p>
    <w:p w14:paraId="0A06ECEE" w14:textId="77777777" w:rsidR="002D5204" w:rsidRPr="00D3354F" w:rsidRDefault="002D5204" w:rsidP="002D5204">
      <w:pPr>
        <w:rPr>
          <w:b/>
          <w:bCs/>
        </w:rPr>
      </w:pPr>
    </w:p>
    <w:p w14:paraId="46BC13F1" w14:textId="77777777" w:rsidR="002D5204" w:rsidRPr="00D3354F" w:rsidRDefault="002D5204" w:rsidP="002D5204">
      <w:r w:rsidRPr="00D3354F">
        <w:rPr>
          <w:b/>
          <w:bCs/>
        </w:rPr>
        <w:t>Home Mortgage Disclosure Loan Application Register (HMDA LAR):</w:t>
      </w:r>
      <w:r w:rsidRPr="00D3354F">
        <w:t xml:space="preserve">  The HMDA LARs record all applications received for residential purchase, refinance, home improvement</w:t>
      </w:r>
      <w:r>
        <w:t>,</w:t>
      </w:r>
      <w:r w:rsidRPr="00D3354F">
        <w:t xml:space="preserve"> and temporary-to-permanent construction loans.</w:t>
      </w:r>
    </w:p>
    <w:p w14:paraId="45142D11" w14:textId="77777777" w:rsidR="002D5204" w:rsidRDefault="002D5204" w:rsidP="002D5204">
      <w:pPr>
        <w:pStyle w:val="BodyText"/>
        <w:spacing w:after="0"/>
        <w:rPr>
          <w:rFonts w:ascii="Times New Roman" w:hAnsi="Times New Roman"/>
          <w:b/>
          <w:sz w:val="24"/>
          <w:szCs w:val="24"/>
        </w:rPr>
      </w:pPr>
    </w:p>
    <w:p w14:paraId="3211BE1E" w14:textId="77777777" w:rsidR="002D5204" w:rsidRPr="00874E0E" w:rsidRDefault="002D5204" w:rsidP="002D5204">
      <w:pPr>
        <w:pStyle w:val="BodyText"/>
        <w:spacing w:after="0"/>
        <w:rPr>
          <w:rFonts w:ascii="Times New Roman" w:hAnsi="Times New Roman"/>
          <w:sz w:val="24"/>
          <w:szCs w:val="24"/>
        </w:rPr>
      </w:pPr>
      <w:r>
        <w:rPr>
          <w:rFonts w:ascii="Times New Roman" w:hAnsi="Times New Roman"/>
          <w:b/>
          <w:sz w:val="24"/>
          <w:szCs w:val="24"/>
        </w:rPr>
        <w:t>Home Mortgage L</w:t>
      </w:r>
      <w:r w:rsidRPr="00874E0E">
        <w:rPr>
          <w:rFonts w:ascii="Times New Roman" w:hAnsi="Times New Roman"/>
          <w:b/>
          <w:sz w:val="24"/>
          <w:szCs w:val="24"/>
        </w:rPr>
        <w:t>oans:</w:t>
      </w:r>
      <w:r w:rsidRPr="00874E0E">
        <w:rPr>
          <w:rFonts w:ascii="Times New Roman" w:hAnsi="Times New Roman"/>
          <w:sz w:val="24"/>
          <w:szCs w:val="24"/>
        </w:rPr>
        <w:t xml:space="preserve">  Includes home purchase and home improvement loans as defined in the HMDA regulation.</w:t>
      </w:r>
      <w:r w:rsidRPr="0046074D">
        <w:rPr>
          <w:rFonts w:ascii="Times New Roman" w:hAnsi="Times New Roman"/>
        </w:rPr>
        <w:t xml:space="preserve">  </w:t>
      </w:r>
      <w:r w:rsidRPr="00874E0E">
        <w:rPr>
          <w:rFonts w:ascii="Times New Roman" w:hAnsi="Times New Roman"/>
          <w:sz w:val="24"/>
          <w:szCs w:val="24"/>
        </w:rPr>
        <w:t xml:space="preserve">This definition also includes multi-family (five or more families) dwelling loans, loans </w:t>
      </w:r>
      <w:r>
        <w:rPr>
          <w:rFonts w:ascii="Times New Roman" w:hAnsi="Times New Roman"/>
          <w:sz w:val="24"/>
          <w:szCs w:val="24"/>
        </w:rPr>
        <w:t>to purchase</w:t>
      </w:r>
      <w:r w:rsidRPr="00874E0E">
        <w:rPr>
          <w:rFonts w:ascii="Times New Roman" w:hAnsi="Times New Roman"/>
          <w:sz w:val="24"/>
          <w:szCs w:val="24"/>
        </w:rPr>
        <w:t xml:space="preserve"> manufactured homes</w:t>
      </w:r>
      <w:r>
        <w:rPr>
          <w:rFonts w:ascii="Times New Roman" w:hAnsi="Times New Roman"/>
          <w:sz w:val="24"/>
          <w:szCs w:val="24"/>
        </w:rPr>
        <w:t>,</w:t>
      </w:r>
      <w:r w:rsidRPr="00874E0E">
        <w:rPr>
          <w:rFonts w:ascii="Times New Roman" w:hAnsi="Times New Roman"/>
          <w:sz w:val="24"/>
          <w:szCs w:val="24"/>
        </w:rPr>
        <w:t xml:space="preserve"> and </w:t>
      </w:r>
      <w:proofErr w:type="spellStart"/>
      <w:r w:rsidRPr="00874E0E">
        <w:rPr>
          <w:rFonts w:ascii="Times New Roman" w:hAnsi="Times New Roman"/>
          <w:sz w:val="24"/>
          <w:szCs w:val="24"/>
        </w:rPr>
        <w:t>refinancings</w:t>
      </w:r>
      <w:proofErr w:type="spellEnd"/>
      <w:r w:rsidRPr="00874E0E">
        <w:rPr>
          <w:rFonts w:ascii="Times New Roman" w:hAnsi="Times New Roman"/>
          <w:sz w:val="24"/>
          <w:szCs w:val="24"/>
        </w:rPr>
        <w:t xml:space="preserve"> of home improvement and home purchase loans.</w:t>
      </w:r>
    </w:p>
    <w:p w14:paraId="6DB74FAD" w14:textId="77777777" w:rsidR="002D5204" w:rsidRPr="00D3354F" w:rsidRDefault="002D5204" w:rsidP="002D5204">
      <w:pPr>
        <w:pStyle w:val="BodyText"/>
        <w:spacing w:after="0"/>
        <w:rPr>
          <w:rFonts w:ascii="Times New Roman" w:hAnsi="Times New Roman"/>
        </w:rPr>
      </w:pPr>
    </w:p>
    <w:p w14:paraId="2C788454" w14:textId="77777777" w:rsidR="002D5204" w:rsidRPr="00D3354F" w:rsidRDefault="002D5204" w:rsidP="002D5204">
      <w:r w:rsidRPr="00D3354F">
        <w:rPr>
          <w:b/>
          <w:bCs/>
        </w:rPr>
        <w:lastRenderedPageBreak/>
        <w:t>Household:</w:t>
      </w:r>
      <w:r w:rsidRPr="00D3354F">
        <w:t xml:space="preserve">  Includes all persons occupying a housing unit.  Persons not living in households are classified as living </w:t>
      </w:r>
      <w:proofErr w:type="gramStart"/>
      <w:r w:rsidRPr="00D3354F">
        <w:t>in group</w:t>
      </w:r>
      <w:proofErr w:type="gramEnd"/>
      <w:r w:rsidRPr="00D3354F">
        <w:t xml:space="preserve"> quarters.  In 100 percent tabulations, the count of households always equals the count of occupied housing units.</w:t>
      </w:r>
    </w:p>
    <w:p w14:paraId="26795452" w14:textId="77777777" w:rsidR="002D5204" w:rsidRPr="00D3354F" w:rsidRDefault="002D5204" w:rsidP="002D5204"/>
    <w:p w14:paraId="17A4A469" w14:textId="77777777" w:rsidR="002D5204" w:rsidRPr="00D3354F" w:rsidRDefault="002D5204" w:rsidP="002D5204">
      <w:r w:rsidRPr="00D3354F">
        <w:rPr>
          <w:b/>
          <w:bCs/>
        </w:rPr>
        <w:t>Household Income:</w:t>
      </w:r>
      <w:r w:rsidRPr="00D3354F">
        <w:t xml:space="preserve">  Includes the income of the householder and all other persons that are age 15 and older in the household, whether related to the householder or not.  Because many households </w:t>
      </w:r>
      <w:r>
        <w:t>are</w:t>
      </w:r>
      <w:r w:rsidRPr="00D3354F">
        <w:t xml:space="preserve"> only one person, median household income is usually less than median family income.</w:t>
      </w:r>
    </w:p>
    <w:p w14:paraId="224402B9" w14:textId="77777777" w:rsidR="002D5204" w:rsidRPr="00D3354F" w:rsidRDefault="002D5204" w:rsidP="002D5204"/>
    <w:p w14:paraId="26293DFD" w14:textId="77777777" w:rsidR="002D5204" w:rsidRPr="00D3354F" w:rsidRDefault="002D5204" w:rsidP="002D5204">
      <w:r w:rsidRPr="00D3354F">
        <w:rPr>
          <w:b/>
          <w:bCs/>
        </w:rPr>
        <w:t xml:space="preserve">Housing Unit:  </w:t>
      </w:r>
      <w:r w:rsidRPr="00D3354F">
        <w:t xml:space="preserve">Includes a house, an apartment, a mobile home, a group of rooms, or a single room that </w:t>
      </w:r>
      <w:proofErr w:type="gramStart"/>
      <w:r w:rsidRPr="00D3354F">
        <w:t>is occupied</w:t>
      </w:r>
      <w:proofErr w:type="gramEnd"/>
      <w:r w:rsidRPr="00D3354F">
        <w:t xml:space="preserve"> as separate living quarters.</w:t>
      </w:r>
    </w:p>
    <w:p w14:paraId="173BD107" w14:textId="77777777" w:rsidR="002D5204" w:rsidRPr="00D3354F" w:rsidRDefault="002D5204" w:rsidP="002D5204">
      <w:pPr>
        <w:rPr>
          <w:b/>
          <w:bCs/>
        </w:rPr>
      </w:pPr>
    </w:p>
    <w:p w14:paraId="6CCEC345" w14:textId="77777777" w:rsidR="002D5204" w:rsidRPr="00C74E19" w:rsidRDefault="002D5204" w:rsidP="002D5204">
      <w:r w:rsidRPr="00C74E19">
        <w:rPr>
          <w:b/>
          <w:bCs/>
        </w:rPr>
        <w:t xml:space="preserve">Limited-Scope Review:  </w:t>
      </w:r>
      <w:r w:rsidRPr="00C74E19">
        <w:t xml:space="preserve">A limited scope review </w:t>
      </w:r>
      <w:proofErr w:type="gramStart"/>
      <w:r w:rsidRPr="00C74E19">
        <w:t>is accomplished</w:t>
      </w:r>
      <w:proofErr w:type="gramEnd"/>
      <w:r w:rsidRPr="00C74E19">
        <w:t xml:space="preserve"> when examiners do not complete all applicable interagency examination procedures for an assessment area.  </w:t>
      </w:r>
    </w:p>
    <w:p w14:paraId="53262414" w14:textId="77777777" w:rsidR="002D5204" w:rsidRPr="00C74E19" w:rsidRDefault="002D5204" w:rsidP="002D5204">
      <w:r w:rsidRPr="00C74E19">
        <w:t xml:space="preserve">Performance under applicable tests </w:t>
      </w:r>
      <w:proofErr w:type="gramStart"/>
      <w:r w:rsidRPr="00C74E19">
        <w:t>is often analyzed</w:t>
      </w:r>
      <w:proofErr w:type="gramEnd"/>
      <w:r w:rsidRPr="00C74E19">
        <w:t xml:space="preserve"> using only quantitative factors (for example, geographic distribution, borrower profile, total number and dollar amount of investments, and branch distribution).</w:t>
      </w:r>
    </w:p>
    <w:p w14:paraId="7942F066" w14:textId="77777777" w:rsidR="002D5204" w:rsidRPr="00D3354F" w:rsidRDefault="002D5204" w:rsidP="002D5204"/>
    <w:p w14:paraId="180D70CB" w14:textId="77777777" w:rsidR="002D5204" w:rsidRPr="00D3354F" w:rsidRDefault="002D5204" w:rsidP="002D5204">
      <w:r w:rsidRPr="00D3354F">
        <w:rPr>
          <w:b/>
          <w:bCs/>
        </w:rPr>
        <w:t xml:space="preserve">Low-Income:  </w:t>
      </w:r>
      <w:r w:rsidRPr="00D3354F">
        <w:t xml:space="preserve">Individual income that is less than 50 percent of the area median income, or a median family income that is less than 50 percent in the case of a geography. </w:t>
      </w:r>
    </w:p>
    <w:p w14:paraId="56ACD969" w14:textId="77777777" w:rsidR="002D5204" w:rsidRDefault="002D5204" w:rsidP="002D5204">
      <w:pPr>
        <w:rPr>
          <w:b/>
          <w:bCs/>
        </w:rPr>
      </w:pPr>
    </w:p>
    <w:p w14:paraId="401D7DCA" w14:textId="77777777" w:rsidR="002D5204" w:rsidRPr="00D3354F" w:rsidRDefault="002D5204" w:rsidP="002D5204">
      <w:r w:rsidRPr="00D3354F">
        <w:rPr>
          <w:b/>
          <w:bCs/>
        </w:rPr>
        <w:t>Low Income Housing Tax Credit:</w:t>
      </w:r>
      <w:r w:rsidRPr="00D3354F">
        <w:t xml:space="preserve">  The Low-Income Housing Tax Credit Program is a housing program contained within the Internal Revenue Code of 1986, as amended</w:t>
      </w:r>
      <w:r>
        <w:t xml:space="preserve">.  </w:t>
      </w:r>
      <w:proofErr w:type="gramStart"/>
      <w:r>
        <w:t>It</w:t>
      </w:r>
      <w:r w:rsidRPr="00D3354F">
        <w:t xml:space="preserve"> is administered by the U.S. Department of the Treasury and the Internal Revenue Service</w:t>
      </w:r>
      <w:proofErr w:type="gramEnd"/>
      <w:r w:rsidRPr="00D3354F">
        <w:t>.  The U.S. Treasury Department distributes low-income housing tax credits to housing credit agencies</w:t>
      </w:r>
      <w:r>
        <w:t xml:space="preserve"> </w:t>
      </w:r>
      <w:r w:rsidRPr="00D3354F">
        <w:t xml:space="preserve">through the Internal </w:t>
      </w:r>
      <w:r>
        <w:t xml:space="preserve">Revenue Service.  </w:t>
      </w:r>
      <w:r w:rsidRPr="00D3354F">
        <w:t>The housing agencies allocate tax credits on a competitive basis.</w:t>
      </w:r>
    </w:p>
    <w:p w14:paraId="466F96C2" w14:textId="77777777" w:rsidR="002D5204" w:rsidRPr="00D3354F" w:rsidRDefault="002D5204" w:rsidP="002D5204">
      <w:r w:rsidRPr="00D3354F">
        <w:t xml:space="preserve">  </w:t>
      </w:r>
    </w:p>
    <w:p w14:paraId="41F76B4A" w14:textId="77777777" w:rsidR="002D5204" w:rsidRPr="00D3354F" w:rsidRDefault="002D5204" w:rsidP="002D5204">
      <w:pPr>
        <w:rPr>
          <w:b/>
          <w:bCs/>
        </w:rPr>
      </w:pPr>
      <w:r w:rsidRPr="00D3354F">
        <w:t>Developers who acquire, rehabilitate, or construct low-income rental housing may keep their tax credits</w:t>
      </w:r>
      <w:r>
        <w:t xml:space="preserve">.  </w:t>
      </w:r>
      <w:proofErr w:type="gramStart"/>
      <w:r>
        <w:t>Or</w:t>
      </w:r>
      <w:proofErr w:type="gramEnd"/>
      <w:r>
        <w:t xml:space="preserve">, they may </w:t>
      </w:r>
      <w:r w:rsidRPr="00D3354F">
        <w:t xml:space="preserve">sell them to corporations or investor groups, who, as owners of these properties, will be able to reduce their own federal tax payments.  The credit </w:t>
      </w:r>
      <w:proofErr w:type="gramStart"/>
      <w:r w:rsidRPr="00D3354F">
        <w:t>can be claimed</w:t>
      </w:r>
      <w:proofErr w:type="gramEnd"/>
      <w:r w:rsidRPr="00D3354F">
        <w:t xml:space="preserve"> annually for ten consecutive years.  For a project to be eligible, the developer must set aside a specific percentage of units for occupancy by low-income residents.  The set-aside requirement remains throughout the compliance period, usually 30 years. </w:t>
      </w:r>
    </w:p>
    <w:p w14:paraId="4BDBD56A" w14:textId="77777777" w:rsidR="002D5204" w:rsidRPr="00D3354F" w:rsidRDefault="002D5204" w:rsidP="002D5204">
      <w:pPr>
        <w:rPr>
          <w:b/>
          <w:bCs/>
        </w:rPr>
      </w:pPr>
    </w:p>
    <w:p w14:paraId="4B97340D" w14:textId="77777777" w:rsidR="002D5204" w:rsidRPr="00D3354F" w:rsidRDefault="002D5204" w:rsidP="002D5204">
      <w:r w:rsidRPr="00D3354F">
        <w:rPr>
          <w:b/>
          <w:bCs/>
        </w:rPr>
        <w:t xml:space="preserve">Market Share:  </w:t>
      </w:r>
      <w:r w:rsidRPr="00D3354F">
        <w:t>The number of loans originated and purchased by the institution as a percentage of the aggregate number of loans originated and purchased by all reporting lenders in the metropolitan area/assessment area.</w:t>
      </w:r>
    </w:p>
    <w:p w14:paraId="02B4A9D2" w14:textId="77777777" w:rsidR="002D5204" w:rsidRPr="00D3354F" w:rsidRDefault="002D5204" w:rsidP="002D5204">
      <w:pPr>
        <w:rPr>
          <w:b/>
          <w:bCs/>
        </w:rPr>
      </w:pPr>
    </w:p>
    <w:p w14:paraId="67E3A19F" w14:textId="77777777" w:rsidR="002D5204" w:rsidRPr="00D3354F" w:rsidRDefault="002D5204" w:rsidP="002D5204">
      <w:r w:rsidRPr="00D3354F">
        <w:rPr>
          <w:b/>
          <w:bCs/>
        </w:rPr>
        <w:t xml:space="preserve">Median Income:  </w:t>
      </w:r>
      <w:r w:rsidRPr="00D3354F">
        <w:t>The median income divides the income distribution into two equal parts, one having incomes above the median and other having incomes below the median.</w:t>
      </w:r>
    </w:p>
    <w:p w14:paraId="2B81132B" w14:textId="77777777" w:rsidR="002D5204" w:rsidRDefault="002D5204" w:rsidP="002D5204">
      <w:pPr>
        <w:rPr>
          <w:b/>
          <w:bCs/>
        </w:rPr>
      </w:pPr>
    </w:p>
    <w:p w14:paraId="11C9255A" w14:textId="77777777" w:rsidR="002D5204" w:rsidRPr="00D3354F" w:rsidRDefault="002D5204" w:rsidP="002D5204">
      <w:r w:rsidRPr="00D3354F">
        <w:rPr>
          <w:b/>
          <w:bCs/>
        </w:rPr>
        <w:t xml:space="preserve">Metropolitan Division (MD):  </w:t>
      </w:r>
      <w:r w:rsidRPr="00D3354F">
        <w:t xml:space="preserve">A county or group of counties within a CBSA that contain(s) an urbanized area with a population of at least 2.5 million.  A MD </w:t>
      </w:r>
      <w:r>
        <w:t>is</w:t>
      </w:r>
      <w:r w:rsidRPr="00D3354F">
        <w:t xml:space="preserve"> one or more main/secondary counties represent</w:t>
      </w:r>
      <w:r>
        <w:t>ing</w:t>
      </w:r>
      <w:r w:rsidRPr="00D3354F">
        <w:t xml:space="preserve"> an employment center or centers, plus adjacent counties associated with the main/secondary county or counties through commuting ties.  </w:t>
      </w:r>
    </w:p>
    <w:p w14:paraId="6CAAA12B" w14:textId="77777777" w:rsidR="002D5204" w:rsidRPr="00D3354F" w:rsidRDefault="002D5204" w:rsidP="002D5204">
      <w:pPr>
        <w:rPr>
          <w:b/>
          <w:bCs/>
        </w:rPr>
      </w:pPr>
    </w:p>
    <w:p w14:paraId="68F5E6A7" w14:textId="77777777" w:rsidR="002D5204" w:rsidRDefault="002D5204" w:rsidP="002D5204">
      <w:r w:rsidRPr="00D3354F">
        <w:rPr>
          <w:b/>
          <w:bCs/>
        </w:rPr>
        <w:lastRenderedPageBreak/>
        <w:t xml:space="preserve">Metropolitan Statistical Area (MSA):  </w:t>
      </w:r>
      <w:r w:rsidRPr="00D3354F">
        <w:t>CBSA</w:t>
      </w:r>
      <w:r>
        <w:t xml:space="preserve"> </w:t>
      </w:r>
      <w:r w:rsidRPr="00D3354F">
        <w:t xml:space="preserve">associated with at least one urbanized area </w:t>
      </w:r>
      <w:r>
        <w:t>having</w:t>
      </w:r>
      <w:r w:rsidRPr="00D3354F">
        <w:t xml:space="preserve"> a population of at least 50,000.  The MSA comprises the central county or counties or equivalent entities containing the core, plus adjacent outlying counties having a high degree of social and economic integration with the central county or counties as measured through commuting. </w:t>
      </w:r>
    </w:p>
    <w:p w14:paraId="3C9E9492" w14:textId="77777777" w:rsidR="002D5204" w:rsidRDefault="002D5204" w:rsidP="002D5204"/>
    <w:p w14:paraId="2AB68134" w14:textId="77777777" w:rsidR="002D5204" w:rsidRPr="00D3354F" w:rsidRDefault="002D5204" w:rsidP="002D5204">
      <w:proofErr w:type="spellStart"/>
      <w:r w:rsidRPr="00D3354F">
        <w:rPr>
          <w:b/>
          <w:bCs/>
        </w:rPr>
        <w:t>M</w:t>
      </w:r>
      <w:r>
        <w:rPr>
          <w:b/>
          <w:bCs/>
        </w:rPr>
        <w:t>icropolitan</w:t>
      </w:r>
      <w:proofErr w:type="spellEnd"/>
      <w:r>
        <w:rPr>
          <w:b/>
          <w:bCs/>
        </w:rPr>
        <w:t xml:space="preserve"> Statistical Area</w:t>
      </w:r>
      <w:r w:rsidRPr="00D3354F">
        <w:rPr>
          <w:b/>
          <w:bCs/>
        </w:rPr>
        <w:t xml:space="preserve">:  </w:t>
      </w:r>
      <w:r w:rsidRPr="00D3354F">
        <w:t xml:space="preserve">CBSA associated with at least one urbanized area </w:t>
      </w:r>
      <w:r>
        <w:t>having</w:t>
      </w:r>
      <w:r w:rsidRPr="00D3354F">
        <w:t xml:space="preserve"> a population of at least </w:t>
      </w:r>
      <w:r>
        <w:t>1</w:t>
      </w:r>
      <w:r w:rsidRPr="00D3354F">
        <w:t>0,000</w:t>
      </w:r>
      <w:r>
        <w:t>, but less than 50,000</w:t>
      </w:r>
      <w:r w:rsidRPr="00D3354F">
        <w:t xml:space="preserve">.  </w:t>
      </w:r>
    </w:p>
    <w:p w14:paraId="36876B67" w14:textId="77777777" w:rsidR="002D5204" w:rsidRPr="00D3354F" w:rsidRDefault="002D5204" w:rsidP="002D5204">
      <w:pPr>
        <w:rPr>
          <w:b/>
          <w:bCs/>
        </w:rPr>
      </w:pPr>
    </w:p>
    <w:p w14:paraId="04301B26" w14:textId="77777777" w:rsidR="002D5204" w:rsidRPr="00D3354F" w:rsidRDefault="002D5204" w:rsidP="002D5204">
      <w:r w:rsidRPr="00D3354F">
        <w:rPr>
          <w:b/>
          <w:bCs/>
        </w:rPr>
        <w:t xml:space="preserve">Middle-Income:  </w:t>
      </w:r>
      <w:r w:rsidRPr="00D3354F">
        <w:t>Individual income that is at least 80 percent and less than 120 percent of the area median income, or a median family income that is at least 80 and less than 120 percent in the case of a geography.</w:t>
      </w:r>
    </w:p>
    <w:p w14:paraId="448E3448" w14:textId="77777777" w:rsidR="002D5204" w:rsidRPr="00D3354F" w:rsidRDefault="002D5204" w:rsidP="002D5204"/>
    <w:p w14:paraId="1E787FD5" w14:textId="77777777" w:rsidR="002D5204" w:rsidRPr="00D3354F" w:rsidRDefault="002D5204" w:rsidP="002D5204">
      <w:pPr>
        <w:rPr>
          <w:b/>
          <w:bCs/>
        </w:rPr>
      </w:pPr>
      <w:r w:rsidRPr="00D3354F">
        <w:rPr>
          <w:b/>
          <w:bCs/>
        </w:rPr>
        <w:t>Moderate-Income:</w:t>
      </w:r>
      <w:r w:rsidRPr="00D3354F">
        <w:t xml:space="preserve">  Individual income that is at least 50 percent and less than 80 percent of the area median income, or a median family income that is at least 50 and less than 80 percent in the case of a geography.</w:t>
      </w:r>
    </w:p>
    <w:p w14:paraId="0FCCC169" w14:textId="77777777" w:rsidR="002D5204" w:rsidRPr="00D3354F" w:rsidRDefault="002D5204" w:rsidP="002D5204">
      <w:pPr>
        <w:rPr>
          <w:b/>
          <w:bCs/>
        </w:rPr>
      </w:pPr>
    </w:p>
    <w:p w14:paraId="3D248102" w14:textId="77777777" w:rsidR="002D5204" w:rsidRPr="00D3354F" w:rsidRDefault="002D5204" w:rsidP="002D5204">
      <w:r w:rsidRPr="00D3354F">
        <w:rPr>
          <w:b/>
          <w:bCs/>
        </w:rPr>
        <w:t xml:space="preserve">Multi-family:  </w:t>
      </w:r>
      <w:r w:rsidRPr="00D3354F">
        <w:t>Refers to</w:t>
      </w:r>
      <w:r w:rsidRPr="00D3354F">
        <w:rPr>
          <w:b/>
          <w:bCs/>
        </w:rPr>
        <w:t xml:space="preserve"> </w:t>
      </w:r>
      <w:r w:rsidRPr="00D3354F">
        <w:t>a residential structure that contains five or more units.</w:t>
      </w:r>
    </w:p>
    <w:p w14:paraId="3C75F57B" w14:textId="77777777" w:rsidR="002D5204" w:rsidRDefault="002D5204" w:rsidP="002D5204">
      <w:pPr>
        <w:rPr>
          <w:b/>
          <w:bCs/>
        </w:rPr>
      </w:pPr>
    </w:p>
    <w:p w14:paraId="14573BAA" w14:textId="77777777" w:rsidR="002D5204" w:rsidRPr="00D3354F" w:rsidRDefault="002D5204" w:rsidP="002D5204">
      <w:r>
        <w:rPr>
          <w:b/>
          <w:bCs/>
        </w:rPr>
        <w:t>Non</w:t>
      </w:r>
      <w:r w:rsidRPr="00D3354F">
        <w:rPr>
          <w:b/>
          <w:bCs/>
        </w:rPr>
        <w:t>metropolitan Area:</w:t>
      </w:r>
      <w:r w:rsidRPr="00D3354F">
        <w:t xml:space="preserve">  All areas outside of metropolita</w:t>
      </w:r>
      <w:r>
        <w:t>n areas.  The definition of non</w:t>
      </w:r>
      <w:r w:rsidRPr="00D3354F">
        <w:t>metropolitan area is not consistent with the definition of rural areas.  Urban and rural classifications cut across the other hierarchies</w:t>
      </w:r>
      <w:r>
        <w:t xml:space="preserve">. </w:t>
      </w:r>
      <w:r w:rsidRPr="00D3354F">
        <w:t xml:space="preserve"> </w:t>
      </w:r>
      <w:r>
        <w:t>F</w:t>
      </w:r>
      <w:r w:rsidRPr="00D3354F">
        <w:t>or example, there is generally urban and rural territ</w:t>
      </w:r>
      <w:r>
        <w:t>ory within metropolitan and non</w:t>
      </w:r>
      <w:r w:rsidRPr="00D3354F">
        <w:t>metropolitan areas.</w:t>
      </w:r>
    </w:p>
    <w:p w14:paraId="7198A346" w14:textId="77777777" w:rsidR="002D5204" w:rsidRPr="00D3354F" w:rsidRDefault="002D5204" w:rsidP="002D5204">
      <w:pPr>
        <w:rPr>
          <w:b/>
          <w:bCs/>
        </w:rPr>
      </w:pPr>
    </w:p>
    <w:p w14:paraId="07BCAF51" w14:textId="77777777" w:rsidR="002D5204" w:rsidRPr="00D3354F" w:rsidRDefault="002D5204" w:rsidP="002D5204">
      <w:r w:rsidRPr="00D3354F">
        <w:rPr>
          <w:b/>
          <w:bCs/>
        </w:rPr>
        <w:t>Owner-Occupied Units:</w:t>
      </w:r>
      <w:r w:rsidRPr="00D3354F">
        <w:t xml:space="preserve">  Includes units occupied by the owner or co-owner, even if the unit </w:t>
      </w:r>
      <w:proofErr w:type="gramStart"/>
      <w:r w:rsidRPr="00D3354F">
        <w:t>has not been fully paid for</w:t>
      </w:r>
      <w:proofErr w:type="gramEnd"/>
      <w:r w:rsidRPr="00D3354F">
        <w:t xml:space="preserve"> or is mortgaged.</w:t>
      </w:r>
    </w:p>
    <w:p w14:paraId="6C9E65B4" w14:textId="77777777" w:rsidR="002D5204" w:rsidRPr="00D3354F" w:rsidRDefault="002D5204" w:rsidP="002D5204">
      <w:pPr>
        <w:rPr>
          <w:b/>
          <w:bCs/>
        </w:rPr>
      </w:pPr>
    </w:p>
    <w:p w14:paraId="13B09BD6" w14:textId="77777777" w:rsidR="002D5204" w:rsidRPr="00145CB9" w:rsidRDefault="002D5204" w:rsidP="002D5204">
      <w:pPr>
        <w:rPr>
          <w:bCs/>
        </w:rPr>
      </w:pPr>
      <w:r>
        <w:rPr>
          <w:b/>
          <w:bCs/>
        </w:rPr>
        <w:t xml:space="preserve">Qualified Investment:  </w:t>
      </w:r>
      <w:r>
        <w:rPr>
          <w:bCs/>
        </w:rPr>
        <w:t>A lawful investment, deposit, membership share, or grant that has as its primary purpose community development.</w:t>
      </w:r>
    </w:p>
    <w:p w14:paraId="79571484" w14:textId="77777777" w:rsidR="002D5204" w:rsidRDefault="002D5204" w:rsidP="002D5204">
      <w:pPr>
        <w:rPr>
          <w:b/>
          <w:bCs/>
        </w:rPr>
      </w:pPr>
    </w:p>
    <w:p w14:paraId="1CBAF980" w14:textId="77777777" w:rsidR="002D5204" w:rsidRDefault="002D5204" w:rsidP="002D5204">
      <w:pPr>
        <w:rPr>
          <w:snapToGrid w:val="0"/>
        </w:rPr>
      </w:pPr>
      <w:r w:rsidRPr="00D3354F">
        <w:rPr>
          <w:b/>
          <w:bCs/>
        </w:rPr>
        <w:t>Rated area:</w:t>
      </w:r>
      <w:r w:rsidRPr="00D3354F">
        <w:t xml:space="preserve">  </w:t>
      </w:r>
      <w:r w:rsidRPr="00D3354F">
        <w:rPr>
          <w:snapToGrid w:val="0"/>
        </w:rPr>
        <w:t xml:space="preserve">A rated area is a state or multistate metropolitan area.  For an institution with domestic branches in only one state, the institution’s CRA rating would be the state rating.  If an institution maintains domestic branches in more than one state, the institution will receive a rating for each state in which those branches are located.  If an institution maintains domestic branches in two or more states within a multistate metropolitan area, the institution will receive a rating for the multistate metropolitan area.  </w:t>
      </w:r>
    </w:p>
    <w:p w14:paraId="4C026C8E" w14:textId="77777777" w:rsidR="002D5204" w:rsidRPr="006D6766" w:rsidRDefault="002D5204" w:rsidP="002D5204">
      <w:pPr>
        <w:rPr>
          <w:color w:val="000000"/>
        </w:rPr>
      </w:pPr>
    </w:p>
    <w:p w14:paraId="140B6140" w14:textId="77777777" w:rsidR="002D5204" w:rsidRPr="00D3354F" w:rsidRDefault="002D5204" w:rsidP="002D5204">
      <w:r w:rsidRPr="00D3354F">
        <w:rPr>
          <w:b/>
          <w:bCs/>
        </w:rPr>
        <w:t>Rural Area:</w:t>
      </w:r>
      <w:r w:rsidRPr="00D3354F">
        <w:t xml:space="preserve">  Territories, populations</w:t>
      </w:r>
      <w:r>
        <w:t>,</w:t>
      </w:r>
      <w:r w:rsidRPr="00D3354F">
        <w:t xml:space="preserve"> and housing units that </w:t>
      </w:r>
      <w:proofErr w:type="gramStart"/>
      <w:r w:rsidRPr="00D3354F">
        <w:t>are not classified</w:t>
      </w:r>
      <w:proofErr w:type="gramEnd"/>
      <w:r w:rsidRPr="00D3354F">
        <w:t xml:space="preserve"> as urban.</w:t>
      </w:r>
    </w:p>
    <w:p w14:paraId="441478E1" w14:textId="77777777" w:rsidR="002D5204" w:rsidRDefault="002D5204" w:rsidP="002D5204">
      <w:pPr>
        <w:pStyle w:val="NormalWeb"/>
        <w:spacing w:before="0" w:beforeAutospacing="0" w:after="0" w:afterAutospacing="0"/>
        <w:rPr>
          <w:b/>
          <w:bCs/>
          <w:color w:val="000000"/>
        </w:rPr>
      </w:pPr>
    </w:p>
    <w:p w14:paraId="606E3112" w14:textId="77777777" w:rsidR="002D5204" w:rsidRDefault="002D5204" w:rsidP="002D5204">
      <w:pPr>
        <w:pStyle w:val="NormalWeb"/>
        <w:spacing w:before="0" w:beforeAutospacing="0" w:after="0" w:afterAutospacing="0"/>
        <w:rPr>
          <w:color w:val="000000"/>
        </w:rPr>
      </w:pPr>
      <w:r w:rsidRPr="00D3354F">
        <w:rPr>
          <w:b/>
          <w:bCs/>
          <w:color w:val="000000"/>
        </w:rPr>
        <w:t xml:space="preserve">Small Business Investment Company (SBIC):  </w:t>
      </w:r>
      <w:r w:rsidRPr="00D3354F">
        <w:rPr>
          <w:color w:val="000000"/>
        </w:rPr>
        <w:t xml:space="preserve">SBICs are </w:t>
      </w:r>
      <w:proofErr w:type="gramStart"/>
      <w:r w:rsidRPr="00D3354F">
        <w:rPr>
          <w:color w:val="000000"/>
        </w:rPr>
        <w:t>privately-owned</w:t>
      </w:r>
      <w:proofErr w:type="gramEnd"/>
      <w:r w:rsidRPr="00D3354F">
        <w:rPr>
          <w:color w:val="000000"/>
        </w:rPr>
        <w:t xml:space="preserve"> investment companies which are licensed and regulated by the Small Business Administration (SBA).  SBICs provide long-term loans and/or venture capital to small firms.  Because money for venture or risk investments is difficult for small firms to obtain, SBA </w:t>
      </w:r>
      <w:proofErr w:type="gramStart"/>
      <w:r w:rsidRPr="00D3354F">
        <w:rPr>
          <w:color w:val="000000"/>
        </w:rPr>
        <w:t>provides assistance</w:t>
      </w:r>
      <w:proofErr w:type="gramEnd"/>
      <w:r w:rsidRPr="00D3354F">
        <w:rPr>
          <w:color w:val="000000"/>
        </w:rPr>
        <w:t xml:space="preserve"> to SBICs to stimulate and supplement the flow of private equity and long-term loan funds to small companies.  Venture capitalists participate in the SBIC program to supplement their own private capital with funds borrowed at favorable rates through SBA’s guarantee of SBIC debentures</w:t>
      </w:r>
      <w:r>
        <w:rPr>
          <w:color w:val="000000"/>
        </w:rPr>
        <w:t xml:space="preserve">.  </w:t>
      </w:r>
      <w:r>
        <w:rPr>
          <w:color w:val="000000"/>
        </w:rPr>
        <w:lastRenderedPageBreak/>
        <w:t xml:space="preserve">These SBIC debentures </w:t>
      </w:r>
      <w:proofErr w:type="gramStart"/>
      <w:r>
        <w:rPr>
          <w:color w:val="000000"/>
        </w:rPr>
        <w:t>are then</w:t>
      </w:r>
      <w:r w:rsidRPr="00D3354F">
        <w:rPr>
          <w:color w:val="000000"/>
        </w:rPr>
        <w:t xml:space="preserve"> sold</w:t>
      </w:r>
      <w:proofErr w:type="gramEnd"/>
      <w:r w:rsidRPr="00D3354F">
        <w:rPr>
          <w:color w:val="000000"/>
        </w:rPr>
        <w:t xml:space="preserve"> to private investors.  An SBIC’s success </w:t>
      </w:r>
      <w:proofErr w:type="gramStart"/>
      <w:r w:rsidRPr="00D3354F">
        <w:rPr>
          <w:color w:val="000000"/>
        </w:rPr>
        <w:t>is linked</w:t>
      </w:r>
      <w:proofErr w:type="gramEnd"/>
      <w:r w:rsidRPr="00D3354F">
        <w:rPr>
          <w:color w:val="000000"/>
        </w:rPr>
        <w:t xml:space="preserve"> to the growth and profitability of the companies that it finances</w:t>
      </w:r>
      <w:r>
        <w:rPr>
          <w:color w:val="000000"/>
        </w:rPr>
        <w:t>.  Therefore,</w:t>
      </w:r>
      <w:r w:rsidRPr="00D3354F">
        <w:rPr>
          <w:color w:val="000000"/>
        </w:rPr>
        <w:t xml:space="preserve"> some SBICs primarily assist businesses with significant growth potential, such as new firms in innovative industries.  SBICs finance small firms by providing straight loans and/or equity-type investments</w:t>
      </w:r>
      <w:r>
        <w:rPr>
          <w:color w:val="000000"/>
        </w:rPr>
        <w:t>.  This kind of financing</w:t>
      </w:r>
      <w:r w:rsidRPr="00D3354F">
        <w:rPr>
          <w:color w:val="000000"/>
        </w:rPr>
        <w:t xml:space="preserve"> give</w:t>
      </w:r>
      <w:r>
        <w:rPr>
          <w:color w:val="000000"/>
        </w:rPr>
        <w:t>s</w:t>
      </w:r>
      <w:r w:rsidRPr="00D3354F">
        <w:rPr>
          <w:color w:val="000000"/>
        </w:rPr>
        <w:t xml:space="preserve"> them partial ownership of those businesses</w:t>
      </w:r>
      <w:r>
        <w:rPr>
          <w:color w:val="000000"/>
        </w:rPr>
        <w:t xml:space="preserve"> and the possibility </w:t>
      </w:r>
      <w:r w:rsidRPr="00D3354F">
        <w:rPr>
          <w:color w:val="000000"/>
        </w:rPr>
        <w:t xml:space="preserve">of sharing in the companies’ profits as they grow and prosper.  </w:t>
      </w:r>
    </w:p>
    <w:p w14:paraId="7E5D5780" w14:textId="77777777" w:rsidR="002D5204" w:rsidRPr="00D3354F" w:rsidRDefault="002D5204" w:rsidP="002D5204">
      <w:pPr>
        <w:pStyle w:val="NormalWeb"/>
        <w:spacing w:before="0" w:beforeAutospacing="0" w:after="0" w:afterAutospacing="0"/>
      </w:pPr>
    </w:p>
    <w:p w14:paraId="5DF2D324" w14:textId="77777777" w:rsidR="002D5204" w:rsidRPr="00D3354F" w:rsidRDefault="002D5204" w:rsidP="002D5204">
      <w:r w:rsidRPr="00D3354F">
        <w:rPr>
          <w:b/>
          <w:bCs/>
        </w:rPr>
        <w:t>Small Business Loan:</w:t>
      </w:r>
      <w:r w:rsidRPr="00D3354F">
        <w:t xml:space="preserve">  A loan included in “loans to small businesses” as defined in the Consolidated Report of Condition and Income (Call Report).  These loans have original amounts of $1 million or less and are </w:t>
      </w:r>
      <w:proofErr w:type="gramStart"/>
      <w:r w:rsidRPr="00D3354F">
        <w:t>either secured</w:t>
      </w:r>
      <w:proofErr w:type="gramEnd"/>
      <w:r w:rsidRPr="00D3354F">
        <w:t xml:space="preserve"> by nonfarm nonresidential properties or are classified as commercial and industrial loans.</w:t>
      </w:r>
    </w:p>
    <w:p w14:paraId="479AFFD8" w14:textId="77777777" w:rsidR="002D5204" w:rsidRPr="00D3354F" w:rsidRDefault="002D5204" w:rsidP="002D5204">
      <w:pPr>
        <w:rPr>
          <w:b/>
          <w:bCs/>
        </w:rPr>
      </w:pPr>
    </w:p>
    <w:p w14:paraId="2055CD4C" w14:textId="77777777" w:rsidR="002D5204" w:rsidRPr="00D3354F" w:rsidRDefault="002D5204" w:rsidP="002D5204">
      <w:r w:rsidRPr="00D3354F">
        <w:rPr>
          <w:b/>
          <w:bCs/>
        </w:rPr>
        <w:t xml:space="preserve">Small Farm Loan:  </w:t>
      </w:r>
      <w:r w:rsidRPr="00D3354F">
        <w:t xml:space="preserve">A loan included in “loans to small farms” as defined in the instructions for </w:t>
      </w:r>
      <w:proofErr w:type="gramStart"/>
      <w:r w:rsidRPr="00D3354F">
        <w:t>preparation</w:t>
      </w:r>
      <w:proofErr w:type="gramEnd"/>
      <w:r w:rsidRPr="00D3354F">
        <w:t xml:space="preserve"> of the Consolidated Report of Condition and Income (Call Report).  These loans have original amounts of $500,000 or less and are </w:t>
      </w:r>
      <w:proofErr w:type="gramStart"/>
      <w:r w:rsidRPr="00D3354F">
        <w:t>either secured</w:t>
      </w:r>
      <w:proofErr w:type="gramEnd"/>
      <w:r w:rsidRPr="00D3354F">
        <w:t xml:space="preserve"> by farmland, including farm residential and other improvements, or are classified as loans to finance agricultural production and other loans to farmers.</w:t>
      </w:r>
    </w:p>
    <w:p w14:paraId="16B1AF8F" w14:textId="77777777" w:rsidR="002D5204" w:rsidRPr="00D3354F" w:rsidRDefault="002D5204" w:rsidP="002D5204">
      <w:pPr>
        <w:rPr>
          <w:b/>
          <w:bCs/>
        </w:rPr>
      </w:pPr>
    </w:p>
    <w:p w14:paraId="39A8B759" w14:textId="77777777" w:rsidR="002D5204" w:rsidRDefault="002D5204" w:rsidP="002D5204">
      <w:r>
        <w:rPr>
          <w:b/>
          <w:bCs/>
        </w:rPr>
        <w:t>Underserved Middle-Income Nonmetropolitan G</w:t>
      </w:r>
      <w:r w:rsidRPr="00D3354F">
        <w:rPr>
          <w:b/>
          <w:bCs/>
        </w:rPr>
        <w:t>eographies:</w:t>
      </w:r>
      <w:r w:rsidRPr="00D3354F">
        <w:t xml:space="preserve">  A nonmetropolitan middle-income geography </w:t>
      </w:r>
      <w:proofErr w:type="gramStart"/>
      <w:r w:rsidRPr="00D3354F">
        <w:t>will be designated</w:t>
      </w:r>
      <w:proofErr w:type="gramEnd"/>
      <w:r w:rsidRPr="00D3354F">
        <w:t xml:space="preserve"> as underserved if it meets criteria for</w:t>
      </w:r>
    </w:p>
    <w:p w14:paraId="188EA63B" w14:textId="77777777" w:rsidR="002D5204" w:rsidRDefault="002D5204" w:rsidP="002D5204">
      <w:pPr>
        <w:numPr>
          <w:ilvl w:val="0"/>
          <w:numId w:val="23"/>
        </w:numPr>
      </w:pPr>
      <w:r>
        <w:t>P</w:t>
      </w:r>
      <w:r w:rsidRPr="00D3354F">
        <w:t>opulation size, density, and dispersion indicat</w:t>
      </w:r>
      <w:r>
        <w:t>ing</w:t>
      </w:r>
      <w:r w:rsidRPr="00D3354F">
        <w:t xml:space="preserve"> the area’s population is sufficiently small, thin, and </w:t>
      </w:r>
    </w:p>
    <w:p w14:paraId="338BD131" w14:textId="77777777" w:rsidR="002D5204" w:rsidRPr="004111C6" w:rsidRDefault="002D5204" w:rsidP="002D5204">
      <w:pPr>
        <w:numPr>
          <w:ilvl w:val="0"/>
          <w:numId w:val="23"/>
        </w:numPr>
      </w:pPr>
      <w:r>
        <w:t>D</w:t>
      </w:r>
      <w:r w:rsidRPr="00D3354F">
        <w:t xml:space="preserve">istant from a population center that the tract is likely to have difficulty financing the fixed costs of meeting essential community needs. </w:t>
      </w:r>
    </w:p>
    <w:p w14:paraId="15E521A4" w14:textId="77777777" w:rsidR="002D5204" w:rsidRPr="00D3354F" w:rsidRDefault="002D5204" w:rsidP="002D5204">
      <w:pPr>
        <w:rPr>
          <w:b/>
          <w:bCs/>
        </w:rPr>
      </w:pPr>
    </w:p>
    <w:p w14:paraId="12484614" w14:textId="77777777" w:rsidR="002D5204" w:rsidRPr="00D3354F" w:rsidRDefault="002D5204" w:rsidP="002D5204">
      <w:r w:rsidRPr="00D3354F">
        <w:rPr>
          <w:b/>
          <w:bCs/>
        </w:rPr>
        <w:t>Upper-Income:</w:t>
      </w:r>
      <w:r w:rsidRPr="00D3354F">
        <w:t xml:space="preserve">  Individual income that is more than 120 percent of the area median income, or a median family income that is more than 120 percent in the case of a geography. </w:t>
      </w:r>
    </w:p>
    <w:p w14:paraId="79B53B43" w14:textId="77777777" w:rsidR="002D5204" w:rsidRPr="00D3354F" w:rsidRDefault="002D5204" w:rsidP="002D5204">
      <w:pPr>
        <w:rPr>
          <w:b/>
          <w:bCs/>
        </w:rPr>
      </w:pPr>
    </w:p>
    <w:p w14:paraId="38AF7CEA" w14:textId="77777777" w:rsidR="002D5204" w:rsidRDefault="002D5204" w:rsidP="002D5204">
      <w:r w:rsidRPr="00D3354F">
        <w:rPr>
          <w:b/>
          <w:bCs/>
        </w:rPr>
        <w:t>Urban</w:t>
      </w:r>
      <w:r w:rsidRPr="00D3354F">
        <w:t xml:space="preserve"> </w:t>
      </w:r>
      <w:r w:rsidRPr="00D3354F">
        <w:rPr>
          <w:b/>
          <w:bCs/>
        </w:rPr>
        <w:t xml:space="preserve">Area:  </w:t>
      </w:r>
      <w:r w:rsidRPr="00D3354F">
        <w:t>All territories, populations, and housing units in urbanized areas and in places of 2,500 or more persons outside urbanized areas.  More specifically, “urban” consists of territory, persons, and housing units in</w:t>
      </w:r>
      <w:r>
        <w:t xml:space="preserve"> p</w:t>
      </w:r>
      <w:r w:rsidRPr="00D3354F">
        <w:t>laces of 2,500 or more persons incorporated as cities, villages, boroughs (except in Alaska and New York), and towns (except in the New England states, New York, and Wisconsin)</w:t>
      </w:r>
      <w:r>
        <w:t xml:space="preserve">.  </w:t>
      </w:r>
    </w:p>
    <w:p w14:paraId="3F57F559" w14:textId="77777777" w:rsidR="002D5204" w:rsidRDefault="002D5204" w:rsidP="002D5204"/>
    <w:p w14:paraId="2C6C3718" w14:textId="77777777" w:rsidR="002D5204" w:rsidRDefault="002D5204" w:rsidP="002D5204">
      <w:pPr>
        <w:rPr>
          <w:color w:val="000000"/>
        </w:rPr>
      </w:pPr>
      <w:r>
        <w:t xml:space="preserve">“Urban” </w:t>
      </w:r>
      <w:r w:rsidRPr="00D3354F">
        <w:t>exclud</w:t>
      </w:r>
      <w:r>
        <w:t>es</w:t>
      </w:r>
      <w:r w:rsidRPr="00D3354F">
        <w:t xml:space="preserve"> the rural portions of “extended cities”; census designated place of 2,500 or more persons; and other territory, incorporated or unincorporated, including in urbanized areas.</w:t>
      </w:r>
    </w:p>
    <w:p w14:paraId="4E8A4C70" w14:textId="77777777" w:rsidR="002D5204" w:rsidRDefault="002D5204" w:rsidP="002D5204">
      <w:pPr>
        <w:rPr>
          <w:color w:val="000000"/>
        </w:rPr>
      </w:pPr>
    </w:p>
    <w:p w14:paraId="2AA351C9" w14:textId="77777777" w:rsidR="002D5204" w:rsidRDefault="002D5204" w:rsidP="002D5204">
      <w:pPr>
        <w:rPr>
          <w:color w:val="000000"/>
        </w:rPr>
      </w:pPr>
    </w:p>
    <w:p w14:paraId="5685517A" w14:textId="77777777" w:rsidR="002D5204" w:rsidRDefault="002D5204" w:rsidP="002D5204">
      <w:pPr>
        <w:tabs>
          <w:tab w:val="center" w:pos="4680"/>
        </w:tabs>
        <w:jc w:val="center"/>
        <w:rPr>
          <w:b/>
          <w:spacing w:val="-4"/>
          <w:sz w:val="28"/>
          <w:szCs w:val="28"/>
        </w:rPr>
        <w:sectPr w:rsidR="002D5204" w:rsidSect="00BC6D5E">
          <w:pgSz w:w="12240" w:h="15840"/>
          <w:pgMar w:top="1440" w:right="1440" w:bottom="1440" w:left="1440" w:header="720" w:footer="720" w:gutter="0"/>
          <w:cols w:space="720"/>
          <w:docGrid w:linePitch="360"/>
        </w:sectPr>
      </w:pPr>
    </w:p>
    <w:p w14:paraId="53939DC5" w14:textId="77777777" w:rsidR="002D5204" w:rsidRPr="00456627" w:rsidRDefault="002D5204" w:rsidP="002D5204">
      <w:pPr>
        <w:tabs>
          <w:tab w:val="center" w:pos="4680"/>
        </w:tabs>
        <w:jc w:val="center"/>
        <w:rPr>
          <w:b/>
          <w:spacing w:val="-3"/>
          <w:sz w:val="28"/>
          <w:szCs w:val="28"/>
        </w:rPr>
      </w:pPr>
      <w:r w:rsidRPr="00456627">
        <w:rPr>
          <w:b/>
          <w:spacing w:val="-4"/>
          <w:sz w:val="28"/>
          <w:szCs w:val="28"/>
        </w:rPr>
        <w:lastRenderedPageBreak/>
        <w:t>PERFORMANCE EVALUATION DISCLOSURE GUIDE</w:t>
      </w:r>
    </w:p>
    <w:p w14:paraId="61187059" w14:textId="77777777" w:rsidR="002D5204" w:rsidRPr="00CA22D8" w:rsidRDefault="002D5204" w:rsidP="002D5204">
      <w:pPr>
        <w:tabs>
          <w:tab w:val="left" w:pos="720"/>
          <w:tab w:val="left" w:pos="1320"/>
          <w:tab w:val="left" w:pos="1680"/>
        </w:tabs>
        <w:jc w:val="both"/>
        <w:rPr>
          <w:spacing w:val="-3"/>
        </w:rPr>
      </w:pPr>
    </w:p>
    <w:p w14:paraId="019AE1C0" w14:textId="77777777" w:rsidR="002D5204" w:rsidRDefault="002D5204" w:rsidP="002D5204">
      <w:pPr>
        <w:tabs>
          <w:tab w:val="left" w:pos="720"/>
          <w:tab w:val="left" w:pos="1320"/>
          <w:tab w:val="left" w:pos="1680"/>
        </w:tabs>
        <w:ind w:left="720" w:hanging="720"/>
        <w:jc w:val="both"/>
        <w:rPr>
          <w:spacing w:val="-3"/>
        </w:rPr>
      </w:pPr>
      <w:r w:rsidRPr="00CA22D8">
        <w:rPr>
          <w:spacing w:val="-3"/>
        </w:rPr>
        <w:t>Massachusetts General Laws Chapter 167, Section 14, as amend</w:t>
      </w:r>
      <w:r>
        <w:rPr>
          <w:spacing w:val="-3"/>
        </w:rPr>
        <w:t>ed, and the Uniform Interagency</w:t>
      </w:r>
    </w:p>
    <w:p w14:paraId="2DD326F1" w14:textId="77777777" w:rsidR="002D5204" w:rsidRDefault="002D5204" w:rsidP="002D5204">
      <w:pPr>
        <w:tabs>
          <w:tab w:val="left" w:pos="720"/>
          <w:tab w:val="left" w:pos="1320"/>
          <w:tab w:val="left" w:pos="1680"/>
        </w:tabs>
        <w:ind w:left="720" w:hanging="720"/>
        <w:jc w:val="both"/>
        <w:rPr>
          <w:spacing w:val="-3"/>
        </w:rPr>
      </w:pPr>
      <w:r w:rsidRPr="00CA22D8">
        <w:rPr>
          <w:spacing w:val="-3"/>
        </w:rPr>
        <w:t>Community Reinvestment Act (CRA) Guidelines for Disclosure o</w:t>
      </w:r>
      <w:r>
        <w:rPr>
          <w:spacing w:val="-3"/>
        </w:rPr>
        <w:t>f Written Evaluations, and Part</w:t>
      </w:r>
    </w:p>
    <w:p w14:paraId="1889BB21" w14:textId="77777777" w:rsidR="002D5204" w:rsidRDefault="002D5204" w:rsidP="002D5204">
      <w:pPr>
        <w:tabs>
          <w:tab w:val="left" w:pos="720"/>
          <w:tab w:val="left" w:pos="1320"/>
          <w:tab w:val="left" w:pos="1680"/>
        </w:tabs>
        <w:ind w:left="720" w:hanging="720"/>
        <w:jc w:val="both"/>
        <w:rPr>
          <w:spacing w:val="-3"/>
        </w:rPr>
      </w:pPr>
      <w:r w:rsidRPr="00CA22D8">
        <w:rPr>
          <w:spacing w:val="-3"/>
        </w:rPr>
        <w:t>345 of the Federal Deposit Insurance Corporation’s Rules and Reg</w:t>
      </w:r>
      <w:r>
        <w:rPr>
          <w:spacing w:val="-3"/>
        </w:rPr>
        <w:t>ulations, require all financial</w:t>
      </w:r>
    </w:p>
    <w:p w14:paraId="76DC9C37" w14:textId="77777777" w:rsidR="002D5204" w:rsidRDefault="002D5204" w:rsidP="002D5204">
      <w:pPr>
        <w:tabs>
          <w:tab w:val="left" w:pos="720"/>
          <w:tab w:val="left" w:pos="1320"/>
          <w:tab w:val="left" w:pos="1680"/>
        </w:tabs>
        <w:ind w:left="720" w:hanging="720"/>
        <w:jc w:val="both"/>
        <w:rPr>
          <w:spacing w:val="-3"/>
        </w:rPr>
      </w:pPr>
      <w:proofErr w:type="gramStart"/>
      <w:r w:rsidRPr="00CA22D8">
        <w:rPr>
          <w:spacing w:val="-3"/>
        </w:rPr>
        <w:t>institutions</w:t>
      </w:r>
      <w:proofErr w:type="gramEnd"/>
      <w:r w:rsidRPr="00CA22D8">
        <w:rPr>
          <w:spacing w:val="-3"/>
        </w:rPr>
        <w:t xml:space="preserve"> to take the following actions within 30 business days of r</w:t>
      </w:r>
      <w:r>
        <w:rPr>
          <w:spacing w:val="-3"/>
        </w:rPr>
        <w:t>eceipt of the CRA evaluation of</w:t>
      </w:r>
    </w:p>
    <w:p w14:paraId="0861ED85" w14:textId="77777777" w:rsidR="002D5204" w:rsidRPr="00CA22D8" w:rsidRDefault="002D5204" w:rsidP="002D5204">
      <w:pPr>
        <w:tabs>
          <w:tab w:val="left" w:pos="720"/>
          <w:tab w:val="left" w:pos="1320"/>
          <w:tab w:val="left" w:pos="1680"/>
        </w:tabs>
        <w:ind w:left="720" w:hanging="720"/>
        <w:jc w:val="both"/>
        <w:rPr>
          <w:spacing w:val="-3"/>
        </w:rPr>
      </w:pPr>
      <w:proofErr w:type="gramStart"/>
      <w:r w:rsidRPr="00CA22D8">
        <w:rPr>
          <w:spacing w:val="-3"/>
        </w:rPr>
        <w:t>their</w:t>
      </w:r>
      <w:proofErr w:type="gramEnd"/>
      <w:r w:rsidRPr="00CA22D8">
        <w:rPr>
          <w:spacing w:val="-3"/>
        </w:rPr>
        <w:t xml:space="preserve"> institution:</w:t>
      </w:r>
    </w:p>
    <w:p w14:paraId="2FE1C908" w14:textId="77777777" w:rsidR="002D5204" w:rsidRPr="00CA22D8" w:rsidRDefault="002D5204" w:rsidP="002D5204">
      <w:pPr>
        <w:tabs>
          <w:tab w:val="left" w:pos="720"/>
          <w:tab w:val="left" w:pos="1320"/>
          <w:tab w:val="left" w:pos="1680"/>
        </w:tabs>
        <w:jc w:val="both"/>
        <w:rPr>
          <w:spacing w:val="-3"/>
        </w:rPr>
      </w:pPr>
    </w:p>
    <w:p w14:paraId="03E9F6DA" w14:textId="77777777" w:rsidR="002D5204" w:rsidRPr="00CA22D8" w:rsidRDefault="002D5204" w:rsidP="002D5204">
      <w:pPr>
        <w:tabs>
          <w:tab w:val="left" w:pos="720"/>
          <w:tab w:val="left" w:pos="1320"/>
          <w:tab w:val="left" w:pos="1680"/>
        </w:tabs>
        <w:ind w:left="1320" w:hanging="1320"/>
        <w:jc w:val="both"/>
        <w:rPr>
          <w:spacing w:val="-3"/>
        </w:rPr>
      </w:pPr>
      <w:r w:rsidRPr="00CA22D8">
        <w:rPr>
          <w:spacing w:val="-3"/>
        </w:rPr>
        <w:tab/>
        <w:t xml:space="preserve">1) </w:t>
      </w:r>
      <w:r w:rsidRPr="00CA22D8">
        <w:rPr>
          <w:spacing w:val="-3"/>
        </w:rPr>
        <w:tab/>
        <w:t>Make its most current CRA performance evaluation available to the public</w:t>
      </w:r>
      <w:proofErr w:type="gramStart"/>
      <w:r w:rsidRPr="00CA22D8">
        <w:rPr>
          <w:spacing w:val="-3"/>
        </w:rPr>
        <w:t>;</w:t>
      </w:r>
      <w:proofErr w:type="gramEnd"/>
    </w:p>
    <w:p w14:paraId="41AFAC7D" w14:textId="77777777" w:rsidR="002D5204" w:rsidRPr="00CA22D8" w:rsidRDefault="002D5204" w:rsidP="002D5204">
      <w:pPr>
        <w:tabs>
          <w:tab w:val="left" w:pos="720"/>
          <w:tab w:val="left" w:pos="1320"/>
          <w:tab w:val="left" w:pos="1680"/>
        </w:tabs>
        <w:jc w:val="both"/>
        <w:rPr>
          <w:spacing w:val="-3"/>
        </w:rPr>
      </w:pPr>
    </w:p>
    <w:p w14:paraId="0B790018" w14:textId="77777777" w:rsidR="002D5204" w:rsidRPr="00CA22D8" w:rsidRDefault="002D5204" w:rsidP="002D5204">
      <w:pPr>
        <w:tabs>
          <w:tab w:val="left" w:pos="720"/>
          <w:tab w:val="left" w:pos="1320"/>
          <w:tab w:val="left" w:pos="1680"/>
        </w:tabs>
        <w:ind w:left="1320" w:hanging="1320"/>
        <w:jc w:val="both"/>
        <w:rPr>
          <w:spacing w:val="-3"/>
        </w:rPr>
      </w:pPr>
      <w:r w:rsidRPr="00CA22D8">
        <w:rPr>
          <w:spacing w:val="-3"/>
        </w:rPr>
        <w:tab/>
        <w:t>2)</w:t>
      </w:r>
      <w:r w:rsidRPr="00CA22D8">
        <w:rPr>
          <w:spacing w:val="-3"/>
        </w:rPr>
        <w:tab/>
        <w:t>At a minimum, place the evaluation in the institution's CRA public file located at the head office and at a designated office in each assessment area</w:t>
      </w:r>
      <w:proofErr w:type="gramStart"/>
      <w:r w:rsidRPr="00CA22D8">
        <w:rPr>
          <w:spacing w:val="-3"/>
        </w:rPr>
        <w:t>;</w:t>
      </w:r>
      <w:proofErr w:type="gramEnd"/>
    </w:p>
    <w:p w14:paraId="3C05538A" w14:textId="77777777" w:rsidR="002D5204" w:rsidRPr="00CA22D8" w:rsidRDefault="002D5204" w:rsidP="002D5204">
      <w:pPr>
        <w:tabs>
          <w:tab w:val="left" w:pos="720"/>
          <w:tab w:val="left" w:pos="1320"/>
          <w:tab w:val="left" w:pos="1680"/>
        </w:tabs>
        <w:jc w:val="both"/>
        <w:rPr>
          <w:spacing w:val="-3"/>
        </w:rPr>
      </w:pPr>
    </w:p>
    <w:p w14:paraId="33629F2A" w14:textId="77777777" w:rsidR="002D5204" w:rsidRPr="00CA22D8" w:rsidRDefault="002D5204" w:rsidP="002D5204">
      <w:pPr>
        <w:tabs>
          <w:tab w:val="left" w:pos="720"/>
          <w:tab w:val="left" w:pos="1320"/>
          <w:tab w:val="left" w:pos="1680"/>
        </w:tabs>
        <w:ind w:left="1320" w:hanging="1320"/>
        <w:jc w:val="both"/>
        <w:rPr>
          <w:spacing w:val="-3"/>
        </w:rPr>
      </w:pPr>
      <w:r w:rsidRPr="00CA22D8">
        <w:rPr>
          <w:spacing w:val="-3"/>
        </w:rPr>
        <w:tab/>
        <w:t>3)</w:t>
      </w:r>
      <w:r w:rsidRPr="00CA22D8">
        <w:rPr>
          <w:spacing w:val="-3"/>
        </w:rPr>
        <w:tab/>
        <w:t xml:space="preserve">Add the following language to the institution's required CRA public notice that </w:t>
      </w:r>
      <w:proofErr w:type="gramStart"/>
      <w:r w:rsidRPr="00CA22D8">
        <w:rPr>
          <w:spacing w:val="-3"/>
        </w:rPr>
        <w:t>is posted</w:t>
      </w:r>
      <w:proofErr w:type="gramEnd"/>
      <w:r w:rsidRPr="00CA22D8">
        <w:rPr>
          <w:spacing w:val="-3"/>
        </w:rPr>
        <w:t xml:space="preserve"> in each depository facility:</w:t>
      </w:r>
    </w:p>
    <w:p w14:paraId="6980D36A" w14:textId="77777777" w:rsidR="002D5204" w:rsidRPr="00CA22D8" w:rsidRDefault="002D5204" w:rsidP="002D5204">
      <w:pPr>
        <w:tabs>
          <w:tab w:val="left" w:pos="720"/>
          <w:tab w:val="left" w:pos="1320"/>
          <w:tab w:val="left" w:pos="1680"/>
        </w:tabs>
        <w:jc w:val="both"/>
        <w:rPr>
          <w:spacing w:val="-3"/>
        </w:rPr>
      </w:pPr>
    </w:p>
    <w:p w14:paraId="0E3B7C74" w14:textId="77777777" w:rsidR="002D5204" w:rsidRPr="00CA22D8" w:rsidRDefault="002D5204" w:rsidP="002D5204">
      <w:pPr>
        <w:tabs>
          <w:tab w:val="left" w:pos="720"/>
          <w:tab w:val="left" w:pos="1320"/>
          <w:tab w:val="left" w:pos="1680"/>
        </w:tabs>
        <w:ind w:left="1320" w:hanging="1320"/>
        <w:jc w:val="both"/>
        <w:rPr>
          <w:spacing w:val="-3"/>
        </w:rPr>
      </w:pPr>
      <w:r w:rsidRPr="00CA22D8">
        <w:rPr>
          <w:spacing w:val="-3"/>
        </w:rPr>
        <w:tab/>
      </w:r>
      <w:r w:rsidRPr="00CA22D8">
        <w:rPr>
          <w:spacing w:val="-3"/>
        </w:rPr>
        <w:tab/>
        <w:t>"You may obtain the public section of our most recent CRA Performance Evaluation, which was prepared by the Massachusetts Division of Banks, at (</w:t>
      </w:r>
      <w:r w:rsidRPr="00CA22D8">
        <w:rPr>
          <w:spacing w:val="-3"/>
          <w:u w:val="single"/>
        </w:rPr>
        <w:t>Address at main office</w:t>
      </w:r>
      <w:r w:rsidRPr="00CA22D8">
        <w:rPr>
          <w:spacing w:val="-3"/>
        </w:rPr>
        <w:t xml:space="preserve">)." </w:t>
      </w:r>
    </w:p>
    <w:p w14:paraId="1B2213AF" w14:textId="77777777" w:rsidR="002D5204" w:rsidRPr="00CA22D8" w:rsidRDefault="002D5204" w:rsidP="002D5204">
      <w:pPr>
        <w:tabs>
          <w:tab w:val="left" w:pos="720"/>
          <w:tab w:val="left" w:pos="1320"/>
          <w:tab w:val="left" w:pos="1680"/>
        </w:tabs>
        <w:jc w:val="both"/>
        <w:rPr>
          <w:spacing w:val="-3"/>
        </w:rPr>
      </w:pPr>
    </w:p>
    <w:p w14:paraId="0559D421" w14:textId="77777777" w:rsidR="002D5204" w:rsidRPr="00CA22D8" w:rsidRDefault="002D5204" w:rsidP="002D5204">
      <w:pPr>
        <w:tabs>
          <w:tab w:val="left" w:pos="720"/>
          <w:tab w:val="left" w:pos="1320"/>
          <w:tab w:val="left" w:pos="1680"/>
        </w:tabs>
        <w:ind w:left="1320" w:hanging="1320"/>
        <w:jc w:val="both"/>
        <w:rPr>
          <w:spacing w:val="-3"/>
        </w:rPr>
      </w:pPr>
      <w:r w:rsidRPr="00CA22D8">
        <w:rPr>
          <w:spacing w:val="-3"/>
        </w:rPr>
        <w:tab/>
      </w:r>
      <w:r w:rsidRPr="00CA22D8">
        <w:rPr>
          <w:spacing w:val="-3"/>
        </w:rPr>
        <w:tab/>
        <w:t>"You may obtain the public section of our most recent CRA Performance Evaluation, which was prepared by the Federal Deposit Insurance Corporation, at (</w:t>
      </w:r>
      <w:r w:rsidRPr="00CA22D8">
        <w:rPr>
          <w:spacing w:val="-3"/>
          <w:u w:val="single"/>
        </w:rPr>
        <w:t>Address at main office</w:t>
      </w:r>
      <w:r w:rsidRPr="00CA22D8">
        <w:rPr>
          <w:spacing w:val="-3"/>
        </w:rPr>
        <w:t xml:space="preserve">)." </w:t>
      </w:r>
    </w:p>
    <w:p w14:paraId="622BA843" w14:textId="77777777" w:rsidR="002D5204" w:rsidRPr="00CA22D8" w:rsidRDefault="002D5204" w:rsidP="002D5204">
      <w:pPr>
        <w:tabs>
          <w:tab w:val="left" w:pos="720"/>
          <w:tab w:val="left" w:pos="1320"/>
          <w:tab w:val="left" w:pos="1680"/>
        </w:tabs>
        <w:jc w:val="both"/>
        <w:rPr>
          <w:spacing w:val="-3"/>
        </w:rPr>
      </w:pPr>
    </w:p>
    <w:p w14:paraId="3FE30DF9" w14:textId="77777777" w:rsidR="002D5204" w:rsidRPr="00CA22D8" w:rsidRDefault="002D5204" w:rsidP="002D5204">
      <w:pPr>
        <w:tabs>
          <w:tab w:val="left" w:pos="720"/>
          <w:tab w:val="left" w:pos="1320"/>
          <w:tab w:val="left" w:pos="1680"/>
        </w:tabs>
        <w:ind w:left="1320" w:hanging="1320"/>
        <w:jc w:val="both"/>
        <w:rPr>
          <w:spacing w:val="-3"/>
        </w:rPr>
      </w:pPr>
      <w:r w:rsidRPr="00CA22D8">
        <w:rPr>
          <w:spacing w:val="-3"/>
        </w:rPr>
        <w:tab/>
      </w:r>
      <w:r w:rsidRPr="00CA22D8">
        <w:rPr>
          <w:spacing w:val="-3"/>
        </w:rPr>
        <w:tab/>
        <w:t>[Please Note:  If the institution has more than one assessment area, each office (other than off</w:t>
      </w:r>
      <w:r w:rsidRPr="00CA22D8">
        <w:rPr>
          <w:spacing w:val="-3"/>
        </w:rPr>
        <w:noBreakHyphen/>
        <w:t>premises electronic deposit facilities) in that community shall also include the address of the designated office for that assessment area.]</w:t>
      </w:r>
    </w:p>
    <w:p w14:paraId="049BD810" w14:textId="77777777" w:rsidR="002D5204" w:rsidRPr="00CA22D8" w:rsidRDefault="002D5204" w:rsidP="002D5204">
      <w:pPr>
        <w:tabs>
          <w:tab w:val="left" w:pos="720"/>
          <w:tab w:val="left" w:pos="1320"/>
          <w:tab w:val="left" w:pos="1680"/>
        </w:tabs>
        <w:jc w:val="both"/>
        <w:rPr>
          <w:spacing w:val="-3"/>
        </w:rPr>
      </w:pPr>
    </w:p>
    <w:p w14:paraId="69BC7FAE" w14:textId="77777777" w:rsidR="002D5204" w:rsidRPr="00CA22D8" w:rsidRDefault="002D5204" w:rsidP="002D5204">
      <w:pPr>
        <w:tabs>
          <w:tab w:val="left" w:pos="720"/>
          <w:tab w:val="left" w:pos="1320"/>
          <w:tab w:val="left" w:pos="1680"/>
        </w:tabs>
        <w:ind w:left="1320" w:hanging="1320"/>
        <w:jc w:val="both"/>
        <w:rPr>
          <w:spacing w:val="-3"/>
        </w:rPr>
      </w:pPr>
      <w:r w:rsidRPr="00CA22D8">
        <w:rPr>
          <w:spacing w:val="-3"/>
        </w:rPr>
        <w:tab/>
        <w:t>4)</w:t>
      </w:r>
      <w:r w:rsidRPr="00CA22D8">
        <w:rPr>
          <w:spacing w:val="-3"/>
        </w:rPr>
        <w:tab/>
        <w:t xml:space="preserve">Provide a copy of its current evaluation to the public, upon request.  In connection with this, the institution is authorized to charge a </w:t>
      </w:r>
      <w:proofErr w:type="gramStart"/>
      <w:r w:rsidRPr="00CA22D8">
        <w:rPr>
          <w:spacing w:val="-3"/>
        </w:rPr>
        <w:t>fee which</w:t>
      </w:r>
      <w:proofErr w:type="gramEnd"/>
      <w:r w:rsidRPr="00CA22D8">
        <w:rPr>
          <w:spacing w:val="-3"/>
        </w:rPr>
        <w:t xml:space="preserve"> does not exceed the cost of reproduction and mailing (if applicable).</w:t>
      </w:r>
    </w:p>
    <w:p w14:paraId="7F7B13F1" w14:textId="77777777" w:rsidR="002D5204" w:rsidRPr="00CA22D8" w:rsidRDefault="002D5204" w:rsidP="002D5204">
      <w:pPr>
        <w:tabs>
          <w:tab w:val="left" w:pos="720"/>
          <w:tab w:val="left" w:pos="1320"/>
          <w:tab w:val="left" w:pos="1680"/>
        </w:tabs>
        <w:jc w:val="both"/>
        <w:rPr>
          <w:spacing w:val="-3"/>
        </w:rPr>
      </w:pPr>
    </w:p>
    <w:p w14:paraId="2FB90DAC" w14:textId="77777777" w:rsidR="002D5204" w:rsidRPr="00CA22D8" w:rsidRDefault="002D5204" w:rsidP="002D5204">
      <w:pPr>
        <w:tabs>
          <w:tab w:val="left" w:pos="720"/>
          <w:tab w:val="left" w:pos="1320"/>
          <w:tab w:val="left" w:pos="1680"/>
        </w:tabs>
        <w:jc w:val="both"/>
        <w:rPr>
          <w:spacing w:val="-3"/>
        </w:rPr>
      </w:pPr>
    </w:p>
    <w:p w14:paraId="694E428B" w14:textId="77777777" w:rsidR="002D5204" w:rsidRPr="00CA22D8" w:rsidRDefault="002D5204" w:rsidP="002D5204">
      <w:pPr>
        <w:tabs>
          <w:tab w:val="left" w:pos="720"/>
          <w:tab w:val="left" w:pos="1320"/>
          <w:tab w:val="left" w:pos="1680"/>
        </w:tabs>
        <w:ind w:left="720" w:hanging="720"/>
        <w:jc w:val="both"/>
        <w:rPr>
          <w:spacing w:val="-3"/>
        </w:rPr>
      </w:pPr>
      <w:r w:rsidRPr="00CA22D8">
        <w:rPr>
          <w:spacing w:val="-3"/>
        </w:rPr>
        <w:tab/>
        <w:t xml:space="preserve">The format and content of the institution's evaluation, </w:t>
      </w:r>
      <w:proofErr w:type="gramStart"/>
      <w:r w:rsidRPr="00CA22D8">
        <w:rPr>
          <w:spacing w:val="-3"/>
        </w:rPr>
        <w:t>as prepared by its supervisory agencies, may not be altered or abridged in any manner</w:t>
      </w:r>
      <w:proofErr w:type="gramEnd"/>
      <w:r w:rsidRPr="00CA22D8">
        <w:rPr>
          <w:spacing w:val="-3"/>
        </w:rPr>
        <w:t>.  The institution is encouraged to include its response to the evaluation in its CRA public file.</w:t>
      </w:r>
    </w:p>
    <w:p w14:paraId="1EAF0352" w14:textId="77777777" w:rsidR="00AD3C42" w:rsidRPr="0041509F" w:rsidRDefault="00AD3C42" w:rsidP="00087537">
      <w:pPr>
        <w:pStyle w:val="Heading2"/>
        <w:jc w:val="left"/>
      </w:pPr>
    </w:p>
    <w:sectPr w:rsidR="00AD3C42" w:rsidRPr="0041509F" w:rsidSect="00BC6D5E">
      <w:footerReference w:type="defaul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3E801B" w14:textId="77777777" w:rsidR="00DF2F70" w:rsidRDefault="00DF2F70" w:rsidP="00A03CC1">
      <w:r>
        <w:separator/>
      </w:r>
    </w:p>
  </w:endnote>
  <w:endnote w:type="continuationSeparator" w:id="0">
    <w:p w14:paraId="2D0E25B6" w14:textId="77777777" w:rsidR="00DF2F70" w:rsidRDefault="00DF2F70" w:rsidP="00A03CC1">
      <w:r>
        <w:continuationSeparator/>
      </w:r>
    </w:p>
  </w:endnote>
  <w:endnote w:type="continuationNotice" w:id="1">
    <w:p w14:paraId="56723F37" w14:textId="77777777" w:rsidR="00DF2F70" w:rsidRDefault="00DF2F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Univers Condensed">
    <w:altName w:val="Arial Narrow"/>
    <w:charset w:val="00"/>
    <w:family w:val="swiss"/>
    <w:pitch w:val="variable"/>
    <w:sig w:usb0="00000007" w:usb1="00000000" w:usb2="00000000" w:usb3="00000000" w:csb0="00000093"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D9D4E7" w14:textId="77777777" w:rsidR="00D52F86" w:rsidRDefault="00D52F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ED617D" w14:textId="77777777" w:rsidR="00D52F86" w:rsidRDefault="00D52F8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065BAF" w14:textId="77777777" w:rsidR="00D52F86" w:rsidRDefault="00D52F8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83A8F7" w14:textId="6AA76721" w:rsidR="00D52F86" w:rsidRPr="007B2663" w:rsidRDefault="00D52F86">
    <w:pPr>
      <w:pStyle w:val="Footer"/>
      <w:jc w:val="center"/>
      <w:rPr>
        <w:sz w:val="24"/>
        <w:szCs w:val="24"/>
      </w:rPr>
    </w:pPr>
    <w:r w:rsidRPr="007B2663">
      <w:rPr>
        <w:sz w:val="24"/>
        <w:szCs w:val="24"/>
      </w:rPr>
      <w:fldChar w:fldCharType="begin"/>
    </w:r>
    <w:r w:rsidRPr="007B2663">
      <w:rPr>
        <w:sz w:val="24"/>
        <w:szCs w:val="24"/>
      </w:rPr>
      <w:instrText xml:space="preserve"> PAGE   \* MERGEFORMAT </w:instrText>
    </w:r>
    <w:r w:rsidRPr="007B2663">
      <w:rPr>
        <w:sz w:val="24"/>
        <w:szCs w:val="24"/>
      </w:rPr>
      <w:fldChar w:fldCharType="separate"/>
    </w:r>
    <w:r w:rsidR="00087537">
      <w:rPr>
        <w:noProof/>
        <w:sz w:val="24"/>
        <w:szCs w:val="24"/>
      </w:rPr>
      <w:t>19</w:t>
    </w:r>
    <w:r w:rsidRPr="007B2663">
      <w:rPr>
        <w:sz w:val="24"/>
        <w:szCs w:val="24"/>
      </w:rPr>
      <w:fldChar w:fldCharType="end"/>
    </w:r>
  </w:p>
  <w:p w14:paraId="19F5B5C5" w14:textId="77777777" w:rsidR="00D52F86" w:rsidRDefault="00D52F8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D4B044" w14:textId="77777777" w:rsidR="00D52F86" w:rsidRDefault="00D52F86">
    <w:pPr>
      <w:pStyle w:val="Footer"/>
      <w:jc w:val="center"/>
    </w:pPr>
  </w:p>
  <w:p w14:paraId="4A7AE617" w14:textId="77777777" w:rsidR="00D52F86" w:rsidRDefault="00D52F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099E6B" w14:textId="77777777" w:rsidR="00DF2F70" w:rsidRDefault="00DF2F70" w:rsidP="00A03CC1">
      <w:r>
        <w:separator/>
      </w:r>
    </w:p>
  </w:footnote>
  <w:footnote w:type="continuationSeparator" w:id="0">
    <w:p w14:paraId="4A85B7EB" w14:textId="77777777" w:rsidR="00DF2F70" w:rsidRDefault="00DF2F70" w:rsidP="00A03CC1">
      <w:r>
        <w:continuationSeparator/>
      </w:r>
    </w:p>
  </w:footnote>
  <w:footnote w:type="continuationNotice" w:id="1">
    <w:p w14:paraId="5FE9DF27" w14:textId="77777777" w:rsidR="00DF2F70" w:rsidRDefault="00DF2F7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C0D206" w14:textId="77777777" w:rsidR="00D52F86" w:rsidRDefault="00D52F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D2C9CA" w14:textId="77777777" w:rsidR="00D52F86" w:rsidRDefault="00D52F8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2A8441" w14:textId="77777777" w:rsidR="00D52F86" w:rsidRDefault="00D52F8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2B94CB" w14:textId="77777777" w:rsidR="00D52F86" w:rsidRDefault="00D52F86" w:rsidP="00BA58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C27BD"/>
    <w:multiLevelType w:val="hybridMultilevel"/>
    <w:tmpl w:val="6E7ADB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BE44D6B"/>
    <w:multiLevelType w:val="hybridMultilevel"/>
    <w:tmpl w:val="74AEBB1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4D6A46"/>
    <w:multiLevelType w:val="hybridMultilevel"/>
    <w:tmpl w:val="B39034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1103427"/>
    <w:multiLevelType w:val="hybridMultilevel"/>
    <w:tmpl w:val="D9FAC7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2270B3D"/>
    <w:multiLevelType w:val="hybridMultilevel"/>
    <w:tmpl w:val="B35E98A4"/>
    <w:lvl w:ilvl="0" w:tplc="10B44EFE">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55524FE"/>
    <w:multiLevelType w:val="hybridMultilevel"/>
    <w:tmpl w:val="977E58A8"/>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15F20E4C"/>
    <w:multiLevelType w:val="hybridMultilevel"/>
    <w:tmpl w:val="4AF2A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E46457"/>
    <w:multiLevelType w:val="hybridMultilevel"/>
    <w:tmpl w:val="36E2C7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B251D76"/>
    <w:multiLevelType w:val="hybridMultilevel"/>
    <w:tmpl w:val="F61C16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BE6039F"/>
    <w:multiLevelType w:val="hybridMultilevel"/>
    <w:tmpl w:val="2E90926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F06D64"/>
    <w:multiLevelType w:val="hybridMultilevel"/>
    <w:tmpl w:val="ED1E4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2B4D4A"/>
    <w:multiLevelType w:val="hybridMultilevel"/>
    <w:tmpl w:val="910C20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35B050B"/>
    <w:multiLevelType w:val="hybridMultilevel"/>
    <w:tmpl w:val="71B80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1D2EE5"/>
    <w:multiLevelType w:val="hybridMultilevel"/>
    <w:tmpl w:val="971ED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99471F"/>
    <w:multiLevelType w:val="hybridMultilevel"/>
    <w:tmpl w:val="5CE8B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81C5701"/>
    <w:multiLevelType w:val="hybridMultilevel"/>
    <w:tmpl w:val="A358E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3441BE"/>
    <w:multiLevelType w:val="hybridMultilevel"/>
    <w:tmpl w:val="C3F2CBDC"/>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7" w15:restartNumberingAfterBreak="0">
    <w:nsid w:val="39B64406"/>
    <w:multiLevelType w:val="hybridMultilevel"/>
    <w:tmpl w:val="AEF43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5E65C7"/>
    <w:multiLevelType w:val="hybridMultilevel"/>
    <w:tmpl w:val="A8C05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8D06E2"/>
    <w:multiLevelType w:val="hybridMultilevel"/>
    <w:tmpl w:val="DEF2757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B766F9"/>
    <w:multiLevelType w:val="hybridMultilevel"/>
    <w:tmpl w:val="483EF7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45620F7E"/>
    <w:multiLevelType w:val="hybridMultilevel"/>
    <w:tmpl w:val="11D22260"/>
    <w:lvl w:ilvl="0" w:tplc="04090003">
      <w:start w:val="1"/>
      <w:numFmt w:val="bullet"/>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22" w15:restartNumberingAfterBreak="0">
    <w:nsid w:val="4A3F1B21"/>
    <w:multiLevelType w:val="hybridMultilevel"/>
    <w:tmpl w:val="F1061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F90F62"/>
    <w:multiLevelType w:val="hybridMultilevel"/>
    <w:tmpl w:val="CC7AFAA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56B2A73"/>
    <w:multiLevelType w:val="hybridMultilevel"/>
    <w:tmpl w:val="8878F1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5A0F384C"/>
    <w:multiLevelType w:val="hybridMultilevel"/>
    <w:tmpl w:val="04FA5CDE"/>
    <w:lvl w:ilvl="0" w:tplc="2364F9A2">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360"/>
        </w:tabs>
        <w:ind w:left="360" w:hanging="360"/>
      </w:pPr>
      <w:rPr>
        <w:rFonts w:ascii="Courier New" w:hAnsi="Courier New" w:hint="default"/>
      </w:rPr>
    </w:lvl>
    <w:lvl w:ilvl="2" w:tplc="04090005">
      <w:start w:val="1"/>
      <w:numFmt w:val="bullet"/>
      <w:lvlText w:val=""/>
      <w:lvlJc w:val="left"/>
      <w:pPr>
        <w:tabs>
          <w:tab w:val="num" w:pos="1080"/>
        </w:tabs>
        <w:ind w:left="1080" w:hanging="360"/>
      </w:pPr>
      <w:rPr>
        <w:rFonts w:ascii="Wingdings" w:hAnsi="Wingdings" w:hint="default"/>
      </w:rPr>
    </w:lvl>
    <w:lvl w:ilvl="3" w:tplc="04090001">
      <w:start w:val="1"/>
      <w:numFmt w:val="bullet"/>
      <w:lvlText w:val=""/>
      <w:lvlJc w:val="left"/>
      <w:pPr>
        <w:tabs>
          <w:tab w:val="num" w:pos="1800"/>
        </w:tabs>
        <w:ind w:left="1800" w:hanging="360"/>
      </w:pPr>
      <w:rPr>
        <w:rFonts w:ascii="Symbol" w:hAnsi="Symbol" w:hint="default"/>
      </w:rPr>
    </w:lvl>
    <w:lvl w:ilvl="4" w:tplc="04090003">
      <w:start w:val="1"/>
      <w:numFmt w:val="bullet"/>
      <w:lvlText w:val="o"/>
      <w:lvlJc w:val="left"/>
      <w:pPr>
        <w:tabs>
          <w:tab w:val="num" w:pos="2520"/>
        </w:tabs>
        <w:ind w:left="2520" w:hanging="360"/>
      </w:pPr>
      <w:rPr>
        <w:rFonts w:ascii="Courier New" w:hAnsi="Courier New" w:hint="default"/>
      </w:rPr>
    </w:lvl>
    <w:lvl w:ilvl="5" w:tplc="04090005">
      <w:start w:val="1"/>
      <w:numFmt w:val="bullet"/>
      <w:lvlText w:val=""/>
      <w:lvlJc w:val="left"/>
      <w:pPr>
        <w:tabs>
          <w:tab w:val="num" w:pos="3240"/>
        </w:tabs>
        <w:ind w:left="3240" w:hanging="360"/>
      </w:pPr>
      <w:rPr>
        <w:rFonts w:ascii="Wingdings" w:hAnsi="Wingdings" w:hint="default"/>
      </w:rPr>
    </w:lvl>
    <w:lvl w:ilvl="6" w:tplc="04090001">
      <w:start w:val="1"/>
      <w:numFmt w:val="bullet"/>
      <w:lvlText w:val=""/>
      <w:lvlJc w:val="left"/>
      <w:pPr>
        <w:tabs>
          <w:tab w:val="num" w:pos="3960"/>
        </w:tabs>
        <w:ind w:left="3960" w:hanging="360"/>
      </w:pPr>
      <w:rPr>
        <w:rFonts w:ascii="Symbol" w:hAnsi="Symbol" w:hint="default"/>
      </w:rPr>
    </w:lvl>
    <w:lvl w:ilvl="7" w:tplc="04090003">
      <w:start w:val="1"/>
      <w:numFmt w:val="bullet"/>
      <w:lvlText w:val="o"/>
      <w:lvlJc w:val="left"/>
      <w:pPr>
        <w:tabs>
          <w:tab w:val="num" w:pos="4680"/>
        </w:tabs>
        <w:ind w:left="4680" w:hanging="360"/>
      </w:pPr>
      <w:rPr>
        <w:rFonts w:ascii="Courier New" w:hAnsi="Courier New" w:hint="default"/>
      </w:rPr>
    </w:lvl>
    <w:lvl w:ilvl="8" w:tplc="04090005">
      <w:start w:val="1"/>
      <w:numFmt w:val="bullet"/>
      <w:lvlText w:val=""/>
      <w:lvlJc w:val="left"/>
      <w:pPr>
        <w:tabs>
          <w:tab w:val="num" w:pos="5400"/>
        </w:tabs>
        <w:ind w:left="5400" w:hanging="360"/>
      </w:pPr>
      <w:rPr>
        <w:rFonts w:ascii="Wingdings" w:hAnsi="Wingdings" w:hint="default"/>
      </w:rPr>
    </w:lvl>
  </w:abstractNum>
  <w:abstractNum w:abstractNumId="26" w15:restartNumberingAfterBreak="0">
    <w:nsid w:val="5A652ABE"/>
    <w:multiLevelType w:val="hybridMultilevel"/>
    <w:tmpl w:val="153AB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6823C4"/>
    <w:multiLevelType w:val="hybridMultilevel"/>
    <w:tmpl w:val="86A290F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A925579"/>
    <w:multiLevelType w:val="hybridMultilevel"/>
    <w:tmpl w:val="73D65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5A5577"/>
    <w:multiLevelType w:val="hybridMultilevel"/>
    <w:tmpl w:val="21B22A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5B8F5793"/>
    <w:multiLevelType w:val="hybridMultilevel"/>
    <w:tmpl w:val="7966D4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622321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662D229D"/>
    <w:multiLevelType w:val="hybridMultilevel"/>
    <w:tmpl w:val="2280DF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9C20461"/>
    <w:multiLevelType w:val="hybridMultilevel"/>
    <w:tmpl w:val="64A6BA2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D5806B0"/>
    <w:multiLevelType w:val="hybridMultilevel"/>
    <w:tmpl w:val="912CECD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2EA3F3A"/>
    <w:multiLevelType w:val="hybridMultilevel"/>
    <w:tmpl w:val="2280DF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39F6814"/>
    <w:multiLevelType w:val="hybridMultilevel"/>
    <w:tmpl w:val="4C64F1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78E3639E"/>
    <w:multiLevelType w:val="hybridMultilevel"/>
    <w:tmpl w:val="C5944DF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914360E"/>
    <w:multiLevelType w:val="hybridMultilevel"/>
    <w:tmpl w:val="3554549C"/>
    <w:lvl w:ilvl="0" w:tplc="04090011">
      <w:start w:val="1"/>
      <w:numFmt w:val="decimal"/>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E891895"/>
    <w:multiLevelType w:val="hybridMultilevel"/>
    <w:tmpl w:val="97B44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0"/>
  </w:num>
  <w:num w:numId="3">
    <w:abstractNumId w:val="3"/>
  </w:num>
  <w:num w:numId="4">
    <w:abstractNumId w:val="14"/>
  </w:num>
  <w:num w:numId="5">
    <w:abstractNumId w:val="2"/>
  </w:num>
  <w:num w:numId="6">
    <w:abstractNumId w:val="20"/>
  </w:num>
  <w:num w:numId="7">
    <w:abstractNumId w:val="23"/>
  </w:num>
  <w:num w:numId="8">
    <w:abstractNumId w:val="24"/>
  </w:num>
  <w:num w:numId="9">
    <w:abstractNumId w:val="21"/>
  </w:num>
  <w:num w:numId="10">
    <w:abstractNumId w:val="29"/>
  </w:num>
  <w:num w:numId="11">
    <w:abstractNumId w:val="0"/>
  </w:num>
  <w:num w:numId="12">
    <w:abstractNumId w:val="8"/>
  </w:num>
  <w:num w:numId="13">
    <w:abstractNumId w:val="31"/>
  </w:num>
  <w:num w:numId="14">
    <w:abstractNumId w:val="25"/>
  </w:num>
  <w:num w:numId="15">
    <w:abstractNumId w:val="36"/>
  </w:num>
  <w:num w:numId="16">
    <w:abstractNumId w:val="11"/>
  </w:num>
  <w:num w:numId="17">
    <w:abstractNumId w:val="20"/>
  </w:num>
  <w:num w:numId="18">
    <w:abstractNumId w:val="27"/>
  </w:num>
  <w:num w:numId="19">
    <w:abstractNumId w:val="37"/>
  </w:num>
  <w:num w:numId="20">
    <w:abstractNumId w:val="34"/>
  </w:num>
  <w:num w:numId="21">
    <w:abstractNumId w:val="1"/>
  </w:num>
  <w:num w:numId="22">
    <w:abstractNumId w:val="28"/>
  </w:num>
  <w:num w:numId="23">
    <w:abstractNumId w:val="16"/>
  </w:num>
  <w:num w:numId="24">
    <w:abstractNumId w:val="13"/>
  </w:num>
  <w:num w:numId="25">
    <w:abstractNumId w:val="12"/>
  </w:num>
  <w:num w:numId="26">
    <w:abstractNumId w:val="22"/>
  </w:num>
  <w:num w:numId="27">
    <w:abstractNumId w:val="18"/>
  </w:num>
  <w:num w:numId="28">
    <w:abstractNumId w:val="10"/>
  </w:num>
  <w:num w:numId="29">
    <w:abstractNumId w:val="6"/>
  </w:num>
  <w:num w:numId="30">
    <w:abstractNumId w:val="15"/>
  </w:num>
  <w:num w:numId="31">
    <w:abstractNumId w:val="39"/>
  </w:num>
  <w:num w:numId="32">
    <w:abstractNumId w:val="17"/>
  </w:num>
  <w:num w:numId="33">
    <w:abstractNumId w:val="26"/>
  </w:num>
  <w:num w:numId="34">
    <w:abstractNumId w:val="4"/>
  </w:num>
  <w:num w:numId="35">
    <w:abstractNumId w:val="38"/>
  </w:num>
  <w:num w:numId="36">
    <w:abstractNumId w:val="5"/>
  </w:num>
  <w:num w:numId="37">
    <w:abstractNumId w:val="19"/>
  </w:num>
  <w:num w:numId="38">
    <w:abstractNumId w:val="33"/>
  </w:num>
  <w:num w:numId="39">
    <w:abstractNumId w:val="9"/>
  </w:num>
  <w:num w:numId="40">
    <w:abstractNumId w:val="32"/>
  </w:num>
  <w:num w:numId="41">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proofState w:spelling="clean" w:grammar="clean"/>
  <w:trackRevisions/>
  <w:defaultTabStop w:val="720"/>
  <w:doNotHyphenateCaps/>
  <w:characterSpacingControl w:val="doNotCompress"/>
  <w:doNotValidateAgainstSchema/>
  <w:doNotDemarcateInvalidXml/>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C3D"/>
    <w:rsid w:val="0000160E"/>
    <w:rsid w:val="00005840"/>
    <w:rsid w:val="0001149D"/>
    <w:rsid w:val="00014F79"/>
    <w:rsid w:val="00021A1F"/>
    <w:rsid w:val="00024828"/>
    <w:rsid w:val="000258D5"/>
    <w:rsid w:val="00027AD6"/>
    <w:rsid w:val="00030A84"/>
    <w:rsid w:val="000315AA"/>
    <w:rsid w:val="00032B52"/>
    <w:rsid w:val="00034221"/>
    <w:rsid w:val="00041024"/>
    <w:rsid w:val="000442AE"/>
    <w:rsid w:val="00045B39"/>
    <w:rsid w:val="00046820"/>
    <w:rsid w:val="000510CD"/>
    <w:rsid w:val="0005130E"/>
    <w:rsid w:val="00052123"/>
    <w:rsid w:val="00052F76"/>
    <w:rsid w:val="00057F21"/>
    <w:rsid w:val="00061B1B"/>
    <w:rsid w:val="00064F13"/>
    <w:rsid w:val="000701F4"/>
    <w:rsid w:val="00073352"/>
    <w:rsid w:val="000758A6"/>
    <w:rsid w:val="00087537"/>
    <w:rsid w:val="00090959"/>
    <w:rsid w:val="000A287D"/>
    <w:rsid w:val="000B0A22"/>
    <w:rsid w:val="000B5E7B"/>
    <w:rsid w:val="000D1684"/>
    <w:rsid w:val="000D1DE9"/>
    <w:rsid w:val="000D3447"/>
    <w:rsid w:val="000D3647"/>
    <w:rsid w:val="000D5EC6"/>
    <w:rsid w:val="000E187C"/>
    <w:rsid w:val="000E68A0"/>
    <w:rsid w:val="000E6F14"/>
    <w:rsid w:val="000F1A35"/>
    <w:rsid w:val="000F2F25"/>
    <w:rsid w:val="000F655D"/>
    <w:rsid w:val="00102015"/>
    <w:rsid w:val="0010490B"/>
    <w:rsid w:val="0010690F"/>
    <w:rsid w:val="00110736"/>
    <w:rsid w:val="00112ABF"/>
    <w:rsid w:val="00116387"/>
    <w:rsid w:val="00116B07"/>
    <w:rsid w:val="001200C5"/>
    <w:rsid w:val="001248DA"/>
    <w:rsid w:val="001257FE"/>
    <w:rsid w:val="00131D7B"/>
    <w:rsid w:val="00132A3A"/>
    <w:rsid w:val="00133B12"/>
    <w:rsid w:val="00133F1E"/>
    <w:rsid w:val="00137170"/>
    <w:rsid w:val="00140106"/>
    <w:rsid w:val="00144D01"/>
    <w:rsid w:val="001456D2"/>
    <w:rsid w:val="00145CB9"/>
    <w:rsid w:val="00160204"/>
    <w:rsid w:val="00160973"/>
    <w:rsid w:val="00160C60"/>
    <w:rsid w:val="0016168A"/>
    <w:rsid w:val="00161DCA"/>
    <w:rsid w:val="00161EC6"/>
    <w:rsid w:val="00166FE2"/>
    <w:rsid w:val="00171EBC"/>
    <w:rsid w:val="001723B4"/>
    <w:rsid w:val="00172C12"/>
    <w:rsid w:val="001734F8"/>
    <w:rsid w:val="00177443"/>
    <w:rsid w:val="00177555"/>
    <w:rsid w:val="0018529D"/>
    <w:rsid w:val="00185C71"/>
    <w:rsid w:val="001870B1"/>
    <w:rsid w:val="0019238F"/>
    <w:rsid w:val="001969A4"/>
    <w:rsid w:val="001A726F"/>
    <w:rsid w:val="001B2969"/>
    <w:rsid w:val="001B4B39"/>
    <w:rsid w:val="001B6AEB"/>
    <w:rsid w:val="001B7374"/>
    <w:rsid w:val="001B7703"/>
    <w:rsid w:val="001C1631"/>
    <w:rsid w:val="001C2B70"/>
    <w:rsid w:val="001C45E8"/>
    <w:rsid w:val="001D03A3"/>
    <w:rsid w:val="001D6C71"/>
    <w:rsid w:val="001E78EA"/>
    <w:rsid w:val="001F4C9E"/>
    <w:rsid w:val="001F4CF1"/>
    <w:rsid w:val="00201439"/>
    <w:rsid w:val="002016BF"/>
    <w:rsid w:val="00201D37"/>
    <w:rsid w:val="00202332"/>
    <w:rsid w:val="0021331D"/>
    <w:rsid w:val="002139C2"/>
    <w:rsid w:val="002140F4"/>
    <w:rsid w:val="00215586"/>
    <w:rsid w:val="0021606D"/>
    <w:rsid w:val="00232193"/>
    <w:rsid w:val="00232624"/>
    <w:rsid w:val="002343F3"/>
    <w:rsid w:val="00240B18"/>
    <w:rsid w:val="002452C5"/>
    <w:rsid w:val="0024656E"/>
    <w:rsid w:val="002528B8"/>
    <w:rsid w:val="002736DE"/>
    <w:rsid w:val="00274057"/>
    <w:rsid w:val="00282619"/>
    <w:rsid w:val="00284FC9"/>
    <w:rsid w:val="00287E94"/>
    <w:rsid w:val="002A4ABE"/>
    <w:rsid w:val="002B221C"/>
    <w:rsid w:val="002D0E31"/>
    <w:rsid w:val="002D5204"/>
    <w:rsid w:val="002D75ED"/>
    <w:rsid w:val="002E0448"/>
    <w:rsid w:val="002E0B17"/>
    <w:rsid w:val="002E1602"/>
    <w:rsid w:val="002E306D"/>
    <w:rsid w:val="002E325D"/>
    <w:rsid w:val="002E62AA"/>
    <w:rsid w:val="002E7EEB"/>
    <w:rsid w:val="002F0755"/>
    <w:rsid w:val="002F1018"/>
    <w:rsid w:val="002F64D6"/>
    <w:rsid w:val="00310415"/>
    <w:rsid w:val="0031161E"/>
    <w:rsid w:val="003237EE"/>
    <w:rsid w:val="003265E0"/>
    <w:rsid w:val="00330D8F"/>
    <w:rsid w:val="00333D20"/>
    <w:rsid w:val="0033456F"/>
    <w:rsid w:val="003348B5"/>
    <w:rsid w:val="00337D08"/>
    <w:rsid w:val="00344232"/>
    <w:rsid w:val="003515CF"/>
    <w:rsid w:val="00353D11"/>
    <w:rsid w:val="00354552"/>
    <w:rsid w:val="00355CCE"/>
    <w:rsid w:val="003608D0"/>
    <w:rsid w:val="003613AC"/>
    <w:rsid w:val="00361422"/>
    <w:rsid w:val="00367767"/>
    <w:rsid w:val="00373001"/>
    <w:rsid w:val="003750FB"/>
    <w:rsid w:val="00380D5D"/>
    <w:rsid w:val="003873A8"/>
    <w:rsid w:val="00390ECB"/>
    <w:rsid w:val="00394EF3"/>
    <w:rsid w:val="00395FDF"/>
    <w:rsid w:val="003A0DDA"/>
    <w:rsid w:val="003A5866"/>
    <w:rsid w:val="003B015F"/>
    <w:rsid w:val="003B1695"/>
    <w:rsid w:val="003B2A80"/>
    <w:rsid w:val="003B31FF"/>
    <w:rsid w:val="003C054E"/>
    <w:rsid w:val="003C0E7B"/>
    <w:rsid w:val="003C27C3"/>
    <w:rsid w:val="003C5B80"/>
    <w:rsid w:val="003C6EA7"/>
    <w:rsid w:val="003C7323"/>
    <w:rsid w:val="003C7D36"/>
    <w:rsid w:val="003D241C"/>
    <w:rsid w:val="003D3013"/>
    <w:rsid w:val="003E0C23"/>
    <w:rsid w:val="003E11F7"/>
    <w:rsid w:val="003E28DC"/>
    <w:rsid w:val="003F05DE"/>
    <w:rsid w:val="003F0B95"/>
    <w:rsid w:val="003F10C0"/>
    <w:rsid w:val="003F6DDE"/>
    <w:rsid w:val="00402CC6"/>
    <w:rsid w:val="00404CFB"/>
    <w:rsid w:val="0040587C"/>
    <w:rsid w:val="004111C6"/>
    <w:rsid w:val="00412048"/>
    <w:rsid w:val="0041509F"/>
    <w:rsid w:val="004207F5"/>
    <w:rsid w:val="00420C63"/>
    <w:rsid w:val="00422DB9"/>
    <w:rsid w:val="00425EE4"/>
    <w:rsid w:val="004276FD"/>
    <w:rsid w:val="0044115A"/>
    <w:rsid w:val="00445D8F"/>
    <w:rsid w:val="00447A7F"/>
    <w:rsid w:val="00455F98"/>
    <w:rsid w:val="00456627"/>
    <w:rsid w:val="00457C2B"/>
    <w:rsid w:val="0046074D"/>
    <w:rsid w:val="0047269F"/>
    <w:rsid w:val="00474A46"/>
    <w:rsid w:val="00476D0A"/>
    <w:rsid w:val="00480215"/>
    <w:rsid w:val="00481F7F"/>
    <w:rsid w:val="00484BDA"/>
    <w:rsid w:val="0049156A"/>
    <w:rsid w:val="00496007"/>
    <w:rsid w:val="00497556"/>
    <w:rsid w:val="004A14E6"/>
    <w:rsid w:val="004A1A9F"/>
    <w:rsid w:val="004A21B2"/>
    <w:rsid w:val="004A3D54"/>
    <w:rsid w:val="004B1BC7"/>
    <w:rsid w:val="004B7C0A"/>
    <w:rsid w:val="004C68A1"/>
    <w:rsid w:val="004D1215"/>
    <w:rsid w:val="004D1A94"/>
    <w:rsid w:val="004D23BD"/>
    <w:rsid w:val="004D4055"/>
    <w:rsid w:val="004D6651"/>
    <w:rsid w:val="004D7C70"/>
    <w:rsid w:val="004D7CD8"/>
    <w:rsid w:val="004E7FE9"/>
    <w:rsid w:val="004F0587"/>
    <w:rsid w:val="004F0824"/>
    <w:rsid w:val="004F2665"/>
    <w:rsid w:val="004F5994"/>
    <w:rsid w:val="004F73B0"/>
    <w:rsid w:val="00502664"/>
    <w:rsid w:val="005053FF"/>
    <w:rsid w:val="00514714"/>
    <w:rsid w:val="005147B4"/>
    <w:rsid w:val="0051497F"/>
    <w:rsid w:val="00514CB8"/>
    <w:rsid w:val="005163F7"/>
    <w:rsid w:val="00523EF2"/>
    <w:rsid w:val="005249B0"/>
    <w:rsid w:val="005257BA"/>
    <w:rsid w:val="005257E0"/>
    <w:rsid w:val="00530CE6"/>
    <w:rsid w:val="00544212"/>
    <w:rsid w:val="00544DC4"/>
    <w:rsid w:val="0054512B"/>
    <w:rsid w:val="005459E0"/>
    <w:rsid w:val="00550098"/>
    <w:rsid w:val="00553183"/>
    <w:rsid w:val="005562C7"/>
    <w:rsid w:val="00556C36"/>
    <w:rsid w:val="0056125F"/>
    <w:rsid w:val="00563537"/>
    <w:rsid w:val="00564E5E"/>
    <w:rsid w:val="0056585E"/>
    <w:rsid w:val="00565EF2"/>
    <w:rsid w:val="00567D59"/>
    <w:rsid w:val="005707D0"/>
    <w:rsid w:val="0057424F"/>
    <w:rsid w:val="00576752"/>
    <w:rsid w:val="005807D4"/>
    <w:rsid w:val="00585302"/>
    <w:rsid w:val="00596CA7"/>
    <w:rsid w:val="005A1AD5"/>
    <w:rsid w:val="005A1E21"/>
    <w:rsid w:val="005A41C7"/>
    <w:rsid w:val="005A5B27"/>
    <w:rsid w:val="005B3CCA"/>
    <w:rsid w:val="005B61FB"/>
    <w:rsid w:val="005C219E"/>
    <w:rsid w:val="005C2B5F"/>
    <w:rsid w:val="005C737D"/>
    <w:rsid w:val="005D3062"/>
    <w:rsid w:val="005D44E1"/>
    <w:rsid w:val="005D5D9B"/>
    <w:rsid w:val="005D6976"/>
    <w:rsid w:val="005D74FC"/>
    <w:rsid w:val="005E2B74"/>
    <w:rsid w:val="005E51F9"/>
    <w:rsid w:val="005E672C"/>
    <w:rsid w:val="005F4080"/>
    <w:rsid w:val="005F720E"/>
    <w:rsid w:val="005F756E"/>
    <w:rsid w:val="00601679"/>
    <w:rsid w:val="00601E59"/>
    <w:rsid w:val="0061232D"/>
    <w:rsid w:val="006130F7"/>
    <w:rsid w:val="00613E06"/>
    <w:rsid w:val="00614E28"/>
    <w:rsid w:val="00614E50"/>
    <w:rsid w:val="006208CE"/>
    <w:rsid w:val="00620AFE"/>
    <w:rsid w:val="00627F4A"/>
    <w:rsid w:val="006326D1"/>
    <w:rsid w:val="006342A6"/>
    <w:rsid w:val="006344A3"/>
    <w:rsid w:val="006377E4"/>
    <w:rsid w:val="006400E4"/>
    <w:rsid w:val="0064561E"/>
    <w:rsid w:val="00646C54"/>
    <w:rsid w:val="00647968"/>
    <w:rsid w:val="00652D05"/>
    <w:rsid w:val="00653B10"/>
    <w:rsid w:val="006540CE"/>
    <w:rsid w:val="00655C15"/>
    <w:rsid w:val="00662073"/>
    <w:rsid w:val="0066294E"/>
    <w:rsid w:val="00672EB9"/>
    <w:rsid w:val="00674560"/>
    <w:rsid w:val="0067694D"/>
    <w:rsid w:val="006770CB"/>
    <w:rsid w:val="00677593"/>
    <w:rsid w:val="006835EB"/>
    <w:rsid w:val="00687336"/>
    <w:rsid w:val="00690000"/>
    <w:rsid w:val="006961BB"/>
    <w:rsid w:val="006976B4"/>
    <w:rsid w:val="006A4DA7"/>
    <w:rsid w:val="006B1122"/>
    <w:rsid w:val="006B6A79"/>
    <w:rsid w:val="006C02E8"/>
    <w:rsid w:val="006C231C"/>
    <w:rsid w:val="006C561B"/>
    <w:rsid w:val="006C5E79"/>
    <w:rsid w:val="006D43F6"/>
    <w:rsid w:val="006D5C2B"/>
    <w:rsid w:val="006D6766"/>
    <w:rsid w:val="006D76D2"/>
    <w:rsid w:val="006E03D3"/>
    <w:rsid w:val="006E1E2A"/>
    <w:rsid w:val="006E1E82"/>
    <w:rsid w:val="006E6215"/>
    <w:rsid w:val="006E70BD"/>
    <w:rsid w:val="006F1A20"/>
    <w:rsid w:val="006F4EAE"/>
    <w:rsid w:val="006F607B"/>
    <w:rsid w:val="006F788F"/>
    <w:rsid w:val="006F7FEC"/>
    <w:rsid w:val="00700C4D"/>
    <w:rsid w:val="00700D65"/>
    <w:rsid w:val="00701692"/>
    <w:rsid w:val="00702003"/>
    <w:rsid w:val="00704A22"/>
    <w:rsid w:val="00704C8B"/>
    <w:rsid w:val="00704F49"/>
    <w:rsid w:val="007058CB"/>
    <w:rsid w:val="0072113F"/>
    <w:rsid w:val="00722147"/>
    <w:rsid w:val="00722A3F"/>
    <w:rsid w:val="00723BA0"/>
    <w:rsid w:val="0072524A"/>
    <w:rsid w:val="00734253"/>
    <w:rsid w:val="00734BA7"/>
    <w:rsid w:val="007379CA"/>
    <w:rsid w:val="00742C9D"/>
    <w:rsid w:val="0074454B"/>
    <w:rsid w:val="00745181"/>
    <w:rsid w:val="00751988"/>
    <w:rsid w:val="007561E6"/>
    <w:rsid w:val="007601A4"/>
    <w:rsid w:val="00760303"/>
    <w:rsid w:val="007613E5"/>
    <w:rsid w:val="00762567"/>
    <w:rsid w:val="007639B6"/>
    <w:rsid w:val="00767A6F"/>
    <w:rsid w:val="00770456"/>
    <w:rsid w:val="00777AE3"/>
    <w:rsid w:val="0078457F"/>
    <w:rsid w:val="00784D90"/>
    <w:rsid w:val="007911D2"/>
    <w:rsid w:val="007935A9"/>
    <w:rsid w:val="007978AF"/>
    <w:rsid w:val="007A00DA"/>
    <w:rsid w:val="007A6E51"/>
    <w:rsid w:val="007A7B0F"/>
    <w:rsid w:val="007B07B3"/>
    <w:rsid w:val="007B2663"/>
    <w:rsid w:val="007B7CD4"/>
    <w:rsid w:val="007C13A4"/>
    <w:rsid w:val="007C6A88"/>
    <w:rsid w:val="007C72ED"/>
    <w:rsid w:val="007D0A52"/>
    <w:rsid w:val="007D49DF"/>
    <w:rsid w:val="007E134A"/>
    <w:rsid w:val="007E29BC"/>
    <w:rsid w:val="007E2E43"/>
    <w:rsid w:val="007E3108"/>
    <w:rsid w:val="007E32D8"/>
    <w:rsid w:val="007E41C9"/>
    <w:rsid w:val="007F601F"/>
    <w:rsid w:val="0080664A"/>
    <w:rsid w:val="008161AE"/>
    <w:rsid w:val="00820FE2"/>
    <w:rsid w:val="008301B3"/>
    <w:rsid w:val="00834AD0"/>
    <w:rsid w:val="00836E78"/>
    <w:rsid w:val="0084255A"/>
    <w:rsid w:val="0084355E"/>
    <w:rsid w:val="0084416B"/>
    <w:rsid w:val="00850010"/>
    <w:rsid w:val="008519C5"/>
    <w:rsid w:val="0085479B"/>
    <w:rsid w:val="00862A6F"/>
    <w:rsid w:val="00864B38"/>
    <w:rsid w:val="008670E7"/>
    <w:rsid w:val="00870F35"/>
    <w:rsid w:val="00871151"/>
    <w:rsid w:val="00874E0E"/>
    <w:rsid w:val="0088488A"/>
    <w:rsid w:val="00886C8E"/>
    <w:rsid w:val="00886CC8"/>
    <w:rsid w:val="00886DC4"/>
    <w:rsid w:val="008923A3"/>
    <w:rsid w:val="0089392E"/>
    <w:rsid w:val="008A067D"/>
    <w:rsid w:val="008A085C"/>
    <w:rsid w:val="008A183B"/>
    <w:rsid w:val="008A2CBC"/>
    <w:rsid w:val="008B12FD"/>
    <w:rsid w:val="008B51D2"/>
    <w:rsid w:val="008B64C0"/>
    <w:rsid w:val="008C02B6"/>
    <w:rsid w:val="008D23E2"/>
    <w:rsid w:val="008D69D5"/>
    <w:rsid w:val="008E14CA"/>
    <w:rsid w:val="008F3505"/>
    <w:rsid w:val="00905150"/>
    <w:rsid w:val="00905BE7"/>
    <w:rsid w:val="009074BB"/>
    <w:rsid w:val="0091000D"/>
    <w:rsid w:val="00920FB2"/>
    <w:rsid w:val="009223B2"/>
    <w:rsid w:val="00922A6B"/>
    <w:rsid w:val="0092436F"/>
    <w:rsid w:val="0092736A"/>
    <w:rsid w:val="009330FE"/>
    <w:rsid w:val="00934117"/>
    <w:rsid w:val="009351EA"/>
    <w:rsid w:val="0093697F"/>
    <w:rsid w:val="00950497"/>
    <w:rsid w:val="00950DDD"/>
    <w:rsid w:val="00954725"/>
    <w:rsid w:val="00965118"/>
    <w:rsid w:val="00973AB5"/>
    <w:rsid w:val="00983E65"/>
    <w:rsid w:val="00986A1B"/>
    <w:rsid w:val="00990295"/>
    <w:rsid w:val="009922A6"/>
    <w:rsid w:val="00994FD2"/>
    <w:rsid w:val="0099672C"/>
    <w:rsid w:val="009A16EB"/>
    <w:rsid w:val="009A3680"/>
    <w:rsid w:val="009B1EDD"/>
    <w:rsid w:val="009B4689"/>
    <w:rsid w:val="009B4A86"/>
    <w:rsid w:val="009B7812"/>
    <w:rsid w:val="009C6989"/>
    <w:rsid w:val="009D1E26"/>
    <w:rsid w:val="009D29C4"/>
    <w:rsid w:val="009D3303"/>
    <w:rsid w:val="009D5F34"/>
    <w:rsid w:val="009F094D"/>
    <w:rsid w:val="009F29EF"/>
    <w:rsid w:val="009F3033"/>
    <w:rsid w:val="009F4E35"/>
    <w:rsid w:val="009F6534"/>
    <w:rsid w:val="00A01D70"/>
    <w:rsid w:val="00A03CC1"/>
    <w:rsid w:val="00A103F8"/>
    <w:rsid w:val="00A13591"/>
    <w:rsid w:val="00A20613"/>
    <w:rsid w:val="00A247F2"/>
    <w:rsid w:val="00A306BA"/>
    <w:rsid w:val="00A32163"/>
    <w:rsid w:val="00A3404A"/>
    <w:rsid w:val="00A40144"/>
    <w:rsid w:val="00A40519"/>
    <w:rsid w:val="00A44201"/>
    <w:rsid w:val="00A44436"/>
    <w:rsid w:val="00A46D14"/>
    <w:rsid w:val="00A56581"/>
    <w:rsid w:val="00A568D6"/>
    <w:rsid w:val="00A57238"/>
    <w:rsid w:val="00A629CE"/>
    <w:rsid w:val="00A70375"/>
    <w:rsid w:val="00A70E37"/>
    <w:rsid w:val="00A7211C"/>
    <w:rsid w:val="00A73411"/>
    <w:rsid w:val="00A75CB5"/>
    <w:rsid w:val="00A82089"/>
    <w:rsid w:val="00A8242A"/>
    <w:rsid w:val="00A82F9F"/>
    <w:rsid w:val="00A94B54"/>
    <w:rsid w:val="00A96B89"/>
    <w:rsid w:val="00AA0BC0"/>
    <w:rsid w:val="00AA2CFB"/>
    <w:rsid w:val="00AA3688"/>
    <w:rsid w:val="00AA6EDE"/>
    <w:rsid w:val="00AA6FDB"/>
    <w:rsid w:val="00AA749A"/>
    <w:rsid w:val="00AB001F"/>
    <w:rsid w:val="00AB1C3B"/>
    <w:rsid w:val="00AB798A"/>
    <w:rsid w:val="00AC1DCB"/>
    <w:rsid w:val="00AC70FF"/>
    <w:rsid w:val="00AD3C42"/>
    <w:rsid w:val="00AD4B11"/>
    <w:rsid w:val="00AD68BD"/>
    <w:rsid w:val="00AE137F"/>
    <w:rsid w:val="00AE1F9E"/>
    <w:rsid w:val="00AE4ABC"/>
    <w:rsid w:val="00AE7062"/>
    <w:rsid w:val="00AF08DB"/>
    <w:rsid w:val="00AF189B"/>
    <w:rsid w:val="00AF1E37"/>
    <w:rsid w:val="00AF63AC"/>
    <w:rsid w:val="00B00A8A"/>
    <w:rsid w:val="00B00F88"/>
    <w:rsid w:val="00B0623E"/>
    <w:rsid w:val="00B07ABA"/>
    <w:rsid w:val="00B236ED"/>
    <w:rsid w:val="00B23B16"/>
    <w:rsid w:val="00B270BD"/>
    <w:rsid w:val="00B30BC1"/>
    <w:rsid w:val="00B30BEB"/>
    <w:rsid w:val="00B33F13"/>
    <w:rsid w:val="00B36E83"/>
    <w:rsid w:val="00B40E38"/>
    <w:rsid w:val="00B4192C"/>
    <w:rsid w:val="00B42FF8"/>
    <w:rsid w:val="00B43CD9"/>
    <w:rsid w:val="00B44116"/>
    <w:rsid w:val="00B4706B"/>
    <w:rsid w:val="00B50009"/>
    <w:rsid w:val="00B522C2"/>
    <w:rsid w:val="00B53F5D"/>
    <w:rsid w:val="00B54159"/>
    <w:rsid w:val="00B55103"/>
    <w:rsid w:val="00B60800"/>
    <w:rsid w:val="00B6340F"/>
    <w:rsid w:val="00B65820"/>
    <w:rsid w:val="00B663CB"/>
    <w:rsid w:val="00B74A65"/>
    <w:rsid w:val="00B81162"/>
    <w:rsid w:val="00B816FA"/>
    <w:rsid w:val="00B82DC3"/>
    <w:rsid w:val="00B83D19"/>
    <w:rsid w:val="00B86059"/>
    <w:rsid w:val="00B96F57"/>
    <w:rsid w:val="00BA51E1"/>
    <w:rsid w:val="00BA58FB"/>
    <w:rsid w:val="00BB0592"/>
    <w:rsid w:val="00BB38B9"/>
    <w:rsid w:val="00BB53CE"/>
    <w:rsid w:val="00BC49FF"/>
    <w:rsid w:val="00BC6D5E"/>
    <w:rsid w:val="00BC7CBA"/>
    <w:rsid w:val="00BD203C"/>
    <w:rsid w:val="00BD2B16"/>
    <w:rsid w:val="00BD3250"/>
    <w:rsid w:val="00BD4C88"/>
    <w:rsid w:val="00BD5C52"/>
    <w:rsid w:val="00BD6F1C"/>
    <w:rsid w:val="00BE0A29"/>
    <w:rsid w:val="00BE3CEF"/>
    <w:rsid w:val="00BE544B"/>
    <w:rsid w:val="00BF1E4B"/>
    <w:rsid w:val="00BF291B"/>
    <w:rsid w:val="00BF2B47"/>
    <w:rsid w:val="00BF3610"/>
    <w:rsid w:val="00BF3F1B"/>
    <w:rsid w:val="00BF4CDA"/>
    <w:rsid w:val="00BF61ED"/>
    <w:rsid w:val="00BF7C4B"/>
    <w:rsid w:val="00C019F7"/>
    <w:rsid w:val="00C032D7"/>
    <w:rsid w:val="00C034FA"/>
    <w:rsid w:val="00C03554"/>
    <w:rsid w:val="00C0547F"/>
    <w:rsid w:val="00C13A7E"/>
    <w:rsid w:val="00C150DD"/>
    <w:rsid w:val="00C17383"/>
    <w:rsid w:val="00C209D5"/>
    <w:rsid w:val="00C21B34"/>
    <w:rsid w:val="00C24649"/>
    <w:rsid w:val="00C25A47"/>
    <w:rsid w:val="00C26EB2"/>
    <w:rsid w:val="00C305A0"/>
    <w:rsid w:val="00C31EC3"/>
    <w:rsid w:val="00C33003"/>
    <w:rsid w:val="00C36307"/>
    <w:rsid w:val="00C46D03"/>
    <w:rsid w:val="00C504D5"/>
    <w:rsid w:val="00C53107"/>
    <w:rsid w:val="00C563AB"/>
    <w:rsid w:val="00C668BB"/>
    <w:rsid w:val="00C74F92"/>
    <w:rsid w:val="00C76F4A"/>
    <w:rsid w:val="00C774D2"/>
    <w:rsid w:val="00C867ED"/>
    <w:rsid w:val="00C86FCF"/>
    <w:rsid w:val="00C95F56"/>
    <w:rsid w:val="00CA10D3"/>
    <w:rsid w:val="00CA3A45"/>
    <w:rsid w:val="00CA5108"/>
    <w:rsid w:val="00CA76DC"/>
    <w:rsid w:val="00CB05C3"/>
    <w:rsid w:val="00CB16EF"/>
    <w:rsid w:val="00CB198D"/>
    <w:rsid w:val="00CB2FA8"/>
    <w:rsid w:val="00CB3811"/>
    <w:rsid w:val="00CB4F29"/>
    <w:rsid w:val="00CC339E"/>
    <w:rsid w:val="00CC3800"/>
    <w:rsid w:val="00CC431D"/>
    <w:rsid w:val="00CC6CBF"/>
    <w:rsid w:val="00CD0920"/>
    <w:rsid w:val="00CD0C05"/>
    <w:rsid w:val="00CD3216"/>
    <w:rsid w:val="00CD461D"/>
    <w:rsid w:val="00CE1920"/>
    <w:rsid w:val="00CE726D"/>
    <w:rsid w:val="00CF3924"/>
    <w:rsid w:val="00D0161F"/>
    <w:rsid w:val="00D0220B"/>
    <w:rsid w:val="00D02BEE"/>
    <w:rsid w:val="00D05638"/>
    <w:rsid w:val="00D117B5"/>
    <w:rsid w:val="00D17D0E"/>
    <w:rsid w:val="00D21C07"/>
    <w:rsid w:val="00D228DA"/>
    <w:rsid w:val="00D22D41"/>
    <w:rsid w:val="00D234B6"/>
    <w:rsid w:val="00D245C3"/>
    <w:rsid w:val="00D24D99"/>
    <w:rsid w:val="00D25F18"/>
    <w:rsid w:val="00D27855"/>
    <w:rsid w:val="00D3354F"/>
    <w:rsid w:val="00D34A01"/>
    <w:rsid w:val="00D35653"/>
    <w:rsid w:val="00D36515"/>
    <w:rsid w:val="00D444C9"/>
    <w:rsid w:val="00D44642"/>
    <w:rsid w:val="00D46EC9"/>
    <w:rsid w:val="00D50F8D"/>
    <w:rsid w:val="00D52365"/>
    <w:rsid w:val="00D52E29"/>
    <w:rsid w:val="00D52F86"/>
    <w:rsid w:val="00D5668C"/>
    <w:rsid w:val="00D61380"/>
    <w:rsid w:val="00D62AD8"/>
    <w:rsid w:val="00D7559B"/>
    <w:rsid w:val="00D75C34"/>
    <w:rsid w:val="00D80646"/>
    <w:rsid w:val="00D80FEC"/>
    <w:rsid w:val="00D82A2C"/>
    <w:rsid w:val="00D84391"/>
    <w:rsid w:val="00D87EA2"/>
    <w:rsid w:val="00D94542"/>
    <w:rsid w:val="00D94695"/>
    <w:rsid w:val="00DA1D70"/>
    <w:rsid w:val="00DA2F86"/>
    <w:rsid w:val="00DA42E8"/>
    <w:rsid w:val="00DA7189"/>
    <w:rsid w:val="00DB2953"/>
    <w:rsid w:val="00DB4047"/>
    <w:rsid w:val="00DB4DCE"/>
    <w:rsid w:val="00DB6876"/>
    <w:rsid w:val="00DC4913"/>
    <w:rsid w:val="00DC5178"/>
    <w:rsid w:val="00DD15A2"/>
    <w:rsid w:val="00DD161B"/>
    <w:rsid w:val="00DD4F2B"/>
    <w:rsid w:val="00DD7E17"/>
    <w:rsid w:val="00DE0B7B"/>
    <w:rsid w:val="00DE2264"/>
    <w:rsid w:val="00DE44DE"/>
    <w:rsid w:val="00DE4C32"/>
    <w:rsid w:val="00DE4F14"/>
    <w:rsid w:val="00DE7B57"/>
    <w:rsid w:val="00DF0B1B"/>
    <w:rsid w:val="00DF1DFB"/>
    <w:rsid w:val="00DF2D90"/>
    <w:rsid w:val="00DF2F70"/>
    <w:rsid w:val="00DF42B5"/>
    <w:rsid w:val="00DF5D87"/>
    <w:rsid w:val="00E02903"/>
    <w:rsid w:val="00E03670"/>
    <w:rsid w:val="00E0500E"/>
    <w:rsid w:val="00E05A91"/>
    <w:rsid w:val="00E10C8D"/>
    <w:rsid w:val="00E1342A"/>
    <w:rsid w:val="00E13746"/>
    <w:rsid w:val="00E155BB"/>
    <w:rsid w:val="00E16ADE"/>
    <w:rsid w:val="00E16D98"/>
    <w:rsid w:val="00E174A4"/>
    <w:rsid w:val="00E20968"/>
    <w:rsid w:val="00E214EC"/>
    <w:rsid w:val="00E27D40"/>
    <w:rsid w:val="00E30D97"/>
    <w:rsid w:val="00E41020"/>
    <w:rsid w:val="00E41B06"/>
    <w:rsid w:val="00E43D14"/>
    <w:rsid w:val="00E5655E"/>
    <w:rsid w:val="00E637B9"/>
    <w:rsid w:val="00E63FA0"/>
    <w:rsid w:val="00E642A4"/>
    <w:rsid w:val="00E65E1D"/>
    <w:rsid w:val="00E71DB9"/>
    <w:rsid w:val="00E74D38"/>
    <w:rsid w:val="00E804A1"/>
    <w:rsid w:val="00E838D9"/>
    <w:rsid w:val="00E84BE8"/>
    <w:rsid w:val="00E8665B"/>
    <w:rsid w:val="00E9282A"/>
    <w:rsid w:val="00E97460"/>
    <w:rsid w:val="00EA4565"/>
    <w:rsid w:val="00EA6A76"/>
    <w:rsid w:val="00EA77F9"/>
    <w:rsid w:val="00EB27E7"/>
    <w:rsid w:val="00EB60A5"/>
    <w:rsid w:val="00EB71E1"/>
    <w:rsid w:val="00EB7962"/>
    <w:rsid w:val="00EC0EFF"/>
    <w:rsid w:val="00EC206B"/>
    <w:rsid w:val="00EC76E2"/>
    <w:rsid w:val="00ED00B5"/>
    <w:rsid w:val="00ED06AE"/>
    <w:rsid w:val="00ED6864"/>
    <w:rsid w:val="00EE1CAB"/>
    <w:rsid w:val="00EE501E"/>
    <w:rsid w:val="00EF0BBE"/>
    <w:rsid w:val="00EF32E6"/>
    <w:rsid w:val="00F006D0"/>
    <w:rsid w:val="00F007E1"/>
    <w:rsid w:val="00F06486"/>
    <w:rsid w:val="00F116B0"/>
    <w:rsid w:val="00F1173C"/>
    <w:rsid w:val="00F16AE3"/>
    <w:rsid w:val="00F21D8C"/>
    <w:rsid w:val="00F25BFF"/>
    <w:rsid w:val="00F25DA7"/>
    <w:rsid w:val="00F27714"/>
    <w:rsid w:val="00F30DB0"/>
    <w:rsid w:val="00F32768"/>
    <w:rsid w:val="00F34B31"/>
    <w:rsid w:val="00F40115"/>
    <w:rsid w:val="00F40738"/>
    <w:rsid w:val="00F46285"/>
    <w:rsid w:val="00F47F93"/>
    <w:rsid w:val="00F55A4D"/>
    <w:rsid w:val="00F60690"/>
    <w:rsid w:val="00F60EA1"/>
    <w:rsid w:val="00F60F2D"/>
    <w:rsid w:val="00F63C3D"/>
    <w:rsid w:val="00F64EC4"/>
    <w:rsid w:val="00F673D6"/>
    <w:rsid w:val="00F71EDB"/>
    <w:rsid w:val="00F72678"/>
    <w:rsid w:val="00F74D3D"/>
    <w:rsid w:val="00F75805"/>
    <w:rsid w:val="00F759CA"/>
    <w:rsid w:val="00F8145B"/>
    <w:rsid w:val="00F8408C"/>
    <w:rsid w:val="00F8635C"/>
    <w:rsid w:val="00F90CF6"/>
    <w:rsid w:val="00F978A1"/>
    <w:rsid w:val="00FA6EE0"/>
    <w:rsid w:val="00FA754A"/>
    <w:rsid w:val="00FB0E73"/>
    <w:rsid w:val="00FB2556"/>
    <w:rsid w:val="00FC2351"/>
    <w:rsid w:val="00FC2F2A"/>
    <w:rsid w:val="00FD0993"/>
    <w:rsid w:val="00FD3706"/>
    <w:rsid w:val="00FD5ABC"/>
    <w:rsid w:val="00FD726C"/>
    <w:rsid w:val="00FD7368"/>
    <w:rsid w:val="00FE07F6"/>
    <w:rsid w:val="00FE141B"/>
    <w:rsid w:val="00FE2009"/>
    <w:rsid w:val="00FE4018"/>
    <w:rsid w:val="00FE6BD3"/>
    <w:rsid w:val="00FF0E6C"/>
    <w:rsid w:val="00FF36DD"/>
    <w:rsid w:val="00FF4374"/>
    <w:rsid w:val="00FF49D7"/>
    <w:rsid w:val="00FF4E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B6F3D7"/>
  <w15:chartTrackingRefBased/>
  <w15:docId w15:val="{D538CA62-A987-4C58-B4C3-EAFFE4F18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736A"/>
    <w:rPr>
      <w:rFonts w:ascii="Times New Roman" w:hAnsi="Times New Roman"/>
      <w:sz w:val="24"/>
      <w:szCs w:val="24"/>
    </w:rPr>
  </w:style>
  <w:style w:type="paragraph" w:styleId="Heading1">
    <w:name w:val="heading 1"/>
    <w:basedOn w:val="Normal"/>
    <w:next w:val="Normal"/>
    <w:link w:val="Heading1Char"/>
    <w:uiPriority w:val="99"/>
    <w:qFormat/>
    <w:rsid w:val="00C150DD"/>
    <w:pPr>
      <w:keepNext/>
      <w:tabs>
        <w:tab w:val="left" w:pos="480"/>
        <w:tab w:val="left" w:pos="960"/>
        <w:tab w:val="left" w:pos="6840"/>
      </w:tabs>
      <w:jc w:val="both"/>
      <w:outlineLvl w:val="0"/>
    </w:pPr>
    <w:rPr>
      <w:rFonts w:ascii="Arial" w:hAnsi="Arial"/>
      <w:b/>
      <w:bCs/>
      <w:spacing w:val="-3"/>
      <w:sz w:val="20"/>
      <w:szCs w:val="20"/>
      <w:u w:val="single"/>
    </w:rPr>
  </w:style>
  <w:style w:type="paragraph" w:styleId="Heading2">
    <w:name w:val="heading 2"/>
    <w:basedOn w:val="Normal"/>
    <w:next w:val="Normal"/>
    <w:link w:val="Heading2Char"/>
    <w:uiPriority w:val="99"/>
    <w:qFormat/>
    <w:rsid w:val="00C150DD"/>
    <w:pPr>
      <w:keepNext/>
      <w:tabs>
        <w:tab w:val="left" w:pos="-1440"/>
        <w:tab w:val="left" w:leader="do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1"/>
    </w:pPr>
    <w:rPr>
      <w:rFonts w:ascii="Arial" w:hAnsi="Arial"/>
      <w:b/>
      <w:bCs/>
      <w:sz w:val="20"/>
      <w:szCs w:val="20"/>
      <w:u w:val="single"/>
    </w:rPr>
  </w:style>
  <w:style w:type="paragraph" w:styleId="Heading3">
    <w:name w:val="heading 3"/>
    <w:basedOn w:val="Normal"/>
    <w:next w:val="Normal"/>
    <w:link w:val="Heading3Char"/>
    <w:semiHidden/>
    <w:unhideWhenUsed/>
    <w:qFormat/>
    <w:locked/>
    <w:rsid w:val="009B4689"/>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semiHidden/>
    <w:unhideWhenUsed/>
    <w:qFormat/>
    <w:locked/>
    <w:rsid w:val="002D5204"/>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C150DD"/>
    <w:rPr>
      <w:rFonts w:ascii="Arial" w:hAnsi="Arial"/>
      <w:b/>
      <w:spacing w:val="-3"/>
      <w:sz w:val="20"/>
      <w:u w:val="single"/>
    </w:rPr>
  </w:style>
  <w:style w:type="character" w:customStyle="1" w:styleId="Heading2Char">
    <w:name w:val="Heading 2 Char"/>
    <w:link w:val="Heading2"/>
    <w:uiPriority w:val="99"/>
    <w:locked/>
    <w:rsid w:val="00C150DD"/>
    <w:rPr>
      <w:rFonts w:ascii="Arial" w:hAnsi="Arial"/>
      <w:b/>
      <w:sz w:val="20"/>
      <w:u w:val="single"/>
    </w:rPr>
  </w:style>
  <w:style w:type="paragraph" w:styleId="PlainText">
    <w:name w:val="Plain Text"/>
    <w:basedOn w:val="Normal"/>
    <w:link w:val="PlainTextChar"/>
    <w:uiPriority w:val="99"/>
    <w:rsid w:val="00E02903"/>
    <w:rPr>
      <w:rFonts w:ascii="Courier New" w:hAnsi="Courier New"/>
      <w:sz w:val="20"/>
      <w:szCs w:val="20"/>
    </w:rPr>
  </w:style>
  <w:style w:type="character" w:customStyle="1" w:styleId="PlainTextChar">
    <w:name w:val="Plain Text Char"/>
    <w:link w:val="PlainText"/>
    <w:uiPriority w:val="99"/>
    <w:locked/>
    <w:rsid w:val="00E02903"/>
    <w:rPr>
      <w:rFonts w:ascii="Courier New" w:hAnsi="Courier New"/>
      <w:sz w:val="20"/>
    </w:rPr>
  </w:style>
  <w:style w:type="paragraph" w:styleId="FootnoteText">
    <w:name w:val="footnote text"/>
    <w:basedOn w:val="Normal"/>
    <w:link w:val="FootnoteTextChar"/>
    <w:uiPriority w:val="99"/>
    <w:semiHidden/>
    <w:rsid w:val="00E02903"/>
    <w:rPr>
      <w:rFonts w:ascii="Univers Condensed" w:hAnsi="Univers Condensed"/>
      <w:sz w:val="20"/>
      <w:szCs w:val="20"/>
    </w:rPr>
  </w:style>
  <w:style w:type="character" w:customStyle="1" w:styleId="FootnoteTextChar">
    <w:name w:val="Footnote Text Char"/>
    <w:link w:val="FootnoteText"/>
    <w:uiPriority w:val="99"/>
    <w:locked/>
    <w:rsid w:val="00E02903"/>
    <w:rPr>
      <w:rFonts w:ascii="Univers Condensed" w:hAnsi="Univers Condensed"/>
      <w:sz w:val="20"/>
    </w:rPr>
  </w:style>
  <w:style w:type="paragraph" w:customStyle="1" w:styleId="QuickFormat1">
    <w:name w:val="QuickFormat1"/>
    <w:basedOn w:val="Normal"/>
    <w:link w:val="QuickFormat1Char"/>
    <w:uiPriority w:val="99"/>
    <w:rsid w:val="009A16EB"/>
    <w:pPr>
      <w:widowControl w:val="0"/>
      <w:jc w:val="center"/>
    </w:pPr>
    <w:rPr>
      <w:b/>
      <w:snapToGrid w:val="0"/>
      <w:color w:val="000000"/>
      <w:sz w:val="20"/>
      <w:szCs w:val="20"/>
      <w:lang w:val="x-none" w:eastAsia="x-none"/>
    </w:rPr>
  </w:style>
  <w:style w:type="character" w:customStyle="1" w:styleId="QuickFormat1Char">
    <w:name w:val="QuickFormat1 Char"/>
    <w:link w:val="QuickFormat1"/>
    <w:uiPriority w:val="99"/>
    <w:locked/>
    <w:rsid w:val="009A16EB"/>
    <w:rPr>
      <w:rFonts w:ascii="Times New Roman" w:hAnsi="Times New Roman"/>
      <w:b/>
      <w:snapToGrid w:val="0"/>
      <w:color w:val="000000"/>
      <w:sz w:val="20"/>
    </w:rPr>
  </w:style>
  <w:style w:type="character" w:styleId="CommentReference">
    <w:name w:val="annotation reference"/>
    <w:uiPriority w:val="99"/>
    <w:semiHidden/>
    <w:rsid w:val="009A16EB"/>
    <w:rPr>
      <w:sz w:val="16"/>
    </w:rPr>
  </w:style>
  <w:style w:type="paragraph" w:styleId="HTMLPreformatted">
    <w:name w:val="HTML Preformatted"/>
    <w:basedOn w:val="Normal"/>
    <w:link w:val="HTMLPreformattedChar"/>
    <w:uiPriority w:val="99"/>
    <w:rsid w:val="004150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
    <w:name w:val="HTML Preformatted Char"/>
    <w:link w:val="HTMLPreformatted"/>
    <w:uiPriority w:val="99"/>
    <w:locked/>
    <w:rsid w:val="0041509F"/>
    <w:rPr>
      <w:rFonts w:ascii="Courier New" w:hAnsi="Courier New"/>
      <w:sz w:val="20"/>
    </w:rPr>
  </w:style>
  <w:style w:type="paragraph" w:styleId="BodyText">
    <w:name w:val="Body Text"/>
    <w:basedOn w:val="Normal"/>
    <w:link w:val="BodyTextChar"/>
    <w:uiPriority w:val="99"/>
    <w:rsid w:val="0041509F"/>
    <w:pPr>
      <w:widowControl w:val="0"/>
      <w:spacing w:after="120"/>
    </w:pPr>
    <w:rPr>
      <w:rFonts w:ascii="Courier" w:hAnsi="Courier"/>
      <w:sz w:val="20"/>
      <w:szCs w:val="20"/>
    </w:rPr>
  </w:style>
  <w:style w:type="character" w:customStyle="1" w:styleId="BodyTextChar">
    <w:name w:val="Body Text Char"/>
    <w:link w:val="BodyText"/>
    <w:uiPriority w:val="99"/>
    <w:locked/>
    <w:rsid w:val="0041509F"/>
    <w:rPr>
      <w:rFonts w:ascii="Courier" w:hAnsi="Courier"/>
      <w:sz w:val="20"/>
    </w:rPr>
  </w:style>
  <w:style w:type="paragraph" w:styleId="Header">
    <w:name w:val="header"/>
    <w:basedOn w:val="Normal"/>
    <w:link w:val="HeaderChar"/>
    <w:uiPriority w:val="99"/>
    <w:rsid w:val="00A03CC1"/>
    <w:pPr>
      <w:tabs>
        <w:tab w:val="center" w:pos="4680"/>
        <w:tab w:val="right" w:pos="9360"/>
      </w:tabs>
    </w:pPr>
    <w:rPr>
      <w:sz w:val="20"/>
      <w:szCs w:val="20"/>
    </w:rPr>
  </w:style>
  <w:style w:type="character" w:customStyle="1" w:styleId="HeaderChar">
    <w:name w:val="Header Char"/>
    <w:link w:val="Header"/>
    <w:uiPriority w:val="99"/>
    <w:locked/>
    <w:rsid w:val="00A03CC1"/>
    <w:rPr>
      <w:rFonts w:ascii="Times New Roman" w:hAnsi="Times New Roman"/>
      <w:sz w:val="20"/>
    </w:rPr>
  </w:style>
  <w:style w:type="paragraph" w:styleId="Footer">
    <w:name w:val="footer"/>
    <w:basedOn w:val="Normal"/>
    <w:link w:val="FooterChar"/>
    <w:uiPriority w:val="99"/>
    <w:rsid w:val="00A03CC1"/>
    <w:pPr>
      <w:tabs>
        <w:tab w:val="center" w:pos="4680"/>
        <w:tab w:val="right" w:pos="9360"/>
      </w:tabs>
    </w:pPr>
    <w:rPr>
      <w:sz w:val="20"/>
      <w:szCs w:val="20"/>
    </w:rPr>
  </w:style>
  <w:style w:type="character" w:customStyle="1" w:styleId="FooterChar">
    <w:name w:val="Footer Char"/>
    <w:link w:val="Footer"/>
    <w:uiPriority w:val="99"/>
    <w:locked/>
    <w:rsid w:val="00A03CC1"/>
    <w:rPr>
      <w:rFonts w:ascii="Times New Roman" w:hAnsi="Times New Roman"/>
      <w:sz w:val="20"/>
    </w:rPr>
  </w:style>
  <w:style w:type="paragraph" w:styleId="ListParagraph">
    <w:name w:val="List Paragraph"/>
    <w:basedOn w:val="Normal"/>
    <w:uiPriority w:val="34"/>
    <w:qFormat/>
    <w:rsid w:val="00412048"/>
    <w:pPr>
      <w:widowControl w:val="0"/>
      <w:ind w:left="720"/>
    </w:pPr>
    <w:rPr>
      <w:rFonts w:ascii="Courier" w:hAnsi="Courier" w:cs="Courier"/>
    </w:rPr>
  </w:style>
  <w:style w:type="table" w:styleId="TableGrid">
    <w:name w:val="Table Grid"/>
    <w:basedOn w:val="TableNormal"/>
    <w:rsid w:val="006C231C"/>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F71EDB"/>
    <w:rPr>
      <w:rFonts w:ascii="Tahoma" w:hAnsi="Tahoma"/>
      <w:sz w:val="16"/>
      <w:szCs w:val="16"/>
    </w:rPr>
  </w:style>
  <w:style w:type="character" w:customStyle="1" w:styleId="BalloonTextChar">
    <w:name w:val="Balloon Text Char"/>
    <w:link w:val="BalloonText"/>
    <w:uiPriority w:val="99"/>
    <w:semiHidden/>
    <w:locked/>
    <w:rsid w:val="00F71EDB"/>
    <w:rPr>
      <w:rFonts w:ascii="Tahoma" w:hAnsi="Tahoma"/>
      <w:sz w:val="16"/>
    </w:rPr>
  </w:style>
  <w:style w:type="paragraph" w:styleId="CommentText">
    <w:name w:val="annotation text"/>
    <w:basedOn w:val="Normal"/>
    <w:link w:val="CommentTextChar"/>
    <w:uiPriority w:val="99"/>
    <w:semiHidden/>
    <w:rsid w:val="00061B1B"/>
    <w:rPr>
      <w:sz w:val="20"/>
      <w:szCs w:val="20"/>
    </w:rPr>
  </w:style>
  <w:style w:type="character" w:customStyle="1" w:styleId="CommentTextChar">
    <w:name w:val="Comment Text Char"/>
    <w:link w:val="CommentText"/>
    <w:uiPriority w:val="99"/>
    <w:semiHidden/>
    <w:locked/>
    <w:rsid w:val="00061B1B"/>
    <w:rPr>
      <w:rFonts w:ascii="Times New Roman" w:hAnsi="Times New Roman"/>
      <w:sz w:val="20"/>
    </w:rPr>
  </w:style>
  <w:style w:type="paragraph" w:styleId="CommentSubject">
    <w:name w:val="annotation subject"/>
    <w:basedOn w:val="CommentText"/>
    <w:next w:val="CommentText"/>
    <w:link w:val="CommentSubjectChar"/>
    <w:uiPriority w:val="99"/>
    <w:semiHidden/>
    <w:rsid w:val="00061B1B"/>
    <w:rPr>
      <w:b/>
      <w:bCs/>
    </w:rPr>
  </w:style>
  <w:style w:type="character" w:customStyle="1" w:styleId="CommentSubjectChar">
    <w:name w:val="Comment Subject Char"/>
    <w:link w:val="CommentSubject"/>
    <w:uiPriority w:val="99"/>
    <w:semiHidden/>
    <w:locked/>
    <w:rsid w:val="00061B1B"/>
    <w:rPr>
      <w:rFonts w:ascii="Times New Roman" w:hAnsi="Times New Roman"/>
      <w:b/>
      <w:sz w:val="20"/>
    </w:rPr>
  </w:style>
  <w:style w:type="paragraph" w:styleId="Revision">
    <w:name w:val="Revision"/>
    <w:hidden/>
    <w:uiPriority w:val="99"/>
    <w:semiHidden/>
    <w:rsid w:val="00986A1B"/>
    <w:rPr>
      <w:rFonts w:ascii="Times New Roman" w:hAnsi="Times New Roman"/>
      <w:sz w:val="24"/>
      <w:szCs w:val="24"/>
    </w:rPr>
  </w:style>
  <w:style w:type="paragraph" w:styleId="NormalWeb">
    <w:name w:val="Normal (Web)"/>
    <w:basedOn w:val="Normal"/>
    <w:uiPriority w:val="99"/>
    <w:semiHidden/>
    <w:rsid w:val="00D3354F"/>
    <w:pPr>
      <w:spacing w:before="100" w:beforeAutospacing="1" w:after="100" w:afterAutospacing="1"/>
    </w:pPr>
  </w:style>
  <w:style w:type="character" w:styleId="Hyperlink">
    <w:name w:val="Hyperlink"/>
    <w:uiPriority w:val="99"/>
    <w:semiHidden/>
    <w:rsid w:val="00BE0A29"/>
    <w:rPr>
      <w:color w:val="0000FF"/>
      <w:u w:val="single"/>
    </w:rPr>
  </w:style>
  <w:style w:type="table" w:customStyle="1" w:styleId="TableGrid3">
    <w:name w:val="Table Grid3"/>
    <w:basedOn w:val="TableNormal"/>
    <w:next w:val="TableGrid"/>
    <w:rsid w:val="00C25A47"/>
    <w:pPr>
      <w:widowControl w:val="0"/>
    </w:pPr>
    <w:rPr>
      <w:rFonts w:ascii="Times New Roman" w:hAnsi="Times New Roman"/>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Grid4">
    <w:name w:val="Table Grid4"/>
    <w:basedOn w:val="TableNormal"/>
    <w:next w:val="TableGrid"/>
    <w:rsid w:val="00447A7F"/>
    <w:pPr>
      <w:widowControl w:val="0"/>
    </w:pPr>
    <w:rPr>
      <w:rFonts w:ascii="Times New Roman" w:hAnsi="Times New Roman"/>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paragraph" w:styleId="NoSpacing">
    <w:name w:val="No Spacing"/>
    <w:uiPriority w:val="1"/>
    <w:qFormat/>
    <w:rsid w:val="00447A7F"/>
    <w:rPr>
      <w:rFonts w:asciiTheme="minorHAnsi" w:eastAsiaTheme="minorHAnsi" w:hAnsiTheme="minorHAnsi" w:cstheme="minorBidi"/>
      <w:sz w:val="22"/>
      <w:szCs w:val="22"/>
    </w:rPr>
  </w:style>
  <w:style w:type="table" w:customStyle="1" w:styleId="TableGrid21">
    <w:name w:val="Table Grid21"/>
    <w:basedOn w:val="TableNormal"/>
    <w:next w:val="TableGrid"/>
    <w:rsid w:val="007613E5"/>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7613E5"/>
    <w:pPr>
      <w:widowControl w:val="0"/>
    </w:pPr>
    <w:rPr>
      <w:rFonts w:ascii="Times New Roman" w:hAnsi="Times New Roman"/>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Grid6">
    <w:name w:val="Table Grid6"/>
    <w:basedOn w:val="TableNormal"/>
    <w:next w:val="TableGrid"/>
    <w:rsid w:val="007613E5"/>
    <w:pPr>
      <w:widowControl w:val="0"/>
    </w:pPr>
    <w:rPr>
      <w:rFonts w:ascii="Times New Roman" w:hAnsi="Times New Roman"/>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character" w:customStyle="1" w:styleId="Heading3Char">
    <w:name w:val="Heading 3 Char"/>
    <w:basedOn w:val="DefaultParagraphFont"/>
    <w:link w:val="Heading3"/>
    <w:semiHidden/>
    <w:rsid w:val="009B468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semiHidden/>
    <w:rsid w:val="002D5204"/>
    <w:rPr>
      <w:rFonts w:asciiTheme="majorHAnsi" w:eastAsiaTheme="majorEastAsia" w:hAnsiTheme="majorHAnsi" w:cstheme="majorBidi"/>
      <w:i/>
      <w:iCs/>
      <w:color w:val="2E74B5"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23321">
      <w:bodyDiv w:val="1"/>
      <w:marLeft w:val="0"/>
      <w:marRight w:val="0"/>
      <w:marTop w:val="0"/>
      <w:marBottom w:val="0"/>
      <w:divBdr>
        <w:top w:val="none" w:sz="0" w:space="0" w:color="auto"/>
        <w:left w:val="none" w:sz="0" w:space="0" w:color="auto"/>
        <w:bottom w:val="none" w:sz="0" w:space="0" w:color="auto"/>
        <w:right w:val="none" w:sz="0" w:space="0" w:color="auto"/>
      </w:divBdr>
      <w:divsChild>
        <w:div w:id="1021585778">
          <w:marLeft w:val="0"/>
          <w:marRight w:val="0"/>
          <w:marTop w:val="0"/>
          <w:marBottom w:val="0"/>
          <w:divBdr>
            <w:top w:val="none" w:sz="0" w:space="0" w:color="auto"/>
            <w:left w:val="none" w:sz="0" w:space="0" w:color="auto"/>
            <w:bottom w:val="none" w:sz="0" w:space="0" w:color="auto"/>
            <w:right w:val="none" w:sz="0" w:space="0" w:color="auto"/>
          </w:divBdr>
          <w:divsChild>
            <w:div w:id="516699525">
              <w:marLeft w:val="0"/>
              <w:marRight w:val="0"/>
              <w:marTop w:val="0"/>
              <w:marBottom w:val="0"/>
              <w:divBdr>
                <w:top w:val="none" w:sz="0" w:space="0" w:color="auto"/>
                <w:left w:val="none" w:sz="0" w:space="0" w:color="auto"/>
                <w:bottom w:val="none" w:sz="0" w:space="0" w:color="auto"/>
                <w:right w:val="none" w:sz="0" w:space="0" w:color="auto"/>
              </w:divBdr>
            </w:div>
          </w:divsChild>
        </w:div>
        <w:div w:id="1321735613">
          <w:marLeft w:val="0"/>
          <w:marRight w:val="0"/>
          <w:marTop w:val="0"/>
          <w:marBottom w:val="0"/>
          <w:divBdr>
            <w:top w:val="none" w:sz="0" w:space="0" w:color="auto"/>
            <w:left w:val="none" w:sz="0" w:space="0" w:color="auto"/>
            <w:bottom w:val="none" w:sz="0" w:space="0" w:color="auto"/>
            <w:right w:val="none" w:sz="0" w:space="0" w:color="auto"/>
          </w:divBdr>
          <w:divsChild>
            <w:div w:id="1850557690">
              <w:marLeft w:val="0"/>
              <w:marRight w:val="0"/>
              <w:marTop w:val="0"/>
              <w:marBottom w:val="0"/>
              <w:divBdr>
                <w:top w:val="none" w:sz="0" w:space="0" w:color="auto"/>
                <w:left w:val="none" w:sz="0" w:space="0" w:color="auto"/>
                <w:bottom w:val="none" w:sz="0" w:space="0" w:color="auto"/>
                <w:right w:val="none" w:sz="0" w:space="0" w:color="auto"/>
              </w:divBdr>
              <w:divsChild>
                <w:div w:id="443698801">
                  <w:marLeft w:val="0"/>
                  <w:marRight w:val="0"/>
                  <w:marTop w:val="0"/>
                  <w:marBottom w:val="0"/>
                  <w:divBdr>
                    <w:top w:val="none" w:sz="0" w:space="0" w:color="auto"/>
                    <w:left w:val="none" w:sz="0" w:space="0" w:color="auto"/>
                    <w:bottom w:val="none" w:sz="0" w:space="0" w:color="auto"/>
                    <w:right w:val="none" w:sz="0" w:space="0" w:color="auto"/>
                  </w:divBdr>
                  <w:divsChild>
                    <w:div w:id="96142540">
                      <w:marLeft w:val="0"/>
                      <w:marRight w:val="0"/>
                      <w:marTop w:val="0"/>
                      <w:marBottom w:val="0"/>
                      <w:divBdr>
                        <w:top w:val="none" w:sz="0" w:space="0" w:color="auto"/>
                        <w:left w:val="none" w:sz="0" w:space="0" w:color="auto"/>
                        <w:bottom w:val="none" w:sz="0" w:space="0" w:color="auto"/>
                        <w:right w:val="none" w:sz="0" w:space="0" w:color="auto"/>
                      </w:divBdr>
                      <w:divsChild>
                        <w:div w:id="1879127704">
                          <w:marLeft w:val="0"/>
                          <w:marRight w:val="0"/>
                          <w:marTop w:val="0"/>
                          <w:marBottom w:val="0"/>
                          <w:divBdr>
                            <w:top w:val="none" w:sz="0" w:space="0" w:color="auto"/>
                            <w:left w:val="none" w:sz="0" w:space="0" w:color="auto"/>
                            <w:bottom w:val="none" w:sz="0" w:space="0" w:color="auto"/>
                            <w:right w:val="none" w:sz="0" w:space="0" w:color="auto"/>
                          </w:divBdr>
                          <w:divsChild>
                            <w:div w:id="43182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278576">
      <w:bodyDiv w:val="1"/>
      <w:marLeft w:val="0"/>
      <w:marRight w:val="0"/>
      <w:marTop w:val="0"/>
      <w:marBottom w:val="0"/>
      <w:divBdr>
        <w:top w:val="none" w:sz="0" w:space="0" w:color="auto"/>
        <w:left w:val="none" w:sz="0" w:space="0" w:color="auto"/>
        <w:bottom w:val="none" w:sz="0" w:space="0" w:color="auto"/>
        <w:right w:val="none" w:sz="0" w:space="0" w:color="auto"/>
      </w:divBdr>
    </w:div>
    <w:div w:id="198857204">
      <w:bodyDiv w:val="1"/>
      <w:marLeft w:val="0"/>
      <w:marRight w:val="0"/>
      <w:marTop w:val="0"/>
      <w:marBottom w:val="0"/>
      <w:divBdr>
        <w:top w:val="none" w:sz="0" w:space="0" w:color="auto"/>
        <w:left w:val="none" w:sz="0" w:space="0" w:color="auto"/>
        <w:bottom w:val="none" w:sz="0" w:space="0" w:color="auto"/>
        <w:right w:val="none" w:sz="0" w:space="0" w:color="auto"/>
      </w:divBdr>
    </w:div>
    <w:div w:id="509174754">
      <w:bodyDiv w:val="1"/>
      <w:marLeft w:val="0"/>
      <w:marRight w:val="0"/>
      <w:marTop w:val="0"/>
      <w:marBottom w:val="0"/>
      <w:divBdr>
        <w:top w:val="none" w:sz="0" w:space="0" w:color="auto"/>
        <w:left w:val="none" w:sz="0" w:space="0" w:color="auto"/>
        <w:bottom w:val="none" w:sz="0" w:space="0" w:color="auto"/>
        <w:right w:val="none" w:sz="0" w:space="0" w:color="auto"/>
      </w:divBdr>
    </w:div>
    <w:div w:id="718476786">
      <w:bodyDiv w:val="1"/>
      <w:marLeft w:val="0"/>
      <w:marRight w:val="0"/>
      <w:marTop w:val="0"/>
      <w:marBottom w:val="0"/>
      <w:divBdr>
        <w:top w:val="none" w:sz="0" w:space="0" w:color="auto"/>
        <w:left w:val="none" w:sz="0" w:space="0" w:color="auto"/>
        <w:bottom w:val="none" w:sz="0" w:space="0" w:color="auto"/>
        <w:right w:val="none" w:sz="0" w:space="0" w:color="auto"/>
      </w:divBdr>
    </w:div>
    <w:div w:id="941306654">
      <w:marLeft w:val="0"/>
      <w:marRight w:val="0"/>
      <w:marTop w:val="0"/>
      <w:marBottom w:val="0"/>
      <w:divBdr>
        <w:top w:val="none" w:sz="0" w:space="0" w:color="auto"/>
        <w:left w:val="none" w:sz="0" w:space="0" w:color="auto"/>
        <w:bottom w:val="none" w:sz="0" w:space="0" w:color="auto"/>
        <w:right w:val="none" w:sz="0" w:space="0" w:color="auto"/>
      </w:divBdr>
    </w:div>
    <w:div w:id="941306655">
      <w:marLeft w:val="0"/>
      <w:marRight w:val="0"/>
      <w:marTop w:val="0"/>
      <w:marBottom w:val="0"/>
      <w:divBdr>
        <w:top w:val="none" w:sz="0" w:space="0" w:color="auto"/>
        <w:left w:val="none" w:sz="0" w:space="0" w:color="auto"/>
        <w:bottom w:val="none" w:sz="0" w:space="0" w:color="auto"/>
        <w:right w:val="none" w:sz="0" w:space="0" w:color="auto"/>
      </w:divBdr>
    </w:div>
    <w:div w:id="941306656">
      <w:marLeft w:val="0"/>
      <w:marRight w:val="0"/>
      <w:marTop w:val="0"/>
      <w:marBottom w:val="0"/>
      <w:divBdr>
        <w:top w:val="none" w:sz="0" w:space="0" w:color="auto"/>
        <w:left w:val="none" w:sz="0" w:space="0" w:color="auto"/>
        <w:bottom w:val="none" w:sz="0" w:space="0" w:color="auto"/>
        <w:right w:val="none" w:sz="0" w:space="0" w:color="auto"/>
      </w:divBdr>
    </w:div>
    <w:div w:id="941306657">
      <w:marLeft w:val="0"/>
      <w:marRight w:val="0"/>
      <w:marTop w:val="0"/>
      <w:marBottom w:val="0"/>
      <w:divBdr>
        <w:top w:val="none" w:sz="0" w:space="0" w:color="auto"/>
        <w:left w:val="none" w:sz="0" w:space="0" w:color="auto"/>
        <w:bottom w:val="none" w:sz="0" w:space="0" w:color="auto"/>
        <w:right w:val="none" w:sz="0" w:space="0" w:color="auto"/>
      </w:divBdr>
    </w:div>
    <w:div w:id="941306658">
      <w:marLeft w:val="0"/>
      <w:marRight w:val="0"/>
      <w:marTop w:val="0"/>
      <w:marBottom w:val="0"/>
      <w:divBdr>
        <w:top w:val="none" w:sz="0" w:space="0" w:color="auto"/>
        <w:left w:val="none" w:sz="0" w:space="0" w:color="auto"/>
        <w:bottom w:val="none" w:sz="0" w:space="0" w:color="auto"/>
        <w:right w:val="none" w:sz="0" w:space="0" w:color="auto"/>
      </w:divBdr>
    </w:div>
    <w:div w:id="1055659643">
      <w:bodyDiv w:val="1"/>
      <w:marLeft w:val="0"/>
      <w:marRight w:val="0"/>
      <w:marTop w:val="0"/>
      <w:marBottom w:val="0"/>
      <w:divBdr>
        <w:top w:val="none" w:sz="0" w:space="0" w:color="auto"/>
        <w:left w:val="none" w:sz="0" w:space="0" w:color="auto"/>
        <w:bottom w:val="none" w:sz="0" w:space="0" w:color="auto"/>
        <w:right w:val="none" w:sz="0" w:space="0" w:color="auto"/>
      </w:divBdr>
    </w:div>
    <w:div w:id="1257835089">
      <w:bodyDiv w:val="1"/>
      <w:marLeft w:val="0"/>
      <w:marRight w:val="0"/>
      <w:marTop w:val="0"/>
      <w:marBottom w:val="0"/>
      <w:divBdr>
        <w:top w:val="none" w:sz="0" w:space="0" w:color="auto"/>
        <w:left w:val="none" w:sz="0" w:space="0" w:color="auto"/>
        <w:bottom w:val="none" w:sz="0" w:space="0" w:color="auto"/>
        <w:right w:val="none" w:sz="0" w:space="0" w:color="auto"/>
      </w:divBdr>
    </w:div>
    <w:div w:id="2102555838">
      <w:bodyDiv w:val="1"/>
      <w:marLeft w:val="0"/>
      <w:marRight w:val="0"/>
      <w:marTop w:val="0"/>
      <w:marBottom w:val="0"/>
      <w:divBdr>
        <w:top w:val="none" w:sz="0" w:space="0" w:color="auto"/>
        <w:left w:val="none" w:sz="0" w:space="0" w:color="auto"/>
        <w:bottom w:val="none" w:sz="0" w:space="0" w:color="auto"/>
        <w:right w:val="none" w:sz="0" w:space="0" w:color="auto"/>
      </w:divBdr>
    </w:div>
    <w:div w:id="2143422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yperlink" Target="http://www.northernbankdirect.com"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www.nbtc.co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FDEF4898096664D948EA3F7E99EB1EE" ma:contentTypeVersion="11" ma:contentTypeDescription="Create a new document." ma:contentTypeScope="" ma:versionID="e4a7aa53596c4a54e501ab9e27f980ec">
  <xsd:schema xmlns:xsd="http://www.w3.org/2001/XMLSchema" xmlns:xs="http://www.w3.org/2001/XMLSchema" xmlns:p="http://schemas.microsoft.com/office/2006/metadata/properties" xmlns:ns2="3c299d68-a849-4f9b-9dbb-8ff19319d07f" targetNamespace="http://schemas.microsoft.com/office/2006/metadata/properties" ma:root="true" ma:fieldsID="f954287d437e56a6e1dc657aeb1bd092" ns2:_="">
    <xsd:import namespace="3c299d68-a849-4f9b-9dbb-8ff19319d07f"/>
    <xsd:element name="properties">
      <xsd:complexType>
        <xsd:sequence>
          <xsd:element name="documentManagement">
            <xsd:complexType>
              <xsd:all>
                <xsd:element ref="ns2:Sensitivity"/>
                <xsd:element ref="ns2:t2yl" minOccurs="0"/>
                <xsd:element ref="ns2:Topic" minOccurs="0"/>
                <xsd:element ref="ns2:Link" minOccurs="0"/>
                <xsd:element ref="ns2:Date" minOccurs="0"/>
                <xsd:element ref="ns2:Order0" minOccurs="0"/>
                <xsd:element ref="ns2:RO_x002d_INDEX" minOccurs="0"/>
                <xsd:element ref="ns2:Description0" minOccurs="0"/>
                <xsd:element ref="ns2:Acti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299d68-a849-4f9b-9dbb-8ff19319d07f" elementFormDefault="qualified">
    <xsd:import namespace="http://schemas.microsoft.com/office/2006/documentManagement/types"/>
    <xsd:import namespace="http://schemas.microsoft.com/office/infopath/2007/PartnerControls"/>
    <xsd:element name="Sensitivity" ma:index="8" ma:displayName="Sensitivity" ma:description="&#10;Sensitive Data = Any data that, if lost, stolen or misused, could adversely impact FDIC, insured institutions or individuals.&#10;    http://fdic01/division/doa/adminservices/records/directives/1000/1360-9.doc&#10;&#10;Sensitive PII = SSN alone and/or an individual’s full name plus 1 or more additional items of personal data.&#10;    http://fdic01/division/dit/ITGovernance/PrivacyProgram/PersonallyIdentifiableInformation/index.html&#10;&#10;Non-Sensitive Data = Data that can be shared or viewed with no restrictions internal or external to FDIC.&#10;    http://www.fdic.gov/regulations/laws/rules/2000-3800.html&#10;    " ma:format="Dropdown" ma:internalName="Sensitivity" ma:readOnly="false">
      <xsd:simpleType>
        <xsd:restriction base="dms:Choice">
          <xsd:enumeration value="Sensitive Data"/>
          <xsd:enumeration value="Sensitive PII"/>
          <xsd:enumeration value="Non-Sensitive Data"/>
        </xsd:restriction>
      </xsd:simpleType>
    </xsd:element>
    <xsd:element name="t2yl" ma:index="10" nillable="true" ma:displayName="Assigned" ma:internalName="t2yl" ma:readOnly="false">
      <xsd:simpleType>
        <xsd:restriction base="dms:Text"/>
      </xsd:simpleType>
    </xsd:element>
    <xsd:element name="Topic" ma:index="11" nillable="true" ma:displayName="Subject" ma:internalName="Topic" ma:readOnly="false">
      <xsd:simpleType>
        <xsd:restriction base="dms:Text">
          <xsd:maxLength value="255"/>
        </xsd:restriction>
      </xsd:simpleType>
    </xsd:element>
    <xsd:element name="Link" ma:index="12" nillable="true" ma:displayName="Link" ma:format="Hyperlink" ma:internalName="Link"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Date" ma:index="13" nillable="true" ma:displayName="Date" ma:format="DateOnly" ma:internalName="Date" ma:readOnly="false">
      <xsd:simpleType>
        <xsd:restriction base="dms:DateTime"/>
      </xsd:simpleType>
    </xsd:element>
    <xsd:element name="Order0" ma:index="14" nillable="true" ma:displayName="Order" ma:decimals="1" ma:internalName="Order0" ma:readOnly="false" ma:percentage="FALSE">
      <xsd:simpleType>
        <xsd:restriction base="dms:Number"/>
      </xsd:simpleType>
    </xsd:element>
    <xsd:element name="RO_x002d_INDEX" ma:index="15" nillable="true" ma:displayName="RO-INDEX" ma:internalName="RO_x002d_INDEX" ma:readOnly="false">
      <xsd:simpleType>
        <xsd:restriction base="dms:Text">
          <xsd:maxLength value="12"/>
        </xsd:restriction>
      </xsd:simpleType>
    </xsd:element>
    <xsd:element name="Description0" ma:index="16" nillable="true" ma:displayName="Description" ma:internalName="Description0" ma:readOnly="false">
      <xsd:simpleType>
        <xsd:restriction base="dms:Text">
          <xsd:maxLength value="255"/>
        </xsd:restriction>
      </xsd:simpleType>
    </xsd:element>
    <xsd:element name="Active" ma:index="17" nillable="true" ma:displayName="Visable" ma:default="1" ma:internalName="Active"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opic xmlns="3c299d68-a849-4f9b-9dbb-8ff19319d07f" xsi:nil="true"/>
    <RO_x002d_INDEX xmlns="3c299d68-a849-4f9b-9dbb-8ff19319d07f" xsi:nil="true"/>
    <Order0 xmlns="3c299d68-a849-4f9b-9dbb-8ff19319d07f" xsi:nil="true"/>
    <Date xmlns="3c299d68-a849-4f9b-9dbb-8ff19319d07f" xsi:nil="true"/>
    <Description0 xmlns="3c299d68-a849-4f9b-9dbb-8ff19319d07f" xsi:nil="true"/>
    <t2yl xmlns="3c299d68-a849-4f9b-9dbb-8ff19319d07f" xsi:nil="true"/>
    <Link xmlns="3c299d68-a849-4f9b-9dbb-8ff19319d07f">
      <Url xsi:nil="true"/>
      <Description xsi:nil="true"/>
    </Link>
    <Active xmlns="3c299d68-a849-4f9b-9dbb-8ff19319d07f">true</Active>
    <Sensitivity xmlns="3c299d68-a849-4f9b-9dbb-8ff19319d07f">Sensitive Data</Sensitivity>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F929E3-8ED8-4E7B-AE96-C7F0696A8A67}">
  <ds:schemaRefs>
    <ds:schemaRef ds:uri="http://schemas.microsoft.com/office/2006/metadata/longProperties"/>
  </ds:schemaRefs>
</ds:datastoreItem>
</file>

<file path=customXml/itemProps2.xml><?xml version="1.0" encoding="utf-8"?>
<ds:datastoreItem xmlns:ds="http://schemas.openxmlformats.org/officeDocument/2006/customXml" ds:itemID="{CA0EEEFB-97CD-4E59-A8CB-97F04FB05A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299d68-a849-4f9b-9dbb-8ff19319d0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DD1480-E316-4D29-A455-E6F80CD457D2}">
  <ds:schemaRefs>
    <ds:schemaRef ds:uri="http://schemas.microsoft.com/sharepoint/v3/contenttype/forms"/>
  </ds:schemaRefs>
</ds:datastoreItem>
</file>

<file path=customXml/itemProps4.xml><?xml version="1.0" encoding="utf-8"?>
<ds:datastoreItem xmlns:ds="http://schemas.openxmlformats.org/officeDocument/2006/customXml" ds:itemID="{A48E6B93-34E2-4800-8C99-8E2502835455}">
  <ds:schemaRefs>
    <ds:schemaRef ds:uri="http://schemas.microsoft.com/office/2006/metadata/properties"/>
    <ds:schemaRef ds:uri="http://schemas.microsoft.com/office/infopath/2007/PartnerControls"/>
    <ds:schemaRef ds:uri="3c299d68-a849-4f9b-9dbb-8ff19319d07f"/>
  </ds:schemaRefs>
</ds:datastoreItem>
</file>

<file path=customXml/itemProps5.xml><?xml version="1.0" encoding="utf-8"?>
<ds:datastoreItem xmlns:ds="http://schemas.openxmlformats.org/officeDocument/2006/customXml" ds:itemID="{E242C7D8-2652-4FE8-B412-2A167F8A0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35</Pages>
  <Words>11758</Words>
  <Characters>67024</Characters>
  <Application>Microsoft Office Word</Application>
  <DocSecurity>0</DocSecurity>
  <Lines>558</Lines>
  <Paragraphs>157</Paragraphs>
  <ScaleCrop>false</ScaleCrop>
  <HeadingPairs>
    <vt:vector size="2" baseType="variant">
      <vt:variant>
        <vt:lpstr>Title</vt:lpstr>
      </vt:variant>
      <vt:variant>
        <vt:i4>1</vt:i4>
      </vt:variant>
    </vt:vector>
  </HeadingPairs>
  <TitlesOfParts>
    <vt:vector size="1" baseType="lpstr">
      <vt:lpstr>DRAFT BofA CRA PE</vt:lpstr>
    </vt:vector>
  </TitlesOfParts>
  <Company>FDIC</Company>
  <LinksUpToDate>false</LinksUpToDate>
  <CharactersWithSpaces>78625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BofA CRA PE</dc:title>
  <dc:subject>DCP Examiner</dc:subject>
  <dc:creator>tbressette@fdic.gov</dc:creator>
  <cp:keywords/>
  <dc:description/>
  <cp:lastModifiedBy>Wojnarowski, Kara A.</cp:lastModifiedBy>
  <cp:revision>3</cp:revision>
  <cp:lastPrinted>2017-07-18T16:44:00Z</cp:lastPrinted>
  <dcterms:created xsi:type="dcterms:W3CDTF">2020-07-31T16:38:00Z</dcterms:created>
  <dcterms:modified xsi:type="dcterms:W3CDTF">2020-07-31T19:15:00Z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0x0101007825520D38458B42A467308E16F6A6F7</vt:lpwstr>
  </property>
  <property fmtid="{D5CDD505-2E9C-101B-9397-08002B2CF9AE}" pid="3" name="display_urn:schemas-microsoft-com:office:office#Editor">
    <vt:lpwstr>Carney, Marie A.</vt:lpwstr>
  </property>
  <property fmtid="{D5CDD505-2E9C-101B-9397-08002B2CF9AE}" pid="4" name="Title">
    <vt:lpwstr>DRAFT BofA CRA PE</vt:lpwstr>
  </property>
  <property fmtid="{D5CDD505-2E9C-101B-9397-08002B2CF9AE}" pid="5" name="Order">
    <vt:lpwstr>15700.0000000000</vt:lpwstr>
  </property>
  <property fmtid="{D5CDD505-2E9C-101B-9397-08002B2CF9AE}" pid="6" name="display_urn:schemas-microsoft-com:office:office#Author">
    <vt:lpwstr>Miller, Amy E.</vt:lpwstr>
  </property>
</Properties>
</file>