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20D6" w14:textId="77777777" w:rsidR="0099672C" w:rsidRPr="005C737D" w:rsidRDefault="0099672C" w:rsidP="00E02903">
      <w:pPr>
        <w:rPr>
          <w:color w:val="000000"/>
        </w:rPr>
      </w:pPr>
      <w:bookmarkStart w:id="0" w:name="_GoBack"/>
      <w:bookmarkEnd w:id="0"/>
    </w:p>
    <w:p w14:paraId="480166A4" w14:textId="77777777" w:rsidR="0099672C" w:rsidRDefault="0099672C" w:rsidP="00E02903">
      <w:pPr>
        <w:jc w:val="both"/>
        <w:rPr>
          <w:color w:val="000000"/>
        </w:rPr>
      </w:pPr>
    </w:p>
    <w:p w14:paraId="78CB848E" w14:textId="77777777" w:rsidR="0099672C" w:rsidRPr="005C737D" w:rsidRDefault="0099672C" w:rsidP="00E02903">
      <w:pPr>
        <w:jc w:val="both"/>
        <w:rPr>
          <w:color w:val="000000"/>
        </w:rPr>
      </w:pPr>
    </w:p>
    <w:p w14:paraId="32A939C4" w14:textId="77777777" w:rsidR="0099672C" w:rsidRPr="005C737D" w:rsidRDefault="0099672C" w:rsidP="00E02903">
      <w:pPr>
        <w:jc w:val="both"/>
        <w:rPr>
          <w:color w:val="000000"/>
        </w:rPr>
      </w:pPr>
    </w:p>
    <w:p w14:paraId="2119E98C" w14:textId="77777777" w:rsidR="0099672C" w:rsidRPr="00161EC6" w:rsidRDefault="0099672C" w:rsidP="00E02903">
      <w:pPr>
        <w:tabs>
          <w:tab w:val="center" w:pos="4680"/>
        </w:tabs>
        <w:jc w:val="both"/>
        <w:rPr>
          <w:b/>
          <w:bCs/>
          <w:color w:val="000000"/>
          <w:sz w:val="36"/>
          <w:szCs w:val="36"/>
        </w:rPr>
      </w:pPr>
      <w:r w:rsidRPr="007601A4">
        <w:rPr>
          <w:color w:val="000000"/>
          <w:sz w:val="36"/>
          <w:szCs w:val="36"/>
        </w:rPr>
        <w:tab/>
      </w:r>
      <w:r w:rsidRPr="00161EC6">
        <w:rPr>
          <w:b/>
          <w:bCs/>
          <w:color w:val="000000"/>
          <w:sz w:val="36"/>
          <w:szCs w:val="36"/>
        </w:rPr>
        <w:t>PUBLIC DISCLOSURE</w:t>
      </w:r>
    </w:p>
    <w:p w14:paraId="7A21756D" w14:textId="77777777" w:rsidR="0099672C" w:rsidRPr="00161EC6" w:rsidRDefault="0099672C" w:rsidP="00E02903">
      <w:pPr>
        <w:jc w:val="both"/>
        <w:rPr>
          <w:color w:val="000000"/>
        </w:rPr>
      </w:pPr>
    </w:p>
    <w:p w14:paraId="70A2C111" w14:textId="77777777" w:rsidR="0099672C" w:rsidRPr="00161EC6" w:rsidRDefault="0099672C" w:rsidP="00E02903">
      <w:pPr>
        <w:jc w:val="both"/>
        <w:rPr>
          <w:color w:val="000000"/>
        </w:rPr>
      </w:pPr>
    </w:p>
    <w:p w14:paraId="2ED5ADBA" w14:textId="77777777" w:rsidR="0099672C" w:rsidRPr="00161EC6" w:rsidRDefault="0099672C" w:rsidP="00E02903">
      <w:pPr>
        <w:jc w:val="both"/>
        <w:rPr>
          <w:color w:val="000000"/>
        </w:rPr>
      </w:pPr>
    </w:p>
    <w:p w14:paraId="5676787C" w14:textId="77777777" w:rsidR="0099672C" w:rsidRPr="00161EC6" w:rsidRDefault="0099672C" w:rsidP="00E02903">
      <w:pPr>
        <w:jc w:val="both"/>
        <w:rPr>
          <w:color w:val="000000"/>
        </w:rPr>
      </w:pPr>
    </w:p>
    <w:p w14:paraId="19F90491" w14:textId="1E463688" w:rsidR="0099672C" w:rsidRPr="00161EC6" w:rsidRDefault="0099672C" w:rsidP="00E02903">
      <w:pPr>
        <w:tabs>
          <w:tab w:val="center" w:pos="4680"/>
        </w:tabs>
        <w:jc w:val="both"/>
        <w:rPr>
          <w:color w:val="000000"/>
        </w:rPr>
      </w:pPr>
      <w:r w:rsidRPr="00161EC6">
        <w:rPr>
          <w:color w:val="000000"/>
          <w:sz w:val="36"/>
          <w:szCs w:val="36"/>
        </w:rPr>
        <w:tab/>
      </w:r>
      <w:r w:rsidR="00414340">
        <w:rPr>
          <w:color w:val="000000"/>
        </w:rPr>
        <w:t>November 30,</w:t>
      </w:r>
      <w:r w:rsidR="002A5FF2">
        <w:rPr>
          <w:color w:val="000000"/>
        </w:rPr>
        <w:t xml:space="preserve"> 2020</w:t>
      </w:r>
    </w:p>
    <w:p w14:paraId="0130E826" w14:textId="77777777" w:rsidR="0099672C" w:rsidRPr="00161EC6" w:rsidRDefault="0099672C" w:rsidP="00E02903">
      <w:pPr>
        <w:jc w:val="both"/>
        <w:rPr>
          <w:color w:val="000000"/>
        </w:rPr>
      </w:pPr>
    </w:p>
    <w:p w14:paraId="4C46B97E" w14:textId="77777777" w:rsidR="0099672C" w:rsidRPr="00161EC6" w:rsidRDefault="0099672C" w:rsidP="00E02903">
      <w:pPr>
        <w:jc w:val="both"/>
        <w:rPr>
          <w:color w:val="000000"/>
        </w:rPr>
      </w:pPr>
    </w:p>
    <w:p w14:paraId="5046FFC0" w14:textId="77777777" w:rsidR="0099672C" w:rsidRPr="00161EC6" w:rsidRDefault="0099672C" w:rsidP="00E02903">
      <w:pPr>
        <w:jc w:val="both"/>
        <w:rPr>
          <w:color w:val="000000"/>
        </w:rPr>
      </w:pPr>
    </w:p>
    <w:p w14:paraId="4ECE3A0C" w14:textId="77777777" w:rsidR="0099672C" w:rsidRPr="00161EC6" w:rsidRDefault="0099672C" w:rsidP="00E02903">
      <w:pPr>
        <w:jc w:val="both"/>
        <w:rPr>
          <w:color w:val="000000"/>
        </w:rPr>
      </w:pPr>
    </w:p>
    <w:p w14:paraId="5895BB45" w14:textId="77777777" w:rsidR="0099672C" w:rsidRPr="00161EC6" w:rsidRDefault="0099672C" w:rsidP="00E02903">
      <w:pPr>
        <w:tabs>
          <w:tab w:val="center" w:pos="4680"/>
        </w:tabs>
        <w:jc w:val="both"/>
        <w:rPr>
          <w:b/>
          <w:bCs/>
          <w:color w:val="000000"/>
          <w:sz w:val="36"/>
          <w:szCs w:val="36"/>
        </w:rPr>
      </w:pPr>
      <w:r w:rsidRPr="00161EC6">
        <w:rPr>
          <w:color w:val="000000"/>
        </w:rPr>
        <w:tab/>
      </w:r>
      <w:r w:rsidRPr="00161EC6">
        <w:rPr>
          <w:b/>
          <w:bCs/>
          <w:color w:val="000000"/>
          <w:sz w:val="36"/>
          <w:szCs w:val="36"/>
        </w:rPr>
        <w:t>COMMUNITY REINVESTMENT ACT</w:t>
      </w:r>
    </w:p>
    <w:p w14:paraId="033E28E7" w14:textId="77777777" w:rsidR="0099672C" w:rsidRPr="00161EC6" w:rsidRDefault="0099672C" w:rsidP="00E02903">
      <w:pPr>
        <w:tabs>
          <w:tab w:val="center" w:pos="4680"/>
        </w:tabs>
        <w:jc w:val="both"/>
        <w:rPr>
          <w:color w:val="000000"/>
          <w:sz w:val="36"/>
          <w:szCs w:val="36"/>
        </w:rPr>
      </w:pPr>
      <w:r w:rsidRPr="00161EC6">
        <w:rPr>
          <w:b/>
          <w:bCs/>
          <w:color w:val="000000"/>
          <w:sz w:val="36"/>
          <w:szCs w:val="36"/>
        </w:rPr>
        <w:tab/>
        <w:t>PERFORMANCE EVALUATION</w:t>
      </w:r>
    </w:p>
    <w:p w14:paraId="02B3C970" w14:textId="77777777" w:rsidR="0099672C" w:rsidRPr="00161EC6" w:rsidRDefault="0099672C" w:rsidP="00E02903">
      <w:pPr>
        <w:rPr>
          <w:color w:val="000000"/>
        </w:rPr>
      </w:pPr>
    </w:p>
    <w:p w14:paraId="464384E9" w14:textId="77777777" w:rsidR="0099672C" w:rsidRPr="00161EC6" w:rsidRDefault="0099672C" w:rsidP="00E02903">
      <w:pPr>
        <w:tabs>
          <w:tab w:val="center" w:pos="4680"/>
        </w:tabs>
        <w:rPr>
          <w:color w:val="000000"/>
        </w:rPr>
      </w:pPr>
    </w:p>
    <w:p w14:paraId="274ECA77" w14:textId="77777777" w:rsidR="0099672C" w:rsidRPr="00161EC6" w:rsidRDefault="0099672C" w:rsidP="00E02903">
      <w:pPr>
        <w:rPr>
          <w:color w:val="000000"/>
        </w:rPr>
      </w:pPr>
    </w:p>
    <w:p w14:paraId="14B9F1AD" w14:textId="705D7422" w:rsidR="0099672C" w:rsidRPr="00161EC6" w:rsidRDefault="0099672C" w:rsidP="00E02903">
      <w:pPr>
        <w:tabs>
          <w:tab w:val="center" w:pos="4680"/>
        </w:tabs>
        <w:jc w:val="both"/>
        <w:rPr>
          <w:color w:val="000000"/>
        </w:rPr>
      </w:pPr>
      <w:r w:rsidRPr="00161EC6">
        <w:rPr>
          <w:b/>
          <w:bCs/>
          <w:color w:val="000000"/>
        </w:rPr>
        <w:tab/>
      </w:r>
      <w:r w:rsidR="00414340">
        <w:rPr>
          <w:color w:val="000000"/>
        </w:rPr>
        <w:t xml:space="preserve">Northmark Bank </w:t>
      </w:r>
    </w:p>
    <w:p w14:paraId="3C794766" w14:textId="238B3799" w:rsidR="0099672C" w:rsidRPr="00161EC6" w:rsidRDefault="002A5FF2" w:rsidP="00E02903">
      <w:pPr>
        <w:tabs>
          <w:tab w:val="center" w:pos="4680"/>
        </w:tabs>
        <w:jc w:val="both"/>
        <w:rPr>
          <w:color w:val="000000"/>
        </w:rPr>
      </w:pPr>
      <w:r>
        <w:rPr>
          <w:color w:val="000000"/>
        </w:rPr>
        <w:tab/>
        <w:t xml:space="preserve">Certificate Number: </w:t>
      </w:r>
      <w:r w:rsidR="00414340">
        <w:rPr>
          <w:color w:val="000000"/>
        </w:rPr>
        <w:t>27119</w:t>
      </w:r>
    </w:p>
    <w:p w14:paraId="13B4EDD2" w14:textId="77777777" w:rsidR="0099672C" w:rsidRPr="00161EC6" w:rsidRDefault="0099672C" w:rsidP="00E02903">
      <w:pPr>
        <w:jc w:val="both"/>
        <w:rPr>
          <w:color w:val="000000"/>
        </w:rPr>
      </w:pPr>
    </w:p>
    <w:p w14:paraId="1F145BFF" w14:textId="2BE35FAB" w:rsidR="0099672C" w:rsidRPr="00161EC6" w:rsidRDefault="00414340" w:rsidP="00E02903">
      <w:pPr>
        <w:tabs>
          <w:tab w:val="center" w:pos="4680"/>
        </w:tabs>
        <w:jc w:val="center"/>
      </w:pPr>
      <w:r>
        <w:t>89 Turnpike</w:t>
      </w:r>
      <w:r w:rsidR="00F55F7F">
        <w:t xml:space="preserve"> St</w:t>
      </w:r>
      <w:r w:rsidR="0099672C" w:rsidRPr="00161EC6">
        <w:t>reet</w:t>
      </w:r>
    </w:p>
    <w:p w14:paraId="6B19FCC8" w14:textId="76AAF066" w:rsidR="0099672C" w:rsidRPr="00161EC6" w:rsidRDefault="00414340" w:rsidP="002A5FF2">
      <w:pPr>
        <w:tabs>
          <w:tab w:val="left" w:pos="5175"/>
        </w:tabs>
        <w:jc w:val="center"/>
        <w:rPr>
          <w:color w:val="000000"/>
        </w:rPr>
      </w:pPr>
      <w:r>
        <w:t>North Andover</w:t>
      </w:r>
      <w:r w:rsidR="0099672C" w:rsidRPr="00161EC6">
        <w:t xml:space="preserve">, </w:t>
      </w:r>
      <w:r w:rsidR="0043355C">
        <w:t>Massachusetts</w:t>
      </w:r>
      <w:r w:rsidR="0043355C" w:rsidRPr="00161EC6">
        <w:t xml:space="preserve"> </w:t>
      </w:r>
      <w:r w:rsidR="0043355C">
        <w:t>01845</w:t>
      </w:r>
    </w:p>
    <w:p w14:paraId="5F0378DE" w14:textId="77777777" w:rsidR="0099672C" w:rsidRPr="00161EC6" w:rsidRDefault="0099672C" w:rsidP="00E02903">
      <w:pPr>
        <w:tabs>
          <w:tab w:val="center" w:pos="4680"/>
        </w:tabs>
        <w:rPr>
          <w:color w:val="000000"/>
        </w:rPr>
      </w:pPr>
    </w:p>
    <w:p w14:paraId="2340D25D" w14:textId="77777777" w:rsidR="0099672C" w:rsidRDefault="0099672C" w:rsidP="00E02903">
      <w:pPr>
        <w:tabs>
          <w:tab w:val="center" w:pos="4680"/>
        </w:tabs>
        <w:rPr>
          <w:color w:val="000000"/>
        </w:rPr>
      </w:pPr>
    </w:p>
    <w:p w14:paraId="08D2FAFA" w14:textId="77777777" w:rsidR="002A5FF2" w:rsidRPr="00161EC6" w:rsidRDefault="002A5FF2" w:rsidP="00E02903">
      <w:pPr>
        <w:tabs>
          <w:tab w:val="center" w:pos="4680"/>
        </w:tabs>
        <w:rPr>
          <w:color w:val="000000"/>
        </w:rPr>
      </w:pPr>
    </w:p>
    <w:p w14:paraId="20F2FD59" w14:textId="77777777" w:rsidR="0099672C" w:rsidRPr="00161EC6" w:rsidRDefault="0099672C" w:rsidP="00E02903">
      <w:pPr>
        <w:rPr>
          <w:color w:val="000000"/>
        </w:rPr>
      </w:pPr>
    </w:p>
    <w:tbl>
      <w:tblPr>
        <w:tblW w:w="0" w:type="auto"/>
        <w:tblLayout w:type="fixed"/>
        <w:tblLook w:val="01E0" w:firstRow="1" w:lastRow="1" w:firstColumn="1" w:lastColumn="1" w:noHBand="0" w:noVBand="0"/>
      </w:tblPr>
      <w:tblGrid>
        <w:gridCol w:w="4552"/>
        <w:gridCol w:w="4553"/>
      </w:tblGrid>
      <w:tr w:rsidR="00043BA5" w:rsidRPr="00214332" w14:paraId="00D7EBED" w14:textId="77777777" w:rsidTr="005C2118">
        <w:trPr>
          <w:cantSplit/>
        </w:trPr>
        <w:tc>
          <w:tcPr>
            <w:tcW w:w="4552" w:type="dxa"/>
            <w:shd w:val="clear" w:color="auto" w:fill="auto"/>
          </w:tcPr>
          <w:p w14:paraId="24EDFF79" w14:textId="77777777" w:rsidR="00043BA5" w:rsidRPr="00043BA5" w:rsidRDefault="00043BA5" w:rsidP="00043BA5">
            <w:pPr>
              <w:tabs>
                <w:tab w:val="left" w:pos="360"/>
                <w:tab w:val="left" w:pos="840"/>
                <w:tab w:val="left" w:pos="6720"/>
              </w:tabs>
              <w:suppressAutoHyphens/>
              <w:jc w:val="center"/>
              <w:rPr>
                <w:spacing w:val="-3"/>
              </w:rPr>
            </w:pPr>
            <w:r w:rsidRPr="00043BA5">
              <w:rPr>
                <w:spacing w:val="-3"/>
              </w:rPr>
              <w:t>Division of Banks</w:t>
            </w:r>
          </w:p>
        </w:tc>
        <w:tc>
          <w:tcPr>
            <w:tcW w:w="4553" w:type="dxa"/>
            <w:shd w:val="clear" w:color="auto" w:fill="auto"/>
          </w:tcPr>
          <w:p w14:paraId="596E8B04" w14:textId="77777777" w:rsidR="00043BA5" w:rsidRPr="00043BA5" w:rsidRDefault="00043BA5" w:rsidP="00043BA5">
            <w:pPr>
              <w:tabs>
                <w:tab w:val="left" w:pos="360"/>
                <w:tab w:val="left" w:pos="840"/>
                <w:tab w:val="left" w:pos="6720"/>
              </w:tabs>
              <w:suppressAutoHyphens/>
              <w:jc w:val="center"/>
              <w:rPr>
                <w:spacing w:val="-3"/>
              </w:rPr>
            </w:pPr>
            <w:r w:rsidRPr="00043BA5">
              <w:rPr>
                <w:spacing w:val="-3"/>
              </w:rPr>
              <w:t>Federal Deposit Insurance Corporation</w:t>
            </w:r>
          </w:p>
        </w:tc>
      </w:tr>
      <w:tr w:rsidR="00043BA5" w:rsidRPr="00214332" w14:paraId="2F29F95F" w14:textId="77777777" w:rsidTr="005C2118">
        <w:trPr>
          <w:cantSplit/>
        </w:trPr>
        <w:tc>
          <w:tcPr>
            <w:tcW w:w="4552" w:type="dxa"/>
            <w:shd w:val="clear" w:color="auto" w:fill="auto"/>
          </w:tcPr>
          <w:p w14:paraId="7682A3E8" w14:textId="77777777" w:rsidR="00043BA5" w:rsidRPr="00043BA5" w:rsidRDefault="00043BA5" w:rsidP="00043BA5">
            <w:pPr>
              <w:tabs>
                <w:tab w:val="left" w:pos="360"/>
                <w:tab w:val="left" w:pos="840"/>
                <w:tab w:val="left" w:pos="6720"/>
              </w:tabs>
              <w:suppressAutoHyphens/>
              <w:jc w:val="center"/>
              <w:rPr>
                <w:spacing w:val="-3"/>
              </w:rPr>
            </w:pPr>
            <w:r w:rsidRPr="00043BA5">
              <w:rPr>
                <w:spacing w:val="-3"/>
              </w:rPr>
              <w:t>1000 Washington Street, 10</w:t>
            </w:r>
            <w:r w:rsidRPr="00043BA5">
              <w:rPr>
                <w:spacing w:val="-3"/>
                <w:vertAlign w:val="superscript"/>
              </w:rPr>
              <w:t>th</w:t>
            </w:r>
            <w:r w:rsidRPr="00043BA5">
              <w:rPr>
                <w:spacing w:val="-3"/>
              </w:rPr>
              <w:t xml:space="preserve"> Floor</w:t>
            </w:r>
          </w:p>
        </w:tc>
        <w:tc>
          <w:tcPr>
            <w:tcW w:w="4553" w:type="dxa"/>
            <w:shd w:val="clear" w:color="auto" w:fill="auto"/>
          </w:tcPr>
          <w:p w14:paraId="0CD7000F" w14:textId="77777777" w:rsidR="00043BA5" w:rsidRPr="00043BA5" w:rsidRDefault="00043BA5" w:rsidP="00043BA5">
            <w:pPr>
              <w:tabs>
                <w:tab w:val="left" w:pos="360"/>
                <w:tab w:val="left" w:pos="840"/>
                <w:tab w:val="left" w:pos="6720"/>
              </w:tabs>
              <w:suppressAutoHyphens/>
              <w:jc w:val="center"/>
              <w:rPr>
                <w:spacing w:val="-3"/>
              </w:rPr>
            </w:pPr>
            <w:r w:rsidRPr="00043BA5">
              <w:rPr>
                <w:spacing w:val="-3"/>
              </w:rPr>
              <w:t>350 Fifth Avenue, Suite 1200</w:t>
            </w:r>
          </w:p>
        </w:tc>
      </w:tr>
      <w:tr w:rsidR="00043BA5" w:rsidRPr="00214332" w14:paraId="78C213BD" w14:textId="77777777" w:rsidTr="005C2118">
        <w:trPr>
          <w:cantSplit/>
        </w:trPr>
        <w:tc>
          <w:tcPr>
            <w:tcW w:w="4552" w:type="dxa"/>
            <w:shd w:val="clear" w:color="auto" w:fill="auto"/>
          </w:tcPr>
          <w:p w14:paraId="785074A5" w14:textId="77777777" w:rsidR="00043BA5" w:rsidRPr="00043BA5" w:rsidRDefault="00043BA5" w:rsidP="00043BA5">
            <w:pPr>
              <w:tabs>
                <w:tab w:val="left" w:pos="360"/>
                <w:tab w:val="left" w:pos="840"/>
                <w:tab w:val="left" w:pos="6720"/>
              </w:tabs>
              <w:suppressAutoHyphens/>
              <w:jc w:val="center"/>
              <w:rPr>
                <w:spacing w:val="-3"/>
              </w:rPr>
            </w:pPr>
            <w:r w:rsidRPr="00043BA5">
              <w:rPr>
                <w:spacing w:val="-3"/>
              </w:rPr>
              <w:t>Boston, Massachusetts 02118</w:t>
            </w:r>
          </w:p>
        </w:tc>
        <w:tc>
          <w:tcPr>
            <w:tcW w:w="4553" w:type="dxa"/>
            <w:shd w:val="clear" w:color="auto" w:fill="auto"/>
          </w:tcPr>
          <w:p w14:paraId="4197D48E" w14:textId="77777777" w:rsidR="00043BA5" w:rsidRPr="00043BA5" w:rsidRDefault="00043BA5" w:rsidP="00043BA5">
            <w:pPr>
              <w:tabs>
                <w:tab w:val="left" w:pos="360"/>
                <w:tab w:val="left" w:pos="840"/>
                <w:tab w:val="left" w:pos="6720"/>
              </w:tabs>
              <w:suppressAutoHyphens/>
              <w:jc w:val="center"/>
              <w:rPr>
                <w:spacing w:val="-3"/>
              </w:rPr>
            </w:pPr>
            <w:r w:rsidRPr="00043BA5">
              <w:rPr>
                <w:spacing w:val="-3"/>
              </w:rPr>
              <w:t>New York, New York 10118</w:t>
            </w:r>
          </w:p>
        </w:tc>
      </w:tr>
    </w:tbl>
    <w:p w14:paraId="487C36CA" w14:textId="77777777" w:rsidR="0099672C" w:rsidRPr="00161EC6" w:rsidRDefault="0099672C" w:rsidP="00E02903">
      <w:pPr>
        <w:tabs>
          <w:tab w:val="left" w:pos="-1440"/>
        </w:tabs>
        <w:ind w:left="1440" w:hanging="1440"/>
        <w:rPr>
          <w:color w:val="000000"/>
        </w:rPr>
      </w:pPr>
    </w:p>
    <w:p w14:paraId="604ECA68" w14:textId="77777777" w:rsidR="0099672C" w:rsidRPr="00161EC6" w:rsidRDefault="0099672C" w:rsidP="00E02903">
      <w:pPr>
        <w:tabs>
          <w:tab w:val="left" w:pos="-1440"/>
        </w:tabs>
        <w:ind w:left="1440" w:hanging="1440"/>
        <w:rPr>
          <w:color w:val="000000"/>
        </w:rPr>
      </w:pPr>
    </w:p>
    <w:p w14:paraId="49B7EE9E" w14:textId="77777777" w:rsidR="0099672C" w:rsidRPr="00161EC6" w:rsidRDefault="0099672C" w:rsidP="00E02903">
      <w:pPr>
        <w:tabs>
          <w:tab w:val="left" w:pos="-1440"/>
        </w:tabs>
        <w:ind w:left="1440" w:hanging="1440"/>
        <w:rPr>
          <w:color w:val="000000"/>
        </w:rPr>
      </w:pPr>
    </w:p>
    <w:p w14:paraId="304A0063" w14:textId="77777777" w:rsidR="0099672C" w:rsidRPr="00161EC6" w:rsidRDefault="0099672C" w:rsidP="00E02903">
      <w:pPr>
        <w:tabs>
          <w:tab w:val="left" w:pos="-1440"/>
        </w:tabs>
        <w:ind w:left="1440" w:hanging="1440"/>
        <w:rPr>
          <w:color w:val="000000"/>
        </w:rPr>
      </w:pPr>
    </w:p>
    <w:p w14:paraId="21FD9967" w14:textId="77777777" w:rsidR="0099672C" w:rsidRPr="00161EC6" w:rsidRDefault="0099672C" w:rsidP="00E02903">
      <w:pPr>
        <w:tabs>
          <w:tab w:val="left" w:pos="-1440"/>
        </w:tabs>
        <w:ind w:left="1440" w:hanging="1440"/>
        <w:rPr>
          <w:color w:val="000000"/>
        </w:rPr>
      </w:pPr>
    </w:p>
    <w:p w14:paraId="18F2CA2E" w14:textId="77777777" w:rsidR="0099672C" w:rsidRPr="00161EC6" w:rsidRDefault="0099672C" w:rsidP="00E02903">
      <w:pPr>
        <w:jc w:val="both"/>
        <w:rPr>
          <w:color w:val="000000"/>
        </w:rPr>
      </w:pPr>
      <w:r w:rsidRPr="00161EC6">
        <w:rPr>
          <w:color w:val="000000"/>
        </w:rPr>
        <w:t>This document is an evaluation of this institution’s record of meeting the credit needs of its entire community, including low- and moderate-income neighborhoods, consistent with safe and sound operation of the institution.</w:t>
      </w:r>
      <w:r w:rsidRPr="00161EC6">
        <w:rPr>
          <w:i/>
          <w:iCs/>
          <w:color w:val="000000"/>
        </w:rPr>
        <w:t xml:space="preserve">  </w:t>
      </w:r>
      <w:r w:rsidRPr="00161EC6">
        <w:rPr>
          <w:color w:val="000000"/>
        </w:rPr>
        <w:t xml:space="preserve">This evaluation is not, nor should it be construed as, an assessment of the financial condition of this institution.  The rating assigned to this institution does not represent an analysis, conclusion, or opinion of the </w:t>
      </w:r>
      <w:r w:rsidR="00043BA5">
        <w:rPr>
          <w:color w:val="000000"/>
        </w:rPr>
        <w:t xml:space="preserve">Division of Banks or the Federal Deposit Insurance Corporation </w:t>
      </w:r>
      <w:r w:rsidRPr="00161EC6">
        <w:rPr>
          <w:color w:val="000000"/>
        </w:rPr>
        <w:t>concerning the safety and soundness of this financial institution.</w:t>
      </w:r>
    </w:p>
    <w:p w14:paraId="3542FE4F" w14:textId="77777777" w:rsidR="0099672C" w:rsidRDefault="0099672C" w:rsidP="00E02903">
      <w:pPr>
        <w:jc w:val="both"/>
        <w:rPr>
          <w:color w:val="000000"/>
        </w:rPr>
      </w:pPr>
    </w:p>
    <w:p w14:paraId="6622EDFF" w14:textId="77777777" w:rsidR="00043BA5" w:rsidRDefault="00043BA5" w:rsidP="00E02903">
      <w:pPr>
        <w:jc w:val="both"/>
        <w:rPr>
          <w:color w:val="000000"/>
        </w:rPr>
      </w:pPr>
    </w:p>
    <w:p w14:paraId="65112C8C" w14:textId="77777777" w:rsidR="00043BA5" w:rsidRPr="00161EC6" w:rsidRDefault="00043BA5" w:rsidP="00E02903">
      <w:pPr>
        <w:jc w:val="both"/>
        <w:rPr>
          <w:color w:val="000000"/>
        </w:rPr>
      </w:pPr>
    </w:p>
    <w:p w14:paraId="5EE6D9B0" w14:textId="77777777" w:rsidR="0099672C" w:rsidRPr="00161EC6" w:rsidRDefault="0099672C" w:rsidP="00E02903">
      <w:pPr>
        <w:tabs>
          <w:tab w:val="left" w:pos="-1440"/>
        </w:tabs>
        <w:jc w:val="center"/>
        <w:rPr>
          <w:b/>
          <w:bCs/>
          <w:sz w:val="28"/>
          <w:szCs w:val="28"/>
        </w:rPr>
      </w:pPr>
      <w:r w:rsidRPr="00161EC6">
        <w:rPr>
          <w:b/>
          <w:bCs/>
          <w:sz w:val="28"/>
          <w:szCs w:val="28"/>
        </w:rPr>
        <w:lastRenderedPageBreak/>
        <w:t>TABLE OF CONTENTS</w:t>
      </w:r>
    </w:p>
    <w:p w14:paraId="593A252E" w14:textId="77777777" w:rsidR="0099672C" w:rsidRPr="00161EC6" w:rsidRDefault="0099672C" w:rsidP="00F63C3D">
      <w:pPr>
        <w:jc w:val="center"/>
      </w:pPr>
    </w:p>
    <w:p w14:paraId="26B1334C" w14:textId="77777777" w:rsidR="0099672C" w:rsidRPr="00161EC6" w:rsidRDefault="0099672C" w:rsidP="00F63C3D">
      <w:pPr>
        <w:tabs>
          <w:tab w:val="left" w:pos="-1440"/>
          <w:tab w:val="left" w:pos="-720"/>
          <w:tab w:val="left" w:pos="0"/>
          <w:tab w:val="left" w:pos="720"/>
          <w:tab w:val="right" w:leader="dot" w:pos="9360"/>
        </w:tabs>
      </w:pPr>
    </w:p>
    <w:p w14:paraId="71EAD434" w14:textId="678D438F" w:rsidR="001B5B40" w:rsidRPr="00161EC6" w:rsidRDefault="001B5B40" w:rsidP="001B5B40">
      <w:pPr>
        <w:tabs>
          <w:tab w:val="left" w:pos="-1440"/>
          <w:tab w:val="left" w:pos="-720"/>
          <w:tab w:val="left" w:pos="0"/>
          <w:tab w:val="left" w:pos="720"/>
          <w:tab w:val="right" w:leader="dot" w:pos="9360"/>
        </w:tabs>
      </w:pPr>
      <w:r w:rsidRPr="00161EC6">
        <w:t>Institution Rating</w:t>
      </w:r>
      <w:r w:rsidRPr="00161EC6">
        <w:tab/>
      </w:r>
      <w:r>
        <w:t>1</w:t>
      </w:r>
    </w:p>
    <w:p w14:paraId="58DBB940" w14:textId="77777777" w:rsidR="001B5B40" w:rsidRDefault="001B5B40" w:rsidP="001B5B40">
      <w:pPr>
        <w:tabs>
          <w:tab w:val="left" w:pos="-1440"/>
          <w:tab w:val="left" w:pos="-720"/>
          <w:tab w:val="left" w:pos="0"/>
          <w:tab w:val="left" w:pos="720"/>
          <w:tab w:val="right" w:leader="dot" w:pos="9360"/>
        </w:tabs>
      </w:pPr>
    </w:p>
    <w:p w14:paraId="005EB321" w14:textId="150B39F3" w:rsidR="001B5B40" w:rsidRPr="00161EC6" w:rsidRDefault="001B5B40" w:rsidP="001B5B40">
      <w:pPr>
        <w:tabs>
          <w:tab w:val="left" w:pos="-1440"/>
          <w:tab w:val="left" w:pos="-720"/>
          <w:tab w:val="left" w:pos="0"/>
          <w:tab w:val="left" w:pos="720"/>
          <w:tab w:val="right" w:leader="dot" w:pos="9360"/>
        </w:tabs>
      </w:pPr>
      <w:r>
        <w:t>Scope of Evaluation</w:t>
      </w:r>
      <w:r>
        <w:tab/>
        <w:t>2</w:t>
      </w:r>
    </w:p>
    <w:p w14:paraId="4C0ABB86" w14:textId="77777777" w:rsidR="001B5B40" w:rsidRPr="00161EC6" w:rsidRDefault="001B5B40" w:rsidP="001B5B40">
      <w:pPr>
        <w:tabs>
          <w:tab w:val="left" w:pos="-1440"/>
          <w:tab w:val="left" w:pos="-720"/>
          <w:tab w:val="left" w:pos="0"/>
          <w:tab w:val="left" w:pos="720"/>
          <w:tab w:val="right" w:leader="dot" w:pos="9360"/>
        </w:tabs>
      </w:pPr>
    </w:p>
    <w:p w14:paraId="52C8E8E9" w14:textId="2D4B2200" w:rsidR="001B5B40" w:rsidRPr="00161EC6" w:rsidRDefault="001B5B40" w:rsidP="001B5B40">
      <w:pPr>
        <w:tabs>
          <w:tab w:val="left" w:pos="-1440"/>
          <w:tab w:val="left" w:pos="-720"/>
          <w:tab w:val="left" w:pos="0"/>
          <w:tab w:val="left" w:pos="720"/>
          <w:tab w:val="right" w:leader="dot" w:pos="9360"/>
        </w:tabs>
      </w:pPr>
      <w:r>
        <w:t>Description of Institution</w:t>
      </w:r>
      <w:r>
        <w:tab/>
        <w:t>4</w:t>
      </w:r>
    </w:p>
    <w:p w14:paraId="009C03B9" w14:textId="77777777" w:rsidR="001B5B40" w:rsidRPr="00161EC6" w:rsidRDefault="001B5B40" w:rsidP="001B5B40">
      <w:pPr>
        <w:tabs>
          <w:tab w:val="left" w:pos="-1440"/>
          <w:tab w:val="left" w:pos="-720"/>
          <w:tab w:val="left" w:pos="0"/>
          <w:tab w:val="left" w:pos="720"/>
          <w:tab w:val="right" w:leader="dot" w:pos="9360"/>
        </w:tabs>
      </w:pPr>
    </w:p>
    <w:p w14:paraId="7C4771D9" w14:textId="0553A05B" w:rsidR="001B5B40" w:rsidRPr="00161EC6" w:rsidRDefault="001B5B40" w:rsidP="001B5B40">
      <w:pPr>
        <w:tabs>
          <w:tab w:val="left" w:pos="-1440"/>
          <w:tab w:val="left" w:pos="-720"/>
          <w:tab w:val="left" w:pos="0"/>
          <w:tab w:val="left" w:pos="720"/>
          <w:tab w:val="right" w:leader="dot" w:pos="9360"/>
        </w:tabs>
      </w:pPr>
      <w:r w:rsidRPr="00161EC6">
        <w:t>Description of Assessment Are</w:t>
      </w:r>
      <w:r>
        <w:t>a</w:t>
      </w:r>
      <w:r>
        <w:tab/>
        <w:t>6</w:t>
      </w:r>
    </w:p>
    <w:p w14:paraId="5BE78107" w14:textId="77777777" w:rsidR="001B5B40" w:rsidRPr="00161EC6" w:rsidRDefault="001B5B40" w:rsidP="001B5B40">
      <w:pPr>
        <w:tabs>
          <w:tab w:val="left" w:pos="-1440"/>
          <w:tab w:val="left" w:pos="-720"/>
          <w:tab w:val="left" w:pos="0"/>
          <w:tab w:val="left" w:pos="720"/>
          <w:tab w:val="right" w:leader="dot" w:pos="9360"/>
        </w:tabs>
      </w:pPr>
    </w:p>
    <w:p w14:paraId="5B4DBDD6" w14:textId="1D166397" w:rsidR="001B5B40" w:rsidRPr="00161EC6" w:rsidRDefault="001B5B40" w:rsidP="001B5B40">
      <w:pPr>
        <w:tabs>
          <w:tab w:val="left" w:pos="-1440"/>
          <w:tab w:val="left" w:pos="-720"/>
          <w:tab w:val="left" w:pos="0"/>
          <w:tab w:val="left" w:pos="720"/>
          <w:tab w:val="right" w:leader="dot" w:pos="9360"/>
        </w:tabs>
      </w:pPr>
      <w:r w:rsidRPr="00161EC6">
        <w:t>Conclu</w:t>
      </w:r>
      <w:r>
        <w:t>sions on Performance Criteria</w:t>
      </w:r>
      <w:r>
        <w:tab/>
      </w:r>
      <w:r w:rsidR="001318E0">
        <w:t>10</w:t>
      </w:r>
    </w:p>
    <w:p w14:paraId="5078A1D8" w14:textId="77777777" w:rsidR="001B5B40" w:rsidRPr="00161EC6" w:rsidRDefault="001B5B40" w:rsidP="001B5B40">
      <w:pPr>
        <w:tabs>
          <w:tab w:val="left" w:pos="-1440"/>
          <w:tab w:val="left" w:pos="-720"/>
          <w:tab w:val="left" w:pos="0"/>
          <w:tab w:val="left" w:pos="720"/>
          <w:tab w:val="right" w:leader="dot" w:pos="9360"/>
        </w:tabs>
      </w:pPr>
    </w:p>
    <w:p w14:paraId="3EE5B2E9" w14:textId="796EE175" w:rsidR="001B5B40" w:rsidRPr="00161EC6" w:rsidRDefault="001B5B40" w:rsidP="001B5B40">
      <w:pPr>
        <w:tabs>
          <w:tab w:val="left" w:pos="-1440"/>
          <w:tab w:val="left" w:pos="-720"/>
          <w:tab w:val="left" w:pos="0"/>
          <w:tab w:val="left" w:pos="720"/>
          <w:tab w:val="right" w:leader="dot" w:pos="9360"/>
        </w:tabs>
      </w:pPr>
      <w:r w:rsidRPr="00161EC6">
        <w:t>Discriminatory or Other Il</w:t>
      </w:r>
      <w:r>
        <w:t>legal Credit Practices Review</w:t>
      </w:r>
      <w:r>
        <w:tab/>
      </w:r>
      <w:r w:rsidR="00A7262C">
        <w:t>19</w:t>
      </w:r>
    </w:p>
    <w:p w14:paraId="0D0D6D83" w14:textId="77777777" w:rsidR="001B5B40" w:rsidRDefault="001B5B40" w:rsidP="001B5B40">
      <w:pPr>
        <w:tabs>
          <w:tab w:val="left" w:pos="-1440"/>
          <w:tab w:val="left" w:pos="-720"/>
          <w:tab w:val="left" w:pos="0"/>
          <w:tab w:val="left" w:pos="720"/>
          <w:tab w:val="right" w:leader="dot" w:pos="9360"/>
        </w:tabs>
      </w:pPr>
    </w:p>
    <w:p w14:paraId="572EFE66" w14:textId="10AF21AC" w:rsidR="001B5B40" w:rsidRPr="00161EC6" w:rsidRDefault="001B5B40" w:rsidP="001B5B40">
      <w:pPr>
        <w:tabs>
          <w:tab w:val="left" w:pos="-1440"/>
          <w:tab w:val="left" w:pos="-720"/>
          <w:tab w:val="left" w:pos="0"/>
          <w:tab w:val="left" w:pos="720"/>
          <w:tab w:val="right" w:leader="dot" w:pos="9360"/>
        </w:tabs>
      </w:pPr>
      <w:r>
        <w:t>Division of Banks Fair Lending Policies and Procedures</w:t>
      </w:r>
      <w:r>
        <w:tab/>
      </w:r>
      <w:r w:rsidR="00A7262C">
        <w:t>19</w:t>
      </w:r>
    </w:p>
    <w:p w14:paraId="40E277A8" w14:textId="77777777" w:rsidR="001B5B40" w:rsidRDefault="001B5B40" w:rsidP="001B5B40">
      <w:pPr>
        <w:tabs>
          <w:tab w:val="left" w:pos="-1440"/>
          <w:tab w:val="left" w:pos="-720"/>
          <w:tab w:val="left" w:pos="0"/>
          <w:tab w:val="left" w:pos="720"/>
          <w:tab w:val="right" w:leader="dot" w:pos="9360"/>
        </w:tabs>
      </w:pPr>
    </w:p>
    <w:p w14:paraId="4B153163" w14:textId="29AB8DF7" w:rsidR="001B5B40" w:rsidRPr="00161EC6" w:rsidRDefault="001B5B40" w:rsidP="001B5B40">
      <w:pPr>
        <w:tabs>
          <w:tab w:val="left" w:pos="-1440"/>
          <w:tab w:val="left" w:pos="-720"/>
          <w:tab w:val="left" w:pos="0"/>
          <w:tab w:val="left" w:pos="720"/>
          <w:tab w:val="right" w:leader="dot" w:pos="9360"/>
        </w:tabs>
      </w:pPr>
      <w:r>
        <w:t>Glossary</w:t>
      </w:r>
      <w:r>
        <w:tab/>
      </w:r>
      <w:r w:rsidR="00BB5906">
        <w:t>2</w:t>
      </w:r>
      <w:r w:rsidR="00A7262C">
        <w:t>1</w:t>
      </w:r>
    </w:p>
    <w:p w14:paraId="07147624" w14:textId="77777777" w:rsidR="001B5B40" w:rsidRPr="00161EC6" w:rsidRDefault="001B5B40" w:rsidP="001B5B40"/>
    <w:p w14:paraId="33E3A702" w14:textId="6DF5B189" w:rsidR="0099672C" w:rsidRPr="00161EC6" w:rsidRDefault="0099672C"/>
    <w:p w14:paraId="3F8AD204" w14:textId="77777777" w:rsidR="0099672C" w:rsidRPr="00161EC6" w:rsidRDefault="0099672C">
      <w:pPr>
        <w:sectPr w:rsidR="0099672C" w:rsidRPr="00161E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4BA7B892" w14:textId="77777777" w:rsidR="0099672C" w:rsidRPr="00161EC6" w:rsidRDefault="0099672C" w:rsidP="00F71EDB">
      <w:pPr>
        <w:jc w:val="center"/>
        <w:rPr>
          <w:b/>
          <w:bCs/>
          <w:sz w:val="28"/>
          <w:szCs w:val="28"/>
        </w:rPr>
      </w:pPr>
      <w:r w:rsidRPr="00161EC6">
        <w:rPr>
          <w:b/>
          <w:bCs/>
          <w:sz w:val="28"/>
          <w:szCs w:val="28"/>
        </w:rPr>
        <w:t>INSTITUTION RATING</w:t>
      </w:r>
    </w:p>
    <w:p w14:paraId="7C60A010" w14:textId="77777777" w:rsidR="0099672C" w:rsidRPr="00161EC6" w:rsidRDefault="0099672C" w:rsidP="00820FE2">
      <w:pPr>
        <w:rPr>
          <w:i/>
          <w:iCs/>
        </w:rPr>
      </w:pPr>
    </w:p>
    <w:p w14:paraId="21E97CA7" w14:textId="77777777" w:rsidR="0099672C" w:rsidRPr="00161EC6" w:rsidRDefault="0099672C" w:rsidP="00820FE2">
      <w:pPr>
        <w:rPr>
          <w:b/>
          <w:bCs/>
          <w:sz w:val="28"/>
          <w:szCs w:val="28"/>
        </w:rPr>
      </w:pPr>
    </w:p>
    <w:p w14:paraId="5605A41D" w14:textId="5BC07320" w:rsidR="009E01F9" w:rsidRDefault="009E01F9" w:rsidP="009E01F9">
      <w:r w:rsidRPr="00161EC6">
        <w:rPr>
          <w:b/>
          <w:bCs/>
        </w:rPr>
        <w:t xml:space="preserve">INSTITUTION’S CRA RATING:  </w:t>
      </w:r>
      <w:r w:rsidRPr="001E774B">
        <w:t>This institution is rated</w:t>
      </w:r>
      <w:r w:rsidRPr="001E774B">
        <w:rPr>
          <w:b/>
          <w:bCs/>
        </w:rPr>
        <w:t xml:space="preserve"> </w:t>
      </w:r>
      <w:r w:rsidRPr="001E774B">
        <w:rPr>
          <w:rStyle w:val="Style1"/>
        </w:rPr>
        <w:t>Satisfactory</w:t>
      </w:r>
      <w:r w:rsidRPr="001E774B">
        <w:rPr>
          <w:b/>
          <w:bCs/>
        </w:rPr>
        <w:t xml:space="preserve">.  </w:t>
      </w:r>
      <w:r w:rsidRPr="001E774B">
        <w:t>An institution in this group has a satisfactory record</w:t>
      </w:r>
      <w:r>
        <w:t xml:space="preserve"> of helping to meet the credit needs of its assessment area, including low- and moderate-income neighborhoods, in a manner consistent with its resources and capabilities. </w:t>
      </w:r>
    </w:p>
    <w:p w14:paraId="3175CB3F" w14:textId="77777777" w:rsidR="006B47AE" w:rsidRDefault="006B47AE" w:rsidP="00820FE2">
      <w:pPr>
        <w:rPr>
          <w:snapToGrid w:val="0"/>
        </w:rPr>
      </w:pPr>
    </w:p>
    <w:p w14:paraId="0F02FA25" w14:textId="57F84467" w:rsidR="001E774B" w:rsidRDefault="002D316B" w:rsidP="00820FE2">
      <w:pPr>
        <w:rPr>
          <w:snapToGrid w:val="0"/>
        </w:rPr>
      </w:pPr>
      <w:r>
        <w:t xml:space="preserve">Northmark </w:t>
      </w:r>
      <w:r w:rsidR="001E774B">
        <w:t>Bank</w:t>
      </w:r>
      <w:r w:rsidR="001E774B" w:rsidRPr="00137433">
        <w:t>’s</w:t>
      </w:r>
      <w:r w:rsidR="00CF25CB">
        <w:t xml:space="preserve"> </w:t>
      </w:r>
      <w:r w:rsidR="001E774B" w:rsidRPr="00137433">
        <w:t>satisfactory Community Reinvestment Act (CRA) performance under the Lending Test and Community Development Test supports the overall rating.  Examiners did not identify any evidence of discriminatory or other illegal credit practices.  The following points summarize the bank’s Lending Test and Community Development Test performance.</w:t>
      </w:r>
    </w:p>
    <w:p w14:paraId="00431125" w14:textId="77777777" w:rsidR="001E774B" w:rsidRPr="00161EC6" w:rsidRDefault="001E774B" w:rsidP="00820FE2">
      <w:pPr>
        <w:rPr>
          <w:snapToGrid w:val="0"/>
        </w:rPr>
      </w:pPr>
    </w:p>
    <w:p w14:paraId="27F578A8" w14:textId="77777777" w:rsidR="009E01F9" w:rsidRDefault="009E01F9" w:rsidP="009E01F9">
      <w:pPr>
        <w:rPr>
          <w:b/>
          <w:bCs/>
        </w:rPr>
      </w:pPr>
      <w:r w:rsidRPr="00161EC6">
        <w:rPr>
          <w:b/>
          <w:bCs/>
        </w:rPr>
        <w:t>The Lending Test is rated</w:t>
      </w:r>
      <w:r>
        <w:rPr>
          <w:b/>
          <w:bCs/>
        </w:rPr>
        <w:t xml:space="preserve"> </w:t>
      </w:r>
      <w:r>
        <w:rPr>
          <w:rStyle w:val="Style1"/>
        </w:rPr>
        <w:t>Satisfactory</w:t>
      </w:r>
      <w:r w:rsidRPr="00161EC6">
        <w:rPr>
          <w:b/>
          <w:bCs/>
        </w:rPr>
        <w:t>.</w:t>
      </w:r>
    </w:p>
    <w:p w14:paraId="0F229210" w14:textId="77777777" w:rsidR="009E01F9" w:rsidRPr="00161EC6" w:rsidRDefault="009E01F9" w:rsidP="009E01F9">
      <w:pPr>
        <w:rPr>
          <w:b/>
          <w:bCs/>
        </w:rPr>
      </w:pPr>
    </w:p>
    <w:p w14:paraId="3C4A272F" w14:textId="52FC2AB5" w:rsidR="009E01F9" w:rsidRPr="001E774B" w:rsidRDefault="009E01F9" w:rsidP="009E01F9">
      <w:pPr>
        <w:numPr>
          <w:ilvl w:val="0"/>
          <w:numId w:val="13"/>
        </w:numPr>
        <w:tabs>
          <w:tab w:val="clear" w:pos="360"/>
        </w:tabs>
        <w:ind w:left="720"/>
        <w:rPr>
          <w:snapToGrid w:val="0"/>
        </w:rPr>
      </w:pPr>
      <w:r w:rsidRPr="00FA426F">
        <w:rPr>
          <w:snapToGrid w:val="0"/>
        </w:rPr>
        <w:t xml:space="preserve">The loan-to-deposit (LTD) </w:t>
      </w:r>
      <w:r w:rsidRPr="001E774B">
        <w:rPr>
          <w:snapToGrid w:val="0"/>
        </w:rPr>
        <w:t xml:space="preserve">ratio is </w:t>
      </w:r>
      <w:r w:rsidR="006326B2">
        <w:rPr>
          <w:snapToGrid w:val="0"/>
        </w:rPr>
        <w:t xml:space="preserve">more than </w:t>
      </w:r>
      <w:r w:rsidRPr="001E774B">
        <w:rPr>
          <w:snapToGrid w:val="0"/>
        </w:rPr>
        <w:t>reasonable given the institution’s size, financial condition, and assessment area credit needs.</w:t>
      </w:r>
    </w:p>
    <w:p w14:paraId="03CE18D5" w14:textId="77777777" w:rsidR="009E01F9" w:rsidRPr="001E774B" w:rsidRDefault="009E01F9" w:rsidP="009E01F9">
      <w:pPr>
        <w:ind w:left="720"/>
        <w:rPr>
          <w:snapToGrid w:val="0"/>
        </w:rPr>
      </w:pPr>
    </w:p>
    <w:p w14:paraId="149B664B" w14:textId="73748E4E" w:rsidR="009E01F9" w:rsidRPr="001E774B" w:rsidRDefault="009E01F9" w:rsidP="009E01F9">
      <w:pPr>
        <w:numPr>
          <w:ilvl w:val="0"/>
          <w:numId w:val="13"/>
        </w:numPr>
        <w:tabs>
          <w:tab w:val="clear" w:pos="360"/>
        </w:tabs>
        <w:ind w:left="720"/>
        <w:rPr>
          <w:snapToGrid w:val="0"/>
        </w:rPr>
      </w:pPr>
      <w:r w:rsidRPr="001E774B">
        <w:rPr>
          <w:snapToGrid w:val="0"/>
        </w:rPr>
        <w:t xml:space="preserve">The bank made a majority of its home mortgage </w:t>
      </w:r>
      <w:r w:rsidR="005C2DF8">
        <w:rPr>
          <w:snapToGrid w:val="0"/>
        </w:rPr>
        <w:t xml:space="preserve">and small business </w:t>
      </w:r>
      <w:r w:rsidRPr="001E774B">
        <w:rPr>
          <w:snapToGrid w:val="0"/>
        </w:rPr>
        <w:t>loans in the assessment area.</w:t>
      </w:r>
    </w:p>
    <w:p w14:paraId="28B00697" w14:textId="77777777" w:rsidR="009E01F9" w:rsidRPr="001E774B" w:rsidRDefault="009E01F9" w:rsidP="009E01F9">
      <w:pPr>
        <w:ind w:left="720"/>
        <w:rPr>
          <w:snapToGrid w:val="0"/>
        </w:rPr>
      </w:pPr>
    </w:p>
    <w:p w14:paraId="03F9A34E" w14:textId="305C33CD" w:rsidR="009E01F9" w:rsidRPr="001E774B" w:rsidRDefault="009E01F9" w:rsidP="009E01F9">
      <w:pPr>
        <w:numPr>
          <w:ilvl w:val="0"/>
          <w:numId w:val="13"/>
        </w:numPr>
        <w:tabs>
          <w:tab w:val="clear" w:pos="360"/>
        </w:tabs>
        <w:ind w:left="720"/>
        <w:rPr>
          <w:snapToGrid w:val="0"/>
        </w:rPr>
      </w:pPr>
      <w:r w:rsidRPr="001E774B">
        <w:rPr>
          <w:snapToGrid w:val="0"/>
        </w:rPr>
        <w:t>The geographic distribution of loans reflects reasonable dispersion throughout the assessment area.</w:t>
      </w:r>
      <w:r w:rsidR="002F7F3E">
        <w:rPr>
          <w:snapToGrid w:val="0"/>
        </w:rPr>
        <w:t xml:space="preserve"> </w:t>
      </w:r>
    </w:p>
    <w:p w14:paraId="1AFA8FA6" w14:textId="77777777" w:rsidR="009E01F9" w:rsidRPr="001E774B" w:rsidRDefault="009E01F9" w:rsidP="009E01F9">
      <w:pPr>
        <w:ind w:left="720"/>
        <w:rPr>
          <w:snapToGrid w:val="0"/>
        </w:rPr>
      </w:pPr>
    </w:p>
    <w:p w14:paraId="1965A282" w14:textId="66D6A703" w:rsidR="009E01F9" w:rsidRPr="00FA426F" w:rsidRDefault="009E01F9" w:rsidP="009E01F9">
      <w:pPr>
        <w:numPr>
          <w:ilvl w:val="0"/>
          <w:numId w:val="13"/>
        </w:numPr>
        <w:tabs>
          <w:tab w:val="clear" w:pos="360"/>
        </w:tabs>
        <w:ind w:left="720"/>
        <w:rPr>
          <w:snapToGrid w:val="0"/>
        </w:rPr>
      </w:pPr>
      <w:r w:rsidRPr="001E774B">
        <w:rPr>
          <w:snapToGrid w:val="0"/>
        </w:rPr>
        <w:t xml:space="preserve">The distribution of borrowers reflects </w:t>
      </w:r>
      <w:r w:rsidR="00E56C45">
        <w:rPr>
          <w:snapToGrid w:val="0"/>
        </w:rPr>
        <w:t>poor</w:t>
      </w:r>
      <w:r w:rsidRPr="001E774B">
        <w:rPr>
          <w:snapToGrid w:val="0"/>
        </w:rPr>
        <w:t xml:space="preserve"> penetration </w:t>
      </w:r>
      <w:r w:rsidRPr="00FA426F">
        <w:rPr>
          <w:snapToGrid w:val="0"/>
        </w:rPr>
        <w:t xml:space="preserve">among </w:t>
      </w:r>
      <w:r>
        <w:rPr>
          <w:snapToGrid w:val="0"/>
        </w:rPr>
        <w:t>individuals of different income levels</w:t>
      </w:r>
      <w:r w:rsidR="00795768">
        <w:rPr>
          <w:snapToGrid w:val="0"/>
        </w:rPr>
        <w:t>.</w:t>
      </w:r>
      <w:r w:rsidR="002F7F3E">
        <w:rPr>
          <w:snapToGrid w:val="0"/>
        </w:rPr>
        <w:t xml:space="preserve"> </w:t>
      </w:r>
    </w:p>
    <w:p w14:paraId="6B18087A" w14:textId="77777777" w:rsidR="009E01F9" w:rsidRPr="00FA426F" w:rsidRDefault="009E01F9" w:rsidP="009E01F9">
      <w:pPr>
        <w:ind w:left="720"/>
        <w:rPr>
          <w:snapToGrid w:val="0"/>
        </w:rPr>
      </w:pPr>
    </w:p>
    <w:p w14:paraId="140A1374" w14:textId="464A8701" w:rsidR="009E01F9" w:rsidRPr="00FA426F" w:rsidRDefault="009E01F9" w:rsidP="009E01F9">
      <w:pPr>
        <w:numPr>
          <w:ilvl w:val="0"/>
          <w:numId w:val="13"/>
        </w:numPr>
        <w:tabs>
          <w:tab w:val="clear" w:pos="360"/>
        </w:tabs>
        <w:ind w:left="720"/>
        <w:rPr>
          <w:snapToGrid w:val="0"/>
        </w:rPr>
      </w:pPr>
      <w:r w:rsidRPr="00FA426F">
        <w:rPr>
          <w:snapToGrid w:val="0"/>
        </w:rPr>
        <w:t>The institution did not receive any CRA-related complaints since the previous evaluation; therefore, this factor did not affect the Lending Test rating.</w:t>
      </w:r>
      <w:r w:rsidR="002F7F3E">
        <w:rPr>
          <w:snapToGrid w:val="0"/>
        </w:rPr>
        <w:t xml:space="preserve">  </w:t>
      </w:r>
    </w:p>
    <w:p w14:paraId="6199089A" w14:textId="77777777" w:rsidR="00B86059" w:rsidRDefault="00B86059" w:rsidP="00820FE2">
      <w:pPr>
        <w:rPr>
          <w:b/>
          <w:bCs/>
        </w:rPr>
      </w:pPr>
    </w:p>
    <w:p w14:paraId="46EBF661" w14:textId="0081977C" w:rsidR="0099672C" w:rsidRDefault="0099672C" w:rsidP="00820FE2">
      <w:pPr>
        <w:rPr>
          <w:b/>
          <w:bCs/>
        </w:rPr>
      </w:pPr>
      <w:r w:rsidRPr="00161EC6">
        <w:rPr>
          <w:b/>
          <w:bCs/>
        </w:rPr>
        <w:t xml:space="preserve">The Community Development Test is rated </w:t>
      </w:r>
      <w:r w:rsidR="001E774B">
        <w:rPr>
          <w:rStyle w:val="Style1"/>
        </w:rPr>
        <w:t>Satisfactory</w:t>
      </w:r>
      <w:r w:rsidRPr="00161EC6">
        <w:rPr>
          <w:b/>
          <w:bCs/>
        </w:rPr>
        <w:t>.</w:t>
      </w:r>
    </w:p>
    <w:p w14:paraId="069D1969" w14:textId="254B5FCD" w:rsidR="00FD7CFA" w:rsidRDefault="00FD7CFA" w:rsidP="00820FE2">
      <w:pPr>
        <w:rPr>
          <w:b/>
          <w:bCs/>
        </w:rPr>
      </w:pPr>
    </w:p>
    <w:p w14:paraId="78B0C9C1" w14:textId="49B52D3B" w:rsidR="00FD7CFA" w:rsidRPr="000D576B" w:rsidRDefault="00FD7CFA" w:rsidP="00FD7CFA">
      <w:pPr>
        <w:numPr>
          <w:ilvl w:val="0"/>
          <w:numId w:val="13"/>
        </w:numPr>
        <w:tabs>
          <w:tab w:val="clear" w:pos="360"/>
        </w:tabs>
        <w:ind w:left="720"/>
        <w:rPr>
          <w:snapToGrid w:val="0"/>
        </w:rPr>
        <w:sectPr w:rsidR="00FD7CFA" w:rsidRPr="000D576B" w:rsidSect="00A03CC1">
          <w:headerReference w:type="even" r:id="rId17"/>
          <w:headerReference w:type="default" r:id="rId18"/>
          <w:footerReference w:type="default" r:id="rId19"/>
          <w:headerReference w:type="first" r:id="rId20"/>
          <w:pgSz w:w="12240" w:h="15840"/>
          <w:pgMar w:top="1440" w:right="1440" w:bottom="1440" w:left="1440" w:header="720" w:footer="720" w:gutter="0"/>
          <w:pgNumType w:start="1"/>
          <w:cols w:space="720"/>
          <w:docGrid w:linePitch="360"/>
        </w:sectPr>
      </w:pPr>
      <w:r w:rsidRPr="000D576B">
        <w:rPr>
          <w:snapToGrid w:val="0"/>
        </w:rPr>
        <w:t>The institution demonstrated adequate responsiveness to the community needs in its assessment area through community development loans, qualified investments, and community development services.  Examiners considered the institution’s capacity and the need and availability of such opportunities in the assessment area</w:t>
      </w:r>
    </w:p>
    <w:p w14:paraId="57A6F3F8" w14:textId="77777777" w:rsidR="00FD7CFA" w:rsidRPr="00161EC6" w:rsidRDefault="00FD7CFA" w:rsidP="00820FE2"/>
    <w:p w14:paraId="559B2A97" w14:textId="77777777" w:rsidR="00CA3D0E" w:rsidRDefault="00CA3D0E" w:rsidP="00CA3D0E">
      <w:pPr>
        <w:jc w:val="center"/>
        <w:rPr>
          <w:b/>
          <w:bCs/>
          <w:sz w:val="28"/>
          <w:szCs w:val="28"/>
        </w:rPr>
      </w:pPr>
      <w:r w:rsidRPr="0095548F">
        <w:rPr>
          <w:b/>
          <w:bCs/>
          <w:sz w:val="28"/>
          <w:szCs w:val="28"/>
        </w:rPr>
        <w:t>SCOPE OF EVALUATION</w:t>
      </w:r>
    </w:p>
    <w:p w14:paraId="3CBDD57F" w14:textId="77777777" w:rsidR="00CA3D0E" w:rsidRPr="0095548F" w:rsidRDefault="00CA3D0E" w:rsidP="00CA3D0E">
      <w:pPr>
        <w:jc w:val="center"/>
        <w:rPr>
          <w:bCs/>
          <w:sz w:val="28"/>
          <w:szCs w:val="28"/>
        </w:rPr>
      </w:pPr>
    </w:p>
    <w:p w14:paraId="59B43F87" w14:textId="77777777" w:rsidR="00CA3D0E" w:rsidRPr="0095548F" w:rsidRDefault="00CA3D0E" w:rsidP="00CA3D0E">
      <w:pPr>
        <w:rPr>
          <w:b/>
          <w:bCs/>
          <w:iCs/>
          <w:u w:val="single"/>
        </w:rPr>
      </w:pPr>
      <w:r w:rsidRPr="0095548F">
        <w:rPr>
          <w:b/>
          <w:bCs/>
          <w:iCs/>
          <w:u w:val="single"/>
        </w:rPr>
        <w:t>General Information</w:t>
      </w:r>
    </w:p>
    <w:p w14:paraId="72F60870" w14:textId="77777777" w:rsidR="00CA3D0E" w:rsidRDefault="00CA3D0E" w:rsidP="00CA3D0E">
      <w:pPr>
        <w:rPr>
          <w:bCs/>
        </w:rPr>
      </w:pPr>
    </w:p>
    <w:p w14:paraId="63AEAE31" w14:textId="5A76F0DF" w:rsidR="00CA3D0E" w:rsidRDefault="00CA3D0E" w:rsidP="00CA3D0E">
      <w:pPr>
        <w:tabs>
          <w:tab w:val="left" w:pos="1260"/>
        </w:tabs>
      </w:pPr>
      <w:r>
        <w:rPr>
          <w:bCs/>
          <w:iCs/>
        </w:rPr>
        <w:t xml:space="preserve">This evaluation covers the period from the prior evaluation dated </w:t>
      </w:r>
      <w:r w:rsidR="006326B2">
        <w:rPr>
          <w:bCs/>
          <w:iCs/>
        </w:rPr>
        <w:t>August 6</w:t>
      </w:r>
      <w:r w:rsidR="00F55F7F">
        <w:rPr>
          <w:bCs/>
          <w:iCs/>
        </w:rPr>
        <w:t>, 2018</w:t>
      </w:r>
      <w:r>
        <w:rPr>
          <w:bCs/>
          <w:iCs/>
        </w:rPr>
        <w:t xml:space="preserve">, to the current evaluation dated </w:t>
      </w:r>
      <w:r w:rsidR="005C2DF8">
        <w:rPr>
          <w:bCs/>
          <w:iCs/>
        </w:rPr>
        <w:t>November 30</w:t>
      </w:r>
      <w:r w:rsidR="00F55F7F">
        <w:rPr>
          <w:bCs/>
          <w:iCs/>
        </w:rPr>
        <w:t>, 2020.</w:t>
      </w:r>
      <w:r>
        <w:rPr>
          <w:bCs/>
          <w:iCs/>
        </w:rPr>
        <w:t xml:space="preserve">  </w:t>
      </w:r>
      <w:r w:rsidRPr="00BE40A9">
        <w:t xml:space="preserve">Examiners used the Interagency Intermediate Small Institution Examination Procedures to evaluate </w:t>
      </w:r>
      <w:r w:rsidR="000D576B">
        <w:t xml:space="preserve">Northmark Bank’s </w:t>
      </w:r>
      <w:r w:rsidRPr="00BE40A9">
        <w:t xml:space="preserve">CRA performance. </w:t>
      </w:r>
      <w:r>
        <w:t xml:space="preserve"> </w:t>
      </w:r>
      <w:r w:rsidRPr="00BE40A9">
        <w:t xml:space="preserve">These procedures include two tests: </w:t>
      </w:r>
      <w:r w:rsidR="00F164A7">
        <w:t xml:space="preserve"> </w:t>
      </w:r>
      <w:r w:rsidRPr="00BE40A9">
        <w:t>the CRA Small Bank Lending Test and the Community Development Test.</w:t>
      </w:r>
    </w:p>
    <w:p w14:paraId="3F5D713B" w14:textId="77777777" w:rsidR="00CA3D0E" w:rsidRDefault="00CA3D0E" w:rsidP="00CA3D0E">
      <w:pPr>
        <w:tabs>
          <w:tab w:val="left" w:pos="1260"/>
        </w:tabs>
      </w:pPr>
    </w:p>
    <w:p w14:paraId="7ECDBFB1" w14:textId="77777777" w:rsidR="00CA3D0E" w:rsidRDefault="00CA3D0E" w:rsidP="00CA3D0E">
      <w:pPr>
        <w:pStyle w:val="Default"/>
        <w:rPr>
          <w:szCs w:val="23"/>
        </w:rPr>
      </w:pPr>
      <w:r w:rsidRPr="00FA426F">
        <w:rPr>
          <w:szCs w:val="23"/>
        </w:rPr>
        <w:t xml:space="preserve">The Lending Test considered the institution’s performance according to the following criteria. </w:t>
      </w:r>
    </w:p>
    <w:p w14:paraId="363FF2A5" w14:textId="77777777" w:rsidR="00CA3D0E" w:rsidRPr="00FA426F" w:rsidRDefault="00CA3D0E" w:rsidP="00CA3D0E">
      <w:pPr>
        <w:pStyle w:val="Default"/>
        <w:rPr>
          <w:szCs w:val="23"/>
        </w:rPr>
      </w:pPr>
    </w:p>
    <w:p w14:paraId="4E4C7BD5" w14:textId="77777777" w:rsidR="00CA3D0E" w:rsidRPr="00FA426F" w:rsidRDefault="00CA3D0E" w:rsidP="00CA3D0E">
      <w:pPr>
        <w:numPr>
          <w:ilvl w:val="0"/>
          <w:numId w:val="13"/>
        </w:numPr>
        <w:tabs>
          <w:tab w:val="clear" w:pos="360"/>
        </w:tabs>
        <w:ind w:left="720"/>
        <w:rPr>
          <w:snapToGrid w:val="0"/>
        </w:rPr>
      </w:pPr>
      <w:r w:rsidRPr="00FA426F">
        <w:rPr>
          <w:snapToGrid w:val="0"/>
        </w:rPr>
        <w:t xml:space="preserve">Loan-to-deposit ratio </w:t>
      </w:r>
    </w:p>
    <w:p w14:paraId="673776B0" w14:textId="77777777" w:rsidR="00CA3D0E" w:rsidRPr="00FA426F" w:rsidRDefault="00CA3D0E" w:rsidP="00CA3D0E">
      <w:pPr>
        <w:numPr>
          <w:ilvl w:val="0"/>
          <w:numId w:val="13"/>
        </w:numPr>
        <w:tabs>
          <w:tab w:val="clear" w:pos="360"/>
        </w:tabs>
        <w:ind w:left="720"/>
        <w:rPr>
          <w:snapToGrid w:val="0"/>
        </w:rPr>
      </w:pPr>
      <w:r w:rsidRPr="00FA426F">
        <w:rPr>
          <w:snapToGrid w:val="0"/>
        </w:rPr>
        <w:t xml:space="preserve">Assessment area concentration </w:t>
      </w:r>
    </w:p>
    <w:p w14:paraId="55D135BF" w14:textId="77777777" w:rsidR="00CA3D0E" w:rsidRPr="00FA426F" w:rsidRDefault="00CA3D0E" w:rsidP="00CA3D0E">
      <w:pPr>
        <w:numPr>
          <w:ilvl w:val="0"/>
          <w:numId w:val="13"/>
        </w:numPr>
        <w:tabs>
          <w:tab w:val="clear" w:pos="360"/>
        </w:tabs>
        <w:ind w:left="720"/>
        <w:rPr>
          <w:snapToGrid w:val="0"/>
        </w:rPr>
      </w:pPr>
      <w:r w:rsidRPr="00FA426F">
        <w:rPr>
          <w:snapToGrid w:val="0"/>
        </w:rPr>
        <w:t xml:space="preserve">Geographic distribution </w:t>
      </w:r>
    </w:p>
    <w:p w14:paraId="5607CB3C" w14:textId="77777777" w:rsidR="00CA3D0E" w:rsidRPr="00FA426F" w:rsidRDefault="00CA3D0E" w:rsidP="00CA3D0E">
      <w:pPr>
        <w:numPr>
          <w:ilvl w:val="0"/>
          <w:numId w:val="13"/>
        </w:numPr>
        <w:tabs>
          <w:tab w:val="clear" w:pos="360"/>
        </w:tabs>
        <w:ind w:left="720"/>
        <w:rPr>
          <w:snapToGrid w:val="0"/>
        </w:rPr>
      </w:pPr>
      <w:r w:rsidRPr="00FA426F">
        <w:rPr>
          <w:snapToGrid w:val="0"/>
        </w:rPr>
        <w:t xml:space="preserve">Borrower profile </w:t>
      </w:r>
    </w:p>
    <w:p w14:paraId="040C9764" w14:textId="77777777" w:rsidR="00CA3D0E" w:rsidRPr="00FA426F" w:rsidRDefault="00CA3D0E" w:rsidP="00CA3D0E">
      <w:pPr>
        <w:numPr>
          <w:ilvl w:val="0"/>
          <w:numId w:val="13"/>
        </w:numPr>
        <w:tabs>
          <w:tab w:val="clear" w:pos="360"/>
        </w:tabs>
        <w:ind w:left="720"/>
        <w:rPr>
          <w:snapToGrid w:val="0"/>
        </w:rPr>
      </w:pPr>
      <w:r w:rsidRPr="00FA426F">
        <w:rPr>
          <w:snapToGrid w:val="0"/>
        </w:rPr>
        <w:t xml:space="preserve">Response to CRA-related complaints </w:t>
      </w:r>
    </w:p>
    <w:p w14:paraId="72187B97" w14:textId="77777777" w:rsidR="00CA3D0E" w:rsidRPr="00730B7D" w:rsidRDefault="00CA3D0E" w:rsidP="00CA3D0E"/>
    <w:p w14:paraId="304A4CC3" w14:textId="77777777" w:rsidR="00CA3D0E" w:rsidRPr="00FA426F" w:rsidRDefault="00CA3D0E" w:rsidP="00CA3D0E">
      <w:pPr>
        <w:pStyle w:val="Default"/>
        <w:rPr>
          <w:szCs w:val="23"/>
        </w:rPr>
      </w:pPr>
      <w:r w:rsidRPr="00FA426F">
        <w:rPr>
          <w:szCs w:val="23"/>
        </w:rPr>
        <w:t xml:space="preserve">The Community Development Test considered the following factors. </w:t>
      </w:r>
    </w:p>
    <w:p w14:paraId="2D6FA6E3" w14:textId="77777777" w:rsidR="00CA3D0E" w:rsidRPr="00FA426F" w:rsidRDefault="00CA3D0E" w:rsidP="00CA3D0E">
      <w:pPr>
        <w:pStyle w:val="Default"/>
        <w:rPr>
          <w:szCs w:val="23"/>
        </w:rPr>
      </w:pPr>
    </w:p>
    <w:p w14:paraId="2F622856" w14:textId="77777777" w:rsidR="00CA3D0E" w:rsidRPr="00FA426F" w:rsidRDefault="00CA3D0E" w:rsidP="00CA3D0E">
      <w:pPr>
        <w:numPr>
          <w:ilvl w:val="0"/>
          <w:numId w:val="13"/>
        </w:numPr>
        <w:tabs>
          <w:tab w:val="clear" w:pos="360"/>
        </w:tabs>
        <w:ind w:left="720"/>
        <w:rPr>
          <w:snapToGrid w:val="0"/>
        </w:rPr>
      </w:pPr>
      <w:r w:rsidRPr="00FA426F">
        <w:rPr>
          <w:snapToGrid w:val="0"/>
        </w:rPr>
        <w:t>Number and dollar amount of community development loans, qualified investments</w:t>
      </w:r>
      <w:r>
        <w:rPr>
          <w:snapToGrid w:val="0"/>
        </w:rPr>
        <w:t>,</w:t>
      </w:r>
      <w:r w:rsidRPr="00FA426F">
        <w:rPr>
          <w:snapToGrid w:val="0"/>
        </w:rPr>
        <w:t xml:space="preserve"> and community development services </w:t>
      </w:r>
    </w:p>
    <w:p w14:paraId="63B224DC" w14:textId="77777777" w:rsidR="00CA3D0E" w:rsidRPr="00FA426F" w:rsidRDefault="00CA3D0E" w:rsidP="00CA3D0E">
      <w:pPr>
        <w:numPr>
          <w:ilvl w:val="0"/>
          <w:numId w:val="13"/>
        </w:numPr>
        <w:tabs>
          <w:tab w:val="clear" w:pos="360"/>
        </w:tabs>
        <w:ind w:left="720"/>
        <w:rPr>
          <w:snapToGrid w:val="0"/>
        </w:rPr>
      </w:pPr>
      <w:r w:rsidRPr="00FA426F">
        <w:rPr>
          <w:snapToGrid w:val="0"/>
        </w:rPr>
        <w:t xml:space="preserve">The responsiveness of such activities to the community development needs of the assessment area </w:t>
      </w:r>
    </w:p>
    <w:p w14:paraId="443CFFE9" w14:textId="77777777" w:rsidR="00CA3D0E" w:rsidRPr="00730B7D" w:rsidRDefault="00CA3D0E" w:rsidP="00CA3D0E"/>
    <w:p w14:paraId="73326E60" w14:textId="77777777" w:rsidR="00CA3D0E" w:rsidRDefault="00CA3D0E" w:rsidP="00CA3D0E">
      <w:pPr>
        <w:tabs>
          <w:tab w:val="left" w:pos="1260"/>
        </w:tabs>
      </w:pPr>
      <w:r w:rsidRPr="00621597">
        <w:t xml:space="preserve">Banks must achieve at least a Satisfactory rating under each test to obtain an overall Satisfactory rating. </w:t>
      </w:r>
      <w:r>
        <w:t xml:space="preserve"> </w:t>
      </w:r>
    </w:p>
    <w:p w14:paraId="70C145D1" w14:textId="77777777" w:rsidR="00CA3D0E" w:rsidRDefault="00CA3D0E" w:rsidP="00CA3D0E">
      <w:pPr>
        <w:rPr>
          <w:b/>
          <w:bCs/>
          <w:iCs/>
          <w:u w:val="single"/>
        </w:rPr>
      </w:pPr>
    </w:p>
    <w:p w14:paraId="41A06753" w14:textId="1095A0E0" w:rsidR="00CA3D0E" w:rsidRPr="0095548F" w:rsidRDefault="00601D74" w:rsidP="00CA3D0E">
      <w:pPr>
        <w:rPr>
          <w:b/>
          <w:bCs/>
          <w:iCs/>
          <w:u w:val="single"/>
        </w:rPr>
      </w:pPr>
      <w:r>
        <w:rPr>
          <w:b/>
          <w:bCs/>
          <w:iCs/>
          <w:u w:val="single"/>
        </w:rPr>
        <w:t>Loan Products</w:t>
      </w:r>
      <w:r w:rsidR="003A02D2">
        <w:rPr>
          <w:b/>
          <w:bCs/>
          <w:iCs/>
          <w:u w:val="single"/>
        </w:rPr>
        <w:t xml:space="preserve"> </w:t>
      </w:r>
      <w:r w:rsidR="00CA3D0E" w:rsidRPr="0095548F">
        <w:rPr>
          <w:b/>
          <w:bCs/>
          <w:iCs/>
          <w:u w:val="single"/>
        </w:rPr>
        <w:t>Reviewed</w:t>
      </w:r>
    </w:p>
    <w:p w14:paraId="41A8B37E" w14:textId="77777777" w:rsidR="00CA3D0E" w:rsidRDefault="00CA3D0E" w:rsidP="00CA3D0E"/>
    <w:p w14:paraId="7FFAC887" w14:textId="727EE128" w:rsidR="00CA3D0E" w:rsidRDefault="00CA3D0E" w:rsidP="00CA3D0E">
      <w:pPr>
        <w:tabs>
          <w:tab w:val="left" w:pos="1260"/>
        </w:tabs>
        <w:rPr>
          <w:bCs/>
          <w:iCs/>
        </w:rPr>
      </w:pPr>
      <w:r w:rsidRPr="00D90872">
        <w:rPr>
          <w:szCs w:val="28"/>
        </w:rPr>
        <w:t>Examiners determined that the bank’s major product line</w:t>
      </w:r>
      <w:r w:rsidR="00F55F7F">
        <w:rPr>
          <w:szCs w:val="28"/>
        </w:rPr>
        <w:t>s are</w:t>
      </w:r>
      <w:r w:rsidR="005C2DF8">
        <w:rPr>
          <w:szCs w:val="28"/>
        </w:rPr>
        <w:t xml:space="preserve"> home mortgage</w:t>
      </w:r>
      <w:r w:rsidR="00EA1F40">
        <w:rPr>
          <w:szCs w:val="28"/>
        </w:rPr>
        <w:t xml:space="preserve"> </w:t>
      </w:r>
      <w:r w:rsidR="00F55F7F">
        <w:rPr>
          <w:szCs w:val="28"/>
        </w:rPr>
        <w:t>and small business loans</w:t>
      </w:r>
      <w:r w:rsidRPr="00D90872">
        <w:rPr>
          <w:szCs w:val="28"/>
        </w:rPr>
        <w:t>.  This conclusion considered the bank’s business strategy</w:t>
      </w:r>
      <w:r>
        <w:rPr>
          <w:szCs w:val="28"/>
        </w:rPr>
        <w:t xml:space="preserve"> </w:t>
      </w:r>
      <w:r w:rsidRPr="00D90872">
        <w:rPr>
          <w:szCs w:val="28"/>
        </w:rPr>
        <w:t xml:space="preserve">and the number and dollar volume of loans originated during the evaluation period.  </w:t>
      </w:r>
      <w:r w:rsidR="005C2DF8">
        <w:rPr>
          <w:szCs w:val="28"/>
        </w:rPr>
        <w:t xml:space="preserve">As of September 30, 2020, </w:t>
      </w:r>
      <w:r w:rsidR="005C2DF8">
        <w:rPr>
          <w:bCs/>
          <w:iCs/>
        </w:rPr>
        <w:t>residential real estate</w:t>
      </w:r>
      <w:r w:rsidR="003A02D2">
        <w:rPr>
          <w:bCs/>
          <w:iCs/>
        </w:rPr>
        <w:t xml:space="preserve"> </w:t>
      </w:r>
      <w:r>
        <w:rPr>
          <w:bCs/>
          <w:iCs/>
        </w:rPr>
        <w:t>and multi-family loans</w:t>
      </w:r>
      <w:r w:rsidR="00601D74">
        <w:rPr>
          <w:bCs/>
          <w:iCs/>
        </w:rPr>
        <w:t xml:space="preserve"> </w:t>
      </w:r>
      <w:r>
        <w:rPr>
          <w:bCs/>
          <w:iCs/>
        </w:rPr>
        <w:t xml:space="preserve">represent </w:t>
      </w:r>
      <w:r w:rsidR="005C2DF8">
        <w:rPr>
          <w:bCs/>
          <w:iCs/>
        </w:rPr>
        <w:t>52.7</w:t>
      </w:r>
      <w:r>
        <w:rPr>
          <w:bCs/>
          <w:iCs/>
        </w:rPr>
        <w:t xml:space="preserve"> percent of </w:t>
      </w:r>
      <w:r w:rsidR="008E72C9">
        <w:rPr>
          <w:bCs/>
          <w:iCs/>
        </w:rPr>
        <w:t>Northmark Bank’</w:t>
      </w:r>
      <w:r>
        <w:rPr>
          <w:bCs/>
          <w:iCs/>
        </w:rPr>
        <w:t xml:space="preserve">s loan portfolio </w:t>
      </w:r>
      <w:r w:rsidR="005C2DF8">
        <w:rPr>
          <w:bCs/>
          <w:iCs/>
        </w:rPr>
        <w:t>and commercial loans represent 39.0 percent</w:t>
      </w:r>
      <w:r>
        <w:rPr>
          <w:bCs/>
          <w:iCs/>
        </w:rPr>
        <w:t xml:space="preserve">.  </w:t>
      </w:r>
    </w:p>
    <w:p w14:paraId="6E5E8D75" w14:textId="709073A0" w:rsidR="0001110C" w:rsidRDefault="0001110C" w:rsidP="00CA3D0E">
      <w:pPr>
        <w:tabs>
          <w:tab w:val="left" w:pos="1260"/>
        </w:tabs>
        <w:rPr>
          <w:bCs/>
          <w:iCs/>
        </w:rPr>
      </w:pPr>
    </w:p>
    <w:p w14:paraId="70B0C539" w14:textId="48B210DC" w:rsidR="0001110C" w:rsidRPr="00A106BC" w:rsidRDefault="0001110C" w:rsidP="00CA3D0E">
      <w:pPr>
        <w:tabs>
          <w:tab w:val="left" w:pos="1260"/>
        </w:tabs>
        <w:rPr>
          <w:bCs/>
          <w:iCs/>
        </w:rPr>
      </w:pPr>
      <w:r>
        <w:rPr>
          <w:bCs/>
          <w:iCs/>
        </w:rPr>
        <w:t xml:space="preserve">The bank’s record of originating home mortgage loans contributed more weight to overall conclusions due to the bank’s business strategy and larger loan volume when compared to </w:t>
      </w:r>
      <w:r w:rsidR="00C00B7E">
        <w:rPr>
          <w:bCs/>
          <w:iCs/>
        </w:rPr>
        <w:t>small business</w:t>
      </w:r>
      <w:r>
        <w:rPr>
          <w:bCs/>
          <w:iCs/>
        </w:rPr>
        <w:t xml:space="preserve"> lending during the </w:t>
      </w:r>
      <w:r w:rsidR="005C2DF8">
        <w:rPr>
          <w:bCs/>
          <w:iCs/>
        </w:rPr>
        <w:t>evaluation period</w:t>
      </w:r>
      <w:r>
        <w:rPr>
          <w:bCs/>
          <w:iCs/>
        </w:rPr>
        <w:t>.</w:t>
      </w:r>
      <w:r w:rsidR="00FD7CFA">
        <w:rPr>
          <w:bCs/>
          <w:iCs/>
        </w:rPr>
        <w:t xml:space="preserve">  </w:t>
      </w:r>
      <w:r w:rsidR="00C00B7E">
        <w:rPr>
          <w:bCs/>
          <w:iCs/>
        </w:rPr>
        <w:t>The bank did n</w:t>
      </w:r>
      <w:r w:rsidR="00FD7CFA" w:rsidRPr="003576D8">
        <w:rPr>
          <w:bCs/>
          <w:iCs/>
        </w:rPr>
        <w:t xml:space="preserve">ot </w:t>
      </w:r>
      <w:r w:rsidR="00C00B7E" w:rsidRPr="003576D8">
        <w:rPr>
          <w:bCs/>
          <w:iCs/>
        </w:rPr>
        <w:t>originate</w:t>
      </w:r>
      <w:r w:rsidR="00FD7CFA" w:rsidRPr="003576D8">
        <w:rPr>
          <w:bCs/>
          <w:iCs/>
        </w:rPr>
        <w:t xml:space="preserve"> a</w:t>
      </w:r>
      <w:r w:rsidR="00C00B7E">
        <w:rPr>
          <w:bCs/>
          <w:iCs/>
        </w:rPr>
        <w:t>ny</w:t>
      </w:r>
      <w:r w:rsidR="00FD7CFA" w:rsidRPr="003576D8">
        <w:rPr>
          <w:bCs/>
          <w:iCs/>
        </w:rPr>
        <w:t xml:space="preserve"> small farm loan</w:t>
      </w:r>
      <w:r w:rsidR="00C00B7E">
        <w:rPr>
          <w:bCs/>
          <w:iCs/>
        </w:rPr>
        <w:t>s</w:t>
      </w:r>
      <w:r w:rsidR="00FD7CFA">
        <w:rPr>
          <w:bCs/>
          <w:iCs/>
        </w:rPr>
        <w:t xml:space="preserve"> during the </w:t>
      </w:r>
      <w:r w:rsidR="00C00B7E">
        <w:rPr>
          <w:bCs/>
          <w:iCs/>
        </w:rPr>
        <w:t xml:space="preserve">evaluation period; therefore, this evaluation does not include an analysis of small farm loans.  </w:t>
      </w:r>
    </w:p>
    <w:p w14:paraId="52EBE87D" w14:textId="77777777" w:rsidR="00CA3D0E" w:rsidRPr="00A106BC" w:rsidRDefault="00CA3D0E" w:rsidP="00CA3D0E">
      <w:pPr>
        <w:tabs>
          <w:tab w:val="left" w:pos="1260"/>
        </w:tabs>
        <w:rPr>
          <w:b/>
          <w:szCs w:val="28"/>
        </w:rPr>
      </w:pPr>
    </w:p>
    <w:p w14:paraId="270D5DD2" w14:textId="5C039C55" w:rsidR="0001110C" w:rsidRPr="00C00B7E" w:rsidRDefault="00CA3D0E" w:rsidP="00C00B7E">
      <w:pPr>
        <w:pStyle w:val="Default"/>
        <w:rPr>
          <w:snapToGrid w:val="0"/>
          <w:lang w:eastAsia="x-none"/>
        </w:rPr>
      </w:pPr>
      <w:r w:rsidRPr="00A106BC">
        <w:rPr>
          <w:snapToGrid w:val="0"/>
          <w:lang w:eastAsia="x-none"/>
        </w:rPr>
        <w:t xml:space="preserve">This </w:t>
      </w:r>
      <w:r w:rsidR="0044396E" w:rsidRPr="00A106BC">
        <w:rPr>
          <w:snapToGrid w:val="0"/>
          <w:lang w:eastAsia="x-none"/>
        </w:rPr>
        <w:t xml:space="preserve">evaluation </w:t>
      </w:r>
      <w:r w:rsidR="0044396E">
        <w:rPr>
          <w:snapToGrid w:val="0"/>
          <w:lang w:eastAsia="x-none"/>
        </w:rPr>
        <w:t xml:space="preserve">analyzes </w:t>
      </w:r>
      <w:r w:rsidR="0044396E" w:rsidRPr="00A106BC">
        <w:rPr>
          <w:snapToGrid w:val="0"/>
          <w:lang w:eastAsia="x-none"/>
        </w:rPr>
        <w:t>all</w:t>
      </w:r>
      <w:r w:rsidRPr="00A106BC">
        <w:rPr>
          <w:snapToGrid w:val="0"/>
          <w:lang w:eastAsia="x-none"/>
        </w:rPr>
        <w:t xml:space="preserve"> home mortgage loans reported on the bank’s 201</w:t>
      </w:r>
      <w:r w:rsidR="0001110C" w:rsidRPr="00A106BC">
        <w:rPr>
          <w:snapToGrid w:val="0"/>
          <w:lang w:eastAsia="x-none"/>
        </w:rPr>
        <w:t>8</w:t>
      </w:r>
      <w:r w:rsidR="005C5B85" w:rsidRPr="00A106BC">
        <w:rPr>
          <w:snapToGrid w:val="0"/>
          <w:lang w:eastAsia="x-none"/>
        </w:rPr>
        <w:t>, 2019</w:t>
      </w:r>
      <w:r w:rsidR="003F5A31">
        <w:rPr>
          <w:snapToGrid w:val="0"/>
          <w:lang w:eastAsia="x-none"/>
        </w:rPr>
        <w:t>,</w:t>
      </w:r>
      <w:r w:rsidRPr="00A106BC">
        <w:rPr>
          <w:snapToGrid w:val="0"/>
          <w:lang w:eastAsia="x-none"/>
        </w:rPr>
        <w:t xml:space="preserve"> and </w:t>
      </w:r>
      <w:r w:rsidR="005C5B85" w:rsidRPr="00A106BC">
        <w:rPr>
          <w:snapToGrid w:val="0"/>
          <w:lang w:eastAsia="x-none"/>
        </w:rPr>
        <w:t>year-to-date June 30, 2020</w:t>
      </w:r>
      <w:r w:rsidRPr="00A106BC">
        <w:rPr>
          <w:snapToGrid w:val="0"/>
          <w:lang w:eastAsia="x-none"/>
        </w:rPr>
        <w:t xml:space="preserve"> H</w:t>
      </w:r>
      <w:r w:rsidR="00C00B7E">
        <w:rPr>
          <w:snapToGrid w:val="0"/>
          <w:lang w:eastAsia="x-none"/>
        </w:rPr>
        <w:t xml:space="preserve">ome </w:t>
      </w:r>
      <w:r w:rsidRPr="00A106BC">
        <w:rPr>
          <w:snapToGrid w:val="0"/>
          <w:lang w:eastAsia="x-none"/>
        </w:rPr>
        <w:t>M</w:t>
      </w:r>
      <w:r w:rsidR="00C00B7E">
        <w:rPr>
          <w:snapToGrid w:val="0"/>
          <w:lang w:eastAsia="x-none"/>
        </w:rPr>
        <w:t xml:space="preserve">ortgage </w:t>
      </w:r>
      <w:r w:rsidRPr="00A106BC">
        <w:rPr>
          <w:snapToGrid w:val="0"/>
          <w:lang w:eastAsia="x-none"/>
        </w:rPr>
        <w:t>D</w:t>
      </w:r>
      <w:r w:rsidR="00C00B7E">
        <w:rPr>
          <w:snapToGrid w:val="0"/>
          <w:lang w:eastAsia="x-none"/>
        </w:rPr>
        <w:t xml:space="preserve">isclosure </w:t>
      </w:r>
      <w:r w:rsidRPr="00A106BC">
        <w:rPr>
          <w:snapToGrid w:val="0"/>
          <w:lang w:eastAsia="x-none"/>
        </w:rPr>
        <w:t>A</w:t>
      </w:r>
      <w:r w:rsidR="00C00B7E">
        <w:rPr>
          <w:snapToGrid w:val="0"/>
          <w:lang w:eastAsia="x-none"/>
        </w:rPr>
        <w:t>ct (HMDA)</w:t>
      </w:r>
      <w:r w:rsidRPr="00A106BC">
        <w:rPr>
          <w:snapToGrid w:val="0"/>
          <w:lang w:eastAsia="x-none"/>
        </w:rPr>
        <w:t xml:space="preserve"> Loan Application Registers (LARs).  </w:t>
      </w:r>
      <w:r w:rsidR="0001110C" w:rsidRPr="00A106BC">
        <w:rPr>
          <w:snapToGrid w:val="0"/>
          <w:lang w:eastAsia="x-none"/>
        </w:rPr>
        <w:t>F</w:t>
      </w:r>
      <w:r w:rsidRPr="00A106BC">
        <w:rPr>
          <w:snapToGrid w:val="0"/>
          <w:lang w:eastAsia="x-none"/>
        </w:rPr>
        <w:t xml:space="preserve">or 2018, the bank reported </w:t>
      </w:r>
      <w:r w:rsidR="005C5B85" w:rsidRPr="00A106BC">
        <w:rPr>
          <w:snapToGrid w:val="0"/>
          <w:lang w:eastAsia="x-none"/>
        </w:rPr>
        <w:t>125</w:t>
      </w:r>
      <w:r w:rsidRPr="00A106BC">
        <w:rPr>
          <w:snapToGrid w:val="0"/>
          <w:lang w:eastAsia="x-none"/>
        </w:rPr>
        <w:t xml:space="preserve"> </w:t>
      </w:r>
      <w:r w:rsidR="00C00B7E">
        <w:rPr>
          <w:snapToGrid w:val="0"/>
          <w:lang w:eastAsia="x-none"/>
        </w:rPr>
        <w:t xml:space="preserve">home mortgage </w:t>
      </w:r>
      <w:r w:rsidRPr="00A106BC">
        <w:rPr>
          <w:snapToGrid w:val="0"/>
          <w:lang w:eastAsia="x-none"/>
        </w:rPr>
        <w:t>l</w:t>
      </w:r>
      <w:r w:rsidR="005C5B85" w:rsidRPr="00A106BC">
        <w:rPr>
          <w:snapToGrid w:val="0"/>
          <w:lang w:eastAsia="x-none"/>
        </w:rPr>
        <w:t>oans totaling approximately $71.3</w:t>
      </w:r>
      <w:r w:rsidRPr="00A106BC">
        <w:rPr>
          <w:snapToGrid w:val="0"/>
          <w:lang w:eastAsia="x-none"/>
        </w:rPr>
        <w:t xml:space="preserve"> </w:t>
      </w:r>
      <w:r w:rsidR="00C00B7E">
        <w:rPr>
          <w:snapToGrid w:val="0"/>
          <w:lang w:eastAsia="x-none"/>
        </w:rPr>
        <w:t>million.  F</w:t>
      </w:r>
      <w:r w:rsidRPr="00A106BC">
        <w:rPr>
          <w:snapToGrid w:val="0"/>
          <w:lang w:eastAsia="x-none"/>
        </w:rPr>
        <w:t xml:space="preserve">or 2019, the bank reported </w:t>
      </w:r>
      <w:r w:rsidR="005C5B85" w:rsidRPr="00A106BC">
        <w:rPr>
          <w:snapToGrid w:val="0"/>
          <w:lang w:eastAsia="x-none"/>
        </w:rPr>
        <w:t xml:space="preserve">152 </w:t>
      </w:r>
      <w:r w:rsidR="00C00B7E">
        <w:rPr>
          <w:snapToGrid w:val="0"/>
          <w:lang w:eastAsia="x-none"/>
        </w:rPr>
        <w:t xml:space="preserve">home mortgage </w:t>
      </w:r>
      <w:r w:rsidRPr="00A106BC">
        <w:rPr>
          <w:snapToGrid w:val="0"/>
          <w:lang w:eastAsia="x-none"/>
        </w:rPr>
        <w:t>loans totaling approximately $</w:t>
      </w:r>
      <w:r w:rsidR="005C5B85" w:rsidRPr="00A106BC">
        <w:rPr>
          <w:snapToGrid w:val="0"/>
          <w:lang w:eastAsia="x-none"/>
        </w:rPr>
        <w:t>73.0</w:t>
      </w:r>
      <w:r w:rsidRPr="00A106BC">
        <w:rPr>
          <w:snapToGrid w:val="0"/>
          <w:lang w:eastAsia="x-none"/>
        </w:rPr>
        <w:t xml:space="preserve"> million</w:t>
      </w:r>
      <w:r w:rsidR="00C00B7E">
        <w:rPr>
          <w:snapToGrid w:val="0"/>
          <w:lang w:eastAsia="x-none"/>
        </w:rPr>
        <w:t xml:space="preserve">. </w:t>
      </w:r>
      <w:r w:rsidR="00EA1F40">
        <w:rPr>
          <w:snapToGrid w:val="0"/>
          <w:lang w:eastAsia="x-none"/>
        </w:rPr>
        <w:t xml:space="preserve"> </w:t>
      </w:r>
      <w:r w:rsidR="00C00B7E">
        <w:rPr>
          <w:snapToGrid w:val="0"/>
          <w:lang w:eastAsia="x-none"/>
        </w:rPr>
        <w:t>F</w:t>
      </w:r>
      <w:r w:rsidR="005C5B85" w:rsidRPr="00A106BC">
        <w:rPr>
          <w:snapToGrid w:val="0"/>
          <w:lang w:eastAsia="x-none"/>
        </w:rPr>
        <w:t>or the first six months of 2020</w:t>
      </w:r>
      <w:r w:rsidR="00416FCC">
        <w:rPr>
          <w:snapToGrid w:val="0"/>
          <w:lang w:eastAsia="x-none"/>
        </w:rPr>
        <w:t>,</w:t>
      </w:r>
      <w:r w:rsidR="005C5B85" w:rsidRPr="00A106BC">
        <w:rPr>
          <w:snapToGrid w:val="0"/>
          <w:lang w:eastAsia="x-none"/>
        </w:rPr>
        <w:t xml:space="preserve"> the bank originated 152</w:t>
      </w:r>
      <w:r w:rsidR="00C00B7E">
        <w:rPr>
          <w:snapToGrid w:val="0"/>
          <w:lang w:eastAsia="x-none"/>
        </w:rPr>
        <w:t xml:space="preserve"> home mortgage</w:t>
      </w:r>
      <w:r w:rsidR="005C5B85" w:rsidRPr="00A106BC">
        <w:rPr>
          <w:snapToGrid w:val="0"/>
          <w:lang w:eastAsia="x-none"/>
        </w:rPr>
        <w:t xml:space="preserve"> loans totaling </w:t>
      </w:r>
      <w:r w:rsidR="00E56C45">
        <w:rPr>
          <w:snapToGrid w:val="0"/>
          <w:lang w:eastAsia="x-none"/>
        </w:rPr>
        <w:t>$72.3 million</w:t>
      </w:r>
      <w:r w:rsidR="00877C43">
        <w:rPr>
          <w:snapToGrid w:val="0"/>
          <w:lang w:eastAsia="x-none"/>
        </w:rPr>
        <w:t>.</w:t>
      </w:r>
      <w:r w:rsidR="00C00B7E" w:rsidRPr="00C00B7E">
        <w:rPr>
          <w:bCs/>
          <w:iCs/>
        </w:rPr>
        <w:t xml:space="preserve">  </w:t>
      </w:r>
      <w:r w:rsidR="00C00B7E">
        <w:rPr>
          <w:bCs/>
          <w:iCs/>
        </w:rPr>
        <w:t xml:space="preserve">Examiners compared the bank’s performance to </w:t>
      </w:r>
      <w:r w:rsidR="0001110C" w:rsidRPr="00A106BC">
        <w:rPr>
          <w:bCs/>
          <w:iCs/>
        </w:rPr>
        <w:t>2018 and 2019 aggregate data</w:t>
      </w:r>
      <w:r w:rsidR="00E56C45">
        <w:rPr>
          <w:bCs/>
          <w:iCs/>
        </w:rPr>
        <w:t>,</w:t>
      </w:r>
      <w:r w:rsidR="0001110C" w:rsidRPr="00A106BC">
        <w:rPr>
          <w:bCs/>
          <w:iCs/>
        </w:rPr>
        <w:t xml:space="preserve"> as well as </w:t>
      </w:r>
      <w:r w:rsidR="00C00B7E">
        <w:rPr>
          <w:bCs/>
          <w:iCs/>
        </w:rPr>
        <w:t>2015 American Community Survey (ACS) demographic data.</w:t>
      </w:r>
      <w:r w:rsidR="00DC50DE">
        <w:rPr>
          <w:bCs/>
          <w:iCs/>
        </w:rPr>
        <w:t xml:space="preserve">  Examiners also used 2015 ACS demographic data as a comparison for the bank’s 2020 lending performance, as aggregate data is not yet available for 2020.  </w:t>
      </w:r>
      <w:r w:rsidR="00C00B7E">
        <w:rPr>
          <w:bCs/>
          <w:iCs/>
        </w:rPr>
        <w:t xml:space="preserve"> </w:t>
      </w:r>
    </w:p>
    <w:p w14:paraId="46D5168F" w14:textId="77777777" w:rsidR="0001110C" w:rsidRPr="00A106BC" w:rsidRDefault="0001110C" w:rsidP="0001110C">
      <w:pPr>
        <w:tabs>
          <w:tab w:val="left" w:pos="1260"/>
        </w:tabs>
        <w:rPr>
          <w:bCs/>
          <w:iCs/>
        </w:rPr>
      </w:pPr>
    </w:p>
    <w:p w14:paraId="77CF3A8C" w14:textId="1653B857" w:rsidR="0001110C" w:rsidRDefault="0001110C" w:rsidP="0001110C">
      <w:pPr>
        <w:tabs>
          <w:tab w:val="left" w:pos="1260"/>
        </w:tabs>
        <w:rPr>
          <w:bCs/>
          <w:iCs/>
        </w:rPr>
      </w:pPr>
      <w:r w:rsidRPr="00A106BC">
        <w:rPr>
          <w:bCs/>
          <w:iCs/>
        </w:rPr>
        <w:t>As an intermediate small institution, the bank is not required to collect or report small bu</w:t>
      </w:r>
      <w:r w:rsidR="00DC50DE">
        <w:rPr>
          <w:bCs/>
          <w:iCs/>
        </w:rPr>
        <w:t>siness data.  However, the bank</w:t>
      </w:r>
      <w:r w:rsidRPr="00A106BC">
        <w:rPr>
          <w:bCs/>
          <w:iCs/>
        </w:rPr>
        <w:t xml:space="preserve"> c</w:t>
      </w:r>
      <w:r w:rsidR="000D576B">
        <w:rPr>
          <w:bCs/>
          <w:iCs/>
        </w:rPr>
        <w:t>ollect</w:t>
      </w:r>
      <w:r w:rsidR="007521E9">
        <w:rPr>
          <w:bCs/>
          <w:iCs/>
        </w:rPr>
        <w:t>ed</w:t>
      </w:r>
      <w:r w:rsidR="000D576B">
        <w:rPr>
          <w:bCs/>
          <w:iCs/>
        </w:rPr>
        <w:t xml:space="preserve"> small business data and examiners considered</w:t>
      </w:r>
      <w:r w:rsidRPr="00A106BC">
        <w:rPr>
          <w:bCs/>
          <w:iCs/>
        </w:rPr>
        <w:t xml:space="preserve"> </w:t>
      </w:r>
      <w:r w:rsidR="000D576B">
        <w:rPr>
          <w:bCs/>
          <w:iCs/>
        </w:rPr>
        <w:t>all</w:t>
      </w:r>
      <w:r w:rsidRPr="00A106BC">
        <w:rPr>
          <w:bCs/>
          <w:iCs/>
        </w:rPr>
        <w:t xml:space="preserve"> small business loans </w:t>
      </w:r>
      <w:r w:rsidR="000D576B">
        <w:rPr>
          <w:bCs/>
          <w:iCs/>
        </w:rPr>
        <w:t xml:space="preserve">in evaluating the bank’s performance under the Lending Test.  </w:t>
      </w:r>
      <w:r w:rsidR="00C00B7E">
        <w:rPr>
          <w:bCs/>
          <w:iCs/>
        </w:rPr>
        <w:t xml:space="preserve">In </w:t>
      </w:r>
      <w:r w:rsidRPr="00A106BC">
        <w:rPr>
          <w:bCs/>
          <w:iCs/>
        </w:rPr>
        <w:t xml:space="preserve">2018, the bank originated </w:t>
      </w:r>
      <w:r w:rsidR="00A106BC" w:rsidRPr="00A106BC">
        <w:rPr>
          <w:bCs/>
          <w:iCs/>
        </w:rPr>
        <w:t>60</w:t>
      </w:r>
      <w:r w:rsidRPr="00A106BC">
        <w:rPr>
          <w:bCs/>
          <w:iCs/>
        </w:rPr>
        <w:t xml:space="preserve"> small business loans totaling approximately $</w:t>
      </w:r>
      <w:r w:rsidR="00A106BC" w:rsidRPr="00A106BC">
        <w:rPr>
          <w:bCs/>
          <w:iCs/>
        </w:rPr>
        <w:t>10.1 m</w:t>
      </w:r>
      <w:r w:rsidRPr="00A106BC">
        <w:rPr>
          <w:bCs/>
          <w:iCs/>
        </w:rPr>
        <w:t>illion</w:t>
      </w:r>
      <w:r w:rsidR="00C00B7E">
        <w:rPr>
          <w:bCs/>
          <w:iCs/>
        </w:rPr>
        <w:t>.  In</w:t>
      </w:r>
      <w:r w:rsidR="000D576B">
        <w:rPr>
          <w:bCs/>
          <w:iCs/>
        </w:rPr>
        <w:t xml:space="preserve"> </w:t>
      </w:r>
      <w:r w:rsidRPr="00A106BC">
        <w:rPr>
          <w:bCs/>
          <w:iCs/>
        </w:rPr>
        <w:t xml:space="preserve">2019, the bank </w:t>
      </w:r>
      <w:r w:rsidR="00CE0ABC" w:rsidRPr="00A106BC">
        <w:rPr>
          <w:bCs/>
          <w:iCs/>
        </w:rPr>
        <w:t>originated</w:t>
      </w:r>
      <w:r w:rsidRPr="00A106BC">
        <w:rPr>
          <w:bCs/>
          <w:iCs/>
        </w:rPr>
        <w:t xml:space="preserve"> </w:t>
      </w:r>
      <w:r w:rsidR="00A106BC" w:rsidRPr="00A106BC">
        <w:rPr>
          <w:bCs/>
          <w:iCs/>
        </w:rPr>
        <w:t>77</w:t>
      </w:r>
      <w:r w:rsidRPr="00A106BC">
        <w:rPr>
          <w:bCs/>
          <w:iCs/>
        </w:rPr>
        <w:t xml:space="preserve"> small business loans totaling approximately $</w:t>
      </w:r>
      <w:r w:rsidR="00A106BC" w:rsidRPr="00A106BC">
        <w:rPr>
          <w:bCs/>
          <w:iCs/>
        </w:rPr>
        <w:t>10.6 m</w:t>
      </w:r>
      <w:r w:rsidR="0071543C" w:rsidRPr="00A106BC">
        <w:rPr>
          <w:bCs/>
          <w:iCs/>
        </w:rPr>
        <w:t>illion</w:t>
      </w:r>
      <w:r w:rsidR="000D576B">
        <w:rPr>
          <w:bCs/>
          <w:iCs/>
        </w:rPr>
        <w:t>.  In</w:t>
      </w:r>
      <w:r w:rsidR="00A106BC" w:rsidRPr="00A106BC">
        <w:rPr>
          <w:bCs/>
          <w:iCs/>
        </w:rPr>
        <w:t xml:space="preserve"> </w:t>
      </w:r>
      <w:r w:rsidR="000D576B">
        <w:rPr>
          <w:bCs/>
          <w:iCs/>
        </w:rPr>
        <w:t xml:space="preserve">first six months of 2020, </w:t>
      </w:r>
      <w:r w:rsidR="00A106BC" w:rsidRPr="00A106BC">
        <w:rPr>
          <w:bCs/>
          <w:iCs/>
        </w:rPr>
        <w:t>the bank originated 241 small business loans totaling approximately $32.6 million</w:t>
      </w:r>
      <w:r w:rsidRPr="00A106BC">
        <w:rPr>
          <w:bCs/>
          <w:iCs/>
        </w:rPr>
        <w:t xml:space="preserve">.  </w:t>
      </w:r>
      <w:r w:rsidR="00A106BC" w:rsidRPr="00A106BC">
        <w:rPr>
          <w:bCs/>
          <w:iCs/>
        </w:rPr>
        <w:t xml:space="preserve">The </w:t>
      </w:r>
      <w:r w:rsidR="000D576B">
        <w:rPr>
          <w:bCs/>
          <w:iCs/>
        </w:rPr>
        <w:t>significant</w:t>
      </w:r>
      <w:r w:rsidR="00A106BC" w:rsidRPr="00A106BC">
        <w:rPr>
          <w:bCs/>
          <w:iCs/>
        </w:rPr>
        <w:t xml:space="preserve"> increase </w:t>
      </w:r>
      <w:r w:rsidR="000D576B">
        <w:rPr>
          <w:bCs/>
          <w:iCs/>
        </w:rPr>
        <w:t xml:space="preserve">in volume in </w:t>
      </w:r>
      <w:r w:rsidR="0044396E">
        <w:rPr>
          <w:bCs/>
          <w:iCs/>
        </w:rPr>
        <w:t>2020</w:t>
      </w:r>
      <w:r w:rsidR="0044396E" w:rsidRPr="00A106BC">
        <w:rPr>
          <w:bCs/>
          <w:iCs/>
        </w:rPr>
        <w:t xml:space="preserve"> </w:t>
      </w:r>
      <w:r w:rsidR="0044396E">
        <w:rPr>
          <w:bCs/>
          <w:iCs/>
        </w:rPr>
        <w:t>resulted</w:t>
      </w:r>
      <w:r w:rsidR="000D576B">
        <w:rPr>
          <w:bCs/>
          <w:iCs/>
        </w:rPr>
        <w:t xml:space="preserve"> </w:t>
      </w:r>
      <w:r w:rsidR="003B6562">
        <w:rPr>
          <w:bCs/>
          <w:iCs/>
        </w:rPr>
        <w:t xml:space="preserve">from </w:t>
      </w:r>
      <w:r w:rsidR="00A106BC" w:rsidRPr="00A106BC">
        <w:rPr>
          <w:bCs/>
          <w:iCs/>
        </w:rPr>
        <w:t xml:space="preserve">the bank’s responsiveness to the pandemic </w:t>
      </w:r>
      <w:r w:rsidR="0044396E" w:rsidRPr="00A106BC">
        <w:rPr>
          <w:bCs/>
          <w:iCs/>
        </w:rPr>
        <w:t>and originating</w:t>
      </w:r>
      <w:r w:rsidR="0044396E">
        <w:rPr>
          <w:bCs/>
          <w:iCs/>
        </w:rPr>
        <w:t xml:space="preserve"> the</w:t>
      </w:r>
      <w:r w:rsidR="000D576B">
        <w:rPr>
          <w:bCs/>
          <w:iCs/>
        </w:rPr>
        <w:t xml:space="preserve"> Small Business Administration’s </w:t>
      </w:r>
      <w:r w:rsidR="003F5A31">
        <w:rPr>
          <w:bCs/>
          <w:iCs/>
        </w:rPr>
        <w:t xml:space="preserve">(SBA) </w:t>
      </w:r>
      <w:r w:rsidR="000D576B">
        <w:rPr>
          <w:bCs/>
          <w:iCs/>
        </w:rPr>
        <w:t>Payment Protection Program</w:t>
      </w:r>
      <w:r w:rsidR="00A106BC" w:rsidRPr="00A106BC">
        <w:rPr>
          <w:bCs/>
          <w:iCs/>
        </w:rPr>
        <w:t xml:space="preserve"> </w:t>
      </w:r>
      <w:r w:rsidR="000D576B">
        <w:rPr>
          <w:bCs/>
          <w:iCs/>
        </w:rPr>
        <w:t>(</w:t>
      </w:r>
      <w:r w:rsidR="000D576B" w:rsidRPr="00A106BC">
        <w:rPr>
          <w:bCs/>
          <w:iCs/>
        </w:rPr>
        <w:t>PPP)</w:t>
      </w:r>
      <w:r w:rsidR="000D576B">
        <w:rPr>
          <w:bCs/>
          <w:iCs/>
        </w:rPr>
        <w:t xml:space="preserve"> </w:t>
      </w:r>
      <w:r w:rsidR="00A106BC" w:rsidRPr="00A106BC">
        <w:rPr>
          <w:bCs/>
          <w:iCs/>
        </w:rPr>
        <w:t xml:space="preserve">loans.  </w:t>
      </w:r>
      <w:r w:rsidR="000D576B">
        <w:rPr>
          <w:bCs/>
          <w:iCs/>
        </w:rPr>
        <w:t xml:space="preserve">Since the bank did not report small business data, examiners did </w:t>
      </w:r>
      <w:r w:rsidR="0044396E">
        <w:rPr>
          <w:bCs/>
          <w:iCs/>
        </w:rPr>
        <w:t>not compare</w:t>
      </w:r>
      <w:r w:rsidR="005F509F">
        <w:rPr>
          <w:bCs/>
          <w:iCs/>
        </w:rPr>
        <w:t xml:space="preserve"> the bank’s </w:t>
      </w:r>
      <w:r w:rsidR="0044396E">
        <w:rPr>
          <w:bCs/>
          <w:iCs/>
        </w:rPr>
        <w:t>performance to</w:t>
      </w:r>
      <w:r w:rsidR="000D576B">
        <w:rPr>
          <w:bCs/>
          <w:iCs/>
        </w:rPr>
        <w:t xml:space="preserve"> aggregate data.  </w:t>
      </w:r>
      <w:r w:rsidRPr="00A106BC">
        <w:rPr>
          <w:bCs/>
          <w:iCs/>
        </w:rPr>
        <w:t xml:space="preserve">D&amp;B demographic data provided a standard of comparison for </w:t>
      </w:r>
      <w:r w:rsidR="000D576B">
        <w:rPr>
          <w:bCs/>
          <w:iCs/>
        </w:rPr>
        <w:t xml:space="preserve">small </w:t>
      </w:r>
      <w:r w:rsidR="00A106BC" w:rsidRPr="00A106BC">
        <w:rPr>
          <w:bCs/>
          <w:iCs/>
        </w:rPr>
        <w:t>business</w:t>
      </w:r>
      <w:r w:rsidRPr="00A106BC">
        <w:rPr>
          <w:bCs/>
          <w:iCs/>
        </w:rPr>
        <w:t xml:space="preserve"> </w:t>
      </w:r>
      <w:r w:rsidR="000D576B">
        <w:rPr>
          <w:bCs/>
          <w:iCs/>
        </w:rPr>
        <w:t>lending.</w:t>
      </w:r>
      <w:r>
        <w:rPr>
          <w:bCs/>
          <w:iCs/>
        </w:rPr>
        <w:t xml:space="preserve">  </w:t>
      </w:r>
    </w:p>
    <w:p w14:paraId="6405FB74" w14:textId="77777777" w:rsidR="0001110C" w:rsidRDefault="0001110C" w:rsidP="0001110C">
      <w:pPr>
        <w:tabs>
          <w:tab w:val="left" w:pos="1260"/>
        </w:tabs>
        <w:rPr>
          <w:bCs/>
          <w:iCs/>
        </w:rPr>
      </w:pPr>
    </w:p>
    <w:p w14:paraId="548C6EE0" w14:textId="257E51D4" w:rsidR="0001110C" w:rsidRDefault="00FD7CFA" w:rsidP="0001110C">
      <w:pPr>
        <w:tabs>
          <w:tab w:val="left" w:pos="1260"/>
        </w:tabs>
        <w:rPr>
          <w:bCs/>
          <w:iCs/>
        </w:rPr>
      </w:pPr>
      <w:r w:rsidRPr="0090709A">
        <w:rPr>
          <w:bCs/>
          <w:iCs/>
        </w:rPr>
        <w:t>For the Lending Test, examiners reviewed the number and dollar volume of home mortgage</w:t>
      </w:r>
      <w:r w:rsidR="00C00B7E">
        <w:rPr>
          <w:bCs/>
          <w:iCs/>
        </w:rPr>
        <w:t xml:space="preserve"> and small business loans</w:t>
      </w:r>
      <w:r w:rsidRPr="0090709A">
        <w:rPr>
          <w:bCs/>
          <w:iCs/>
        </w:rPr>
        <w:t xml:space="preserve">.  Although </w:t>
      </w:r>
      <w:r w:rsidR="00C00B7E">
        <w:rPr>
          <w:bCs/>
          <w:iCs/>
        </w:rPr>
        <w:t xml:space="preserve">the </w:t>
      </w:r>
      <w:r w:rsidRPr="0090709A">
        <w:rPr>
          <w:bCs/>
          <w:iCs/>
        </w:rPr>
        <w:t>number and dollar volume of loans are presented, examiners emphasized performance by number of loans because the number of loans is a bet</w:t>
      </w:r>
      <w:r>
        <w:rPr>
          <w:bCs/>
          <w:iCs/>
        </w:rPr>
        <w:t>ter indicator of the number of</w:t>
      </w:r>
      <w:r w:rsidRPr="0090709A">
        <w:rPr>
          <w:bCs/>
          <w:iCs/>
        </w:rPr>
        <w:t xml:space="preserve"> individuals </w:t>
      </w:r>
      <w:r w:rsidR="00C00B7E">
        <w:rPr>
          <w:bCs/>
          <w:iCs/>
        </w:rPr>
        <w:t xml:space="preserve">and businesses </w:t>
      </w:r>
      <w:r w:rsidRPr="0090709A">
        <w:rPr>
          <w:bCs/>
          <w:iCs/>
        </w:rPr>
        <w:t>served.</w:t>
      </w:r>
      <w:r w:rsidR="0001110C">
        <w:rPr>
          <w:bCs/>
          <w:iCs/>
        </w:rPr>
        <w:t xml:space="preserve">   </w:t>
      </w:r>
    </w:p>
    <w:p w14:paraId="2A866A22" w14:textId="77777777" w:rsidR="0001110C" w:rsidRDefault="0001110C" w:rsidP="0001110C">
      <w:pPr>
        <w:tabs>
          <w:tab w:val="left" w:pos="1260"/>
        </w:tabs>
        <w:rPr>
          <w:bCs/>
          <w:iCs/>
        </w:rPr>
      </w:pPr>
    </w:p>
    <w:p w14:paraId="3F42F095" w14:textId="4599B6A1" w:rsidR="00CA3D0E" w:rsidRDefault="0001110C" w:rsidP="0001110C">
      <w:pPr>
        <w:pStyle w:val="Default"/>
        <w:rPr>
          <w:snapToGrid w:val="0"/>
          <w:lang w:eastAsia="x-none"/>
        </w:rPr>
      </w:pPr>
      <w:r>
        <w:rPr>
          <w:bCs/>
          <w:iCs/>
        </w:rPr>
        <w:t xml:space="preserve">For the Community Development Test, bank management provided data on community development loans, qualified investments, and community development services since the prior CRA evaluation dated </w:t>
      </w:r>
      <w:r w:rsidR="006326B2">
        <w:rPr>
          <w:bCs/>
          <w:iCs/>
        </w:rPr>
        <w:t>August</w:t>
      </w:r>
      <w:r>
        <w:rPr>
          <w:bCs/>
          <w:iCs/>
        </w:rPr>
        <w:t xml:space="preserve"> </w:t>
      </w:r>
      <w:r w:rsidR="006326B2">
        <w:rPr>
          <w:bCs/>
          <w:iCs/>
        </w:rPr>
        <w:t>6</w:t>
      </w:r>
      <w:r>
        <w:rPr>
          <w:bCs/>
          <w:iCs/>
        </w:rPr>
        <w:t>, 2018</w:t>
      </w:r>
      <w:r w:rsidR="00E56C45">
        <w:rPr>
          <w:bCs/>
          <w:iCs/>
        </w:rPr>
        <w:t xml:space="preserve"> through the current evaluation date of November 30, 2020</w:t>
      </w:r>
      <w:r>
        <w:rPr>
          <w:bCs/>
          <w:iCs/>
        </w:rPr>
        <w:t>.</w:t>
      </w:r>
    </w:p>
    <w:p w14:paraId="0614508F" w14:textId="77777777" w:rsidR="00CA3D0E" w:rsidRDefault="00CA3D0E" w:rsidP="00CA3D0E">
      <w:pPr>
        <w:pStyle w:val="Default"/>
        <w:rPr>
          <w:snapToGrid w:val="0"/>
          <w:lang w:eastAsia="x-none"/>
        </w:rPr>
      </w:pPr>
    </w:p>
    <w:p w14:paraId="7B610378" w14:textId="5C17EAB6" w:rsidR="00446EF4" w:rsidRPr="00CA3D0E" w:rsidRDefault="00446EF4" w:rsidP="00CA3D0E">
      <w:pPr>
        <w:rPr>
          <w:bCs/>
          <w:iCs/>
        </w:rPr>
      </w:pPr>
    </w:p>
    <w:p w14:paraId="01E3851D" w14:textId="77777777" w:rsidR="001318E0" w:rsidRDefault="001318E0">
      <w:pPr>
        <w:rPr>
          <w:b/>
          <w:bCs/>
          <w:iCs/>
          <w:sz w:val="28"/>
          <w:szCs w:val="28"/>
        </w:rPr>
      </w:pPr>
      <w:r>
        <w:rPr>
          <w:b/>
          <w:bCs/>
          <w:iCs/>
          <w:sz w:val="28"/>
          <w:szCs w:val="28"/>
        </w:rPr>
        <w:br w:type="page"/>
      </w:r>
    </w:p>
    <w:p w14:paraId="3324B8BB" w14:textId="7CB68A45" w:rsidR="0095548F" w:rsidRPr="0095548F" w:rsidRDefault="0095548F" w:rsidP="0095548F">
      <w:pPr>
        <w:tabs>
          <w:tab w:val="left" w:pos="1260"/>
        </w:tabs>
        <w:jc w:val="center"/>
        <w:rPr>
          <w:b/>
          <w:bCs/>
          <w:iCs/>
          <w:sz w:val="28"/>
          <w:szCs w:val="28"/>
        </w:rPr>
      </w:pPr>
      <w:r w:rsidRPr="0095548F">
        <w:rPr>
          <w:b/>
          <w:bCs/>
          <w:iCs/>
          <w:sz w:val="28"/>
          <w:szCs w:val="28"/>
        </w:rPr>
        <w:t>DESCRIPTION OF INSTITUTION</w:t>
      </w:r>
    </w:p>
    <w:p w14:paraId="22CFAC63" w14:textId="77777777" w:rsidR="0095548F" w:rsidRDefault="0095548F" w:rsidP="0095548F">
      <w:pPr>
        <w:tabs>
          <w:tab w:val="left" w:pos="1260"/>
        </w:tabs>
        <w:jc w:val="center"/>
        <w:rPr>
          <w:b/>
          <w:bCs/>
          <w:iCs/>
          <w:sz w:val="28"/>
          <w:szCs w:val="28"/>
        </w:rPr>
      </w:pPr>
    </w:p>
    <w:p w14:paraId="6213F338" w14:textId="326690CC" w:rsidR="00601D74" w:rsidRPr="00E223B1" w:rsidRDefault="00601D74" w:rsidP="00196231">
      <w:pPr>
        <w:rPr>
          <w:b/>
          <w:bCs/>
          <w:iCs/>
          <w:color w:val="000000"/>
          <w:u w:val="single"/>
        </w:rPr>
      </w:pPr>
      <w:r>
        <w:rPr>
          <w:b/>
          <w:bCs/>
          <w:iCs/>
          <w:color w:val="000000"/>
          <w:u w:val="single"/>
        </w:rPr>
        <w:t>Background</w:t>
      </w:r>
    </w:p>
    <w:p w14:paraId="57648074" w14:textId="0EE33006" w:rsidR="002D316B" w:rsidRDefault="002D316B" w:rsidP="002D316B">
      <w:pPr>
        <w:tabs>
          <w:tab w:val="left" w:pos="1260"/>
        </w:tabs>
      </w:pPr>
      <w:r>
        <w:t>Northmark Bank</w:t>
      </w:r>
      <w:r w:rsidR="00CE1534" w:rsidRPr="0082284B">
        <w:t xml:space="preserve"> is</w:t>
      </w:r>
      <w:r w:rsidR="00CE1534">
        <w:t xml:space="preserve"> a</w:t>
      </w:r>
      <w:r>
        <w:t xml:space="preserve"> privately held, stock-owned institution, primarily engaged in residential and commercial real estate lending.  Northmark Bank is headquartered in North Andover, Massachusetts and operates in portions of Essex and Middlesex Counties.  </w:t>
      </w:r>
    </w:p>
    <w:p w14:paraId="5329F5EC" w14:textId="77777777" w:rsidR="002D316B" w:rsidRDefault="002D316B" w:rsidP="00452A26">
      <w:pPr>
        <w:tabs>
          <w:tab w:val="left" w:pos="1260"/>
        </w:tabs>
      </w:pPr>
    </w:p>
    <w:p w14:paraId="18F9CE51" w14:textId="4DD044C2" w:rsidR="00CE1534" w:rsidRDefault="00CE1534" w:rsidP="00452A26">
      <w:pPr>
        <w:tabs>
          <w:tab w:val="left" w:pos="1260"/>
        </w:tabs>
      </w:pPr>
      <w:r w:rsidRPr="0082284B">
        <w:t xml:space="preserve">The FDIC and Massachusetts Division of Banks assigned a </w:t>
      </w:r>
      <w:r w:rsidR="002D316B">
        <w:t xml:space="preserve">Needs to Improve </w:t>
      </w:r>
      <w:r w:rsidRPr="0082284B">
        <w:t>rating at its previous Perfor</w:t>
      </w:r>
      <w:r w:rsidR="002D316B">
        <w:t>mance Evaluation, dated August 6,</w:t>
      </w:r>
      <w:r>
        <w:t xml:space="preserve"> 2018</w:t>
      </w:r>
      <w:r w:rsidRPr="0082284B">
        <w:t>, based on Interagency Intermediate Small Institution Examination Procedures.</w:t>
      </w:r>
    </w:p>
    <w:p w14:paraId="1803497F" w14:textId="77777777" w:rsidR="00CE1534" w:rsidRDefault="00CE1534" w:rsidP="00452A26">
      <w:pPr>
        <w:tabs>
          <w:tab w:val="left" w:pos="1260"/>
        </w:tabs>
        <w:rPr>
          <w:b/>
          <w:bCs/>
          <w:iCs/>
          <w:sz w:val="28"/>
          <w:szCs w:val="28"/>
        </w:rPr>
      </w:pPr>
    </w:p>
    <w:p w14:paraId="2E5F5944" w14:textId="30704E58" w:rsidR="00601D74" w:rsidRPr="00E223B1" w:rsidRDefault="00601D74" w:rsidP="00452A26">
      <w:pPr>
        <w:tabs>
          <w:tab w:val="left" w:pos="1260"/>
        </w:tabs>
        <w:rPr>
          <w:b/>
          <w:bCs/>
          <w:iCs/>
          <w:u w:val="single"/>
        </w:rPr>
      </w:pPr>
      <w:r>
        <w:rPr>
          <w:b/>
          <w:bCs/>
          <w:iCs/>
          <w:u w:val="single"/>
        </w:rPr>
        <w:t>Operations</w:t>
      </w:r>
    </w:p>
    <w:p w14:paraId="4C41CEFD" w14:textId="50B6AD92" w:rsidR="002D316B" w:rsidRDefault="002D316B" w:rsidP="002D316B">
      <w:pPr>
        <w:pStyle w:val="QuickFormat1"/>
        <w:jc w:val="left"/>
        <w:rPr>
          <w:b w:val="0"/>
          <w:iCs/>
          <w:sz w:val="24"/>
          <w:szCs w:val="24"/>
          <w:lang w:val="en-US"/>
        </w:rPr>
      </w:pPr>
      <w:r>
        <w:rPr>
          <w:b w:val="0"/>
          <w:iCs/>
          <w:sz w:val="24"/>
          <w:szCs w:val="24"/>
          <w:lang w:val="en-US"/>
        </w:rPr>
        <w:t>Northmark Bank operates three full-service branches</w:t>
      </w:r>
      <w:r w:rsidR="003B6562">
        <w:rPr>
          <w:b w:val="0"/>
          <w:iCs/>
          <w:sz w:val="24"/>
          <w:szCs w:val="24"/>
          <w:lang w:val="en-US"/>
        </w:rPr>
        <w:t>.  Branches are</w:t>
      </w:r>
      <w:r>
        <w:rPr>
          <w:b w:val="0"/>
          <w:iCs/>
          <w:sz w:val="24"/>
          <w:szCs w:val="24"/>
          <w:lang w:val="en-US"/>
        </w:rPr>
        <w:t xml:space="preserve"> in North Andover and Andover in Essex County, and Winchester in Middlesex County.  The bank did not open or close any branches </w:t>
      </w:r>
      <w:r w:rsidR="00C00B7E">
        <w:rPr>
          <w:b w:val="0"/>
          <w:iCs/>
          <w:sz w:val="24"/>
          <w:szCs w:val="24"/>
          <w:lang w:val="en-US"/>
        </w:rPr>
        <w:t xml:space="preserve">or engage in any </w:t>
      </w:r>
      <w:r>
        <w:rPr>
          <w:b w:val="0"/>
          <w:iCs/>
          <w:sz w:val="24"/>
          <w:szCs w:val="24"/>
          <w:lang w:val="en-US"/>
        </w:rPr>
        <w:t>m</w:t>
      </w:r>
      <w:r w:rsidR="00C00B7E">
        <w:rPr>
          <w:b w:val="0"/>
          <w:iCs/>
          <w:sz w:val="24"/>
          <w:szCs w:val="24"/>
          <w:lang w:val="en-US"/>
        </w:rPr>
        <w:t>erger or acquisition activities</w:t>
      </w:r>
      <w:r>
        <w:rPr>
          <w:b w:val="0"/>
          <w:iCs/>
          <w:sz w:val="24"/>
          <w:szCs w:val="24"/>
          <w:lang w:val="en-US"/>
        </w:rPr>
        <w:t xml:space="preserve"> since the previous evaluation.  Each branch maintains a deposit-taking automated teller machine (ATM).  </w:t>
      </w:r>
      <w:r w:rsidR="00C00B7E">
        <w:rPr>
          <w:b w:val="0"/>
          <w:iCs/>
          <w:sz w:val="24"/>
          <w:szCs w:val="24"/>
          <w:lang w:val="en-US"/>
        </w:rPr>
        <w:t xml:space="preserve">In addition, </w:t>
      </w:r>
      <w:r>
        <w:rPr>
          <w:b w:val="0"/>
          <w:iCs/>
          <w:sz w:val="24"/>
          <w:szCs w:val="24"/>
          <w:lang w:val="en-US"/>
        </w:rPr>
        <w:t>Northmark Bank operates a stand-alone deposit-taking ATM in Methuen</w:t>
      </w:r>
      <w:r w:rsidR="00C00B7E">
        <w:rPr>
          <w:b w:val="0"/>
          <w:iCs/>
          <w:sz w:val="24"/>
          <w:szCs w:val="24"/>
          <w:lang w:val="en-US"/>
        </w:rPr>
        <w:t xml:space="preserve"> in Essex County</w:t>
      </w:r>
      <w:r>
        <w:rPr>
          <w:b w:val="0"/>
          <w:iCs/>
          <w:sz w:val="24"/>
          <w:szCs w:val="24"/>
          <w:lang w:val="en-US"/>
        </w:rPr>
        <w:t xml:space="preserve">.  </w:t>
      </w:r>
    </w:p>
    <w:p w14:paraId="13AE8BE4" w14:textId="77777777" w:rsidR="002D316B" w:rsidRDefault="002D316B" w:rsidP="002D316B">
      <w:pPr>
        <w:pStyle w:val="QuickFormat1"/>
        <w:jc w:val="left"/>
        <w:rPr>
          <w:b w:val="0"/>
          <w:iCs/>
          <w:sz w:val="24"/>
          <w:szCs w:val="24"/>
          <w:lang w:val="en-US"/>
        </w:rPr>
      </w:pPr>
    </w:p>
    <w:p w14:paraId="76CB7ED9" w14:textId="181FF04E" w:rsidR="002D316B" w:rsidRDefault="002D316B" w:rsidP="002D316B">
      <w:pPr>
        <w:pStyle w:val="QuickFormat1"/>
        <w:jc w:val="left"/>
        <w:rPr>
          <w:b w:val="0"/>
          <w:iCs/>
          <w:sz w:val="24"/>
          <w:szCs w:val="24"/>
          <w:lang w:val="en-US"/>
        </w:rPr>
      </w:pPr>
      <w:r>
        <w:rPr>
          <w:b w:val="0"/>
          <w:iCs/>
          <w:sz w:val="24"/>
          <w:szCs w:val="24"/>
          <w:lang w:val="en-US"/>
        </w:rPr>
        <w:t>Loan product offerings include residential mortgages</w:t>
      </w:r>
      <w:r w:rsidR="00C00B7E">
        <w:rPr>
          <w:b w:val="0"/>
          <w:iCs/>
          <w:sz w:val="24"/>
          <w:szCs w:val="24"/>
          <w:lang w:val="en-US"/>
        </w:rPr>
        <w:t>, home equity lines of credit</w:t>
      </w:r>
      <w:r>
        <w:rPr>
          <w:b w:val="0"/>
          <w:iCs/>
          <w:sz w:val="24"/>
          <w:szCs w:val="24"/>
          <w:lang w:val="en-US"/>
        </w:rPr>
        <w:t>, automobile loan</w:t>
      </w:r>
      <w:r w:rsidR="00C00B7E">
        <w:rPr>
          <w:b w:val="0"/>
          <w:iCs/>
          <w:sz w:val="24"/>
          <w:szCs w:val="24"/>
          <w:lang w:val="en-US"/>
        </w:rPr>
        <w:t>s, personal loans, business lines of credit</w:t>
      </w:r>
      <w:r>
        <w:rPr>
          <w:b w:val="0"/>
          <w:iCs/>
          <w:sz w:val="24"/>
          <w:szCs w:val="24"/>
          <w:lang w:val="en-US"/>
        </w:rPr>
        <w:t>, commercial real est</w:t>
      </w:r>
      <w:r w:rsidR="00C00B7E">
        <w:rPr>
          <w:b w:val="0"/>
          <w:iCs/>
          <w:sz w:val="24"/>
          <w:szCs w:val="24"/>
          <w:lang w:val="en-US"/>
        </w:rPr>
        <w:t xml:space="preserve">ate loans, and SBA </w:t>
      </w:r>
      <w:r>
        <w:rPr>
          <w:b w:val="0"/>
          <w:iCs/>
          <w:sz w:val="24"/>
          <w:szCs w:val="24"/>
          <w:lang w:val="en-US"/>
        </w:rPr>
        <w:t>loans.</w:t>
      </w:r>
    </w:p>
    <w:p w14:paraId="227A7CB6" w14:textId="56A73A20" w:rsidR="00CE1534" w:rsidRPr="00E56C45" w:rsidRDefault="002D316B" w:rsidP="002D316B">
      <w:pPr>
        <w:rPr>
          <w:iCs/>
        </w:rPr>
      </w:pPr>
      <w:r>
        <w:rPr>
          <w:iCs/>
        </w:rPr>
        <w:t>Deposit products include checking and savings accounts for consumers and businesses, certificates of deposit, money market deposit accounts, and individual retirement accounts</w:t>
      </w:r>
      <w:r w:rsidR="00E56C45">
        <w:rPr>
          <w:iCs/>
        </w:rPr>
        <w:t xml:space="preserve">.  </w:t>
      </w:r>
      <w:r>
        <w:rPr>
          <w:iCs/>
        </w:rPr>
        <w:t xml:space="preserve">Alternative banking services include online and mobile banking, mobile check deposit, </w:t>
      </w:r>
      <w:r w:rsidR="00520AA9">
        <w:rPr>
          <w:iCs/>
        </w:rPr>
        <w:t>remote deposit capture, bank</w:t>
      </w:r>
      <w:r>
        <w:rPr>
          <w:iCs/>
        </w:rPr>
        <w:t xml:space="preserve"> by mail</w:t>
      </w:r>
      <w:r w:rsidR="00520AA9">
        <w:rPr>
          <w:iCs/>
        </w:rPr>
        <w:t>, and telephone banking</w:t>
      </w:r>
      <w:r>
        <w:rPr>
          <w:iCs/>
        </w:rPr>
        <w:t>.  Northmark Bank also allows customers to make deposit transactions at a network of ATMs around the country through the NYCE Shared Deposit Program.</w:t>
      </w:r>
      <w:r w:rsidR="00520AA9">
        <w:rPr>
          <w:iCs/>
        </w:rPr>
        <w:t xml:space="preserve"> </w:t>
      </w:r>
    </w:p>
    <w:p w14:paraId="64AE1C86" w14:textId="77777777" w:rsidR="002D316B" w:rsidRDefault="002D316B" w:rsidP="00BA023D">
      <w:pPr>
        <w:tabs>
          <w:tab w:val="left" w:pos="1260"/>
        </w:tabs>
        <w:rPr>
          <w:b/>
          <w:bCs/>
          <w:iCs/>
          <w:u w:val="single"/>
        </w:rPr>
      </w:pPr>
    </w:p>
    <w:p w14:paraId="5F7A51A5" w14:textId="77111060" w:rsidR="00601D74" w:rsidRPr="00E223B1" w:rsidRDefault="00601D74" w:rsidP="00BA023D">
      <w:pPr>
        <w:tabs>
          <w:tab w:val="left" w:pos="1260"/>
        </w:tabs>
        <w:rPr>
          <w:b/>
          <w:bCs/>
          <w:iCs/>
          <w:u w:val="single"/>
        </w:rPr>
      </w:pPr>
      <w:r>
        <w:rPr>
          <w:b/>
          <w:bCs/>
          <w:iCs/>
          <w:u w:val="single"/>
        </w:rPr>
        <w:t>Ability and Capacity</w:t>
      </w:r>
    </w:p>
    <w:p w14:paraId="0C59FAB0" w14:textId="1E6E312F" w:rsidR="00CE1534" w:rsidRDefault="0092037B" w:rsidP="00CE1534">
      <w:r>
        <w:t xml:space="preserve">Northmark Bank’s </w:t>
      </w:r>
      <w:r w:rsidR="00CE1534" w:rsidRPr="0082284B">
        <w:t>a</w:t>
      </w:r>
      <w:r w:rsidR="00F03DB9">
        <w:t xml:space="preserve">ssets totaled </w:t>
      </w:r>
      <w:r w:rsidR="00F03DB9" w:rsidRPr="00DB3074">
        <w:t>approximately $417</w:t>
      </w:r>
      <w:r w:rsidR="00DB3074" w:rsidRPr="00DB3074">
        <w:t>.3</w:t>
      </w:r>
      <w:r w:rsidR="00CE1534" w:rsidRPr="00DB3074">
        <w:t xml:space="preserve"> million as of </w:t>
      </w:r>
      <w:r w:rsidR="00F03DB9" w:rsidRPr="00DB3074">
        <w:t>September 3</w:t>
      </w:r>
      <w:r w:rsidR="00CE1534" w:rsidRPr="00DB3074">
        <w:t>0, 2020, and included total loans of $</w:t>
      </w:r>
      <w:r w:rsidR="00F03DB9" w:rsidRPr="00DB3074">
        <w:t>321</w:t>
      </w:r>
      <w:r w:rsidR="00DB3074" w:rsidRPr="00DB3074">
        <w:t>.0</w:t>
      </w:r>
      <w:r w:rsidR="00E56C45">
        <w:t xml:space="preserve"> million and</w:t>
      </w:r>
      <w:r w:rsidR="00F03DB9" w:rsidRPr="00DB3074">
        <w:t xml:space="preserve"> securities of $</w:t>
      </w:r>
      <w:r w:rsidR="0049590F" w:rsidRPr="00DB3074">
        <w:t>27</w:t>
      </w:r>
      <w:r w:rsidR="00DB3074" w:rsidRPr="00DB3074">
        <w:t>.9</w:t>
      </w:r>
      <w:r w:rsidR="00CE1534" w:rsidRPr="00DB3074">
        <w:t xml:space="preserve"> million.  Total as</w:t>
      </w:r>
      <w:r w:rsidR="00DC0AB0" w:rsidRPr="00DB3074">
        <w:t xml:space="preserve">sets increased </w:t>
      </w:r>
      <w:r w:rsidR="00DB3074" w:rsidRPr="00DB3074">
        <w:t>approximately 19.6</w:t>
      </w:r>
      <w:r w:rsidR="00CE1534" w:rsidRPr="00DB3074">
        <w:t xml:space="preserve"> </w:t>
      </w:r>
      <w:r w:rsidR="00DB3074" w:rsidRPr="00DB3074">
        <w:t xml:space="preserve">percent </w:t>
      </w:r>
      <w:r w:rsidR="00CE1534" w:rsidRPr="00DB3074">
        <w:t xml:space="preserve">since the previous evaluation.  </w:t>
      </w:r>
      <w:r w:rsidR="00F03DB9" w:rsidRPr="00DB3074">
        <w:t>Northmark</w:t>
      </w:r>
      <w:r w:rsidR="000D576B" w:rsidRPr="00DB3074">
        <w:t xml:space="preserve"> Bank</w:t>
      </w:r>
      <w:r w:rsidR="00F03DB9" w:rsidRPr="00DB3074">
        <w:t>’s</w:t>
      </w:r>
      <w:r w:rsidR="00520AA9" w:rsidRPr="00DB3074">
        <w:t xml:space="preserve"> loan portfolio distribution</w:t>
      </w:r>
      <w:r w:rsidR="00CE1534" w:rsidRPr="00DB3074">
        <w:t xml:space="preserve"> reflects its residential lending focus and </w:t>
      </w:r>
      <w:r w:rsidR="00DB3074">
        <w:t>is</w:t>
      </w:r>
      <w:r w:rsidR="00CE1534" w:rsidRPr="00DB3074">
        <w:t xml:space="preserve"> consistent with the previous</w:t>
      </w:r>
      <w:r w:rsidR="00CE1534" w:rsidRPr="0082284B">
        <w:t xml:space="preserve"> evaluation.  The following table illustrates the loan portfolio.</w:t>
      </w:r>
      <w:r w:rsidR="00520AA9">
        <w:t xml:space="preserve"> </w:t>
      </w:r>
    </w:p>
    <w:p w14:paraId="72F2D753" w14:textId="77777777" w:rsidR="00CE1534" w:rsidRDefault="00CE1534" w:rsidP="00CE1534">
      <w:pPr>
        <w:rPr>
          <w:iCs/>
        </w:rPr>
      </w:pP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890"/>
        <w:gridCol w:w="1738"/>
      </w:tblGrid>
      <w:tr w:rsidR="00CE1534" w:rsidRPr="00D21A40" w14:paraId="2A4A2BCF" w14:textId="77777777" w:rsidTr="00CE1534">
        <w:trPr>
          <w:trHeight w:val="360"/>
          <w:tblHeader/>
          <w:jc w:val="center"/>
        </w:trPr>
        <w:tc>
          <w:tcPr>
            <w:tcW w:w="8668" w:type="dxa"/>
            <w:gridSpan w:val="3"/>
            <w:shd w:val="clear" w:color="auto" w:fill="auto"/>
            <w:vAlign w:val="center"/>
          </w:tcPr>
          <w:p w14:paraId="693B7D7E" w14:textId="3B72DF2A" w:rsidR="00CE1534" w:rsidRPr="00D21A40" w:rsidRDefault="00CE1534" w:rsidP="00F03DB9">
            <w:pPr>
              <w:keepNext/>
              <w:widowControl w:val="0"/>
              <w:spacing w:line="276" w:lineRule="auto"/>
              <w:jc w:val="center"/>
              <w:rPr>
                <w:b/>
                <w:sz w:val="20"/>
                <w:szCs w:val="20"/>
              </w:rPr>
            </w:pPr>
            <w:r w:rsidRPr="00D21A40">
              <w:rPr>
                <w:sz w:val="20"/>
                <w:szCs w:val="20"/>
              </w:rPr>
              <w:br w:type="page"/>
            </w:r>
            <w:r w:rsidRPr="00D21A40">
              <w:rPr>
                <w:sz w:val="20"/>
                <w:szCs w:val="20"/>
              </w:rPr>
              <w:br w:type="page"/>
            </w:r>
            <w:r w:rsidRPr="00D21A40">
              <w:rPr>
                <w:sz w:val="20"/>
                <w:szCs w:val="20"/>
              </w:rPr>
              <w:br w:type="page"/>
            </w:r>
            <w:r w:rsidRPr="00D21A40">
              <w:rPr>
                <w:b/>
                <w:sz w:val="20"/>
                <w:szCs w:val="20"/>
              </w:rPr>
              <w:br w:type="page"/>
              <w:t xml:space="preserve">Loan Portfolio Distribution as of </w:t>
            </w:r>
            <w:r w:rsidR="00F03DB9">
              <w:rPr>
                <w:b/>
                <w:sz w:val="20"/>
                <w:szCs w:val="20"/>
              </w:rPr>
              <w:t>9</w:t>
            </w:r>
            <w:r w:rsidRPr="00D21A40">
              <w:rPr>
                <w:b/>
                <w:sz w:val="20"/>
                <w:szCs w:val="20"/>
              </w:rPr>
              <w:t>/</w:t>
            </w:r>
            <w:r>
              <w:rPr>
                <w:b/>
                <w:sz w:val="20"/>
                <w:szCs w:val="20"/>
              </w:rPr>
              <w:t>30</w:t>
            </w:r>
            <w:r w:rsidRPr="00D21A40">
              <w:rPr>
                <w:b/>
                <w:sz w:val="20"/>
                <w:szCs w:val="20"/>
              </w:rPr>
              <w:t>/</w:t>
            </w:r>
            <w:r>
              <w:rPr>
                <w:b/>
                <w:sz w:val="20"/>
                <w:szCs w:val="20"/>
              </w:rPr>
              <w:t>2020</w:t>
            </w:r>
          </w:p>
        </w:tc>
      </w:tr>
      <w:tr w:rsidR="00CE1534" w:rsidRPr="00D21A40" w14:paraId="120B012C" w14:textId="77777777" w:rsidTr="00CE1534">
        <w:trPr>
          <w:trHeight w:val="288"/>
          <w:jc w:val="center"/>
        </w:trPr>
        <w:tc>
          <w:tcPr>
            <w:tcW w:w="5040" w:type="dxa"/>
            <w:shd w:val="clear" w:color="auto" w:fill="auto"/>
            <w:vAlign w:val="center"/>
          </w:tcPr>
          <w:p w14:paraId="7A7F604A" w14:textId="77777777" w:rsidR="00CE1534" w:rsidRPr="00D21A40" w:rsidRDefault="00CE1534" w:rsidP="00CE1534">
            <w:pPr>
              <w:keepNext/>
              <w:widowControl w:val="0"/>
              <w:rPr>
                <w:b/>
                <w:sz w:val="20"/>
              </w:rPr>
            </w:pPr>
            <w:r w:rsidRPr="00D21A40">
              <w:rPr>
                <w:b/>
                <w:sz w:val="20"/>
              </w:rPr>
              <w:t>Loan Category</w:t>
            </w:r>
          </w:p>
        </w:tc>
        <w:tc>
          <w:tcPr>
            <w:tcW w:w="1890" w:type="dxa"/>
            <w:shd w:val="clear" w:color="auto" w:fill="auto"/>
            <w:vAlign w:val="center"/>
          </w:tcPr>
          <w:p w14:paraId="039DEAA7" w14:textId="77777777" w:rsidR="00CE1534" w:rsidRPr="00D21A40" w:rsidRDefault="00CE1534" w:rsidP="00CE1534">
            <w:pPr>
              <w:keepNext/>
              <w:widowControl w:val="0"/>
              <w:jc w:val="center"/>
              <w:rPr>
                <w:b/>
                <w:sz w:val="20"/>
              </w:rPr>
            </w:pPr>
            <w:r w:rsidRPr="00D21A40">
              <w:rPr>
                <w:b/>
                <w:sz w:val="20"/>
              </w:rPr>
              <w:t>$(000s)</w:t>
            </w:r>
          </w:p>
        </w:tc>
        <w:tc>
          <w:tcPr>
            <w:tcW w:w="1738" w:type="dxa"/>
            <w:shd w:val="clear" w:color="auto" w:fill="auto"/>
            <w:vAlign w:val="center"/>
          </w:tcPr>
          <w:p w14:paraId="5C3FAE35" w14:textId="77777777" w:rsidR="00CE1534" w:rsidRPr="00D21A40" w:rsidRDefault="00CE1534" w:rsidP="00CE1534">
            <w:pPr>
              <w:keepNext/>
              <w:widowControl w:val="0"/>
              <w:jc w:val="center"/>
              <w:rPr>
                <w:b/>
                <w:sz w:val="20"/>
              </w:rPr>
            </w:pPr>
            <w:r w:rsidRPr="00D21A40">
              <w:rPr>
                <w:b/>
                <w:sz w:val="20"/>
              </w:rPr>
              <w:t>%</w:t>
            </w:r>
          </w:p>
        </w:tc>
      </w:tr>
      <w:tr w:rsidR="00CE1534" w:rsidRPr="00D21A40" w14:paraId="3E61B2A9" w14:textId="77777777" w:rsidTr="00CE1534">
        <w:trPr>
          <w:trHeight w:val="288"/>
          <w:jc w:val="center"/>
        </w:trPr>
        <w:tc>
          <w:tcPr>
            <w:tcW w:w="5040" w:type="dxa"/>
            <w:shd w:val="clear" w:color="auto" w:fill="auto"/>
            <w:vAlign w:val="center"/>
          </w:tcPr>
          <w:p w14:paraId="4B38A743" w14:textId="77777777" w:rsidR="00CE1534" w:rsidRPr="00D21A40" w:rsidRDefault="00CE1534" w:rsidP="00CE1534">
            <w:pPr>
              <w:keepNext/>
              <w:widowControl w:val="0"/>
              <w:rPr>
                <w:sz w:val="20"/>
              </w:rPr>
            </w:pPr>
            <w:r w:rsidRPr="00D21A40">
              <w:rPr>
                <w:sz w:val="20"/>
              </w:rPr>
              <w:t>Construction, Land Development, and Other Land Loans</w:t>
            </w:r>
          </w:p>
        </w:tc>
        <w:tc>
          <w:tcPr>
            <w:tcW w:w="1890" w:type="dxa"/>
            <w:shd w:val="clear" w:color="auto" w:fill="auto"/>
            <w:vAlign w:val="center"/>
          </w:tcPr>
          <w:p w14:paraId="57758A9B" w14:textId="1BEDFDA3" w:rsidR="00CE1534" w:rsidRPr="00D21A40" w:rsidRDefault="00F03DB9" w:rsidP="00CE1534">
            <w:pPr>
              <w:keepNext/>
              <w:widowControl w:val="0"/>
              <w:jc w:val="center"/>
              <w:rPr>
                <w:sz w:val="20"/>
              </w:rPr>
            </w:pPr>
            <w:r>
              <w:rPr>
                <w:sz w:val="20"/>
              </w:rPr>
              <w:t>24</w:t>
            </w:r>
            <w:r w:rsidR="0024111E">
              <w:rPr>
                <w:sz w:val="20"/>
              </w:rPr>
              <w:t>,526</w:t>
            </w:r>
          </w:p>
        </w:tc>
        <w:tc>
          <w:tcPr>
            <w:tcW w:w="1738" w:type="dxa"/>
            <w:shd w:val="clear" w:color="auto" w:fill="auto"/>
            <w:vAlign w:val="center"/>
          </w:tcPr>
          <w:p w14:paraId="53535145" w14:textId="5E268B88" w:rsidR="00CE1534" w:rsidRPr="00D21A40" w:rsidRDefault="0024111E" w:rsidP="00CE1534">
            <w:pPr>
              <w:keepNext/>
              <w:widowControl w:val="0"/>
              <w:jc w:val="center"/>
              <w:rPr>
                <w:sz w:val="20"/>
              </w:rPr>
            </w:pPr>
            <w:r>
              <w:rPr>
                <w:sz w:val="20"/>
              </w:rPr>
              <w:t>7.6</w:t>
            </w:r>
          </w:p>
        </w:tc>
      </w:tr>
      <w:tr w:rsidR="00CE1534" w:rsidRPr="00D21A40" w14:paraId="71979A50" w14:textId="77777777" w:rsidTr="00CE1534">
        <w:trPr>
          <w:trHeight w:val="288"/>
          <w:jc w:val="center"/>
        </w:trPr>
        <w:tc>
          <w:tcPr>
            <w:tcW w:w="5040" w:type="dxa"/>
            <w:shd w:val="clear" w:color="auto" w:fill="auto"/>
            <w:vAlign w:val="center"/>
          </w:tcPr>
          <w:p w14:paraId="450FDB21" w14:textId="77777777" w:rsidR="00CE1534" w:rsidRPr="00D21A40" w:rsidRDefault="00CE1534" w:rsidP="00CE1534">
            <w:pPr>
              <w:keepNext/>
              <w:widowControl w:val="0"/>
              <w:rPr>
                <w:sz w:val="20"/>
              </w:rPr>
            </w:pPr>
            <w:r w:rsidRPr="00D21A40">
              <w:rPr>
                <w:sz w:val="20"/>
              </w:rPr>
              <w:t>Secured by Farmland</w:t>
            </w:r>
          </w:p>
        </w:tc>
        <w:tc>
          <w:tcPr>
            <w:tcW w:w="1890" w:type="dxa"/>
            <w:shd w:val="clear" w:color="auto" w:fill="auto"/>
            <w:vAlign w:val="center"/>
          </w:tcPr>
          <w:p w14:paraId="0C5663BF" w14:textId="1E5099D0" w:rsidR="00CE1534" w:rsidRPr="00D21A40" w:rsidRDefault="0024111E" w:rsidP="00CE1534">
            <w:pPr>
              <w:keepNext/>
              <w:widowControl w:val="0"/>
              <w:jc w:val="center"/>
              <w:rPr>
                <w:sz w:val="20"/>
              </w:rPr>
            </w:pPr>
            <w:r>
              <w:rPr>
                <w:sz w:val="20"/>
              </w:rPr>
              <w:t>0</w:t>
            </w:r>
          </w:p>
        </w:tc>
        <w:tc>
          <w:tcPr>
            <w:tcW w:w="1738" w:type="dxa"/>
            <w:shd w:val="clear" w:color="auto" w:fill="auto"/>
            <w:vAlign w:val="center"/>
          </w:tcPr>
          <w:p w14:paraId="693D594C" w14:textId="08A34474" w:rsidR="00CE1534" w:rsidRPr="00D21A40" w:rsidRDefault="0024111E" w:rsidP="00CE1534">
            <w:pPr>
              <w:keepNext/>
              <w:widowControl w:val="0"/>
              <w:jc w:val="center"/>
              <w:rPr>
                <w:sz w:val="20"/>
              </w:rPr>
            </w:pPr>
            <w:r>
              <w:rPr>
                <w:sz w:val="20"/>
              </w:rPr>
              <w:t>0.0</w:t>
            </w:r>
          </w:p>
        </w:tc>
      </w:tr>
      <w:tr w:rsidR="00CE1534" w:rsidRPr="00D21A40" w14:paraId="4F1DE338" w14:textId="77777777" w:rsidTr="00CE1534">
        <w:trPr>
          <w:trHeight w:val="288"/>
          <w:jc w:val="center"/>
        </w:trPr>
        <w:tc>
          <w:tcPr>
            <w:tcW w:w="5040" w:type="dxa"/>
            <w:shd w:val="clear" w:color="auto" w:fill="auto"/>
            <w:vAlign w:val="center"/>
          </w:tcPr>
          <w:p w14:paraId="6007E9DE" w14:textId="77777777" w:rsidR="00CE1534" w:rsidRPr="00D21A40" w:rsidRDefault="00CE1534" w:rsidP="00CE1534">
            <w:pPr>
              <w:keepNext/>
              <w:widowControl w:val="0"/>
              <w:rPr>
                <w:sz w:val="20"/>
              </w:rPr>
            </w:pPr>
            <w:r w:rsidRPr="00D21A40">
              <w:rPr>
                <w:sz w:val="20"/>
              </w:rPr>
              <w:t>Secured by 1-4 Family Residential Properties</w:t>
            </w:r>
          </w:p>
        </w:tc>
        <w:tc>
          <w:tcPr>
            <w:tcW w:w="1890" w:type="dxa"/>
            <w:shd w:val="clear" w:color="auto" w:fill="auto"/>
            <w:vAlign w:val="center"/>
          </w:tcPr>
          <w:p w14:paraId="2AA3DEC3" w14:textId="6B00B4FD" w:rsidR="00CE1534" w:rsidRPr="00D21A40" w:rsidRDefault="0024111E" w:rsidP="00CE1534">
            <w:pPr>
              <w:keepNext/>
              <w:widowControl w:val="0"/>
              <w:jc w:val="center"/>
              <w:rPr>
                <w:sz w:val="20"/>
              </w:rPr>
            </w:pPr>
            <w:r>
              <w:rPr>
                <w:sz w:val="20"/>
              </w:rPr>
              <w:t>157,842</w:t>
            </w:r>
          </w:p>
        </w:tc>
        <w:tc>
          <w:tcPr>
            <w:tcW w:w="1738" w:type="dxa"/>
            <w:shd w:val="clear" w:color="auto" w:fill="auto"/>
            <w:vAlign w:val="center"/>
          </w:tcPr>
          <w:p w14:paraId="6BA5B501" w14:textId="38BAC16C" w:rsidR="00CE1534" w:rsidRPr="00D21A40" w:rsidRDefault="0024111E" w:rsidP="00CE1534">
            <w:pPr>
              <w:keepNext/>
              <w:widowControl w:val="0"/>
              <w:jc w:val="center"/>
              <w:rPr>
                <w:sz w:val="20"/>
              </w:rPr>
            </w:pPr>
            <w:r>
              <w:rPr>
                <w:sz w:val="20"/>
              </w:rPr>
              <w:t>49.2</w:t>
            </w:r>
          </w:p>
        </w:tc>
      </w:tr>
      <w:tr w:rsidR="00CE1534" w:rsidRPr="00D21A40" w14:paraId="156537E1" w14:textId="77777777" w:rsidTr="00CE1534">
        <w:trPr>
          <w:trHeight w:val="288"/>
          <w:jc w:val="center"/>
        </w:trPr>
        <w:tc>
          <w:tcPr>
            <w:tcW w:w="5040" w:type="dxa"/>
            <w:shd w:val="clear" w:color="auto" w:fill="auto"/>
            <w:vAlign w:val="center"/>
          </w:tcPr>
          <w:p w14:paraId="48A2BEEC" w14:textId="77777777" w:rsidR="00CE1534" w:rsidRPr="00D21A40" w:rsidRDefault="00CE1534" w:rsidP="00CE1534">
            <w:pPr>
              <w:keepNext/>
              <w:widowControl w:val="0"/>
              <w:rPr>
                <w:sz w:val="20"/>
              </w:rPr>
            </w:pPr>
            <w:r w:rsidRPr="00D21A40">
              <w:rPr>
                <w:sz w:val="20"/>
              </w:rPr>
              <w:t>Secured by Multifamily (5 or more) Residential Properties</w:t>
            </w:r>
          </w:p>
        </w:tc>
        <w:tc>
          <w:tcPr>
            <w:tcW w:w="1890" w:type="dxa"/>
            <w:shd w:val="clear" w:color="auto" w:fill="auto"/>
            <w:vAlign w:val="center"/>
          </w:tcPr>
          <w:p w14:paraId="26834CF0" w14:textId="3EA1863D" w:rsidR="00CE1534" w:rsidRPr="00D21A40" w:rsidRDefault="0024111E" w:rsidP="00CE1534">
            <w:pPr>
              <w:keepNext/>
              <w:widowControl w:val="0"/>
              <w:jc w:val="center"/>
              <w:rPr>
                <w:sz w:val="20"/>
              </w:rPr>
            </w:pPr>
            <w:r>
              <w:rPr>
                <w:sz w:val="20"/>
              </w:rPr>
              <w:t>11,289</w:t>
            </w:r>
          </w:p>
        </w:tc>
        <w:tc>
          <w:tcPr>
            <w:tcW w:w="1738" w:type="dxa"/>
            <w:shd w:val="clear" w:color="auto" w:fill="auto"/>
            <w:vAlign w:val="center"/>
          </w:tcPr>
          <w:p w14:paraId="162B4791" w14:textId="2AAFDC63" w:rsidR="00CE1534" w:rsidRPr="00D21A40" w:rsidRDefault="0024111E" w:rsidP="00CE1534">
            <w:pPr>
              <w:keepNext/>
              <w:widowControl w:val="0"/>
              <w:jc w:val="center"/>
              <w:rPr>
                <w:sz w:val="20"/>
              </w:rPr>
            </w:pPr>
            <w:r>
              <w:rPr>
                <w:sz w:val="20"/>
              </w:rPr>
              <w:t>3.5</w:t>
            </w:r>
          </w:p>
        </w:tc>
      </w:tr>
      <w:tr w:rsidR="00CE1534" w:rsidRPr="00D21A40" w14:paraId="41A85B57" w14:textId="77777777" w:rsidTr="00CE1534">
        <w:trPr>
          <w:trHeight w:val="288"/>
          <w:jc w:val="center"/>
        </w:trPr>
        <w:tc>
          <w:tcPr>
            <w:tcW w:w="5040" w:type="dxa"/>
            <w:shd w:val="clear" w:color="auto" w:fill="auto"/>
            <w:vAlign w:val="center"/>
          </w:tcPr>
          <w:p w14:paraId="671D8109" w14:textId="77777777" w:rsidR="00CE1534" w:rsidRPr="00D21A40" w:rsidRDefault="00CE1534" w:rsidP="00CE1534">
            <w:pPr>
              <w:keepNext/>
              <w:widowControl w:val="0"/>
              <w:rPr>
                <w:sz w:val="20"/>
              </w:rPr>
            </w:pPr>
            <w:r w:rsidRPr="00D21A40">
              <w:rPr>
                <w:sz w:val="20"/>
              </w:rPr>
              <w:t>Secured by Nonfarm Nonresidential Properties</w:t>
            </w:r>
          </w:p>
        </w:tc>
        <w:tc>
          <w:tcPr>
            <w:tcW w:w="1890" w:type="dxa"/>
            <w:shd w:val="clear" w:color="auto" w:fill="auto"/>
            <w:vAlign w:val="center"/>
          </w:tcPr>
          <w:p w14:paraId="71EC2F5A" w14:textId="0FD88223" w:rsidR="00CE1534" w:rsidRPr="00D21A40" w:rsidRDefault="0024111E" w:rsidP="00CE1534">
            <w:pPr>
              <w:keepNext/>
              <w:widowControl w:val="0"/>
              <w:jc w:val="center"/>
              <w:rPr>
                <w:sz w:val="20"/>
              </w:rPr>
            </w:pPr>
            <w:r>
              <w:rPr>
                <w:sz w:val="20"/>
              </w:rPr>
              <w:t>75,297</w:t>
            </w:r>
          </w:p>
        </w:tc>
        <w:tc>
          <w:tcPr>
            <w:tcW w:w="1738" w:type="dxa"/>
            <w:shd w:val="clear" w:color="auto" w:fill="auto"/>
            <w:vAlign w:val="center"/>
          </w:tcPr>
          <w:p w14:paraId="0CE17DEB" w14:textId="69E42CA3" w:rsidR="00CE1534" w:rsidRPr="00D21A40" w:rsidRDefault="0024111E" w:rsidP="00CE1534">
            <w:pPr>
              <w:keepNext/>
              <w:widowControl w:val="0"/>
              <w:jc w:val="center"/>
              <w:rPr>
                <w:sz w:val="20"/>
              </w:rPr>
            </w:pPr>
            <w:r>
              <w:rPr>
                <w:sz w:val="20"/>
              </w:rPr>
              <w:t>23.5</w:t>
            </w:r>
          </w:p>
        </w:tc>
      </w:tr>
      <w:tr w:rsidR="00CE1534" w:rsidRPr="00D21A40" w14:paraId="4AF412A1" w14:textId="77777777" w:rsidTr="00CE1534">
        <w:trPr>
          <w:trHeight w:val="288"/>
          <w:jc w:val="center"/>
        </w:trPr>
        <w:tc>
          <w:tcPr>
            <w:tcW w:w="5040" w:type="dxa"/>
            <w:shd w:val="clear" w:color="auto" w:fill="auto"/>
            <w:vAlign w:val="center"/>
          </w:tcPr>
          <w:p w14:paraId="72C4F092" w14:textId="77777777" w:rsidR="00CE1534" w:rsidRPr="00D21A40" w:rsidRDefault="00CE1534" w:rsidP="00CE1534">
            <w:pPr>
              <w:keepNext/>
              <w:widowControl w:val="0"/>
              <w:rPr>
                <w:b/>
                <w:sz w:val="20"/>
              </w:rPr>
            </w:pPr>
            <w:r w:rsidRPr="00D21A40">
              <w:rPr>
                <w:b/>
                <w:sz w:val="20"/>
              </w:rPr>
              <w:t>Total Real Estate Loans</w:t>
            </w:r>
          </w:p>
        </w:tc>
        <w:tc>
          <w:tcPr>
            <w:tcW w:w="1890" w:type="dxa"/>
            <w:shd w:val="clear" w:color="auto" w:fill="auto"/>
            <w:vAlign w:val="center"/>
          </w:tcPr>
          <w:p w14:paraId="084DF453" w14:textId="1A77B24E" w:rsidR="00CE1534" w:rsidRPr="00D21A40" w:rsidRDefault="0024111E" w:rsidP="00CE1534">
            <w:pPr>
              <w:keepNext/>
              <w:widowControl w:val="0"/>
              <w:jc w:val="center"/>
              <w:rPr>
                <w:b/>
                <w:sz w:val="20"/>
              </w:rPr>
            </w:pPr>
            <w:r>
              <w:rPr>
                <w:b/>
                <w:sz w:val="20"/>
              </w:rPr>
              <w:t>268,954</w:t>
            </w:r>
          </w:p>
        </w:tc>
        <w:tc>
          <w:tcPr>
            <w:tcW w:w="1738" w:type="dxa"/>
            <w:shd w:val="clear" w:color="auto" w:fill="auto"/>
            <w:vAlign w:val="center"/>
          </w:tcPr>
          <w:p w14:paraId="31A2BB31" w14:textId="4C1F2AF7" w:rsidR="00CE1534" w:rsidRPr="00D21A40" w:rsidRDefault="00032706" w:rsidP="00CE1534">
            <w:pPr>
              <w:keepNext/>
              <w:widowControl w:val="0"/>
              <w:jc w:val="center"/>
              <w:rPr>
                <w:b/>
                <w:sz w:val="20"/>
              </w:rPr>
            </w:pPr>
            <w:r>
              <w:rPr>
                <w:b/>
                <w:sz w:val="20"/>
              </w:rPr>
              <w:t>83.8</w:t>
            </w:r>
          </w:p>
        </w:tc>
      </w:tr>
      <w:tr w:rsidR="00CE1534" w:rsidRPr="00D21A40" w14:paraId="79C79EA8" w14:textId="77777777" w:rsidTr="00CE1534">
        <w:trPr>
          <w:trHeight w:val="288"/>
          <w:jc w:val="center"/>
        </w:trPr>
        <w:tc>
          <w:tcPr>
            <w:tcW w:w="5040" w:type="dxa"/>
            <w:shd w:val="clear" w:color="auto" w:fill="auto"/>
            <w:vAlign w:val="center"/>
          </w:tcPr>
          <w:p w14:paraId="107B7D70" w14:textId="77777777" w:rsidR="00CE1534" w:rsidRPr="00D21A40" w:rsidRDefault="00CE1534" w:rsidP="00CE1534">
            <w:pPr>
              <w:keepNext/>
              <w:widowControl w:val="0"/>
              <w:rPr>
                <w:sz w:val="20"/>
              </w:rPr>
            </w:pPr>
            <w:r w:rsidRPr="00D21A40">
              <w:rPr>
                <w:sz w:val="20"/>
              </w:rPr>
              <w:t>Commercial and Industrial Loans</w:t>
            </w:r>
          </w:p>
        </w:tc>
        <w:tc>
          <w:tcPr>
            <w:tcW w:w="1890" w:type="dxa"/>
            <w:shd w:val="clear" w:color="auto" w:fill="auto"/>
            <w:vAlign w:val="center"/>
          </w:tcPr>
          <w:p w14:paraId="6C87E815" w14:textId="3B9346E3" w:rsidR="00CE1534" w:rsidRPr="00D21A40" w:rsidRDefault="0024111E" w:rsidP="00CE1534">
            <w:pPr>
              <w:keepNext/>
              <w:widowControl w:val="0"/>
              <w:jc w:val="center"/>
              <w:rPr>
                <w:sz w:val="20"/>
              </w:rPr>
            </w:pPr>
            <w:r>
              <w:rPr>
                <w:sz w:val="20"/>
              </w:rPr>
              <w:t>49</w:t>
            </w:r>
            <w:r w:rsidR="005F509F">
              <w:rPr>
                <w:sz w:val="20"/>
              </w:rPr>
              <w:t>,</w:t>
            </w:r>
            <w:r>
              <w:rPr>
                <w:sz w:val="20"/>
              </w:rPr>
              <w:t>626</w:t>
            </w:r>
          </w:p>
        </w:tc>
        <w:tc>
          <w:tcPr>
            <w:tcW w:w="1738" w:type="dxa"/>
            <w:shd w:val="clear" w:color="auto" w:fill="auto"/>
            <w:vAlign w:val="center"/>
          </w:tcPr>
          <w:p w14:paraId="34DF68E3" w14:textId="505A260D" w:rsidR="00CE1534" w:rsidRPr="00D21A40" w:rsidRDefault="00032706" w:rsidP="00CE1534">
            <w:pPr>
              <w:keepNext/>
              <w:widowControl w:val="0"/>
              <w:jc w:val="center"/>
              <w:rPr>
                <w:sz w:val="20"/>
              </w:rPr>
            </w:pPr>
            <w:r>
              <w:rPr>
                <w:sz w:val="20"/>
              </w:rPr>
              <w:t>15.5</w:t>
            </w:r>
          </w:p>
        </w:tc>
      </w:tr>
      <w:tr w:rsidR="00CE1534" w:rsidRPr="00D21A40" w14:paraId="7CE9869B" w14:textId="77777777" w:rsidTr="00CE1534">
        <w:trPr>
          <w:trHeight w:val="288"/>
          <w:jc w:val="center"/>
        </w:trPr>
        <w:tc>
          <w:tcPr>
            <w:tcW w:w="5040" w:type="dxa"/>
            <w:shd w:val="clear" w:color="auto" w:fill="auto"/>
            <w:vAlign w:val="center"/>
          </w:tcPr>
          <w:p w14:paraId="7A1E9D32" w14:textId="77777777" w:rsidR="00CE1534" w:rsidRPr="00D21A40" w:rsidRDefault="00CE1534" w:rsidP="00CE1534">
            <w:pPr>
              <w:keepNext/>
              <w:widowControl w:val="0"/>
              <w:rPr>
                <w:sz w:val="20"/>
              </w:rPr>
            </w:pPr>
            <w:r w:rsidRPr="00D21A40">
              <w:rPr>
                <w:sz w:val="20"/>
              </w:rPr>
              <w:t>Agricultural Production and Other Loans to Farmers</w:t>
            </w:r>
          </w:p>
        </w:tc>
        <w:tc>
          <w:tcPr>
            <w:tcW w:w="1890" w:type="dxa"/>
            <w:shd w:val="clear" w:color="auto" w:fill="auto"/>
            <w:vAlign w:val="center"/>
          </w:tcPr>
          <w:p w14:paraId="03818546" w14:textId="47B2EA50" w:rsidR="00CE1534" w:rsidRPr="00D21A40" w:rsidRDefault="0024111E" w:rsidP="00CE1534">
            <w:pPr>
              <w:keepNext/>
              <w:widowControl w:val="0"/>
              <w:jc w:val="center"/>
              <w:rPr>
                <w:sz w:val="20"/>
              </w:rPr>
            </w:pPr>
            <w:r>
              <w:rPr>
                <w:sz w:val="20"/>
              </w:rPr>
              <w:t>0</w:t>
            </w:r>
          </w:p>
        </w:tc>
        <w:tc>
          <w:tcPr>
            <w:tcW w:w="1738" w:type="dxa"/>
            <w:shd w:val="clear" w:color="auto" w:fill="auto"/>
            <w:vAlign w:val="center"/>
          </w:tcPr>
          <w:p w14:paraId="1AE27685" w14:textId="6AD74E80" w:rsidR="00CE1534" w:rsidRPr="00D21A40" w:rsidRDefault="00032706" w:rsidP="00CE1534">
            <w:pPr>
              <w:keepNext/>
              <w:widowControl w:val="0"/>
              <w:jc w:val="center"/>
              <w:rPr>
                <w:sz w:val="20"/>
              </w:rPr>
            </w:pPr>
            <w:r>
              <w:rPr>
                <w:sz w:val="20"/>
              </w:rPr>
              <w:t>0.0</w:t>
            </w:r>
          </w:p>
        </w:tc>
      </w:tr>
      <w:tr w:rsidR="00CE1534" w:rsidRPr="00D21A40" w14:paraId="3DB348E6" w14:textId="77777777" w:rsidTr="00CE1534">
        <w:trPr>
          <w:trHeight w:val="288"/>
          <w:jc w:val="center"/>
        </w:trPr>
        <w:tc>
          <w:tcPr>
            <w:tcW w:w="5040" w:type="dxa"/>
            <w:shd w:val="clear" w:color="auto" w:fill="auto"/>
            <w:vAlign w:val="center"/>
          </w:tcPr>
          <w:p w14:paraId="25DDF4A7" w14:textId="77777777" w:rsidR="00CE1534" w:rsidRPr="00D21A40" w:rsidRDefault="00CE1534" w:rsidP="00CE1534">
            <w:pPr>
              <w:keepNext/>
              <w:widowControl w:val="0"/>
              <w:rPr>
                <w:sz w:val="20"/>
              </w:rPr>
            </w:pPr>
            <w:r w:rsidRPr="00D21A40">
              <w:rPr>
                <w:sz w:val="20"/>
              </w:rPr>
              <w:t>Consumer Loans</w:t>
            </w:r>
          </w:p>
        </w:tc>
        <w:tc>
          <w:tcPr>
            <w:tcW w:w="1890" w:type="dxa"/>
            <w:shd w:val="clear" w:color="auto" w:fill="auto"/>
            <w:vAlign w:val="center"/>
          </w:tcPr>
          <w:p w14:paraId="4EFF6663" w14:textId="617923F1" w:rsidR="00CE1534" w:rsidRPr="00D21A40" w:rsidRDefault="0024111E" w:rsidP="00CE1534">
            <w:pPr>
              <w:keepNext/>
              <w:widowControl w:val="0"/>
              <w:jc w:val="center"/>
              <w:rPr>
                <w:sz w:val="20"/>
              </w:rPr>
            </w:pPr>
            <w:r>
              <w:rPr>
                <w:sz w:val="20"/>
              </w:rPr>
              <w:t>2,125</w:t>
            </w:r>
          </w:p>
        </w:tc>
        <w:tc>
          <w:tcPr>
            <w:tcW w:w="1738" w:type="dxa"/>
            <w:shd w:val="clear" w:color="auto" w:fill="auto"/>
            <w:vAlign w:val="center"/>
          </w:tcPr>
          <w:p w14:paraId="3707B4E3" w14:textId="17B232B2" w:rsidR="00CE1534" w:rsidRPr="00D21A40" w:rsidRDefault="00032706" w:rsidP="00CE1534">
            <w:pPr>
              <w:keepNext/>
              <w:widowControl w:val="0"/>
              <w:jc w:val="center"/>
              <w:rPr>
                <w:sz w:val="20"/>
              </w:rPr>
            </w:pPr>
            <w:r>
              <w:rPr>
                <w:sz w:val="20"/>
              </w:rPr>
              <w:t>0.7</w:t>
            </w:r>
          </w:p>
        </w:tc>
      </w:tr>
      <w:tr w:rsidR="00CE1534" w:rsidRPr="00D21A40" w14:paraId="2764DADA" w14:textId="77777777" w:rsidTr="00CE1534">
        <w:trPr>
          <w:trHeight w:val="288"/>
          <w:jc w:val="center"/>
        </w:trPr>
        <w:tc>
          <w:tcPr>
            <w:tcW w:w="5040" w:type="dxa"/>
            <w:shd w:val="clear" w:color="auto" w:fill="auto"/>
            <w:vAlign w:val="center"/>
          </w:tcPr>
          <w:p w14:paraId="220070A1" w14:textId="77777777" w:rsidR="00CE1534" w:rsidRPr="00D21A40" w:rsidRDefault="00CE1534" w:rsidP="00CE1534">
            <w:pPr>
              <w:keepNext/>
              <w:widowControl w:val="0"/>
              <w:rPr>
                <w:sz w:val="20"/>
              </w:rPr>
            </w:pPr>
            <w:r w:rsidRPr="00D21A40">
              <w:rPr>
                <w:sz w:val="20"/>
              </w:rPr>
              <w:t>Obligations of State and Political Subdivisions in the U.S.</w:t>
            </w:r>
          </w:p>
        </w:tc>
        <w:tc>
          <w:tcPr>
            <w:tcW w:w="1890" w:type="dxa"/>
            <w:shd w:val="clear" w:color="auto" w:fill="auto"/>
            <w:vAlign w:val="center"/>
          </w:tcPr>
          <w:p w14:paraId="05ED9880" w14:textId="0ABFD8D4" w:rsidR="00CE1534" w:rsidRPr="00D21A40" w:rsidRDefault="0024111E" w:rsidP="00CE1534">
            <w:pPr>
              <w:keepNext/>
              <w:widowControl w:val="0"/>
              <w:jc w:val="center"/>
              <w:rPr>
                <w:sz w:val="20"/>
              </w:rPr>
            </w:pPr>
            <w:r>
              <w:rPr>
                <w:sz w:val="20"/>
              </w:rPr>
              <w:t>0</w:t>
            </w:r>
          </w:p>
        </w:tc>
        <w:tc>
          <w:tcPr>
            <w:tcW w:w="1738" w:type="dxa"/>
            <w:shd w:val="clear" w:color="auto" w:fill="auto"/>
            <w:vAlign w:val="center"/>
          </w:tcPr>
          <w:p w14:paraId="070008F9" w14:textId="6BDFF45F" w:rsidR="00CE1534" w:rsidRPr="00D21A40" w:rsidRDefault="00032706" w:rsidP="00CE1534">
            <w:pPr>
              <w:keepNext/>
              <w:widowControl w:val="0"/>
              <w:jc w:val="center"/>
              <w:rPr>
                <w:sz w:val="20"/>
              </w:rPr>
            </w:pPr>
            <w:r>
              <w:rPr>
                <w:sz w:val="20"/>
              </w:rPr>
              <w:t>0.0</w:t>
            </w:r>
          </w:p>
        </w:tc>
      </w:tr>
      <w:tr w:rsidR="00CE1534" w:rsidRPr="00D21A40" w14:paraId="5AC645B0" w14:textId="77777777" w:rsidTr="00CE1534">
        <w:trPr>
          <w:trHeight w:val="288"/>
          <w:jc w:val="center"/>
        </w:trPr>
        <w:tc>
          <w:tcPr>
            <w:tcW w:w="5040" w:type="dxa"/>
            <w:shd w:val="clear" w:color="auto" w:fill="auto"/>
            <w:vAlign w:val="center"/>
          </w:tcPr>
          <w:p w14:paraId="632C9EFB" w14:textId="77777777" w:rsidR="00CE1534" w:rsidRPr="00D21A40" w:rsidRDefault="00CE1534" w:rsidP="00CE1534">
            <w:pPr>
              <w:keepNext/>
              <w:widowControl w:val="0"/>
              <w:rPr>
                <w:sz w:val="20"/>
              </w:rPr>
            </w:pPr>
            <w:r w:rsidRPr="00D21A40">
              <w:rPr>
                <w:sz w:val="20"/>
              </w:rPr>
              <w:t>Other Loans</w:t>
            </w:r>
          </w:p>
        </w:tc>
        <w:tc>
          <w:tcPr>
            <w:tcW w:w="1890" w:type="dxa"/>
            <w:shd w:val="clear" w:color="auto" w:fill="auto"/>
            <w:vAlign w:val="center"/>
          </w:tcPr>
          <w:p w14:paraId="41DBEF75" w14:textId="22D6CCFA" w:rsidR="00CE1534" w:rsidRPr="00D21A40" w:rsidRDefault="0024111E" w:rsidP="00CE1534">
            <w:pPr>
              <w:keepNext/>
              <w:widowControl w:val="0"/>
              <w:jc w:val="center"/>
              <w:rPr>
                <w:sz w:val="20"/>
              </w:rPr>
            </w:pPr>
            <w:r>
              <w:rPr>
                <w:sz w:val="20"/>
              </w:rPr>
              <w:t>292</w:t>
            </w:r>
          </w:p>
        </w:tc>
        <w:tc>
          <w:tcPr>
            <w:tcW w:w="1738" w:type="dxa"/>
            <w:shd w:val="clear" w:color="auto" w:fill="auto"/>
            <w:vAlign w:val="center"/>
          </w:tcPr>
          <w:p w14:paraId="2D7E210A" w14:textId="4A71C609" w:rsidR="00CE1534" w:rsidRPr="00D21A40" w:rsidRDefault="00032706" w:rsidP="00CE1534">
            <w:pPr>
              <w:keepNext/>
              <w:widowControl w:val="0"/>
              <w:jc w:val="center"/>
              <w:rPr>
                <w:sz w:val="20"/>
              </w:rPr>
            </w:pPr>
            <w:r>
              <w:rPr>
                <w:sz w:val="20"/>
              </w:rPr>
              <w:t>0.0</w:t>
            </w:r>
          </w:p>
        </w:tc>
      </w:tr>
      <w:tr w:rsidR="00CE1534" w:rsidRPr="00D21A40" w14:paraId="1FEF23D5" w14:textId="77777777" w:rsidTr="00CE1534">
        <w:trPr>
          <w:trHeight w:val="288"/>
          <w:jc w:val="center"/>
        </w:trPr>
        <w:tc>
          <w:tcPr>
            <w:tcW w:w="5040" w:type="dxa"/>
            <w:shd w:val="clear" w:color="auto" w:fill="auto"/>
            <w:vAlign w:val="center"/>
          </w:tcPr>
          <w:p w14:paraId="036C4E9A" w14:textId="77777777" w:rsidR="00CE1534" w:rsidRPr="00D21A40" w:rsidRDefault="00CE1534" w:rsidP="00CE1534">
            <w:pPr>
              <w:keepNext/>
              <w:widowControl w:val="0"/>
              <w:rPr>
                <w:sz w:val="20"/>
              </w:rPr>
            </w:pPr>
            <w:r w:rsidRPr="00D21A40">
              <w:rPr>
                <w:sz w:val="20"/>
              </w:rPr>
              <w:t xml:space="preserve">Lease Financing Receivable (net of unearned income) </w:t>
            </w:r>
          </w:p>
        </w:tc>
        <w:tc>
          <w:tcPr>
            <w:tcW w:w="1890" w:type="dxa"/>
            <w:shd w:val="clear" w:color="auto" w:fill="auto"/>
            <w:vAlign w:val="center"/>
          </w:tcPr>
          <w:p w14:paraId="6D101F5E" w14:textId="06F076AD" w:rsidR="00CE1534" w:rsidRPr="00D21A40" w:rsidRDefault="0024111E" w:rsidP="00CE1534">
            <w:pPr>
              <w:keepNext/>
              <w:widowControl w:val="0"/>
              <w:jc w:val="center"/>
              <w:rPr>
                <w:sz w:val="20"/>
              </w:rPr>
            </w:pPr>
            <w:r>
              <w:rPr>
                <w:sz w:val="20"/>
              </w:rPr>
              <w:t>0</w:t>
            </w:r>
          </w:p>
        </w:tc>
        <w:tc>
          <w:tcPr>
            <w:tcW w:w="1738" w:type="dxa"/>
            <w:shd w:val="clear" w:color="auto" w:fill="auto"/>
            <w:vAlign w:val="center"/>
          </w:tcPr>
          <w:p w14:paraId="1E90468C" w14:textId="2AF3A959" w:rsidR="00CE1534" w:rsidRPr="00D21A40" w:rsidRDefault="00032706" w:rsidP="00CE1534">
            <w:pPr>
              <w:keepNext/>
              <w:widowControl w:val="0"/>
              <w:jc w:val="center"/>
              <w:rPr>
                <w:sz w:val="20"/>
              </w:rPr>
            </w:pPr>
            <w:r>
              <w:rPr>
                <w:sz w:val="20"/>
              </w:rPr>
              <w:t>0.0</w:t>
            </w:r>
          </w:p>
        </w:tc>
      </w:tr>
      <w:tr w:rsidR="00CE1534" w:rsidRPr="00D21A40" w14:paraId="43852BCF" w14:textId="77777777" w:rsidTr="00CE1534">
        <w:trPr>
          <w:trHeight w:val="288"/>
          <w:jc w:val="center"/>
        </w:trPr>
        <w:tc>
          <w:tcPr>
            <w:tcW w:w="5040" w:type="dxa"/>
            <w:shd w:val="clear" w:color="auto" w:fill="auto"/>
            <w:vAlign w:val="center"/>
          </w:tcPr>
          <w:p w14:paraId="343E53FC" w14:textId="77777777" w:rsidR="00CE1534" w:rsidRPr="00D21A40" w:rsidRDefault="00CE1534" w:rsidP="00CE1534">
            <w:pPr>
              <w:keepNext/>
              <w:widowControl w:val="0"/>
              <w:rPr>
                <w:sz w:val="20"/>
              </w:rPr>
            </w:pPr>
            <w:r w:rsidRPr="00D21A40">
              <w:rPr>
                <w:sz w:val="20"/>
              </w:rPr>
              <w:t>Less: Unearned Income</w:t>
            </w:r>
          </w:p>
        </w:tc>
        <w:tc>
          <w:tcPr>
            <w:tcW w:w="1890" w:type="dxa"/>
            <w:shd w:val="clear" w:color="auto" w:fill="auto"/>
            <w:vAlign w:val="center"/>
          </w:tcPr>
          <w:p w14:paraId="5628A776" w14:textId="2DE4F4D2" w:rsidR="00CE1534" w:rsidRPr="00D21A40" w:rsidRDefault="0024111E" w:rsidP="00CE1534">
            <w:pPr>
              <w:keepNext/>
              <w:widowControl w:val="0"/>
              <w:jc w:val="center"/>
              <w:rPr>
                <w:sz w:val="20"/>
              </w:rPr>
            </w:pPr>
            <w:r>
              <w:rPr>
                <w:sz w:val="20"/>
              </w:rPr>
              <w:t>0</w:t>
            </w:r>
          </w:p>
        </w:tc>
        <w:tc>
          <w:tcPr>
            <w:tcW w:w="1738" w:type="dxa"/>
            <w:shd w:val="clear" w:color="auto" w:fill="auto"/>
            <w:vAlign w:val="center"/>
          </w:tcPr>
          <w:p w14:paraId="70AD4D8E" w14:textId="1259FD2E" w:rsidR="00CE1534" w:rsidRPr="00D21A40" w:rsidRDefault="00032706" w:rsidP="00CE1534">
            <w:pPr>
              <w:keepNext/>
              <w:widowControl w:val="0"/>
              <w:jc w:val="center"/>
              <w:rPr>
                <w:sz w:val="20"/>
              </w:rPr>
            </w:pPr>
            <w:r>
              <w:rPr>
                <w:sz w:val="20"/>
              </w:rPr>
              <w:t>0.0</w:t>
            </w:r>
          </w:p>
        </w:tc>
      </w:tr>
      <w:tr w:rsidR="00CE1534" w:rsidRPr="00D21A40" w14:paraId="0ED03A80" w14:textId="77777777" w:rsidTr="00CE1534">
        <w:trPr>
          <w:trHeight w:val="288"/>
          <w:jc w:val="center"/>
        </w:trPr>
        <w:tc>
          <w:tcPr>
            <w:tcW w:w="5040" w:type="dxa"/>
            <w:shd w:val="clear" w:color="auto" w:fill="auto"/>
            <w:vAlign w:val="center"/>
          </w:tcPr>
          <w:p w14:paraId="66EE7B57" w14:textId="77777777" w:rsidR="00CE1534" w:rsidRPr="00D21A40" w:rsidRDefault="00CE1534" w:rsidP="00CE1534">
            <w:pPr>
              <w:keepNext/>
              <w:widowControl w:val="0"/>
              <w:rPr>
                <w:b/>
                <w:sz w:val="20"/>
              </w:rPr>
            </w:pPr>
            <w:r w:rsidRPr="00D21A40">
              <w:rPr>
                <w:b/>
                <w:sz w:val="20"/>
              </w:rPr>
              <w:t>Total Loans</w:t>
            </w:r>
          </w:p>
        </w:tc>
        <w:tc>
          <w:tcPr>
            <w:tcW w:w="1890" w:type="dxa"/>
            <w:shd w:val="clear" w:color="auto" w:fill="auto"/>
            <w:vAlign w:val="center"/>
          </w:tcPr>
          <w:p w14:paraId="65FE9BF5" w14:textId="400869D2" w:rsidR="00CE1534" w:rsidRPr="00D21A40" w:rsidRDefault="0024111E" w:rsidP="00CE1534">
            <w:pPr>
              <w:keepNext/>
              <w:widowControl w:val="0"/>
              <w:jc w:val="center"/>
              <w:rPr>
                <w:b/>
                <w:sz w:val="20"/>
              </w:rPr>
            </w:pPr>
            <w:r>
              <w:rPr>
                <w:b/>
                <w:sz w:val="20"/>
              </w:rPr>
              <w:t>320,997</w:t>
            </w:r>
          </w:p>
        </w:tc>
        <w:tc>
          <w:tcPr>
            <w:tcW w:w="1738" w:type="dxa"/>
            <w:shd w:val="clear" w:color="auto" w:fill="auto"/>
            <w:vAlign w:val="center"/>
          </w:tcPr>
          <w:p w14:paraId="73B200A9" w14:textId="6A60AD1E" w:rsidR="00CE1534" w:rsidRPr="00D21A40" w:rsidRDefault="00032706" w:rsidP="00CE1534">
            <w:pPr>
              <w:keepNext/>
              <w:widowControl w:val="0"/>
              <w:jc w:val="center"/>
              <w:rPr>
                <w:b/>
                <w:sz w:val="20"/>
              </w:rPr>
            </w:pPr>
            <w:r>
              <w:rPr>
                <w:b/>
                <w:sz w:val="20"/>
              </w:rPr>
              <w:t>100.0</w:t>
            </w:r>
          </w:p>
        </w:tc>
      </w:tr>
      <w:tr w:rsidR="00CE1534" w:rsidRPr="00D21A40" w14:paraId="532093A1" w14:textId="77777777" w:rsidTr="00CE1534">
        <w:trPr>
          <w:trHeight w:val="288"/>
          <w:jc w:val="center"/>
        </w:trPr>
        <w:tc>
          <w:tcPr>
            <w:tcW w:w="8668" w:type="dxa"/>
            <w:gridSpan w:val="3"/>
            <w:shd w:val="clear" w:color="auto" w:fill="auto"/>
            <w:vAlign w:val="center"/>
          </w:tcPr>
          <w:p w14:paraId="6560F193" w14:textId="77777777" w:rsidR="00CE1534" w:rsidRPr="00D21A40" w:rsidRDefault="00CE1534" w:rsidP="00CE1534">
            <w:pPr>
              <w:keepNext/>
              <w:widowControl w:val="0"/>
              <w:rPr>
                <w:sz w:val="20"/>
              </w:rPr>
            </w:pPr>
            <w:r w:rsidRPr="00D21A40">
              <w:rPr>
                <w:i/>
                <w:sz w:val="16"/>
                <w:szCs w:val="16"/>
              </w:rPr>
              <w:t>Source:  Reports of Condition and Income</w:t>
            </w:r>
          </w:p>
        </w:tc>
      </w:tr>
    </w:tbl>
    <w:p w14:paraId="23CC71AA" w14:textId="77777777" w:rsidR="00CE1534" w:rsidRDefault="00CE1534" w:rsidP="00CE1534">
      <w:pPr>
        <w:rPr>
          <w:iCs/>
        </w:rPr>
      </w:pPr>
    </w:p>
    <w:p w14:paraId="753148FE" w14:textId="0A08BD17" w:rsidR="00CE1534" w:rsidRDefault="00CE1534" w:rsidP="00CE1534">
      <w:r w:rsidRPr="00F25135">
        <w:t>Examiners did not identify any financial, legal, or other impediments that affect the bank’s ability to meet assessment area credit needs.</w:t>
      </w:r>
    </w:p>
    <w:p w14:paraId="5F8F12FD" w14:textId="6C6808E3" w:rsidR="00CA3D0E" w:rsidRDefault="00CA3D0E">
      <w:pPr>
        <w:rPr>
          <w:bCs/>
          <w:spacing w:val="-4"/>
        </w:rPr>
      </w:pPr>
      <w:r>
        <w:rPr>
          <w:bCs/>
          <w:spacing w:val="-4"/>
        </w:rPr>
        <w:br w:type="page"/>
      </w:r>
    </w:p>
    <w:p w14:paraId="6D8EA0C8" w14:textId="77777777" w:rsidR="00DB7A7B" w:rsidRPr="0095548F" w:rsidRDefault="00A05A5F" w:rsidP="0095548F">
      <w:pPr>
        <w:tabs>
          <w:tab w:val="left" w:pos="1260"/>
        </w:tabs>
        <w:jc w:val="center"/>
        <w:rPr>
          <w:b/>
          <w:bCs/>
          <w:iCs/>
          <w:sz w:val="28"/>
          <w:szCs w:val="28"/>
        </w:rPr>
      </w:pPr>
      <w:r>
        <w:rPr>
          <w:b/>
          <w:bCs/>
          <w:iCs/>
          <w:sz w:val="28"/>
          <w:szCs w:val="28"/>
        </w:rPr>
        <w:t>DESCRIPTION OF ASSESSMENT AREA</w:t>
      </w:r>
    </w:p>
    <w:p w14:paraId="13BB01B5" w14:textId="77777777" w:rsidR="00DB7A7B" w:rsidRDefault="00DB7A7B" w:rsidP="0095548F"/>
    <w:p w14:paraId="7348EF7B" w14:textId="4CB141FA" w:rsidR="003F2D27" w:rsidRDefault="0008420D" w:rsidP="0008420D">
      <w:pPr>
        <w:tabs>
          <w:tab w:val="center" w:pos="4680"/>
        </w:tabs>
      </w:pPr>
      <w:r w:rsidRPr="00F041E5">
        <w:t xml:space="preserve">The CRA requires each financial institution to define one or more assessment areas </w:t>
      </w:r>
      <w:r>
        <w:t>in</w:t>
      </w:r>
      <w:r w:rsidRPr="00F041E5">
        <w:t xml:space="preserve"> which</w:t>
      </w:r>
      <w:r w:rsidR="00040B8E">
        <w:t xml:space="preserve"> examiners will evaluate</w:t>
      </w:r>
      <w:r w:rsidRPr="00F041E5">
        <w:t xml:space="preserve"> </w:t>
      </w:r>
      <w:r>
        <w:t xml:space="preserve">the institution’s </w:t>
      </w:r>
      <w:r w:rsidRPr="00F041E5">
        <w:t xml:space="preserve">CRA performance.  </w:t>
      </w:r>
      <w:r w:rsidR="00717D34">
        <w:t>Northmark</w:t>
      </w:r>
      <w:r w:rsidR="000D576B">
        <w:t xml:space="preserve"> Bank</w:t>
      </w:r>
      <w:r w:rsidR="00717D34">
        <w:t xml:space="preserve"> </w:t>
      </w:r>
      <w:r w:rsidRPr="00F041E5">
        <w:t xml:space="preserve">designated a single </w:t>
      </w:r>
    </w:p>
    <w:p w14:paraId="083D49B6" w14:textId="68BB44BD" w:rsidR="0008420D" w:rsidRDefault="0008420D" w:rsidP="0008420D">
      <w:pPr>
        <w:tabs>
          <w:tab w:val="center" w:pos="4680"/>
        </w:tabs>
      </w:pPr>
      <w:r w:rsidRPr="00F041E5">
        <w:t xml:space="preserve">assessment area in the Cambridge-Newton-Framingham, MA Metropolitan Division (MD) (15764).  The following sections discuss demographic and economic information </w:t>
      </w:r>
      <w:r>
        <w:t>relevant to</w:t>
      </w:r>
      <w:r w:rsidRPr="00F041E5">
        <w:t xml:space="preserve"> the assessment area.  </w:t>
      </w:r>
    </w:p>
    <w:p w14:paraId="32416D23" w14:textId="77777777" w:rsidR="0008420D" w:rsidRDefault="0008420D" w:rsidP="00A05A5F">
      <w:pPr>
        <w:rPr>
          <w:b/>
          <w:u w:val="single"/>
        </w:rPr>
      </w:pPr>
    </w:p>
    <w:p w14:paraId="13049D07" w14:textId="77777777" w:rsidR="00A05A5F" w:rsidRDefault="00A05A5F" w:rsidP="00A05A5F">
      <w:pPr>
        <w:rPr>
          <w:b/>
          <w:u w:val="single"/>
        </w:rPr>
      </w:pPr>
      <w:r w:rsidRPr="00682927">
        <w:rPr>
          <w:b/>
          <w:u w:val="single"/>
        </w:rPr>
        <w:t xml:space="preserve">Economic and Demographic Data  </w:t>
      </w:r>
    </w:p>
    <w:p w14:paraId="3308C9B2" w14:textId="3C760F42" w:rsidR="0008420D" w:rsidRDefault="0008420D" w:rsidP="00A05A5F">
      <w:pPr>
        <w:rPr>
          <w:b/>
          <w:u w:val="single"/>
        </w:rPr>
      </w:pPr>
    </w:p>
    <w:p w14:paraId="5BDC34D4" w14:textId="5360AA50" w:rsidR="00CE1534" w:rsidRPr="00682DD4" w:rsidRDefault="00CE1534" w:rsidP="00CE1534">
      <w:pPr>
        <w:widowControl w:val="0"/>
        <w:ind w:right="-360"/>
        <w:rPr>
          <w:bCs/>
          <w:iCs/>
        </w:rPr>
      </w:pPr>
      <w:r w:rsidRPr="00682DD4">
        <w:rPr>
          <w:bCs/>
          <w:iCs/>
        </w:rPr>
        <w:t xml:space="preserve">The assessment area includes </w:t>
      </w:r>
      <w:r w:rsidR="00717D34">
        <w:rPr>
          <w:bCs/>
          <w:iCs/>
        </w:rPr>
        <w:t>68</w:t>
      </w:r>
      <w:r w:rsidRPr="00682DD4">
        <w:rPr>
          <w:bCs/>
          <w:iCs/>
        </w:rPr>
        <w:t xml:space="preserve"> census tracts that make up the following towns</w:t>
      </w:r>
      <w:r w:rsidR="00520AA9">
        <w:rPr>
          <w:bCs/>
          <w:iCs/>
        </w:rPr>
        <w:t xml:space="preserve"> in Massachusetts</w:t>
      </w:r>
      <w:r w:rsidRPr="00682DD4">
        <w:rPr>
          <w:bCs/>
          <w:iCs/>
        </w:rPr>
        <w:t xml:space="preserve">: </w:t>
      </w:r>
      <w:r w:rsidR="003B6562">
        <w:rPr>
          <w:bCs/>
          <w:iCs/>
        </w:rPr>
        <w:t xml:space="preserve">Andover, Arlington, </w:t>
      </w:r>
      <w:r w:rsidR="00DC0AB0">
        <w:rPr>
          <w:bCs/>
          <w:iCs/>
        </w:rPr>
        <w:t>Lawrence,</w:t>
      </w:r>
      <w:r w:rsidR="003B6562">
        <w:rPr>
          <w:bCs/>
          <w:iCs/>
        </w:rPr>
        <w:t xml:space="preserve"> Lexington,</w:t>
      </w:r>
      <w:r w:rsidR="00DC0AB0">
        <w:rPr>
          <w:bCs/>
          <w:iCs/>
        </w:rPr>
        <w:t xml:space="preserve"> North Andover, North Reading, Reading, Wilmington, </w:t>
      </w:r>
      <w:r w:rsidR="003B6562">
        <w:rPr>
          <w:bCs/>
          <w:iCs/>
        </w:rPr>
        <w:t xml:space="preserve">Winchester, </w:t>
      </w:r>
      <w:r w:rsidR="00DC0AB0">
        <w:rPr>
          <w:bCs/>
          <w:iCs/>
        </w:rPr>
        <w:t>Woburn</w:t>
      </w:r>
      <w:r w:rsidR="0044396E">
        <w:rPr>
          <w:bCs/>
          <w:iCs/>
        </w:rPr>
        <w:t>, and</w:t>
      </w:r>
      <w:r w:rsidR="00DC0AB0">
        <w:rPr>
          <w:bCs/>
          <w:iCs/>
        </w:rPr>
        <w:t xml:space="preserve"> census tract 2526.01 in Methuen</w:t>
      </w:r>
      <w:r w:rsidR="00520AA9">
        <w:rPr>
          <w:bCs/>
          <w:iCs/>
        </w:rPr>
        <w:t xml:space="preserve"> where a deposit-taking ATM is located</w:t>
      </w:r>
      <w:r w:rsidR="00DC0AB0">
        <w:rPr>
          <w:bCs/>
          <w:iCs/>
        </w:rPr>
        <w:t xml:space="preserve">.  </w:t>
      </w:r>
      <w:r w:rsidR="003B6562">
        <w:rPr>
          <w:bCs/>
          <w:iCs/>
        </w:rPr>
        <w:t xml:space="preserve">Andover, </w:t>
      </w:r>
      <w:r w:rsidR="00DC0AB0">
        <w:rPr>
          <w:bCs/>
          <w:iCs/>
        </w:rPr>
        <w:t xml:space="preserve">Lawrence, </w:t>
      </w:r>
      <w:r w:rsidR="003B6562">
        <w:rPr>
          <w:bCs/>
          <w:iCs/>
        </w:rPr>
        <w:t xml:space="preserve">Methuen, </w:t>
      </w:r>
      <w:r w:rsidR="0062414E">
        <w:rPr>
          <w:bCs/>
          <w:iCs/>
        </w:rPr>
        <w:t xml:space="preserve">and </w:t>
      </w:r>
      <w:r w:rsidR="00DC0AB0">
        <w:rPr>
          <w:bCs/>
          <w:iCs/>
        </w:rPr>
        <w:t>North Andover</w:t>
      </w:r>
      <w:r w:rsidR="0044396E">
        <w:rPr>
          <w:bCs/>
          <w:iCs/>
        </w:rPr>
        <w:t xml:space="preserve"> are</w:t>
      </w:r>
      <w:r w:rsidR="00DC0AB0">
        <w:rPr>
          <w:bCs/>
          <w:iCs/>
        </w:rPr>
        <w:t xml:space="preserve"> all located in Essex County and the remaining </w:t>
      </w:r>
      <w:r w:rsidRPr="00682DD4">
        <w:rPr>
          <w:bCs/>
          <w:iCs/>
        </w:rPr>
        <w:t>municipalities are in Mi</w:t>
      </w:r>
      <w:r w:rsidR="00520AA9">
        <w:rPr>
          <w:bCs/>
          <w:iCs/>
        </w:rPr>
        <w:t>ddlesex County</w:t>
      </w:r>
      <w:r w:rsidR="00D7245C">
        <w:rPr>
          <w:bCs/>
          <w:iCs/>
        </w:rPr>
        <w:t>.  The bank expanded its assessment area since the prior evaluation to include all of L</w:t>
      </w:r>
      <w:r w:rsidR="0016446F">
        <w:rPr>
          <w:bCs/>
          <w:iCs/>
        </w:rPr>
        <w:t xml:space="preserve">awrence rather than a portion, </w:t>
      </w:r>
      <w:r w:rsidR="00D7245C">
        <w:rPr>
          <w:bCs/>
          <w:iCs/>
        </w:rPr>
        <w:t>increasing from 54 to 68 census tracts</w:t>
      </w:r>
      <w:r w:rsidR="0016446F">
        <w:rPr>
          <w:bCs/>
          <w:iCs/>
        </w:rPr>
        <w:t xml:space="preserve">.  </w:t>
      </w:r>
      <w:r w:rsidRPr="00682DD4">
        <w:rPr>
          <w:bCs/>
          <w:iCs/>
        </w:rPr>
        <w:t>The census tracts reflect the following in</w:t>
      </w:r>
      <w:r w:rsidR="00520AA9">
        <w:rPr>
          <w:bCs/>
          <w:iCs/>
        </w:rPr>
        <w:t>come designations according to</w:t>
      </w:r>
      <w:r w:rsidRPr="00682DD4">
        <w:rPr>
          <w:bCs/>
          <w:iCs/>
        </w:rPr>
        <w:t xml:space="preserve"> 2015 </w:t>
      </w:r>
      <w:r w:rsidR="00520AA9">
        <w:rPr>
          <w:bCs/>
          <w:iCs/>
        </w:rPr>
        <w:t>ACS data</w:t>
      </w:r>
      <w:r w:rsidRPr="00682DD4">
        <w:rPr>
          <w:bCs/>
          <w:iCs/>
        </w:rPr>
        <w:t xml:space="preserve">.  </w:t>
      </w:r>
    </w:p>
    <w:p w14:paraId="29E39E21" w14:textId="77777777" w:rsidR="00CE1534" w:rsidRPr="00682DD4" w:rsidRDefault="00CE1534" w:rsidP="00CE1534">
      <w:pPr>
        <w:widowControl w:val="0"/>
        <w:ind w:right="-360"/>
        <w:rPr>
          <w:bCs/>
          <w:iCs/>
        </w:rPr>
      </w:pPr>
    </w:p>
    <w:p w14:paraId="1EB4600B" w14:textId="51112EF2" w:rsidR="00DB489F" w:rsidRDefault="005572A7" w:rsidP="00CE1534">
      <w:pPr>
        <w:widowControl w:val="0"/>
        <w:numPr>
          <w:ilvl w:val="0"/>
          <w:numId w:val="24"/>
        </w:numPr>
        <w:ind w:right="-360"/>
        <w:rPr>
          <w:bCs/>
          <w:iCs/>
        </w:rPr>
      </w:pPr>
      <w:r>
        <w:rPr>
          <w:bCs/>
          <w:iCs/>
        </w:rPr>
        <w:t>17 low-income census tracts</w:t>
      </w:r>
      <w:r w:rsidR="00520AA9">
        <w:rPr>
          <w:bCs/>
          <w:iCs/>
        </w:rPr>
        <w:t>,</w:t>
      </w:r>
    </w:p>
    <w:p w14:paraId="1C362E29" w14:textId="5ECC6C87" w:rsidR="00CE1534" w:rsidRPr="00682DD4" w:rsidRDefault="00DD3620" w:rsidP="00CE1534">
      <w:pPr>
        <w:widowControl w:val="0"/>
        <w:numPr>
          <w:ilvl w:val="0"/>
          <w:numId w:val="24"/>
        </w:numPr>
        <w:ind w:right="-360"/>
        <w:rPr>
          <w:bCs/>
          <w:iCs/>
        </w:rPr>
      </w:pPr>
      <w:r>
        <w:rPr>
          <w:bCs/>
          <w:iCs/>
        </w:rPr>
        <w:t>2</w:t>
      </w:r>
      <w:r w:rsidR="00CE1534" w:rsidRPr="00682DD4">
        <w:rPr>
          <w:bCs/>
          <w:iCs/>
        </w:rPr>
        <w:t xml:space="preserve"> moderate-income census tracts,</w:t>
      </w:r>
    </w:p>
    <w:p w14:paraId="65958A06" w14:textId="4B084761" w:rsidR="00CE1534" w:rsidRPr="00682DD4" w:rsidRDefault="005572A7" w:rsidP="00CE1534">
      <w:pPr>
        <w:widowControl w:val="0"/>
        <w:numPr>
          <w:ilvl w:val="0"/>
          <w:numId w:val="24"/>
        </w:numPr>
        <w:ind w:right="-360"/>
        <w:rPr>
          <w:bCs/>
          <w:iCs/>
        </w:rPr>
      </w:pPr>
      <w:r>
        <w:rPr>
          <w:bCs/>
          <w:iCs/>
        </w:rPr>
        <w:t>17</w:t>
      </w:r>
      <w:r w:rsidR="00CE1534" w:rsidRPr="00682DD4">
        <w:rPr>
          <w:bCs/>
          <w:iCs/>
        </w:rPr>
        <w:t xml:space="preserve"> middle-income census tracts, and</w:t>
      </w:r>
    </w:p>
    <w:p w14:paraId="34DCEBAF" w14:textId="0E44676C" w:rsidR="00CE1534" w:rsidRDefault="00DD3620" w:rsidP="00CE1534">
      <w:pPr>
        <w:widowControl w:val="0"/>
        <w:numPr>
          <w:ilvl w:val="0"/>
          <w:numId w:val="24"/>
        </w:numPr>
        <w:ind w:right="-360"/>
        <w:rPr>
          <w:bCs/>
          <w:iCs/>
        </w:rPr>
      </w:pPr>
      <w:r>
        <w:rPr>
          <w:bCs/>
          <w:iCs/>
        </w:rPr>
        <w:t>32</w:t>
      </w:r>
      <w:r w:rsidR="00CE1534" w:rsidRPr="00682DD4">
        <w:rPr>
          <w:bCs/>
          <w:iCs/>
        </w:rPr>
        <w:t xml:space="preserve"> upper-income census tracts.</w:t>
      </w:r>
    </w:p>
    <w:p w14:paraId="7140434B" w14:textId="62C91607" w:rsidR="00DB3074" w:rsidRDefault="00DB3074" w:rsidP="00DB3074">
      <w:pPr>
        <w:widowControl w:val="0"/>
        <w:ind w:right="-360"/>
        <w:rPr>
          <w:bCs/>
          <w:iCs/>
        </w:rPr>
      </w:pPr>
    </w:p>
    <w:p w14:paraId="575F031A" w14:textId="67116699" w:rsidR="00DB3074" w:rsidRPr="00682DD4" w:rsidRDefault="00DB3074" w:rsidP="00DB3074">
      <w:pPr>
        <w:widowControl w:val="0"/>
        <w:ind w:right="-360"/>
        <w:rPr>
          <w:bCs/>
          <w:iCs/>
        </w:rPr>
      </w:pPr>
      <w:r>
        <w:rPr>
          <w:bCs/>
          <w:iCs/>
        </w:rPr>
        <w:t>All 17 low-income census tracts, as well as one moderate-income census tract, are concentrated in the City of L</w:t>
      </w:r>
      <w:r w:rsidR="00E56C45">
        <w:rPr>
          <w:bCs/>
          <w:iCs/>
        </w:rPr>
        <w:t>awrence</w:t>
      </w:r>
      <w:r>
        <w:rPr>
          <w:bCs/>
          <w:iCs/>
        </w:rPr>
        <w:t>.  The rest of the assessment area is primarily middle- and upper-income except</w:t>
      </w:r>
      <w:r w:rsidR="003F5A31">
        <w:rPr>
          <w:bCs/>
          <w:iCs/>
        </w:rPr>
        <w:t xml:space="preserve"> for</w:t>
      </w:r>
      <w:r>
        <w:rPr>
          <w:bCs/>
          <w:iCs/>
        </w:rPr>
        <w:t xml:space="preserve"> one moderate-income census tract in North Andover. </w:t>
      </w:r>
    </w:p>
    <w:p w14:paraId="54FFE3D5" w14:textId="77777777" w:rsidR="00D46BE6" w:rsidRDefault="00D46BE6" w:rsidP="00CE1534">
      <w:pPr>
        <w:ind w:right="-360"/>
        <w:rPr>
          <w:bCs/>
          <w:iCs/>
          <w:color w:val="000000"/>
        </w:rPr>
      </w:pPr>
    </w:p>
    <w:p w14:paraId="36560FB2" w14:textId="6E0F1E07" w:rsidR="00CE1534" w:rsidRDefault="00CE1534" w:rsidP="00CE1534">
      <w:pPr>
        <w:ind w:right="-360"/>
      </w:pPr>
      <w:r w:rsidRPr="00682DD4">
        <w:t>The following table illustrates select demographic characteristics of the assessment area.</w:t>
      </w:r>
    </w:p>
    <w:p w14:paraId="1EA4F7DB" w14:textId="09FDEB82" w:rsidR="00CE1534" w:rsidRDefault="00CE1534" w:rsidP="00CE1534">
      <w:pPr>
        <w:ind w:right="-360"/>
      </w:pPr>
    </w:p>
    <w:p w14:paraId="6D4098CA" w14:textId="524D4E22" w:rsidR="00A4016E" w:rsidRDefault="00A4016E" w:rsidP="00CE1534">
      <w:pPr>
        <w:ind w:right="-360"/>
      </w:pPr>
    </w:p>
    <w:p w14:paraId="7ABB4065" w14:textId="3F42EE4C" w:rsidR="00A4016E" w:rsidRDefault="00A4016E" w:rsidP="00CE1534">
      <w:pPr>
        <w:ind w:right="-360"/>
      </w:pPr>
    </w:p>
    <w:p w14:paraId="05BCA7B0" w14:textId="662F338A" w:rsidR="00A4016E" w:rsidRDefault="00A4016E" w:rsidP="00CE1534">
      <w:pPr>
        <w:ind w:right="-360"/>
      </w:pPr>
    </w:p>
    <w:p w14:paraId="3BD92381" w14:textId="2394DB2A" w:rsidR="00A4016E" w:rsidRDefault="00A4016E" w:rsidP="00CE1534">
      <w:pPr>
        <w:ind w:right="-360"/>
      </w:pPr>
    </w:p>
    <w:p w14:paraId="20A8978D" w14:textId="7F9978F1" w:rsidR="00A4016E" w:rsidRDefault="00A4016E" w:rsidP="00CE1534">
      <w:pPr>
        <w:ind w:right="-360"/>
      </w:pPr>
    </w:p>
    <w:p w14:paraId="3DC1B395" w14:textId="2F9416ED" w:rsidR="00A4016E" w:rsidRDefault="00A4016E" w:rsidP="00CE1534">
      <w:pPr>
        <w:ind w:right="-360"/>
      </w:pPr>
    </w:p>
    <w:p w14:paraId="5F4044B5" w14:textId="584E332E" w:rsidR="00A4016E" w:rsidRDefault="00A4016E" w:rsidP="00CE1534">
      <w:pPr>
        <w:ind w:right="-360"/>
      </w:pPr>
    </w:p>
    <w:p w14:paraId="4B0E43C0" w14:textId="551EFA3D" w:rsidR="00A4016E" w:rsidRDefault="00A4016E" w:rsidP="00CE1534">
      <w:pPr>
        <w:ind w:right="-360"/>
      </w:pPr>
    </w:p>
    <w:p w14:paraId="2072E834" w14:textId="716CEFC8" w:rsidR="00A4016E" w:rsidRDefault="00A4016E" w:rsidP="00CE1534">
      <w:pPr>
        <w:ind w:right="-360"/>
      </w:pPr>
    </w:p>
    <w:p w14:paraId="7B37CA22" w14:textId="1359084F" w:rsidR="00A4016E" w:rsidRDefault="00A4016E" w:rsidP="00CE1534">
      <w:pPr>
        <w:ind w:right="-360"/>
      </w:pPr>
    </w:p>
    <w:p w14:paraId="59A06CC7" w14:textId="2057E1D0" w:rsidR="00A4016E" w:rsidRDefault="00A4016E" w:rsidP="00CE1534">
      <w:pPr>
        <w:ind w:right="-360"/>
      </w:pPr>
    </w:p>
    <w:p w14:paraId="667EA0E8" w14:textId="22E7A60B" w:rsidR="00A4016E" w:rsidRDefault="00A4016E" w:rsidP="00CE1534">
      <w:pPr>
        <w:ind w:right="-360"/>
      </w:pPr>
    </w:p>
    <w:p w14:paraId="2BD9B1AA" w14:textId="60C365BA" w:rsidR="00A4016E" w:rsidRDefault="00A4016E" w:rsidP="00CE1534">
      <w:pPr>
        <w:ind w:right="-360"/>
      </w:pPr>
    </w:p>
    <w:p w14:paraId="43228070" w14:textId="17EBF7BB" w:rsidR="00A4016E" w:rsidRDefault="00A4016E" w:rsidP="00CE1534">
      <w:pPr>
        <w:ind w:right="-360"/>
      </w:pPr>
    </w:p>
    <w:p w14:paraId="528B735C" w14:textId="21B9F8AC" w:rsidR="00A4016E" w:rsidRDefault="00A4016E" w:rsidP="00CE1534">
      <w:pPr>
        <w:ind w:right="-360"/>
      </w:pPr>
    </w:p>
    <w:p w14:paraId="7685A729" w14:textId="34FB619E" w:rsidR="00A4016E" w:rsidRDefault="00A4016E" w:rsidP="00CE1534">
      <w:pPr>
        <w:ind w:right="-360"/>
      </w:pPr>
    </w:p>
    <w:p w14:paraId="36952994" w14:textId="77777777" w:rsidR="00A4016E" w:rsidRDefault="00A4016E" w:rsidP="00CE1534">
      <w:pPr>
        <w:ind w:right="-360"/>
      </w:pPr>
    </w:p>
    <w:tbl>
      <w:tblPr>
        <w:tblW w:w="9350" w:type="dxa"/>
        <w:tblLayout w:type="fixed"/>
        <w:tblCellMar>
          <w:left w:w="0" w:type="dxa"/>
          <w:right w:w="0" w:type="dxa"/>
        </w:tblCellMar>
        <w:tblLook w:val="04A0" w:firstRow="1" w:lastRow="0" w:firstColumn="1" w:lastColumn="0" w:noHBand="0" w:noVBand="1"/>
      </w:tblPr>
      <w:tblGrid>
        <w:gridCol w:w="3410"/>
        <w:gridCol w:w="990"/>
        <w:gridCol w:w="1080"/>
        <w:gridCol w:w="990"/>
        <w:gridCol w:w="990"/>
        <w:gridCol w:w="990"/>
        <w:gridCol w:w="900"/>
      </w:tblGrid>
      <w:tr w:rsidR="00F243F1" w:rsidRPr="00F041E5" w14:paraId="1DBF705B" w14:textId="77777777" w:rsidTr="000E39A6">
        <w:trPr>
          <w:trHeight w:val="282"/>
        </w:trPr>
        <w:tc>
          <w:tcPr>
            <w:tcW w:w="9350" w:type="dxa"/>
            <w:gridSpan w:val="7"/>
            <w:tcBorders>
              <w:top w:val="single" w:sz="8" w:space="0" w:color="000000"/>
              <w:left w:val="single" w:sz="8" w:space="0" w:color="000000"/>
              <w:bottom w:val="nil"/>
              <w:right w:val="single" w:sz="8" w:space="0" w:color="000000"/>
            </w:tcBorders>
            <w:shd w:val="clear" w:color="auto" w:fill="auto"/>
            <w:tcMar>
              <w:top w:w="39" w:type="dxa"/>
              <w:left w:w="39" w:type="dxa"/>
              <w:bottom w:w="39" w:type="dxa"/>
              <w:right w:w="39" w:type="dxa"/>
            </w:tcMar>
            <w:hideMark/>
          </w:tcPr>
          <w:p w14:paraId="71E5F39B" w14:textId="77777777" w:rsidR="00F243F1" w:rsidRPr="00F041E5" w:rsidRDefault="00F243F1" w:rsidP="008476EA">
            <w:pPr>
              <w:jc w:val="center"/>
              <w:rPr>
                <w:color w:val="000000" w:themeColor="text1"/>
              </w:rPr>
            </w:pPr>
            <w:r w:rsidRPr="00F041E5">
              <w:rPr>
                <w:b/>
                <w:color w:val="000000" w:themeColor="text1"/>
                <w:sz w:val="20"/>
              </w:rPr>
              <w:t>Demographic Information of the Assessment Area</w:t>
            </w:r>
          </w:p>
        </w:tc>
      </w:tr>
      <w:tr w:rsidR="00F243F1" w:rsidRPr="00F041E5" w14:paraId="675289F4" w14:textId="77777777" w:rsidTr="000E39A6">
        <w:trPr>
          <w:trHeight w:val="426"/>
        </w:trPr>
        <w:tc>
          <w:tcPr>
            <w:tcW w:w="341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vAlign w:val="center"/>
            <w:hideMark/>
          </w:tcPr>
          <w:p w14:paraId="54460E07" w14:textId="77777777" w:rsidR="00F243F1" w:rsidRPr="00F041E5" w:rsidRDefault="00F243F1" w:rsidP="008476EA">
            <w:pPr>
              <w:rPr>
                <w:color w:val="000000" w:themeColor="text1"/>
              </w:rPr>
            </w:pPr>
            <w:r w:rsidRPr="00F041E5">
              <w:rPr>
                <w:b/>
                <w:color w:val="000000" w:themeColor="text1"/>
                <w:sz w:val="20"/>
              </w:rPr>
              <w:t>Demographic Characteristics</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vAlign w:val="center"/>
            <w:hideMark/>
          </w:tcPr>
          <w:p w14:paraId="1E94FA83" w14:textId="77777777" w:rsidR="00F243F1" w:rsidRPr="00F041E5" w:rsidRDefault="00F243F1" w:rsidP="008476EA">
            <w:pPr>
              <w:jc w:val="center"/>
              <w:rPr>
                <w:color w:val="000000" w:themeColor="text1"/>
              </w:rPr>
            </w:pPr>
            <w:r w:rsidRPr="00F041E5">
              <w:rPr>
                <w:b/>
                <w:color w:val="000000" w:themeColor="text1"/>
                <w:sz w:val="2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vAlign w:val="center"/>
            <w:hideMark/>
          </w:tcPr>
          <w:p w14:paraId="545B3081" w14:textId="77777777" w:rsidR="00F243F1" w:rsidRPr="00F041E5" w:rsidRDefault="00F243F1" w:rsidP="008476EA">
            <w:pPr>
              <w:jc w:val="center"/>
              <w:rPr>
                <w:color w:val="000000" w:themeColor="text1"/>
              </w:rPr>
            </w:pPr>
            <w:r w:rsidRPr="00F041E5">
              <w:rPr>
                <w:b/>
                <w:color w:val="000000" w:themeColor="text1"/>
                <w:sz w:val="20"/>
              </w:rPr>
              <w:t>Low</w:t>
            </w:r>
            <w:r w:rsidRPr="00F041E5">
              <w:rPr>
                <w:b/>
                <w:color w:val="000000" w:themeColor="text1"/>
                <w:sz w:val="20"/>
              </w:rPr>
              <w:br/>
              <w:t xml:space="preserve"> % of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vAlign w:val="center"/>
            <w:hideMark/>
          </w:tcPr>
          <w:p w14:paraId="4960B88D" w14:textId="77777777" w:rsidR="00F243F1" w:rsidRPr="00F041E5" w:rsidRDefault="00F243F1" w:rsidP="008476EA">
            <w:pPr>
              <w:jc w:val="center"/>
            </w:pPr>
            <w:r w:rsidRPr="00F041E5">
              <w:rPr>
                <w:b/>
                <w:color w:val="000000"/>
                <w:sz w:val="20"/>
              </w:rPr>
              <w:t>Moderate</w:t>
            </w:r>
            <w:r w:rsidRPr="00F041E5">
              <w:rPr>
                <w:b/>
                <w:color w:val="000000"/>
                <w:sz w:val="20"/>
              </w:rPr>
              <w:br/>
              <w:t xml:space="preserve"> % of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vAlign w:val="center"/>
            <w:hideMark/>
          </w:tcPr>
          <w:p w14:paraId="1E94E473" w14:textId="77777777" w:rsidR="00F243F1" w:rsidRPr="00F041E5" w:rsidRDefault="00F243F1" w:rsidP="008476EA">
            <w:pPr>
              <w:jc w:val="center"/>
            </w:pPr>
            <w:r w:rsidRPr="00F041E5">
              <w:rPr>
                <w:b/>
                <w:color w:val="000000"/>
                <w:sz w:val="20"/>
              </w:rPr>
              <w:t>Middle</w:t>
            </w:r>
            <w:r w:rsidRPr="00F041E5">
              <w:rPr>
                <w:b/>
                <w:color w:val="000000"/>
                <w:sz w:val="20"/>
              </w:rPr>
              <w:br/>
              <w:t xml:space="preserve"> % of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vAlign w:val="center"/>
            <w:hideMark/>
          </w:tcPr>
          <w:p w14:paraId="510CC07B" w14:textId="77777777" w:rsidR="00F243F1" w:rsidRPr="00F041E5" w:rsidRDefault="00F243F1" w:rsidP="008476EA">
            <w:pPr>
              <w:jc w:val="center"/>
            </w:pPr>
            <w:r w:rsidRPr="00F041E5">
              <w:rPr>
                <w:b/>
                <w:color w:val="000000"/>
                <w:sz w:val="20"/>
              </w:rPr>
              <w:t>Upper</w:t>
            </w:r>
            <w:r w:rsidRPr="00F041E5">
              <w:rPr>
                <w:b/>
                <w:color w:val="000000"/>
                <w:sz w:val="20"/>
              </w:rPr>
              <w:br/>
              <w:t>% of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vAlign w:val="center"/>
            <w:hideMark/>
          </w:tcPr>
          <w:p w14:paraId="71410B11" w14:textId="77777777" w:rsidR="00F243F1" w:rsidRPr="00F041E5" w:rsidRDefault="00F243F1" w:rsidP="008476EA">
            <w:pPr>
              <w:jc w:val="center"/>
            </w:pPr>
            <w:r w:rsidRPr="00F041E5">
              <w:rPr>
                <w:b/>
                <w:color w:val="000000"/>
                <w:sz w:val="20"/>
              </w:rPr>
              <w:t xml:space="preserve">NA* </w:t>
            </w:r>
            <w:r w:rsidRPr="00F041E5">
              <w:rPr>
                <w:b/>
                <w:color w:val="000000"/>
                <w:sz w:val="20"/>
              </w:rPr>
              <w:br/>
              <w:t>% of #</w:t>
            </w:r>
          </w:p>
        </w:tc>
      </w:tr>
      <w:tr w:rsidR="00D6293E" w:rsidRPr="00C67494" w14:paraId="73623644" w14:textId="77777777" w:rsidTr="000E39A6">
        <w:trPr>
          <w:trHeight w:val="188"/>
        </w:trPr>
        <w:tc>
          <w:tcPr>
            <w:tcW w:w="3410" w:type="dxa"/>
            <w:tcBorders>
              <w:top w:val="single" w:sz="8" w:space="0" w:color="000000"/>
              <w:left w:val="single" w:sz="8" w:space="0" w:color="000000"/>
              <w:bottom w:val="single" w:sz="8" w:space="0" w:color="000000"/>
              <w:right w:val="single" w:sz="8" w:space="0" w:color="000000"/>
            </w:tcBorders>
            <w:shd w:val="clear" w:color="auto" w:fill="auto"/>
            <w:tcMar>
              <w:top w:w="39" w:type="dxa"/>
              <w:left w:w="239" w:type="dxa"/>
              <w:bottom w:w="39" w:type="dxa"/>
              <w:right w:w="39" w:type="dxa"/>
            </w:tcMar>
            <w:hideMark/>
          </w:tcPr>
          <w:p w14:paraId="64833C5E" w14:textId="77777777" w:rsidR="00D6293E" w:rsidRPr="000E39A6" w:rsidRDefault="00D6293E" w:rsidP="00D6293E">
            <w:pPr>
              <w:rPr>
                <w:sz w:val="20"/>
                <w:szCs w:val="20"/>
              </w:rPr>
            </w:pPr>
            <w:r w:rsidRPr="000E39A6">
              <w:rPr>
                <w:sz w:val="20"/>
                <w:szCs w:val="20"/>
              </w:rPr>
              <w:t>Geographies (Census Tracts)</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19AFBD1D" w14:textId="1CF4DB4F" w:rsidR="00D6293E" w:rsidRPr="000E39A6" w:rsidRDefault="00D6293E" w:rsidP="00D6293E">
            <w:pPr>
              <w:jc w:val="right"/>
              <w:rPr>
                <w:sz w:val="20"/>
                <w:szCs w:val="20"/>
              </w:rPr>
            </w:pPr>
            <w:r w:rsidRPr="000E39A6">
              <w:rPr>
                <w:rFonts w:eastAsia="Arial"/>
                <w:sz w:val="20"/>
                <w:szCs w:val="20"/>
              </w:rPr>
              <w:t>68</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05F6C8A5" w14:textId="788E2190" w:rsidR="00D6293E" w:rsidRPr="000E39A6" w:rsidRDefault="00D6293E" w:rsidP="00D6293E">
            <w:pPr>
              <w:jc w:val="right"/>
              <w:rPr>
                <w:sz w:val="20"/>
                <w:szCs w:val="20"/>
              </w:rPr>
            </w:pPr>
            <w:r w:rsidRPr="000E39A6">
              <w:rPr>
                <w:rFonts w:eastAsia="Arial"/>
                <w:sz w:val="20"/>
                <w:szCs w:val="20"/>
              </w:rPr>
              <w:t>25.0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677C23E0" w14:textId="7FAA9688" w:rsidR="00D6293E" w:rsidRPr="000E39A6" w:rsidRDefault="00D6293E" w:rsidP="00D6293E">
            <w:pPr>
              <w:jc w:val="right"/>
              <w:rPr>
                <w:sz w:val="20"/>
                <w:szCs w:val="20"/>
              </w:rPr>
            </w:pPr>
            <w:r w:rsidRPr="000E39A6">
              <w:rPr>
                <w:rFonts w:eastAsia="Arial"/>
                <w:sz w:val="20"/>
                <w:szCs w:val="20"/>
              </w:rPr>
              <w:t>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20794296" w14:textId="4E5DDE1C" w:rsidR="00D6293E" w:rsidRPr="000E39A6" w:rsidRDefault="00D6293E" w:rsidP="00D6293E">
            <w:pPr>
              <w:jc w:val="right"/>
              <w:rPr>
                <w:sz w:val="20"/>
                <w:szCs w:val="20"/>
              </w:rPr>
            </w:pPr>
            <w:r w:rsidRPr="000E39A6">
              <w:rPr>
                <w:rFonts w:eastAsia="Arial"/>
                <w:sz w:val="20"/>
                <w:szCs w:val="20"/>
              </w:rPr>
              <w:t>25.0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66FC31C8" w14:textId="021EB802" w:rsidR="00D6293E" w:rsidRPr="000E39A6" w:rsidRDefault="00D6293E" w:rsidP="00D6293E">
            <w:pPr>
              <w:jc w:val="right"/>
              <w:rPr>
                <w:sz w:val="20"/>
                <w:szCs w:val="20"/>
              </w:rPr>
            </w:pPr>
            <w:r w:rsidRPr="000E39A6">
              <w:rPr>
                <w:rFonts w:eastAsia="Arial"/>
                <w:sz w:val="20"/>
                <w:szCs w:val="20"/>
              </w:rPr>
              <w:t>47.1</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740EB5D2" w14:textId="6F85E46A" w:rsidR="00D6293E" w:rsidRPr="000E39A6" w:rsidRDefault="00D6293E" w:rsidP="00D6293E">
            <w:pPr>
              <w:jc w:val="right"/>
              <w:rPr>
                <w:sz w:val="20"/>
                <w:szCs w:val="20"/>
              </w:rPr>
            </w:pPr>
            <w:r w:rsidRPr="000E39A6">
              <w:rPr>
                <w:rFonts w:eastAsia="Arial"/>
                <w:sz w:val="20"/>
                <w:szCs w:val="20"/>
              </w:rPr>
              <w:t>0.0</w:t>
            </w:r>
          </w:p>
        </w:tc>
      </w:tr>
      <w:tr w:rsidR="00D6293E" w:rsidRPr="00C67494" w14:paraId="019B6385" w14:textId="77777777" w:rsidTr="000E39A6">
        <w:trPr>
          <w:trHeight w:val="188"/>
        </w:trPr>
        <w:tc>
          <w:tcPr>
            <w:tcW w:w="3410" w:type="dxa"/>
            <w:tcBorders>
              <w:top w:val="single" w:sz="8" w:space="0" w:color="000000"/>
              <w:left w:val="single" w:sz="8" w:space="0" w:color="000000"/>
              <w:bottom w:val="single" w:sz="8" w:space="0" w:color="000000"/>
              <w:right w:val="single" w:sz="8" w:space="0" w:color="000000"/>
            </w:tcBorders>
            <w:shd w:val="clear" w:color="auto" w:fill="auto"/>
            <w:tcMar>
              <w:top w:w="39" w:type="dxa"/>
              <w:left w:w="239" w:type="dxa"/>
              <w:bottom w:w="39" w:type="dxa"/>
              <w:right w:w="39" w:type="dxa"/>
            </w:tcMar>
            <w:hideMark/>
          </w:tcPr>
          <w:p w14:paraId="19C8CE02" w14:textId="77777777" w:rsidR="00D6293E" w:rsidRPr="000E39A6" w:rsidRDefault="00D6293E" w:rsidP="00D6293E">
            <w:pPr>
              <w:rPr>
                <w:sz w:val="20"/>
                <w:szCs w:val="20"/>
              </w:rPr>
            </w:pPr>
            <w:r w:rsidRPr="000E39A6">
              <w:rPr>
                <w:sz w:val="20"/>
                <w:szCs w:val="20"/>
              </w:rPr>
              <w:t>Population by Geography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4793ED94" w14:textId="7E989F7B" w:rsidR="00D6293E" w:rsidRPr="000E39A6" w:rsidRDefault="00D6293E" w:rsidP="00D6293E">
            <w:pPr>
              <w:jc w:val="right"/>
              <w:rPr>
                <w:sz w:val="20"/>
                <w:szCs w:val="20"/>
              </w:rPr>
            </w:pPr>
            <w:r w:rsidRPr="000E39A6">
              <w:rPr>
                <w:rFonts w:eastAsia="Arial"/>
                <w:sz w:val="20"/>
                <w:szCs w:val="20"/>
              </w:rPr>
              <w:t>351,984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110E3237" w14:textId="402B34E2" w:rsidR="00D6293E" w:rsidRPr="000E39A6" w:rsidRDefault="00D6293E" w:rsidP="00D6293E">
            <w:pPr>
              <w:jc w:val="right"/>
              <w:rPr>
                <w:sz w:val="20"/>
                <w:szCs w:val="20"/>
              </w:rPr>
            </w:pPr>
            <w:r w:rsidRPr="000E39A6">
              <w:rPr>
                <w:rFonts w:eastAsia="Arial"/>
                <w:sz w:val="20"/>
                <w:szCs w:val="20"/>
              </w:rPr>
              <w:t>20.2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68A92D96" w14:textId="54989E0A" w:rsidR="00D6293E" w:rsidRPr="000E39A6" w:rsidRDefault="00D6293E" w:rsidP="00D6293E">
            <w:pPr>
              <w:jc w:val="right"/>
              <w:rPr>
                <w:sz w:val="20"/>
                <w:szCs w:val="20"/>
              </w:rPr>
            </w:pPr>
            <w:r w:rsidRPr="000E39A6">
              <w:rPr>
                <w:rFonts w:eastAsia="Arial"/>
                <w:sz w:val="20"/>
                <w:szCs w:val="20"/>
              </w:rPr>
              <w:t>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3D46C9E1" w14:textId="7DF3BA99" w:rsidR="00D6293E" w:rsidRPr="000E39A6" w:rsidRDefault="00D6293E" w:rsidP="00D6293E">
            <w:pPr>
              <w:jc w:val="right"/>
              <w:rPr>
                <w:sz w:val="20"/>
                <w:szCs w:val="20"/>
              </w:rPr>
            </w:pPr>
            <w:r w:rsidRPr="000E39A6">
              <w:rPr>
                <w:rFonts w:eastAsia="Arial"/>
                <w:sz w:val="20"/>
                <w:szCs w:val="20"/>
              </w:rPr>
              <w:t>27.6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5FBB9647" w14:textId="0A4A7F0A" w:rsidR="00D6293E" w:rsidRPr="000E39A6" w:rsidRDefault="00D6293E" w:rsidP="00D6293E">
            <w:pPr>
              <w:jc w:val="right"/>
              <w:rPr>
                <w:sz w:val="20"/>
                <w:szCs w:val="20"/>
              </w:rPr>
            </w:pPr>
            <w:r w:rsidRPr="000E39A6">
              <w:rPr>
                <w:rFonts w:eastAsia="Arial"/>
                <w:sz w:val="20"/>
                <w:szCs w:val="20"/>
              </w:rPr>
              <w:t>48.5</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3A80FDF5" w14:textId="66F8550F" w:rsidR="00D6293E" w:rsidRPr="000E39A6" w:rsidRDefault="00D6293E" w:rsidP="00D6293E">
            <w:pPr>
              <w:jc w:val="right"/>
              <w:rPr>
                <w:sz w:val="20"/>
                <w:szCs w:val="20"/>
              </w:rPr>
            </w:pPr>
            <w:r w:rsidRPr="000E39A6">
              <w:rPr>
                <w:rFonts w:eastAsia="Arial"/>
                <w:sz w:val="20"/>
                <w:szCs w:val="20"/>
              </w:rPr>
              <w:t>0.0</w:t>
            </w:r>
          </w:p>
        </w:tc>
      </w:tr>
      <w:tr w:rsidR="00D6293E" w:rsidRPr="00C67494" w14:paraId="0CB32234" w14:textId="77777777" w:rsidTr="000E39A6">
        <w:trPr>
          <w:trHeight w:val="188"/>
        </w:trPr>
        <w:tc>
          <w:tcPr>
            <w:tcW w:w="3410" w:type="dxa"/>
            <w:tcBorders>
              <w:top w:val="single" w:sz="8" w:space="0" w:color="000000"/>
              <w:left w:val="single" w:sz="8" w:space="0" w:color="000000"/>
              <w:bottom w:val="single" w:sz="8" w:space="0" w:color="000000"/>
              <w:right w:val="single" w:sz="8" w:space="0" w:color="000000"/>
            </w:tcBorders>
            <w:shd w:val="clear" w:color="auto" w:fill="auto"/>
            <w:tcMar>
              <w:top w:w="39" w:type="dxa"/>
              <w:left w:w="239" w:type="dxa"/>
              <w:bottom w:w="39" w:type="dxa"/>
              <w:right w:w="39" w:type="dxa"/>
            </w:tcMar>
            <w:hideMark/>
          </w:tcPr>
          <w:p w14:paraId="41458BAE" w14:textId="77777777" w:rsidR="00D6293E" w:rsidRPr="000E39A6" w:rsidRDefault="00D6293E" w:rsidP="00D6293E">
            <w:pPr>
              <w:rPr>
                <w:sz w:val="20"/>
                <w:szCs w:val="20"/>
              </w:rPr>
            </w:pPr>
            <w:r w:rsidRPr="000E39A6">
              <w:rPr>
                <w:sz w:val="20"/>
                <w:szCs w:val="20"/>
              </w:rPr>
              <w:t>Housing Units by Geography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240C6C0E" w14:textId="5FE403A7" w:rsidR="00D6293E" w:rsidRPr="000E39A6" w:rsidRDefault="00D6293E" w:rsidP="00D6293E">
            <w:pPr>
              <w:jc w:val="right"/>
              <w:rPr>
                <w:sz w:val="20"/>
                <w:szCs w:val="20"/>
              </w:rPr>
            </w:pPr>
            <w:r w:rsidRPr="000E39A6">
              <w:rPr>
                <w:rFonts w:eastAsia="Arial"/>
                <w:sz w:val="20"/>
                <w:szCs w:val="20"/>
              </w:rPr>
              <w:t>133,391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0B9A0BDD" w14:textId="496D0A63" w:rsidR="00D6293E" w:rsidRPr="000E39A6" w:rsidRDefault="00D6293E" w:rsidP="00D6293E">
            <w:pPr>
              <w:jc w:val="right"/>
              <w:rPr>
                <w:sz w:val="20"/>
                <w:szCs w:val="20"/>
              </w:rPr>
            </w:pPr>
            <w:r w:rsidRPr="000E39A6">
              <w:rPr>
                <w:rFonts w:eastAsia="Arial"/>
                <w:sz w:val="20"/>
                <w:szCs w:val="20"/>
              </w:rPr>
              <w:t>18.8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2FC5C84C" w14:textId="7734674E" w:rsidR="00D6293E" w:rsidRPr="000E39A6" w:rsidRDefault="00D6293E" w:rsidP="00D6293E">
            <w:pPr>
              <w:jc w:val="right"/>
              <w:rPr>
                <w:sz w:val="20"/>
                <w:szCs w:val="20"/>
              </w:rPr>
            </w:pPr>
            <w:r w:rsidRPr="000E39A6">
              <w:rPr>
                <w:rFonts w:eastAsia="Arial"/>
                <w:sz w:val="20"/>
                <w:szCs w:val="20"/>
              </w:rPr>
              <w:t>4.2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51A1C920" w14:textId="306C1864" w:rsidR="00D6293E" w:rsidRPr="000E39A6" w:rsidRDefault="00D6293E" w:rsidP="00D6293E">
            <w:pPr>
              <w:jc w:val="right"/>
              <w:rPr>
                <w:sz w:val="20"/>
                <w:szCs w:val="20"/>
              </w:rPr>
            </w:pPr>
            <w:r w:rsidRPr="000E39A6">
              <w:rPr>
                <w:rFonts w:eastAsia="Arial"/>
                <w:sz w:val="20"/>
                <w:szCs w:val="20"/>
              </w:rPr>
              <w:t>29.0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46ADAF56" w14:textId="3DF09450" w:rsidR="00D6293E" w:rsidRPr="000E39A6" w:rsidRDefault="00D6293E" w:rsidP="00D6293E">
            <w:pPr>
              <w:jc w:val="right"/>
              <w:rPr>
                <w:sz w:val="20"/>
                <w:szCs w:val="20"/>
              </w:rPr>
            </w:pPr>
            <w:r w:rsidRPr="000E39A6">
              <w:rPr>
                <w:rFonts w:eastAsia="Arial"/>
                <w:sz w:val="20"/>
                <w:szCs w:val="20"/>
              </w:rPr>
              <w:t>48.1</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102C4080" w14:textId="51768EB0" w:rsidR="00D6293E" w:rsidRPr="000E39A6" w:rsidRDefault="00D6293E" w:rsidP="00D6293E">
            <w:pPr>
              <w:jc w:val="right"/>
              <w:rPr>
                <w:sz w:val="20"/>
                <w:szCs w:val="20"/>
              </w:rPr>
            </w:pPr>
            <w:r w:rsidRPr="000E39A6">
              <w:rPr>
                <w:rFonts w:eastAsia="Arial"/>
                <w:sz w:val="20"/>
                <w:szCs w:val="20"/>
              </w:rPr>
              <w:t>0.0</w:t>
            </w:r>
          </w:p>
        </w:tc>
      </w:tr>
      <w:tr w:rsidR="00D6293E" w:rsidRPr="00C67494" w14:paraId="6E5EC40B" w14:textId="77777777" w:rsidTr="000E39A6">
        <w:trPr>
          <w:trHeight w:val="188"/>
        </w:trPr>
        <w:tc>
          <w:tcPr>
            <w:tcW w:w="3410" w:type="dxa"/>
            <w:tcBorders>
              <w:top w:val="single" w:sz="8" w:space="0" w:color="000000"/>
              <w:left w:val="single" w:sz="8" w:space="0" w:color="000000"/>
              <w:bottom w:val="single" w:sz="8" w:space="0" w:color="000000"/>
              <w:right w:val="single" w:sz="8" w:space="0" w:color="000000"/>
            </w:tcBorders>
            <w:shd w:val="clear" w:color="auto" w:fill="auto"/>
            <w:tcMar>
              <w:top w:w="39" w:type="dxa"/>
              <w:left w:w="239" w:type="dxa"/>
              <w:bottom w:w="39" w:type="dxa"/>
              <w:right w:w="39" w:type="dxa"/>
            </w:tcMar>
            <w:hideMark/>
          </w:tcPr>
          <w:p w14:paraId="4F33E51B" w14:textId="77777777" w:rsidR="00D6293E" w:rsidRPr="000E39A6" w:rsidRDefault="00D6293E" w:rsidP="00D6293E">
            <w:pPr>
              <w:rPr>
                <w:sz w:val="20"/>
                <w:szCs w:val="20"/>
              </w:rPr>
            </w:pPr>
            <w:r w:rsidRPr="000E39A6">
              <w:rPr>
                <w:sz w:val="20"/>
                <w:szCs w:val="20"/>
              </w:rPr>
              <w:t>Owner-Occupied Units by Geography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14E909D6" w14:textId="4C4CD6AB" w:rsidR="00D6293E" w:rsidRPr="000E39A6" w:rsidRDefault="00D6293E" w:rsidP="00D6293E">
            <w:pPr>
              <w:jc w:val="right"/>
              <w:rPr>
                <w:sz w:val="20"/>
                <w:szCs w:val="20"/>
              </w:rPr>
            </w:pPr>
            <w:r w:rsidRPr="000E39A6">
              <w:rPr>
                <w:rFonts w:eastAsia="Arial"/>
                <w:sz w:val="20"/>
                <w:szCs w:val="20"/>
              </w:rPr>
              <w:t>81,830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4B2B2617" w14:textId="3AD44B11" w:rsidR="00D6293E" w:rsidRPr="000E39A6" w:rsidRDefault="00D6293E" w:rsidP="00D6293E">
            <w:pPr>
              <w:jc w:val="right"/>
              <w:rPr>
                <w:sz w:val="20"/>
                <w:szCs w:val="20"/>
              </w:rPr>
            </w:pPr>
            <w:r w:rsidRPr="000E39A6">
              <w:rPr>
                <w:rFonts w:eastAsia="Arial"/>
                <w:sz w:val="20"/>
                <w:szCs w:val="20"/>
              </w:rPr>
              <w:t>6.9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516127E8" w14:textId="7D50A90F" w:rsidR="00D6293E" w:rsidRPr="000E39A6" w:rsidRDefault="00D6293E" w:rsidP="00D6293E">
            <w:pPr>
              <w:jc w:val="right"/>
              <w:rPr>
                <w:sz w:val="20"/>
                <w:szCs w:val="20"/>
              </w:rPr>
            </w:pPr>
            <w:r w:rsidRPr="000E39A6">
              <w:rPr>
                <w:rFonts w:eastAsia="Arial"/>
                <w:sz w:val="20"/>
                <w:szCs w:val="20"/>
              </w:rPr>
              <w:t>3.9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1744CA2C" w14:textId="1A729525" w:rsidR="00D6293E" w:rsidRPr="000E39A6" w:rsidRDefault="00D6293E" w:rsidP="00D6293E">
            <w:pPr>
              <w:jc w:val="right"/>
              <w:rPr>
                <w:sz w:val="20"/>
                <w:szCs w:val="20"/>
              </w:rPr>
            </w:pPr>
            <w:r w:rsidRPr="000E39A6">
              <w:rPr>
                <w:rFonts w:eastAsia="Arial"/>
                <w:sz w:val="20"/>
                <w:szCs w:val="20"/>
              </w:rPr>
              <w:t>28.6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450CBA1F" w14:textId="38D0671C" w:rsidR="00D6293E" w:rsidRPr="000E39A6" w:rsidRDefault="00D6293E" w:rsidP="00D6293E">
            <w:pPr>
              <w:jc w:val="right"/>
              <w:rPr>
                <w:sz w:val="20"/>
                <w:szCs w:val="20"/>
              </w:rPr>
            </w:pPr>
            <w:r w:rsidRPr="000E39A6">
              <w:rPr>
                <w:rFonts w:eastAsia="Arial"/>
                <w:sz w:val="20"/>
                <w:szCs w:val="20"/>
              </w:rPr>
              <w:t>60.6</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144D23B0" w14:textId="2E107FA1" w:rsidR="00D6293E" w:rsidRPr="000E39A6" w:rsidRDefault="00D6293E" w:rsidP="00D6293E">
            <w:pPr>
              <w:jc w:val="right"/>
              <w:rPr>
                <w:sz w:val="20"/>
                <w:szCs w:val="20"/>
              </w:rPr>
            </w:pPr>
            <w:r w:rsidRPr="000E39A6">
              <w:rPr>
                <w:rFonts w:eastAsia="Arial"/>
                <w:sz w:val="20"/>
                <w:szCs w:val="20"/>
              </w:rPr>
              <w:t>0.0</w:t>
            </w:r>
          </w:p>
        </w:tc>
      </w:tr>
      <w:tr w:rsidR="00D6293E" w:rsidRPr="00C67494" w14:paraId="6B87F46D" w14:textId="77777777" w:rsidTr="000E39A6">
        <w:trPr>
          <w:trHeight w:val="188"/>
        </w:trPr>
        <w:tc>
          <w:tcPr>
            <w:tcW w:w="3410" w:type="dxa"/>
            <w:tcBorders>
              <w:top w:val="single" w:sz="8" w:space="0" w:color="000000"/>
              <w:left w:val="single" w:sz="8" w:space="0" w:color="000000"/>
              <w:bottom w:val="single" w:sz="8" w:space="0" w:color="000000"/>
              <w:right w:val="single" w:sz="8" w:space="0" w:color="000000"/>
            </w:tcBorders>
            <w:shd w:val="clear" w:color="auto" w:fill="auto"/>
            <w:tcMar>
              <w:top w:w="39" w:type="dxa"/>
              <w:left w:w="239" w:type="dxa"/>
              <w:bottom w:w="39" w:type="dxa"/>
              <w:right w:w="39" w:type="dxa"/>
            </w:tcMar>
            <w:hideMark/>
          </w:tcPr>
          <w:p w14:paraId="4493C12C" w14:textId="77777777" w:rsidR="00D6293E" w:rsidRPr="000E39A6" w:rsidRDefault="00D6293E" w:rsidP="00D6293E">
            <w:pPr>
              <w:rPr>
                <w:sz w:val="20"/>
                <w:szCs w:val="20"/>
              </w:rPr>
            </w:pPr>
            <w:r w:rsidRPr="000E39A6">
              <w:rPr>
                <w:sz w:val="20"/>
                <w:szCs w:val="20"/>
              </w:rPr>
              <w:t>Occupied Rental Units by Geography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73669377" w14:textId="49FD10E4" w:rsidR="00D6293E" w:rsidRPr="000E39A6" w:rsidRDefault="00D6293E" w:rsidP="00D6293E">
            <w:pPr>
              <w:jc w:val="right"/>
              <w:rPr>
                <w:sz w:val="20"/>
                <w:szCs w:val="20"/>
              </w:rPr>
            </w:pPr>
            <w:r w:rsidRPr="000E39A6">
              <w:rPr>
                <w:rFonts w:eastAsia="Arial"/>
                <w:sz w:val="20"/>
                <w:szCs w:val="20"/>
              </w:rPr>
              <w:t>45,094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41343E4E" w14:textId="0C7DC6A9" w:rsidR="00D6293E" w:rsidRPr="000E39A6" w:rsidRDefault="00D6293E" w:rsidP="00D6293E">
            <w:pPr>
              <w:jc w:val="right"/>
              <w:rPr>
                <w:sz w:val="20"/>
                <w:szCs w:val="20"/>
              </w:rPr>
            </w:pPr>
            <w:r w:rsidRPr="000E39A6">
              <w:rPr>
                <w:rFonts w:eastAsia="Arial"/>
                <w:sz w:val="20"/>
                <w:szCs w:val="20"/>
              </w:rPr>
              <w:t>39.6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0C471CC4" w14:textId="503AEDFA" w:rsidR="00D6293E" w:rsidRPr="000E39A6" w:rsidRDefault="00D6293E" w:rsidP="00D6293E">
            <w:pPr>
              <w:jc w:val="right"/>
              <w:rPr>
                <w:sz w:val="20"/>
                <w:szCs w:val="20"/>
              </w:rPr>
            </w:pPr>
            <w:r w:rsidRPr="000E39A6">
              <w:rPr>
                <w:rFonts w:eastAsia="Arial"/>
                <w:sz w:val="20"/>
                <w:szCs w:val="20"/>
              </w:rPr>
              <w:t>4.8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1F274A4C" w14:textId="7FC86C94" w:rsidR="00D6293E" w:rsidRPr="000E39A6" w:rsidRDefault="00D6293E" w:rsidP="00D6293E">
            <w:pPr>
              <w:jc w:val="right"/>
              <w:rPr>
                <w:sz w:val="20"/>
                <w:szCs w:val="20"/>
              </w:rPr>
            </w:pPr>
            <w:r w:rsidRPr="000E39A6">
              <w:rPr>
                <w:rFonts w:eastAsia="Arial"/>
                <w:sz w:val="20"/>
                <w:szCs w:val="20"/>
              </w:rPr>
              <w:t>29.8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4159F6D6" w14:textId="46FA6506" w:rsidR="00D6293E" w:rsidRPr="000E39A6" w:rsidRDefault="00D6293E" w:rsidP="00D6293E">
            <w:pPr>
              <w:jc w:val="right"/>
              <w:rPr>
                <w:sz w:val="20"/>
                <w:szCs w:val="20"/>
              </w:rPr>
            </w:pPr>
            <w:r w:rsidRPr="000E39A6">
              <w:rPr>
                <w:rFonts w:eastAsia="Arial"/>
                <w:sz w:val="20"/>
                <w:szCs w:val="20"/>
              </w:rPr>
              <w:t>25.8</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335F568B" w14:textId="0F026961" w:rsidR="00D6293E" w:rsidRPr="000E39A6" w:rsidRDefault="00D6293E" w:rsidP="00D6293E">
            <w:pPr>
              <w:jc w:val="right"/>
              <w:rPr>
                <w:sz w:val="20"/>
                <w:szCs w:val="20"/>
              </w:rPr>
            </w:pPr>
            <w:r w:rsidRPr="000E39A6">
              <w:rPr>
                <w:rFonts w:eastAsia="Arial"/>
                <w:sz w:val="20"/>
                <w:szCs w:val="20"/>
              </w:rPr>
              <w:t>0.0</w:t>
            </w:r>
          </w:p>
        </w:tc>
      </w:tr>
      <w:tr w:rsidR="00D6293E" w:rsidRPr="00C67494" w14:paraId="0F2F68FD" w14:textId="77777777" w:rsidTr="000E39A6">
        <w:trPr>
          <w:trHeight w:val="188"/>
        </w:trPr>
        <w:tc>
          <w:tcPr>
            <w:tcW w:w="3410" w:type="dxa"/>
            <w:tcBorders>
              <w:top w:val="single" w:sz="8" w:space="0" w:color="000000"/>
              <w:left w:val="single" w:sz="8" w:space="0" w:color="000000"/>
              <w:bottom w:val="single" w:sz="8" w:space="0" w:color="000000"/>
              <w:right w:val="single" w:sz="8" w:space="0" w:color="000000"/>
            </w:tcBorders>
            <w:shd w:val="clear" w:color="auto" w:fill="auto"/>
            <w:tcMar>
              <w:top w:w="39" w:type="dxa"/>
              <w:left w:w="239" w:type="dxa"/>
              <w:bottom w:w="39" w:type="dxa"/>
              <w:right w:w="39" w:type="dxa"/>
            </w:tcMar>
            <w:hideMark/>
          </w:tcPr>
          <w:p w14:paraId="59B8E2F2" w14:textId="77777777" w:rsidR="00D6293E" w:rsidRPr="000E39A6" w:rsidRDefault="00D6293E" w:rsidP="00D6293E">
            <w:pPr>
              <w:rPr>
                <w:sz w:val="20"/>
                <w:szCs w:val="20"/>
              </w:rPr>
            </w:pPr>
            <w:r w:rsidRPr="000E39A6">
              <w:rPr>
                <w:sz w:val="20"/>
                <w:szCs w:val="20"/>
              </w:rPr>
              <w:t>Vacant Units by Geography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24E746BE" w14:textId="6A916BAD" w:rsidR="00D6293E" w:rsidRPr="000E39A6" w:rsidRDefault="00D6293E" w:rsidP="00D6293E">
            <w:pPr>
              <w:jc w:val="right"/>
              <w:rPr>
                <w:sz w:val="20"/>
                <w:szCs w:val="20"/>
              </w:rPr>
            </w:pPr>
            <w:r w:rsidRPr="000E39A6">
              <w:rPr>
                <w:rFonts w:eastAsia="Arial"/>
                <w:sz w:val="20"/>
                <w:szCs w:val="20"/>
              </w:rPr>
              <w:t>6,467</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57919EEB" w14:textId="67DCC9F3" w:rsidR="00D6293E" w:rsidRPr="000E39A6" w:rsidRDefault="00D6293E" w:rsidP="00D6293E">
            <w:pPr>
              <w:jc w:val="right"/>
              <w:rPr>
                <w:sz w:val="20"/>
                <w:szCs w:val="20"/>
              </w:rPr>
            </w:pPr>
            <w:r w:rsidRPr="000E39A6">
              <w:rPr>
                <w:rFonts w:eastAsia="Arial"/>
                <w:sz w:val="20"/>
                <w:szCs w:val="20"/>
              </w:rPr>
              <w:t>24.0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088A8A8C" w14:textId="1C3C6405" w:rsidR="00D6293E" w:rsidRPr="000E39A6" w:rsidRDefault="00D6293E" w:rsidP="00D6293E">
            <w:pPr>
              <w:jc w:val="right"/>
              <w:rPr>
                <w:sz w:val="20"/>
                <w:szCs w:val="20"/>
              </w:rPr>
            </w:pPr>
            <w:r w:rsidRPr="000E39A6">
              <w:rPr>
                <w:rFonts w:eastAsia="Arial"/>
                <w:sz w:val="20"/>
                <w:szCs w:val="20"/>
              </w:rPr>
              <w:t>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45F1C2EC" w14:textId="53D5C724" w:rsidR="00D6293E" w:rsidRPr="000E39A6" w:rsidRDefault="00D6293E" w:rsidP="00D6293E">
            <w:pPr>
              <w:jc w:val="right"/>
              <w:rPr>
                <w:sz w:val="20"/>
                <w:szCs w:val="20"/>
              </w:rPr>
            </w:pPr>
            <w:r w:rsidRPr="000E39A6">
              <w:rPr>
                <w:rFonts w:eastAsia="Arial"/>
                <w:sz w:val="20"/>
                <w:szCs w:val="20"/>
              </w:rPr>
              <w:t>28.8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66CFBC10" w14:textId="4B459A2D" w:rsidR="00D6293E" w:rsidRPr="000E39A6" w:rsidRDefault="00D6293E" w:rsidP="00D6293E">
            <w:pPr>
              <w:jc w:val="right"/>
              <w:rPr>
                <w:sz w:val="20"/>
                <w:szCs w:val="20"/>
              </w:rPr>
            </w:pPr>
            <w:r w:rsidRPr="000E39A6">
              <w:rPr>
                <w:rFonts w:eastAsia="Arial"/>
                <w:sz w:val="20"/>
                <w:szCs w:val="20"/>
              </w:rPr>
              <w:t>44.6</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4A6E93F8" w14:textId="483891FB" w:rsidR="00D6293E" w:rsidRPr="000E39A6" w:rsidRDefault="00D6293E" w:rsidP="00D6293E">
            <w:pPr>
              <w:jc w:val="right"/>
              <w:rPr>
                <w:sz w:val="20"/>
                <w:szCs w:val="20"/>
              </w:rPr>
            </w:pPr>
            <w:r w:rsidRPr="000E39A6">
              <w:rPr>
                <w:rFonts w:eastAsia="Arial"/>
                <w:sz w:val="20"/>
                <w:szCs w:val="20"/>
              </w:rPr>
              <w:t>0.0</w:t>
            </w:r>
          </w:p>
        </w:tc>
      </w:tr>
      <w:tr w:rsidR="00D6293E" w:rsidRPr="00C67494" w14:paraId="21BE55FE" w14:textId="77777777" w:rsidTr="000E39A6">
        <w:trPr>
          <w:trHeight w:val="188"/>
        </w:trPr>
        <w:tc>
          <w:tcPr>
            <w:tcW w:w="3410" w:type="dxa"/>
            <w:tcBorders>
              <w:top w:val="single" w:sz="8" w:space="0" w:color="000000"/>
              <w:left w:val="single" w:sz="8" w:space="0" w:color="000000"/>
              <w:bottom w:val="single" w:sz="8" w:space="0" w:color="000000"/>
              <w:right w:val="single" w:sz="8" w:space="0" w:color="000000"/>
            </w:tcBorders>
            <w:shd w:val="clear" w:color="auto" w:fill="auto"/>
            <w:tcMar>
              <w:top w:w="39" w:type="dxa"/>
              <w:left w:w="239" w:type="dxa"/>
              <w:bottom w:w="39" w:type="dxa"/>
              <w:right w:w="39" w:type="dxa"/>
            </w:tcMar>
            <w:hideMark/>
          </w:tcPr>
          <w:p w14:paraId="28DB67DC" w14:textId="77777777" w:rsidR="00D6293E" w:rsidRPr="000E39A6" w:rsidRDefault="00D6293E" w:rsidP="00D6293E">
            <w:pPr>
              <w:rPr>
                <w:sz w:val="20"/>
                <w:szCs w:val="20"/>
              </w:rPr>
            </w:pPr>
            <w:r w:rsidRPr="000E39A6">
              <w:rPr>
                <w:sz w:val="20"/>
                <w:szCs w:val="20"/>
              </w:rPr>
              <w:t>Businesses by Geography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042C345F" w14:textId="2A19ADA1" w:rsidR="00D6293E" w:rsidRPr="000E39A6" w:rsidRDefault="00E322A2" w:rsidP="00D6293E">
            <w:pPr>
              <w:jc w:val="right"/>
              <w:rPr>
                <w:sz w:val="20"/>
                <w:szCs w:val="20"/>
              </w:rPr>
            </w:pPr>
            <w:r w:rsidRPr="000E39A6">
              <w:rPr>
                <w:sz w:val="20"/>
                <w:szCs w:val="20"/>
              </w:rPr>
              <w:t>33,367</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2EE1E4FF" w14:textId="2C6A998A" w:rsidR="00D6293E" w:rsidRPr="000E39A6" w:rsidRDefault="00E322A2" w:rsidP="00D6293E">
            <w:pPr>
              <w:jc w:val="right"/>
              <w:rPr>
                <w:sz w:val="20"/>
                <w:szCs w:val="20"/>
              </w:rPr>
            </w:pPr>
            <w:r w:rsidRPr="000E39A6">
              <w:rPr>
                <w:sz w:val="20"/>
                <w:szCs w:val="20"/>
              </w:rPr>
              <w:t>11.4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2B1AE53A" w14:textId="5DB28496" w:rsidR="00D6293E" w:rsidRPr="000E39A6" w:rsidRDefault="00E322A2" w:rsidP="00D6293E">
            <w:pPr>
              <w:jc w:val="right"/>
              <w:rPr>
                <w:sz w:val="20"/>
                <w:szCs w:val="20"/>
              </w:rPr>
            </w:pPr>
            <w:r w:rsidRPr="000E39A6">
              <w:rPr>
                <w:sz w:val="20"/>
                <w:szCs w:val="20"/>
              </w:rPr>
              <w:t>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41D8ACB3" w14:textId="3CA12318" w:rsidR="00D6293E" w:rsidRPr="000E39A6" w:rsidRDefault="00E322A2" w:rsidP="00D6293E">
            <w:pPr>
              <w:jc w:val="right"/>
              <w:rPr>
                <w:sz w:val="20"/>
                <w:szCs w:val="20"/>
              </w:rPr>
            </w:pPr>
            <w:r w:rsidRPr="000E39A6">
              <w:rPr>
                <w:sz w:val="20"/>
                <w:szCs w:val="20"/>
              </w:rPr>
              <w:t>33.3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30662592" w14:textId="3A8316B3" w:rsidR="00D6293E" w:rsidRPr="000E39A6" w:rsidRDefault="00E322A2" w:rsidP="00E322A2">
            <w:pPr>
              <w:jc w:val="right"/>
              <w:rPr>
                <w:sz w:val="20"/>
                <w:szCs w:val="20"/>
              </w:rPr>
            </w:pPr>
            <w:r w:rsidRPr="000E39A6">
              <w:rPr>
                <w:rFonts w:eastAsia="Arial"/>
                <w:sz w:val="20"/>
                <w:szCs w:val="20"/>
              </w:rPr>
              <w:t>52.5</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59BC2402" w14:textId="16B5EFCE" w:rsidR="00D6293E" w:rsidRPr="000E39A6" w:rsidRDefault="00E322A2" w:rsidP="00D6293E">
            <w:pPr>
              <w:jc w:val="right"/>
              <w:rPr>
                <w:sz w:val="20"/>
                <w:szCs w:val="20"/>
              </w:rPr>
            </w:pPr>
            <w:r w:rsidRPr="000E39A6">
              <w:rPr>
                <w:sz w:val="20"/>
                <w:szCs w:val="20"/>
              </w:rPr>
              <w:t>0.0</w:t>
            </w:r>
          </w:p>
        </w:tc>
      </w:tr>
      <w:tr w:rsidR="00D6293E" w:rsidRPr="00C67494" w14:paraId="75960A3A" w14:textId="77777777" w:rsidTr="000E39A6">
        <w:trPr>
          <w:trHeight w:val="188"/>
        </w:trPr>
        <w:tc>
          <w:tcPr>
            <w:tcW w:w="3410" w:type="dxa"/>
            <w:tcBorders>
              <w:top w:val="single" w:sz="8" w:space="0" w:color="000000"/>
              <w:left w:val="single" w:sz="8" w:space="0" w:color="000000"/>
              <w:bottom w:val="single" w:sz="8" w:space="0" w:color="000000"/>
              <w:right w:val="single" w:sz="8" w:space="0" w:color="000000"/>
            </w:tcBorders>
            <w:shd w:val="clear" w:color="auto" w:fill="auto"/>
            <w:tcMar>
              <w:top w:w="39" w:type="dxa"/>
              <w:left w:w="239" w:type="dxa"/>
              <w:bottom w:w="39" w:type="dxa"/>
              <w:right w:w="39" w:type="dxa"/>
            </w:tcMar>
            <w:hideMark/>
          </w:tcPr>
          <w:p w14:paraId="1DF5AF04" w14:textId="77777777" w:rsidR="00D6293E" w:rsidRPr="000E39A6" w:rsidRDefault="00D6293E" w:rsidP="00D6293E">
            <w:pPr>
              <w:rPr>
                <w:sz w:val="20"/>
                <w:szCs w:val="20"/>
              </w:rPr>
            </w:pPr>
            <w:r w:rsidRPr="000E39A6">
              <w:rPr>
                <w:sz w:val="20"/>
                <w:szCs w:val="20"/>
              </w:rPr>
              <w:t>Family Distribution by Income Level</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7547F9B4" w14:textId="48D6E975" w:rsidR="00D6293E" w:rsidRPr="000E39A6" w:rsidRDefault="00CC2BEA" w:rsidP="00D6293E">
            <w:pPr>
              <w:jc w:val="right"/>
              <w:rPr>
                <w:sz w:val="20"/>
                <w:szCs w:val="20"/>
              </w:rPr>
            </w:pPr>
            <w:r w:rsidRPr="000E39A6">
              <w:rPr>
                <w:sz w:val="20"/>
                <w:szCs w:val="20"/>
              </w:rPr>
              <w:t>89,873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654352A5" w14:textId="51DA36EE" w:rsidR="00D6293E" w:rsidRPr="000E39A6" w:rsidRDefault="00CC2BEA" w:rsidP="00D6293E">
            <w:pPr>
              <w:jc w:val="right"/>
              <w:rPr>
                <w:sz w:val="20"/>
                <w:szCs w:val="20"/>
              </w:rPr>
            </w:pPr>
            <w:r w:rsidRPr="000E39A6">
              <w:rPr>
                <w:sz w:val="20"/>
                <w:szCs w:val="20"/>
              </w:rPr>
              <w:t>23.6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62C65F47" w14:textId="5674CCA4" w:rsidR="00D6293E" w:rsidRPr="000E39A6" w:rsidRDefault="00CC2BEA" w:rsidP="00D6293E">
            <w:pPr>
              <w:jc w:val="right"/>
              <w:rPr>
                <w:sz w:val="20"/>
                <w:szCs w:val="20"/>
              </w:rPr>
            </w:pPr>
            <w:r w:rsidRPr="000E39A6">
              <w:rPr>
                <w:sz w:val="20"/>
                <w:szCs w:val="20"/>
              </w:rPr>
              <w:t>14.0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6F4210BD" w14:textId="43624960" w:rsidR="00D6293E" w:rsidRPr="000E39A6" w:rsidRDefault="00CC2BEA" w:rsidP="00D6293E">
            <w:pPr>
              <w:jc w:val="right"/>
              <w:rPr>
                <w:sz w:val="20"/>
                <w:szCs w:val="20"/>
              </w:rPr>
            </w:pPr>
            <w:r w:rsidRPr="000E39A6">
              <w:rPr>
                <w:sz w:val="20"/>
                <w:szCs w:val="20"/>
              </w:rPr>
              <w:t>17.5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54891CB8" w14:textId="47843075" w:rsidR="00D6293E" w:rsidRPr="000E39A6" w:rsidRDefault="00CC2BEA" w:rsidP="00CC2BEA">
            <w:pPr>
              <w:jc w:val="right"/>
              <w:rPr>
                <w:sz w:val="20"/>
                <w:szCs w:val="20"/>
              </w:rPr>
            </w:pPr>
            <w:r w:rsidRPr="000E39A6">
              <w:rPr>
                <w:rFonts w:eastAsia="Arial"/>
                <w:sz w:val="20"/>
                <w:szCs w:val="20"/>
              </w:rPr>
              <w:t>44.9</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tcPr>
          <w:p w14:paraId="2B1F94A3" w14:textId="2D740118" w:rsidR="00D6293E" w:rsidRPr="000E39A6" w:rsidRDefault="00CC2BEA" w:rsidP="00D6293E">
            <w:pPr>
              <w:jc w:val="right"/>
              <w:rPr>
                <w:sz w:val="20"/>
                <w:szCs w:val="20"/>
              </w:rPr>
            </w:pPr>
            <w:r w:rsidRPr="000E39A6">
              <w:rPr>
                <w:sz w:val="20"/>
                <w:szCs w:val="20"/>
              </w:rPr>
              <w:t>0.0</w:t>
            </w:r>
          </w:p>
        </w:tc>
      </w:tr>
      <w:tr w:rsidR="00F243F1" w:rsidRPr="00C67494" w14:paraId="337AF228" w14:textId="77777777" w:rsidTr="000E39A6">
        <w:trPr>
          <w:trHeight w:val="188"/>
        </w:trPr>
        <w:tc>
          <w:tcPr>
            <w:tcW w:w="3410" w:type="dxa"/>
            <w:tcBorders>
              <w:top w:val="single" w:sz="8" w:space="0" w:color="000000"/>
              <w:left w:val="single" w:sz="8" w:space="0" w:color="000000"/>
              <w:bottom w:val="single" w:sz="8" w:space="0" w:color="000000"/>
              <w:right w:val="nil"/>
            </w:tcBorders>
            <w:shd w:val="clear" w:color="auto" w:fill="auto"/>
            <w:tcMar>
              <w:top w:w="39" w:type="dxa"/>
              <w:left w:w="239" w:type="dxa"/>
              <w:bottom w:w="39" w:type="dxa"/>
              <w:right w:w="39" w:type="dxa"/>
            </w:tcMar>
            <w:hideMark/>
          </w:tcPr>
          <w:p w14:paraId="18134B2F" w14:textId="77777777" w:rsidR="00F243F1" w:rsidRPr="00F041E5" w:rsidRDefault="00F243F1" w:rsidP="008476EA">
            <w:pPr>
              <w:rPr>
                <w:color w:val="000000" w:themeColor="text1"/>
              </w:rPr>
            </w:pPr>
            <w:r w:rsidRPr="00F041E5">
              <w:rPr>
                <w:color w:val="000000" w:themeColor="text1"/>
                <w:sz w:val="20"/>
              </w:rPr>
              <w:t>Median Family Income MSA - 15764 Cambridge-Newton-Framingham, MA MD</w:t>
            </w:r>
          </w:p>
        </w:tc>
        <w:tc>
          <w:tcPr>
            <w:tcW w:w="990" w:type="dxa"/>
            <w:tcBorders>
              <w:top w:val="single" w:sz="8" w:space="0" w:color="000000"/>
              <w:left w:val="nil"/>
              <w:bottom w:val="single" w:sz="8" w:space="0" w:color="000000"/>
              <w:right w:val="nil"/>
            </w:tcBorders>
            <w:shd w:val="clear" w:color="auto" w:fill="auto"/>
            <w:tcMar>
              <w:top w:w="39" w:type="dxa"/>
              <w:left w:w="239" w:type="dxa"/>
              <w:bottom w:w="39" w:type="dxa"/>
              <w:right w:w="39" w:type="dxa"/>
            </w:tcMar>
          </w:tcPr>
          <w:p w14:paraId="37380425" w14:textId="77777777" w:rsidR="00F243F1" w:rsidRPr="00F041E5" w:rsidRDefault="00F243F1" w:rsidP="008476EA">
            <w:pPr>
              <w:rPr>
                <w:color w:val="000000" w:themeColor="text1"/>
              </w:rPr>
            </w:pPr>
          </w:p>
        </w:tc>
        <w:tc>
          <w:tcPr>
            <w:tcW w:w="1080" w:type="dxa"/>
            <w:tcBorders>
              <w:top w:val="single" w:sz="8" w:space="0" w:color="000000"/>
              <w:left w:val="single" w:sz="8" w:space="0" w:color="000000"/>
              <w:bottom w:val="single" w:sz="8" w:space="0" w:color="000000"/>
              <w:right w:val="nil"/>
            </w:tcBorders>
            <w:shd w:val="clear" w:color="auto" w:fill="auto"/>
            <w:tcMar>
              <w:top w:w="39" w:type="dxa"/>
              <w:left w:w="39" w:type="dxa"/>
              <w:bottom w:w="39" w:type="dxa"/>
              <w:right w:w="39" w:type="dxa"/>
            </w:tcMar>
            <w:hideMark/>
          </w:tcPr>
          <w:p w14:paraId="7B03D083" w14:textId="77777777" w:rsidR="00F243F1" w:rsidRPr="00F041E5" w:rsidRDefault="00F243F1" w:rsidP="008476EA">
            <w:pPr>
              <w:jc w:val="right"/>
              <w:rPr>
                <w:color w:val="000000" w:themeColor="text1"/>
              </w:rPr>
            </w:pPr>
            <w:r w:rsidRPr="00F041E5">
              <w:rPr>
                <w:color w:val="000000" w:themeColor="text1"/>
                <w:sz w:val="20"/>
              </w:rPr>
              <w:t>$100,380</w:t>
            </w:r>
          </w:p>
        </w:tc>
        <w:tc>
          <w:tcPr>
            <w:tcW w:w="2970" w:type="dxa"/>
            <w:gridSpan w:val="3"/>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hideMark/>
          </w:tcPr>
          <w:p w14:paraId="5C631FF5" w14:textId="77777777" w:rsidR="00F243F1" w:rsidRPr="00F041E5" w:rsidRDefault="00F243F1" w:rsidP="008476EA">
            <w:r w:rsidRPr="00F041E5">
              <w:rPr>
                <w:color w:val="000000"/>
                <w:sz w:val="20"/>
              </w:rPr>
              <w:t>Median Housing Value</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hideMark/>
          </w:tcPr>
          <w:p w14:paraId="61CDE945" w14:textId="1D3B9622" w:rsidR="00F243F1" w:rsidRPr="00C67494" w:rsidRDefault="00D6293E" w:rsidP="008476EA">
            <w:pPr>
              <w:jc w:val="right"/>
              <w:rPr>
                <w:sz w:val="20"/>
              </w:rPr>
            </w:pPr>
            <w:r>
              <w:rPr>
                <w:color w:val="000000"/>
                <w:sz w:val="20"/>
              </w:rPr>
              <w:t>$442,010</w:t>
            </w:r>
          </w:p>
        </w:tc>
      </w:tr>
      <w:tr w:rsidR="00F243F1" w:rsidRPr="00C67494" w14:paraId="31FBD006" w14:textId="77777777" w:rsidTr="000E39A6">
        <w:trPr>
          <w:trHeight w:val="188"/>
        </w:trPr>
        <w:tc>
          <w:tcPr>
            <w:tcW w:w="3410" w:type="dxa"/>
            <w:tcBorders>
              <w:top w:val="nil"/>
              <w:left w:val="single" w:sz="8" w:space="0" w:color="000000"/>
              <w:bottom w:val="nil"/>
              <w:right w:val="nil"/>
            </w:tcBorders>
            <w:shd w:val="clear" w:color="auto" w:fill="auto"/>
            <w:tcMar>
              <w:top w:w="39" w:type="dxa"/>
              <w:left w:w="239" w:type="dxa"/>
              <w:bottom w:w="39" w:type="dxa"/>
              <w:right w:w="39" w:type="dxa"/>
            </w:tcMar>
          </w:tcPr>
          <w:p w14:paraId="0EA8A633" w14:textId="77777777" w:rsidR="00F243F1" w:rsidRPr="00F041E5" w:rsidRDefault="00F243F1" w:rsidP="008476EA">
            <w:pPr>
              <w:rPr>
                <w:color w:val="000000" w:themeColor="text1"/>
              </w:rPr>
            </w:pPr>
          </w:p>
        </w:tc>
        <w:tc>
          <w:tcPr>
            <w:tcW w:w="990" w:type="dxa"/>
            <w:shd w:val="clear" w:color="auto" w:fill="auto"/>
            <w:tcMar>
              <w:top w:w="39" w:type="dxa"/>
              <w:left w:w="239" w:type="dxa"/>
              <w:bottom w:w="39" w:type="dxa"/>
              <w:right w:w="39" w:type="dxa"/>
            </w:tcMar>
          </w:tcPr>
          <w:p w14:paraId="76FCB8CF" w14:textId="77777777" w:rsidR="00F243F1" w:rsidRPr="00F041E5" w:rsidRDefault="00F243F1" w:rsidP="008476EA">
            <w:pPr>
              <w:rPr>
                <w:color w:val="000000" w:themeColor="text1"/>
              </w:rPr>
            </w:pPr>
          </w:p>
        </w:tc>
        <w:tc>
          <w:tcPr>
            <w:tcW w:w="1080" w:type="dxa"/>
            <w:shd w:val="clear" w:color="auto" w:fill="auto"/>
            <w:tcMar>
              <w:top w:w="39" w:type="dxa"/>
              <w:left w:w="39" w:type="dxa"/>
              <w:bottom w:w="39" w:type="dxa"/>
              <w:right w:w="39" w:type="dxa"/>
            </w:tcMar>
          </w:tcPr>
          <w:p w14:paraId="584AC593" w14:textId="77777777" w:rsidR="00F243F1" w:rsidRPr="00F041E5" w:rsidRDefault="00F243F1" w:rsidP="008476EA">
            <w:pPr>
              <w:rPr>
                <w:color w:val="000000" w:themeColor="text1"/>
              </w:rPr>
            </w:pPr>
          </w:p>
        </w:tc>
        <w:tc>
          <w:tcPr>
            <w:tcW w:w="2970" w:type="dxa"/>
            <w:gridSpan w:val="3"/>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hideMark/>
          </w:tcPr>
          <w:p w14:paraId="478A734A" w14:textId="77777777" w:rsidR="00F243F1" w:rsidRPr="00F041E5" w:rsidRDefault="00F243F1" w:rsidP="008476EA">
            <w:r w:rsidRPr="00F041E5">
              <w:rPr>
                <w:color w:val="000000"/>
                <w:sz w:val="20"/>
              </w:rPr>
              <w:t>Median Gross Rent</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hideMark/>
          </w:tcPr>
          <w:p w14:paraId="2575C463" w14:textId="5813DEB6" w:rsidR="00F243F1" w:rsidRPr="00C67494" w:rsidRDefault="00D6293E" w:rsidP="008476EA">
            <w:pPr>
              <w:jc w:val="right"/>
              <w:rPr>
                <w:sz w:val="20"/>
              </w:rPr>
            </w:pPr>
            <w:r>
              <w:rPr>
                <w:color w:val="000000"/>
                <w:sz w:val="20"/>
              </w:rPr>
              <w:t>$1,194</w:t>
            </w:r>
          </w:p>
        </w:tc>
      </w:tr>
      <w:tr w:rsidR="00F243F1" w:rsidRPr="00C67494" w14:paraId="4B237E96" w14:textId="77777777" w:rsidTr="000E39A6">
        <w:trPr>
          <w:trHeight w:val="188"/>
        </w:trPr>
        <w:tc>
          <w:tcPr>
            <w:tcW w:w="3410" w:type="dxa"/>
            <w:tcBorders>
              <w:top w:val="nil"/>
              <w:left w:val="single" w:sz="8" w:space="0" w:color="000000"/>
              <w:bottom w:val="single" w:sz="8" w:space="0" w:color="000000"/>
              <w:right w:val="nil"/>
            </w:tcBorders>
            <w:shd w:val="clear" w:color="auto" w:fill="auto"/>
            <w:tcMar>
              <w:top w:w="39" w:type="dxa"/>
              <w:left w:w="239" w:type="dxa"/>
              <w:bottom w:w="39" w:type="dxa"/>
              <w:right w:w="39" w:type="dxa"/>
            </w:tcMar>
          </w:tcPr>
          <w:p w14:paraId="246849A7" w14:textId="77777777" w:rsidR="00F243F1" w:rsidRPr="00F041E5" w:rsidRDefault="00F243F1" w:rsidP="008476EA">
            <w:pPr>
              <w:rPr>
                <w:color w:val="000000" w:themeColor="text1"/>
              </w:rPr>
            </w:pPr>
          </w:p>
        </w:tc>
        <w:tc>
          <w:tcPr>
            <w:tcW w:w="990" w:type="dxa"/>
            <w:tcBorders>
              <w:top w:val="nil"/>
              <w:left w:val="nil"/>
              <w:bottom w:val="single" w:sz="8" w:space="0" w:color="000000"/>
              <w:right w:val="nil"/>
            </w:tcBorders>
            <w:shd w:val="clear" w:color="auto" w:fill="auto"/>
            <w:tcMar>
              <w:top w:w="39" w:type="dxa"/>
              <w:left w:w="239" w:type="dxa"/>
              <w:bottom w:w="39" w:type="dxa"/>
              <w:right w:w="39" w:type="dxa"/>
            </w:tcMar>
          </w:tcPr>
          <w:p w14:paraId="4FDE4C7B" w14:textId="77777777" w:rsidR="00F243F1" w:rsidRPr="00F041E5" w:rsidRDefault="00F243F1" w:rsidP="008476EA">
            <w:pPr>
              <w:rPr>
                <w:color w:val="000000" w:themeColor="text1"/>
              </w:rPr>
            </w:pPr>
          </w:p>
        </w:tc>
        <w:tc>
          <w:tcPr>
            <w:tcW w:w="1080" w:type="dxa"/>
            <w:tcBorders>
              <w:top w:val="nil"/>
              <w:left w:val="nil"/>
              <w:bottom w:val="single" w:sz="8" w:space="0" w:color="000000"/>
              <w:right w:val="nil"/>
            </w:tcBorders>
            <w:shd w:val="clear" w:color="auto" w:fill="auto"/>
            <w:tcMar>
              <w:top w:w="39" w:type="dxa"/>
              <w:left w:w="39" w:type="dxa"/>
              <w:bottom w:w="39" w:type="dxa"/>
              <w:right w:w="39" w:type="dxa"/>
            </w:tcMar>
          </w:tcPr>
          <w:p w14:paraId="1E28E918" w14:textId="77777777" w:rsidR="00F243F1" w:rsidRPr="00F041E5" w:rsidRDefault="00F243F1" w:rsidP="008476EA">
            <w:pPr>
              <w:rPr>
                <w:color w:val="000000" w:themeColor="text1"/>
              </w:rPr>
            </w:pPr>
          </w:p>
        </w:tc>
        <w:tc>
          <w:tcPr>
            <w:tcW w:w="2970" w:type="dxa"/>
            <w:gridSpan w:val="3"/>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hideMark/>
          </w:tcPr>
          <w:p w14:paraId="22831277" w14:textId="77777777" w:rsidR="00F243F1" w:rsidRPr="00F041E5" w:rsidRDefault="00F243F1" w:rsidP="008476EA">
            <w:r w:rsidRPr="00F041E5">
              <w:rPr>
                <w:color w:val="000000"/>
                <w:sz w:val="20"/>
              </w:rPr>
              <w:t>Families Below Poverty Level</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39" w:type="dxa"/>
              <w:left w:w="39" w:type="dxa"/>
              <w:bottom w:w="39" w:type="dxa"/>
              <w:right w:w="39" w:type="dxa"/>
            </w:tcMar>
            <w:hideMark/>
          </w:tcPr>
          <w:p w14:paraId="1968236B" w14:textId="25365412" w:rsidR="00F243F1" w:rsidRPr="00C67494" w:rsidRDefault="00D6293E" w:rsidP="00D6293E">
            <w:pPr>
              <w:jc w:val="right"/>
              <w:rPr>
                <w:sz w:val="20"/>
              </w:rPr>
            </w:pPr>
            <w:r>
              <w:rPr>
                <w:color w:val="000000"/>
                <w:sz w:val="20"/>
              </w:rPr>
              <w:t>7</w:t>
            </w:r>
            <w:r w:rsidR="00F243F1" w:rsidRPr="00C67494">
              <w:rPr>
                <w:color w:val="000000"/>
                <w:sz w:val="20"/>
              </w:rPr>
              <w:t>.7%</w:t>
            </w:r>
          </w:p>
        </w:tc>
      </w:tr>
      <w:tr w:rsidR="00F243F1" w:rsidRPr="00F041E5" w14:paraId="0D8C7AB6" w14:textId="77777777" w:rsidTr="000E39A6">
        <w:trPr>
          <w:trHeight w:val="634"/>
        </w:trPr>
        <w:tc>
          <w:tcPr>
            <w:tcW w:w="9350" w:type="dxa"/>
            <w:gridSpan w:val="7"/>
            <w:tcBorders>
              <w:top w:val="nil"/>
              <w:left w:val="single" w:sz="8" w:space="0" w:color="000000"/>
              <w:bottom w:val="single" w:sz="8" w:space="0" w:color="000000"/>
              <w:right w:val="single" w:sz="8" w:space="0" w:color="000000"/>
            </w:tcBorders>
            <w:shd w:val="clear" w:color="auto" w:fill="auto"/>
            <w:tcMar>
              <w:top w:w="59" w:type="dxa"/>
              <w:left w:w="39" w:type="dxa"/>
              <w:bottom w:w="39" w:type="dxa"/>
              <w:right w:w="39" w:type="dxa"/>
            </w:tcMar>
            <w:hideMark/>
          </w:tcPr>
          <w:p w14:paraId="2BBC1B9B" w14:textId="78A65551" w:rsidR="00F243F1" w:rsidRPr="00F041E5" w:rsidRDefault="000E39A6" w:rsidP="008476EA">
            <w:pPr>
              <w:rPr>
                <w:color w:val="000000" w:themeColor="text1"/>
              </w:rPr>
            </w:pPr>
            <w:r>
              <w:rPr>
                <w:i/>
                <w:color w:val="000000" w:themeColor="text1"/>
                <w:sz w:val="16"/>
              </w:rPr>
              <w:t xml:space="preserve">Source:2015 ACS Census </w:t>
            </w:r>
            <w:r w:rsidR="00A73720">
              <w:rPr>
                <w:i/>
                <w:color w:val="000000" w:themeColor="text1"/>
                <w:sz w:val="16"/>
              </w:rPr>
              <w:t>and 2020</w:t>
            </w:r>
            <w:r w:rsidR="00F243F1" w:rsidRPr="00F041E5">
              <w:rPr>
                <w:i/>
                <w:color w:val="000000" w:themeColor="text1"/>
                <w:sz w:val="16"/>
              </w:rPr>
              <w:t xml:space="preserve"> D&amp;B Data</w:t>
            </w:r>
          </w:p>
          <w:p w14:paraId="6A7BDE5A" w14:textId="77777777" w:rsidR="00F243F1" w:rsidRPr="00F041E5" w:rsidRDefault="00F243F1" w:rsidP="008476EA">
            <w:pPr>
              <w:rPr>
                <w:color w:val="000000" w:themeColor="text1"/>
              </w:rPr>
            </w:pPr>
            <w:r w:rsidRPr="00F041E5">
              <w:rPr>
                <w:i/>
                <w:color w:val="000000" w:themeColor="text1"/>
                <w:sz w:val="16"/>
              </w:rPr>
              <w:t>Due to rounding, totals may not equal 100.0</w:t>
            </w:r>
          </w:p>
          <w:p w14:paraId="2D0E02C1" w14:textId="77777777" w:rsidR="00F243F1" w:rsidRPr="00F041E5" w:rsidRDefault="00F243F1" w:rsidP="008476EA">
            <w:pPr>
              <w:rPr>
                <w:color w:val="000000" w:themeColor="text1"/>
              </w:rPr>
            </w:pPr>
            <w:r w:rsidRPr="00F041E5">
              <w:rPr>
                <w:i/>
                <w:color w:val="000000" w:themeColor="text1"/>
                <w:sz w:val="16"/>
              </w:rPr>
              <w:t>(*) The NA category consists of geographies that have not been assigned an income classification.</w:t>
            </w:r>
          </w:p>
        </w:tc>
      </w:tr>
    </w:tbl>
    <w:p w14:paraId="467DE025" w14:textId="77777777" w:rsidR="0008420D" w:rsidRPr="00723377" w:rsidRDefault="0008420D" w:rsidP="0008420D">
      <w:pPr>
        <w:widowControl w:val="0"/>
        <w:ind w:right="-360"/>
        <w:rPr>
          <w:bCs/>
          <w:iCs/>
          <w:color w:val="000000"/>
        </w:rPr>
      </w:pPr>
    </w:p>
    <w:p w14:paraId="3A8D39AC" w14:textId="1792BB01" w:rsidR="00AF6D8E" w:rsidRDefault="00277C91">
      <w:pPr>
        <w:rPr>
          <w:bCs/>
          <w:iCs/>
        </w:rPr>
      </w:pPr>
      <w:r w:rsidRPr="00277C91">
        <w:rPr>
          <w:bCs/>
          <w:iCs/>
        </w:rPr>
        <w:t>Examiners used the 2018</w:t>
      </w:r>
      <w:r w:rsidR="00A73720">
        <w:rPr>
          <w:bCs/>
          <w:iCs/>
        </w:rPr>
        <w:t>, 2019, and 2020</w:t>
      </w:r>
      <w:r w:rsidRPr="00277C91">
        <w:rPr>
          <w:bCs/>
          <w:iCs/>
        </w:rPr>
        <w:t xml:space="preserve"> FFIEC-updated median family income levels to analyze home mortgage loans under the Borrower Profile criterion.  The following table presents the low-, moderate-, middle-, and upper-income categories. </w:t>
      </w:r>
    </w:p>
    <w:p w14:paraId="13410999" w14:textId="77777777" w:rsidR="00277C91" w:rsidRPr="00FE5EA1" w:rsidRDefault="00277C91" w:rsidP="00277C91">
      <w:pPr>
        <w:rPr>
          <w:b/>
          <w:bCs/>
          <w:i/>
          <w:iCs/>
          <w:highlight w:val="yellow"/>
        </w:rPr>
      </w:pPr>
    </w:p>
    <w:tbl>
      <w:tblPr>
        <w:tblW w:w="0" w:type="auto"/>
        <w:tblCellMar>
          <w:left w:w="0" w:type="dxa"/>
          <w:right w:w="0" w:type="dxa"/>
        </w:tblCellMar>
        <w:tblLook w:val="0000" w:firstRow="0" w:lastRow="0" w:firstColumn="0" w:lastColumn="0" w:noHBand="0" w:noVBand="0"/>
      </w:tblPr>
      <w:tblGrid>
        <w:gridCol w:w="2516"/>
        <w:gridCol w:w="1326"/>
        <w:gridCol w:w="2032"/>
        <w:gridCol w:w="2123"/>
        <w:gridCol w:w="1345"/>
      </w:tblGrid>
      <w:tr w:rsidR="00277C91" w14:paraId="1B592B14" w14:textId="77777777" w:rsidTr="009F0ED4">
        <w:trPr>
          <w:trHeight w:val="282"/>
        </w:trPr>
        <w:tc>
          <w:tcPr>
            <w:tcW w:w="9342" w:type="dxa"/>
            <w:gridSpan w:val="5"/>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4119F1AC" w14:textId="77777777" w:rsidR="00277C91" w:rsidRDefault="00277C91" w:rsidP="005965E6">
            <w:pPr>
              <w:jc w:val="center"/>
            </w:pPr>
            <w:r>
              <w:rPr>
                <w:b/>
                <w:color w:val="000000"/>
                <w:sz w:val="20"/>
              </w:rPr>
              <w:t>Median Family Income Ranges</w:t>
            </w:r>
          </w:p>
        </w:tc>
      </w:tr>
      <w:tr w:rsidR="00277C91" w14:paraId="100C60B8" w14:textId="77777777" w:rsidTr="009F0ED4">
        <w:trPr>
          <w:trHeight w:val="426"/>
        </w:trPr>
        <w:tc>
          <w:tcPr>
            <w:tcW w:w="2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D65EB4" w14:textId="77777777" w:rsidR="00277C91" w:rsidRDefault="00277C91" w:rsidP="005965E6">
            <w:r>
              <w:rPr>
                <w:b/>
                <w:color w:val="000000"/>
                <w:sz w:val="20"/>
              </w:rPr>
              <w:t>Median Family Incomes</w:t>
            </w:r>
          </w:p>
        </w:tc>
        <w:tc>
          <w:tcPr>
            <w:tcW w:w="13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8FC0153" w14:textId="77777777" w:rsidR="00277C91" w:rsidRDefault="00277C91" w:rsidP="005965E6">
            <w:pPr>
              <w:jc w:val="center"/>
            </w:pPr>
            <w:r>
              <w:rPr>
                <w:b/>
                <w:color w:val="000000"/>
                <w:sz w:val="20"/>
              </w:rPr>
              <w:t>Low</w:t>
            </w:r>
            <w:r>
              <w:rPr>
                <w:b/>
                <w:color w:val="000000"/>
                <w:sz w:val="20"/>
              </w:rPr>
              <w:br/>
              <w:t xml:space="preserve"> &lt;50% </w:t>
            </w:r>
          </w:p>
        </w:tc>
        <w:tc>
          <w:tcPr>
            <w:tcW w:w="2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6CB9023" w14:textId="77777777" w:rsidR="00277C91" w:rsidRDefault="00277C91" w:rsidP="005965E6">
            <w:pPr>
              <w:jc w:val="center"/>
            </w:pPr>
            <w:r>
              <w:rPr>
                <w:b/>
                <w:color w:val="000000"/>
                <w:sz w:val="20"/>
              </w:rPr>
              <w:t>Moderate</w:t>
            </w:r>
            <w:r>
              <w:rPr>
                <w:b/>
                <w:color w:val="000000"/>
                <w:sz w:val="20"/>
              </w:rPr>
              <w:br/>
              <w:t>50% to &lt;80%</w:t>
            </w:r>
          </w:p>
        </w:tc>
        <w:tc>
          <w:tcPr>
            <w:tcW w:w="21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A657764" w14:textId="77777777" w:rsidR="00277C91" w:rsidRDefault="00277C91" w:rsidP="005965E6">
            <w:pPr>
              <w:jc w:val="center"/>
            </w:pPr>
            <w:r>
              <w:rPr>
                <w:b/>
                <w:color w:val="000000"/>
                <w:sz w:val="20"/>
              </w:rPr>
              <w:t>Middle</w:t>
            </w:r>
            <w:r>
              <w:rPr>
                <w:b/>
                <w:color w:val="000000"/>
                <w:sz w:val="20"/>
              </w:rPr>
              <w:br/>
              <w:t>80% to &lt;120%</w:t>
            </w:r>
          </w:p>
        </w:tc>
        <w:tc>
          <w:tcPr>
            <w:tcW w:w="13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1A207A8" w14:textId="77777777" w:rsidR="00277C91" w:rsidRDefault="00277C91" w:rsidP="005965E6">
            <w:pPr>
              <w:jc w:val="center"/>
            </w:pPr>
            <w:r>
              <w:rPr>
                <w:b/>
                <w:color w:val="000000"/>
                <w:sz w:val="20"/>
              </w:rPr>
              <w:t>Upper</w:t>
            </w:r>
            <w:r>
              <w:rPr>
                <w:b/>
                <w:color w:val="000000"/>
                <w:sz w:val="20"/>
              </w:rPr>
              <w:br/>
              <w:t>≥120%</w:t>
            </w:r>
          </w:p>
        </w:tc>
      </w:tr>
      <w:tr w:rsidR="00277C91" w14:paraId="53565FB0" w14:textId="77777777" w:rsidTr="009F0ED4">
        <w:trPr>
          <w:trHeight w:val="181"/>
        </w:trPr>
        <w:tc>
          <w:tcPr>
            <w:tcW w:w="934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5E73E85" w14:textId="77777777" w:rsidR="00277C91" w:rsidRDefault="00277C91" w:rsidP="005965E6">
            <w:pPr>
              <w:jc w:val="center"/>
            </w:pPr>
            <w:r>
              <w:rPr>
                <w:b/>
                <w:color w:val="000000"/>
                <w:sz w:val="20"/>
              </w:rPr>
              <w:t>Cambridge-Newton-Framingham, MA MD Median Family Income (15764)</w:t>
            </w:r>
          </w:p>
        </w:tc>
      </w:tr>
      <w:tr w:rsidR="00277C91" w14:paraId="6A80CE4B" w14:textId="77777777" w:rsidTr="009F0ED4">
        <w:trPr>
          <w:trHeight w:val="188"/>
        </w:trPr>
        <w:tc>
          <w:tcPr>
            <w:tcW w:w="2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3A1C7F1" w14:textId="77777777" w:rsidR="00277C91" w:rsidRDefault="00277C91" w:rsidP="005965E6">
            <w:r>
              <w:rPr>
                <w:color w:val="000000"/>
                <w:sz w:val="20"/>
              </w:rPr>
              <w:t>2018 ($110,300)</w:t>
            </w:r>
          </w:p>
        </w:tc>
        <w:tc>
          <w:tcPr>
            <w:tcW w:w="13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03CB2" w14:textId="77777777" w:rsidR="00277C91" w:rsidRDefault="00277C91" w:rsidP="005965E6">
            <w:pPr>
              <w:jc w:val="center"/>
            </w:pPr>
            <w:r>
              <w:rPr>
                <w:color w:val="000000"/>
                <w:sz w:val="20"/>
              </w:rPr>
              <w:t>&lt;$55,150</w:t>
            </w:r>
          </w:p>
        </w:tc>
        <w:tc>
          <w:tcPr>
            <w:tcW w:w="2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551D4" w14:textId="77777777" w:rsidR="00277C91" w:rsidRDefault="00277C91" w:rsidP="005965E6">
            <w:pPr>
              <w:jc w:val="center"/>
            </w:pPr>
            <w:r>
              <w:rPr>
                <w:color w:val="000000"/>
                <w:sz w:val="20"/>
              </w:rPr>
              <w:t>$55,150 to &lt;$88,240</w:t>
            </w:r>
          </w:p>
        </w:tc>
        <w:tc>
          <w:tcPr>
            <w:tcW w:w="21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111B4" w14:textId="77777777" w:rsidR="00277C91" w:rsidRDefault="00277C91" w:rsidP="005965E6">
            <w:pPr>
              <w:jc w:val="center"/>
            </w:pPr>
            <w:r>
              <w:rPr>
                <w:color w:val="000000"/>
                <w:sz w:val="20"/>
              </w:rPr>
              <w:t>$88,240 to &lt;$132,360</w:t>
            </w:r>
          </w:p>
        </w:tc>
        <w:tc>
          <w:tcPr>
            <w:tcW w:w="13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50D824" w14:textId="77777777" w:rsidR="00277C91" w:rsidRDefault="00277C91" w:rsidP="005965E6">
            <w:pPr>
              <w:jc w:val="center"/>
            </w:pPr>
            <w:r>
              <w:rPr>
                <w:color w:val="000000"/>
                <w:sz w:val="20"/>
              </w:rPr>
              <w:t>≥$132,360</w:t>
            </w:r>
          </w:p>
        </w:tc>
      </w:tr>
      <w:tr w:rsidR="00277C91" w14:paraId="74650562" w14:textId="77777777" w:rsidTr="009F0ED4">
        <w:trPr>
          <w:trHeight w:val="188"/>
        </w:trPr>
        <w:tc>
          <w:tcPr>
            <w:tcW w:w="2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76FEB1" w14:textId="77777777" w:rsidR="00277C91" w:rsidRDefault="00277C91" w:rsidP="005965E6">
            <w:r>
              <w:rPr>
                <w:color w:val="000000"/>
                <w:sz w:val="20"/>
              </w:rPr>
              <w:t>2019 ($115,500)</w:t>
            </w:r>
          </w:p>
        </w:tc>
        <w:tc>
          <w:tcPr>
            <w:tcW w:w="13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5B845" w14:textId="77777777" w:rsidR="00277C91" w:rsidRDefault="00277C91" w:rsidP="005965E6">
            <w:pPr>
              <w:jc w:val="center"/>
            </w:pPr>
            <w:r>
              <w:rPr>
                <w:color w:val="000000"/>
                <w:sz w:val="20"/>
              </w:rPr>
              <w:t>&lt;$57,750</w:t>
            </w:r>
          </w:p>
        </w:tc>
        <w:tc>
          <w:tcPr>
            <w:tcW w:w="2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4B2574" w14:textId="77777777" w:rsidR="00277C91" w:rsidRDefault="00277C91" w:rsidP="005965E6">
            <w:pPr>
              <w:jc w:val="center"/>
            </w:pPr>
            <w:r>
              <w:rPr>
                <w:color w:val="000000"/>
                <w:sz w:val="20"/>
              </w:rPr>
              <w:t>$57,750 to &lt;$92,400</w:t>
            </w:r>
          </w:p>
        </w:tc>
        <w:tc>
          <w:tcPr>
            <w:tcW w:w="21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8ACAE" w14:textId="77777777" w:rsidR="00277C91" w:rsidRDefault="00277C91" w:rsidP="005965E6">
            <w:pPr>
              <w:jc w:val="center"/>
            </w:pPr>
            <w:r>
              <w:rPr>
                <w:color w:val="000000"/>
                <w:sz w:val="20"/>
              </w:rPr>
              <w:t>$92,400 to &lt;$138,600</w:t>
            </w:r>
          </w:p>
        </w:tc>
        <w:tc>
          <w:tcPr>
            <w:tcW w:w="13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56B60" w14:textId="77777777" w:rsidR="00277C91" w:rsidRDefault="00277C91" w:rsidP="005965E6">
            <w:pPr>
              <w:jc w:val="center"/>
            </w:pPr>
            <w:r>
              <w:rPr>
                <w:color w:val="000000"/>
                <w:sz w:val="20"/>
              </w:rPr>
              <w:t>≥$138,600</w:t>
            </w:r>
          </w:p>
        </w:tc>
      </w:tr>
      <w:tr w:rsidR="009F0ED4" w14:paraId="2B3D4902" w14:textId="77777777" w:rsidTr="009F0ED4">
        <w:trPr>
          <w:trHeight w:val="188"/>
        </w:trPr>
        <w:tc>
          <w:tcPr>
            <w:tcW w:w="2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3EEDCCE" w14:textId="4898B1F0" w:rsidR="009F0ED4" w:rsidRDefault="009F0ED4" w:rsidP="009F0ED4">
            <w:pPr>
              <w:rPr>
                <w:color w:val="000000"/>
                <w:sz w:val="20"/>
              </w:rPr>
            </w:pPr>
            <w:r>
              <w:rPr>
                <w:color w:val="000000"/>
                <w:sz w:val="20"/>
              </w:rPr>
              <w:t>2020 ($118,800)</w:t>
            </w:r>
          </w:p>
        </w:tc>
        <w:tc>
          <w:tcPr>
            <w:tcW w:w="13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9849C" w14:textId="39FE0269" w:rsidR="009F0ED4" w:rsidRDefault="009F0ED4" w:rsidP="009F0ED4">
            <w:pPr>
              <w:jc w:val="center"/>
              <w:rPr>
                <w:color w:val="000000"/>
                <w:sz w:val="20"/>
              </w:rPr>
            </w:pPr>
            <w:r>
              <w:rPr>
                <w:color w:val="000000"/>
                <w:sz w:val="20"/>
              </w:rPr>
              <w:t>&lt;$59,400</w:t>
            </w:r>
          </w:p>
        </w:tc>
        <w:tc>
          <w:tcPr>
            <w:tcW w:w="2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109DF" w14:textId="40220B4E" w:rsidR="009F0ED4" w:rsidRDefault="009F0ED4" w:rsidP="009F0ED4">
            <w:pPr>
              <w:jc w:val="center"/>
              <w:rPr>
                <w:color w:val="000000"/>
                <w:sz w:val="20"/>
              </w:rPr>
            </w:pPr>
            <w:r>
              <w:rPr>
                <w:color w:val="000000"/>
                <w:sz w:val="20"/>
              </w:rPr>
              <w:t>$59,400 to &lt;$95,040</w:t>
            </w:r>
          </w:p>
        </w:tc>
        <w:tc>
          <w:tcPr>
            <w:tcW w:w="21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48880" w14:textId="4E1A1D3D" w:rsidR="009F0ED4" w:rsidRDefault="009F0ED4" w:rsidP="009F0ED4">
            <w:pPr>
              <w:jc w:val="center"/>
              <w:rPr>
                <w:color w:val="000000"/>
                <w:sz w:val="20"/>
              </w:rPr>
            </w:pPr>
            <w:r>
              <w:rPr>
                <w:color w:val="000000"/>
                <w:sz w:val="20"/>
              </w:rPr>
              <w:t>$95,040 to &lt;$142,560</w:t>
            </w:r>
          </w:p>
        </w:tc>
        <w:tc>
          <w:tcPr>
            <w:tcW w:w="13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58432" w14:textId="073078DD" w:rsidR="009F0ED4" w:rsidRDefault="009F0ED4" w:rsidP="009F0ED4">
            <w:pPr>
              <w:jc w:val="center"/>
              <w:rPr>
                <w:color w:val="000000"/>
                <w:sz w:val="20"/>
              </w:rPr>
            </w:pPr>
            <w:r>
              <w:rPr>
                <w:color w:val="000000"/>
                <w:sz w:val="20"/>
              </w:rPr>
              <w:t>≥$142,560</w:t>
            </w:r>
          </w:p>
        </w:tc>
      </w:tr>
      <w:tr w:rsidR="00277C91" w14:paraId="2ECD61C0" w14:textId="77777777" w:rsidTr="00A4016E">
        <w:trPr>
          <w:trHeight w:val="385"/>
        </w:trPr>
        <w:tc>
          <w:tcPr>
            <w:tcW w:w="934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8C73B1" w14:textId="77777777" w:rsidR="00277C91" w:rsidRDefault="00277C91" w:rsidP="005965E6">
            <w:r>
              <w:rPr>
                <w:i/>
                <w:color w:val="000000"/>
                <w:sz w:val="16"/>
              </w:rPr>
              <w:t>Source: FFIEC</w:t>
            </w:r>
          </w:p>
          <w:p w14:paraId="413F2724" w14:textId="2121FC8E" w:rsidR="00277C91" w:rsidRDefault="00277C91" w:rsidP="005965E6">
            <w:r>
              <w:rPr>
                <w:i/>
                <w:color w:val="000000"/>
                <w:sz w:val="16"/>
              </w:rPr>
              <w:t>Due to rounding, totals may not equal 100.0</w:t>
            </w:r>
          </w:p>
        </w:tc>
      </w:tr>
    </w:tbl>
    <w:p w14:paraId="182BDC24" w14:textId="5459BA0C" w:rsidR="00FE3129" w:rsidRDefault="00FE3129" w:rsidP="00DC4FAD">
      <w:pPr>
        <w:rPr>
          <w:bCs/>
          <w:iCs/>
        </w:rPr>
      </w:pPr>
    </w:p>
    <w:p w14:paraId="33A3DB98" w14:textId="669472DA" w:rsidR="00F243F1" w:rsidRDefault="00F243F1" w:rsidP="00F243F1">
      <w:pPr>
        <w:rPr>
          <w:bCs/>
          <w:iCs/>
        </w:rPr>
      </w:pPr>
      <w:r w:rsidRPr="001F33C3">
        <w:rPr>
          <w:bCs/>
          <w:iCs/>
        </w:rPr>
        <w:t xml:space="preserve">The Geographic Distribution criterion compares home mortgage loans to the distribution of </w:t>
      </w:r>
      <w:r w:rsidR="0031507F">
        <w:rPr>
          <w:bCs/>
          <w:iCs/>
        </w:rPr>
        <w:t>owner-occupied housing units.  There are o</w:t>
      </w:r>
      <w:r w:rsidRPr="001F33C3">
        <w:rPr>
          <w:bCs/>
          <w:iCs/>
        </w:rPr>
        <w:t>pportunities for home mortgage len</w:t>
      </w:r>
      <w:r w:rsidR="0031507F">
        <w:rPr>
          <w:bCs/>
          <w:iCs/>
        </w:rPr>
        <w:t xml:space="preserve">ding in the assessment area, as </w:t>
      </w:r>
      <w:r w:rsidR="009F0ED4">
        <w:rPr>
          <w:bCs/>
          <w:iCs/>
        </w:rPr>
        <w:t>61.3 percent of the 133,391</w:t>
      </w:r>
      <w:r w:rsidRPr="001F33C3">
        <w:rPr>
          <w:bCs/>
          <w:iCs/>
        </w:rPr>
        <w:t xml:space="preserve"> housing units are owner-occupied.  The remaining unit</w:t>
      </w:r>
      <w:r w:rsidR="009F0ED4">
        <w:rPr>
          <w:bCs/>
          <w:iCs/>
        </w:rPr>
        <w:t>s are occupied rental units (33.8</w:t>
      </w:r>
      <w:r w:rsidRPr="001F33C3">
        <w:rPr>
          <w:bCs/>
          <w:iCs/>
        </w:rPr>
        <w:t xml:space="preserve"> percent) and vacant un</w:t>
      </w:r>
      <w:r w:rsidR="009F0ED4">
        <w:rPr>
          <w:bCs/>
          <w:iCs/>
        </w:rPr>
        <w:t>its (4.9</w:t>
      </w:r>
      <w:r w:rsidRPr="001F33C3">
        <w:rPr>
          <w:bCs/>
          <w:iCs/>
        </w:rPr>
        <w:t xml:space="preserve"> percent).</w:t>
      </w:r>
      <w:r w:rsidR="003F2D27">
        <w:rPr>
          <w:bCs/>
          <w:iCs/>
        </w:rPr>
        <w:t xml:space="preserve">  </w:t>
      </w:r>
      <w:r w:rsidR="0031507F">
        <w:rPr>
          <w:bCs/>
          <w:iCs/>
        </w:rPr>
        <w:t xml:space="preserve">However, only 9.1 percent of owner occupied housing units in the assessment area are located in Lawrence, where all of the low- and moderate-income census tracts are located. </w:t>
      </w:r>
      <w:r w:rsidR="001D34A6">
        <w:rPr>
          <w:bCs/>
          <w:iCs/>
        </w:rPr>
        <w:t xml:space="preserve"> Additionally, </w:t>
      </w:r>
      <w:r w:rsidR="0031507F">
        <w:rPr>
          <w:bCs/>
          <w:iCs/>
        </w:rPr>
        <w:t>70.1 percent of the housing units in</w:t>
      </w:r>
      <w:r w:rsidR="004073BD">
        <w:rPr>
          <w:bCs/>
          <w:iCs/>
        </w:rPr>
        <w:t xml:space="preserve"> Lawrence are rental units.  The limited percentage of owner occupied housing units and high volume of rental units in Lawrence </w:t>
      </w:r>
      <w:r w:rsidR="0031507F">
        <w:rPr>
          <w:bCs/>
          <w:iCs/>
        </w:rPr>
        <w:t xml:space="preserve">presents limited opportunities for home mortgage lending in those geographies. </w:t>
      </w:r>
      <w:r w:rsidR="001D34A6">
        <w:rPr>
          <w:bCs/>
          <w:iCs/>
        </w:rPr>
        <w:t xml:space="preserve"> </w:t>
      </w:r>
      <w:r w:rsidR="003F2D27">
        <w:rPr>
          <w:bCs/>
          <w:iCs/>
        </w:rPr>
        <w:t>In addition, h</w:t>
      </w:r>
      <w:r w:rsidR="003F2D27">
        <w:t xml:space="preserve">ousing </w:t>
      </w:r>
      <w:r w:rsidR="0062414E">
        <w:t>is expensive</w:t>
      </w:r>
      <w:r w:rsidR="0031507F">
        <w:t xml:space="preserve"> in the assessment area.  The</w:t>
      </w:r>
      <w:r w:rsidR="003F2D27">
        <w:t xml:space="preserve"> median housing cost of </w:t>
      </w:r>
      <w:r w:rsidR="003F2D27" w:rsidRPr="00814B7C">
        <w:t>$</w:t>
      </w:r>
      <w:r w:rsidR="009F0ED4">
        <w:t>442,010</w:t>
      </w:r>
      <w:r w:rsidR="003F2D27" w:rsidRPr="00814B7C">
        <w:t xml:space="preserve"> </w:t>
      </w:r>
      <w:r w:rsidR="003F2D27">
        <w:t xml:space="preserve">is well above the United States </w:t>
      </w:r>
      <w:r w:rsidR="00CE7757">
        <w:t xml:space="preserve">(U.S.) </w:t>
      </w:r>
      <w:r w:rsidR="003F2D27">
        <w:t xml:space="preserve">average of </w:t>
      </w:r>
      <w:r w:rsidR="003F2D27" w:rsidRPr="00814B7C">
        <w:t>$22</w:t>
      </w:r>
      <w:r w:rsidR="003F2D27">
        <w:t>4</w:t>
      </w:r>
      <w:r w:rsidR="003F2D27" w:rsidRPr="00814B7C">
        <w:t>,</w:t>
      </w:r>
      <w:r w:rsidR="003F2D27">
        <w:t>511.</w:t>
      </w:r>
      <w:r w:rsidRPr="00F943CD">
        <w:rPr>
          <w:bCs/>
          <w:iCs/>
        </w:rPr>
        <w:t xml:space="preserve"> </w:t>
      </w:r>
    </w:p>
    <w:p w14:paraId="15D5D32A" w14:textId="77777777" w:rsidR="001D34A6" w:rsidRDefault="001D34A6" w:rsidP="00F243F1">
      <w:pPr>
        <w:rPr>
          <w:bCs/>
          <w:iCs/>
        </w:rPr>
      </w:pPr>
    </w:p>
    <w:p w14:paraId="302C2951" w14:textId="29DAD6D3" w:rsidR="00F243F1" w:rsidRPr="00322475" w:rsidRDefault="00A73720" w:rsidP="00F243F1">
      <w:pPr>
        <w:rPr>
          <w:bCs/>
          <w:iCs/>
          <w:highlight w:val="yellow"/>
        </w:rPr>
      </w:pPr>
      <w:r>
        <w:rPr>
          <w:bCs/>
          <w:iCs/>
        </w:rPr>
        <w:t>According to 2020</w:t>
      </w:r>
      <w:r w:rsidR="00854170">
        <w:rPr>
          <w:bCs/>
          <w:iCs/>
        </w:rPr>
        <w:t xml:space="preserve"> D&amp;B data, there were 33,367</w:t>
      </w:r>
      <w:r w:rsidR="00F243F1" w:rsidRPr="005227C6">
        <w:rPr>
          <w:bCs/>
          <w:iCs/>
        </w:rPr>
        <w:t xml:space="preserve"> non-farm businesses in the assessment area.  Gross annual revenues (GARs) for these businesses are below.</w:t>
      </w:r>
    </w:p>
    <w:p w14:paraId="2939CCC3" w14:textId="77777777" w:rsidR="00F243F1" w:rsidRPr="00322475" w:rsidRDefault="00F243F1" w:rsidP="00F243F1">
      <w:pPr>
        <w:rPr>
          <w:bCs/>
          <w:iCs/>
          <w:highlight w:val="yellow"/>
        </w:rPr>
      </w:pPr>
    </w:p>
    <w:p w14:paraId="2971217E" w14:textId="475EC1D0" w:rsidR="00F243F1" w:rsidRPr="00F851C8" w:rsidRDefault="00854170" w:rsidP="00F243F1">
      <w:pPr>
        <w:numPr>
          <w:ilvl w:val="0"/>
          <w:numId w:val="25"/>
        </w:numPr>
        <w:rPr>
          <w:bCs/>
          <w:iCs/>
        </w:rPr>
      </w:pPr>
      <w:r>
        <w:rPr>
          <w:bCs/>
          <w:iCs/>
        </w:rPr>
        <w:t>86.5</w:t>
      </w:r>
      <w:r w:rsidR="00F243F1" w:rsidRPr="00F851C8">
        <w:rPr>
          <w:bCs/>
          <w:iCs/>
        </w:rPr>
        <w:t xml:space="preserve"> percent have $1 million or less</w:t>
      </w:r>
    </w:p>
    <w:p w14:paraId="741EB1A4" w14:textId="193E29AC" w:rsidR="00F243F1" w:rsidRPr="00F851C8" w:rsidRDefault="00854170" w:rsidP="00F243F1">
      <w:pPr>
        <w:numPr>
          <w:ilvl w:val="0"/>
          <w:numId w:val="25"/>
        </w:numPr>
        <w:rPr>
          <w:bCs/>
          <w:iCs/>
        </w:rPr>
      </w:pPr>
      <w:r>
        <w:rPr>
          <w:bCs/>
          <w:iCs/>
        </w:rPr>
        <w:t>5.9</w:t>
      </w:r>
      <w:r w:rsidR="00F243F1" w:rsidRPr="00F851C8">
        <w:rPr>
          <w:bCs/>
          <w:iCs/>
        </w:rPr>
        <w:t xml:space="preserve"> percent have more than $1 million</w:t>
      </w:r>
    </w:p>
    <w:p w14:paraId="5891DCBC" w14:textId="00D16E8D" w:rsidR="00F243F1" w:rsidRPr="00F851C8" w:rsidRDefault="00854170" w:rsidP="00F243F1">
      <w:pPr>
        <w:numPr>
          <w:ilvl w:val="0"/>
          <w:numId w:val="25"/>
        </w:numPr>
        <w:rPr>
          <w:bCs/>
          <w:iCs/>
        </w:rPr>
      </w:pPr>
      <w:r>
        <w:rPr>
          <w:bCs/>
          <w:iCs/>
        </w:rPr>
        <w:t>7.6</w:t>
      </w:r>
      <w:r w:rsidR="00F243F1" w:rsidRPr="00F851C8">
        <w:rPr>
          <w:bCs/>
          <w:iCs/>
        </w:rPr>
        <w:t xml:space="preserve"> percent have unknown revenues  </w:t>
      </w:r>
    </w:p>
    <w:p w14:paraId="6ECDF162" w14:textId="77777777" w:rsidR="00F243F1" w:rsidRPr="00F851C8" w:rsidRDefault="00F243F1" w:rsidP="00F243F1">
      <w:pPr>
        <w:rPr>
          <w:bCs/>
          <w:iCs/>
        </w:rPr>
      </w:pPr>
    </w:p>
    <w:p w14:paraId="6DB23BAD" w14:textId="30F80316" w:rsidR="00F243F1" w:rsidRPr="00F943CD" w:rsidRDefault="00F243F1" w:rsidP="00F243F1">
      <w:pPr>
        <w:rPr>
          <w:bCs/>
          <w:iCs/>
        </w:rPr>
      </w:pPr>
      <w:r>
        <w:rPr>
          <w:bCs/>
          <w:iCs/>
        </w:rPr>
        <w:t>The analysis of small business</w:t>
      </w:r>
      <w:r w:rsidRPr="00F851C8">
        <w:rPr>
          <w:bCs/>
          <w:iCs/>
        </w:rPr>
        <w:t xml:space="preserve"> loans under the Borrower Profile criterion compares the distribution of businesses by GAR level.  Service industries represent the largest portion of businesses at </w:t>
      </w:r>
      <w:r w:rsidR="00854170">
        <w:rPr>
          <w:bCs/>
          <w:iCs/>
        </w:rPr>
        <w:t>42.7</w:t>
      </w:r>
      <w:r w:rsidRPr="00F851C8">
        <w:rPr>
          <w:bCs/>
          <w:iCs/>
        </w:rPr>
        <w:t xml:space="preserve"> percent; foll</w:t>
      </w:r>
      <w:r w:rsidR="00854170">
        <w:rPr>
          <w:bCs/>
          <w:iCs/>
        </w:rPr>
        <w:t>owed by non-classifiable at 18.9</w:t>
      </w:r>
      <w:r w:rsidRPr="00F851C8">
        <w:rPr>
          <w:bCs/>
          <w:iCs/>
        </w:rPr>
        <w:t xml:space="preserve"> percent;</w:t>
      </w:r>
      <w:r w:rsidR="00854170">
        <w:rPr>
          <w:bCs/>
          <w:iCs/>
        </w:rPr>
        <w:t xml:space="preserve"> finance, insurance and real estate at 9.9 percent, retail trade at 9.5</w:t>
      </w:r>
      <w:r w:rsidRPr="00F851C8">
        <w:rPr>
          <w:bCs/>
          <w:iCs/>
        </w:rPr>
        <w:t xml:space="preserve"> percent; </w:t>
      </w:r>
      <w:r w:rsidR="00854170">
        <w:rPr>
          <w:bCs/>
          <w:iCs/>
        </w:rPr>
        <w:t>and construction at 6.7</w:t>
      </w:r>
      <w:r w:rsidRPr="00F851C8">
        <w:rPr>
          <w:bCs/>
          <w:iCs/>
        </w:rPr>
        <w:t xml:space="preserve"> percent.  The vast majority of businesses in the assessment area are </w:t>
      </w:r>
      <w:r w:rsidR="0031507F">
        <w:rPr>
          <w:bCs/>
          <w:iCs/>
        </w:rPr>
        <w:t>very small.  This is supported by the fact that 82.</w:t>
      </w:r>
      <w:r w:rsidR="00854170">
        <w:rPr>
          <w:bCs/>
          <w:iCs/>
        </w:rPr>
        <w:t xml:space="preserve">8 </w:t>
      </w:r>
      <w:r w:rsidRPr="00F851C8">
        <w:rPr>
          <w:bCs/>
          <w:iCs/>
        </w:rPr>
        <w:t>percent of businesses have GARs</w:t>
      </w:r>
      <w:r w:rsidR="00854170">
        <w:rPr>
          <w:bCs/>
          <w:iCs/>
        </w:rPr>
        <w:t xml:space="preserve"> of less than $0.5 million, 62.5</w:t>
      </w:r>
      <w:r w:rsidRPr="00F851C8">
        <w:rPr>
          <w:bCs/>
          <w:iCs/>
        </w:rPr>
        <w:t xml:space="preserve"> percent of businesses have </w:t>
      </w:r>
      <w:r w:rsidR="00854170">
        <w:rPr>
          <w:bCs/>
          <w:iCs/>
        </w:rPr>
        <w:t>four or less employees, and 90.8</w:t>
      </w:r>
      <w:r w:rsidRPr="00F851C8">
        <w:rPr>
          <w:bCs/>
          <w:iCs/>
        </w:rPr>
        <w:t xml:space="preserve"> percent of businesses</w:t>
      </w:r>
      <w:r w:rsidR="0031507F">
        <w:rPr>
          <w:bCs/>
          <w:iCs/>
        </w:rPr>
        <w:t xml:space="preserve"> operate from a single location.  </w:t>
      </w:r>
    </w:p>
    <w:p w14:paraId="69A85E72" w14:textId="77777777" w:rsidR="00F243F1" w:rsidRPr="00F943CD" w:rsidRDefault="00F243F1" w:rsidP="00F243F1">
      <w:pPr>
        <w:rPr>
          <w:bCs/>
          <w:iCs/>
        </w:rPr>
      </w:pPr>
    </w:p>
    <w:p w14:paraId="1ED89697" w14:textId="7A722FA1" w:rsidR="00223609" w:rsidRDefault="00F243F1">
      <w:pPr>
        <w:rPr>
          <w:bCs/>
          <w:iCs/>
        </w:rPr>
      </w:pPr>
      <w:r w:rsidRPr="00F943CD">
        <w:rPr>
          <w:bCs/>
          <w:iCs/>
        </w:rPr>
        <w:t>Data obtained from the U. S. Bureau of Labor and Stat</w:t>
      </w:r>
      <w:r>
        <w:rPr>
          <w:bCs/>
          <w:iCs/>
        </w:rPr>
        <w:t xml:space="preserve">istics indicates that in </w:t>
      </w:r>
      <w:r w:rsidR="00A13EDA">
        <w:rPr>
          <w:bCs/>
          <w:iCs/>
        </w:rPr>
        <w:t>October</w:t>
      </w:r>
      <w:r>
        <w:rPr>
          <w:bCs/>
          <w:iCs/>
        </w:rPr>
        <w:t xml:space="preserve"> 2020, the unemployment rate was </w:t>
      </w:r>
      <w:r w:rsidR="00A13EDA">
        <w:rPr>
          <w:bCs/>
          <w:iCs/>
        </w:rPr>
        <w:t>7.4</w:t>
      </w:r>
      <w:r w:rsidRPr="00F943CD">
        <w:rPr>
          <w:bCs/>
          <w:iCs/>
        </w:rPr>
        <w:t xml:space="preserve"> percent statewide.</w:t>
      </w:r>
      <w:r>
        <w:rPr>
          <w:bCs/>
          <w:iCs/>
        </w:rPr>
        <w:t xml:space="preserve">  The unemployment rate in </w:t>
      </w:r>
      <w:r w:rsidR="00F97D28">
        <w:rPr>
          <w:bCs/>
          <w:iCs/>
        </w:rPr>
        <w:t>Essex</w:t>
      </w:r>
      <w:r w:rsidR="00A13EDA">
        <w:rPr>
          <w:bCs/>
          <w:iCs/>
        </w:rPr>
        <w:t xml:space="preserve"> County was slightly above the statewide </w:t>
      </w:r>
      <w:r w:rsidR="00CE7757">
        <w:rPr>
          <w:bCs/>
          <w:iCs/>
        </w:rPr>
        <w:t xml:space="preserve">rate </w:t>
      </w:r>
      <w:r w:rsidR="00A13EDA">
        <w:rPr>
          <w:bCs/>
          <w:iCs/>
        </w:rPr>
        <w:t>at 7.7 percent</w:t>
      </w:r>
      <w:r w:rsidR="00F97D28">
        <w:rPr>
          <w:bCs/>
          <w:iCs/>
        </w:rPr>
        <w:t xml:space="preserve"> and </w:t>
      </w:r>
      <w:r>
        <w:rPr>
          <w:bCs/>
          <w:iCs/>
        </w:rPr>
        <w:t>Middlesex</w:t>
      </w:r>
      <w:r w:rsidRPr="00F943CD">
        <w:rPr>
          <w:bCs/>
          <w:iCs/>
        </w:rPr>
        <w:t xml:space="preserve"> County was</w:t>
      </w:r>
      <w:r>
        <w:rPr>
          <w:bCs/>
          <w:iCs/>
        </w:rPr>
        <w:t xml:space="preserve"> </w:t>
      </w:r>
      <w:r w:rsidRPr="007E108B">
        <w:rPr>
          <w:bCs/>
          <w:iCs/>
        </w:rPr>
        <w:t>below the state</w:t>
      </w:r>
      <w:r w:rsidR="00CE7757">
        <w:rPr>
          <w:bCs/>
          <w:iCs/>
        </w:rPr>
        <w:t>wide rate</w:t>
      </w:r>
      <w:r w:rsidRPr="007E108B">
        <w:rPr>
          <w:bCs/>
          <w:iCs/>
        </w:rPr>
        <w:t xml:space="preserve"> at </w:t>
      </w:r>
      <w:r w:rsidR="00A13EDA">
        <w:rPr>
          <w:bCs/>
          <w:iCs/>
        </w:rPr>
        <w:t>6.1</w:t>
      </w:r>
      <w:r w:rsidRPr="007E108B">
        <w:rPr>
          <w:bCs/>
          <w:iCs/>
        </w:rPr>
        <w:t xml:space="preserve"> </w:t>
      </w:r>
      <w:r w:rsidR="0089672F" w:rsidRPr="007E108B">
        <w:rPr>
          <w:bCs/>
          <w:iCs/>
        </w:rPr>
        <w:t>percent</w:t>
      </w:r>
      <w:r w:rsidRPr="007E108B">
        <w:rPr>
          <w:bCs/>
          <w:iCs/>
        </w:rPr>
        <w:t xml:space="preserve"> in </w:t>
      </w:r>
      <w:r w:rsidR="00A13EDA">
        <w:rPr>
          <w:bCs/>
          <w:iCs/>
        </w:rPr>
        <w:t>October</w:t>
      </w:r>
      <w:r w:rsidRPr="007E108B">
        <w:rPr>
          <w:bCs/>
          <w:iCs/>
        </w:rPr>
        <w:t xml:space="preserve"> 2020.</w:t>
      </w:r>
      <w:r w:rsidR="003F2D27" w:rsidRPr="007E108B">
        <w:rPr>
          <w:bCs/>
          <w:iCs/>
        </w:rPr>
        <w:t xml:space="preserve">  </w:t>
      </w:r>
      <w:r w:rsidR="00223609">
        <w:rPr>
          <w:bCs/>
          <w:iCs/>
        </w:rPr>
        <w:t>For the previous evaluation, the</w:t>
      </w:r>
      <w:r w:rsidR="00223609" w:rsidRPr="00223609">
        <w:rPr>
          <w:bCs/>
          <w:iCs/>
        </w:rPr>
        <w:t xml:space="preserve"> unemplo</w:t>
      </w:r>
      <w:r w:rsidR="00223609">
        <w:rPr>
          <w:bCs/>
          <w:iCs/>
        </w:rPr>
        <w:t>yment rates were 3.8 percent in</w:t>
      </w:r>
      <w:r w:rsidR="00223609" w:rsidRPr="00223609">
        <w:rPr>
          <w:bCs/>
          <w:iCs/>
        </w:rPr>
        <w:t xml:space="preserve"> Essex County</w:t>
      </w:r>
      <w:r w:rsidR="00223609">
        <w:rPr>
          <w:bCs/>
          <w:iCs/>
        </w:rPr>
        <w:t xml:space="preserve"> and 3.0 percent in </w:t>
      </w:r>
      <w:r w:rsidR="00223609" w:rsidRPr="00223609">
        <w:rPr>
          <w:bCs/>
          <w:iCs/>
        </w:rPr>
        <w:t>Middlesex County.</w:t>
      </w:r>
      <w:r w:rsidR="00223609">
        <w:rPr>
          <w:bCs/>
          <w:iCs/>
        </w:rPr>
        <w:t xml:space="preserve"> </w:t>
      </w:r>
      <w:r w:rsidR="001D34A6">
        <w:rPr>
          <w:bCs/>
          <w:iCs/>
        </w:rPr>
        <w:t xml:space="preserve"> </w:t>
      </w:r>
      <w:r w:rsidR="00223609">
        <w:rPr>
          <w:bCs/>
          <w:iCs/>
        </w:rPr>
        <w:t xml:space="preserve">The increase in the unemployment rate in 2020 is a direct result of the pandemic.  The unemployment rate prior to 2020 was lower and similar to the previous evaluation. </w:t>
      </w:r>
    </w:p>
    <w:p w14:paraId="37A62E12" w14:textId="77777777" w:rsidR="00223609" w:rsidRDefault="00223609">
      <w:pPr>
        <w:rPr>
          <w:bCs/>
          <w:iCs/>
        </w:rPr>
      </w:pPr>
    </w:p>
    <w:p w14:paraId="0E6847A4" w14:textId="50973A85" w:rsidR="00F243F1" w:rsidRDefault="003F2D27">
      <w:pPr>
        <w:rPr>
          <w:bCs/>
          <w:iCs/>
        </w:rPr>
      </w:pPr>
      <w:r w:rsidRPr="007E108B">
        <w:rPr>
          <w:bCs/>
          <w:iCs/>
        </w:rPr>
        <w:t xml:space="preserve">Major employers in </w:t>
      </w:r>
      <w:r w:rsidR="007E108B" w:rsidRPr="007E108B">
        <w:rPr>
          <w:bCs/>
          <w:iCs/>
        </w:rPr>
        <w:t xml:space="preserve">Essex County are Raytheon Systems in Andover, Methuen Holy Family Hospital, and Lawrence General Hospital.  Major employers in Middlesex County </w:t>
      </w:r>
      <w:r w:rsidRPr="007E108B">
        <w:rPr>
          <w:bCs/>
          <w:iCs/>
        </w:rPr>
        <w:t xml:space="preserve">include </w:t>
      </w:r>
      <w:r w:rsidR="007E108B" w:rsidRPr="007E108B">
        <w:rPr>
          <w:bCs/>
          <w:iCs/>
        </w:rPr>
        <w:t>W</w:t>
      </w:r>
      <w:r w:rsidRPr="007E108B">
        <w:rPr>
          <w:bCs/>
          <w:iCs/>
        </w:rPr>
        <w:t>inchester Hospital</w:t>
      </w:r>
      <w:r w:rsidR="007E108B" w:rsidRPr="007E108B">
        <w:rPr>
          <w:bCs/>
          <w:iCs/>
        </w:rPr>
        <w:t>, Massachusetts Institute of Technology in Lexington</w:t>
      </w:r>
      <w:r w:rsidR="0062414E">
        <w:rPr>
          <w:bCs/>
          <w:iCs/>
        </w:rPr>
        <w:t>,</w:t>
      </w:r>
      <w:r w:rsidR="007E108B" w:rsidRPr="007E108B">
        <w:rPr>
          <w:bCs/>
          <w:iCs/>
        </w:rPr>
        <w:t xml:space="preserve"> and Teradyne in North Reading.</w:t>
      </w:r>
    </w:p>
    <w:p w14:paraId="402A2D05" w14:textId="77777777" w:rsidR="003D31E2" w:rsidRDefault="003D31E2">
      <w:pPr>
        <w:rPr>
          <w:bCs/>
          <w:iCs/>
        </w:rPr>
      </w:pPr>
    </w:p>
    <w:p w14:paraId="07327F5D" w14:textId="77777777" w:rsidR="00A05A5F" w:rsidRPr="00682927" w:rsidRDefault="00A05A5F" w:rsidP="00A05A5F">
      <w:pPr>
        <w:tabs>
          <w:tab w:val="left" w:pos="1260"/>
        </w:tabs>
        <w:rPr>
          <w:b/>
          <w:bCs/>
          <w:iCs/>
        </w:rPr>
      </w:pPr>
      <w:r w:rsidRPr="00682927">
        <w:rPr>
          <w:b/>
          <w:bCs/>
          <w:iCs/>
          <w:u w:val="single"/>
        </w:rPr>
        <w:t>Competition</w:t>
      </w:r>
    </w:p>
    <w:p w14:paraId="374CC211" w14:textId="77777777" w:rsidR="00A05A5F" w:rsidRDefault="00A05A5F" w:rsidP="00A05A5F">
      <w:pPr>
        <w:tabs>
          <w:tab w:val="left" w:pos="1260"/>
        </w:tabs>
        <w:rPr>
          <w:bCs/>
          <w:iCs/>
        </w:rPr>
      </w:pPr>
    </w:p>
    <w:p w14:paraId="16BDD142" w14:textId="65103D9E" w:rsidR="00722F06" w:rsidRDefault="00722F06" w:rsidP="00722F06">
      <w:pPr>
        <w:rPr>
          <w:b/>
          <w:bCs/>
          <w:iCs/>
        </w:rPr>
      </w:pPr>
      <w:r>
        <w:t xml:space="preserve">The bank operates in a </w:t>
      </w:r>
      <w:r w:rsidR="00AF4C96">
        <w:t xml:space="preserve">highly </w:t>
      </w:r>
      <w:r>
        <w:t>competitive market for financial services.  According to FDIC Deposit Marke</w:t>
      </w:r>
      <w:r w:rsidR="00A70CDF">
        <w:t>t Share data as of June 30, 2020</w:t>
      </w:r>
      <w:r>
        <w:t xml:space="preserve">, </w:t>
      </w:r>
      <w:r w:rsidR="00080C0C">
        <w:t>33</w:t>
      </w:r>
      <w:r>
        <w:t xml:space="preserve"> financial institutions operated </w:t>
      </w:r>
      <w:r w:rsidR="00080C0C">
        <w:t>132</w:t>
      </w:r>
      <w:r>
        <w:t xml:space="preserve"> offices in the assessment area.  Of these, </w:t>
      </w:r>
      <w:r w:rsidR="00080C0C">
        <w:t xml:space="preserve">Northmark Bank </w:t>
      </w:r>
      <w:r>
        <w:t xml:space="preserve">ranked </w:t>
      </w:r>
      <w:r w:rsidR="00080C0C">
        <w:t>15</w:t>
      </w:r>
      <w:r w:rsidRPr="003C43E3">
        <w:rPr>
          <w:vertAlign w:val="superscript"/>
        </w:rPr>
        <w:t>th</w:t>
      </w:r>
      <w:r>
        <w:t xml:space="preserve"> with </w:t>
      </w:r>
      <w:r w:rsidR="00080C0C">
        <w:t>1.9</w:t>
      </w:r>
      <w:r>
        <w:t xml:space="preserve"> percent </w:t>
      </w:r>
      <w:r w:rsidR="004073BD">
        <w:t>deposit</w:t>
      </w:r>
      <w:r>
        <w:t xml:space="preserve"> market share.  The top three banks were </w:t>
      </w:r>
      <w:r w:rsidR="00AF4C96">
        <w:t xml:space="preserve">Bank of America, Citizens Bank, and </w:t>
      </w:r>
      <w:r w:rsidR="00080C0C">
        <w:t>TD Bank.</w:t>
      </w:r>
      <w:r>
        <w:t xml:space="preserve">  Collectively, these three ban</w:t>
      </w:r>
      <w:r w:rsidR="00080C0C">
        <w:t>ks held 41</w:t>
      </w:r>
      <w:r w:rsidR="004925D6">
        <w:t>.0</w:t>
      </w:r>
      <w:r>
        <w:t xml:space="preserve"> percent of market share.</w:t>
      </w:r>
      <w:r w:rsidR="00A56D72">
        <w:t xml:space="preserve">  </w:t>
      </w:r>
      <w:r>
        <w:rPr>
          <w:b/>
          <w:bCs/>
          <w:iCs/>
        </w:rPr>
        <w:t xml:space="preserve">  </w:t>
      </w:r>
    </w:p>
    <w:p w14:paraId="0B11849B" w14:textId="77777777" w:rsidR="00722F06" w:rsidRDefault="00722F06" w:rsidP="00722F06"/>
    <w:p w14:paraId="04601D35" w14:textId="1056F0FA" w:rsidR="00D77DB5" w:rsidRDefault="00722F06" w:rsidP="00722F06">
      <w:pPr>
        <w:tabs>
          <w:tab w:val="left" w:pos="1260"/>
        </w:tabs>
        <w:rPr>
          <w:bCs/>
          <w:iCs/>
        </w:rPr>
      </w:pPr>
      <w:r w:rsidRPr="00562815">
        <w:rPr>
          <w:bCs/>
          <w:iCs/>
        </w:rPr>
        <w:t>There is a high level of competition for home mortgage loans among several banks, credit unions, and non-depository mortgage lenders.  In 201</w:t>
      </w:r>
      <w:r w:rsidR="000B6B47" w:rsidRPr="00562815">
        <w:rPr>
          <w:bCs/>
          <w:iCs/>
        </w:rPr>
        <w:t>9</w:t>
      </w:r>
      <w:r w:rsidRPr="00562815">
        <w:rPr>
          <w:bCs/>
          <w:iCs/>
        </w:rPr>
        <w:t xml:space="preserve">, </w:t>
      </w:r>
      <w:r w:rsidR="00562815" w:rsidRPr="00562815">
        <w:rPr>
          <w:bCs/>
          <w:iCs/>
        </w:rPr>
        <w:t>366</w:t>
      </w:r>
      <w:r w:rsidRPr="00562815">
        <w:rPr>
          <w:bCs/>
          <w:iCs/>
        </w:rPr>
        <w:t xml:space="preserve"> lenders </w:t>
      </w:r>
      <w:r w:rsidR="00562815" w:rsidRPr="00562815">
        <w:rPr>
          <w:bCs/>
          <w:iCs/>
        </w:rPr>
        <w:t>reported 15,423</w:t>
      </w:r>
      <w:r w:rsidRPr="00562815">
        <w:rPr>
          <w:bCs/>
          <w:iCs/>
        </w:rPr>
        <w:t xml:space="preserve"> residential mortgage loans originated or purchased.  </w:t>
      </w:r>
      <w:r w:rsidR="00080C0C" w:rsidRPr="00562815">
        <w:rPr>
          <w:bCs/>
          <w:iCs/>
        </w:rPr>
        <w:t xml:space="preserve">Northmark Bank </w:t>
      </w:r>
      <w:r w:rsidRPr="00562815">
        <w:rPr>
          <w:bCs/>
          <w:iCs/>
        </w:rPr>
        <w:t xml:space="preserve">ranked </w:t>
      </w:r>
      <w:r w:rsidR="00562815" w:rsidRPr="00562815">
        <w:rPr>
          <w:bCs/>
          <w:iCs/>
        </w:rPr>
        <w:t>41</w:t>
      </w:r>
      <w:r w:rsidR="00562815" w:rsidRPr="00562815">
        <w:rPr>
          <w:bCs/>
          <w:iCs/>
          <w:vertAlign w:val="superscript"/>
        </w:rPr>
        <w:t>st</w:t>
      </w:r>
      <w:r w:rsidR="00562815" w:rsidRPr="00562815">
        <w:rPr>
          <w:bCs/>
          <w:iCs/>
        </w:rPr>
        <w:t xml:space="preserve"> </w:t>
      </w:r>
      <w:r w:rsidR="00D65CF0" w:rsidRPr="00562815">
        <w:rPr>
          <w:bCs/>
          <w:iCs/>
        </w:rPr>
        <w:t>with</w:t>
      </w:r>
      <w:r w:rsidRPr="00562815">
        <w:rPr>
          <w:bCs/>
          <w:iCs/>
        </w:rPr>
        <w:t xml:space="preserve"> a market share of </w:t>
      </w:r>
      <w:r w:rsidR="0004186D" w:rsidRPr="00562815">
        <w:rPr>
          <w:bCs/>
          <w:iCs/>
        </w:rPr>
        <w:t>0.</w:t>
      </w:r>
      <w:r w:rsidR="00562815" w:rsidRPr="00562815">
        <w:rPr>
          <w:bCs/>
          <w:iCs/>
        </w:rPr>
        <w:t>56</w:t>
      </w:r>
      <w:r w:rsidR="0004186D" w:rsidRPr="00562815">
        <w:rPr>
          <w:bCs/>
          <w:iCs/>
        </w:rPr>
        <w:t xml:space="preserve"> </w:t>
      </w:r>
      <w:r w:rsidRPr="00562815">
        <w:rPr>
          <w:bCs/>
          <w:iCs/>
        </w:rPr>
        <w:t>percent</w:t>
      </w:r>
      <w:r w:rsidR="001E787A" w:rsidRPr="00562815">
        <w:rPr>
          <w:bCs/>
          <w:iCs/>
        </w:rPr>
        <w:t xml:space="preserve"> by number</w:t>
      </w:r>
      <w:r w:rsidRPr="00562815">
        <w:rPr>
          <w:bCs/>
          <w:iCs/>
        </w:rPr>
        <w:t>.</w:t>
      </w:r>
      <w:r w:rsidR="00562815" w:rsidRPr="00562815">
        <w:rPr>
          <w:bCs/>
          <w:iCs/>
        </w:rPr>
        <w:t xml:space="preserve"> </w:t>
      </w:r>
      <w:r w:rsidRPr="00562815">
        <w:rPr>
          <w:bCs/>
          <w:iCs/>
        </w:rPr>
        <w:t xml:space="preserve"> </w:t>
      </w:r>
      <w:r w:rsidR="001568BA">
        <w:rPr>
          <w:bCs/>
          <w:iCs/>
        </w:rPr>
        <w:t>The top 25 lenders were primarily large national and regional banks and mortgage companies.  Institutions closer in size to Northmark Bank, such as Winchester Co-operative Bank and Winchester Savings Bank, ranked 34</w:t>
      </w:r>
      <w:r w:rsidR="001568BA" w:rsidRPr="001568BA">
        <w:rPr>
          <w:bCs/>
          <w:iCs/>
          <w:vertAlign w:val="superscript"/>
        </w:rPr>
        <w:t>th</w:t>
      </w:r>
      <w:r w:rsidR="001568BA">
        <w:rPr>
          <w:bCs/>
          <w:iCs/>
        </w:rPr>
        <w:t xml:space="preserve"> and </w:t>
      </w:r>
      <w:r w:rsidR="0062414E">
        <w:rPr>
          <w:bCs/>
          <w:iCs/>
        </w:rPr>
        <w:t>47</w:t>
      </w:r>
      <w:r w:rsidR="0062414E" w:rsidRPr="001568BA">
        <w:rPr>
          <w:bCs/>
          <w:iCs/>
          <w:vertAlign w:val="superscript"/>
        </w:rPr>
        <w:t>th</w:t>
      </w:r>
      <w:r w:rsidR="0062414E">
        <w:rPr>
          <w:bCs/>
          <w:iCs/>
        </w:rPr>
        <w:t xml:space="preserve">, </w:t>
      </w:r>
      <w:r w:rsidR="001568BA">
        <w:rPr>
          <w:bCs/>
          <w:iCs/>
        </w:rPr>
        <w:t xml:space="preserve">respectively.  </w:t>
      </w:r>
      <w:r w:rsidR="00535FFC">
        <w:rPr>
          <w:bCs/>
          <w:iCs/>
        </w:rPr>
        <w:t>C</w:t>
      </w:r>
      <w:r w:rsidR="00750751">
        <w:rPr>
          <w:bCs/>
          <w:iCs/>
        </w:rPr>
        <w:t>itizens Bank, National Association; Bank of America; and Wells Fargo</w:t>
      </w:r>
      <w:r w:rsidR="00535FFC">
        <w:rPr>
          <w:bCs/>
          <w:iCs/>
        </w:rPr>
        <w:t xml:space="preserve"> were the top three lenders and </w:t>
      </w:r>
      <w:r w:rsidRPr="00562815">
        <w:rPr>
          <w:bCs/>
          <w:iCs/>
        </w:rPr>
        <w:t xml:space="preserve">accounted for </w:t>
      </w:r>
      <w:r w:rsidR="00562815" w:rsidRPr="00562815">
        <w:rPr>
          <w:bCs/>
          <w:iCs/>
        </w:rPr>
        <w:t>17.0</w:t>
      </w:r>
      <w:r w:rsidRPr="00562815">
        <w:rPr>
          <w:bCs/>
          <w:iCs/>
        </w:rPr>
        <w:t xml:space="preserve"> percent of total market share.</w:t>
      </w:r>
    </w:p>
    <w:p w14:paraId="7A2EB56B" w14:textId="77777777" w:rsidR="004A173C" w:rsidRDefault="004A173C" w:rsidP="00722F06">
      <w:pPr>
        <w:tabs>
          <w:tab w:val="left" w:pos="1260"/>
        </w:tabs>
        <w:rPr>
          <w:bCs/>
          <w:iCs/>
        </w:rPr>
      </w:pPr>
    </w:p>
    <w:p w14:paraId="5F341245" w14:textId="31C025E6" w:rsidR="00A05A5F" w:rsidRPr="00AF3260" w:rsidRDefault="00A05A5F" w:rsidP="00A05A5F">
      <w:pPr>
        <w:rPr>
          <w:b/>
        </w:rPr>
      </w:pPr>
      <w:r w:rsidRPr="00AF3260">
        <w:rPr>
          <w:b/>
          <w:u w:val="single"/>
        </w:rPr>
        <w:t>Community Contact</w:t>
      </w:r>
      <w:r w:rsidRPr="00AF3260">
        <w:rPr>
          <w:b/>
        </w:rPr>
        <w:t xml:space="preserve"> </w:t>
      </w:r>
    </w:p>
    <w:p w14:paraId="6BADCC23" w14:textId="77777777" w:rsidR="00A05A5F" w:rsidRDefault="00A05A5F" w:rsidP="00A05A5F">
      <w:pPr>
        <w:rPr>
          <w:highlight w:val="magenta"/>
        </w:rPr>
      </w:pPr>
    </w:p>
    <w:p w14:paraId="057D4A36" w14:textId="1E74844D" w:rsidR="00B113BB" w:rsidRDefault="00B113BB" w:rsidP="00B113BB">
      <w:pPr>
        <w:rPr>
          <w:bCs/>
          <w:iCs/>
        </w:rPr>
      </w:pPr>
      <w:r w:rsidRPr="008C1A1C">
        <w:rPr>
          <w:bCs/>
          <w:iCs/>
        </w:rPr>
        <w:t>As part of the evaluation process, examiners contact thi</w:t>
      </w:r>
      <w:r>
        <w:rPr>
          <w:bCs/>
          <w:iCs/>
        </w:rPr>
        <w:t>rd parties active in the</w:t>
      </w:r>
      <w:r w:rsidRPr="008C1A1C">
        <w:rPr>
          <w:bCs/>
          <w:iCs/>
        </w:rPr>
        <w:t xml:space="preserve"> assessment area to assist in identifying the credit and community development needs.  This information helps determine whether local financial institutions are responsive to these needs.  It also shows available credit and community development opport</w:t>
      </w:r>
      <w:r w:rsidR="00712337">
        <w:rPr>
          <w:bCs/>
          <w:iCs/>
        </w:rPr>
        <w:t>unities. </w:t>
      </w:r>
    </w:p>
    <w:p w14:paraId="77043D95" w14:textId="2EB4F134" w:rsidR="00712337" w:rsidRDefault="00712337" w:rsidP="00B113BB">
      <w:pPr>
        <w:rPr>
          <w:bCs/>
          <w:iCs/>
        </w:rPr>
      </w:pPr>
    </w:p>
    <w:p w14:paraId="5ED06544" w14:textId="6783F95B" w:rsidR="00497C2C" w:rsidRDefault="00712337" w:rsidP="00712337">
      <w:pPr>
        <w:rPr>
          <w:bCs/>
          <w:iCs/>
        </w:rPr>
      </w:pPr>
      <w:r w:rsidRPr="00E56C45">
        <w:rPr>
          <w:bCs/>
          <w:iCs/>
        </w:rPr>
        <w:t>Examiners contacted a representative from a</w:t>
      </w:r>
      <w:r w:rsidR="00497C2C">
        <w:rPr>
          <w:bCs/>
          <w:iCs/>
        </w:rPr>
        <w:t xml:space="preserve"> community development organization.  The contact indicated that affordable housing is a primary credit need in the community, noting that it is difficult to find jobs that pay enough for people to afford housing in the area.  The contact also discussed th</w:t>
      </w:r>
      <w:r w:rsidR="00CE7757">
        <w:rPr>
          <w:bCs/>
          <w:iCs/>
        </w:rPr>
        <w:t xml:space="preserve">e need </w:t>
      </w:r>
      <w:r w:rsidR="0044396E">
        <w:rPr>
          <w:bCs/>
          <w:iCs/>
        </w:rPr>
        <w:t>for small</w:t>
      </w:r>
      <w:r w:rsidR="00497C2C">
        <w:rPr>
          <w:bCs/>
          <w:iCs/>
        </w:rPr>
        <w:t xml:space="preserve"> business financing and counseling</w:t>
      </w:r>
      <w:r w:rsidR="00CE7757">
        <w:rPr>
          <w:bCs/>
          <w:iCs/>
        </w:rPr>
        <w:t>.</w:t>
      </w:r>
      <w:r w:rsidR="00497C2C">
        <w:rPr>
          <w:bCs/>
          <w:iCs/>
        </w:rPr>
        <w:t xml:space="preserve">  Lastly, the contact noted the need for more financial literacy</w:t>
      </w:r>
      <w:r w:rsidR="0043150E">
        <w:rPr>
          <w:bCs/>
          <w:iCs/>
        </w:rPr>
        <w:t xml:space="preserve"> programs</w:t>
      </w:r>
      <w:r w:rsidR="00497C2C">
        <w:rPr>
          <w:bCs/>
          <w:iCs/>
        </w:rPr>
        <w:t xml:space="preserve">.  </w:t>
      </w:r>
    </w:p>
    <w:p w14:paraId="357FC6DA" w14:textId="20A8D0C1" w:rsidR="00712337" w:rsidRPr="00E56C45" w:rsidRDefault="00712337" w:rsidP="00712337">
      <w:pPr>
        <w:rPr>
          <w:bCs/>
          <w:iCs/>
        </w:rPr>
      </w:pPr>
    </w:p>
    <w:p w14:paraId="01FC5A3D" w14:textId="77777777" w:rsidR="00712337" w:rsidRPr="00E56C45" w:rsidRDefault="00712337" w:rsidP="00712337">
      <w:pPr>
        <w:rPr>
          <w:b/>
          <w:bCs/>
          <w:iCs/>
          <w:u w:val="single"/>
        </w:rPr>
      </w:pPr>
      <w:r w:rsidRPr="00E56C45">
        <w:rPr>
          <w:b/>
          <w:bCs/>
          <w:iCs/>
          <w:u w:val="single"/>
        </w:rPr>
        <w:t>Credit and Community Development Needs and Opportunities</w:t>
      </w:r>
    </w:p>
    <w:p w14:paraId="491E7CBF" w14:textId="77777777" w:rsidR="00712337" w:rsidRPr="00E56C45" w:rsidRDefault="00712337" w:rsidP="00712337">
      <w:pPr>
        <w:rPr>
          <w:b/>
          <w:bCs/>
          <w:iCs/>
          <w:u w:val="single"/>
        </w:rPr>
      </w:pPr>
    </w:p>
    <w:p w14:paraId="6E9635B3" w14:textId="0DC31383" w:rsidR="00712337" w:rsidRPr="008C1A1C" w:rsidRDefault="00CE7757" w:rsidP="00712337">
      <w:pPr>
        <w:rPr>
          <w:bCs/>
          <w:iCs/>
        </w:rPr>
      </w:pPr>
      <w:r>
        <w:rPr>
          <w:bCs/>
          <w:iCs/>
        </w:rPr>
        <w:t>B</w:t>
      </w:r>
      <w:r w:rsidR="00712337" w:rsidRPr="00E56C45">
        <w:rPr>
          <w:bCs/>
          <w:iCs/>
        </w:rPr>
        <w:t>ased on demographic and economic information, discussions with management, and conversations with community contacts</w:t>
      </w:r>
      <w:r>
        <w:rPr>
          <w:bCs/>
          <w:iCs/>
        </w:rPr>
        <w:t>,</w:t>
      </w:r>
      <w:r w:rsidR="00712337" w:rsidRPr="00E56C45">
        <w:rPr>
          <w:bCs/>
          <w:iCs/>
        </w:rPr>
        <w:t xml:space="preserve"> </w:t>
      </w:r>
      <w:r>
        <w:rPr>
          <w:bCs/>
          <w:iCs/>
        </w:rPr>
        <w:t>e</w:t>
      </w:r>
      <w:r w:rsidR="00712337" w:rsidRPr="00E56C45">
        <w:rPr>
          <w:bCs/>
          <w:iCs/>
        </w:rPr>
        <w:t>xaminers determined th</w:t>
      </w:r>
      <w:r w:rsidR="0062414E">
        <w:rPr>
          <w:bCs/>
          <w:iCs/>
        </w:rPr>
        <w:t>at affordable housing is the community’s primary</w:t>
      </w:r>
      <w:r w:rsidR="00712337" w:rsidRPr="00E56C45">
        <w:rPr>
          <w:bCs/>
          <w:iCs/>
        </w:rPr>
        <w:t xml:space="preserve"> credit need</w:t>
      </w:r>
      <w:r w:rsidR="0062414E">
        <w:rPr>
          <w:bCs/>
          <w:iCs/>
        </w:rPr>
        <w:t>.</w:t>
      </w:r>
      <w:r w:rsidR="00712337" w:rsidRPr="00E56C45">
        <w:rPr>
          <w:bCs/>
          <w:iCs/>
        </w:rPr>
        <w:t xml:space="preserve">  </w:t>
      </w:r>
      <w:r w:rsidR="0062414E">
        <w:rPr>
          <w:bCs/>
          <w:iCs/>
        </w:rPr>
        <w:t>R</w:t>
      </w:r>
      <w:r w:rsidR="00712337" w:rsidRPr="00E56C45">
        <w:rPr>
          <w:bCs/>
          <w:iCs/>
        </w:rPr>
        <w:t xml:space="preserve">ising </w:t>
      </w:r>
      <w:r w:rsidR="0062414E">
        <w:rPr>
          <w:bCs/>
          <w:iCs/>
        </w:rPr>
        <w:t xml:space="preserve">real estate </w:t>
      </w:r>
      <w:r w:rsidR="0062414E" w:rsidRPr="00E56C45">
        <w:rPr>
          <w:bCs/>
          <w:iCs/>
        </w:rPr>
        <w:t>costs and</w:t>
      </w:r>
      <w:r w:rsidR="00712337" w:rsidRPr="00E56C45">
        <w:rPr>
          <w:bCs/>
          <w:iCs/>
        </w:rPr>
        <w:t xml:space="preserve"> </w:t>
      </w:r>
      <w:r w:rsidR="0062414E">
        <w:rPr>
          <w:bCs/>
          <w:iCs/>
        </w:rPr>
        <w:t xml:space="preserve">the </w:t>
      </w:r>
      <w:r w:rsidR="00712337" w:rsidRPr="00E56C45">
        <w:rPr>
          <w:bCs/>
          <w:iCs/>
        </w:rPr>
        <w:t>lack of available affordable housing units support this need.</w:t>
      </w:r>
    </w:p>
    <w:p w14:paraId="321F85D5" w14:textId="77777777" w:rsidR="007B7EA8" w:rsidRDefault="007B7EA8" w:rsidP="0095548F">
      <w:pPr>
        <w:jc w:val="center"/>
        <w:rPr>
          <w:b/>
          <w:bCs/>
          <w:sz w:val="28"/>
          <w:szCs w:val="28"/>
        </w:rPr>
      </w:pPr>
      <w:bookmarkStart w:id="1" w:name="_Toc18418962"/>
    </w:p>
    <w:p w14:paraId="7E5E0D4C" w14:textId="77777777" w:rsidR="0085405C" w:rsidRDefault="0085405C" w:rsidP="0095548F">
      <w:pPr>
        <w:jc w:val="center"/>
        <w:rPr>
          <w:b/>
          <w:bCs/>
          <w:sz w:val="28"/>
          <w:szCs w:val="28"/>
        </w:rPr>
      </w:pPr>
    </w:p>
    <w:bookmarkEnd w:id="1"/>
    <w:p w14:paraId="5DB1DC8D" w14:textId="27E631ED" w:rsidR="00B36C24" w:rsidRDefault="00B36C24" w:rsidP="00B36C24">
      <w:pPr>
        <w:tabs>
          <w:tab w:val="left" w:pos="1260"/>
        </w:tabs>
        <w:rPr>
          <w:bCs/>
          <w:iCs/>
        </w:rPr>
      </w:pPr>
      <w:r>
        <w:rPr>
          <w:bCs/>
          <w:iCs/>
        </w:rPr>
        <w:t xml:space="preserve"> </w:t>
      </w:r>
    </w:p>
    <w:p w14:paraId="0B66FA52" w14:textId="77777777" w:rsidR="00563BA0" w:rsidRPr="00630291" w:rsidRDefault="00630291" w:rsidP="00630291">
      <w:pPr>
        <w:pStyle w:val="QuickFormat1"/>
        <w:rPr>
          <w:color w:val="auto"/>
          <w:sz w:val="24"/>
          <w:szCs w:val="28"/>
          <w:lang w:val="en-US"/>
        </w:rPr>
      </w:pPr>
      <w:r>
        <w:rPr>
          <w:b w:val="0"/>
          <w:color w:val="auto"/>
          <w:sz w:val="24"/>
          <w:szCs w:val="28"/>
          <w:lang w:val="en-US"/>
        </w:rPr>
        <w:br w:type="page"/>
      </w:r>
      <w:bookmarkStart w:id="2" w:name="_Toc18418963"/>
      <w:r w:rsidR="00563BA0" w:rsidRPr="00630291">
        <w:rPr>
          <w:bCs/>
          <w:sz w:val="28"/>
          <w:szCs w:val="28"/>
        </w:rPr>
        <w:t>CONCLUSIONS ON PERFORMANCE CRITERIA</w:t>
      </w:r>
      <w:bookmarkEnd w:id="2"/>
    </w:p>
    <w:p w14:paraId="089DE140" w14:textId="77777777" w:rsidR="00563BA0" w:rsidRPr="00563BA0" w:rsidRDefault="00563BA0" w:rsidP="00563BA0"/>
    <w:p w14:paraId="2BD71657" w14:textId="77777777" w:rsidR="00563BA0" w:rsidRPr="00761267" w:rsidRDefault="00563BA0" w:rsidP="00563BA0">
      <w:pPr>
        <w:rPr>
          <w:b/>
          <w:bCs/>
          <w:u w:val="single"/>
        </w:rPr>
      </w:pPr>
      <w:r w:rsidRPr="00761267">
        <w:rPr>
          <w:b/>
          <w:bCs/>
          <w:u w:val="single"/>
        </w:rPr>
        <w:t>LENDING TEST</w:t>
      </w:r>
    </w:p>
    <w:p w14:paraId="7580C305" w14:textId="77777777" w:rsidR="00563BA0" w:rsidRDefault="00563BA0" w:rsidP="00563BA0">
      <w:pPr>
        <w:rPr>
          <w:iCs/>
        </w:rPr>
      </w:pPr>
    </w:p>
    <w:p w14:paraId="67C69897" w14:textId="33AFBA3B" w:rsidR="00C773BC" w:rsidRPr="005912EF" w:rsidRDefault="00DF03F4" w:rsidP="00C773BC">
      <w:pPr>
        <w:rPr>
          <w:color w:val="000000"/>
          <w:highlight w:val="yellow"/>
        </w:rPr>
      </w:pPr>
      <w:r>
        <w:rPr>
          <w:color w:val="000000"/>
        </w:rPr>
        <w:t xml:space="preserve">Northmark Bank </w:t>
      </w:r>
      <w:r w:rsidR="00C773BC" w:rsidRPr="00C2672A">
        <w:rPr>
          <w:color w:val="000000"/>
        </w:rPr>
        <w:t xml:space="preserve">demonstrated </w:t>
      </w:r>
      <w:r w:rsidR="00D5202F">
        <w:rPr>
          <w:color w:val="000000"/>
        </w:rPr>
        <w:t>reasonable</w:t>
      </w:r>
      <w:r w:rsidR="00C773BC" w:rsidRPr="00784ED0">
        <w:rPr>
          <w:color w:val="000000"/>
        </w:rPr>
        <w:t xml:space="preserve"> performance</w:t>
      </w:r>
      <w:r w:rsidR="00C773BC" w:rsidRPr="00C2672A">
        <w:rPr>
          <w:color w:val="000000"/>
        </w:rPr>
        <w:t xml:space="preserve"> under the Lending Test.  </w:t>
      </w:r>
      <w:r w:rsidR="0041307B">
        <w:rPr>
          <w:color w:val="000000"/>
        </w:rPr>
        <w:t xml:space="preserve">The </w:t>
      </w:r>
      <w:r w:rsidR="002D0DB7">
        <w:rPr>
          <w:color w:val="000000"/>
        </w:rPr>
        <w:t xml:space="preserve">LTD </w:t>
      </w:r>
      <w:r w:rsidR="00DE1CCB">
        <w:rPr>
          <w:color w:val="000000"/>
        </w:rPr>
        <w:t xml:space="preserve">Ratio, Assessment Area Concentration, and </w:t>
      </w:r>
      <w:r w:rsidR="00C773BC" w:rsidRPr="00C2672A">
        <w:rPr>
          <w:color w:val="000000"/>
        </w:rPr>
        <w:t>Geographic Distribution performance primarily support</w:t>
      </w:r>
      <w:r w:rsidR="00B37B9C">
        <w:rPr>
          <w:color w:val="000000"/>
        </w:rPr>
        <w:t xml:space="preserve"> </w:t>
      </w:r>
      <w:r w:rsidR="00C773BC" w:rsidRPr="00C2672A">
        <w:rPr>
          <w:color w:val="000000"/>
        </w:rPr>
        <w:t xml:space="preserve">this conclusion.  </w:t>
      </w:r>
    </w:p>
    <w:p w14:paraId="48D8C9C6" w14:textId="77777777" w:rsidR="00C773BC" w:rsidRPr="00563BA0" w:rsidRDefault="00C773BC" w:rsidP="00563BA0">
      <w:pPr>
        <w:rPr>
          <w:iCs/>
        </w:rPr>
      </w:pPr>
    </w:p>
    <w:p w14:paraId="3FC18081" w14:textId="77777777" w:rsidR="00563BA0" w:rsidRPr="00563BA0" w:rsidRDefault="00563BA0" w:rsidP="00563BA0">
      <w:r w:rsidRPr="00563BA0">
        <w:rPr>
          <w:b/>
          <w:bCs/>
          <w:u w:val="single"/>
        </w:rPr>
        <w:t>Loan-to-Deposit Ratio</w:t>
      </w:r>
    </w:p>
    <w:p w14:paraId="7D6BAAF4" w14:textId="77777777" w:rsidR="00563BA0" w:rsidRPr="00563BA0" w:rsidRDefault="00563BA0" w:rsidP="00563BA0"/>
    <w:p w14:paraId="268A4788" w14:textId="24B785FC" w:rsidR="005965E6" w:rsidRPr="004073ED" w:rsidRDefault="005965E6" w:rsidP="005965E6">
      <w:pPr>
        <w:tabs>
          <w:tab w:val="left" w:pos="1440"/>
          <w:tab w:val="left" w:pos="2160"/>
          <w:tab w:val="left" w:pos="2880"/>
          <w:tab w:val="left" w:pos="3600"/>
          <w:tab w:val="left" w:pos="5328"/>
          <w:tab w:val="left" w:pos="11520"/>
        </w:tabs>
        <w:rPr>
          <w:spacing w:val="-3"/>
        </w:rPr>
      </w:pPr>
      <w:r w:rsidRPr="004073ED">
        <w:rPr>
          <w:spacing w:val="-3"/>
        </w:rPr>
        <w:t xml:space="preserve">The LTD ratio is </w:t>
      </w:r>
      <w:r w:rsidR="00DF03F4">
        <w:rPr>
          <w:spacing w:val="-3"/>
        </w:rPr>
        <w:t xml:space="preserve">more than </w:t>
      </w:r>
      <w:r w:rsidRPr="004073ED">
        <w:rPr>
          <w:spacing w:val="-3"/>
        </w:rPr>
        <w:t xml:space="preserve">reasonable given the institution’s size, financial condition, and assessment area credit needs.  The bank’s LTD ratio, calculated from Call Report data, averaged </w:t>
      </w:r>
      <w:r w:rsidR="00750751">
        <w:rPr>
          <w:spacing w:val="-3"/>
        </w:rPr>
        <w:t>99.3</w:t>
      </w:r>
      <w:r w:rsidRPr="004073ED">
        <w:rPr>
          <w:spacing w:val="-3"/>
        </w:rPr>
        <w:t xml:space="preserve"> percent over the past </w:t>
      </w:r>
      <w:r w:rsidR="00750751">
        <w:rPr>
          <w:spacing w:val="-3"/>
        </w:rPr>
        <w:t>nine</w:t>
      </w:r>
      <w:r w:rsidRPr="004073ED">
        <w:rPr>
          <w:spacing w:val="-3"/>
        </w:rPr>
        <w:t xml:space="preserve"> c</w:t>
      </w:r>
      <w:r w:rsidR="00240994">
        <w:rPr>
          <w:spacing w:val="-3"/>
        </w:rPr>
        <w:t xml:space="preserve">alendar quarters from </w:t>
      </w:r>
      <w:r w:rsidR="00750751">
        <w:rPr>
          <w:spacing w:val="-3"/>
        </w:rPr>
        <w:t>September</w:t>
      </w:r>
      <w:r w:rsidR="00DF03F4">
        <w:rPr>
          <w:spacing w:val="-3"/>
        </w:rPr>
        <w:t xml:space="preserve"> 30, 2018 </w:t>
      </w:r>
      <w:r w:rsidRPr="004073ED">
        <w:rPr>
          <w:spacing w:val="-3"/>
        </w:rPr>
        <w:t xml:space="preserve">to </w:t>
      </w:r>
      <w:r w:rsidR="00DF03F4">
        <w:rPr>
          <w:spacing w:val="-3"/>
        </w:rPr>
        <w:t xml:space="preserve">September </w:t>
      </w:r>
      <w:r w:rsidR="0004186D">
        <w:rPr>
          <w:spacing w:val="-3"/>
        </w:rPr>
        <w:t>30, 2020</w:t>
      </w:r>
      <w:r w:rsidRPr="004073ED">
        <w:rPr>
          <w:spacing w:val="-3"/>
        </w:rPr>
        <w:t xml:space="preserve">.  The ratio ranged from a low of </w:t>
      </w:r>
      <w:r w:rsidR="00DF03F4">
        <w:rPr>
          <w:spacing w:val="-3"/>
        </w:rPr>
        <w:t>90.7</w:t>
      </w:r>
      <w:r w:rsidR="00240994">
        <w:rPr>
          <w:spacing w:val="-3"/>
        </w:rPr>
        <w:t xml:space="preserve"> percent as of </w:t>
      </w:r>
      <w:r w:rsidR="00AC670A">
        <w:rPr>
          <w:spacing w:val="-3"/>
        </w:rPr>
        <w:t>September 30</w:t>
      </w:r>
      <w:r w:rsidR="00240994">
        <w:rPr>
          <w:spacing w:val="-3"/>
        </w:rPr>
        <w:t xml:space="preserve">, </w:t>
      </w:r>
      <w:r w:rsidR="00DF03F4">
        <w:rPr>
          <w:spacing w:val="-3"/>
        </w:rPr>
        <w:t>2020</w:t>
      </w:r>
      <w:r w:rsidRPr="004073ED">
        <w:rPr>
          <w:spacing w:val="-3"/>
        </w:rPr>
        <w:t xml:space="preserve">, to a high of </w:t>
      </w:r>
      <w:r w:rsidR="00DF03F4">
        <w:rPr>
          <w:spacing w:val="-3"/>
        </w:rPr>
        <w:t>104.4</w:t>
      </w:r>
      <w:r w:rsidRPr="004073ED">
        <w:rPr>
          <w:spacing w:val="-3"/>
        </w:rPr>
        <w:t xml:space="preserve"> percent as of </w:t>
      </w:r>
      <w:r w:rsidR="00DF03F4">
        <w:rPr>
          <w:spacing w:val="-3"/>
        </w:rPr>
        <w:t>September 30</w:t>
      </w:r>
      <w:r w:rsidRPr="004073ED">
        <w:rPr>
          <w:spacing w:val="-3"/>
        </w:rPr>
        <w:t>, 201</w:t>
      </w:r>
      <w:r w:rsidR="00240994">
        <w:rPr>
          <w:spacing w:val="-3"/>
        </w:rPr>
        <w:t>8</w:t>
      </w:r>
      <w:r w:rsidRPr="004073ED">
        <w:rPr>
          <w:spacing w:val="-3"/>
        </w:rPr>
        <w:t xml:space="preserve">.  </w:t>
      </w:r>
      <w:r w:rsidR="00DF03F4">
        <w:rPr>
          <w:spacing w:val="-3"/>
        </w:rPr>
        <w:t xml:space="preserve">Northmark Bank </w:t>
      </w:r>
      <w:r w:rsidRPr="002D15C3">
        <w:rPr>
          <w:spacing w:val="-3"/>
        </w:rPr>
        <w:t>maintained a</w:t>
      </w:r>
      <w:r w:rsidR="00240994" w:rsidRPr="002D15C3">
        <w:rPr>
          <w:spacing w:val="-3"/>
        </w:rPr>
        <w:t xml:space="preserve"> </w:t>
      </w:r>
      <w:r w:rsidRPr="002D15C3">
        <w:rPr>
          <w:spacing w:val="-3"/>
        </w:rPr>
        <w:t xml:space="preserve">loan-to-deposit ratio </w:t>
      </w:r>
      <w:r w:rsidR="00DF03F4">
        <w:rPr>
          <w:spacing w:val="-3"/>
        </w:rPr>
        <w:t xml:space="preserve">above other </w:t>
      </w:r>
      <w:r w:rsidRPr="002D15C3">
        <w:rPr>
          <w:spacing w:val="-3"/>
        </w:rPr>
        <w:t>simi</w:t>
      </w:r>
      <w:r w:rsidR="00E56C45">
        <w:rPr>
          <w:spacing w:val="-3"/>
        </w:rPr>
        <w:t>larly situated institutions</w:t>
      </w:r>
      <w:r w:rsidR="00AC670A">
        <w:rPr>
          <w:spacing w:val="-3"/>
        </w:rPr>
        <w:t xml:space="preserve">. </w:t>
      </w:r>
      <w:r w:rsidRPr="002D15C3">
        <w:rPr>
          <w:spacing w:val="-3"/>
        </w:rPr>
        <w:t xml:space="preserve"> </w:t>
      </w:r>
      <w:r w:rsidR="00FC1505" w:rsidRPr="002D15C3">
        <w:rPr>
          <w:spacing w:val="-3"/>
        </w:rPr>
        <w:t>Examiners selected comparable institutions based on their asset size, geographic location, and lending focus</w:t>
      </w:r>
      <w:r w:rsidR="00FC1505">
        <w:rPr>
          <w:spacing w:val="-3"/>
        </w:rPr>
        <w:t>.</w:t>
      </w:r>
      <w:r w:rsidR="00FC1505" w:rsidRPr="002D15C3">
        <w:rPr>
          <w:spacing w:val="-3"/>
        </w:rPr>
        <w:t xml:space="preserve"> </w:t>
      </w:r>
      <w:r w:rsidR="003D31E2">
        <w:rPr>
          <w:spacing w:val="-3"/>
        </w:rPr>
        <w:t xml:space="preserve"> </w:t>
      </w:r>
      <w:r w:rsidRPr="002D15C3">
        <w:rPr>
          <w:spacing w:val="-3"/>
        </w:rPr>
        <w:t>The following table contains th</w:t>
      </w:r>
      <w:r w:rsidR="00E56C45">
        <w:rPr>
          <w:spacing w:val="-3"/>
        </w:rPr>
        <w:t>e bank’s ratio and those of similarly situated institutions</w:t>
      </w:r>
      <w:r w:rsidRPr="002D15C3">
        <w:rPr>
          <w:spacing w:val="-3"/>
        </w:rPr>
        <w:t>.</w:t>
      </w:r>
      <w:r>
        <w:rPr>
          <w:spacing w:val="-3"/>
        </w:rPr>
        <w:t xml:space="preserve"> </w:t>
      </w:r>
    </w:p>
    <w:p w14:paraId="21E6EDAC" w14:textId="77777777" w:rsidR="00563BA0" w:rsidRDefault="00563BA0" w:rsidP="00563BA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5"/>
        <w:gridCol w:w="1735"/>
        <w:gridCol w:w="2008"/>
      </w:tblGrid>
      <w:tr w:rsidR="005965E6" w:rsidRPr="00211F5D" w14:paraId="1D9E4B34" w14:textId="77777777" w:rsidTr="00211F5D">
        <w:trPr>
          <w:trHeight w:hRule="exact" w:val="360"/>
          <w:tblHeader/>
          <w:jc w:val="center"/>
        </w:trPr>
        <w:tc>
          <w:tcPr>
            <w:tcW w:w="7488" w:type="dxa"/>
            <w:gridSpan w:val="3"/>
            <w:shd w:val="clear" w:color="auto" w:fill="auto"/>
            <w:vAlign w:val="center"/>
          </w:tcPr>
          <w:p w14:paraId="33389AFB" w14:textId="77777777" w:rsidR="005965E6" w:rsidRPr="00211F5D" w:rsidRDefault="005965E6" w:rsidP="00211F5D">
            <w:pPr>
              <w:keepNext/>
              <w:widowControl w:val="0"/>
              <w:jc w:val="center"/>
              <w:rPr>
                <w:b/>
                <w:color w:val="000000"/>
                <w:sz w:val="20"/>
                <w:szCs w:val="22"/>
              </w:rPr>
            </w:pPr>
            <w:r w:rsidRPr="00211F5D">
              <w:rPr>
                <w:b/>
                <w:color w:val="000000"/>
                <w:sz w:val="20"/>
                <w:szCs w:val="22"/>
              </w:rPr>
              <w:t>Loan-to-Deposit (LTD) Ratio Comparison</w:t>
            </w:r>
          </w:p>
        </w:tc>
      </w:tr>
      <w:tr w:rsidR="005965E6" w:rsidRPr="00211F5D" w14:paraId="13F37D89" w14:textId="77777777" w:rsidTr="00211F5D">
        <w:trPr>
          <w:trHeight w:val="288"/>
          <w:jc w:val="center"/>
        </w:trPr>
        <w:tc>
          <w:tcPr>
            <w:tcW w:w="3745" w:type="dxa"/>
            <w:shd w:val="clear" w:color="auto" w:fill="auto"/>
            <w:vAlign w:val="center"/>
          </w:tcPr>
          <w:p w14:paraId="5CB7D052" w14:textId="77777777" w:rsidR="005965E6" w:rsidRPr="00211F5D" w:rsidRDefault="005965E6" w:rsidP="00211F5D">
            <w:pPr>
              <w:keepNext/>
              <w:widowControl w:val="0"/>
              <w:rPr>
                <w:b/>
                <w:sz w:val="20"/>
                <w:szCs w:val="22"/>
              </w:rPr>
            </w:pPr>
            <w:r w:rsidRPr="00211F5D">
              <w:rPr>
                <w:b/>
                <w:sz w:val="20"/>
                <w:szCs w:val="22"/>
              </w:rPr>
              <w:t>Bank</w:t>
            </w:r>
          </w:p>
        </w:tc>
        <w:tc>
          <w:tcPr>
            <w:tcW w:w="1735" w:type="dxa"/>
            <w:shd w:val="clear" w:color="auto" w:fill="auto"/>
            <w:vAlign w:val="center"/>
          </w:tcPr>
          <w:p w14:paraId="12BFD01B" w14:textId="77777777" w:rsidR="005965E6" w:rsidRPr="00211F5D" w:rsidRDefault="005965E6" w:rsidP="00211F5D">
            <w:pPr>
              <w:keepNext/>
              <w:widowControl w:val="0"/>
              <w:jc w:val="center"/>
              <w:rPr>
                <w:b/>
                <w:sz w:val="20"/>
                <w:szCs w:val="22"/>
              </w:rPr>
            </w:pPr>
            <w:r w:rsidRPr="00211F5D">
              <w:rPr>
                <w:b/>
                <w:sz w:val="20"/>
                <w:szCs w:val="22"/>
              </w:rPr>
              <w:t>Total Assets as of</w:t>
            </w:r>
          </w:p>
          <w:p w14:paraId="639F4804" w14:textId="71510456" w:rsidR="005965E6" w:rsidRPr="00211F5D" w:rsidRDefault="00F711CA" w:rsidP="00211F5D">
            <w:pPr>
              <w:keepNext/>
              <w:widowControl w:val="0"/>
              <w:jc w:val="center"/>
              <w:rPr>
                <w:b/>
                <w:sz w:val="20"/>
                <w:szCs w:val="22"/>
              </w:rPr>
            </w:pPr>
            <w:r>
              <w:rPr>
                <w:b/>
                <w:sz w:val="20"/>
                <w:szCs w:val="22"/>
              </w:rPr>
              <w:t>9</w:t>
            </w:r>
            <w:r w:rsidR="00E90589">
              <w:rPr>
                <w:b/>
                <w:sz w:val="20"/>
                <w:szCs w:val="22"/>
              </w:rPr>
              <w:t>/30/2020</w:t>
            </w:r>
          </w:p>
          <w:p w14:paraId="709AA1BC" w14:textId="77777777" w:rsidR="005965E6" w:rsidRPr="00211F5D" w:rsidRDefault="005965E6" w:rsidP="00211F5D">
            <w:pPr>
              <w:keepNext/>
              <w:widowControl w:val="0"/>
              <w:jc w:val="center"/>
              <w:rPr>
                <w:b/>
                <w:sz w:val="20"/>
                <w:szCs w:val="22"/>
              </w:rPr>
            </w:pPr>
            <w:r w:rsidRPr="00211F5D">
              <w:rPr>
                <w:b/>
                <w:sz w:val="20"/>
                <w:szCs w:val="22"/>
              </w:rPr>
              <w:t>($000s)</w:t>
            </w:r>
          </w:p>
        </w:tc>
        <w:tc>
          <w:tcPr>
            <w:tcW w:w="2008" w:type="dxa"/>
            <w:shd w:val="clear" w:color="auto" w:fill="auto"/>
            <w:vAlign w:val="center"/>
          </w:tcPr>
          <w:p w14:paraId="773B92CB" w14:textId="77777777" w:rsidR="005965E6" w:rsidRPr="00211F5D" w:rsidRDefault="005965E6" w:rsidP="00211F5D">
            <w:pPr>
              <w:keepNext/>
              <w:widowControl w:val="0"/>
              <w:jc w:val="center"/>
              <w:rPr>
                <w:b/>
                <w:color w:val="000000"/>
                <w:sz w:val="20"/>
                <w:szCs w:val="22"/>
              </w:rPr>
            </w:pPr>
            <w:r w:rsidRPr="00211F5D">
              <w:rPr>
                <w:b/>
                <w:color w:val="000000"/>
                <w:sz w:val="20"/>
                <w:szCs w:val="22"/>
              </w:rPr>
              <w:t xml:space="preserve">Average Net </w:t>
            </w:r>
          </w:p>
          <w:p w14:paraId="437B6C5C" w14:textId="77777777" w:rsidR="005965E6" w:rsidRPr="00211F5D" w:rsidRDefault="005965E6" w:rsidP="00211F5D">
            <w:pPr>
              <w:keepNext/>
              <w:widowControl w:val="0"/>
              <w:jc w:val="center"/>
              <w:rPr>
                <w:b/>
                <w:color w:val="000000"/>
                <w:sz w:val="20"/>
                <w:szCs w:val="22"/>
              </w:rPr>
            </w:pPr>
            <w:r w:rsidRPr="00211F5D">
              <w:rPr>
                <w:b/>
                <w:color w:val="000000"/>
                <w:sz w:val="20"/>
                <w:szCs w:val="22"/>
              </w:rPr>
              <w:t>LTD Ratio</w:t>
            </w:r>
          </w:p>
          <w:p w14:paraId="70F8CD93" w14:textId="77777777" w:rsidR="005965E6" w:rsidRPr="00211F5D" w:rsidRDefault="005965E6" w:rsidP="00211F5D">
            <w:pPr>
              <w:keepNext/>
              <w:widowControl w:val="0"/>
              <w:jc w:val="center"/>
              <w:rPr>
                <w:b/>
                <w:color w:val="000000"/>
                <w:sz w:val="20"/>
                <w:szCs w:val="22"/>
              </w:rPr>
            </w:pPr>
            <w:r w:rsidRPr="00211F5D">
              <w:rPr>
                <w:b/>
                <w:color w:val="000000"/>
                <w:sz w:val="20"/>
                <w:szCs w:val="22"/>
              </w:rPr>
              <w:t>(%)</w:t>
            </w:r>
          </w:p>
        </w:tc>
      </w:tr>
      <w:tr w:rsidR="005965E6" w:rsidRPr="00211F5D" w14:paraId="429A8C42" w14:textId="77777777" w:rsidTr="00211F5D">
        <w:trPr>
          <w:trHeight w:val="288"/>
          <w:jc w:val="center"/>
        </w:trPr>
        <w:tc>
          <w:tcPr>
            <w:tcW w:w="3745" w:type="dxa"/>
            <w:shd w:val="clear" w:color="auto" w:fill="auto"/>
            <w:vAlign w:val="center"/>
          </w:tcPr>
          <w:p w14:paraId="7F23B16E" w14:textId="520366CE" w:rsidR="005965E6" w:rsidRPr="00211F5D" w:rsidRDefault="008E72C9" w:rsidP="00211F5D">
            <w:pPr>
              <w:keepNext/>
              <w:widowControl w:val="0"/>
              <w:rPr>
                <w:b/>
                <w:sz w:val="20"/>
                <w:szCs w:val="22"/>
              </w:rPr>
            </w:pPr>
            <w:r>
              <w:rPr>
                <w:b/>
                <w:sz w:val="20"/>
                <w:szCs w:val="22"/>
              </w:rPr>
              <w:t>Northmark Bank</w:t>
            </w:r>
          </w:p>
        </w:tc>
        <w:tc>
          <w:tcPr>
            <w:tcW w:w="1735" w:type="dxa"/>
            <w:shd w:val="clear" w:color="auto" w:fill="auto"/>
            <w:vAlign w:val="center"/>
          </w:tcPr>
          <w:p w14:paraId="175ABFCD" w14:textId="17CC50FA" w:rsidR="005965E6" w:rsidRPr="00211F5D" w:rsidRDefault="00164108" w:rsidP="00211F5D">
            <w:pPr>
              <w:keepNext/>
              <w:widowControl w:val="0"/>
              <w:jc w:val="center"/>
              <w:rPr>
                <w:b/>
                <w:sz w:val="20"/>
                <w:szCs w:val="22"/>
              </w:rPr>
            </w:pPr>
            <w:r>
              <w:rPr>
                <w:b/>
                <w:sz w:val="20"/>
                <w:szCs w:val="22"/>
              </w:rPr>
              <w:t>$417,301</w:t>
            </w:r>
          </w:p>
        </w:tc>
        <w:tc>
          <w:tcPr>
            <w:tcW w:w="2008" w:type="dxa"/>
            <w:shd w:val="clear" w:color="auto" w:fill="auto"/>
            <w:vAlign w:val="center"/>
          </w:tcPr>
          <w:p w14:paraId="0F7CD240" w14:textId="2981FCA0" w:rsidR="005965E6" w:rsidRPr="00211F5D" w:rsidRDefault="00750751" w:rsidP="00211F5D">
            <w:pPr>
              <w:keepNext/>
              <w:widowControl w:val="0"/>
              <w:jc w:val="center"/>
              <w:rPr>
                <w:b/>
                <w:color w:val="000000"/>
                <w:sz w:val="20"/>
                <w:szCs w:val="22"/>
              </w:rPr>
            </w:pPr>
            <w:r>
              <w:rPr>
                <w:b/>
                <w:color w:val="000000"/>
                <w:sz w:val="20"/>
                <w:szCs w:val="22"/>
              </w:rPr>
              <w:t>99.3</w:t>
            </w:r>
          </w:p>
        </w:tc>
      </w:tr>
      <w:tr w:rsidR="005965E6" w:rsidRPr="00211F5D" w14:paraId="299F7FDB" w14:textId="77777777" w:rsidTr="00211F5D">
        <w:trPr>
          <w:trHeight w:val="288"/>
          <w:jc w:val="center"/>
        </w:trPr>
        <w:tc>
          <w:tcPr>
            <w:tcW w:w="3745" w:type="dxa"/>
            <w:shd w:val="clear" w:color="auto" w:fill="auto"/>
            <w:vAlign w:val="center"/>
          </w:tcPr>
          <w:p w14:paraId="3E03A3DB" w14:textId="0194F81F" w:rsidR="005965E6" w:rsidRPr="00211F5D" w:rsidRDefault="008E72C9" w:rsidP="00211F5D">
            <w:pPr>
              <w:keepNext/>
              <w:widowControl w:val="0"/>
              <w:rPr>
                <w:sz w:val="20"/>
                <w:szCs w:val="22"/>
              </w:rPr>
            </w:pPr>
            <w:r>
              <w:rPr>
                <w:sz w:val="20"/>
                <w:szCs w:val="22"/>
              </w:rPr>
              <w:t>Winchester Savings Bank</w:t>
            </w:r>
          </w:p>
        </w:tc>
        <w:tc>
          <w:tcPr>
            <w:tcW w:w="1735" w:type="dxa"/>
            <w:shd w:val="clear" w:color="auto" w:fill="auto"/>
            <w:vAlign w:val="center"/>
          </w:tcPr>
          <w:p w14:paraId="2CB1E745" w14:textId="52237317" w:rsidR="005965E6" w:rsidRPr="00211F5D" w:rsidRDefault="00F711CA" w:rsidP="00211F5D">
            <w:pPr>
              <w:keepNext/>
              <w:widowControl w:val="0"/>
              <w:jc w:val="center"/>
              <w:rPr>
                <w:sz w:val="20"/>
                <w:szCs w:val="22"/>
              </w:rPr>
            </w:pPr>
            <w:r>
              <w:rPr>
                <w:sz w:val="20"/>
                <w:szCs w:val="22"/>
              </w:rPr>
              <w:t>$594,712</w:t>
            </w:r>
          </w:p>
        </w:tc>
        <w:tc>
          <w:tcPr>
            <w:tcW w:w="2008" w:type="dxa"/>
            <w:shd w:val="clear" w:color="auto" w:fill="auto"/>
            <w:vAlign w:val="center"/>
          </w:tcPr>
          <w:p w14:paraId="40020C52" w14:textId="09357D6F" w:rsidR="005965E6" w:rsidRPr="00211F5D" w:rsidRDefault="00750751" w:rsidP="00211F5D">
            <w:pPr>
              <w:keepNext/>
              <w:widowControl w:val="0"/>
              <w:jc w:val="center"/>
              <w:rPr>
                <w:color w:val="000000"/>
                <w:sz w:val="20"/>
                <w:szCs w:val="22"/>
              </w:rPr>
            </w:pPr>
            <w:r>
              <w:rPr>
                <w:color w:val="000000"/>
                <w:sz w:val="20"/>
                <w:szCs w:val="22"/>
              </w:rPr>
              <w:t>88.6</w:t>
            </w:r>
          </w:p>
        </w:tc>
      </w:tr>
      <w:tr w:rsidR="00F711CA" w:rsidRPr="00211F5D" w14:paraId="6E304858" w14:textId="77777777" w:rsidTr="00211F5D">
        <w:trPr>
          <w:trHeight w:val="288"/>
          <w:jc w:val="center"/>
        </w:trPr>
        <w:tc>
          <w:tcPr>
            <w:tcW w:w="3745" w:type="dxa"/>
            <w:shd w:val="clear" w:color="auto" w:fill="auto"/>
            <w:vAlign w:val="center"/>
          </w:tcPr>
          <w:p w14:paraId="0D28A7A5" w14:textId="5C22E11F" w:rsidR="00F711CA" w:rsidRDefault="000E32E4" w:rsidP="00211F5D">
            <w:pPr>
              <w:keepNext/>
              <w:widowControl w:val="0"/>
              <w:rPr>
                <w:sz w:val="20"/>
                <w:szCs w:val="22"/>
              </w:rPr>
            </w:pPr>
            <w:r>
              <w:rPr>
                <w:sz w:val="20"/>
                <w:szCs w:val="22"/>
              </w:rPr>
              <w:t>The Savings Bank, Wakefield</w:t>
            </w:r>
          </w:p>
        </w:tc>
        <w:tc>
          <w:tcPr>
            <w:tcW w:w="1735" w:type="dxa"/>
            <w:shd w:val="clear" w:color="auto" w:fill="auto"/>
            <w:vAlign w:val="center"/>
          </w:tcPr>
          <w:p w14:paraId="6BB412B8" w14:textId="57BE9ACB" w:rsidR="00F711CA" w:rsidRPr="00211F5D" w:rsidRDefault="0029198A" w:rsidP="00211F5D">
            <w:pPr>
              <w:keepNext/>
              <w:widowControl w:val="0"/>
              <w:jc w:val="center"/>
              <w:rPr>
                <w:sz w:val="20"/>
                <w:szCs w:val="22"/>
              </w:rPr>
            </w:pPr>
            <w:r>
              <w:rPr>
                <w:sz w:val="20"/>
                <w:szCs w:val="22"/>
              </w:rPr>
              <w:t>$655,631</w:t>
            </w:r>
          </w:p>
        </w:tc>
        <w:tc>
          <w:tcPr>
            <w:tcW w:w="2008" w:type="dxa"/>
            <w:shd w:val="clear" w:color="auto" w:fill="auto"/>
            <w:vAlign w:val="center"/>
          </w:tcPr>
          <w:p w14:paraId="763F1C5E" w14:textId="515DE074" w:rsidR="00F711CA" w:rsidRPr="00211F5D" w:rsidRDefault="0029198A" w:rsidP="00750751">
            <w:pPr>
              <w:keepNext/>
              <w:widowControl w:val="0"/>
              <w:jc w:val="center"/>
              <w:rPr>
                <w:color w:val="000000"/>
                <w:sz w:val="20"/>
                <w:szCs w:val="22"/>
              </w:rPr>
            </w:pPr>
            <w:r>
              <w:rPr>
                <w:color w:val="000000"/>
                <w:sz w:val="20"/>
                <w:szCs w:val="22"/>
              </w:rPr>
              <w:t>9</w:t>
            </w:r>
            <w:r w:rsidR="00750751">
              <w:rPr>
                <w:color w:val="000000"/>
                <w:sz w:val="20"/>
                <w:szCs w:val="22"/>
              </w:rPr>
              <w:t>3.9</w:t>
            </w:r>
          </w:p>
        </w:tc>
      </w:tr>
      <w:tr w:rsidR="005965E6" w:rsidRPr="00211F5D" w14:paraId="4E42F952" w14:textId="77777777" w:rsidTr="00211F5D">
        <w:trPr>
          <w:trHeight w:val="288"/>
          <w:jc w:val="center"/>
        </w:trPr>
        <w:tc>
          <w:tcPr>
            <w:tcW w:w="7488" w:type="dxa"/>
            <w:gridSpan w:val="3"/>
            <w:shd w:val="clear" w:color="auto" w:fill="auto"/>
            <w:vAlign w:val="center"/>
          </w:tcPr>
          <w:p w14:paraId="016301A6" w14:textId="49CD2F13" w:rsidR="005965E6" w:rsidRPr="00211F5D" w:rsidRDefault="005965E6" w:rsidP="00164108">
            <w:pPr>
              <w:keepNext/>
              <w:widowControl w:val="0"/>
              <w:rPr>
                <w:i/>
                <w:color w:val="000000"/>
                <w:sz w:val="16"/>
                <w:szCs w:val="16"/>
              </w:rPr>
            </w:pPr>
            <w:r w:rsidRPr="00211F5D">
              <w:rPr>
                <w:i/>
                <w:color w:val="000000"/>
                <w:sz w:val="16"/>
                <w:szCs w:val="16"/>
              </w:rPr>
              <w:t xml:space="preserve">Source:  Reports of Condition and Income </w:t>
            </w:r>
            <w:r w:rsidR="00750751">
              <w:rPr>
                <w:i/>
                <w:color w:val="000000"/>
                <w:sz w:val="16"/>
                <w:szCs w:val="16"/>
              </w:rPr>
              <w:t>9</w:t>
            </w:r>
            <w:r w:rsidRPr="00211F5D">
              <w:rPr>
                <w:i/>
                <w:color w:val="000000"/>
                <w:sz w:val="16"/>
                <w:szCs w:val="16"/>
              </w:rPr>
              <w:t>/</w:t>
            </w:r>
            <w:r w:rsidR="00164108">
              <w:rPr>
                <w:i/>
                <w:color w:val="000000"/>
                <w:sz w:val="16"/>
                <w:szCs w:val="16"/>
              </w:rPr>
              <w:t>30</w:t>
            </w:r>
            <w:r w:rsidRPr="00211F5D">
              <w:rPr>
                <w:i/>
                <w:color w:val="000000"/>
                <w:sz w:val="16"/>
                <w:szCs w:val="16"/>
              </w:rPr>
              <w:t>/</w:t>
            </w:r>
            <w:r w:rsidR="00164108">
              <w:rPr>
                <w:i/>
                <w:color w:val="000000"/>
                <w:sz w:val="16"/>
                <w:szCs w:val="16"/>
              </w:rPr>
              <w:t>2018</w:t>
            </w:r>
            <w:r w:rsidRPr="00211F5D">
              <w:rPr>
                <w:i/>
                <w:color w:val="000000"/>
                <w:sz w:val="16"/>
                <w:szCs w:val="16"/>
              </w:rPr>
              <w:t xml:space="preserve"> </w:t>
            </w:r>
            <w:r w:rsidR="000722F3">
              <w:rPr>
                <w:i/>
                <w:color w:val="000000"/>
                <w:sz w:val="16"/>
                <w:szCs w:val="16"/>
              </w:rPr>
              <w:t>–</w:t>
            </w:r>
            <w:r w:rsidRPr="00211F5D">
              <w:rPr>
                <w:i/>
                <w:color w:val="000000"/>
                <w:sz w:val="16"/>
                <w:szCs w:val="16"/>
              </w:rPr>
              <w:t xml:space="preserve"> </w:t>
            </w:r>
            <w:r w:rsidR="00164108">
              <w:rPr>
                <w:i/>
                <w:color w:val="000000"/>
                <w:sz w:val="16"/>
                <w:szCs w:val="16"/>
              </w:rPr>
              <w:t>9</w:t>
            </w:r>
            <w:r w:rsidR="000722F3">
              <w:rPr>
                <w:i/>
                <w:color w:val="000000"/>
                <w:sz w:val="16"/>
                <w:szCs w:val="16"/>
              </w:rPr>
              <w:t>/30/2020</w:t>
            </w:r>
          </w:p>
        </w:tc>
      </w:tr>
    </w:tbl>
    <w:p w14:paraId="7A63AB95" w14:textId="77777777" w:rsidR="005965E6" w:rsidRPr="00563BA0" w:rsidRDefault="005965E6" w:rsidP="00563BA0"/>
    <w:p w14:paraId="5CBA74E7" w14:textId="77777777" w:rsidR="00563BA0" w:rsidRPr="00563BA0" w:rsidRDefault="00563BA0" w:rsidP="00563BA0">
      <w:pPr>
        <w:rPr>
          <w:b/>
          <w:u w:val="single"/>
        </w:rPr>
      </w:pPr>
      <w:r w:rsidRPr="00563BA0">
        <w:rPr>
          <w:b/>
          <w:u w:val="single"/>
        </w:rPr>
        <w:t>Assessment Area Concentration</w:t>
      </w:r>
    </w:p>
    <w:p w14:paraId="7823B2D5" w14:textId="77777777" w:rsidR="00563BA0" w:rsidRDefault="00563BA0" w:rsidP="00563BA0">
      <w:pPr>
        <w:rPr>
          <w:iCs/>
        </w:rPr>
      </w:pPr>
    </w:p>
    <w:p w14:paraId="0C908B52" w14:textId="18E78760" w:rsidR="000722F3" w:rsidRDefault="006F6F9F" w:rsidP="00563BA0">
      <w:pPr>
        <w:rPr>
          <w:iCs/>
        </w:rPr>
      </w:pPr>
      <w:r w:rsidRPr="006F6F9F">
        <w:rPr>
          <w:iCs/>
        </w:rPr>
        <w:t xml:space="preserve">The bank made the majority of home mortgage </w:t>
      </w:r>
      <w:r w:rsidR="001526AA">
        <w:rPr>
          <w:iCs/>
        </w:rPr>
        <w:t xml:space="preserve">and small business </w:t>
      </w:r>
      <w:r w:rsidRPr="006F6F9F">
        <w:rPr>
          <w:iCs/>
        </w:rPr>
        <w:t>loans, by number</w:t>
      </w:r>
      <w:r w:rsidR="00116053">
        <w:rPr>
          <w:iCs/>
        </w:rPr>
        <w:t xml:space="preserve"> and dollar volume </w:t>
      </w:r>
      <w:r w:rsidR="006C7BB0">
        <w:rPr>
          <w:iCs/>
        </w:rPr>
        <w:t>with</w:t>
      </w:r>
      <w:r w:rsidR="00116053">
        <w:rPr>
          <w:iCs/>
        </w:rPr>
        <w:t>in its assessment area.</w:t>
      </w:r>
      <w:r w:rsidR="00E56C45">
        <w:rPr>
          <w:iCs/>
        </w:rPr>
        <w:t xml:space="preserve">  Please s</w:t>
      </w:r>
      <w:r w:rsidRPr="006F6F9F">
        <w:rPr>
          <w:iCs/>
        </w:rPr>
        <w:t>ee the following table.</w:t>
      </w:r>
    </w:p>
    <w:p w14:paraId="0B8FFD23" w14:textId="2BD8ACA7" w:rsidR="00116053" w:rsidRDefault="00116053" w:rsidP="00442183">
      <w:pPr>
        <w:rPr>
          <w:iCs/>
        </w:rPr>
      </w:pPr>
    </w:p>
    <w:p w14:paraId="326448CD" w14:textId="6A9D3B4B" w:rsidR="00442183" w:rsidRDefault="00442183" w:rsidP="00442183">
      <w:pPr>
        <w:rPr>
          <w:iCs/>
        </w:rPr>
      </w:pPr>
    </w:p>
    <w:p w14:paraId="2CF88D5B" w14:textId="299B994C" w:rsidR="00442183" w:rsidRDefault="00442183" w:rsidP="00442183">
      <w:pPr>
        <w:rPr>
          <w:iCs/>
        </w:rPr>
      </w:pPr>
    </w:p>
    <w:p w14:paraId="5154CF60" w14:textId="1838864F" w:rsidR="00442183" w:rsidRDefault="00442183" w:rsidP="00442183">
      <w:pPr>
        <w:rPr>
          <w:iCs/>
        </w:rPr>
      </w:pPr>
    </w:p>
    <w:p w14:paraId="4B855625" w14:textId="73FECD95" w:rsidR="00442183" w:rsidRDefault="00442183" w:rsidP="00442183">
      <w:pPr>
        <w:rPr>
          <w:iCs/>
        </w:rPr>
      </w:pPr>
    </w:p>
    <w:p w14:paraId="1121CA0A" w14:textId="0BF647EB" w:rsidR="00442183" w:rsidRDefault="00442183" w:rsidP="00442183">
      <w:pPr>
        <w:rPr>
          <w:iCs/>
        </w:rPr>
      </w:pPr>
    </w:p>
    <w:p w14:paraId="0231CCB4" w14:textId="3F729C78" w:rsidR="00442183" w:rsidRDefault="00442183" w:rsidP="00442183">
      <w:pPr>
        <w:rPr>
          <w:iCs/>
        </w:rPr>
      </w:pPr>
    </w:p>
    <w:p w14:paraId="2AE98375" w14:textId="693000B5" w:rsidR="00442183" w:rsidRDefault="00442183" w:rsidP="00442183">
      <w:pPr>
        <w:rPr>
          <w:iCs/>
        </w:rPr>
      </w:pPr>
    </w:p>
    <w:p w14:paraId="7198219A" w14:textId="29892B13" w:rsidR="00442183" w:rsidRDefault="00442183" w:rsidP="00442183">
      <w:pPr>
        <w:rPr>
          <w:iCs/>
        </w:rPr>
      </w:pPr>
    </w:p>
    <w:p w14:paraId="0E464ED3" w14:textId="12144CBF" w:rsidR="00442183" w:rsidRDefault="00442183" w:rsidP="00442183">
      <w:pPr>
        <w:rPr>
          <w:iCs/>
        </w:rPr>
      </w:pPr>
    </w:p>
    <w:p w14:paraId="2FD0EA25" w14:textId="77777777" w:rsidR="005852B1" w:rsidRDefault="005852B1" w:rsidP="00442183">
      <w:pPr>
        <w:rPr>
          <w:iCs/>
        </w:rPr>
      </w:pPr>
    </w:p>
    <w:p w14:paraId="62FCC419" w14:textId="71E37F36" w:rsidR="00442183" w:rsidRDefault="00442183" w:rsidP="00442183">
      <w:pPr>
        <w:rPr>
          <w:iCs/>
        </w:rPr>
      </w:pPr>
    </w:p>
    <w:p w14:paraId="3F942949" w14:textId="3AAC50AE" w:rsidR="00442183" w:rsidRDefault="00442183" w:rsidP="00442183">
      <w:pPr>
        <w:rPr>
          <w:iCs/>
        </w:rPr>
      </w:pPr>
    </w:p>
    <w:p w14:paraId="72E1DDFA" w14:textId="11C44772" w:rsidR="00442183" w:rsidRPr="00442183" w:rsidRDefault="00442183" w:rsidP="00442183">
      <w:pPr>
        <w:rPr>
          <w:iCs/>
        </w:rPr>
      </w:pPr>
    </w:p>
    <w:tbl>
      <w:tblPr>
        <w:tblW w:w="0" w:type="auto"/>
        <w:tblCellMar>
          <w:left w:w="0" w:type="dxa"/>
          <w:right w:w="0" w:type="dxa"/>
        </w:tblCellMar>
        <w:tblLook w:val="0000" w:firstRow="0" w:lastRow="0" w:firstColumn="0" w:lastColumn="0" w:noHBand="0" w:noVBand="0"/>
      </w:tblPr>
      <w:tblGrid>
        <w:gridCol w:w="1693"/>
        <w:gridCol w:w="872"/>
        <w:gridCol w:w="614"/>
        <w:gridCol w:w="828"/>
        <w:gridCol w:w="546"/>
        <w:gridCol w:w="838"/>
        <w:gridCol w:w="944"/>
        <w:gridCol w:w="614"/>
        <w:gridCol w:w="908"/>
        <w:gridCol w:w="578"/>
        <w:gridCol w:w="907"/>
      </w:tblGrid>
      <w:tr w:rsidR="00116053" w:rsidRPr="00F13632" w14:paraId="3E0B679B" w14:textId="77777777" w:rsidTr="00116053">
        <w:trPr>
          <w:trHeight w:val="282"/>
        </w:trPr>
        <w:tc>
          <w:tcPr>
            <w:tcW w:w="9342" w:type="dxa"/>
            <w:gridSpan w:val="11"/>
            <w:tcBorders>
              <w:top w:val="single" w:sz="7" w:space="0" w:color="000000"/>
              <w:left w:val="single" w:sz="7" w:space="0" w:color="000000"/>
              <w:right w:val="single" w:sz="7" w:space="0" w:color="000000"/>
            </w:tcBorders>
            <w:tcMar>
              <w:top w:w="39" w:type="dxa"/>
              <w:left w:w="39" w:type="dxa"/>
              <w:bottom w:w="39" w:type="dxa"/>
              <w:right w:w="39" w:type="dxa"/>
            </w:tcMar>
          </w:tcPr>
          <w:p w14:paraId="2DEED26D" w14:textId="52BA5DC8" w:rsidR="00116053" w:rsidRPr="00F13632" w:rsidRDefault="00116053" w:rsidP="00FC5212">
            <w:pPr>
              <w:jc w:val="center"/>
              <w:rPr>
                <w:sz w:val="20"/>
                <w:szCs w:val="20"/>
              </w:rPr>
            </w:pPr>
            <w:r w:rsidRPr="00F13632">
              <w:rPr>
                <w:b/>
                <w:color w:val="000000"/>
                <w:sz w:val="20"/>
                <w:szCs w:val="20"/>
              </w:rPr>
              <w:t>Le</w:t>
            </w:r>
            <w:r>
              <w:rPr>
                <w:b/>
                <w:color w:val="000000"/>
                <w:sz w:val="20"/>
                <w:szCs w:val="20"/>
              </w:rPr>
              <w:t xml:space="preserve">nding Inside and Outside of the </w:t>
            </w:r>
            <w:r w:rsidRPr="00F13632">
              <w:rPr>
                <w:b/>
                <w:color w:val="000000"/>
                <w:sz w:val="20"/>
                <w:szCs w:val="20"/>
              </w:rPr>
              <w:t>Assessment Area</w:t>
            </w:r>
          </w:p>
        </w:tc>
      </w:tr>
      <w:tr w:rsidR="00116053" w:rsidRPr="00F13632" w14:paraId="77823F6B" w14:textId="77777777" w:rsidTr="00116053">
        <w:trPr>
          <w:trHeight w:val="210"/>
        </w:trPr>
        <w:tc>
          <w:tcPr>
            <w:tcW w:w="1693"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56926E23" w14:textId="77777777" w:rsidR="00116053" w:rsidRPr="00F13632" w:rsidRDefault="00116053" w:rsidP="00FC5212">
            <w:pPr>
              <w:rPr>
                <w:sz w:val="20"/>
                <w:szCs w:val="20"/>
              </w:rPr>
            </w:pPr>
          </w:p>
        </w:tc>
        <w:tc>
          <w:tcPr>
            <w:tcW w:w="28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A9823D5" w14:textId="77777777" w:rsidR="00116053" w:rsidRPr="00F13632" w:rsidRDefault="00116053" w:rsidP="00FC5212">
            <w:pPr>
              <w:jc w:val="center"/>
              <w:rPr>
                <w:sz w:val="20"/>
                <w:szCs w:val="20"/>
              </w:rPr>
            </w:pPr>
            <w:r w:rsidRPr="00F13632">
              <w:rPr>
                <w:b/>
                <w:color w:val="000000"/>
                <w:sz w:val="20"/>
                <w:szCs w:val="20"/>
              </w:rPr>
              <w:t>Number of Loans</w:t>
            </w:r>
          </w:p>
        </w:tc>
        <w:tc>
          <w:tcPr>
            <w:tcW w:w="838"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49A38A87" w14:textId="77777777" w:rsidR="00116053" w:rsidRPr="00F13632" w:rsidRDefault="00116053" w:rsidP="00FC5212">
            <w:pPr>
              <w:rPr>
                <w:sz w:val="20"/>
                <w:szCs w:val="20"/>
              </w:rPr>
            </w:pPr>
          </w:p>
        </w:tc>
        <w:tc>
          <w:tcPr>
            <w:tcW w:w="304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2064951" w14:textId="77777777" w:rsidR="00116053" w:rsidRPr="00F13632" w:rsidRDefault="00116053" w:rsidP="00FC5212">
            <w:pPr>
              <w:jc w:val="center"/>
              <w:rPr>
                <w:sz w:val="20"/>
                <w:szCs w:val="20"/>
              </w:rPr>
            </w:pPr>
            <w:r w:rsidRPr="00F13632">
              <w:rPr>
                <w:b/>
                <w:color w:val="000000"/>
                <w:sz w:val="20"/>
                <w:szCs w:val="20"/>
              </w:rPr>
              <w:t>Dollar Amount of Loans $(000s)</w:t>
            </w:r>
          </w:p>
        </w:tc>
        <w:tc>
          <w:tcPr>
            <w:tcW w:w="907"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66376DF5" w14:textId="77777777" w:rsidR="00116053" w:rsidRPr="00F13632" w:rsidRDefault="00116053" w:rsidP="00FC5212">
            <w:pPr>
              <w:rPr>
                <w:sz w:val="20"/>
                <w:szCs w:val="20"/>
              </w:rPr>
            </w:pPr>
          </w:p>
        </w:tc>
      </w:tr>
      <w:tr w:rsidR="00116053" w:rsidRPr="00F13632" w14:paraId="7CF95B80" w14:textId="77777777" w:rsidTr="00116053">
        <w:trPr>
          <w:trHeight w:val="210"/>
        </w:trPr>
        <w:tc>
          <w:tcPr>
            <w:tcW w:w="1693" w:type="dxa"/>
            <w:tcBorders>
              <w:left w:val="single" w:sz="7" w:space="0" w:color="000000"/>
              <w:right w:val="single" w:sz="7" w:space="0" w:color="000000"/>
            </w:tcBorders>
            <w:tcMar>
              <w:top w:w="39" w:type="dxa"/>
              <w:left w:w="39" w:type="dxa"/>
              <w:bottom w:w="39" w:type="dxa"/>
              <w:right w:w="39" w:type="dxa"/>
            </w:tcMar>
            <w:vAlign w:val="center"/>
          </w:tcPr>
          <w:p w14:paraId="5AC7EFE5" w14:textId="77777777" w:rsidR="00116053" w:rsidRPr="00F13632" w:rsidRDefault="00116053" w:rsidP="00FC5212">
            <w:pPr>
              <w:rPr>
                <w:sz w:val="20"/>
                <w:szCs w:val="20"/>
              </w:rPr>
            </w:pPr>
            <w:r w:rsidRPr="00F13632">
              <w:rPr>
                <w:b/>
                <w:color w:val="000000"/>
                <w:sz w:val="20"/>
                <w:szCs w:val="20"/>
              </w:rPr>
              <w:t>Loan Category</w:t>
            </w:r>
          </w:p>
        </w:tc>
        <w:tc>
          <w:tcPr>
            <w:tcW w:w="148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34B0021" w14:textId="77777777" w:rsidR="00116053" w:rsidRPr="00F13632" w:rsidRDefault="00116053" w:rsidP="00FC5212">
            <w:pPr>
              <w:jc w:val="center"/>
              <w:rPr>
                <w:sz w:val="20"/>
                <w:szCs w:val="20"/>
              </w:rPr>
            </w:pPr>
            <w:r w:rsidRPr="00F13632">
              <w:rPr>
                <w:b/>
                <w:color w:val="000000"/>
                <w:sz w:val="20"/>
                <w:szCs w:val="20"/>
              </w:rPr>
              <w:t>Inside</w:t>
            </w:r>
          </w:p>
        </w:tc>
        <w:tc>
          <w:tcPr>
            <w:tcW w:w="1374"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F50C6F5" w14:textId="77777777" w:rsidR="00116053" w:rsidRPr="00F13632" w:rsidRDefault="00116053" w:rsidP="00FC5212">
            <w:pPr>
              <w:jc w:val="center"/>
              <w:rPr>
                <w:sz w:val="20"/>
                <w:szCs w:val="20"/>
              </w:rPr>
            </w:pPr>
            <w:r w:rsidRPr="00F13632">
              <w:rPr>
                <w:b/>
                <w:color w:val="000000"/>
                <w:sz w:val="20"/>
                <w:szCs w:val="20"/>
              </w:rPr>
              <w:t>Outside</w:t>
            </w:r>
          </w:p>
        </w:tc>
        <w:tc>
          <w:tcPr>
            <w:tcW w:w="838" w:type="dxa"/>
            <w:tcBorders>
              <w:left w:val="single" w:sz="7" w:space="0" w:color="000000"/>
              <w:right w:val="single" w:sz="7" w:space="0" w:color="000000"/>
            </w:tcBorders>
            <w:tcMar>
              <w:top w:w="0" w:type="dxa"/>
              <w:left w:w="39" w:type="dxa"/>
              <w:bottom w:w="39" w:type="dxa"/>
              <w:right w:w="39" w:type="dxa"/>
            </w:tcMar>
          </w:tcPr>
          <w:p w14:paraId="48ED7E18" w14:textId="77777777" w:rsidR="00116053" w:rsidRPr="00F13632" w:rsidRDefault="00116053" w:rsidP="00FC5212">
            <w:pPr>
              <w:jc w:val="center"/>
              <w:rPr>
                <w:sz w:val="20"/>
                <w:szCs w:val="20"/>
              </w:rPr>
            </w:pPr>
            <w:r w:rsidRPr="00F13632">
              <w:rPr>
                <w:b/>
                <w:color w:val="000000"/>
                <w:sz w:val="20"/>
                <w:szCs w:val="20"/>
              </w:rPr>
              <w:t>Total</w:t>
            </w:r>
          </w:p>
        </w:tc>
        <w:tc>
          <w:tcPr>
            <w:tcW w:w="1558"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A0B376F" w14:textId="77777777" w:rsidR="00116053" w:rsidRPr="00F13632" w:rsidRDefault="00116053" w:rsidP="00FC5212">
            <w:pPr>
              <w:jc w:val="center"/>
              <w:rPr>
                <w:sz w:val="20"/>
                <w:szCs w:val="20"/>
              </w:rPr>
            </w:pPr>
            <w:r w:rsidRPr="00F13632">
              <w:rPr>
                <w:b/>
                <w:color w:val="000000"/>
                <w:sz w:val="20"/>
                <w:szCs w:val="20"/>
              </w:rPr>
              <w:t>Inside</w:t>
            </w:r>
          </w:p>
        </w:tc>
        <w:tc>
          <w:tcPr>
            <w:tcW w:w="148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B5A798F" w14:textId="77777777" w:rsidR="00116053" w:rsidRPr="00F13632" w:rsidRDefault="00116053" w:rsidP="00FC5212">
            <w:pPr>
              <w:jc w:val="center"/>
              <w:rPr>
                <w:sz w:val="20"/>
                <w:szCs w:val="20"/>
              </w:rPr>
            </w:pPr>
            <w:r w:rsidRPr="00F13632">
              <w:rPr>
                <w:b/>
                <w:color w:val="000000"/>
                <w:sz w:val="20"/>
                <w:szCs w:val="20"/>
              </w:rPr>
              <w:t>Outside</w:t>
            </w:r>
          </w:p>
        </w:tc>
        <w:tc>
          <w:tcPr>
            <w:tcW w:w="907" w:type="dxa"/>
            <w:tcBorders>
              <w:left w:val="single" w:sz="7" w:space="0" w:color="000000"/>
              <w:right w:val="single" w:sz="7" w:space="0" w:color="000000"/>
            </w:tcBorders>
            <w:tcMar>
              <w:top w:w="0" w:type="dxa"/>
              <w:left w:w="39" w:type="dxa"/>
              <w:bottom w:w="39" w:type="dxa"/>
              <w:right w:w="39" w:type="dxa"/>
            </w:tcMar>
          </w:tcPr>
          <w:p w14:paraId="58F653CA" w14:textId="77777777" w:rsidR="00116053" w:rsidRPr="00F13632" w:rsidRDefault="00116053" w:rsidP="00FC5212">
            <w:pPr>
              <w:jc w:val="center"/>
              <w:rPr>
                <w:sz w:val="20"/>
                <w:szCs w:val="20"/>
              </w:rPr>
            </w:pPr>
            <w:r w:rsidRPr="00F13632">
              <w:rPr>
                <w:b/>
                <w:color w:val="000000"/>
                <w:sz w:val="20"/>
                <w:szCs w:val="20"/>
              </w:rPr>
              <w:t>Total</w:t>
            </w:r>
          </w:p>
        </w:tc>
      </w:tr>
      <w:tr w:rsidR="00116053" w:rsidRPr="00F13632" w14:paraId="65133567" w14:textId="77777777" w:rsidTr="00116053">
        <w:trPr>
          <w:trHeight w:val="210"/>
        </w:trPr>
        <w:tc>
          <w:tcPr>
            <w:tcW w:w="1693" w:type="dxa"/>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14:paraId="053825A7" w14:textId="77777777" w:rsidR="00116053" w:rsidRPr="00F13632" w:rsidRDefault="00116053" w:rsidP="00FC5212">
            <w:pPr>
              <w:rPr>
                <w:sz w:val="20"/>
                <w:szCs w:val="20"/>
              </w:rPr>
            </w:pP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6093DBA" w14:textId="77777777" w:rsidR="00116053" w:rsidRPr="00F13632" w:rsidRDefault="00116053" w:rsidP="00FC5212">
            <w:pPr>
              <w:jc w:val="center"/>
              <w:rPr>
                <w:sz w:val="20"/>
                <w:szCs w:val="20"/>
              </w:rPr>
            </w:pPr>
            <w:r w:rsidRPr="00F13632">
              <w:rPr>
                <w:b/>
                <w:color w:val="000000"/>
                <w:sz w:val="20"/>
                <w:szCs w:val="20"/>
              </w:rPr>
              <w:t>#</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B91DC0B" w14:textId="77777777" w:rsidR="00116053" w:rsidRPr="00F13632" w:rsidRDefault="00116053" w:rsidP="00FC5212">
            <w:pPr>
              <w:jc w:val="center"/>
              <w:rPr>
                <w:sz w:val="20"/>
                <w:szCs w:val="20"/>
              </w:rPr>
            </w:pPr>
            <w:r w:rsidRPr="00F13632">
              <w:rPr>
                <w:b/>
                <w:color w:val="000000"/>
                <w:sz w:val="20"/>
                <w:szCs w:val="20"/>
              </w:rPr>
              <w:t>%</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5B352CF" w14:textId="77777777" w:rsidR="00116053" w:rsidRPr="00F13632" w:rsidRDefault="00116053" w:rsidP="00FC5212">
            <w:pPr>
              <w:jc w:val="center"/>
              <w:rPr>
                <w:sz w:val="20"/>
                <w:szCs w:val="20"/>
              </w:rPr>
            </w:pPr>
            <w:r w:rsidRPr="00F13632">
              <w:rPr>
                <w:b/>
                <w:color w:val="000000"/>
                <w:sz w:val="20"/>
                <w:szCs w:val="20"/>
              </w:rPr>
              <w:t>#</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B7CAD9C" w14:textId="77777777" w:rsidR="00116053" w:rsidRPr="00F13632" w:rsidRDefault="00116053" w:rsidP="00FC5212">
            <w:pPr>
              <w:jc w:val="center"/>
              <w:rPr>
                <w:sz w:val="20"/>
                <w:szCs w:val="20"/>
              </w:rPr>
            </w:pPr>
            <w:r w:rsidRPr="00F13632">
              <w:rPr>
                <w:b/>
                <w:color w:val="000000"/>
                <w:sz w:val="20"/>
                <w:szCs w:val="20"/>
              </w:rPr>
              <w:t>%</w:t>
            </w:r>
          </w:p>
        </w:tc>
        <w:tc>
          <w:tcPr>
            <w:tcW w:w="838" w:type="dxa"/>
            <w:tcBorders>
              <w:left w:val="single" w:sz="7" w:space="0" w:color="000000"/>
              <w:bottom w:val="single" w:sz="7" w:space="0" w:color="000000"/>
              <w:right w:val="single" w:sz="7" w:space="0" w:color="000000"/>
            </w:tcBorders>
            <w:tcMar>
              <w:top w:w="0" w:type="dxa"/>
              <w:left w:w="39" w:type="dxa"/>
              <w:bottom w:w="39" w:type="dxa"/>
              <w:right w:w="39" w:type="dxa"/>
            </w:tcMar>
          </w:tcPr>
          <w:p w14:paraId="691D0E6A" w14:textId="77777777" w:rsidR="00116053" w:rsidRPr="00F13632" w:rsidRDefault="00116053" w:rsidP="00FC5212">
            <w:pPr>
              <w:jc w:val="center"/>
              <w:rPr>
                <w:sz w:val="20"/>
                <w:szCs w:val="20"/>
              </w:rPr>
            </w:pPr>
            <w:r w:rsidRPr="00F13632">
              <w:rPr>
                <w:b/>
                <w:color w:val="000000"/>
                <w:sz w:val="20"/>
                <w:szCs w:val="20"/>
              </w:rPr>
              <w:t>#</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ABEE30F" w14:textId="77777777" w:rsidR="00116053" w:rsidRPr="00F13632" w:rsidRDefault="00116053" w:rsidP="00FC5212">
            <w:pPr>
              <w:jc w:val="center"/>
              <w:rPr>
                <w:sz w:val="20"/>
                <w:szCs w:val="20"/>
              </w:rPr>
            </w:pPr>
            <w:r w:rsidRPr="00F13632">
              <w:rPr>
                <w:b/>
                <w:color w:val="000000"/>
                <w:sz w:val="20"/>
                <w:szCs w:val="20"/>
              </w:rPr>
              <w:t>$</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819752A" w14:textId="77777777" w:rsidR="00116053" w:rsidRPr="00F13632" w:rsidRDefault="00116053" w:rsidP="00FC5212">
            <w:pPr>
              <w:jc w:val="center"/>
              <w:rPr>
                <w:sz w:val="20"/>
                <w:szCs w:val="20"/>
              </w:rPr>
            </w:pPr>
            <w:r w:rsidRPr="00F13632">
              <w:rPr>
                <w:b/>
                <w:color w:val="000000"/>
                <w:sz w:val="20"/>
                <w:szCs w:val="20"/>
              </w:rPr>
              <w:t>%</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3B0A75E" w14:textId="77777777" w:rsidR="00116053" w:rsidRPr="00F13632" w:rsidRDefault="00116053" w:rsidP="00FC5212">
            <w:pPr>
              <w:jc w:val="center"/>
              <w:rPr>
                <w:sz w:val="20"/>
                <w:szCs w:val="20"/>
              </w:rPr>
            </w:pPr>
            <w:r w:rsidRPr="00F13632">
              <w:rPr>
                <w:b/>
                <w:color w:val="000000"/>
                <w:sz w:val="20"/>
                <w:szCs w:val="20"/>
              </w:rPr>
              <w:t>$</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B11BC8E" w14:textId="77777777" w:rsidR="00116053" w:rsidRPr="00F13632" w:rsidRDefault="00116053" w:rsidP="00FC5212">
            <w:pPr>
              <w:jc w:val="center"/>
              <w:rPr>
                <w:sz w:val="20"/>
                <w:szCs w:val="20"/>
              </w:rPr>
            </w:pPr>
            <w:r w:rsidRPr="00F13632">
              <w:rPr>
                <w:b/>
                <w:color w:val="000000"/>
                <w:sz w:val="20"/>
                <w:szCs w:val="20"/>
              </w:rPr>
              <w:t>%</w:t>
            </w:r>
          </w:p>
        </w:tc>
        <w:tc>
          <w:tcPr>
            <w:tcW w:w="907" w:type="dxa"/>
            <w:tcBorders>
              <w:left w:val="single" w:sz="7" w:space="0" w:color="000000"/>
              <w:bottom w:val="single" w:sz="7" w:space="0" w:color="000000"/>
              <w:right w:val="single" w:sz="7" w:space="0" w:color="000000"/>
            </w:tcBorders>
            <w:tcMar>
              <w:top w:w="0" w:type="dxa"/>
              <w:left w:w="39" w:type="dxa"/>
              <w:bottom w:w="39" w:type="dxa"/>
              <w:right w:w="39" w:type="dxa"/>
            </w:tcMar>
          </w:tcPr>
          <w:p w14:paraId="527B73B8" w14:textId="77777777" w:rsidR="00116053" w:rsidRPr="00F13632" w:rsidRDefault="00116053" w:rsidP="00FC5212">
            <w:pPr>
              <w:jc w:val="center"/>
              <w:rPr>
                <w:sz w:val="20"/>
                <w:szCs w:val="20"/>
              </w:rPr>
            </w:pPr>
            <w:r w:rsidRPr="00F13632">
              <w:rPr>
                <w:b/>
                <w:color w:val="000000"/>
                <w:sz w:val="20"/>
                <w:szCs w:val="20"/>
              </w:rPr>
              <w:t>$(000s)</w:t>
            </w:r>
          </w:p>
        </w:tc>
      </w:tr>
      <w:tr w:rsidR="00116053" w:rsidRPr="00F13632" w14:paraId="69062AAE" w14:textId="77777777" w:rsidTr="00116053">
        <w:trPr>
          <w:trHeight w:val="210"/>
        </w:trPr>
        <w:tc>
          <w:tcPr>
            <w:tcW w:w="16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CF4AF46" w14:textId="77777777" w:rsidR="00116053" w:rsidRPr="00F13632" w:rsidRDefault="00116053" w:rsidP="00FC5212">
            <w:pPr>
              <w:rPr>
                <w:sz w:val="20"/>
                <w:szCs w:val="20"/>
              </w:rPr>
            </w:pPr>
            <w:r w:rsidRPr="00F13632">
              <w:rPr>
                <w:color w:val="000000"/>
                <w:sz w:val="20"/>
                <w:szCs w:val="20"/>
              </w:rPr>
              <w:t>Home Mortgage</w:t>
            </w:r>
          </w:p>
        </w:tc>
        <w:tc>
          <w:tcPr>
            <w:tcW w:w="7649" w:type="dxa"/>
            <w:gridSpan w:val="10"/>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4D7C3" w14:textId="77777777" w:rsidR="00116053" w:rsidRPr="00F13632" w:rsidRDefault="00116053" w:rsidP="00FC5212">
            <w:pPr>
              <w:rPr>
                <w:sz w:val="20"/>
                <w:szCs w:val="20"/>
              </w:rPr>
            </w:pPr>
          </w:p>
        </w:tc>
      </w:tr>
      <w:tr w:rsidR="00116053" w:rsidRPr="00F13632" w14:paraId="7E738A87" w14:textId="77777777" w:rsidTr="00116053">
        <w:trPr>
          <w:trHeight w:val="181"/>
        </w:trPr>
        <w:tc>
          <w:tcPr>
            <w:tcW w:w="169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CA0430F" w14:textId="48A34F55" w:rsidR="00116053" w:rsidRPr="00F13632" w:rsidRDefault="005E5361" w:rsidP="00116053">
            <w:pPr>
              <w:jc w:val="right"/>
              <w:rPr>
                <w:sz w:val="20"/>
                <w:szCs w:val="20"/>
              </w:rPr>
            </w:pPr>
            <w:r>
              <w:rPr>
                <w:sz w:val="20"/>
                <w:szCs w:val="20"/>
              </w:rPr>
              <w:t>2018</w:t>
            </w: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954DE" w14:textId="06799868" w:rsidR="00116053" w:rsidRPr="000E39A6" w:rsidRDefault="00116053" w:rsidP="000E39A6">
            <w:pPr>
              <w:jc w:val="center"/>
              <w:rPr>
                <w:sz w:val="20"/>
                <w:szCs w:val="20"/>
              </w:rPr>
            </w:pPr>
            <w:r w:rsidRPr="000E39A6">
              <w:rPr>
                <w:rFonts w:eastAsia="Arial"/>
                <w:sz w:val="20"/>
                <w:szCs w:val="20"/>
              </w:rPr>
              <w:t>61</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7987E4" w14:textId="01D891E5" w:rsidR="00116053" w:rsidRPr="000E39A6" w:rsidRDefault="00116053" w:rsidP="000E39A6">
            <w:pPr>
              <w:jc w:val="center"/>
              <w:rPr>
                <w:sz w:val="20"/>
                <w:szCs w:val="20"/>
              </w:rPr>
            </w:pPr>
            <w:r w:rsidRPr="000E39A6">
              <w:rPr>
                <w:rFonts w:eastAsia="Arial"/>
                <w:sz w:val="20"/>
                <w:szCs w:val="20"/>
              </w:rPr>
              <w:t>48.8</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5EF4FE" w14:textId="6C61B5F0" w:rsidR="00116053" w:rsidRPr="000E39A6" w:rsidRDefault="00116053" w:rsidP="000E39A6">
            <w:pPr>
              <w:jc w:val="center"/>
              <w:rPr>
                <w:sz w:val="20"/>
                <w:szCs w:val="20"/>
              </w:rPr>
            </w:pPr>
            <w:r w:rsidRPr="000E39A6">
              <w:rPr>
                <w:rFonts w:eastAsia="Arial"/>
                <w:sz w:val="20"/>
                <w:szCs w:val="20"/>
              </w:rPr>
              <w:t>64</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992D6" w14:textId="7B8D976C" w:rsidR="00116053" w:rsidRPr="000E39A6" w:rsidRDefault="00116053" w:rsidP="000E39A6">
            <w:pPr>
              <w:jc w:val="center"/>
              <w:rPr>
                <w:sz w:val="20"/>
                <w:szCs w:val="20"/>
              </w:rPr>
            </w:pPr>
            <w:r w:rsidRPr="000E39A6">
              <w:rPr>
                <w:rFonts w:eastAsia="Arial"/>
                <w:sz w:val="20"/>
                <w:szCs w:val="20"/>
              </w:rPr>
              <w:t>51.2</w:t>
            </w:r>
          </w:p>
        </w:tc>
        <w:tc>
          <w:tcPr>
            <w:tcW w:w="8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B2E390" w14:textId="01F6F5E9" w:rsidR="00116053" w:rsidRPr="000E39A6" w:rsidRDefault="00116053" w:rsidP="000E39A6">
            <w:pPr>
              <w:jc w:val="center"/>
              <w:rPr>
                <w:sz w:val="20"/>
                <w:szCs w:val="20"/>
              </w:rPr>
            </w:pPr>
            <w:r w:rsidRPr="000E39A6">
              <w:rPr>
                <w:rFonts w:eastAsia="Arial"/>
                <w:sz w:val="20"/>
                <w:szCs w:val="20"/>
              </w:rPr>
              <w:t>125</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D0D5E7" w14:textId="7A449FDE" w:rsidR="00116053" w:rsidRPr="000E39A6" w:rsidRDefault="00116053" w:rsidP="000E39A6">
            <w:pPr>
              <w:jc w:val="center"/>
              <w:rPr>
                <w:sz w:val="20"/>
                <w:szCs w:val="20"/>
              </w:rPr>
            </w:pPr>
            <w:r w:rsidRPr="000E39A6">
              <w:rPr>
                <w:rFonts w:eastAsia="Arial"/>
                <w:sz w:val="20"/>
                <w:szCs w:val="20"/>
              </w:rPr>
              <w:t>36,308</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AE528" w14:textId="35B5F8A5" w:rsidR="00116053" w:rsidRPr="000E39A6" w:rsidRDefault="00116053" w:rsidP="000E39A6">
            <w:pPr>
              <w:jc w:val="center"/>
              <w:rPr>
                <w:sz w:val="20"/>
                <w:szCs w:val="20"/>
              </w:rPr>
            </w:pPr>
            <w:r w:rsidRPr="000E39A6">
              <w:rPr>
                <w:rFonts w:eastAsia="Arial"/>
                <w:sz w:val="20"/>
                <w:szCs w:val="20"/>
              </w:rPr>
              <w:t>50.9</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2616C9" w14:textId="21109933" w:rsidR="00116053" w:rsidRPr="000E39A6" w:rsidRDefault="00116053" w:rsidP="000E39A6">
            <w:pPr>
              <w:jc w:val="center"/>
              <w:rPr>
                <w:sz w:val="20"/>
                <w:szCs w:val="20"/>
              </w:rPr>
            </w:pPr>
            <w:r w:rsidRPr="000E39A6">
              <w:rPr>
                <w:rFonts w:eastAsia="Arial"/>
                <w:sz w:val="20"/>
                <w:szCs w:val="20"/>
              </w:rPr>
              <w:t>34,973</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44DC30" w14:textId="14D20967" w:rsidR="00116053" w:rsidRPr="000E39A6" w:rsidRDefault="00116053" w:rsidP="000E39A6">
            <w:pPr>
              <w:jc w:val="center"/>
              <w:rPr>
                <w:sz w:val="20"/>
                <w:szCs w:val="20"/>
              </w:rPr>
            </w:pPr>
            <w:r w:rsidRPr="000E39A6">
              <w:rPr>
                <w:rFonts w:eastAsia="Arial"/>
                <w:sz w:val="20"/>
                <w:szCs w:val="20"/>
              </w:rPr>
              <w:t>49.1</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FD5A1" w14:textId="58BF8005" w:rsidR="00116053" w:rsidRPr="000E39A6" w:rsidRDefault="00116053" w:rsidP="000E39A6">
            <w:pPr>
              <w:jc w:val="center"/>
              <w:rPr>
                <w:sz w:val="20"/>
                <w:szCs w:val="20"/>
              </w:rPr>
            </w:pPr>
            <w:r w:rsidRPr="000E39A6">
              <w:rPr>
                <w:rFonts w:eastAsia="Arial"/>
                <w:sz w:val="20"/>
                <w:szCs w:val="20"/>
              </w:rPr>
              <w:t>71,281</w:t>
            </w:r>
          </w:p>
        </w:tc>
      </w:tr>
      <w:tr w:rsidR="00116053" w:rsidRPr="00F13632" w14:paraId="586FEA24" w14:textId="77777777" w:rsidTr="00116053">
        <w:trPr>
          <w:trHeight w:val="181"/>
        </w:trPr>
        <w:tc>
          <w:tcPr>
            <w:tcW w:w="169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19665CA" w14:textId="590ED86E" w:rsidR="00116053" w:rsidRPr="00F13632" w:rsidRDefault="005E5361" w:rsidP="00116053">
            <w:pPr>
              <w:jc w:val="right"/>
              <w:rPr>
                <w:sz w:val="20"/>
                <w:szCs w:val="20"/>
              </w:rPr>
            </w:pPr>
            <w:r>
              <w:rPr>
                <w:color w:val="000000"/>
                <w:sz w:val="20"/>
                <w:szCs w:val="20"/>
              </w:rPr>
              <w:t>2019</w:t>
            </w: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BBCE3" w14:textId="459F2438" w:rsidR="00116053" w:rsidRPr="000E39A6" w:rsidRDefault="00116053" w:rsidP="000E39A6">
            <w:pPr>
              <w:jc w:val="center"/>
              <w:rPr>
                <w:sz w:val="20"/>
                <w:szCs w:val="20"/>
              </w:rPr>
            </w:pPr>
            <w:r w:rsidRPr="000E39A6">
              <w:rPr>
                <w:rFonts w:eastAsia="Arial"/>
                <w:sz w:val="20"/>
                <w:szCs w:val="20"/>
              </w:rPr>
              <w:t>86</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1A4DBF" w14:textId="053D6179" w:rsidR="00116053" w:rsidRPr="000E39A6" w:rsidRDefault="00116053" w:rsidP="000E39A6">
            <w:pPr>
              <w:jc w:val="center"/>
              <w:rPr>
                <w:sz w:val="20"/>
                <w:szCs w:val="20"/>
              </w:rPr>
            </w:pPr>
            <w:r w:rsidRPr="000E39A6">
              <w:rPr>
                <w:rFonts w:eastAsia="Arial"/>
                <w:sz w:val="20"/>
                <w:szCs w:val="20"/>
              </w:rPr>
              <w:t>56.6</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566D5" w14:textId="1ED10C5E" w:rsidR="00116053" w:rsidRPr="000E39A6" w:rsidRDefault="00116053" w:rsidP="000E39A6">
            <w:pPr>
              <w:jc w:val="center"/>
              <w:rPr>
                <w:sz w:val="20"/>
                <w:szCs w:val="20"/>
              </w:rPr>
            </w:pPr>
            <w:r w:rsidRPr="000E39A6">
              <w:rPr>
                <w:rFonts w:eastAsia="Arial"/>
                <w:sz w:val="20"/>
                <w:szCs w:val="20"/>
              </w:rPr>
              <w:t>66</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70066" w14:textId="54D42878" w:rsidR="00116053" w:rsidRPr="000E39A6" w:rsidRDefault="00116053" w:rsidP="000E39A6">
            <w:pPr>
              <w:jc w:val="center"/>
              <w:rPr>
                <w:sz w:val="20"/>
                <w:szCs w:val="20"/>
              </w:rPr>
            </w:pPr>
            <w:r w:rsidRPr="000E39A6">
              <w:rPr>
                <w:rFonts w:eastAsia="Arial"/>
                <w:sz w:val="20"/>
                <w:szCs w:val="20"/>
              </w:rPr>
              <w:t>43.4</w:t>
            </w:r>
          </w:p>
        </w:tc>
        <w:tc>
          <w:tcPr>
            <w:tcW w:w="8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072F2E" w14:textId="6A2177E1" w:rsidR="00116053" w:rsidRPr="000E39A6" w:rsidRDefault="00116053" w:rsidP="000E39A6">
            <w:pPr>
              <w:jc w:val="center"/>
              <w:rPr>
                <w:sz w:val="20"/>
                <w:szCs w:val="20"/>
              </w:rPr>
            </w:pPr>
            <w:r w:rsidRPr="000E39A6">
              <w:rPr>
                <w:rFonts w:eastAsia="Arial"/>
                <w:sz w:val="20"/>
                <w:szCs w:val="20"/>
              </w:rPr>
              <w:t>152</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A9E7A7" w14:textId="2100EF59" w:rsidR="00116053" w:rsidRPr="000E39A6" w:rsidRDefault="00116053" w:rsidP="000E39A6">
            <w:pPr>
              <w:jc w:val="center"/>
              <w:rPr>
                <w:sz w:val="20"/>
                <w:szCs w:val="20"/>
              </w:rPr>
            </w:pPr>
            <w:r w:rsidRPr="000E39A6">
              <w:rPr>
                <w:rFonts w:eastAsia="Arial"/>
                <w:sz w:val="20"/>
                <w:szCs w:val="20"/>
              </w:rPr>
              <w:t>40,905</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8D9BE" w14:textId="3BEADF6E" w:rsidR="00116053" w:rsidRPr="000E39A6" w:rsidRDefault="00116053" w:rsidP="000E39A6">
            <w:pPr>
              <w:jc w:val="center"/>
              <w:rPr>
                <w:sz w:val="20"/>
                <w:szCs w:val="20"/>
              </w:rPr>
            </w:pPr>
            <w:r w:rsidRPr="000E39A6">
              <w:rPr>
                <w:rFonts w:eastAsia="Arial"/>
                <w:sz w:val="20"/>
                <w:szCs w:val="20"/>
              </w:rPr>
              <w:t>56.1</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363367" w14:textId="3C8A5E58" w:rsidR="00116053" w:rsidRPr="000E39A6" w:rsidRDefault="00116053" w:rsidP="000E39A6">
            <w:pPr>
              <w:jc w:val="center"/>
              <w:rPr>
                <w:sz w:val="20"/>
                <w:szCs w:val="20"/>
              </w:rPr>
            </w:pPr>
            <w:r w:rsidRPr="000E39A6">
              <w:rPr>
                <w:rFonts w:eastAsia="Arial"/>
                <w:sz w:val="20"/>
                <w:szCs w:val="20"/>
              </w:rPr>
              <w:t>32,058</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EC70B" w14:textId="23523894" w:rsidR="00116053" w:rsidRPr="000E39A6" w:rsidRDefault="00116053" w:rsidP="000E39A6">
            <w:pPr>
              <w:jc w:val="center"/>
              <w:rPr>
                <w:sz w:val="20"/>
                <w:szCs w:val="20"/>
              </w:rPr>
            </w:pPr>
            <w:r w:rsidRPr="000E39A6">
              <w:rPr>
                <w:rFonts w:eastAsia="Arial"/>
                <w:sz w:val="20"/>
                <w:szCs w:val="20"/>
              </w:rPr>
              <w:t>43.9</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06B58E" w14:textId="24513ABE" w:rsidR="00116053" w:rsidRPr="000E39A6" w:rsidRDefault="00116053" w:rsidP="000E39A6">
            <w:pPr>
              <w:jc w:val="center"/>
              <w:rPr>
                <w:sz w:val="20"/>
                <w:szCs w:val="20"/>
              </w:rPr>
            </w:pPr>
            <w:r w:rsidRPr="000E39A6">
              <w:rPr>
                <w:rFonts w:eastAsia="Arial"/>
                <w:sz w:val="20"/>
                <w:szCs w:val="20"/>
              </w:rPr>
              <w:t>72,964</w:t>
            </w:r>
          </w:p>
        </w:tc>
      </w:tr>
      <w:tr w:rsidR="00116053" w:rsidRPr="00F13632" w14:paraId="4E4C4789" w14:textId="77777777" w:rsidTr="00116053">
        <w:trPr>
          <w:trHeight w:val="181"/>
        </w:trPr>
        <w:tc>
          <w:tcPr>
            <w:tcW w:w="169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8765419" w14:textId="2DA511DC" w:rsidR="00116053" w:rsidRPr="00F13632" w:rsidRDefault="005E5361" w:rsidP="00116053">
            <w:pPr>
              <w:jc w:val="right"/>
              <w:rPr>
                <w:sz w:val="20"/>
                <w:szCs w:val="20"/>
              </w:rPr>
            </w:pPr>
            <w:r>
              <w:rPr>
                <w:color w:val="000000"/>
                <w:sz w:val="20"/>
                <w:szCs w:val="20"/>
              </w:rPr>
              <w:t>YTD 2020</w:t>
            </w: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8527EF" w14:textId="5B474E9B" w:rsidR="00116053" w:rsidRPr="000E39A6" w:rsidRDefault="00116053" w:rsidP="000E39A6">
            <w:pPr>
              <w:jc w:val="center"/>
              <w:rPr>
                <w:sz w:val="20"/>
                <w:szCs w:val="20"/>
              </w:rPr>
            </w:pPr>
            <w:r w:rsidRPr="000E39A6">
              <w:rPr>
                <w:rFonts w:eastAsia="Arial"/>
                <w:sz w:val="20"/>
                <w:szCs w:val="20"/>
              </w:rPr>
              <w:t>74</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59E865" w14:textId="599F8A5E" w:rsidR="00116053" w:rsidRPr="000E39A6" w:rsidRDefault="00116053" w:rsidP="000E39A6">
            <w:pPr>
              <w:jc w:val="center"/>
              <w:rPr>
                <w:sz w:val="20"/>
                <w:szCs w:val="20"/>
              </w:rPr>
            </w:pPr>
            <w:r w:rsidRPr="000E39A6">
              <w:rPr>
                <w:rFonts w:eastAsia="Arial"/>
                <w:sz w:val="20"/>
                <w:szCs w:val="20"/>
              </w:rPr>
              <w:t>48.7</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54C19" w14:textId="588C0DDD" w:rsidR="00116053" w:rsidRPr="000E39A6" w:rsidRDefault="00116053" w:rsidP="000E39A6">
            <w:pPr>
              <w:jc w:val="center"/>
              <w:rPr>
                <w:sz w:val="20"/>
                <w:szCs w:val="20"/>
              </w:rPr>
            </w:pPr>
            <w:r w:rsidRPr="000E39A6">
              <w:rPr>
                <w:rFonts w:eastAsia="Arial"/>
                <w:sz w:val="20"/>
                <w:szCs w:val="20"/>
              </w:rPr>
              <w:t>78</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53A05" w14:textId="0FFCCFB3" w:rsidR="00116053" w:rsidRPr="000E39A6" w:rsidRDefault="00116053" w:rsidP="000E39A6">
            <w:pPr>
              <w:jc w:val="center"/>
              <w:rPr>
                <w:sz w:val="20"/>
                <w:szCs w:val="20"/>
              </w:rPr>
            </w:pPr>
            <w:r w:rsidRPr="000E39A6">
              <w:rPr>
                <w:rFonts w:eastAsia="Arial"/>
                <w:sz w:val="20"/>
                <w:szCs w:val="20"/>
              </w:rPr>
              <w:t>51.3</w:t>
            </w:r>
          </w:p>
        </w:tc>
        <w:tc>
          <w:tcPr>
            <w:tcW w:w="8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7F8A9D" w14:textId="70B8B587" w:rsidR="00116053" w:rsidRPr="000E39A6" w:rsidRDefault="00116053" w:rsidP="000E39A6">
            <w:pPr>
              <w:jc w:val="center"/>
              <w:rPr>
                <w:sz w:val="20"/>
                <w:szCs w:val="20"/>
              </w:rPr>
            </w:pPr>
            <w:r w:rsidRPr="000E39A6">
              <w:rPr>
                <w:rFonts w:eastAsia="Arial"/>
                <w:sz w:val="20"/>
                <w:szCs w:val="20"/>
              </w:rPr>
              <w:t>152</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576BC" w14:textId="79190263" w:rsidR="00116053" w:rsidRPr="000E39A6" w:rsidRDefault="00116053" w:rsidP="000E39A6">
            <w:pPr>
              <w:jc w:val="center"/>
              <w:rPr>
                <w:sz w:val="20"/>
                <w:szCs w:val="20"/>
              </w:rPr>
            </w:pPr>
            <w:r w:rsidRPr="000E39A6">
              <w:rPr>
                <w:rFonts w:eastAsia="Arial"/>
                <w:sz w:val="20"/>
                <w:szCs w:val="20"/>
              </w:rPr>
              <w:t>33,936</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D8F1FF" w14:textId="4F7D8407" w:rsidR="00116053" w:rsidRPr="000E39A6" w:rsidRDefault="00116053" w:rsidP="000E39A6">
            <w:pPr>
              <w:jc w:val="center"/>
              <w:rPr>
                <w:sz w:val="20"/>
                <w:szCs w:val="20"/>
              </w:rPr>
            </w:pPr>
            <w:r w:rsidRPr="000E39A6">
              <w:rPr>
                <w:rFonts w:eastAsia="Arial"/>
                <w:sz w:val="20"/>
                <w:szCs w:val="20"/>
              </w:rPr>
              <w:t>46.9</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C8AC76" w14:textId="1D3EE852" w:rsidR="00116053" w:rsidRPr="000E39A6" w:rsidRDefault="00116053" w:rsidP="000E39A6">
            <w:pPr>
              <w:jc w:val="center"/>
              <w:rPr>
                <w:sz w:val="20"/>
                <w:szCs w:val="20"/>
              </w:rPr>
            </w:pPr>
            <w:r w:rsidRPr="000E39A6">
              <w:rPr>
                <w:rFonts w:eastAsia="Arial"/>
                <w:sz w:val="20"/>
                <w:szCs w:val="20"/>
              </w:rPr>
              <w:t>38,348</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D0921" w14:textId="11635B39" w:rsidR="00116053" w:rsidRPr="000E39A6" w:rsidRDefault="00116053" w:rsidP="000E39A6">
            <w:pPr>
              <w:jc w:val="center"/>
              <w:rPr>
                <w:sz w:val="20"/>
                <w:szCs w:val="20"/>
              </w:rPr>
            </w:pPr>
            <w:r w:rsidRPr="000E39A6">
              <w:rPr>
                <w:rFonts w:eastAsia="Arial"/>
                <w:sz w:val="20"/>
                <w:szCs w:val="20"/>
              </w:rPr>
              <w:t>53.1</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A3FDCC" w14:textId="2BAF4D7C" w:rsidR="00116053" w:rsidRPr="000E39A6" w:rsidRDefault="00116053" w:rsidP="000E39A6">
            <w:pPr>
              <w:jc w:val="center"/>
              <w:rPr>
                <w:sz w:val="20"/>
                <w:szCs w:val="20"/>
              </w:rPr>
            </w:pPr>
            <w:r w:rsidRPr="000E39A6">
              <w:rPr>
                <w:rFonts w:eastAsia="Arial"/>
                <w:sz w:val="20"/>
                <w:szCs w:val="20"/>
              </w:rPr>
              <w:t>72,284</w:t>
            </w:r>
          </w:p>
        </w:tc>
      </w:tr>
      <w:tr w:rsidR="00116053" w:rsidRPr="00F13632" w14:paraId="31D438A6" w14:textId="77777777" w:rsidTr="00116053">
        <w:trPr>
          <w:trHeight w:val="210"/>
        </w:trPr>
        <w:tc>
          <w:tcPr>
            <w:tcW w:w="16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F613719" w14:textId="77777777" w:rsidR="00116053" w:rsidRPr="00F13632" w:rsidRDefault="00116053" w:rsidP="00116053">
            <w:pPr>
              <w:rPr>
                <w:sz w:val="20"/>
                <w:szCs w:val="20"/>
              </w:rPr>
            </w:pPr>
            <w:r w:rsidRPr="00F13632">
              <w:rPr>
                <w:b/>
                <w:color w:val="000000"/>
                <w:sz w:val="20"/>
                <w:szCs w:val="20"/>
              </w:rPr>
              <w:t>Subtotal</w:t>
            </w: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8B9C3D" w14:textId="7F3C553A" w:rsidR="00116053" w:rsidRPr="000E39A6" w:rsidRDefault="00116053" w:rsidP="000E39A6">
            <w:pPr>
              <w:jc w:val="center"/>
              <w:rPr>
                <w:sz w:val="20"/>
                <w:szCs w:val="20"/>
              </w:rPr>
            </w:pPr>
            <w:r w:rsidRPr="000E39A6">
              <w:rPr>
                <w:rFonts w:eastAsia="Arial"/>
                <w:b/>
                <w:sz w:val="20"/>
                <w:szCs w:val="20"/>
              </w:rPr>
              <w:t>221</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5A80E" w14:textId="489E8157" w:rsidR="00116053" w:rsidRPr="000E39A6" w:rsidRDefault="00116053" w:rsidP="000E39A6">
            <w:pPr>
              <w:jc w:val="center"/>
              <w:rPr>
                <w:sz w:val="20"/>
                <w:szCs w:val="20"/>
              </w:rPr>
            </w:pPr>
            <w:r w:rsidRPr="000E39A6">
              <w:rPr>
                <w:rFonts w:eastAsia="Arial"/>
                <w:b/>
                <w:sz w:val="20"/>
                <w:szCs w:val="20"/>
              </w:rPr>
              <w:t>51.5</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3CD70A" w14:textId="03D4B668" w:rsidR="00116053" w:rsidRPr="000E39A6" w:rsidRDefault="00116053" w:rsidP="000E39A6">
            <w:pPr>
              <w:jc w:val="center"/>
              <w:rPr>
                <w:sz w:val="20"/>
                <w:szCs w:val="20"/>
              </w:rPr>
            </w:pPr>
            <w:r w:rsidRPr="000E39A6">
              <w:rPr>
                <w:rFonts w:eastAsia="Arial"/>
                <w:b/>
                <w:sz w:val="20"/>
                <w:szCs w:val="20"/>
              </w:rPr>
              <w:t>208</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1245B8" w14:textId="1266786B" w:rsidR="00116053" w:rsidRPr="000E39A6" w:rsidRDefault="00116053" w:rsidP="000E39A6">
            <w:pPr>
              <w:jc w:val="center"/>
              <w:rPr>
                <w:sz w:val="20"/>
                <w:szCs w:val="20"/>
              </w:rPr>
            </w:pPr>
            <w:r w:rsidRPr="000E39A6">
              <w:rPr>
                <w:rFonts w:eastAsia="Arial"/>
                <w:b/>
                <w:sz w:val="20"/>
                <w:szCs w:val="20"/>
              </w:rPr>
              <w:t>48.5</w:t>
            </w:r>
          </w:p>
        </w:tc>
        <w:tc>
          <w:tcPr>
            <w:tcW w:w="8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096855" w14:textId="00266309" w:rsidR="00116053" w:rsidRPr="000E39A6" w:rsidRDefault="00116053" w:rsidP="000E39A6">
            <w:pPr>
              <w:jc w:val="center"/>
              <w:rPr>
                <w:sz w:val="20"/>
                <w:szCs w:val="20"/>
              </w:rPr>
            </w:pPr>
            <w:r w:rsidRPr="000E39A6">
              <w:rPr>
                <w:rFonts w:eastAsia="Arial"/>
                <w:b/>
                <w:sz w:val="20"/>
                <w:szCs w:val="20"/>
              </w:rPr>
              <w:t>429</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4477E" w14:textId="5BB212A8" w:rsidR="00116053" w:rsidRPr="000E39A6" w:rsidRDefault="00116053" w:rsidP="000E39A6">
            <w:pPr>
              <w:jc w:val="center"/>
              <w:rPr>
                <w:sz w:val="20"/>
                <w:szCs w:val="20"/>
              </w:rPr>
            </w:pPr>
            <w:r w:rsidRPr="000E39A6">
              <w:rPr>
                <w:rFonts w:eastAsia="Arial"/>
                <w:b/>
                <w:sz w:val="20"/>
                <w:szCs w:val="20"/>
              </w:rPr>
              <w:t>111,150</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67729C" w14:textId="59828E53" w:rsidR="00116053" w:rsidRPr="000E39A6" w:rsidRDefault="00116053" w:rsidP="000E39A6">
            <w:pPr>
              <w:jc w:val="center"/>
              <w:rPr>
                <w:sz w:val="20"/>
                <w:szCs w:val="20"/>
              </w:rPr>
            </w:pPr>
            <w:r w:rsidRPr="000E39A6">
              <w:rPr>
                <w:rFonts w:eastAsia="Arial"/>
                <w:b/>
                <w:sz w:val="20"/>
                <w:szCs w:val="20"/>
              </w:rPr>
              <w:t>51.3</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A4893C" w14:textId="009ADF79" w:rsidR="00116053" w:rsidRPr="000E39A6" w:rsidRDefault="00116053" w:rsidP="000E39A6">
            <w:pPr>
              <w:jc w:val="center"/>
              <w:rPr>
                <w:sz w:val="20"/>
                <w:szCs w:val="20"/>
              </w:rPr>
            </w:pPr>
            <w:r w:rsidRPr="000E39A6">
              <w:rPr>
                <w:rFonts w:eastAsia="Arial"/>
                <w:b/>
                <w:sz w:val="20"/>
                <w:szCs w:val="20"/>
              </w:rPr>
              <w:t>105,380</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1B657" w14:textId="507BC5DA" w:rsidR="00116053" w:rsidRPr="000E39A6" w:rsidRDefault="00116053" w:rsidP="000E39A6">
            <w:pPr>
              <w:jc w:val="center"/>
              <w:rPr>
                <w:sz w:val="20"/>
                <w:szCs w:val="20"/>
              </w:rPr>
            </w:pPr>
            <w:r w:rsidRPr="000E39A6">
              <w:rPr>
                <w:rFonts w:eastAsia="Arial"/>
                <w:b/>
                <w:sz w:val="20"/>
                <w:szCs w:val="20"/>
              </w:rPr>
              <w:t>48.7</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CF588" w14:textId="37620C12" w:rsidR="00116053" w:rsidRPr="000E39A6" w:rsidRDefault="00116053" w:rsidP="000E39A6">
            <w:pPr>
              <w:jc w:val="center"/>
              <w:rPr>
                <w:sz w:val="20"/>
                <w:szCs w:val="20"/>
              </w:rPr>
            </w:pPr>
            <w:r w:rsidRPr="000E39A6">
              <w:rPr>
                <w:rFonts w:eastAsia="Arial"/>
                <w:b/>
                <w:sz w:val="20"/>
                <w:szCs w:val="20"/>
              </w:rPr>
              <w:t>216,529</w:t>
            </w:r>
          </w:p>
        </w:tc>
      </w:tr>
      <w:tr w:rsidR="00116053" w:rsidRPr="00F13632" w14:paraId="1C01971A" w14:textId="77777777" w:rsidTr="00116053">
        <w:trPr>
          <w:trHeight w:val="210"/>
        </w:trPr>
        <w:tc>
          <w:tcPr>
            <w:tcW w:w="16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58E14C4" w14:textId="77777777" w:rsidR="00116053" w:rsidRPr="00F13632" w:rsidRDefault="00116053" w:rsidP="00FC5212">
            <w:pPr>
              <w:rPr>
                <w:sz w:val="20"/>
                <w:szCs w:val="20"/>
              </w:rPr>
            </w:pPr>
            <w:r w:rsidRPr="00F13632">
              <w:rPr>
                <w:color w:val="000000"/>
                <w:sz w:val="20"/>
                <w:szCs w:val="20"/>
              </w:rPr>
              <w:t>Small Business</w:t>
            </w:r>
          </w:p>
        </w:tc>
        <w:tc>
          <w:tcPr>
            <w:tcW w:w="7649" w:type="dxa"/>
            <w:gridSpan w:val="10"/>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BF8297" w14:textId="77777777" w:rsidR="00116053" w:rsidRPr="000E39A6" w:rsidRDefault="00116053" w:rsidP="000E39A6">
            <w:pPr>
              <w:rPr>
                <w:sz w:val="20"/>
                <w:szCs w:val="20"/>
              </w:rPr>
            </w:pPr>
          </w:p>
        </w:tc>
      </w:tr>
      <w:tr w:rsidR="00116053" w:rsidRPr="00F13632" w14:paraId="245A728D" w14:textId="77777777" w:rsidTr="00116053">
        <w:trPr>
          <w:trHeight w:val="181"/>
        </w:trPr>
        <w:tc>
          <w:tcPr>
            <w:tcW w:w="169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40E756C" w14:textId="046A3707" w:rsidR="00116053" w:rsidRPr="008A69BD" w:rsidRDefault="005E5361" w:rsidP="00116053">
            <w:pPr>
              <w:jc w:val="right"/>
              <w:rPr>
                <w:sz w:val="20"/>
                <w:szCs w:val="20"/>
                <w:highlight w:val="yellow"/>
              </w:rPr>
            </w:pPr>
            <w:r>
              <w:rPr>
                <w:color w:val="000000"/>
                <w:sz w:val="20"/>
                <w:szCs w:val="20"/>
              </w:rPr>
              <w:t>2018</w:t>
            </w: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B73D2" w14:textId="6DDDF75E" w:rsidR="00116053" w:rsidRPr="000E39A6" w:rsidRDefault="00116053" w:rsidP="000E39A6">
            <w:pPr>
              <w:jc w:val="center"/>
              <w:rPr>
                <w:sz w:val="20"/>
                <w:szCs w:val="20"/>
              </w:rPr>
            </w:pPr>
            <w:r w:rsidRPr="000E39A6">
              <w:rPr>
                <w:rFonts w:eastAsia="Arial"/>
                <w:sz w:val="20"/>
                <w:szCs w:val="20"/>
              </w:rPr>
              <w:t>36</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712FB" w14:textId="7767BA6B" w:rsidR="00116053" w:rsidRPr="000E39A6" w:rsidRDefault="00116053" w:rsidP="000E39A6">
            <w:pPr>
              <w:jc w:val="center"/>
              <w:rPr>
                <w:sz w:val="20"/>
                <w:szCs w:val="20"/>
              </w:rPr>
            </w:pPr>
            <w:r w:rsidRPr="000E39A6">
              <w:rPr>
                <w:rFonts w:eastAsia="Arial"/>
                <w:sz w:val="20"/>
                <w:szCs w:val="20"/>
              </w:rPr>
              <w:t>60.0</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02345" w14:textId="6167A304" w:rsidR="00116053" w:rsidRPr="000E39A6" w:rsidRDefault="00116053" w:rsidP="000E39A6">
            <w:pPr>
              <w:jc w:val="center"/>
              <w:rPr>
                <w:sz w:val="20"/>
                <w:szCs w:val="20"/>
              </w:rPr>
            </w:pPr>
            <w:r w:rsidRPr="000E39A6">
              <w:rPr>
                <w:rFonts w:eastAsia="Arial"/>
                <w:sz w:val="20"/>
                <w:szCs w:val="20"/>
              </w:rPr>
              <w:t>24</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D5B9C0" w14:textId="5FE5ABF0" w:rsidR="00116053" w:rsidRPr="000E39A6" w:rsidRDefault="00116053" w:rsidP="000E39A6">
            <w:pPr>
              <w:jc w:val="center"/>
              <w:rPr>
                <w:sz w:val="20"/>
                <w:szCs w:val="20"/>
              </w:rPr>
            </w:pPr>
            <w:r w:rsidRPr="000E39A6">
              <w:rPr>
                <w:rFonts w:eastAsia="Arial"/>
                <w:sz w:val="20"/>
                <w:szCs w:val="20"/>
              </w:rPr>
              <w:t>40.0</w:t>
            </w:r>
          </w:p>
        </w:tc>
        <w:tc>
          <w:tcPr>
            <w:tcW w:w="8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43D09F" w14:textId="09020E14" w:rsidR="00116053" w:rsidRPr="000E39A6" w:rsidRDefault="00116053" w:rsidP="000E39A6">
            <w:pPr>
              <w:jc w:val="center"/>
              <w:rPr>
                <w:sz w:val="20"/>
                <w:szCs w:val="20"/>
              </w:rPr>
            </w:pPr>
            <w:r w:rsidRPr="000E39A6">
              <w:rPr>
                <w:rFonts w:eastAsia="Arial"/>
                <w:sz w:val="20"/>
                <w:szCs w:val="20"/>
              </w:rPr>
              <w:t>60</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71D62" w14:textId="2EE2BA5B" w:rsidR="00116053" w:rsidRPr="000E39A6" w:rsidRDefault="00116053" w:rsidP="000E39A6">
            <w:pPr>
              <w:jc w:val="center"/>
              <w:rPr>
                <w:sz w:val="20"/>
                <w:szCs w:val="20"/>
              </w:rPr>
            </w:pPr>
            <w:r w:rsidRPr="000E39A6">
              <w:rPr>
                <w:rFonts w:eastAsia="Arial"/>
                <w:sz w:val="20"/>
                <w:szCs w:val="20"/>
              </w:rPr>
              <w:t>4,208</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F063A" w14:textId="4B140B87" w:rsidR="00116053" w:rsidRPr="000E39A6" w:rsidRDefault="00116053" w:rsidP="000E39A6">
            <w:pPr>
              <w:jc w:val="center"/>
              <w:rPr>
                <w:sz w:val="20"/>
                <w:szCs w:val="20"/>
              </w:rPr>
            </w:pPr>
            <w:r w:rsidRPr="000E39A6">
              <w:rPr>
                <w:rFonts w:eastAsia="Arial"/>
                <w:sz w:val="20"/>
                <w:szCs w:val="20"/>
              </w:rPr>
              <w:t>41.7</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3EBFCD" w14:textId="5B0B050B" w:rsidR="00116053" w:rsidRPr="000E39A6" w:rsidRDefault="00116053" w:rsidP="000E39A6">
            <w:pPr>
              <w:jc w:val="center"/>
              <w:rPr>
                <w:sz w:val="20"/>
                <w:szCs w:val="20"/>
              </w:rPr>
            </w:pPr>
            <w:r w:rsidRPr="000E39A6">
              <w:rPr>
                <w:rFonts w:eastAsia="Arial"/>
                <w:sz w:val="20"/>
                <w:szCs w:val="20"/>
              </w:rPr>
              <w:t>5,874</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1086C" w14:textId="50CD7061" w:rsidR="00116053" w:rsidRPr="000E39A6" w:rsidRDefault="00116053" w:rsidP="000E39A6">
            <w:pPr>
              <w:jc w:val="center"/>
              <w:rPr>
                <w:sz w:val="20"/>
                <w:szCs w:val="20"/>
              </w:rPr>
            </w:pPr>
            <w:r w:rsidRPr="000E39A6">
              <w:rPr>
                <w:rFonts w:eastAsia="Arial"/>
                <w:sz w:val="20"/>
                <w:szCs w:val="20"/>
              </w:rPr>
              <w:t>58.3</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BCCEE8" w14:textId="745D1CF7" w:rsidR="00116053" w:rsidRPr="000E39A6" w:rsidRDefault="00116053" w:rsidP="000E39A6">
            <w:pPr>
              <w:jc w:val="center"/>
              <w:rPr>
                <w:sz w:val="20"/>
                <w:szCs w:val="20"/>
              </w:rPr>
            </w:pPr>
            <w:r w:rsidRPr="000E39A6">
              <w:rPr>
                <w:rFonts w:eastAsia="Arial"/>
                <w:sz w:val="20"/>
                <w:szCs w:val="20"/>
              </w:rPr>
              <w:t>10,082</w:t>
            </w:r>
          </w:p>
        </w:tc>
      </w:tr>
      <w:tr w:rsidR="00116053" w:rsidRPr="00F13632" w14:paraId="4A3BFCEB" w14:textId="77777777" w:rsidTr="00116053">
        <w:trPr>
          <w:trHeight w:val="181"/>
        </w:trPr>
        <w:tc>
          <w:tcPr>
            <w:tcW w:w="169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CE954A7" w14:textId="213F15CC" w:rsidR="00116053" w:rsidRPr="00F13632" w:rsidRDefault="005E5361" w:rsidP="00116053">
            <w:pPr>
              <w:jc w:val="right"/>
              <w:rPr>
                <w:sz w:val="20"/>
                <w:szCs w:val="20"/>
              </w:rPr>
            </w:pPr>
            <w:r>
              <w:rPr>
                <w:color w:val="000000"/>
                <w:sz w:val="20"/>
                <w:szCs w:val="20"/>
              </w:rPr>
              <w:t>2019</w:t>
            </w: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164CE" w14:textId="332D26DE" w:rsidR="00116053" w:rsidRPr="000E39A6" w:rsidRDefault="00116053" w:rsidP="000E39A6">
            <w:pPr>
              <w:jc w:val="center"/>
              <w:rPr>
                <w:sz w:val="20"/>
                <w:szCs w:val="20"/>
              </w:rPr>
            </w:pPr>
            <w:r w:rsidRPr="000E39A6">
              <w:rPr>
                <w:rFonts w:eastAsia="Arial"/>
                <w:sz w:val="20"/>
                <w:szCs w:val="20"/>
              </w:rPr>
              <w:t>50</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52061" w14:textId="6638E54B" w:rsidR="00116053" w:rsidRPr="000E39A6" w:rsidRDefault="00116053" w:rsidP="000E39A6">
            <w:pPr>
              <w:jc w:val="center"/>
              <w:rPr>
                <w:sz w:val="20"/>
                <w:szCs w:val="20"/>
              </w:rPr>
            </w:pPr>
            <w:r w:rsidRPr="000E39A6">
              <w:rPr>
                <w:rFonts w:eastAsia="Arial"/>
                <w:sz w:val="20"/>
                <w:szCs w:val="20"/>
              </w:rPr>
              <w:t>64.9</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981882" w14:textId="2FC15580" w:rsidR="00116053" w:rsidRPr="000E39A6" w:rsidRDefault="00116053" w:rsidP="000E39A6">
            <w:pPr>
              <w:jc w:val="center"/>
              <w:rPr>
                <w:sz w:val="20"/>
                <w:szCs w:val="20"/>
              </w:rPr>
            </w:pPr>
            <w:r w:rsidRPr="000E39A6">
              <w:rPr>
                <w:rFonts w:eastAsia="Arial"/>
                <w:sz w:val="20"/>
                <w:szCs w:val="20"/>
              </w:rPr>
              <w:t>27</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102F3" w14:textId="26F9CE84" w:rsidR="00116053" w:rsidRPr="000E39A6" w:rsidRDefault="00116053" w:rsidP="000E39A6">
            <w:pPr>
              <w:jc w:val="center"/>
              <w:rPr>
                <w:sz w:val="20"/>
                <w:szCs w:val="20"/>
              </w:rPr>
            </w:pPr>
            <w:r w:rsidRPr="000E39A6">
              <w:rPr>
                <w:rFonts w:eastAsia="Arial"/>
                <w:sz w:val="20"/>
                <w:szCs w:val="20"/>
              </w:rPr>
              <w:t>35.1</w:t>
            </w:r>
          </w:p>
        </w:tc>
        <w:tc>
          <w:tcPr>
            <w:tcW w:w="8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B084E" w14:textId="58746E93" w:rsidR="00116053" w:rsidRPr="000E39A6" w:rsidRDefault="00116053" w:rsidP="000E39A6">
            <w:pPr>
              <w:jc w:val="center"/>
              <w:rPr>
                <w:sz w:val="20"/>
                <w:szCs w:val="20"/>
              </w:rPr>
            </w:pPr>
            <w:r w:rsidRPr="000E39A6">
              <w:rPr>
                <w:rFonts w:eastAsia="Arial"/>
                <w:sz w:val="20"/>
                <w:szCs w:val="20"/>
              </w:rPr>
              <w:t>77</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A84FC" w14:textId="05C2E854" w:rsidR="00116053" w:rsidRPr="000E39A6" w:rsidRDefault="00116053" w:rsidP="000E39A6">
            <w:pPr>
              <w:jc w:val="center"/>
              <w:rPr>
                <w:sz w:val="20"/>
                <w:szCs w:val="20"/>
              </w:rPr>
            </w:pPr>
            <w:r w:rsidRPr="000E39A6">
              <w:rPr>
                <w:rFonts w:eastAsia="Arial"/>
                <w:sz w:val="20"/>
                <w:szCs w:val="20"/>
              </w:rPr>
              <w:t>5,145</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DC79B5" w14:textId="215799B6" w:rsidR="00116053" w:rsidRPr="000E39A6" w:rsidRDefault="00116053" w:rsidP="000E39A6">
            <w:pPr>
              <w:jc w:val="center"/>
              <w:rPr>
                <w:sz w:val="20"/>
                <w:szCs w:val="20"/>
              </w:rPr>
            </w:pPr>
            <w:r w:rsidRPr="000E39A6">
              <w:rPr>
                <w:rFonts w:eastAsia="Arial"/>
                <w:sz w:val="20"/>
                <w:szCs w:val="20"/>
              </w:rPr>
              <w:t>48.5</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35FD80" w14:textId="38B0A1A0" w:rsidR="00116053" w:rsidRPr="000E39A6" w:rsidRDefault="00116053" w:rsidP="000E39A6">
            <w:pPr>
              <w:jc w:val="center"/>
              <w:rPr>
                <w:sz w:val="20"/>
                <w:szCs w:val="20"/>
              </w:rPr>
            </w:pPr>
            <w:r w:rsidRPr="000E39A6">
              <w:rPr>
                <w:rFonts w:eastAsia="Arial"/>
                <w:sz w:val="20"/>
                <w:szCs w:val="20"/>
              </w:rPr>
              <w:t>5,472</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4B1527" w14:textId="6B354E0A" w:rsidR="00116053" w:rsidRPr="000E39A6" w:rsidRDefault="00116053" w:rsidP="000E39A6">
            <w:pPr>
              <w:jc w:val="center"/>
              <w:rPr>
                <w:sz w:val="20"/>
                <w:szCs w:val="20"/>
              </w:rPr>
            </w:pPr>
            <w:r w:rsidRPr="000E39A6">
              <w:rPr>
                <w:rFonts w:eastAsia="Arial"/>
                <w:sz w:val="20"/>
                <w:szCs w:val="20"/>
              </w:rPr>
              <w:t>51.5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76A75" w14:textId="76FFCA71" w:rsidR="00116053" w:rsidRPr="000E39A6" w:rsidRDefault="00116053" w:rsidP="000E39A6">
            <w:pPr>
              <w:jc w:val="center"/>
              <w:rPr>
                <w:sz w:val="20"/>
                <w:szCs w:val="20"/>
              </w:rPr>
            </w:pPr>
            <w:r w:rsidRPr="000E39A6">
              <w:rPr>
                <w:rFonts w:eastAsia="Arial"/>
                <w:sz w:val="20"/>
                <w:szCs w:val="20"/>
              </w:rPr>
              <w:t>10,617</w:t>
            </w:r>
          </w:p>
        </w:tc>
      </w:tr>
      <w:tr w:rsidR="00116053" w:rsidRPr="00F13632" w14:paraId="24D420F6" w14:textId="77777777" w:rsidTr="00116053">
        <w:trPr>
          <w:trHeight w:val="181"/>
        </w:trPr>
        <w:tc>
          <w:tcPr>
            <w:tcW w:w="169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A62AB38" w14:textId="267C0E89" w:rsidR="00116053" w:rsidRPr="00F13632" w:rsidRDefault="005E5361" w:rsidP="00116053">
            <w:pPr>
              <w:jc w:val="right"/>
              <w:rPr>
                <w:sz w:val="20"/>
                <w:szCs w:val="20"/>
              </w:rPr>
            </w:pPr>
            <w:r>
              <w:rPr>
                <w:color w:val="000000"/>
                <w:sz w:val="20"/>
                <w:szCs w:val="20"/>
              </w:rPr>
              <w:t>YTD 2020</w:t>
            </w: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F7A1B" w14:textId="4E065825" w:rsidR="00116053" w:rsidRPr="000E39A6" w:rsidRDefault="00116053" w:rsidP="000E39A6">
            <w:pPr>
              <w:jc w:val="center"/>
              <w:rPr>
                <w:sz w:val="20"/>
                <w:szCs w:val="20"/>
              </w:rPr>
            </w:pPr>
            <w:r w:rsidRPr="000E39A6">
              <w:rPr>
                <w:rFonts w:eastAsia="Arial"/>
                <w:sz w:val="20"/>
                <w:szCs w:val="20"/>
              </w:rPr>
              <w:t>155</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0C33E7" w14:textId="64707076" w:rsidR="00116053" w:rsidRPr="000E39A6" w:rsidRDefault="00116053" w:rsidP="000E39A6">
            <w:pPr>
              <w:jc w:val="center"/>
              <w:rPr>
                <w:sz w:val="20"/>
                <w:szCs w:val="20"/>
              </w:rPr>
            </w:pPr>
            <w:r w:rsidRPr="000E39A6">
              <w:rPr>
                <w:rFonts w:eastAsia="Arial"/>
                <w:sz w:val="20"/>
                <w:szCs w:val="20"/>
              </w:rPr>
              <w:t>64.3</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2FF371" w14:textId="489743B8" w:rsidR="00116053" w:rsidRPr="000E39A6" w:rsidRDefault="00116053" w:rsidP="000E39A6">
            <w:pPr>
              <w:jc w:val="center"/>
              <w:rPr>
                <w:sz w:val="20"/>
                <w:szCs w:val="20"/>
              </w:rPr>
            </w:pPr>
            <w:r w:rsidRPr="000E39A6">
              <w:rPr>
                <w:rFonts w:eastAsia="Arial"/>
                <w:sz w:val="20"/>
                <w:szCs w:val="20"/>
              </w:rPr>
              <w:t>86</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B1DAD" w14:textId="6E0DD66A" w:rsidR="00116053" w:rsidRPr="000E39A6" w:rsidRDefault="00116053" w:rsidP="000E39A6">
            <w:pPr>
              <w:jc w:val="center"/>
              <w:rPr>
                <w:sz w:val="20"/>
                <w:szCs w:val="20"/>
              </w:rPr>
            </w:pPr>
            <w:r w:rsidRPr="000E39A6">
              <w:rPr>
                <w:rFonts w:eastAsia="Arial"/>
                <w:sz w:val="20"/>
                <w:szCs w:val="20"/>
              </w:rPr>
              <w:t>35.7</w:t>
            </w:r>
          </w:p>
        </w:tc>
        <w:tc>
          <w:tcPr>
            <w:tcW w:w="8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E57B5" w14:textId="23E781EB" w:rsidR="00116053" w:rsidRPr="000E39A6" w:rsidRDefault="00116053" w:rsidP="000E39A6">
            <w:pPr>
              <w:jc w:val="center"/>
              <w:rPr>
                <w:sz w:val="20"/>
                <w:szCs w:val="20"/>
              </w:rPr>
            </w:pPr>
            <w:r w:rsidRPr="000E39A6">
              <w:rPr>
                <w:rFonts w:eastAsia="Arial"/>
                <w:sz w:val="20"/>
                <w:szCs w:val="20"/>
              </w:rPr>
              <w:t>241</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776C5" w14:textId="036FCCF2" w:rsidR="00116053" w:rsidRPr="000E39A6" w:rsidRDefault="00116053" w:rsidP="000E39A6">
            <w:pPr>
              <w:jc w:val="center"/>
              <w:rPr>
                <w:sz w:val="20"/>
                <w:szCs w:val="20"/>
              </w:rPr>
            </w:pPr>
            <w:r w:rsidRPr="000E39A6">
              <w:rPr>
                <w:rFonts w:eastAsia="Arial"/>
                <w:sz w:val="20"/>
                <w:szCs w:val="20"/>
              </w:rPr>
              <w:t>20,203</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64505D" w14:textId="731618B5" w:rsidR="00116053" w:rsidRPr="000E39A6" w:rsidRDefault="00116053" w:rsidP="000E39A6">
            <w:pPr>
              <w:jc w:val="center"/>
              <w:rPr>
                <w:sz w:val="20"/>
                <w:szCs w:val="20"/>
              </w:rPr>
            </w:pPr>
            <w:r w:rsidRPr="000E39A6">
              <w:rPr>
                <w:rFonts w:eastAsia="Arial"/>
                <w:sz w:val="20"/>
                <w:szCs w:val="20"/>
              </w:rPr>
              <w:t>62.0</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6BCFBD" w14:textId="31BECBD2" w:rsidR="00116053" w:rsidRPr="000E39A6" w:rsidRDefault="00116053" w:rsidP="000E39A6">
            <w:pPr>
              <w:jc w:val="center"/>
              <w:rPr>
                <w:sz w:val="20"/>
                <w:szCs w:val="20"/>
              </w:rPr>
            </w:pPr>
            <w:r w:rsidRPr="000E39A6">
              <w:rPr>
                <w:rFonts w:eastAsia="Arial"/>
                <w:sz w:val="20"/>
                <w:szCs w:val="20"/>
              </w:rPr>
              <w:t>12,360</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0D31DF" w14:textId="7F9DF8B3" w:rsidR="00116053" w:rsidRPr="000E39A6" w:rsidRDefault="00116053" w:rsidP="000E39A6">
            <w:pPr>
              <w:jc w:val="center"/>
              <w:rPr>
                <w:sz w:val="20"/>
                <w:szCs w:val="20"/>
              </w:rPr>
            </w:pPr>
            <w:r w:rsidRPr="000E39A6">
              <w:rPr>
                <w:rFonts w:eastAsia="Arial"/>
                <w:sz w:val="20"/>
                <w:szCs w:val="20"/>
              </w:rPr>
              <w:t>38.0</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EF1EE" w14:textId="6A5ADAD1" w:rsidR="00116053" w:rsidRPr="000E39A6" w:rsidRDefault="00116053" w:rsidP="000E39A6">
            <w:pPr>
              <w:jc w:val="center"/>
              <w:rPr>
                <w:sz w:val="20"/>
                <w:szCs w:val="20"/>
              </w:rPr>
            </w:pPr>
            <w:r w:rsidRPr="000E39A6">
              <w:rPr>
                <w:rFonts w:eastAsia="Arial"/>
                <w:sz w:val="20"/>
                <w:szCs w:val="20"/>
              </w:rPr>
              <w:t>32,563</w:t>
            </w:r>
          </w:p>
        </w:tc>
      </w:tr>
      <w:tr w:rsidR="00116053" w:rsidRPr="00F13632" w14:paraId="6496D7C8" w14:textId="77777777" w:rsidTr="00116053">
        <w:trPr>
          <w:trHeight w:val="210"/>
        </w:trPr>
        <w:tc>
          <w:tcPr>
            <w:tcW w:w="16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9014D9D" w14:textId="77777777" w:rsidR="00116053" w:rsidRPr="00F13632" w:rsidRDefault="00116053" w:rsidP="00116053">
            <w:pPr>
              <w:rPr>
                <w:sz w:val="20"/>
                <w:szCs w:val="20"/>
              </w:rPr>
            </w:pPr>
            <w:r w:rsidRPr="00F13632">
              <w:rPr>
                <w:b/>
                <w:color w:val="000000"/>
                <w:sz w:val="20"/>
                <w:szCs w:val="20"/>
              </w:rPr>
              <w:t>Subtotal</w:t>
            </w: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0B6E7B" w14:textId="3A89846E" w:rsidR="00116053" w:rsidRPr="000E39A6" w:rsidRDefault="00116053" w:rsidP="000E39A6">
            <w:pPr>
              <w:jc w:val="center"/>
              <w:rPr>
                <w:sz w:val="20"/>
                <w:szCs w:val="20"/>
              </w:rPr>
            </w:pPr>
            <w:r w:rsidRPr="000E39A6">
              <w:rPr>
                <w:rFonts w:eastAsia="Arial"/>
                <w:b/>
                <w:sz w:val="20"/>
                <w:szCs w:val="20"/>
              </w:rPr>
              <w:t>241</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A34A2" w14:textId="48AA3725" w:rsidR="00116053" w:rsidRPr="000E39A6" w:rsidRDefault="00116053" w:rsidP="000E39A6">
            <w:pPr>
              <w:jc w:val="center"/>
              <w:rPr>
                <w:sz w:val="20"/>
                <w:szCs w:val="20"/>
              </w:rPr>
            </w:pPr>
            <w:r w:rsidRPr="000E39A6">
              <w:rPr>
                <w:rFonts w:eastAsia="Arial"/>
                <w:b/>
                <w:sz w:val="20"/>
                <w:szCs w:val="20"/>
              </w:rPr>
              <w:t>63.8</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E1FD6B" w14:textId="45124F59" w:rsidR="00116053" w:rsidRPr="000E39A6" w:rsidRDefault="00116053" w:rsidP="000E39A6">
            <w:pPr>
              <w:jc w:val="center"/>
              <w:rPr>
                <w:sz w:val="20"/>
                <w:szCs w:val="20"/>
              </w:rPr>
            </w:pPr>
            <w:r w:rsidRPr="000E39A6">
              <w:rPr>
                <w:rFonts w:eastAsia="Arial"/>
                <w:b/>
                <w:sz w:val="20"/>
                <w:szCs w:val="20"/>
              </w:rPr>
              <w:t>137</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3F884" w14:textId="6A7AD90E" w:rsidR="00116053" w:rsidRPr="000E39A6" w:rsidRDefault="00116053" w:rsidP="000E39A6">
            <w:pPr>
              <w:jc w:val="center"/>
              <w:rPr>
                <w:sz w:val="20"/>
                <w:szCs w:val="20"/>
              </w:rPr>
            </w:pPr>
            <w:r w:rsidRPr="000E39A6">
              <w:rPr>
                <w:rFonts w:eastAsia="Arial"/>
                <w:b/>
                <w:sz w:val="20"/>
                <w:szCs w:val="20"/>
              </w:rPr>
              <w:t>36.2</w:t>
            </w:r>
          </w:p>
        </w:tc>
        <w:tc>
          <w:tcPr>
            <w:tcW w:w="8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21C986" w14:textId="05E5D21E" w:rsidR="00116053" w:rsidRPr="000E39A6" w:rsidRDefault="00116053" w:rsidP="000E39A6">
            <w:pPr>
              <w:jc w:val="center"/>
              <w:rPr>
                <w:sz w:val="20"/>
                <w:szCs w:val="20"/>
              </w:rPr>
            </w:pPr>
            <w:r w:rsidRPr="000E39A6">
              <w:rPr>
                <w:rFonts w:eastAsia="Arial"/>
                <w:b/>
                <w:sz w:val="20"/>
                <w:szCs w:val="20"/>
              </w:rPr>
              <w:t>378</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3D1756" w14:textId="5CBA8F2E" w:rsidR="00116053" w:rsidRPr="000E39A6" w:rsidRDefault="00116053" w:rsidP="000E39A6">
            <w:pPr>
              <w:jc w:val="center"/>
              <w:rPr>
                <w:sz w:val="20"/>
                <w:szCs w:val="20"/>
              </w:rPr>
            </w:pPr>
            <w:r w:rsidRPr="000E39A6">
              <w:rPr>
                <w:rFonts w:eastAsia="Arial"/>
                <w:b/>
                <w:sz w:val="20"/>
                <w:szCs w:val="20"/>
              </w:rPr>
              <w:t>29,556</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B5093F" w14:textId="7C13C015" w:rsidR="00116053" w:rsidRPr="000E39A6" w:rsidRDefault="00116053" w:rsidP="000E39A6">
            <w:pPr>
              <w:jc w:val="center"/>
              <w:rPr>
                <w:sz w:val="20"/>
                <w:szCs w:val="20"/>
              </w:rPr>
            </w:pPr>
            <w:r w:rsidRPr="000E39A6">
              <w:rPr>
                <w:rFonts w:eastAsia="Arial"/>
                <w:b/>
                <w:sz w:val="20"/>
                <w:szCs w:val="20"/>
              </w:rPr>
              <w:t>55.5</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088E9" w14:textId="1CBCE6CF" w:rsidR="00116053" w:rsidRPr="000E39A6" w:rsidRDefault="00116053" w:rsidP="000E39A6">
            <w:pPr>
              <w:jc w:val="center"/>
              <w:rPr>
                <w:sz w:val="20"/>
                <w:szCs w:val="20"/>
              </w:rPr>
            </w:pPr>
            <w:r w:rsidRPr="000E39A6">
              <w:rPr>
                <w:rFonts w:eastAsia="Arial"/>
                <w:b/>
                <w:sz w:val="20"/>
                <w:szCs w:val="20"/>
              </w:rPr>
              <w:t>23,706</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011003" w14:textId="15EF4C5F" w:rsidR="00116053" w:rsidRPr="000E39A6" w:rsidRDefault="00116053" w:rsidP="000E39A6">
            <w:pPr>
              <w:jc w:val="center"/>
              <w:rPr>
                <w:sz w:val="20"/>
                <w:szCs w:val="20"/>
              </w:rPr>
            </w:pPr>
            <w:r w:rsidRPr="000E39A6">
              <w:rPr>
                <w:rFonts w:eastAsia="Arial"/>
                <w:b/>
                <w:sz w:val="20"/>
                <w:szCs w:val="20"/>
              </w:rPr>
              <w:t>44.5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D013DD" w14:textId="1851A2B2" w:rsidR="00116053" w:rsidRPr="000E39A6" w:rsidRDefault="00116053" w:rsidP="000E39A6">
            <w:pPr>
              <w:jc w:val="center"/>
              <w:rPr>
                <w:sz w:val="20"/>
                <w:szCs w:val="20"/>
              </w:rPr>
            </w:pPr>
            <w:r w:rsidRPr="000E39A6">
              <w:rPr>
                <w:rFonts w:eastAsia="Arial"/>
                <w:b/>
                <w:sz w:val="20"/>
                <w:szCs w:val="20"/>
              </w:rPr>
              <w:t>53,262</w:t>
            </w:r>
          </w:p>
        </w:tc>
      </w:tr>
      <w:tr w:rsidR="00116053" w:rsidRPr="00F13632" w14:paraId="3494E69C" w14:textId="77777777" w:rsidTr="00116053">
        <w:trPr>
          <w:trHeight w:val="210"/>
        </w:trPr>
        <w:tc>
          <w:tcPr>
            <w:tcW w:w="16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D24901D" w14:textId="77777777" w:rsidR="00116053" w:rsidRPr="00F13632" w:rsidRDefault="00116053" w:rsidP="00116053">
            <w:pPr>
              <w:rPr>
                <w:sz w:val="20"/>
                <w:szCs w:val="20"/>
              </w:rPr>
            </w:pPr>
            <w:r w:rsidRPr="00F13632">
              <w:rPr>
                <w:b/>
                <w:color w:val="000000"/>
                <w:sz w:val="20"/>
                <w:szCs w:val="20"/>
              </w:rPr>
              <w:t>Total</w:t>
            </w:r>
          </w:p>
        </w:tc>
        <w:tc>
          <w:tcPr>
            <w:tcW w:w="8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B97BA2" w14:textId="0EDB3366" w:rsidR="00116053" w:rsidRPr="000E39A6" w:rsidRDefault="00116053" w:rsidP="000E39A6">
            <w:pPr>
              <w:jc w:val="center"/>
              <w:rPr>
                <w:sz w:val="20"/>
                <w:szCs w:val="20"/>
              </w:rPr>
            </w:pPr>
            <w:r w:rsidRPr="000E39A6">
              <w:rPr>
                <w:rFonts w:eastAsia="Arial"/>
                <w:b/>
                <w:sz w:val="20"/>
                <w:szCs w:val="20"/>
              </w:rPr>
              <w:t>462</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8BA2F" w14:textId="0A4F9465" w:rsidR="00116053" w:rsidRPr="000E39A6" w:rsidRDefault="00116053" w:rsidP="000E39A6">
            <w:pPr>
              <w:jc w:val="center"/>
              <w:rPr>
                <w:sz w:val="20"/>
                <w:szCs w:val="20"/>
              </w:rPr>
            </w:pPr>
            <w:r w:rsidRPr="000E39A6">
              <w:rPr>
                <w:rFonts w:eastAsia="Arial"/>
                <w:b/>
                <w:sz w:val="20"/>
                <w:szCs w:val="20"/>
              </w:rPr>
              <w:t>57.2</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B9016" w14:textId="29FC8CFB" w:rsidR="00116053" w:rsidRPr="000E39A6" w:rsidRDefault="00116053" w:rsidP="000E39A6">
            <w:pPr>
              <w:jc w:val="center"/>
              <w:rPr>
                <w:sz w:val="20"/>
                <w:szCs w:val="20"/>
              </w:rPr>
            </w:pPr>
            <w:r w:rsidRPr="000E39A6">
              <w:rPr>
                <w:rFonts w:eastAsia="Arial"/>
                <w:b/>
                <w:sz w:val="20"/>
                <w:szCs w:val="20"/>
              </w:rPr>
              <w:t>345</w:t>
            </w:r>
          </w:p>
        </w:tc>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3954D" w14:textId="58B94C0E" w:rsidR="00116053" w:rsidRPr="000E39A6" w:rsidRDefault="00116053" w:rsidP="000E39A6">
            <w:pPr>
              <w:jc w:val="center"/>
              <w:rPr>
                <w:sz w:val="20"/>
                <w:szCs w:val="20"/>
              </w:rPr>
            </w:pPr>
            <w:r w:rsidRPr="000E39A6">
              <w:rPr>
                <w:rFonts w:eastAsia="Arial"/>
                <w:b/>
                <w:sz w:val="20"/>
                <w:szCs w:val="20"/>
              </w:rPr>
              <w:t>42.8</w:t>
            </w:r>
          </w:p>
        </w:tc>
        <w:tc>
          <w:tcPr>
            <w:tcW w:w="8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B387D0" w14:textId="57A78AE1" w:rsidR="00116053" w:rsidRPr="000E39A6" w:rsidRDefault="00116053" w:rsidP="000E39A6">
            <w:pPr>
              <w:jc w:val="center"/>
              <w:rPr>
                <w:sz w:val="20"/>
                <w:szCs w:val="20"/>
              </w:rPr>
            </w:pPr>
            <w:r w:rsidRPr="000E39A6">
              <w:rPr>
                <w:rFonts w:eastAsia="Arial"/>
                <w:b/>
                <w:sz w:val="20"/>
                <w:szCs w:val="20"/>
              </w:rPr>
              <w:t>807</w:t>
            </w:r>
          </w:p>
        </w:tc>
        <w:tc>
          <w:tcPr>
            <w:tcW w:w="9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6DEC10" w14:textId="5187B2C1" w:rsidR="00116053" w:rsidRPr="000E39A6" w:rsidRDefault="00116053" w:rsidP="000E39A6">
            <w:pPr>
              <w:jc w:val="center"/>
              <w:rPr>
                <w:sz w:val="20"/>
                <w:szCs w:val="20"/>
              </w:rPr>
            </w:pPr>
            <w:r w:rsidRPr="000E39A6">
              <w:rPr>
                <w:rFonts w:eastAsia="Arial"/>
                <w:b/>
                <w:sz w:val="20"/>
                <w:szCs w:val="20"/>
              </w:rPr>
              <w:t>140,706</w:t>
            </w:r>
          </w:p>
        </w:tc>
        <w:tc>
          <w:tcPr>
            <w:tcW w:w="6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05EFCF" w14:textId="5DE167DC" w:rsidR="00116053" w:rsidRPr="000E39A6" w:rsidRDefault="00116053" w:rsidP="000E39A6">
            <w:pPr>
              <w:jc w:val="center"/>
              <w:rPr>
                <w:sz w:val="20"/>
                <w:szCs w:val="20"/>
              </w:rPr>
            </w:pPr>
            <w:r w:rsidRPr="000E39A6">
              <w:rPr>
                <w:rFonts w:eastAsia="Arial"/>
                <w:b/>
                <w:sz w:val="20"/>
                <w:szCs w:val="20"/>
              </w:rPr>
              <w:t>52.2</w:t>
            </w:r>
          </w:p>
        </w:tc>
        <w:tc>
          <w:tcPr>
            <w:tcW w:w="9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CDDBC5" w14:textId="2B5A4348" w:rsidR="00116053" w:rsidRPr="000E39A6" w:rsidRDefault="00116053" w:rsidP="000E39A6">
            <w:pPr>
              <w:jc w:val="center"/>
              <w:rPr>
                <w:sz w:val="20"/>
                <w:szCs w:val="20"/>
              </w:rPr>
            </w:pPr>
            <w:r w:rsidRPr="000E39A6">
              <w:rPr>
                <w:rFonts w:eastAsia="Arial"/>
                <w:b/>
                <w:sz w:val="20"/>
                <w:szCs w:val="20"/>
              </w:rPr>
              <w:t>129,086</w:t>
            </w:r>
          </w:p>
        </w:tc>
        <w:tc>
          <w:tcPr>
            <w:tcW w:w="5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51346" w14:textId="40D3EB43" w:rsidR="00116053" w:rsidRPr="000E39A6" w:rsidRDefault="00116053" w:rsidP="000E39A6">
            <w:pPr>
              <w:jc w:val="center"/>
              <w:rPr>
                <w:sz w:val="20"/>
                <w:szCs w:val="20"/>
              </w:rPr>
            </w:pPr>
            <w:r w:rsidRPr="000E39A6">
              <w:rPr>
                <w:rFonts w:eastAsia="Arial"/>
                <w:b/>
                <w:sz w:val="20"/>
                <w:szCs w:val="20"/>
              </w:rPr>
              <w:t>47.8</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711DE6" w14:textId="1CF53578" w:rsidR="00116053" w:rsidRPr="000E39A6" w:rsidRDefault="00116053" w:rsidP="000E39A6">
            <w:pPr>
              <w:jc w:val="center"/>
              <w:rPr>
                <w:sz w:val="20"/>
                <w:szCs w:val="20"/>
              </w:rPr>
            </w:pPr>
            <w:r w:rsidRPr="000E39A6">
              <w:rPr>
                <w:rFonts w:eastAsia="Arial"/>
                <w:b/>
                <w:sz w:val="20"/>
                <w:szCs w:val="20"/>
              </w:rPr>
              <w:t>269,791</w:t>
            </w:r>
          </w:p>
        </w:tc>
      </w:tr>
      <w:tr w:rsidR="00116053" w:rsidRPr="00F13632" w14:paraId="7E8A789F" w14:textId="77777777" w:rsidTr="00116053">
        <w:trPr>
          <w:trHeight w:val="356"/>
        </w:trPr>
        <w:tc>
          <w:tcPr>
            <w:tcW w:w="9342" w:type="dxa"/>
            <w:gridSpan w:val="11"/>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4F5FB148" w14:textId="77777777" w:rsidR="00116053" w:rsidRPr="00F13632" w:rsidRDefault="00116053" w:rsidP="00FC5212">
            <w:pPr>
              <w:rPr>
                <w:sz w:val="20"/>
                <w:szCs w:val="20"/>
              </w:rPr>
            </w:pPr>
            <w:r w:rsidRPr="00F13632">
              <w:rPr>
                <w:i/>
                <w:color w:val="000000"/>
                <w:sz w:val="16"/>
                <w:szCs w:val="20"/>
              </w:rPr>
              <w:t>Source: Bank Data</w:t>
            </w:r>
          </w:p>
          <w:p w14:paraId="2521035B" w14:textId="77777777" w:rsidR="00116053" w:rsidRPr="00F13632" w:rsidRDefault="00116053" w:rsidP="00FC5212">
            <w:pPr>
              <w:rPr>
                <w:sz w:val="20"/>
                <w:szCs w:val="20"/>
              </w:rPr>
            </w:pPr>
            <w:r w:rsidRPr="00F13632">
              <w:rPr>
                <w:i/>
                <w:color w:val="000000"/>
                <w:sz w:val="16"/>
                <w:szCs w:val="20"/>
              </w:rPr>
              <w:t>Due to rounding, totals may not equal 100.0%</w:t>
            </w:r>
          </w:p>
        </w:tc>
      </w:tr>
    </w:tbl>
    <w:p w14:paraId="21425F4E" w14:textId="77777777" w:rsidR="00116053" w:rsidRDefault="00116053" w:rsidP="00116053">
      <w:pPr>
        <w:rPr>
          <w:iCs/>
        </w:rPr>
      </w:pPr>
    </w:p>
    <w:p w14:paraId="6983B6F1" w14:textId="77777777" w:rsidR="00563BA0" w:rsidRDefault="00563BA0" w:rsidP="00563BA0">
      <w:pPr>
        <w:rPr>
          <w:b/>
          <w:bCs/>
          <w:u w:val="single"/>
        </w:rPr>
      </w:pPr>
      <w:r w:rsidRPr="00563BA0">
        <w:rPr>
          <w:b/>
          <w:bCs/>
          <w:u w:val="single"/>
        </w:rPr>
        <w:t>Geographic Distribution</w:t>
      </w:r>
    </w:p>
    <w:p w14:paraId="7D0E1A55" w14:textId="77777777" w:rsidR="002F23F2" w:rsidRDefault="002F23F2" w:rsidP="00563BA0">
      <w:pPr>
        <w:rPr>
          <w:b/>
          <w:bCs/>
          <w:u w:val="single"/>
        </w:rPr>
      </w:pPr>
    </w:p>
    <w:p w14:paraId="211534DA" w14:textId="753009CF" w:rsidR="002F23F2" w:rsidRDefault="002F23F2" w:rsidP="002F23F2">
      <w:r>
        <w:t xml:space="preserve">The geographic distribution of home mortgage loans </w:t>
      </w:r>
      <w:r w:rsidRPr="00CD1029">
        <w:t>reflects reasonable dispersion</w:t>
      </w:r>
      <w:r>
        <w:t xml:space="preserve"> throughout the assessment area.  </w:t>
      </w:r>
      <w:r w:rsidR="00C672AE">
        <w:t>Examiners f</w:t>
      </w:r>
      <w:r>
        <w:t>ocused on the percentage of loans by number originated in</w:t>
      </w:r>
      <w:r w:rsidR="00C672AE">
        <w:t xml:space="preserve"> low-and moderate-</w:t>
      </w:r>
      <w:r>
        <w:t xml:space="preserve">income census tracts. </w:t>
      </w:r>
    </w:p>
    <w:p w14:paraId="45996058" w14:textId="3D181F67" w:rsidR="002F23F2" w:rsidRDefault="002F23F2" w:rsidP="00563BA0">
      <w:pPr>
        <w:rPr>
          <w:b/>
          <w:bCs/>
          <w:u w:val="single"/>
        </w:rPr>
      </w:pPr>
    </w:p>
    <w:p w14:paraId="6179873C" w14:textId="7B1B1D24" w:rsidR="00D75737" w:rsidRPr="00D75737" w:rsidRDefault="00D75737" w:rsidP="00563BA0">
      <w:pPr>
        <w:rPr>
          <w:b/>
          <w:bCs/>
          <w:i/>
        </w:rPr>
      </w:pPr>
      <w:r w:rsidRPr="00D75737">
        <w:rPr>
          <w:b/>
          <w:bCs/>
          <w:i/>
        </w:rPr>
        <w:t>Home Mortgage Loans</w:t>
      </w:r>
    </w:p>
    <w:p w14:paraId="386997BB" w14:textId="4CA1FF61" w:rsidR="000F1180" w:rsidRDefault="00895FE2" w:rsidP="00AB0332">
      <w:r w:rsidRPr="006876C5">
        <w:rPr>
          <w:bCs/>
        </w:rPr>
        <w:t xml:space="preserve">The geographic distribution of </w:t>
      </w:r>
      <w:r>
        <w:rPr>
          <w:bCs/>
        </w:rPr>
        <w:t>home mortgage</w:t>
      </w:r>
      <w:r w:rsidRPr="006876C5">
        <w:rPr>
          <w:bCs/>
        </w:rPr>
        <w:t xml:space="preserve"> loans </w:t>
      </w:r>
      <w:r w:rsidRPr="00C5438E">
        <w:rPr>
          <w:bCs/>
        </w:rPr>
        <w:t>reflects reasonable dispersion</w:t>
      </w:r>
      <w:r w:rsidRPr="006876C5">
        <w:rPr>
          <w:bCs/>
        </w:rPr>
        <w:t xml:space="preserve">.  </w:t>
      </w:r>
      <w:r w:rsidR="00D374FD" w:rsidRPr="00787F9D">
        <w:t xml:space="preserve">Lending in </w:t>
      </w:r>
      <w:r w:rsidR="00270D09">
        <w:t>low-income census tr</w:t>
      </w:r>
      <w:r>
        <w:t xml:space="preserve">acts was below aggregate </w:t>
      </w:r>
      <w:r w:rsidR="00A1341B">
        <w:t xml:space="preserve">and </w:t>
      </w:r>
      <w:r w:rsidR="00270D09">
        <w:t>the percentage of owner-occupied housing units</w:t>
      </w:r>
      <w:r>
        <w:t xml:space="preserve"> </w:t>
      </w:r>
      <w:r w:rsidR="003B75B6">
        <w:t xml:space="preserve">in </w:t>
      </w:r>
      <w:r w:rsidR="0015516A">
        <w:t>2018, 2019</w:t>
      </w:r>
      <w:r w:rsidR="002D0DB7">
        <w:t>,</w:t>
      </w:r>
      <w:r w:rsidR="0015516A">
        <w:t xml:space="preserve"> and 2020.</w:t>
      </w:r>
      <w:r w:rsidR="00270D09">
        <w:t xml:space="preserve">  </w:t>
      </w:r>
      <w:r w:rsidR="00CE0ABC">
        <w:t>Since the prior evaluation, t</w:t>
      </w:r>
      <w:r w:rsidR="00C25164">
        <w:t xml:space="preserve">he bank </w:t>
      </w:r>
      <w:r w:rsidR="0015516A">
        <w:t>expanded its assessment area to include all of the City of Lawrence, adding 14 low-income census tracts to the assessment area.  All 17 low-income census tracts in t</w:t>
      </w:r>
      <w:r>
        <w:t>he assessment area</w:t>
      </w:r>
      <w:r w:rsidR="0015516A">
        <w:t xml:space="preserve"> are located in Lawrence, where the bank does not maintain a branch presence.</w:t>
      </w:r>
      <w:r w:rsidR="00270D09">
        <w:t xml:space="preserve">  </w:t>
      </w:r>
      <w:r w:rsidR="00827EBE">
        <w:t>Additionally, t</w:t>
      </w:r>
      <w:r w:rsidR="00270D09" w:rsidRPr="00787F9D">
        <w:t xml:space="preserve">here is significant competition for loans in </w:t>
      </w:r>
      <w:r>
        <w:t xml:space="preserve">Lawrence, where there is a limited number of owner-occupied units.  </w:t>
      </w:r>
      <w:r w:rsidR="00827EBE">
        <w:t>O</w:t>
      </w:r>
      <w:r w:rsidR="00BF5001">
        <w:t>f the 141 lenders who reported a loan in low-income census tracts in 2019</w:t>
      </w:r>
      <w:r w:rsidR="00827EBE">
        <w:t>, half</w:t>
      </w:r>
      <w:r w:rsidR="00BF5001">
        <w:t xml:space="preserve"> reported only one or two loans.  The top ranked lenders consisted of mortgage companies and large national banks.  For example, Santander Bank, National Association; and Citizens Bank, National Association</w:t>
      </w:r>
      <w:r w:rsidR="0062414E">
        <w:t>,</w:t>
      </w:r>
      <w:r w:rsidR="00BF5001">
        <w:t xml:space="preserve"> respectively ranked 2</w:t>
      </w:r>
      <w:r w:rsidR="00BF5001" w:rsidRPr="00BF5001">
        <w:rPr>
          <w:vertAlign w:val="superscript"/>
        </w:rPr>
        <w:t>nd</w:t>
      </w:r>
      <w:r w:rsidR="00BF5001">
        <w:t xml:space="preserve"> and 3</w:t>
      </w:r>
      <w:r w:rsidR="00BF5001" w:rsidRPr="00BF5001">
        <w:rPr>
          <w:vertAlign w:val="superscript"/>
        </w:rPr>
        <w:t>rd</w:t>
      </w:r>
      <w:r w:rsidR="00BF5001">
        <w:t xml:space="preserve"> in lending in low-income tracts, and both institutions maintain branches in Lawrence.  </w:t>
      </w:r>
      <w:r w:rsidR="00270D09">
        <w:t xml:space="preserve">Lending in </w:t>
      </w:r>
      <w:r w:rsidR="00D374FD" w:rsidRPr="00787F9D">
        <w:t>moderate-income census tr</w:t>
      </w:r>
      <w:r w:rsidR="003F5FA9">
        <w:t xml:space="preserve">acts was below aggregate </w:t>
      </w:r>
      <w:r w:rsidR="00855A4B">
        <w:t xml:space="preserve">and demographic data </w:t>
      </w:r>
      <w:r w:rsidR="003F5FA9">
        <w:t>in 2018</w:t>
      </w:r>
      <w:r w:rsidR="00827EBE">
        <w:t>;</w:t>
      </w:r>
      <w:r w:rsidR="00270D09">
        <w:t xml:space="preserve"> however</w:t>
      </w:r>
      <w:r w:rsidR="00827EBE">
        <w:t>,</w:t>
      </w:r>
      <w:r w:rsidR="00270D09">
        <w:t xml:space="preserve"> increased </w:t>
      </w:r>
      <w:r w:rsidR="00827EBE">
        <w:t xml:space="preserve">and </w:t>
      </w:r>
      <w:r w:rsidR="0044396E">
        <w:t>was above</w:t>
      </w:r>
      <w:r w:rsidR="00270D09">
        <w:t xml:space="preserve"> aggregate</w:t>
      </w:r>
      <w:r w:rsidR="00E56C45">
        <w:t>,</w:t>
      </w:r>
      <w:r w:rsidR="00270D09">
        <w:t xml:space="preserve"> as well as the</w:t>
      </w:r>
      <w:r w:rsidR="00D374FD" w:rsidRPr="00787F9D">
        <w:t xml:space="preserve"> percentage of owner-occupied housing units</w:t>
      </w:r>
      <w:r>
        <w:t xml:space="preserve"> in 2019</w:t>
      </w:r>
      <w:r w:rsidR="00270D09">
        <w:t>.  Additionally, for the first six months of 2020, the bank’s percentage of lending in moder</w:t>
      </w:r>
      <w:r>
        <w:t>ate-income census tracts shows a positive trend</w:t>
      </w:r>
      <w:r w:rsidR="00270D09">
        <w:t>.</w:t>
      </w:r>
      <w:r w:rsidR="00A829DB">
        <w:t xml:space="preserve">  </w:t>
      </w:r>
      <w:r w:rsidR="00033035" w:rsidRPr="00787F9D">
        <w:t>Given these factors, the bank’s performance is reasonable.</w:t>
      </w:r>
      <w:r w:rsidR="006F39A5">
        <w:t xml:space="preserve">  </w:t>
      </w:r>
      <w:r w:rsidR="004950C6">
        <w:t xml:space="preserve"> </w:t>
      </w:r>
    </w:p>
    <w:p w14:paraId="2B1CA5B1" w14:textId="4EF9E8AA" w:rsidR="00C25164" w:rsidRDefault="00C25164">
      <w:r>
        <w:br w:type="page"/>
      </w:r>
    </w:p>
    <w:tbl>
      <w:tblPr>
        <w:tblW w:w="0" w:type="auto"/>
        <w:jc w:val="center"/>
        <w:tblCellMar>
          <w:left w:w="0" w:type="dxa"/>
          <w:right w:w="0" w:type="dxa"/>
        </w:tblCellMar>
        <w:tblLook w:val="0000" w:firstRow="0" w:lastRow="0" w:firstColumn="0" w:lastColumn="0" w:noHBand="0" w:noVBand="0"/>
      </w:tblPr>
      <w:tblGrid>
        <w:gridCol w:w="2504"/>
        <w:gridCol w:w="1548"/>
        <w:gridCol w:w="1427"/>
        <w:gridCol w:w="1191"/>
        <w:gridCol w:w="847"/>
        <w:gridCol w:w="1011"/>
        <w:gridCol w:w="814"/>
      </w:tblGrid>
      <w:tr w:rsidR="00F45E7B" w:rsidRPr="00F45E7B" w14:paraId="028F156A" w14:textId="77777777" w:rsidTr="00512E81">
        <w:trPr>
          <w:trHeight w:val="282"/>
          <w:jc w:val="center"/>
        </w:trPr>
        <w:tc>
          <w:tcPr>
            <w:tcW w:w="9342"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0824B060" w14:textId="77777777" w:rsidR="00F45E7B" w:rsidRPr="00F45E7B" w:rsidRDefault="00F45E7B" w:rsidP="00F45E7B">
            <w:pPr>
              <w:jc w:val="center"/>
              <w:rPr>
                <w:sz w:val="20"/>
                <w:szCs w:val="20"/>
              </w:rPr>
            </w:pPr>
            <w:r w:rsidRPr="00F45E7B">
              <w:rPr>
                <w:b/>
                <w:color w:val="000000"/>
                <w:sz w:val="20"/>
                <w:szCs w:val="20"/>
              </w:rPr>
              <w:t>Geographic Distribution of Home Mortgage Loans</w:t>
            </w:r>
          </w:p>
        </w:tc>
      </w:tr>
      <w:tr w:rsidR="00F45E7B" w:rsidRPr="00F45E7B" w14:paraId="46365CAB" w14:textId="77777777" w:rsidTr="00512E81">
        <w:trPr>
          <w:trHeight w:val="498"/>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35425F" w14:textId="77777777" w:rsidR="00F45E7B" w:rsidRPr="00F45E7B" w:rsidRDefault="00F45E7B" w:rsidP="00F45E7B">
            <w:pPr>
              <w:rPr>
                <w:sz w:val="20"/>
                <w:szCs w:val="20"/>
              </w:rPr>
            </w:pPr>
            <w:r w:rsidRPr="00F45E7B">
              <w:rPr>
                <w:b/>
                <w:color w:val="000000"/>
                <w:sz w:val="20"/>
                <w:szCs w:val="20"/>
              </w:rPr>
              <w:t>Tract Income Level</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4401F91" w14:textId="77777777" w:rsidR="00F45E7B" w:rsidRPr="00F45E7B" w:rsidRDefault="00F45E7B" w:rsidP="00F45E7B">
            <w:pPr>
              <w:jc w:val="center"/>
              <w:rPr>
                <w:sz w:val="20"/>
                <w:szCs w:val="20"/>
              </w:rPr>
            </w:pPr>
            <w:r w:rsidRPr="00F45E7B">
              <w:rPr>
                <w:b/>
                <w:color w:val="000000"/>
                <w:sz w:val="20"/>
                <w:szCs w:val="20"/>
              </w:rPr>
              <w:t>% of  Owner-Occupied Housing Units</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B07BB1E" w14:textId="77777777" w:rsidR="00F45E7B" w:rsidRPr="00F45E7B" w:rsidRDefault="00F45E7B" w:rsidP="00F45E7B">
            <w:pPr>
              <w:jc w:val="center"/>
              <w:rPr>
                <w:sz w:val="20"/>
                <w:szCs w:val="20"/>
              </w:rPr>
            </w:pPr>
            <w:r w:rsidRPr="00F45E7B">
              <w:rPr>
                <w:b/>
                <w:color w:val="000000"/>
                <w:sz w:val="20"/>
                <w:szCs w:val="20"/>
              </w:rPr>
              <w:t>Aggregate Performance</w:t>
            </w:r>
            <w:r w:rsidRPr="00F45E7B">
              <w:rPr>
                <w:b/>
                <w:color w:val="000000"/>
                <w:sz w:val="20"/>
                <w:szCs w:val="20"/>
              </w:rPr>
              <w:br/>
              <w:t>% of #</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A245A3" w14:textId="77777777" w:rsidR="00F45E7B" w:rsidRPr="00F45E7B" w:rsidRDefault="00F45E7B" w:rsidP="00F45E7B">
            <w:pPr>
              <w:jc w:val="center"/>
              <w:rPr>
                <w:sz w:val="20"/>
                <w:szCs w:val="20"/>
              </w:rPr>
            </w:pPr>
            <w:r w:rsidRPr="00F45E7B">
              <w:rPr>
                <w:b/>
                <w:color w:val="000000"/>
                <w:sz w:val="20"/>
                <w:szCs w:val="20"/>
              </w:rPr>
              <w:t>#</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65672F5" w14:textId="77777777" w:rsidR="00F45E7B" w:rsidRPr="00F45E7B" w:rsidRDefault="00F45E7B" w:rsidP="00F45E7B">
            <w:pPr>
              <w:jc w:val="center"/>
              <w:rPr>
                <w:sz w:val="20"/>
                <w:szCs w:val="20"/>
              </w:rPr>
            </w:pPr>
            <w:r w:rsidRPr="00F45E7B">
              <w:rPr>
                <w:b/>
                <w:color w:val="000000"/>
                <w:sz w:val="20"/>
                <w:szCs w:val="20"/>
              </w:rPr>
              <w:t>%</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D84D455" w14:textId="77777777" w:rsidR="00F45E7B" w:rsidRPr="00F45E7B" w:rsidRDefault="00F45E7B" w:rsidP="00F45E7B">
            <w:pPr>
              <w:jc w:val="center"/>
              <w:rPr>
                <w:sz w:val="20"/>
                <w:szCs w:val="20"/>
              </w:rPr>
            </w:pPr>
            <w:r w:rsidRPr="00F45E7B">
              <w:rPr>
                <w:b/>
                <w:color w:val="000000"/>
                <w:sz w:val="20"/>
                <w:szCs w:val="20"/>
              </w:rPr>
              <w:t>$(000s)</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BD2849E" w14:textId="77777777" w:rsidR="00F45E7B" w:rsidRPr="00F45E7B" w:rsidRDefault="00F45E7B" w:rsidP="00F45E7B">
            <w:pPr>
              <w:jc w:val="center"/>
              <w:rPr>
                <w:sz w:val="20"/>
                <w:szCs w:val="20"/>
              </w:rPr>
            </w:pPr>
            <w:r w:rsidRPr="00F45E7B">
              <w:rPr>
                <w:b/>
                <w:color w:val="000000"/>
                <w:sz w:val="20"/>
                <w:szCs w:val="20"/>
              </w:rPr>
              <w:t>%</w:t>
            </w:r>
          </w:p>
        </w:tc>
      </w:tr>
      <w:tr w:rsidR="00F45E7B" w:rsidRPr="00F45E7B" w14:paraId="732C790F" w14:textId="77777777" w:rsidTr="00512E81">
        <w:trPr>
          <w:trHeight w:val="195"/>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8DD999" w14:textId="77777777" w:rsidR="00F45E7B" w:rsidRPr="00F45E7B" w:rsidRDefault="00F45E7B" w:rsidP="00F45E7B">
            <w:pPr>
              <w:rPr>
                <w:sz w:val="20"/>
                <w:szCs w:val="20"/>
              </w:rPr>
            </w:pPr>
            <w:r w:rsidRPr="00F45E7B">
              <w:rPr>
                <w:color w:val="000000"/>
                <w:sz w:val="20"/>
                <w:szCs w:val="20"/>
              </w:rPr>
              <w:t>Low</w:t>
            </w:r>
          </w:p>
        </w:tc>
        <w:tc>
          <w:tcPr>
            <w:tcW w:w="6838"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19562" w14:textId="77777777" w:rsidR="00F45E7B" w:rsidRPr="00512E81" w:rsidRDefault="00F45E7B" w:rsidP="00F45E7B">
            <w:pPr>
              <w:rPr>
                <w:sz w:val="20"/>
                <w:szCs w:val="20"/>
              </w:rPr>
            </w:pPr>
          </w:p>
        </w:tc>
      </w:tr>
      <w:tr w:rsidR="008C2A65" w:rsidRPr="00F45E7B" w14:paraId="412E60D2"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C2D37F4" w14:textId="77777777" w:rsidR="008C2A65" w:rsidRPr="00F45E7B" w:rsidRDefault="008C2A65" w:rsidP="008C2A65">
            <w:pPr>
              <w:jc w:val="right"/>
              <w:rPr>
                <w:sz w:val="20"/>
                <w:szCs w:val="20"/>
              </w:rPr>
            </w:pPr>
            <w:r w:rsidRPr="00F45E7B">
              <w:rPr>
                <w:color w:val="000000"/>
                <w:sz w:val="20"/>
                <w:szCs w:val="20"/>
              </w:rPr>
              <w:t>2018</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C836BA" w14:textId="2C2B519D" w:rsidR="008C2A65" w:rsidRPr="00512E81" w:rsidRDefault="008C2A65" w:rsidP="008C2A65">
            <w:pPr>
              <w:jc w:val="center"/>
              <w:rPr>
                <w:sz w:val="20"/>
                <w:szCs w:val="20"/>
              </w:rPr>
            </w:pPr>
            <w:r w:rsidRPr="00512E81">
              <w:rPr>
                <w:rFonts w:eastAsia="Arial"/>
                <w:sz w:val="20"/>
                <w:szCs w:val="20"/>
              </w:rPr>
              <w:t>6.9</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8420E" w14:textId="14E6C39D" w:rsidR="008C2A65" w:rsidRPr="00512E81" w:rsidRDefault="008C2A65" w:rsidP="008C2A65">
            <w:pPr>
              <w:jc w:val="center"/>
              <w:rPr>
                <w:sz w:val="20"/>
                <w:szCs w:val="20"/>
              </w:rPr>
            </w:pPr>
            <w:r w:rsidRPr="00512E81">
              <w:rPr>
                <w:rFonts w:eastAsia="Arial"/>
                <w:sz w:val="20"/>
                <w:szCs w:val="20"/>
              </w:rPr>
              <w:t>10.9</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3AEDAD" w14:textId="73EB0DC3" w:rsidR="008C2A65" w:rsidRPr="00512E81" w:rsidRDefault="008C2A65" w:rsidP="008C2A65">
            <w:pPr>
              <w:jc w:val="center"/>
              <w:rPr>
                <w:sz w:val="20"/>
                <w:szCs w:val="20"/>
              </w:rPr>
            </w:pPr>
            <w:r w:rsidRPr="00512E81">
              <w:rPr>
                <w:rFonts w:eastAsia="Arial"/>
                <w:sz w:val="20"/>
                <w:szCs w:val="20"/>
              </w:rPr>
              <w:t>3</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BCD079" w14:textId="1B7BE6BB" w:rsidR="008C2A65" w:rsidRPr="00512E81" w:rsidRDefault="008C2A65" w:rsidP="008C2A65">
            <w:pPr>
              <w:jc w:val="center"/>
              <w:rPr>
                <w:sz w:val="20"/>
                <w:szCs w:val="20"/>
              </w:rPr>
            </w:pPr>
            <w:r w:rsidRPr="00512E81">
              <w:rPr>
                <w:rFonts w:eastAsia="Arial"/>
                <w:sz w:val="20"/>
                <w:szCs w:val="20"/>
              </w:rPr>
              <w:t>4.9</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6AEDC" w14:textId="7B4F5531" w:rsidR="008C2A65" w:rsidRPr="00512E81" w:rsidRDefault="008C2A65" w:rsidP="008C2A65">
            <w:pPr>
              <w:jc w:val="center"/>
              <w:rPr>
                <w:sz w:val="20"/>
                <w:szCs w:val="20"/>
              </w:rPr>
            </w:pPr>
            <w:r w:rsidRPr="00512E81">
              <w:rPr>
                <w:rFonts w:eastAsia="Arial"/>
                <w:sz w:val="20"/>
                <w:szCs w:val="20"/>
              </w:rPr>
              <w:t>365</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BF2654" w14:textId="2D844106" w:rsidR="008C2A65" w:rsidRPr="00512E81" w:rsidRDefault="008C2A65" w:rsidP="008C2A65">
            <w:pPr>
              <w:jc w:val="center"/>
              <w:rPr>
                <w:sz w:val="20"/>
                <w:szCs w:val="20"/>
              </w:rPr>
            </w:pPr>
            <w:r w:rsidRPr="00512E81">
              <w:rPr>
                <w:rFonts w:eastAsia="Arial"/>
                <w:sz w:val="20"/>
                <w:szCs w:val="20"/>
              </w:rPr>
              <w:t>1.0</w:t>
            </w:r>
          </w:p>
        </w:tc>
      </w:tr>
      <w:tr w:rsidR="008C2A65" w:rsidRPr="00F45E7B" w14:paraId="355C5BA8"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B453F51" w14:textId="77777777" w:rsidR="008C2A65" w:rsidRPr="00F45E7B" w:rsidRDefault="008C2A65" w:rsidP="008C2A65">
            <w:pPr>
              <w:jc w:val="right"/>
              <w:rPr>
                <w:sz w:val="20"/>
                <w:szCs w:val="20"/>
              </w:rPr>
            </w:pPr>
            <w:r w:rsidRPr="00F45E7B">
              <w:rPr>
                <w:color w:val="000000"/>
                <w:sz w:val="20"/>
                <w:szCs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AD6E7" w14:textId="45BF3F59" w:rsidR="008C2A65" w:rsidRPr="00512E81" w:rsidRDefault="008C2A65" w:rsidP="008C2A65">
            <w:pPr>
              <w:jc w:val="center"/>
              <w:rPr>
                <w:sz w:val="20"/>
                <w:szCs w:val="20"/>
              </w:rPr>
            </w:pPr>
            <w:r w:rsidRPr="00512E81">
              <w:rPr>
                <w:rFonts w:eastAsia="Arial"/>
                <w:sz w:val="20"/>
                <w:szCs w:val="20"/>
              </w:rPr>
              <w:t>6.9</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33128A" w14:textId="54EE0DB3" w:rsidR="008C2A65" w:rsidRPr="00512E81" w:rsidRDefault="008C2A65" w:rsidP="008C2A65">
            <w:pPr>
              <w:jc w:val="center"/>
              <w:rPr>
                <w:sz w:val="20"/>
                <w:szCs w:val="20"/>
              </w:rPr>
            </w:pPr>
            <w:r w:rsidRPr="00512E81">
              <w:rPr>
                <w:rFonts w:eastAsia="Arial"/>
                <w:sz w:val="20"/>
                <w:szCs w:val="20"/>
              </w:rPr>
              <w:t>9.9</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5B21EE" w14:textId="4B907A19" w:rsidR="008C2A65" w:rsidRPr="00512E81" w:rsidRDefault="008C2A65" w:rsidP="008C2A65">
            <w:pPr>
              <w:jc w:val="center"/>
              <w:rPr>
                <w:sz w:val="20"/>
                <w:szCs w:val="20"/>
              </w:rPr>
            </w:pPr>
            <w:r w:rsidRPr="00512E81">
              <w:rPr>
                <w:rFonts w:eastAsia="Arial"/>
                <w:sz w:val="20"/>
                <w:szCs w:val="20"/>
              </w:rPr>
              <w:t>4</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19395" w14:textId="00A8E468" w:rsidR="008C2A65" w:rsidRPr="00512E81" w:rsidRDefault="008C2A65" w:rsidP="008C2A65">
            <w:pPr>
              <w:jc w:val="center"/>
              <w:rPr>
                <w:sz w:val="20"/>
                <w:szCs w:val="20"/>
              </w:rPr>
            </w:pPr>
            <w:r w:rsidRPr="00512E81">
              <w:rPr>
                <w:rFonts w:eastAsia="Arial"/>
                <w:sz w:val="20"/>
                <w:szCs w:val="20"/>
              </w:rPr>
              <w:t>4.7</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79916" w14:textId="6A4F1CA8" w:rsidR="008C2A65" w:rsidRPr="00512E81" w:rsidRDefault="008C2A65" w:rsidP="008C2A65">
            <w:pPr>
              <w:jc w:val="center"/>
              <w:rPr>
                <w:sz w:val="20"/>
                <w:szCs w:val="20"/>
              </w:rPr>
            </w:pPr>
            <w:r w:rsidRPr="00512E81">
              <w:rPr>
                <w:rFonts w:eastAsia="Arial"/>
                <w:sz w:val="20"/>
                <w:szCs w:val="20"/>
              </w:rPr>
              <w:t>609</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B8D8A8" w14:textId="780B3FAE" w:rsidR="008C2A65" w:rsidRPr="00512E81" w:rsidRDefault="008C2A65" w:rsidP="008C2A65">
            <w:pPr>
              <w:jc w:val="center"/>
              <w:rPr>
                <w:sz w:val="20"/>
                <w:szCs w:val="20"/>
              </w:rPr>
            </w:pPr>
            <w:r w:rsidRPr="00512E81">
              <w:rPr>
                <w:rFonts w:eastAsia="Arial"/>
                <w:sz w:val="20"/>
                <w:szCs w:val="20"/>
              </w:rPr>
              <w:t>1.5</w:t>
            </w:r>
          </w:p>
        </w:tc>
      </w:tr>
      <w:tr w:rsidR="008C2A65" w:rsidRPr="00F45E7B" w14:paraId="05465FB2"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3894435" w14:textId="3FD36379" w:rsidR="008C2A65" w:rsidRPr="00F45E7B" w:rsidRDefault="008C2A65" w:rsidP="008C2A65">
            <w:pPr>
              <w:jc w:val="right"/>
              <w:rPr>
                <w:color w:val="000000"/>
                <w:sz w:val="20"/>
                <w:szCs w:val="20"/>
              </w:rPr>
            </w:pPr>
            <w:r>
              <w:rPr>
                <w:color w:val="000000"/>
                <w:sz w:val="20"/>
                <w:szCs w:val="20"/>
              </w:rPr>
              <w:t>YTD 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A5A3A" w14:textId="6296FC08" w:rsidR="008C2A65" w:rsidRPr="00512E81" w:rsidRDefault="008C2A65" w:rsidP="008C2A65">
            <w:pPr>
              <w:jc w:val="center"/>
              <w:rPr>
                <w:sz w:val="20"/>
                <w:szCs w:val="20"/>
              </w:rPr>
            </w:pPr>
            <w:r w:rsidRPr="00512E81">
              <w:rPr>
                <w:rFonts w:eastAsia="Arial"/>
                <w:sz w:val="20"/>
                <w:szCs w:val="20"/>
              </w:rPr>
              <w:t>6.9</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44D04" w14:textId="6C050DA4" w:rsidR="008C2A65" w:rsidRPr="00512E81" w:rsidRDefault="008C2A65" w:rsidP="008C2A65">
            <w:pPr>
              <w:jc w:val="center"/>
              <w:rPr>
                <w:sz w:val="20"/>
                <w:szCs w:val="20"/>
              </w:rPr>
            </w:pPr>
            <w:r w:rsidRPr="00512E81">
              <w:rPr>
                <w:rFonts w:eastAsia="Arial"/>
                <w:sz w:val="20"/>
                <w:szCs w:val="20"/>
              </w:rPr>
              <w:t>--</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7B8C82" w14:textId="18E92EA9" w:rsidR="008C2A65" w:rsidRPr="00512E81" w:rsidRDefault="008C2A65" w:rsidP="008C2A65">
            <w:pPr>
              <w:jc w:val="center"/>
              <w:rPr>
                <w:sz w:val="20"/>
                <w:szCs w:val="20"/>
              </w:rPr>
            </w:pPr>
            <w:r w:rsidRPr="00512E81">
              <w:rPr>
                <w:rFonts w:eastAsia="Arial"/>
                <w:sz w:val="20"/>
                <w:szCs w:val="20"/>
              </w:rPr>
              <w:t>3</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A5363" w14:textId="44AFDA64" w:rsidR="008C2A65" w:rsidRPr="00512E81" w:rsidRDefault="008C2A65" w:rsidP="008C2A65">
            <w:pPr>
              <w:jc w:val="center"/>
              <w:rPr>
                <w:sz w:val="20"/>
                <w:szCs w:val="20"/>
              </w:rPr>
            </w:pPr>
            <w:r w:rsidRPr="00512E81">
              <w:rPr>
                <w:rFonts w:eastAsia="Arial"/>
                <w:sz w:val="20"/>
                <w:szCs w:val="20"/>
              </w:rPr>
              <w:t>4.1</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EDAFB0" w14:textId="295A15BB" w:rsidR="008C2A65" w:rsidRPr="00512E81" w:rsidRDefault="008C2A65" w:rsidP="008C2A65">
            <w:pPr>
              <w:jc w:val="center"/>
              <w:rPr>
                <w:sz w:val="20"/>
                <w:szCs w:val="20"/>
              </w:rPr>
            </w:pPr>
            <w:r w:rsidRPr="00512E81">
              <w:rPr>
                <w:rFonts w:eastAsia="Arial"/>
                <w:sz w:val="20"/>
                <w:szCs w:val="20"/>
              </w:rPr>
              <w:t>324</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79F203" w14:textId="000073E4" w:rsidR="008C2A65" w:rsidRPr="00512E81" w:rsidRDefault="008C2A65" w:rsidP="008C2A65">
            <w:pPr>
              <w:jc w:val="center"/>
              <w:rPr>
                <w:sz w:val="20"/>
                <w:szCs w:val="20"/>
              </w:rPr>
            </w:pPr>
            <w:r w:rsidRPr="00512E81">
              <w:rPr>
                <w:rFonts w:eastAsia="Arial"/>
                <w:sz w:val="20"/>
                <w:szCs w:val="20"/>
              </w:rPr>
              <w:t>1.0</w:t>
            </w:r>
          </w:p>
        </w:tc>
      </w:tr>
      <w:tr w:rsidR="003F5FA9" w:rsidRPr="00F45E7B" w14:paraId="1BCBAEA8" w14:textId="77777777" w:rsidTr="00512E81">
        <w:trPr>
          <w:trHeight w:val="195"/>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334FF78" w14:textId="77777777" w:rsidR="003F5FA9" w:rsidRPr="00F45E7B" w:rsidRDefault="003F5FA9" w:rsidP="003F5FA9">
            <w:pPr>
              <w:rPr>
                <w:sz w:val="20"/>
                <w:szCs w:val="20"/>
              </w:rPr>
            </w:pPr>
            <w:r w:rsidRPr="00F45E7B">
              <w:rPr>
                <w:color w:val="000000"/>
                <w:sz w:val="20"/>
                <w:szCs w:val="20"/>
              </w:rPr>
              <w:t>Moderate</w:t>
            </w:r>
          </w:p>
        </w:tc>
        <w:tc>
          <w:tcPr>
            <w:tcW w:w="6838"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39645B" w14:textId="77777777" w:rsidR="003F5FA9" w:rsidRPr="00512E81" w:rsidRDefault="003F5FA9" w:rsidP="003F5FA9">
            <w:pPr>
              <w:rPr>
                <w:sz w:val="20"/>
                <w:szCs w:val="20"/>
              </w:rPr>
            </w:pPr>
          </w:p>
        </w:tc>
      </w:tr>
      <w:tr w:rsidR="008C2A65" w:rsidRPr="00F45E7B" w14:paraId="5D9AFB77"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FF83453" w14:textId="77777777" w:rsidR="008C2A65" w:rsidRPr="00F45E7B" w:rsidRDefault="008C2A65" w:rsidP="008C2A65">
            <w:pPr>
              <w:jc w:val="right"/>
              <w:rPr>
                <w:sz w:val="20"/>
                <w:szCs w:val="20"/>
              </w:rPr>
            </w:pPr>
            <w:r w:rsidRPr="00F45E7B">
              <w:rPr>
                <w:color w:val="000000"/>
                <w:sz w:val="20"/>
                <w:szCs w:val="20"/>
              </w:rPr>
              <w:t>2018</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C576E" w14:textId="52DA9743" w:rsidR="008C2A65" w:rsidRPr="00512E81" w:rsidRDefault="008C2A65" w:rsidP="008C2A65">
            <w:pPr>
              <w:jc w:val="center"/>
              <w:rPr>
                <w:sz w:val="20"/>
                <w:szCs w:val="20"/>
              </w:rPr>
            </w:pPr>
            <w:r w:rsidRPr="00512E81">
              <w:rPr>
                <w:rFonts w:eastAsia="Arial"/>
                <w:sz w:val="20"/>
                <w:szCs w:val="20"/>
              </w:rPr>
              <w:t>3.9</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B2D36E" w14:textId="26E9C5ED" w:rsidR="008C2A65" w:rsidRPr="00512E81" w:rsidRDefault="008C2A65" w:rsidP="008C2A65">
            <w:pPr>
              <w:jc w:val="center"/>
              <w:rPr>
                <w:sz w:val="20"/>
                <w:szCs w:val="20"/>
              </w:rPr>
            </w:pPr>
            <w:r w:rsidRPr="00512E81">
              <w:rPr>
                <w:rFonts w:eastAsia="Arial"/>
                <w:sz w:val="20"/>
                <w:szCs w:val="20"/>
              </w:rPr>
              <w:t>4.1</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65ECD8" w14:textId="715ACDBE" w:rsidR="008C2A65" w:rsidRPr="00512E81" w:rsidRDefault="008C2A65" w:rsidP="008C2A65">
            <w:pPr>
              <w:jc w:val="center"/>
              <w:rPr>
                <w:sz w:val="20"/>
                <w:szCs w:val="20"/>
              </w:rPr>
            </w:pPr>
            <w:r w:rsidRPr="00512E81">
              <w:rPr>
                <w:rFonts w:eastAsia="Arial"/>
                <w:sz w:val="20"/>
                <w:szCs w:val="20"/>
              </w:rPr>
              <w:t>1</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BD1B0" w14:textId="4393D827" w:rsidR="008C2A65" w:rsidRPr="00512E81" w:rsidRDefault="008C2A65" w:rsidP="008C2A65">
            <w:pPr>
              <w:jc w:val="center"/>
              <w:rPr>
                <w:sz w:val="20"/>
                <w:szCs w:val="20"/>
              </w:rPr>
            </w:pPr>
            <w:r w:rsidRPr="00512E81">
              <w:rPr>
                <w:rFonts w:eastAsia="Arial"/>
                <w:sz w:val="20"/>
                <w:szCs w:val="20"/>
              </w:rPr>
              <w:t>1.6</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E8481F" w14:textId="19D819D3" w:rsidR="008C2A65" w:rsidRPr="00512E81" w:rsidRDefault="008C2A65" w:rsidP="008C2A65">
            <w:pPr>
              <w:jc w:val="center"/>
              <w:rPr>
                <w:sz w:val="20"/>
                <w:szCs w:val="20"/>
              </w:rPr>
            </w:pPr>
            <w:r w:rsidRPr="00512E81">
              <w:rPr>
                <w:rFonts w:eastAsia="Arial"/>
                <w:sz w:val="20"/>
                <w:szCs w:val="20"/>
              </w:rPr>
              <w:t>379</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3986A" w14:textId="12637C56" w:rsidR="008C2A65" w:rsidRPr="00512E81" w:rsidRDefault="008C2A65" w:rsidP="008C2A65">
            <w:pPr>
              <w:jc w:val="center"/>
              <w:rPr>
                <w:sz w:val="20"/>
                <w:szCs w:val="20"/>
              </w:rPr>
            </w:pPr>
            <w:r w:rsidRPr="00512E81">
              <w:rPr>
                <w:rFonts w:eastAsia="Arial"/>
                <w:sz w:val="20"/>
                <w:szCs w:val="20"/>
              </w:rPr>
              <w:t>1.0</w:t>
            </w:r>
          </w:p>
        </w:tc>
      </w:tr>
      <w:tr w:rsidR="008C2A65" w:rsidRPr="00F45E7B" w14:paraId="4F13CF31"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DADDFB8" w14:textId="77777777" w:rsidR="008C2A65" w:rsidRPr="00F45E7B" w:rsidRDefault="008C2A65" w:rsidP="008C2A65">
            <w:pPr>
              <w:jc w:val="right"/>
              <w:rPr>
                <w:sz w:val="20"/>
                <w:szCs w:val="20"/>
              </w:rPr>
            </w:pPr>
            <w:r w:rsidRPr="00F45E7B">
              <w:rPr>
                <w:color w:val="000000"/>
                <w:sz w:val="20"/>
                <w:szCs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6C675E" w14:textId="0DA5AA10" w:rsidR="008C2A65" w:rsidRPr="00512E81" w:rsidRDefault="008C2A65" w:rsidP="008C2A65">
            <w:pPr>
              <w:jc w:val="center"/>
              <w:rPr>
                <w:sz w:val="20"/>
                <w:szCs w:val="20"/>
              </w:rPr>
            </w:pPr>
            <w:r w:rsidRPr="00512E81">
              <w:rPr>
                <w:rFonts w:eastAsia="Arial"/>
                <w:sz w:val="20"/>
                <w:szCs w:val="20"/>
              </w:rPr>
              <w:t>3.9</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64C9B" w14:textId="2779F1D8" w:rsidR="008C2A65" w:rsidRPr="00512E81" w:rsidRDefault="008C2A65" w:rsidP="008C2A65">
            <w:pPr>
              <w:jc w:val="center"/>
              <w:rPr>
                <w:sz w:val="20"/>
                <w:szCs w:val="20"/>
              </w:rPr>
            </w:pPr>
            <w:r w:rsidRPr="00512E81">
              <w:rPr>
                <w:rFonts w:eastAsia="Arial"/>
                <w:sz w:val="20"/>
                <w:szCs w:val="20"/>
              </w:rPr>
              <w:t>4.1</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58669" w14:textId="0C3FB0A2" w:rsidR="008C2A65" w:rsidRPr="00512E81" w:rsidRDefault="008C2A65" w:rsidP="008C2A65">
            <w:pPr>
              <w:jc w:val="center"/>
              <w:rPr>
                <w:sz w:val="20"/>
                <w:szCs w:val="20"/>
              </w:rPr>
            </w:pPr>
            <w:r w:rsidRPr="00512E81">
              <w:rPr>
                <w:rFonts w:eastAsia="Arial"/>
                <w:sz w:val="20"/>
                <w:szCs w:val="20"/>
              </w:rPr>
              <w:t>4</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25B82" w14:textId="0267DD12" w:rsidR="008C2A65" w:rsidRPr="00512E81" w:rsidRDefault="008C2A65" w:rsidP="008C2A65">
            <w:pPr>
              <w:jc w:val="center"/>
              <w:rPr>
                <w:sz w:val="20"/>
                <w:szCs w:val="20"/>
              </w:rPr>
            </w:pPr>
            <w:r w:rsidRPr="00512E81">
              <w:rPr>
                <w:rFonts w:eastAsia="Arial"/>
                <w:sz w:val="20"/>
                <w:szCs w:val="20"/>
              </w:rPr>
              <w:t>4.7</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6D839C" w14:textId="6598A114" w:rsidR="008C2A65" w:rsidRPr="00512E81" w:rsidRDefault="008C2A65" w:rsidP="008C2A65">
            <w:pPr>
              <w:jc w:val="center"/>
              <w:rPr>
                <w:sz w:val="20"/>
                <w:szCs w:val="20"/>
              </w:rPr>
            </w:pPr>
            <w:r w:rsidRPr="00512E81">
              <w:rPr>
                <w:rFonts w:eastAsia="Arial"/>
                <w:sz w:val="20"/>
                <w:szCs w:val="20"/>
              </w:rPr>
              <w:t>1,130</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EDB67" w14:textId="2B68562F" w:rsidR="008C2A65" w:rsidRPr="00512E81" w:rsidRDefault="008C2A65" w:rsidP="008C2A65">
            <w:pPr>
              <w:jc w:val="center"/>
              <w:rPr>
                <w:sz w:val="20"/>
                <w:szCs w:val="20"/>
              </w:rPr>
            </w:pPr>
            <w:r w:rsidRPr="00512E81">
              <w:rPr>
                <w:rFonts w:eastAsia="Arial"/>
                <w:sz w:val="20"/>
                <w:szCs w:val="20"/>
              </w:rPr>
              <w:t>2.8</w:t>
            </w:r>
          </w:p>
        </w:tc>
      </w:tr>
      <w:tr w:rsidR="008C2A65" w:rsidRPr="00F45E7B" w14:paraId="44374959"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4C61510" w14:textId="50C757B2" w:rsidR="008C2A65" w:rsidRPr="00F45E7B" w:rsidRDefault="008C2A65" w:rsidP="008C2A65">
            <w:pPr>
              <w:jc w:val="right"/>
              <w:rPr>
                <w:color w:val="000000"/>
                <w:sz w:val="20"/>
                <w:szCs w:val="20"/>
              </w:rPr>
            </w:pPr>
            <w:r>
              <w:rPr>
                <w:color w:val="000000"/>
                <w:sz w:val="20"/>
                <w:szCs w:val="20"/>
              </w:rPr>
              <w:t>YTD 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2EF56" w14:textId="5CBF125A" w:rsidR="008C2A65" w:rsidRPr="00512E81" w:rsidRDefault="008C2A65" w:rsidP="008C2A65">
            <w:pPr>
              <w:jc w:val="center"/>
              <w:rPr>
                <w:sz w:val="20"/>
                <w:szCs w:val="20"/>
              </w:rPr>
            </w:pPr>
            <w:r w:rsidRPr="00512E81">
              <w:rPr>
                <w:rFonts w:eastAsia="Arial"/>
                <w:sz w:val="20"/>
                <w:szCs w:val="20"/>
              </w:rPr>
              <w:t>3.9</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49EFF" w14:textId="292FF943" w:rsidR="008C2A65" w:rsidRPr="00512E81" w:rsidRDefault="008C2A65" w:rsidP="008C2A65">
            <w:pPr>
              <w:jc w:val="center"/>
              <w:rPr>
                <w:sz w:val="20"/>
                <w:szCs w:val="20"/>
              </w:rPr>
            </w:pPr>
            <w:r w:rsidRPr="00512E81">
              <w:rPr>
                <w:rFonts w:eastAsia="Arial"/>
                <w:sz w:val="20"/>
                <w:szCs w:val="20"/>
              </w:rPr>
              <w:t>--</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944DB6" w14:textId="307A4EC4" w:rsidR="008C2A65" w:rsidRPr="00512E81" w:rsidRDefault="008C2A65" w:rsidP="008C2A65">
            <w:pPr>
              <w:jc w:val="center"/>
              <w:rPr>
                <w:sz w:val="20"/>
                <w:szCs w:val="20"/>
              </w:rPr>
            </w:pPr>
            <w:r w:rsidRPr="00512E81">
              <w:rPr>
                <w:rFonts w:eastAsia="Arial"/>
                <w:sz w:val="20"/>
                <w:szCs w:val="20"/>
              </w:rPr>
              <w:t>4</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63E59" w14:textId="5F2C7D5C" w:rsidR="008C2A65" w:rsidRPr="00512E81" w:rsidRDefault="008C2A65" w:rsidP="008C2A65">
            <w:pPr>
              <w:jc w:val="center"/>
              <w:rPr>
                <w:sz w:val="20"/>
                <w:szCs w:val="20"/>
              </w:rPr>
            </w:pPr>
            <w:r w:rsidRPr="00512E81">
              <w:rPr>
                <w:rFonts w:eastAsia="Arial"/>
                <w:sz w:val="20"/>
                <w:szCs w:val="20"/>
              </w:rPr>
              <w:t>5.4</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42A04B" w14:textId="48D20930" w:rsidR="008C2A65" w:rsidRPr="00512E81" w:rsidRDefault="008C2A65" w:rsidP="008C2A65">
            <w:pPr>
              <w:jc w:val="center"/>
              <w:rPr>
                <w:sz w:val="20"/>
                <w:szCs w:val="20"/>
              </w:rPr>
            </w:pPr>
            <w:r w:rsidRPr="00512E81">
              <w:rPr>
                <w:rFonts w:eastAsia="Arial"/>
                <w:sz w:val="20"/>
                <w:szCs w:val="20"/>
              </w:rPr>
              <w:t>1,421</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C2D6B" w14:textId="3CB75D51" w:rsidR="008C2A65" w:rsidRPr="00512E81" w:rsidRDefault="008C2A65" w:rsidP="008C2A65">
            <w:pPr>
              <w:jc w:val="center"/>
              <w:rPr>
                <w:sz w:val="20"/>
                <w:szCs w:val="20"/>
              </w:rPr>
            </w:pPr>
            <w:r w:rsidRPr="00512E81">
              <w:rPr>
                <w:rFonts w:eastAsia="Arial"/>
                <w:sz w:val="20"/>
                <w:szCs w:val="20"/>
              </w:rPr>
              <w:t>4.2</w:t>
            </w:r>
          </w:p>
        </w:tc>
      </w:tr>
      <w:tr w:rsidR="003F5FA9" w:rsidRPr="00F45E7B" w14:paraId="29D81C5B" w14:textId="77777777" w:rsidTr="00512E81">
        <w:trPr>
          <w:trHeight w:val="195"/>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005D4C" w14:textId="77777777" w:rsidR="003F5FA9" w:rsidRPr="00F45E7B" w:rsidRDefault="003F5FA9" w:rsidP="003F5FA9">
            <w:pPr>
              <w:rPr>
                <w:sz w:val="20"/>
                <w:szCs w:val="20"/>
              </w:rPr>
            </w:pPr>
            <w:r w:rsidRPr="00F45E7B">
              <w:rPr>
                <w:color w:val="000000"/>
                <w:sz w:val="20"/>
                <w:szCs w:val="20"/>
              </w:rPr>
              <w:t>Middle</w:t>
            </w:r>
          </w:p>
        </w:tc>
        <w:tc>
          <w:tcPr>
            <w:tcW w:w="6838"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0805ED" w14:textId="77777777" w:rsidR="003F5FA9" w:rsidRPr="00512E81" w:rsidRDefault="003F5FA9" w:rsidP="003F5FA9">
            <w:pPr>
              <w:rPr>
                <w:sz w:val="20"/>
                <w:szCs w:val="20"/>
              </w:rPr>
            </w:pPr>
          </w:p>
        </w:tc>
      </w:tr>
      <w:tr w:rsidR="008C2A65" w:rsidRPr="00F45E7B" w14:paraId="6E0C2B7F"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2C49EEE" w14:textId="77777777" w:rsidR="008C2A65" w:rsidRPr="00F45E7B" w:rsidRDefault="008C2A65" w:rsidP="008C2A65">
            <w:pPr>
              <w:jc w:val="right"/>
              <w:rPr>
                <w:sz w:val="20"/>
                <w:szCs w:val="20"/>
              </w:rPr>
            </w:pPr>
            <w:r w:rsidRPr="00F45E7B">
              <w:rPr>
                <w:color w:val="000000"/>
                <w:sz w:val="20"/>
                <w:szCs w:val="20"/>
              </w:rPr>
              <w:t>2018</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12026E" w14:textId="5CFCF4BF" w:rsidR="008C2A65" w:rsidRPr="00512E81" w:rsidRDefault="008C2A65" w:rsidP="008C2A65">
            <w:pPr>
              <w:jc w:val="center"/>
              <w:rPr>
                <w:sz w:val="20"/>
                <w:szCs w:val="20"/>
              </w:rPr>
            </w:pPr>
            <w:r w:rsidRPr="00512E81">
              <w:rPr>
                <w:rFonts w:eastAsia="Arial"/>
                <w:sz w:val="20"/>
                <w:szCs w:val="20"/>
              </w:rPr>
              <w:t>28.6</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3F400" w14:textId="6F461954" w:rsidR="008C2A65" w:rsidRPr="00512E81" w:rsidRDefault="008C2A65" w:rsidP="008C2A65">
            <w:pPr>
              <w:jc w:val="center"/>
              <w:rPr>
                <w:sz w:val="20"/>
                <w:szCs w:val="20"/>
              </w:rPr>
            </w:pPr>
            <w:r w:rsidRPr="00512E81">
              <w:rPr>
                <w:rFonts w:eastAsia="Arial"/>
                <w:sz w:val="20"/>
                <w:szCs w:val="20"/>
              </w:rPr>
              <w:t>28.5</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E48D20" w14:textId="6F469277" w:rsidR="008C2A65" w:rsidRPr="00512E81" w:rsidRDefault="008C2A65" w:rsidP="008C2A65">
            <w:pPr>
              <w:jc w:val="center"/>
              <w:rPr>
                <w:sz w:val="20"/>
                <w:szCs w:val="20"/>
              </w:rPr>
            </w:pPr>
            <w:r w:rsidRPr="00512E81">
              <w:rPr>
                <w:rFonts w:eastAsia="Arial"/>
                <w:sz w:val="20"/>
                <w:szCs w:val="20"/>
              </w:rPr>
              <w:t>19</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6D866" w14:textId="016DCF41" w:rsidR="008C2A65" w:rsidRPr="00512E81" w:rsidRDefault="008C2A65" w:rsidP="008C2A65">
            <w:pPr>
              <w:jc w:val="center"/>
              <w:rPr>
                <w:sz w:val="20"/>
                <w:szCs w:val="20"/>
              </w:rPr>
            </w:pPr>
            <w:r w:rsidRPr="00512E81">
              <w:rPr>
                <w:rFonts w:eastAsia="Arial"/>
                <w:sz w:val="20"/>
                <w:szCs w:val="20"/>
              </w:rPr>
              <w:t>31.1</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A87761" w14:textId="6CB49301" w:rsidR="008C2A65" w:rsidRPr="00512E81" w:rsidRDefault="008C2A65" w:rsidP="008C2A65">
            <w:pPr>
              <w:jc w:val="center"/>
              <w:rPr>
                <w:sz w:val="20"/>
                <w:szCs w:val="20"/>
              </w:rPr>
            </w:pPr>
            <w:r w:rsidRPr="00512E81">
              <w:rPr>
                <w:rFonts w:eastAsia="Arial"/>
                <w:sz w:val="20"/>
                <w:szCs w:val="20"/>
              </w:rPr>
              <w:t>9,009</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8922A" w14:textId="66787583" w:rsidR="008C2A65" w:rsidRPr="00512E81" w:rsidRDefault="008C2A65" w:rsidP="008C2A65">
            <w:pPr>
              <w:jc w:val="center"/>
              <w:rPr>
                <w:sz w:val="20"/>
                <w:szCs w:val="20"/>
              </w:rPr>
            </w:pPr>
            <w:r w:rsidRPr="00512E81">
              <w:rPr>
                <w:rFonts w:eastAsia="Arial"/>
                <w:sz w:val="20"/>
                <w:szCs w:val="20"/>
              </w:rPr>
              <w:t>24.8</w:t>
            </w:r>
          </w:p>
        </w:tc>
      </w:tr>
      <w:tr w:rsidR="008C2A65" w:rsidRPr="00F45E7B" w14:paraId="36E0F0AA"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3EDA9F6" w14:textId="77777777" w:rsidR="008C2A65" w:rsidRPr="00F45E7B" w:rsidRDefault="008C2A65" w:rsidP="008C2A65">
            <w:pPr>
              <w:jc w:val="right"/>
              <w:rPr>
                <w:sz w:val="20"/>
                <w:szCs w:val="20"/>
              </w:rPr>
            </w:pPr>
            <w:r w:rsidRPr="00F45E7B">
              <w:rPr>
                <w:color w:val="000000"/>
                <w:sz w:val="20"/>
                <w:szCs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9E21E7" w14:textId="36411A67" w:rsidR="008C2A65" w:rsidRPr="00512E81" w:rsidRDefault="008C2A65" w:rsidP="008C2A65">
            <w:pPr>
              <w:jc w:val="center"/>
              <w:rPr>
                <w:sz w:val="20"/>
                <w:szCs w:val="20"/>
              </w:rPr>
            </w:pPr>
            <w:r w:rsidRPr="00512E81">
              <w:rPr>
                <w:rFonts w:eastAsia="Arial"/>
                <w:sz w:val="20"/>
                <w:szCs w:val="20"/>
              </w:rPr>
              <w:t>28.6</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76518" w14:textId="7A9EA5E6" w:rsidR="008C2A65" w:rsidRPr="00512E81" w:rsidRDefault="008C2A65" w:rsidP="008C2A65">
            <w:pPr>
              <w:jc w:val="center"/>
              <w:rPr>
                <w:sz w:val="20"/>
                <w:szCs w:val="20"/>
              </w:rPr>
            </w:pPr>
            <w:r w:rsidRPr="00512E81">
              <w:rPr>
                <w:rFonts w:eastAsia="Arial"/>
                <w:sz w:val="20"/>
                <w:szCs w:val="20"/>
              </w:rPr>
              <w:t>29.5</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E432D" w14:textId="334F6982" w:rsidR="008C2A65" w:rsidRPr="00512E81" w:rsidRDefault="008C2A65" w:rsidP="008C2A65">
            <w:pPr>
              <w:jc w:val="center"/>
              <w:rPr>
                <w:sz w:val="20"/>
                <w:szCs w:val="20"/>
              </w:rPr>
            </w:pPr>
            <w:r w:rsidRPr="00512E81">
              <w:rPr>
                <w:rFonts w:eastAsia="Arial"/>
                <w:sz w:val="20"/>
                <w:szCs w:val="20"/>
              </w:rPr>
              <w:t>28</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4000D" w14:textId="088F6AEF" w:rsidR="008C2A65" w:rsidRPr="00512E81" w:rsidRDefault="008C2A65" w:rsidP="008C2A65">
            <w:pPr>
              <w:jc w:val="center"/>
              <w:rPr>
                <w:sz w:val="20"/>
                <w:szCs w:val="20"/>
              </w:rPr>
            </w:pPr>
            <w:r w:rsidRPr="00512E81">
              <w:rPr>
                <w:rFonts w:eastAsia="Arial"/>
                <w:sz w:val="20"/>
                <w:szCs w:val="20"/>
              </w:rPr>
              <w:t>32.6</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29903" w14:textId="010609FA" w:rsidR="008C2A65" w:rsidRPr="00512E81" w:rsidRDefault="008C2A65" w:rsidP="008C2A65">
            <w:pPr>
              <w:jc w:val="center"/>
              <w:rPr>
                <w:sz w:val="20"/>
                <w:szCs w:val="20"/>
              </w:rPr>
            </w:pPr>
            <w:r w:rsidRPr="00512E81">
              <w:rPr>
                <w:rFonts w:eastAsia="Arial"/>
                <w:sz w:val="20"/>
                <w:szCs w:val="20"/>
              </w:rPr>
              <w:t>10,986</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D4DAF7" w14:textId="5FB9634E" w:rsidR="008C2A65" w:rsidRPr="00512E81" w:rsidRDefault="008C2A65" w:rsidP="008C2A65">
            <w:pPr>
              <w:jc w:val="center"/>
              <w:rPr>
                <w:sz w:val="20"/>
                <w:szCs w:val="20"/>
              </w:rPr>
            </w:pPr>
            <w:r w:rsidRPr="00512E81">
              <w:rPr>
                <w:rFonts w:eastAsia="Arial"/>
                <w:sz w:val="20"/>
                <w:szCs w:val="20"/>
              </w:rPr>
              <w:t>26.9</w:t>
            </w:r>
          </w:p>
        </w:tc>
      </w:tr>
      <w:tr w:rsidR="008C2A65" w:rsidRPr="00F45E7B" w14:paraId="4A273986"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A0965E2" w14:textId="46E2C815" w:rsidR="008C2A65" w:rsidRPr="00F45E7B" w:rsidRDefault="008C2A65" w:rsidP="008C2A65">
            <w:pPr>
              <w:jc w:val="right"/>
              <w:rPr>
                <w:color w:val="000000"/>
                <w:sz w:val="20"/>
                <w:szCs w:val="20"/>
              </w:rPr>
            </w:pPr>
            <w:r>
              <w:rPr>
                <w:color w:val="000000"/>
                <w:sz w:val="20"/>
                <w:szCs w:val="20"/>
              </w:rPr>
              <w:t>YTD 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9696F2" w14:textId="66239CF9" w:rsidR="008C2A65" w:rsidRPr="00512E81" w:rsidRDefault="008C2A65" w:rsidP="008C2A65">
            <w:pPr>
              <w:jc w:val="center"/>
              <w:rPr>
                <w:sz w:val="20"/>
                <w:szCs w:val="20"/>
              </w:rPr>
            </w:pPr>
            <w:r w:rsidRPr="00512E81">
              <w:rPr>
                <w:rFonts w:eastAsia="Arial"/>
                <w:sz w:val="20"/>
                <w:szCs w:val="20"/>
              </w:rPr>
              <w:t>28.6</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9A7E5" w14:textId="7F49E880" w:rsidR="008C2A65" w:rsidRPr="00512E81" w:rsidRDefault="008C2A65" w:rsidP="008C2A65">
            <w:pPr>
              <w:jc w:val="center"/>
              <w:rPr>
                <w:sz w:val="20"/>
                <w:szCs w:val="20"/>
              </w:rPr>
            </w:pPr>
            <w:r w:rsidRPr="00512E81">
              <w:rPr>
                <w:rFonts w:eastAsia="Arial"/>
                <w:sz w:val="20"/>
                <w:szCs w:val="20"/>
              </w:rPr>
              <w:t>--</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1AB7D6" w14:textId="516973DB" w:rsidR="008C2A65" w:rsidRPr="00512E81" w:rsidRDefault="008C2A65" w:rsidP="008C2A65">
            <w:pPr>
              <w:jc w:val="center"/>
              <w:rPr>
                <w:sz w:val="20"/>
                <w:szCs w:val="20"/>
              </w:rPr>
            </w:pPr>
            <w:r w:rsidRPr="00512E81">
              <w:rPr>
                <w:rFonts w:eastAsia="Arial"/>
                <w:sz w:val="20"/>
                <w:szCs w:val="20"/>
              </w:rPr>
              <w:t>24</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0B56B3" w14:textId="558E6E0D" w:rsidR="008C2A65" w:rsidRPr="00512E81" w:rsidRDefault="008C2A65" w:rsidP="008C2A65">
            <w:pPr>
              <w:jc w:val="center"/>
              <w:rPr>
                <w:sz w:val="20"/>
                <w:szCs w:val="20"/>
              </w:rPr>
            </w:pPr>
            <w:r w:rsidRPr="00512E81">
              <w:rPr>
                <w:rFonts w:eastAsia="Arial"/>
                <w:sz w:val="20"/>
                <w:szCs w:val="20"/>
              </w:rPr>
              <w:t>32.4</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09CF38" w14:textId="5420CC3A" w:rsidR="008C2A65" w:rsidRPr="00512E81" w:rsidRDefault="008C2A65" w:rsidP="008C2A65">
            <w:pPr>
              <w:jc w:val="center"/>
              <w:rPr>
                <w:sz w:val="20"/>
                <w:szCs w:val="20"/>
              </w:rPr>
            </w:pPr>
            <w:r w:rsidRPr="00512E81">
              <w:rPr>
                <w:rFonts w:eastAsia="Arial"/>
                <w:sz w:val="20"/>
                <w:szCs w:val="20"/>
              </w:rPr>
              <w:t>9,945</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F680B" w14:textId="0947AF4E" w:rsidR="008C2A65" w:rsidRPr="00512E81" w:rsidRDefault="008C2A65" w:rsidP="008C2A65">
            <w:pPr>
              <w:jc w:val="center"/>
              <w:rPr>
                <w:sz w:val="20"/>
                <w:szCs w:val="20"/>
              </w:rPr>
            </w:pPr>
            <w:r w:rsidRPr="00512E81">
              <w:rPr>
                <w:rFonts w:eastAsia="Arial"/>
                <w:sz w:val="20"/>
                <w:szCs w:val="20"/>
              </w:rPr>
              <w:t>29.3</w:t>
            </w:r>
          </w:p>
        </w:tc>
      </w:tr>
      <w:tr w:rsidR="003F5FA9" w:rsidRPr="00F45E7B" w14:paraId="5999EDE0" w14:textId="77777777" w:rsidTr="00512E81">
        <w:trPr>
          <w:trHeight w:val="195"/>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E7D6B0E" w14:textId="77777777" w:rsidR="003F5FA9" w:rsidRPr="00F45E7B" w:rsidRDefault="003F5FA9" w:rsidP="003F5FA9">
            <w:pPr>
              <w:rPr>
                <w:sz w:val="20"/>
                <w:szCs w:val="20"/>
              </w:rPr>
            </w:pPr>
            <w:r w:rsidRPr="00F45E7B">
              <w:rPr>
                <w:color w:val="000000"/>
                <w:sz w:val="20"/>
                <w:szCs w:val="20"/>
              </w:rPr>
              <w:t>Upper</w:t>
            </w:r>
          </w:p>
        </w:tc>
        <w:tc>
          <w:tcPr>
            <w:tcW w:w="6838"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0F092" w14:textId="77777777" w:rsidR="003F5FA9" w:rsidRPr="00512E81" w:rsidRDefault="003F5FA9" w:rsidP="003F5FA9">
            <w:pPr>
              <w:rPr>
                <w:sz w:val="20"/>
                <w:szCs w:val="20"/>
              </w:rPr>
            </w:pPr>
          </w:p>
        </w:tc>
      </w:tr>
      <w:tr w:rsidR="008C2A65" w:rsidRPr="00F45E7B" w14:paraId="1A2B9708"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147863E" w14:textId="77777777" w:rsidR="008C2A65" w:rsidRPr="00F45E7B" w:rsidRDefault="008C2A65" w:rsidP="008C2A65">
            <w:pPr>
              <w:jc w:val="right"/>
              <w:rPr>
                <w:sz w:val="20"/>
                <w:szCs w:val="20"/>
              </w:rPr>
            </w:pPr>
            <w:r w:rsidRPr="00F45E7B">
              <w:rPr>
                <w:color w:val="000000"/>
                <w:sz w:val="20"/>
                <w:szCs w:val="20"/>
              </w:rPr>
              <w:t>2018</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5A029" w14:textId="528054D5" w:rsidR="008C2A65" w:rsidRPr="00512E81" w:rsidRDefault="008C2A65" w:rsidP="008C2A65">
            <w:pPr>
              <w:jc w:val="center"/>
              <w:rPr>
                <w:sz w:val="20"/>
                <w:szCs w:val="20"/>
              </w:rPr>
            </w:pPr>
            <w:r w:rsidRPr="00512E81">
              <w:rPr>
                <w:rFonts w:eastAsia="Arial"/>
                <w:sz w:val="20"/>
                <w:szCs w:val="20"/>
              </w:rPr>
              <w:t>60.6</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0E221A" w14:textId="20433EF4" w:rsidR="008C2A65" w:rsidRPr="00512E81" w:rsidRDefault="008C2A65" w:rsidP="008C2A65">
            <w:pPr>
              <w:jc w:val="center"/>
              <w:rPr>
                <w:sz w:val="20"/>
                <w:szCs w:val="20"/>
              </w:rPr>
            </w:pPr>
            <w:r w:rsidRPr="00512E81">
              <w:rPr>
                <w:rFonts w:eastAsia="Arial"/>
                <w:sz w:val="20"/>
                <w:szCs w:val="20"/>
              </w:rPr>
              <w:t>56.4</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3F49A7" w14:textId="4ED2ECBC" w:rsidR="008C2A65" w:rsidRPr="00512E81" w:rsidRDefault="008C2A65" w:rsidP="008C2A65">
            <w:pPr>
              <w:jc w:val="center"/>
              <w:rPr>
                <w:sz w:val="20"/>
                <w:szCs w:val="20"/>
              </w:rPr>
            </w:pPr>
            <w:r w:rsidRPr="00512E81">
              <w:rPr>
                <w:rFonts w:eastAsia="Arial"/>
                <w:sz w:val="20"/>
                <w:szCs w:val="20"/>
              </w:rPr>
              <w:t>38</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953D2" w14:textId="0CD0B6D3" w:rsidR="008C2A65" w:rsidRPr="00512E81" w:rsidRDefault="008C2A65" w:rsidP="008C2A65">
            <w:pPr>
              <w:jc w:val="center"/>
              <w:rPr>
                <w:sz w:val="20"/>
                <w:szCs w:val="20"/>
              </w:rPr>
            </w:pPr>
            <w:r w:rsidRPr="00512E81">
              <w:rPr>
                <w:rFonts w:eastAsia="Arial"/>
                <w:sz w:val="20"/>
                <w:szCs w:val="20"/>
              </w:rPr>
              <w:t>62.3</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119C6C" w14:textId="3E027DEA" w:rsidR="008C2A65" w:rsidRPr="00512E81" w:rsidRDefault="008C2A65" w:rsidP="008C2A65">
            <w:pPr>
              <w:jc w:val="center"/>
              <w:rPr>
                <w:sz w:val="20"/>
                <w:szCs w:val="20"/>
              </w:rPr>
            </w:pPr>
            <w:r w:rsidRPr="00512E81">
              <w:rPr>
                <w:rFonts w:eastAsia="Arial"/>
                <w:sz w:val="20"/>
                <w:szCs w:val="20"/>
              </w:rPr>
              <w:t>26,555</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AA9BE6" w14:textId="00A55BDE" w:rsidR="008C2A65" w:rsidRPr="00512E81" w:rsidRDefault="008C2A65" w:rsidP="008C2A65">
            <w:pPr>
              <w:jc w:val="center"/>
              <w:rPr>
                <w:sz w:val="20"/>
                <w:szCs w:val="20"/>
              </w:rPr>
            </w:pPr>
            <w:r w:rsidRPr="00512E81">
              <w:rPr>
                <w:rFonts w:eastAsia="Arial"/>
                <w:sz w:val="20"/>
                <w:szCs w:val="20"/>
              </w:rPr>
              <w:t>73.1</w:t>
            </w:r>
          </w:p>
        </w:tc>
      </w:tr>
      <w:tr w:rsidR="008C2A65" w:rsidRPr="00F45E7B" w14:paraId="4B90A737"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54DC488" w14:textId="77777777" w:rsidR="008C2A65" w:rsidRPr="00F45E7B" w:rsidRDefault="008C2A65" w:rsidP="008C2A65">
            <w:pPr>
              <w:jc w:val="right"/>
              <w:rPr>
                <w:sz w:val="20"/>
                <w:szCs w:val="20"/>
              </w:rPr>
            </w:pPr>
            <w:r w:rsidRPr="00F45E7B">
              <w:rPr>
                <w:color w:val="000000"/>
                <w:sz w:val="20"/>
                <w:szCs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7958D7" w14:textId="62C20FAA" w:rsidR="008C2A65" w:rsidRPr="00512E81" w:rsidRDefault="008C2A65" w:rsidP="008C2A65">
            <w:pPr>
              <w:jc w:val="center"/>
              <w:rPr>
                <w:sz w:val="20"/>
                <w:szCs w:val="20"/>
              </w:rPr>
            </w:pPr>
            <w:r w:rsidRPr="00512E81">
              <w:rPr>
                <w:rFonts w:eastAsia="Arial"/>
                <w:sz w:val="20"/>
                <w:szCs w:val="20"/>
              </w:rPr>
              <w:t>60.6</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21C3A" w14:textId="49DFD98E" w:rsidR="008C2A65" w:rsidRPr="00512E81" w:rsidRDefault="008C2A65" w:rsidP="008C2A65">
            <w:pPr>
              <w:jc w:val="center"/>
              <w:rPr>
                <w:sz w:val="20"/>
                <w:szCs w:val="20"/>
              </w:rPr>
            </w:pPr>
            <w:r w:rsidRPr="00512E81">
              <w:rPr>
                <w:rFonts w:eastAsia="Arial"/>
                <w:sz w:val="20"/>
                <w:szCs w:val="20"/>
              </w:rPr>
              <w:t>56.4</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11BB09" w14:textId="2BA9F800" w:rsidR="008C2A65" w:rsidRPr="00512E81" w:rsidRDefault="008C2A65" w:rsidP="008C2A65">
            <w:pPr>
              <w:jc w:val="center"/>
              <w:rPr>
                <w:sz w:val="20"/>
                <w:szCs w:val="20"/>
              </w:rPr>
            </w:pPr>
            <w:r w:rsidRPr="00512E81">
              <w:rPr>
                <w:rFonts w:eastAsia="Arial"/>
                <w:sz w:val="20"/>
                <w:szCs w:val="20"/>
              </w:rPr>
              <w:t>50</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40F333" w14:textId="329BE28E" w:rsidR="008C2A65" w:rsidRPr="00512E81" w:rsidRDefault="008C2A65" w:rsidP="008C2A65">
            <w:pPr>
              <w:jc w:val="center"/>
              <w:rPr>
                <w:sz w:val="20"/>
                <w:szCs w:val="20"/>
              </w:rPr>
            </w:pPr>
            <w:r w:rsidRPr="00512E81">
              <w:rPr>
                <w:rFonts w:eastAsia="Arial"/>
                <w:sz w:val="20"/>
                <w:szCs w:val="20"/>
              </w:rPr>
              <w:t>58.1</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BEEECD" w14:textId="214F3129" w:rsidR="008C2A65" w:rsidRPr="00512E81" w:rsidRDefault="008C2A65" w:rsidP="008C2A65">
            <w:pPr>
              <w:jc w:val="center"/>
              <w:rPr>
                <w:sz w:val="20"/>
                <w:szCs w:val="20"/>
              </w:rPr>
            </w:pPr>
            <w:r w:rsidRPr="00512E81">
              <w:rPr>
                <w:rFonts w:eastAsia="Arial"/>
                <w:sz w:val="20"/>
                <w:szCs w:val="20"/>
              </w:rPr>
              <w:t>28,182</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DC114E" w14:textId="761DC7FC" w:rsidR="008C2A65" w:rsidRPr="00512E81" w:rsidRDefault="008C2A65" w:rsidP="008C2A65">
            <w:pPr>
              <w:jc w:val="center"/>
              <w:rPr>
                <w:sz w:val="20"/>
                <w:szCs w:val="20"/>
              </w:rPr>
            </w:pPr>
            <w:r w:rsidRPr="00512E81">
              <w:rPr>
                <w:rFonts w:eastAsia="Arial"/>
                <w:sz w:val="20"/>
                <w:szCs w:val="20"/>
              </w:rPr>
              <w:t>68.9</w:t>
            </w:r>
          </w:p>
        </w:tc>
      </w:tr>
      <w:tr w:rsidR="008C2A65" w:rsidRPr="00F45E7B" w14:paraId="6B645F42"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7D73635" w14:textId="7F5496C4" w:rsidR="008C2A65" w:rsidRPr="00F45E7B" w:rsidRDefault="008C2A65" w:rsidP="008C2A65">
            <w:pPr>
              <w:jc w:val="right"/>
              <w:rPr>
                <w:color w:val="000000"/>
                <w:sz w:val="20"/>
                <w:szCs w:val="20"/>
              </w:rPr>
            </w:pPr>
            <w:r>
              <w:rPr>
                <w:color w:val="000000"/>
                <w:sz w:val="20"/>
                <w:szCs w:val="20"/>
              </w:rPr>
              <w:t>YTD 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475396" w14:textId="6F8E036F" w:rsidR="008C2A65" w:rsidRPr="00512E81" w:rsidRDefault="008C2A65" w:rsidP="008C2A65">
            <w:pPr>
              <w:jc w:val="center"/>
              <w:rPr>
                <w:sz w:val="20"/>
                <w:szCs w:val="20"/>
              </w:rPr>
            </w:pPr>
            <w:r w:rsidRPr="00512E81">
              <w:rPr>
                <w:rFonts w:eastAsia="Arial"/>
                <w:sz w:val="20"/>
                <w:szCs w:val="20"/>
              </w:rPr>
              <w:t>60.6</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E9482" w14:textId="02F96C36" w:rsidR="008C2A65" w:rsidRPr="00512E81" w:rsidRDefault="008C2A65" w:rsidP="008C2A65">
            <w:pPr>
              <w:jc w:val="center"/>
              <w:rPr>
                <w:sz w:val="20"/>
                <w:szCs w:val="20"/>
              </w:rPr>
            </w:pPr>
            <w:r w:rsidRPr="00512E81">
              <w:rPr>
                <w:rFonts w:eastAsia="Arial"/>
                <w:sz w:val="20"/>
                <w:szCs w:val="20"/>
              </w:rPr>
              <w:t>--</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74121A" w14:textId="35B9169B" w:rsidR="008C2A65" w:rsidRPr="00512E81" w:rsidRDefault="008C2A65" w:rsidP="008C2A65">
            <w:pPr>
              <w:jc w:val="center"/>
              <w:rPr>
                <w:sz w:val="20"/>
                <w:szCs w:val="20"/>
              </w:rPr>
            </w:pPr>
            <w:r w:rsidRPr="00512E81">
              <w:rPr>
                <w:rFonts w:eastAsia="Arial"/>
                <w:sz w:val="20"/>
                <w:szCs w:val="20"/>
              </w:rPr>
              <w:t>43</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E71EE0" w14:textId="18A4FAA0" w:rsidR="008C2A65" w:rsidRPr="00512E81" w:rsidRDefault="008C2A65" w:rsidP="008C2A65">
            <w:pPr>
              <w:jc w:val="center"/>
              <w:rPr>
                <w:sz w:val="20"/>
                <w:szCs w:val="20"/>
              </w:rPr>
            </w:pPr>
            <w:r w:rsidRPr="00512E81">
              <w:rPr>
                <w:rFonts w:eastAsia="Arial"/>
                <w:sz w:val="20"/>
                <w:szCs w:val="20"/>
              </w:rPr>
              <w:t>58.1</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985063" w14:textId="0C2F8D17" w:rsidR="008C2A65" w:rsidRPr="00512E81" w:rsidRDefault="008C2A65" w:rsidP="008C2A65">
            <w:pPr>
              <w:jc w:val="center"/>
              <w:rPr>
                <w:sz w:val="20"/>
                <w:szCs w:val="20"/>
              </w:rPr>
            </w:pPr>
            <w:r w:rsidRPr="00512E81">
              <w:rPr>
                <w:rFonts w:eastAsia="Arial"/>
                <w:sz w:val="20"/>
                <w:szCs w:val="20"/>
              </w:rPr>
              <w:t>22,246</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50DE13" w14:textId="17447157" w:rsidR="008C2A65" w:rsidRPr="00512E81" w:rsidRDefault="008C2A65" w:rsidP="008C2A65">
            <w:pPr>
              <w:jc w:val="center"/>
              <w:rPr>
                <w:sz w:val="20"/>
                <w:szCs w:val="20"/>
              </w:rPr>
            </w:pPr>
            <w:r w:rsidRPr="00512E81">
              <w:rPr>
                <w:rFonts w:eastAsia="Arial"/>
                <w:sz w:val="20"/>
                <w:szCs w:val="20"/>
              </w:rPr>
              <w:t>65.6</w:t>
            </w:r>
          </w:p>
        </w:tc>
      </w:tr>
      <w:tr w:rsidR="003F5FA9" w:rsidRPr="00F45E7B" w14:paraId="36B43C4A" w14:textId="77777777" w:rsidTr="00512E81">
        <w:trPr>
          <w:trHeight w:val="195"/>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76BC692" w14:textId="77777777" w:rsidR="003F5FA9" w:rsidRPr="00F45E7B" w:rsidRDefault="003F5FA9" w:rsidP="003F5FA9">
            <w:pPr>
              <w:rPr>
                <w:sz w:val="20"/>
                <w:szCs w:val="20"/>
              </w:rPr>
            </w:pPr>
            <w:r w:rsidRPr="00F45E7B">
              <w:rPr>
                <w:color w:val="000000"/>
                <w:sz w:val="20"/>
                <w:szCs w:val="20"/>
              </w:rPr>
              <w:t>Not Available</w:t>
            </w:r>
          </w:p>
        </w:tc>
        <w:tc>
          <w:tcPr>
            <w:tcW w:w="6838"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D7D7F" w14:textId="77777777" w:rsidR="003F5FA9" w:rsidRPr="00512E81" w:rsidRDefault="003F5FA9" w:rsidP="003F5FA9">
            <w:pPr>
              <w:rPr>
                <w:sz w:val="20"/>
                <w:szCs w:val="20"/>
              </w:rPr>
            </w:pPr>
          </w:p>
        </w:tc>
      </w:tr>
      <w:tr w:rsidR="008C2A65" w:rsidRPr="00F45E7B" w14:paraId="247DCB39"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B79C3D7" w14:textId="77777777" w:rsidR="008C2A65" w:rsidRPr="00F45E7B" w:rsidRDefault="008C2A65" w:rsidP="008C2A65">
            <w:pPr>
              <w:jc w:val="right"/>
              <w:rPr>
                <w:sz w:val="20"/>
                <w:szCs w:val="20"/>
              </w:rPr>
            </w:pPr>
            <w:r w:rsidRPr="00F45E7B">
              <w:rPr>
                <w:color w:val="000000"/>
                <w:sz w:val="20"/>
                <w:szCs w:val="20"/>
              </w:rPr>
              <w:t>2018</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5AEA98" w14:textId="738F3369" w:rsidR="008C2A65" w:rsidRPr="00512E81" w:rsidRDefault="008C2A65" w:rsidP="008C2A65">
            <w:pPr>
              <w:jc w:val="center"/>
              <w:rPr>
                <w:sz w:val="20"/>
                <w:szCs w:val="20"/>
              </w:rPr>
            </w:pPr>
            <w:r w:rsidRPr="00512E81">
              <w:rPr>
                <w:rFonts w:eastAsia="Arial"/>
                <w:sz w:val="20"/>
                <w:szCs w:val="20"/>
              </w:rPr>
              <w:t>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E69ABE" w14:textId="57B438C8" w:rsidR="008C2A65" w:rsidRPr="00512E81" w:rsidRDefault="008C2A65" w:rsidP="008C2A65">
            <w:pPr>
              <w:jc w:val="center"/>
              <w:rPr>
                <w:sz w:val="20"/>
                <w:szCs w:val="20"/>
              </w:rPr>
            </w:pPr>
            <w:r w:rsidRPr="00512E81">
              <w:rPr>
                <w:rFonts w:eastAsia="Arial"/>
                <w:sz w:val="20"/>
                <w:szCs w:val="20"/>
              </w:rPr>
              <w:t>0.0</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B367B" w14:textId="37F33164" w:rsidR="008C2A65" w:rsidRPr="00512E81" w:rsidRDefault="008C2A65" w:rsidP="008C2A65">
            <w:pPr>
              <w:jc w:val="center"/>
              <w:rPr>
                <w:sz w:val="20"/>
                <w:szCs w:val="20"/>
              </w:rPr>
            </w:pPr>
            <w:r w:rsidRPr="00512E81">
              <w:rPr>
                <w:rFonts w:eastAsia="Arial"/>
                <w:sz w:val="20"/>
                <w:szCs w:val="20"/>
              </w:rPr>
              <w:t>0</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F5BCC9" w14:textId="07BA8FEA" w:rsidR="008C2A65" w:rsidRPr="00512E81" w:rsidRDefault="008C2A65" w:rsidP="008C2A65">
            <w:pPr>
              <w:jc w:val="center"/>
              <w:rPr>
                <w:sz w:val="20"/>
                <w:szCs w:val="20"/>
              </w:rPr>
            </w:pPr>
            <w:r w:rsidRPr="00512E81">
              <w:rPr>
                <w:rFonts w:eastAsia="Arial"/>
                <w:sz w:val="20"/>
                <w:szCs w:val="20"/>
              </w:rPr>
              <w:t>0.0</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585C62" w14:textId="1B2FBB88" w:rsidR="008C2A65" w:rsidRPr="00512E81" w:rsidRDefault="008C2A65" w:rsidP="008C2A65">
            <w:pPr>
              <w:jc w:val="center"/>
              <w:rPr>
                <w:sz w:val="20"/>
                <w:szCs w:val="20"/>
              </w:rPr>
            </w:pPr>
            <w:r w:rsidRPr="00512E81">
              <w:rPr>
                <w:rFonts w:eastAsia="Arial"/>
                <w:sz w:val="20"/>
                <w:szCs w:val="20"/>
              </w:rPr>
              <w:t>0</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DD1510" w14:textId="113A1ABD" w:rsidR="008C2A65" w:rsidRPr="00512E81" w:rsidRDefault="008C2A65" w:rsidP="008C2A65">
            <w:pPr>
              <w:jc w:val="center"/>
              <w:rPr>
                <w:sz w:val="20"/>
                <w:szCs w:val="20"/>
              </w:rPr>
            </w:pPr>
            <w:r w:rsidRPr="00512E81">
              <w:rPr>
                <w:rFonts w:eastAsia="Arial"/>
                <w:sz w:val="20"/>
                <w:szCs w:val="20"/>
              </w:rPr>
              <w:t>0.0</w:t>
            </w:r>
          </w:p>
        </w:tc>
      </w:tr>
      <w:tr w:rsidR="008C2A65" w:rsidRPr="00F45E7B" w14:paraId="32083B46"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8EA1D55" w14:textId="77777777" w:rsidR="008C2A65" w:rsidRPr="00F45E7B" w:rsidRDefault="008C2A65" w:rsidP="008C2A65">
            <w:pPr>
              <w:jc w:val="right"/>
              <w:rPr>
                <w:sz w:val="20"/>
                <w:szCs w:val="20"/>
              </w:rPr>
            </w:pPr>
            <w:r w:rsidRPr="00F45E7B">
              <w:rPr>
                <w:color w:val="000000"/>
                <w:sz w:val="20"/>
                <w:szCs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3EE45" w14:textId="7D207F53" w:rsidR="008C2A65" w:rsidRPr="00512E81" w:rsidRDefault="008C2A65" w:rsidP="008C2A65">
            <w:pPr>
              <w:jc w:val="center"/>
              <w:rPr>
                <w:sz w:val="20"/>
                <w:szCs w:val="20"/>
              </w:rPr>
            </w:pPr>
            <w:r w:rsidRPr="00512E81">
              <w:rPr>
                <w:rFonts w:eastAsia="Arial"/>
                <w:sz w:val="20"/>
                <w:szCs w:val="20"/>
              </w:rPr>
              <w:t>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887CDF" w14:textId="62C19BF8" w:rsidR="008C2A65" w:rsidRPr="00512E81" w:rsidRDefault="008C2A65" w:rsidP="008C2A65">
            <w:pPr>
              <w:jc w:val="center"/>
              <w:rPr>
                <w:sz w:val="20"/>
                <w:szCs w:val="20"/>
              </w:rPr>
            </w:pPr>
            <w:r w:rsidRPr="00512E81">
              <w:rPr>
                <w:rFonts w:eastAsia="Arial"/>
                <w:sz w:val="20"/>
                <w:szCs w:val="20"/>
              </w:rPr>
              <w:t>0.0</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2B4C81" w14:textId="38896D02" w:rsidR="008C2A65" w:rsidRPr="00512E81" w:rsidRDefault="008C2A65" w:rsidP="008C2A65">
            <w:pPr>
              <w:jc w:val="center"/>
              <w:rPr>
                <w:sz w:val="20"/>
                <w:szCs w:val="20"/>
              </w:rPr>
            </w:pPr>
            <w:r w:rsidRPr="00512E81">
              <w:rPr>
                <w:rFonts w:eastAsia="Arial"/>
                <w:sz w:val="20"/>
                <w:szCs w:val="20"/>
              </w:rPr>
              <w:t>0</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2D45E" w14:textId="0B27BF7F" w:rsidR="008C2A65" w:rsidRPr="00512E81" w:rsidRDefault="008C2A65" w:rsidP="008C2A65">
            <w:pPr>
              <w:jc w:val="center"/>
              <w:rPr>
                <w:sz w:val="20"/>
                <w:szCs w:val="20"/>
              </w:rPr>
            </w:pPr>
            <w:r w:rsidRPr="00512E81">
              <w:rPr>
                <w:rFonts w:eastAsia="Arial"/>
                <w:sz w:val="20"/>
                <w:szCs w:val="20"/>
              </w:rPr>
              <w:t>0.0</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9FC61" w14:textId="0EEA0F7B" w:rsidR="008C2A65" w:rsidRPr="00512E81" w:rsidRDefault="008C2A65" w:rsidP="008C2A65">
            <w:pPr>
              <w:jc w:val="center"/>
              <w:rPr>
                <w:sz w:val="20"/>
                <w:szCs w:val="20"/>
              </w:rPr>
            </w:pPr>
            <w:r w:rsidRPr="00512E81">
              <w:rPr>
                <w:rFonts w:eastAsia="Arial"/>
                <w:sz w:val="20"/>
                <w:szCs w:val="20"/>
              </w:rPr>
              <w:t>0</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93F418" w14:textId="446098D5" w:rsidR="008C2A65" w:rsidRPr="00512E81" w:rsidRDefault="008C2A65" w:rsidP="008C2A65">
            <w:pPr>
              <w:jc w:val="center"/>
              <w:rPr>
                <w:sz w:val="20"/>
                <w:szCs w:val="20"/>
              </w:rPr>
            </w:pPr>
            <w:r w:rsidRPr="00512E81">
              <w:rPr>
                <w:rFonts w:eastAsia="Arial"/>
                <w:sz w:val="20"/>
                <w:szCs w:val="20"/>
              </w:rPr>
              <w:t>0.0</w:t>
            </w:r>
          </w:p>
        </w:tc>
      </w:tr>
      <w:tr w:rsidR="008C2A65" w:rsidRPr="00F45E7B" w14:paraId="468D1202" w14:textId="77777777" w:rsidTr="00512E81">
        <w:trPr>
          <w:trHeight w:val="181"/>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FB2C13E" w14:textId="6181647F" w:rsidR="008C2A65" w:rsidRPr="00F45E7B" w:rsidRDefault="008C2A65" w:rsidP="008C2A65">
            <w:pPr>
              <w:jc w:val="right"/>
              <w:rPr>
                <w:color w:val="000000"/>
                <w:sz w:val="20"/>
                <w:szCs w:val="20"/>
              </w:rPr>
            </w:pPr>
            <w:r>
              <w:rPr>
                <w:color w:val="000000"/>
                <w:sz w:val="20"/>
                <w:szCs w:val="20"/>
              </w:rPr>
              <w:t>YTD 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AC66E8" w14:textId="48D3F13B" w:rsidR="008C2A65" w:rsidRPr="00512E81" w:rsidRDefault="008C2A65" w:rsidP="008C2A65">
            <w:pPr>
              <w:jc w:val="center"/>
              <w:rPr>
                <w:sz w:val="20"/>
                <w:szCs w:val="20"/>
              </w:rPr>
            </w:pPr>
            <w:r w:rsidRPr="00512E81">
              <w:rPr>
                <w:rFonts w:eastAsia="Arial"/>
                <w:sz w:val="20"/>
                <w:szCs w:val="20"/>
              </w:rPr>
              <w:t>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F47DA9" w14:textId="1EFE8757" w:rsidR="008C2A65" w:rsidRPr="00512E81" w:rsidRDefault="008C2A65" w:rsidP="008C2A65">
            <w:pPr>
              <w:jc w:val="center"/>
              <w:rPr>
                <w:sz w:val="20"/>
                <w:szCs w:val="20"/>
              </w:rPr>
            </w:pPr>
            <w:r w:rsidRPr="00512E81">
              <w:rPr>
                <w:rFonts w:eastAsia="Arial"/>
                <w:sz w:val="20"/>
                <w:szCs w:val="20"/>
              </w:rPr>
              <w:t>--</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5C31D" w14:textId="259ACD41" w:rsidR="008C2A65" w:rsidRPr="00512E81" w:rsidRDefault="008C2A65" w:rsidP="008C2A65">
            <w:pPr>
              <w:jc w:val="center"/>
              <w:rPr>
                <w:sz w:val="20"/>
                <w:szCs w:val="20"/>
              </w:rPr>
            </w:pPr>
            <w:r w:rsidRPr="00512E81">
              <w:rPr>
                <w:rFonts w:eastAsia="Arial"/>
                <w:sz w:val="20"/>
                <w:szCs w:val="20"/>
              </w:rPr>
              <w:t>0</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9B2027" w14:textId="3EC0F661" w:rsidR="008C2A65" w:rsidRPr="00512E81" w:rsidRDefault="008C2A65" w:rsidP="008C2A65">
            <w:pPr>
              <w:jc w:val="center"/>
              <w:rPr>
                <w:sz w:val="20"/>
                <w:szCs w:val="20"/>
              </w:rPr>
            </w:pPr>
            <w:r w:rsidRPr="00512E81">
              <w:rPr>
                <w:rFonts w:eastAsia="Arial"/>
                <w:sz w:val="20"/>
                <w:szCs w:val="20"/>
              </w:rPr>
              <w:t>0.0</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D524F" w14:textId="0BB8B0D2" w:rsidR="008C2A65" w:rsidRPr="00512E81" w:rsidRDefault="008C2A65" w:rsidP="008C2A65">
            <w:pPr>
              <w:jc w:val="center"/>
              <w:rPr>
                <w:sz w:val="20"/>
                <w:szCs w:val="20"/>
              </w:rPr>
            </w:pPr>
            <w:r w:rsidRPr="00512E81">
              <w:rPr>
                <w:rFonts w:eastAsia="Arial"/>
                <w:sz w:val="20"/>
                <w:szCs w:val="20"/>
              </w:rPr>
              <w:t>0</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BB67E2" w14:textId="47642A00" w:rsidR="008C2A65" w:rsidRPr="00512E81" w:rsidRDefault="008C2A65" w:rsidP="008C2A65">
            <w:pPr>
              <w:jc w:val="center"/>
              <w:rPr>
                <w:sz w:val="20"/>
                <w:szCs w:val="20"/>
              </w:rPr>
            </w:pPr>
            <w:r w:rsidRPr="00512E81">
              <w:rPr>
                <w:rFonts w:eastAsia="Arial"/>
                <w:sz w:val="20"/>
                <w:szCs w:val="20"/>
              </w:rPr>
              <w:t>0.0</w:t>
            </w:r>
          </w:p>
        </w:tc>
      </w:tr>
      <w:tr w:rsidR="003F5FA9" w:rsidRPr="00F45E7B" w14:paraId="3DE3E7C0" w14:textId="77777777" w:rsidTr="00512E81">
        <w:trPr>
          <w:trHeight w:val="210"/>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0D6BE41" w14:textId="77777777" w:rsidR="003F5FA9" w:rsidRPr="00F45E7B" w:rsidRDefault="003F5FA9" w:rsidP="003F5FA9">
            <w:pPr>
              <w:rPr>
                <w:sz w:val="20"/>
                <w:szCs w:val="20"/>
              </w:rPr>
            </w:pPr>
            <w:r w:rsidRPr="00F45E7B">
              <w:rPr>
                <w:b/>
                <w:color w:val="000000"/>
                <w:sz w:val="20"/>
                <w:szCs w:val="20"/>
              </w:rPr>
              <w:t>Totals</w:t>
            </w:r>
          </w:p>
        </w:tc>
        <w:tc>
          <w:tcPr>
            <w:tcW w:w="6838"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4D8493" w14:textId="77777777" w:rsidR="003F5FA9" w:rsidRPr="00512E81" w:rsidRDefault="003F5FA9" w:rsidP="003F5FA9">
            <w:pPr>
              <w:rPr>
                <w:sz w:val="20"/>
                <w:szCs w:val="20"/>
              </w:rPr>
            </w:pPr>
          </w:p>
        </w:tc>
      </w:tr>
      <w:tr w:rsidR="008C2A65" w:rsidRPr="00F45E7B" w14:paraId="6134849F" w14:textId="77777777" w:rsidTr="00512E81">
        <w:trPr>
          <w:trHeight w:val="195"/>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B3E88B7" w14:textId="77777777" w:rsidR="008C2A65" w:rsidRPr="00F45E7B" w:rsidRDefault="008C2A65" w:rsidP="008C2A65">
            <w:pPr>
              <w:jc w:val="right"/>
              <w:rPr>
                <w:sz w:val="20"/>
                <w:szCs w:val="20"/>
              </w:rPr>
            </w:pPr>
            <w:r w:rsidRPr="00F45E7B">
              <w:rPr>
                <w:b/>
                <w:color w:val="000000"/>
                <w:sz w:val="20"/>
                <w:szCs w:val="20"/>
              </w:rPr>
              <w:t>2018</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FB7C2" w14:textId="6524C8D4" w:rsidR="008C2A65" w:rsidRPr="00512E81" w:rsidRDefault="008C2A65" w:rsidP="008C2A65">
            <w:pPr>
              <w:jc w:val="center"/>
              <w:rPr>
                <w:sz w:val="20"/>
                <w:szCs w:val="20"/>
              </w:rPr>
            </w:pPr>
            <w:r w:rsidRPr="00512E81">
              <w:rPr>
                <w:rFonts w:eastAsia="Arial"/>
                <w:b/>
                <w:sz w:val="20"/>
                <w:szCs w:val="20"/>
              </w:rPr>
              <w:t>100.0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09813E" w14:textId="4F396307" w:rsidR="008C2A65" w:rsidRPr="00512E81" w:rsidRDefault="008C2A65" w:rsidP="008C2A65">
            <w:pPr>
              <w:jc w:val="center"/>
              <w:rPr>
                <w:sz w:val="20"/>
                <w:szCs w:val="20"/>
              </w:rPr>
            </w:pPr>
            <w:r w:rsidRPr="00512E81">
              <w:rPr>
                <w:rFonts w:eastAsia="Arial"/>
                <w:b/>
                <w:sz w:val="20"/>
                <w:szCs w:val="20"/>
              </w:rPr>
              <w:t>100.0</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AFF35A" w14:textId="6798E09A" w:rsidR="008C2A65" w:rsidRPr="00512E81" w:rsidRDefault="008C2A65" w:rsidP="008C2A65">
            <w:pPr>
              <w:jc w:val="center"/>
              <w:rPr>
                <w:sz w:val="20"/>
                <w:szCs w:val="20"/>
              </w:rPr>
            </w:pPr>
            <w:r w:rsidRPr="00512E81">
              <w:rPr>
                <w:rFonts w:eastAsia="Arial"/>
                <w:b/>
                <w:sz w:val="20"/>
                <w:szCs w:val="20"/>
              </w:rPr>
              <w:t>61</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1796A4" w14:textId="6EED64B6" w:rsidR="008C2A65" w:rsidRPr="00512E81" w:rsidRDefault="008C2A65" w:rsidP="008C2A65">
            <w:pPr>
              <w:jc w:val="center"/>
              <w:rPr>
                <w:sz w:val="20"/>
                <w:szCs w:val="20"/>
              </w:rPr>
            </w:pPr>
            <w:r w:rsidRPr="00512E81">
              <w:rPr>
                <w:rFonts w:eastAsia="Arial"/>
                <w:b/>
                <w:sz w:val="20"/>
                <w:szCs w:val="20"/>
              </w:rPr>
              <w:t>100.0</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AEE58" w14:textId="243D821F" w:rsidR="008C2A65" w:rsidRPr="00512E81" w:rsidRDefault="008C2A65" w:rsidP="008C2A65">
            <w:pPr>
              <w:jc w:val="center"/>
              <w:rPr>
                <w:sz w:val="20"/>
                <w:szCs w:val="20"/>
              </w:rPr>
            </w:pPr>
            <w:r w:rsidRPr="00512E81">
              <w:rPr>
                <w:rFonts w:eastAsia="Arial"/>
                <w:b/>
                <w:sz w:val="20"/>
                <w:szCs w:val="20"/>
              </w:rPr>
              <w:t>36,308</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65480" w14:textId="66B5973B" w:rsidR="008C2A65" w:rsidRPr="00512E81" w:rsidRDefault="008C2A65" w:rsidP="008C2A65">
            <w:pPr>
              <w:jc w:val="center"/>
              <w:rPr>
                <w:sz w:val="20"/>
                <w:szCs w:val="20"/>
              </w:rPr>
            </w:pPr>
            <w:r w:rsidRPr="00512E81">
              <w:rPr>
                <w:rFonts w:eastAsia="Arial"/>
                <w:b/>
                <w:sz w:val="20"/>
                <w:szCs w:val="20"/>
              </w:rPr>
              <w:t>100.0</w:t>
            </w:r>
          </w:p>
        </w:tc>
      </w:tr>
      <w:tr w:rsidR="008C2A65" w:rsidRPr="00F45E7B" w14:paraId="72FFD155" w14:textId="77777777" w:rsidTr="00512E81">
        <w:trPr>
          <w:trHeight w:val="195"/>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6D0A499" w14:textId="77777777" w:rsidR="008C2A65" w:rsidRPr="00F45E7B" w:rsidRDefault="008C2A65" w:rsidP="008C2A65">
            <w:pPr>
              <w:jc w:val="right"/>
              <w:rPr>
                <w:sz w:val="20"/>
                <w:szCs w:val="20"/>
              </w:rPr>
            </w:pPr>
            <w:r w:rsidRPr="00F45E7B">
              <w:rPr>
                <w:b/>
                <w:color w:val="000000"/>
                <w:sz w:val="20"/>
                <w:szCs w:val="20"/>
              </w:rPr>
              <w:t>2019</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475D71" w14:textId="5F77A692" w:rsidR="008C2A65" w:rsidRPr="00512E81" w:rsidRDefault="008C2A65" w:rsidP="008C2A65">
            <w:pPr>
              <w:jc w:val="center"/>
              <w:rPr>
                <w:sz w:val="20"/>
                <w:szCs w:val="20"/>
              </w:rPr>
            </w:pPr>
            <w:r w:rsidRPr="00512E81">
              <w:rPr>
                <w:rFonts w:eastAsia="Arial"/>
                <w:b/>
                <w:sz w:val="20"/>
                <w:szCs w:val="20"/>
              </w:rPr>
              <w:t>100.0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D8AC6A" w14:textId="0C3E1DB6" w:rsidR="008C2A65" w:rsidRPr="00512E81" w:rsidRDefault="008C2A65" w:rsidP="008C2A65">
            <w:pPr>
              <w:jc w:val="center"/>
              <w:rPr>
                <w:sz w:val="20"/>
                <w:szCs w:val="20"/>
              </w:rPr>
            </w:pPr>
            <w:r w:rsidRPr="00512E81">
              <w:rPr>
                <w:rFonts w:eastAsia="Arial"/>
                <w:b/>
                <w:sz w:val="20"/>
                <w:szCs w:val="20"/>
              </w:rPr>
              <w:t>100.0</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5B3BCB" w14:textId="46068D75" w:rsidR="008C2A65" w:rsidRPr="00512E81" w:rsidRDefault="008C2A65" w:rsidP="008C2A65">
            <w:pPr>
              <w:jc w:val="center"/>
              <w:rPr>
                <w:sz w:val="20"/>
                <w:szCs w:val="20"/>
              </w:rPr>
            </w:pPr>
            <w:r w:rsidRPr="00512E81">
              <w:rPr>
                <w:rFonts w:eastAsia="Arial"/>
                <w:b/>
                <w:sz w:val="20"/>
                <w:szCs w:val="20"/>
              </w:rPr>
              <w:t>86</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11BA0E" w14:textId="046DA024" w:rsidR="008C2A65" w:rsidRPr="00512E81" w:rsidRDefault="008C2A65" w:rsidP="008C2A65">
            <w:pPr>
              <w:jc w:val="center"/>
              <w:rPr>
                <w:sz w:val="20"/>
                <w:szCs w:val="20"/>
              </w:rPr>
            </w:pPr>
            <w:r w:rsidRPr="00512E81">
              <w:rPr>
                <w:rFonts w:eastAsia="Arial"/>
                <w:b/>
                <w:sz w:val="20"/>
                <w:szCs w:val="20"/>
              </w:rPr>
              <w:t>100.0</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B86BA" w14:textId="7CA5485C" w:rsidR="008C2A65" w:rsidRPr="00512E81" w:rsidRDefault="008C2A65" w:rsidP="008C2A65">
            <w:pPr>
              <w:jc w:val="center"/>
              <w:rPr>
                <w:sz w:val="20"/>
                <w:szCs w:val="20"/>
              </w:rPr>
            </w:pPr>
            <w:r w:rsidRPr="00512E81">
              <w:rPr>
                <w:rFonts w:eastAsia="Arial"/>
                <w:b/>
                <w:sz w:val="20"/>
                <w:szCs w:val="20"/>
              </w:rPr>
              <w:t>40,905</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C46AA" w14:textId="6BD5F5F8" w:rsidR="008C2A65" w:rsidRPr="00512E81" w:rsidRDefault="008C2A65" w:rsidP="008C2A65">
            <w:pPr>
              <w:jc w:val="center"/>
              <w:rPr>
                <w:sz w:val="20"/>
                <w:szCs w:val="20"/>
              </w:rPr>
            </w:pPr>
            <w:r w:rsidRPr="00512E81">
              <w:rPr>
                <w:rFonts w:eastAsia="Arial"/>
                <w:b/>
                <w:sz w:val="20"/>
                <w:szCs w:val="20"/>
              </w:rPr>
              <w:t>100.0</w:t>
            </w:r>
          </w:p>
        </w:tc>
      </w:tr>
      <w:tr w:rsidR="008C2A65" w:rsidRPr="00F45E7B" w14:paraId="2E547912" w14:textId="77777777" w:rsidTr="00512E81">
        <w:trPr>
          <w:trHeight w:val="195"/>
          <w:jc w:val="center"/>
        </w:trPr>
        <w:tc>
          <w:tcPr>
            <w:tcW w:w="250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7F938C5" w14:textId="1408BD73" w:rsidR="008C2A65" w:rsidRPr="00F45E7B" w:rsidRDefault="008C2A65" w:rsidP="008C2A65">
            <w:pPr>
              <w:jc w:val="right"/>
              <w:rPr>
                <w:b/>
                <w:color w:val="000000"/>
                <w:sz w:val="20"/>
                <w:szCs w:val="20"/>
              </w:rPr>
            </w:pPr>
            <w:r>
              <w:rPr>
                <w:b/>
                <w:color w:val="000000"/>
                <w:sz w:val="20"/>
                <w:szCs w:val="20"/>
              </w:rPr>
              <w:t>YTD 2020</w:t>
            </w:r>
          </w:p>
        </w:tc>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3BB99" w14:textId="0A4A1160" w:rsidR="008C2A65" w:rsidRPr="00512E81" w:rsidRDefault="008C2A65" w:rsidP="008C2A65">
            <w:pPr>
              <w:jc w:val="center"/>
              <w:rPr>
                <w:b/>
                <w:sz w:val="20"/>
                <w:szCs w:val="20"/>
              </w:rPr>
            </w:pPr>
            <w:r w:rsidRPr="00512E81">
              <w:rPr>
                <w:rFonts w:eastAsia="Arial"/>
                <w:b/>
                <w:sz w:val="20"/>
                <w:szCs w:val="20"/>
              </w:rPr>
              <w:t>100.0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40DB35" w14:textId="6A93693F" w:rsidR="008C2A65" w:rsidRPr="00512E81" w:rsidRDefault="008C2A65" w:rsidP="008C2A65">
            <w:pPr>
              <w:jc w:val="center"/>
              <w:rPr>
                <w:b/>
                <w:sz w:val="20"/>
                <w:szCs w:val="20"/>
              </w:rPr>
            </w:pPr>
            <w:r w:rsidRPr="00512E81">
              <w:rPr>
                <w:rFonts w:eastAsia="Arial"/>
                <w:b/>
                <w:sz w:val="20"/>
                <w:szCs w:val="20"/>
              </w:rPr>
              <w:t>--</w:t>
            </w:r>
          </w:p>
        </w:tc>
        <w:tc>
          <w:tcPr>
            <w:tcW w:w="11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267F8F" w14:textId="343977D2" w:rsidR="008C2A65" w:rsidRPr="00512E81" w:rsidRDefault="008C2A65" w:rsidP="008C2A65">
            <w:pPr>
              <w:jc w:val="center"/>
              <w:rPr>
                <w:b/>
                <w:sz w:val="20"/>
                <w:szCs w:val="20"/>
              </w:rPr>
            </w:pPr>
            <w:r w:rsidRPr="00512E81">
              <w:rPr>
                <w:rFonts w:eastAsia="Arial"/>
                <w:b/>
                <w:sz w:val="20"/>
                <w:szCs w:val="20"/>
              </w:rPr>
              <w:t>74</w:t>
            </w:r>
          </w:p>
        </w:tc>
        <w:tc>
          <w:tcPr>
            <w:tcW w:w="8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85BCE" w14:textId="1BB67647" w:rsidR="008C2A65" w:rsidRPr="00512E81" w:rsidRDefault="008C2A65" w:rsidP="008C2A65">
            <w:pPr>
              <w:jc w:val="center"/>
              <w:rPr>
                <w:b/>
                <w:sz w:val="20"/>
                <w:szCs w:val="20"/>
              </w:rPr>
            </w:pPr>
            <w:r w:rsidRPr="00512E81">
              <w:rPr>
                <w:rFonts w:eastAsia="Arial"/>
                <w:b/>
                <w:sz w:val="20"/>
                <w:szCs w:val="20"/>
              </w:rPr>
              <w:t>100.0</w:t>
            </w:r>
          </w:p>
        </w:tc>
        <w:tc>
          <w:tcPr>
            <w:tcW w:w="10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6B2EB" w14:textId="41E4441B" w:rsidR="008C2A65" w:rsidRPr="00512E81" w:rsidRDefault="008C2A65" w:rsidP="008C2A65">
            <w:pPr>
              <w:jc w:val="center"/>
              <w:rPr>
                <w:b/>
                <w:sz w:val="20"/>
                <w:szCs w:val="20"/>
              </w:rPr>
            </w:pPr>
            <w:r w:rsidRPr="00512E81">
              <w:rPr>
                <w:rFonts w:eastAsia="Arial"/>
                <w:b/>
                <w:sz w:val="20"/>
                <w:szCs w:val="20"/>
              </w:rPr>
              <w:t>33,937</w:t>
            </w:r>
          </w:p>
        </w:tc>
        <w:tc>
          <w:tcPr>
            <w:tcW w:w="8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6ACD58" w14:textId="6D159021" w:rsidR="008C2A65" w:rsidRPr="00512E81" w:rsidRDefault="008C2A65" w:rsidP="008C2A65">
            <w:pPr>
              <w:jc w:val="center"/>
              <w:rPr>
                <w:b/>
                <w:sz w:val="20"/>
                <w:szCs w:val="20"/>
              </w:rPr>
            </w:pPr>
            <w:r w:rsidRPr="00512E81">
              <w:rPr>
                <w:rFonts w:eastAsia="Arial"/>
                <w:b/>
                <w:sz w:val="20"/>
                <w:szCs w:val="20"/>
              </w:rPr>
              <w:t>100.0</w:t>
            </w:r>
          </w:p>
        </w:tc>
      </w:tr>
      <w:tr w:rsidR="00F45E7B" w:rsidRPr="00F45E7B" w14:paraId="1494327A" w14:textId="77777777" w:rsidTr="00512E81">
        <w:trPr>
          <w:trHeight w:val="473"/>
          <w:jc w:val="center"/>
        </w:trPr>
        <w:tc>
          <w:tcPr>
            <w:tcW w:w="9342"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5B0E9819" w14:textId="35053A03" w:rsidR="00F45E7B" w:rsidRPr="00F45E7B" w:rsidRDefault="00F45E7B" w:rsidP="00F45E7B">
            <w:pPr>
              <w:rPr>
                <w:sz w:val="20"/>
                <w:szCs w:val="20"/>
              </w:rPr>
            </w:pPr>
            <w:r w:rsidRPr="00F45E7B">
              <w:rPr>
                <w:i/>
                <w:color w:val="000000"/>
                <w:sz w:val="16"/>
                <w:szCs w:val="20"/>
              </w:rPr>
              <w:t>Source</w:t>
            </w:r>
            <w:r w:rsidR="008C2A65">
              <w:rPr>
                <w:i/>
                <w:color w:val="000000"/>
                <w:sz w:val="16"/>
                <w:szCs w:val="20"/>
              </w:rPr>
              <w:t>: 2015 A</w:t>
            </w:r>
            <w:r w:rsidR="00512E81">
              <w:rPr>
                <w:i/>
                <w:color w:val="000000"/>
                <w:sz w:val="16"/>
                <w:szCs w:val="20"/>
              </w:rPr>
              <w:t xml:space="preserve">CS Census; Bank Data 1/1/2018 – 6/30/2020.  </w:t>
            </w:r>
            <w:r w:rsidRPr="00F45E7B">
              <w:rPr>
                <w:i/>
                <w:color w:val="000000"/>
                <w:sz w:val="16"/>
                <w:szCs w:val="20"/>
              </w:rPr>
              <w:t>201</w:t>
            </w:r>
            <w:r w:rsidR="003E7F22">
              <w:rPr>
                <w:i/>
                <w:color w:val="000000"/>
                <w:sz w:val="16"/>
                <w:szCs w:val="20"/>
              </w:rPr>
              <w:t>8</w:t>
            </w:r>
            <w:r w:rsidRPr="00F45E7B">
              <w:rPr>
                <w:i/>
                <w:color w:val="000000"/>
                <w:sz w:val="16"/>
                <w:szCs w:val="20"/>
              </w:rPr>
              <w:t xml:space="preserve"> </w:t>
            </w:r>
            <w:r w:rsidR="008C2A65">
              <w:rPr>
                <w:i/>
                <w:color w:val="000000"/>
                <w:sz w:val="16"/>
                <w:szCs w:val="20"/>
              </w:rPr>
              <w:t xml:space="preserve">and 2019 </w:t>
            </w:r>
            <w:r w:rsidRPr="00F45E7B">
              <w:rPr>
                <w:i/>
                <w:color w:val="000000"/>
                <w:sz w:val="16"/>
                <w:szCs w:val="20"/>
              </w:rPr>
              <w:t>HMDA Aggregate Data, "--" data not available.</w:t>
            </w:r>
          </w:p>
          <w:p w14:paraId="59EDD86A" w14:textId="77777777" w:rsidR="00F45E7B" w:rsidRPr="00F45E7B" w:rsidRDefault="00F45E7B" w:rsidP="00F45E7B">
            <w:pPr>
              <w:rPr>
                <w:sz w:val="20"/>
                <w:szCs w:val="20"/>
              </w:rPr>
            </w:pPr>
            <w:r w:rsidRPr="00F45E7B">
              <w:rPr>
                <w:i/>
                <w:color w:val="000000"/>
                <w:sz w:val="16"/>
                <w:szCs w:val="20"/>
              </w:rPr>
              <w:t>Due to rounding, totals may not equal 100.0</w:t>
            </w:r>
          </w:p>
        </w:tc>
      </w:tr>
    </w:tbl>
    <w:p w14:paraId="14612F3D" w14:textId="77573B30" w:rsidR="005F3C2E" w:rsidRDefault="005F3C2E" w:rsidP="005F3C2E">
      <w:pPr>
        <w:tabs>
          <w:tab w:val="left" w:pos="540"/>
        </w:tabs>
        <w:rPr>
          <w:color w:val="000000"/>
        </w:rPr>
      </w:pPr>
    </w:p>
    <w:p w14:paraId="6194D7C2" w14:textId="279FAD27" w:rsidR="008476EA" w:rsidRPr="005D1815" w:rsidRDefault="008476EA" w:rsidP="008476EA">
      <w:pPr>
        <w:rPr>
          <w:b/>
          <w:i/>
        </w:rPr>
      </w:pPr>
      <w:r>
        <w:rPr>
          <w:b/>
          <w:i/>
        </w:rPr>
        <w:t>Small Business Loans</w:t>
      </w:r>
    </w:p>
    <w:p w14:paraId="26261AE0" w14:textId="3DA55AA0" w:rsidR="008476EA" w:rsidRDefault="008476EA" w:rsidP="008476EA">
      <w:pPr>
        <w:rPr>
          <w:bCs/>
        </w:rPr>
      </w:pPr>
      <w:r w:rsidRPr="006876C5">
        <w:rPr>
          <w:bCs/>
        </w:rPr>
        <w:t>The geographic distribution of s</w:t>
      </w:r>
      <w:r>
        <w:rPr>
          <w:bCs/>
        </w:rPr>
        <w:t>mall business</w:t>
      </w:r>
      <w:r w:rsidRPr="006876C5">
        <w:rPr>
          <w:bCs/>
        </w:rPr>
        <w:t xml:space="preserve"> loans </w:t>
      </w:r>
      <w:r w:rsidRPr="00C5438E">
        <w:rPr>
          <w:bCs/>
        </w:rPr>
        <w:t>reflects reasonable dispersion</w:t>
      </w:r>
      <w:r w:rsidRPr="006876C5">
        <w:rPr>
          <w:bCs/>
        </w:rPr>
        <w:t xml:space="preserve">.  </w:t>
      </w:r>
      <w:r>
        <w:rPr>
          <w:bCs/>
        </w:rPr>
        <w:t xml:space="preserve">As shown in the following table, </w:t>
      </w:r>
      <w:r w:rsidRPr="006876C5">
        <w:rPr>
          <w:bCs/>
        </w:rPr>
        <w:t xml:space="preserve">the bank’s performance in </w:t>
      </w:r>
      <w:r>
        <w:rPr>
          <w:bCs/>
        </w:rPr>
        <w:t xml:space="preserve">low-income census tracts is </w:t>
      </w:r>
      <w:r w:rsidR="00EF3C34">
        <w:rPr>
          <w:bCs/>
        </w:rPr>
        <w:t>comparable to</w:t>
      </w:r>
      <w:r w:rsidRPr="006876C5">
        <w:rPr>
          <w:bCs/>
        </w:rPr>
        <w:t xml:space="preserve"> bu</w:t>
      </w:r>
      <w:r>
        <w:rPr>
          <w:bCs/>
        </w:rPr>
        <w:t>siness demographics</w:t>
      </w:r>
      <w:r w:rsidR="00EF3C34">
        <w:rPr>
          <w:bCs/>
        </w:rPr>
        <w:t xml:space="preserve"> in 2018 and 2020</w:t>
      </w:r>
      <w:r>
        <w:rPr>
          <w:bCs/>
        </w:rPr>
        <w:t>.</w:t>
      </w:r>
      <w:r w:rsidR="00480E7A">
        <w:rPr>
          <w:bCs/>
        </w:rPr>
        <w:t xml:space="preserve"> </w:t>
      </w:r>
      <w:r w:rsidRPr="006876C5">
        <w:rPr>
          <w:bCs/>
        </w:rPr>
        <w:t xml:space="preserve"> </w:t>
      </w:r>
      <w:r w:rsidR="00480E7A" w:rsidRPr="00B11DB3">
        <w:t xml:space="preserve">The lack of small business loan originations in 2019 </w:t>
      </w:r>
      <w:r w:rsidR="0044396E" w:rsidRPr="00B11DB3">
        <w:t>is</w:t>
      </w:r>
      <w:r w:rsidR="0044396E">
        <w:t xml:space="preserve"> </w:t>
      </w:r>
      <w:r w:rsidR="0044396E" w:rsidRPr="00B11DB3">
        <w:t>due</w:t>
      </w:r>
      <w:r w:rsidR="0044396E">
        <w:t xml:space="preserve"> </w:t>
      </w:r>
      <w:r w:rsidR="0044396E" w:rsidRPr="00B11DB3">
        <w:t>to</w:t>
      </w:r>
      <w:r w:rsidR="00480E7A" w:rsidRPr="00B11DB3">
        <w:t xml:space="preserve"> the Columbia Gas </w:t>
      </w:r>
      <w:r w:rsidR="00480E7A">
        <w:t>e</w:t>
      </w:r>
      <w:r w:rsidR="00480E7A" w:rsidRPr="00B11DB3">
        <w:t>xplosions that occurred in</w:t>
      </w:r>
      <w:r w:rsidR="004A1798">
        <w:t xml:space="preserve"> Lawrence, North Andover, and Andover in</w:t>
      </w:r>
      <w:r w:rsidR="00480E7A" w:rsidRPr="00B11DB3">
        <w:t xml:space="preserve"> the fall of 2018.  </w:t>
      </w:r>
      <w:r w:rsidR="00EF3C34">
        <w:t xml:space="preserve">State officials and </w:t>
      </w:r>
      <w:r w:rsidR="00480E7A" w:rsidRPr="00B11DB3">
        <w:t xml:space="preserve">Columbia Gas </w:t>
      </w:r>
      <w:r w:rsidR="004A1798">
        <w:t xml:space="preserve">set up an emergency loan fund for affected businesses, providing loans with no required interest or principal payments for the first six months of the loan.  As all low-income tracts are located in Lawrence, this emergency fund limited lending opportunities.  </w:t>
      </w:r>
      <w:r w:rsidR="00480E7A">
        <w:rPr>
          <w:bCs/>
        </w:rPr>
        <w:t xml:space="preserve">However, the bank </w:t>
      </w:r>
      <w:r w:rsidR="00C25164">
        <w:rPr>
          <w:bCs/>
        </w:rPr>
        <w:t>originated 15 loans in</w:t>
      </w:r>
      <w:r w:rsidR="00480E7A">
        <w:rPr>
          <w:bCs/>
        </w:rPr>
        <w:t xml:space="preserve"> low-income census </w:t>
      </w:r>
      <w:r w:rsidR="001F5C23">
        <w:rPr>
          <w:bCs/>
        </w:rPr>
        <w:t xml:space="preserve">tracts </w:t>
      </w:r>
      <w:r w:rsidR="00480E7A">
        <w:rPr>
          <w:bCs/>
        </w:rPr>
        <w:t>during</w:t>
      </w:r>
      <w:r w:rsidR="00C25164">
        <w:rPr>
          <w:bCs/>
        </w:rPr>
        <w:t xml:space="preserve"> the first six months of 2020.</w:t>
      </w:r>
      <w:r w:rsidR="00C672AE">
        <w:rPr>
          <w:bCs/>
        </w:rPr>
        <w:t xml:space="preserve">  </w:t>
      </w:r>
      <w:r w:rsidRPr="006876C5">
        <w:rPr>
          <w:bCs/>
        </w:rPr>
        <w:t>The bank’s level of lend</w:t>
      </w:r>
      <w:r>
        <w:rPr>
          <w:bCs/>
        </w:rPr>
        <w:t>ing in moderate-income census tracts was above the percent of businesses in those tracts</w:t>
      </w:r>
      <w:r w:rsidR="00C25164">
        <w:rPr>
          <w:bCs/>
        </w:rPr>
        <w:t xml:space="preserve"> during 2018, 2019</w:t>
      </w:r>
      <w:r w:rsidR="00827EBE">
        <w:rPr>
          <w:bCs/>
        </w:rPr>
        <w:t>,</w:t>
      </w:r>
      <w:r w:rsidR="00C25164">
        <w:rPr>
          <w:bCs/>
        </w:rPr>
        <w:t xml:space="preserve"> and the first six months of 2020.</w:t>
      </w:r>
      <w:r>
        <w:rPr>
          <w:bCs/>
        </w:rPr>
        <w:t xml:space="preserve">  These comparisons are reasonable given the bank’s capacity and overall strategic focus.</w:t>
      </w:r>
      <w:r w:rsidR="004A1798">
        <w:rPr>
          <w:bCs/>
        </w:rPr>
        <w:t xml:space="preserve">  Loan volume increased significantly in 2020 compared to prior years due to the bank’s involvement with PPP loans.  </w:t>
      </w:r>
    </w:p>
    <w:p w14:paraId="7B336D1A" w14:textId="77777777" w:rsidR="008476EA" w:rsidRDefault="008476EA" w:rsidP="008476EA">
      <w:pPr>
        <w:rPr>
          <w:bCs/>
        </w:rPr>
      </w:pPr>
    </w:p>
    <w:tbl>
      <w:tblPr>
        <w:tblW w:w="0" w:type="auto"/>
        <w:jc w:val="center"/>
        <w:tblCellMar>
          <w:left w:w="0" w:type="dxa"/>
          <w:right w:w="0" w:type="dxa"/>
        </w:tblCellMar>
        <w:tblLook w:val="0000" w:firstRow="0" w:lastRow="0" w:firstColumn="0" w:lastColumn="0" w:noHBand="0" w:noVBand="0"/>
      </w:tblPr>
      <w:tblGrid>
        <w:gridCol w:w="2592"/>
        <w:gridCol w:w="1440"/>
        <w:gridCol w:w="1008"/>
        <w:gridCol w:w="1008"/>
        <w:gridCol w:w="1008"/>
        <w:gridCol w:w="1008"/>
      </w:tblGrid>
      <w:tr w:rsidR="008476EA" w14:paraId="0D50CF25" w14:textId="77777777" w:rsidTr="00512E81">
        <w:trPr>
          <w:trHeight w:val="282"/>
          <w:jc w:val="center"/>
        </w:trPr>
        <w:tc>
          <w:tcPr>
            <w:tcW w:w="8064" w:type="dxa"/>
            <w:gridSpan w:val="6"/>
            <w:tcBorders>
              <w:top w:val="single" w:sz="7" w:space="0" w:color="000000"/>
              <w:left w:val="single" w:sz="7" w:space="0" w:color="000000"/>
              <w:right w:val="single" w:sz="7" w:space="0" w:color="000000"/>
            </w:tcBorders>
            <w:tcMar>
              <w:top w:w="39" w:type="dxa"/>
              <w:left w:w="39" w:type="dxa"/>
              <w:bottom w:w="39" w:type="dxa"/>
              <w:right w:w="39" w:type="dxa"/>
            </w:tcMar>
          </w:tcPr>
          <w:p w14:paraId="6E1095D4" w14:textId="1C23FFCE" w:rsidR="008476EA" w:rsidRDefault="008476EA" w:rsidP="008476EA">
            <w:pPr>
              <w:jc w:val="center"/>
            </w:pPr>
            <w:r>
              <w:rPr>
                <w:b/>
                <w:color w:val="000000"/>
                <w:sz w:val="20"/>
              </w:rPr>
              <w:t>Geographic Distribution of Small Business Loans</w:t>
            </w:r>
          </w:p>
        </w:tc>
      </w:tr>
      <w:tr w:rsidR="008476EA" w14:paraId="27CC61B4" w14:textId="77777777" w:rsidTr="00512E81">
        <w:trPr>
          <w:trHeight w:val="498"/>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33B6649" w14:textId="77777777" w:rsidR="008476EA" w:rsidRDefault="008476EA" w:rsidP="008476EA">
            <w:r>
              <w:rPr>
                <w:b/>
                <w:color w:val="000000"/>
                <w:sz w:val="20"/>
              </w:rPr>
              <w:t>Tract Income Level</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8CFBCB6" w14:textId="77777777" w:rsidR="008476EA" w:rsidRDefault="008476EA" w:rsidP="008476EA">
            <w:pPr>
              <w:jc w:val="center"/>
            </w:pPr>
            <w:r>
              <w:rPr>
                <w:b/>
                <w:color w:val="000000"/>
                <w:sz w:val="20"/>
              </w:rPr>
              <w:t>% of  Businesses</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48762D1" w14:textId="77777777" w:rsidR="008476EA" w:rsidRDefault="008476EA" w:rsidP="008476EA">
            <w:pPr>
              <w:jc w:val="center"/>
            </w:pPr>
            <w:r>
              <w:rPr>
                <w:b/>
                <w:color w:val="000000"/>
                <w:sz w:val="20"/>
              </w:rPr>
              <w:t>#</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8E6B775" w14:textId="77777777" w:rsidR="008476EA" w:rsidRDefault="008476EA" w:rsidP="008476EA">
            <w:pPr>
              <w:jc w:val="center"/>
            </w:pPr>
            <w:r>
              <w:rPr>
                <w:b/>
                <w:color w:val="000000"/>
                <w:sz w:val="20"/>
              </w:rPr>
              <w:t>%</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618BA94" w14:textId="77777777" w:rsidR="008476EA" w:rsidRDefault="008476EA" w:rsidP="008476EA">
            <w:pPr>
              <w:jc w:val="center"/>
            </w:pPr>
            <w:r>
              <w:rPr>
                <w:b/>
                <w:color w:val="000000"/>
                <w:sz w:val="20"/>
              </w:rPr>
              <w:t>$(000s)</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DBA86A5" w14:textId="77777777" w:rsidR="008476EA" w:rsidRDefault="008476EA" w:rsidP="008476EA">
            <w:pPr>
              <w:jc w:val="center"/>
            </w:pPr>
            <w:r>
              <w:rPr>
                <w:b/>
                <w:color w:val="000000"/>
                <w:sz w:val="20"/>
              </w:rPr>
              <w:t>%</w:t>
            </w:r>
          </w:p>
        </w:tc>
      </w:tr>
      <w:tr w:rsidR="008476EA" w14:paraId="33AAA4C7" w14:textId="77777777" w:rsidTr="00512E81">
        <w:trPr>
          <w:trHeight w:val="181"/>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6CCF04F" w14:textId="77777777" w:rsidR="008476EA" w:rsidRDefault="008476EA" w:rsidP="008476EA">
            <w:r>
              <w:rPr>
                <w:color w:val="000000"/>
                <w:sz w:val="20"/>
              </w:rPr>
              <w:t>Low</w:t>
            </w:r>
          </w:p>
        </w:tc>
        <w:tc>
          <w:tcPr>
            <w:tcW w:w="547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2BF032" w14:textId="77777777" w:rsidR="008476EA" w:rsidRDefault="008476EA" w:rsidP="008476EA"/>
        </w:tc>
      </w:tr>
      <w:tr w:rsidR="00DD3620" w14:paraId="77EEC6B3"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4802E60" w14:textId="77777777" w:rsidR="00DD3620" w:rsidRDefault="00DD3620" w:rsidP="00DD3620">
            <w:pPr>
              <w:jc w:val="right"/>
            </w:pPr>
            <w:r>
              <w:rPr>
                <w:color w:val="000000"/>
                <w:sz w:val="20"/>
              </w:rPr>
              <w:t>2018</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FE8AD" w14:textId="738E5148" w:rsidR="00DD3620" w:rsidRPr="00512E81" w:rsidRDefault="00DD3620" w:rsidP="00DD3620">
            <w:pPr>
              <w:jc w:val="center"/>
              <w:rPr>
                <w:sz w:val="20"/>
                <w:szCs w:val="20"/>
              </w:rPr>
            </w:pPr>
            <w:r w:rsidRPr="00512E81">
              <w:rPr>
                <w:rFonts w:eastAsia="Arial"/>
                <w:sz w:val="20"/>
                <w:szCs w:val="20"/>
              </w:rPr>
              <w:t>11.8</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0DF97C" w14:textId="6EF9FFC3" w:rsidR="00DD3620" w:rsidRPr="00512E81" w:rsidRDefault="00DD3620" w:rsidP="00DD3620">
            <w:pPr>
              <w:jc w:val="center"/>
              <w:rPr>
                <w:sz w:val="20"/>
                <w:szCs w:val="20"/>
              </w:rPr>
            </w:pPr>
            <w:r w:rsidRPr="00512E81">
              <w:rPr>
                <w:rFonts w:eastAsia="Arial"/>
                <w:sz w:val="20"/>
                <w:szCs w:val="20"/>
              </w:rPr>
              <w:t>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28CC35" w14:textId="317E8E4B" w:rsidR="00DD3620" w:rsidRPr="00512E81" w:rsidRDefault="00DD3620" w:rsidP="00DD3620">
            <w:pPr>
              <w:jc w:val="center"/>
              <w:rPr>
                <w:sz w:val="20"/>
                <w:szCs w:val="20"/>
              </w:rPr>
            </w:pPr>
            <w:r w:rsidRPr="00512E81">
              <w:rPr>
                <w:rFonts w:eastAsia="Arial"/>
                <w:sz w:val="20"/>
                <w:szCs w:val="20"/>
              </w:rPr>
              <w:t>11.1</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2EF601" w14:textId="43BB932C" w:rsidR="00DD3620" w:rsidRPr="00512E81" w:rsidRDefault="00DD3620" w:rsidP="00DD3620">
            <w:pPr>
              <w:jc w:val="center"/>
              <w:rPr>
                <w:sz w:val="20"/>
                <w:szCs w:val="20"/>
              </w:rPr>
            </w:pPr>
            <w:r w:rsidRPr="00512E81">
              <w:rPr>
                <w:rFonts w:eastAsia="Arial"/>
                <w:sz w:val="20"/>
                <w:szCs w:val="20"/>
              </w:rPr>
              <w:t>1,212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05BCE" w14:textId="2B514282" w:rsidR="00DD3620" w:rsidRPr="00512E81" w:rsidRDefault="00DD3620" w:rsidP="00DD3620">
            <w:pPr>
              <w:jc w:val="center"/>
              <w:rPr>
                <w:sz w:val="20"/>
                <w:szCs w:val="20"/>
              </w:rPr>
            </w:pPr>
            <w:r w:rsidRPr="00512E81">
              <w:rPr>
                <w:rFonts w:eastAsia="Arial"/>
                <w:sz w:val="20"/>
                <w:szCs w:val="20"/>
              </w:rPr>
              <w:t>28.8</w:t>
            </w:r>
          </w:p>
        </w:tc>
      </w:tr>
      <w:tr w:rsidR="00DD3620" w14:paraId="643F6C80"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E49AB34" w14:textId="77777777" w:rsidR="00DD3620" w:rsidRDefault="00DD3620" w:rsidP="00DD3620">
            <w:pPr>
              <w:jc w:val="right"/>
            </w:pPr>
            <w:r>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39AC35" w14:textId="057818E4" w:rsidR="00DD3620" w:rsidRPr="00512E81" w:rsidRDefault="003C7931" w:rsidP="00DD3620">
            <w:pPr>
              <w:jc w:val="center"/>
              <w:rPr>
                <w:sz w:val="20"/>
                <w:szCs w:val="20"/>
              </w:rPr>
            </w:pPr>
            <w:r w:rsidRPr="00512E81">
              <w:rPr>
                <w:rFonts w:eastAsia="Arial"/>
                <w:sz w:val="20"/>
                <w:szCs w:val="20"/>
              </w:rPr>
              <w:t>11.3</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901737" w14:textId="67712E9F" w:rsidR="00DD3620" w:rsidRPr="00512E81" w:rsidRDefault="00DD3620" w:rsidP="00DD3620">
            <w:pPr>
              <w:jc w:val="center"/>
              <w:rPr>
                <w:sz w:val="20"/>
                <w:szCs w:val="20"/>
              </w:rPr>
            </w:pPr>
            <w:r w:rsidRPr="00512E81">
              <w:rPr>
                <w:rFonts w:eastAsia="Arial"/>
                <w:sz w:val="20"/>
                <w:szCs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D76808" w14:textId="02C11392" w:rsidR="00DD3620" w:rsidRPr="00512E81" w:rsidRDefault="00DD3620" w:rsidP="00DD3620">
            <w:pPr>
              <w:jc w:val="center"/>
              <w:rPr>
                <w:sz w:val="20"/>
                <w:szCs w:val="20"/>
              </w:rPr>
            </w:pPr>
            <w:r w:rsidRPr="00512E81">
              <w:rPr>
                <w:rFonts w:eastAsia="Arial"/>
                <w:sz w:val="20"/>
                <w:szCs w:val="20"/>
              </w:rPr>
              <w:t>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BEC696" w14:textId="77396BCD" w:rsidR="00DD3620" w:rsidRPr="00512E81" w:rsidRDefault="00DD3620" w:rsidP="00DD3620">
            <w:pPr>
              <w:jc w:val="center"/>
              <w:rPr>
                <w:sz w:val="20"/>
                <w:szCs w:val="20"/>
              </w:rPr>
            </w:pPr>
            <w:r w:rsidRPr="00512E81">
              <w:rPr>
                <w:rFonts w:eastAsia="Arial"/>
                <w:sz w:val="20"/>
                <w:szCs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52D80" w14:textId="4B500653" w:rsidR="00DD3620" w:rsidRPr="00512E81" w:rsidRDefault="00DD3620" w:rsidP="00DD3620">
            <w:pPr>
              <w:jc w:val="center"/>
              <w:rPr>
                <w:sz w:val="20"/>
                <w:szCs w:val="20"/>
              </w:rPr>
            </w:pPr>
            <w:r w:rsidRPr="00512E81">
              <w:rPr>
                <w:rFonts w:eastAsia="Arial"/>
                <w:sz w:val="20"/>
                <w:szCs w:val="20"/>
              </w:rPr>
              <w:t>0.0</w:t>
            </w:r>
          </w:p>
        </w:tc>
      </w:tr>
      <w:tr w:rsidR="00DD3620" w14:paraId="5222F86D"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091146E" w14:textId="2002010B" w:rsidR="00DD3620" w:rsidRDefault="00DD3620" w:rsidP="00DD3620">
            <w:pPr>
              <w:jc w:val="right"/>
              <w:rPr>
                <w:color w:val="000000"/>
                <w:sz w:val="20"/>
              </w:rPr>
            </w:pPr>
            <w:r>
              <w:rPr>
                <w:color w:val="000000"/>
                <w:sz w:val="20"/>
              </w:rPr>
              <w:t>YTD 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C99216" w14:textId="673495FF" w:rsidR="00DD3620" w:rsidRPr="00512E81" w:rsidRDefault="00DD3620" w:rsidP="00DD3620">
            <w:pPr>
              <w:jc w:val="center"/>
              <w:rPr>
                <w:sz w:val="20"/>
                <w:szCs w:val="20"/>
              </w:rPr>
            </w:pPr>
            <w:r w:rsidRPr="00512E81">
              <w:rPr>
                <w:rFonts w:eastAsia="Arial"/>
                <w:sz w:val="20"/>
                <w:szCs w:val="20"/>
              </w:rPr>
              <w:t>11.4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F60C78" w14:textId="580F699B" w:rsidR="00DD3620" w:rsidRPr="00512E81" w:rsidRDefault="00DD3620" w:rsidP="00DD3620">
            <w:pPr>
              <w:jc w:val="center"/>
              <w:rPr>
                <w:sz w:val="20"/>
                <w:szCs w:val="20"/>
              </w:rPr>
            </w:pPr>
            <w:r w:rsidRPr="00512E81">
              <w:rPr>
                <w:rFonts w:eastAsia="Arial"/>
                <w:sz w:val="20"/>
                <w:szCs w:val="20"/>
              </w:rPr>
              <w:t>15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490D19" w14:textId="2D42DE4C" w:rsidR="00DD3620" w:rsidRPr="00512E81" w:rsidRDefault="00DD3620" w:rsidP="00DD3620">
            <w:pPr>
              <w:jc w:val="center"/>
              <w:rPr>
                <w:sz w:val="20"/>
                <w:szCs w:val="20"/>
              </w:rPr>
            </w:pPr>
            <w:r w:rsidRPr="00512E81">
              <w:rPr>
                <w:rFonts w:eastAsia="Arial"/>
                <w:sz w:val="20"/>
                <w:szCs w:val="20"/>
              </w:rPr>
              <w:t>9.7</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81FB8" w14:textId="145AF039" w:rsidR="00DD3620" w:rsidRPr="00512E81" w:rsidRDefault="00DD3620" w:rsidP="00DD3620">
            <w:pPr>
              <w:jc w:val="center"/>
              <w:rPr>
                <w:sz w:val="20"/>
                <w:szCs w:val="20"/>
              </w:rPr>
            </w:pPr>
            <w:r w:rsidRPr="00512E81">
              <w:rPr>
                <w:rFonts w:eastAsia="Arial"/>
                <w:sz w:val="20"/>
                <w:szCs w:val="20"/>
              </w:rPr>
              <w:t>1,164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5B30E" w14:textId="463CE244" w:rsidR="00DD3620" w:rsidRPr="00512E81" w:rsidRDefault="00DD3620" w:rsidP="00DD3620">
            <w:pPr>
              <w:jc w:val="center"/>
              <w:rPr>
                <w:sz w:val="20"/>
                <w:szCs w:val="20"/>
              </w:rPr>
            </w:pPr>
            <w:r w:rsidRPr="00512E81">
              <w:rPr>
                <w:rFonts w:eastAsia="Arial"/>
                <w:sz w:val="20"/>
                <w:szCs w:val="20"/>
              </w:rPr>
              <w:t>5.8</w:t>
            </w:r>
          </w:p>
        </w:tc>
      </w:tr>
      <w:tr w:rsidR="008476EA" w14:paraId="0995C8AA" w14:textId="77777777" w:rsidTr="00512E81">
        <w:trPr>
          <w:trHeight w:val="181"/>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326501" w14:textId="77777777" w:rsidR="008476EA" w:rsidRDefault="008476EA" w:rsidP="008476EA">
            <w:r>
              <w:rPr>
                <w:color w:val="000000"/>
                <w:sz w:val="20"/>
              </w:rPr>
              <w:t>Moderate</w:t>
            </w:r>
          </w:p>
        </w:tc>
        <w:tc>
          <w:tcPr>
            <w:tcW w:w="547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59D6E4" w14:textId="77777777" w:rsidR="008476EA" w:rsidRPr="00512E81" w:rsidRDefault="008476EA" w:rsidP="008476EA">
            <w:pPr>
              <w:rPr>
                <w:sz w:val="20"/>
                <w:szCs w:val="20"/>
              </w:rPr>
            </w:pPr>
          </w:p>
        </w:tc>
      </w:tr>
      <w:tr w:rsidR="00DD3620" w14:paraId="07B7B407"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23FE172" w14:textId="77777777" w:rsidR="00DD3620" w:rsidRDefault="00DD3620" w:rsidP="00DD3620">
            <w:pPr>
              <w:jc w:val="right"/>
            </w:pPr>
            <w:r>
              <w:rPr>
                <w:color w:val="000000"/>
                <w:sz w:val="20"/>
              </w:rPr>
              <w:t>2018</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B8BB63" w14:textId="7FE17E3E" w:rsidR="00DD3620" w:rsidRPr="00512E81" w:rsidRDefault="00DD3620" w:rsidP="00DD3620">
            <w:pPr>
              <w:jc w:val="center"/>
              <w:rPr>
                <w:sz w:val="20"/>
                <w:szCs w:val="20"/>
              </w:rPr>
            </w:pPr>
            <w:r w:rsidRPr="00512E81">
              <w:rPr>
                <w:rFonts w:eastAsia="Arial"/>
                <w:sz w:val="20"/>
                <w:szCs w:val="20"/>
              </w:rPr>
              <w:t>2.7</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F9B12A" w14:textId="7B8979C6" w:rsidR="00DD3620" w:rsidRPr="00512E81" w:rsidRDefault="00DD3620" w:rsidP="00DD3620">
            <w:pPr>
              <w:jc w:val="center"/>
              <w:rPr>
                <w:sz w:val="20"/>
                <w:szCs w:val="20"/>
              </w:rPr>
            </w:pPr>
            <w:r w:rsidRPr="00512E81">
              <w:rPr>
                <w:rFonts w:eastAsia="Arial"/>
                <w:sz w:val="20"/>
                <w:szCs w:val="20"/>
              </w:rPr>
              <w:t>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E56D2" w14:textId="1170FD58" w:rsidR="00DD3620" w:rsidRPr="00512E81" w:rsidRDefault="00DD3620" w:rsidP="00DD3620">
            <w:pPr>
              <w:jc w:val="center"/>
              <w:rPr>
                <w:sz w:val="20"/>
                <w:szCs w:val="20"/>
              </w:rPr>
            </w:pPr>
            <w:r w:rsidRPr="00512E81">
              <w:rPr>
                <w:rFonts w:eastAsia="Arial"/>
                <w:sz w:val="20"/>
                <w:szCs w:val="20"/>
              </w:rPr>
              <w:t>5.6</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25A9D5" w14:textId="2E6E7848" w:rsidR="00DD3620" w:rsidRPr="00512E81" w:rsidRDefault="00DD3620" w:rsidP="00DD3620">
            <w:pPr>
              <w:jc w:val="center"/>
              <w:rPr>
                <w:sz w:val="20"/>
                <w:szCs w:val="20"/>
              </w:rPr>
            </w:pPr>
            <w:r w:rsidRPr="00512E81">
              <w:rPr>
                <w:rFonts w:eastAsia="Arial"/>
                <w:sz w:val="20"/>
                <w:szCs w:val="20"/>
              </w:rPr>
              <w:t>255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10774" w14:textId="7D0AFCF0" w:rsidR="00DD3620" w:rsidRPr="00512E81" w:rsidRDefault="00DD3620" w:rsidP="00DD3620">
            <w:pPr>
              <w:jc w:val="center"/>
              <w:rPr>
                <w:sz w:val="20"/>
                <w:szCs w:val="20"/>
              </w:rPr>
            </w:pPr>
            <w:r w:rsidRPr="00512E81">
              <w:rPr>
                <w:rFonts w:eastAsia="Arial"/>
                <w:sz w:val="20"/>
                <w:szCs w:val="20"/>
              </w:rPr>
              <w:t>6.1</w:t>
            </w:r>
          </w:p>
        </w:tc>
      </w:tr>
      <w:tr w:rsidR="00DD3620" w14:paraId="37B95FA7"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D821D94" w14:textId="77777777" w:rsidR="00DD3620" w:rsidRDefault="00DD3620" w:rsidP="00DD3620">
            <w:pPr>
              <w:jc w:val="right"/>
            </w:pPr>
            <w:r>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5709C" w14:textId="05505E2F" w:rsidR="00DD3620" w:rsidRPr="00512E81" w:rsidRDefault="003C7931" w:rsidP="00DD3620">
            <w:pPr>
              <w:jc w:val="center"/>
              <w:rPr>
                <w:sz w:val="20"/>
                <w:szCs w:val="20"/>
              </w:rPr>
            </w:pPr>
            <w:r w:rsidRPr="00512E81">
              <w:rPr>
                <w:rFonts w:eastAsia="Arial"/>
                <w:sz w:val="20"/>
                <w:szCs w:val="20"/>
              </w:rPr>
              <w:t>2.8</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ADF335" w14:textId="29968CE8" w:rsidR="00DD3620" w:rsidRPr="00512E81" w:rsidRDefault="00DD3620" w:rsidP="00DD3620">
            <w:pPr>
              <w:jc w:val="center"/>
              <w:rPr>
                <w:sz w:val="20"/>
                <w:szCs w:val="20"/>
              </w:rPr>
            </w:pPr>
            <w:r w:rsidRPr="00512E81">
              <w:rPr>
                <w:rFonts w:eastAsia="Arial"/>
                <w:sz w:val="20"/>
                <w:szCs w:val="20"/>
              </w:rPr>
              <w:t>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57E656" w14:textId="4C92D23F" w:rsidR="00DD3620" w:rsidRPr="00512E81" w:rsidRDefault="00DD3620" w:rsidP="00DD3620">
            <w:pPr>
              <w:jc w:val="center"/>
              <w:rPr>
                <w:sz w:val="20"/>
                <w:szCs w:val="20"/>
              </w:rPr>
            </w:pPr>
            <w:r w:rsidRPr="00512E81">
              <w:rPr>
                <w:rFonts w:eastAsia="Arial"/>
                <w:sz w:val="20"/>
                <w:szCs w:val="20"/>
              </w:rPr>
              <w:t>8.0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C3FEA" w14:textId="71F6479B" w:rsidR="00DD3620" w:rsidRPr="00512E81" w:rsidRDefault="00DD3620" w:rsidP="00DD3620">
            <w:pPr>
              <w:jc w:val="center"/>
              <w:rPr>
                <w:sz w:val="20"/>
                <w:szCs w:val="20"/>
              </w:rPr>
            </w:pPr>
            <w:r w:rsidRPr="00512E81">
              <w:rPr>
                <w:rFonts w:eastAsia="Arial"/>
                <w:sz w:val="20"/>
                <w:szCs w:val="20"/>
              </w:rPr>
              <w:t>164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9CE991" w14:textId="1952F685" w:rsidR="00DD3620" w:rsidRPr="00512E81" w:rsidRDefault="00DD3620" w:rsidP="00DD3620">
            <w:pPr>
              <w:jc w:val="center"/>
              <w:rPr>
                <w:sz w:val="20"/>
                <w:szCs w:val="20"/>
              </w:rPr>
            </w:pPr>
            <w:r w:rsidRPr="00512E81">
              <w:rPr>
                <w:rFonts w:eastAsia="Arial"/>
                <w:sz w:val="20"/>
                <w:szCs w:val="20"/>
              </w:rPr>
              <w:t>3.2</w:t>
            </w:r>
          </w:p>
        </w:tc>
      </w:tr>
      <w:tr w:rsidR="00DD3620" w14:paraId="02F50C5E"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E5AC313" w14:textId="678C9223" w:rsidR="00DD3620" w:rsidRDefault="00DD3620" w:rsidP="00DD3620">
            <w:pPr>
              <w:jc w:val="right"/>
              <w:rPr>
                <w:color w:val="000000"/>
                <w:sz w:val="20"/>
              </w:rPr>
            </w:pPr>
            <w:r>
              <w:rPr>
                <w:color w:val="000000"/>
                <w:sz w:val="20"/>
              </w:rPr>
              <w:t>YTD 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AAB02" w14:textId="72349D4D" w:rsidR="00DD3620" w:rsidRPr="00512E81" w:rsidRDefault="00DD3620" w:rsidP="00DD3620">
            <w:pPr>
              <w:jc w:val="center"/>
              <w:rPr>
                <w:sz w:val="20"/>
                <w:szCs w:val="20"/>
              </w:rPr>
            </w:pPr>
            <w:r w:rsidRPr="00512E81">
              <w:rPr>
                <w:rFonts w:eastAsia="Arial"/>
                <w:sz w:val="20"/>
                <w:szCs w:val="20"/>
              </w:rPr>
              <w:t>2.9</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7F5646" w14:textId="1EC7FA06" w:rsidR="00DD3620" w:rsidRPr="00512E81" w:rsidRDefault="00DD3620" w:rsidP="00DD3620">
            <w:pPr>
              <w:jc w:val="center"/>
              <w:rPr>
                <w:sz w:val="20"/>
                <w:szCs w:val="20"/>
              </w:rPr>
            </w:pPr>
            <w:r w:rsidRPr="00512E81">
              <w:rPr>
                <w:rFonts w:eastAsia="Arial"/>
                <w:sz w:val="20"/>
                <w:szCs w:val="20"/>
              </w:rPr>
              <w:t>13</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DA081" w14:textId="4CFC68AE" w:rsidR="00DD3620" w:rsidRPr="00512E81" w:rsidRDefault="00DD3620" w:rsidP="00DD3620">
            <w:pPr>
              <w:jc w:val="center"/>
              <w:rPr>
                <w:sz w:val="20"/>
                <w:szCs w:val="20"/>
              </w:rPr>
            </w:pPr>
            <w:r w:rsidRPr="00512E81">
              <w:rPr>
                <w:rFonts w:eastAsia="Arial"/>
                <w:sz w:val="20"/>
                <w:szCs w:val="20"/>
              </w:rPr>
              <w:t>8.4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37658" w14:textId="22060905" w:rsidR="00DD3620" w:rsidRPr="00512E81" w:rsidRDefault="00DD3620" w:rsidP="00DD3620">
            <w:pPr>
              <w:jc w:val="center"/>
              <w:rPr>
                <w:sz w:val="20"/>
                <w:szCs w:val="20"/>
              </w:rPr>
            </w:pPr>
            <w:r w:rsidRPr="00512E81">
              <w:rPr>
                <w:rFonts w:eastAsia="Arial"/>
                <w:sz w:val="20"/>
                <w:szCs w:val="20"/>
              </w:rPr>
              <w:t>2,341</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FBCA7" w14:textId="5069272D" w:rsidR="00DD3620" w:rsidRPr="00512E81" w:rsidRDefault="00DD3620" w:rsidP="00DD3620">
            <w:pPr>
              <w:jc w:val="center"/>
              <w:rPr>
                <w:sz w:val="20"/>
                <w:szCs w:val="20"/>
              </w:rPr>
            </w:pPr>
            <w:r w:rsidRPr="00512E81">
              <w:rPr>
                <w:rFonts w:eastAsia="Arial"/>
                <w:sz w:val="20"/>
                <w:szCs w:val="20"/>
              </w:rPr>
              <w:t>11.6</w:t>
            </w:r>
          </w:p>
        </w:tc>
      </w:tr>
      <w:tr w:rsidR="008476EA" w14:paraId="4841F263" w14:textId="77777777" w:rsidTr="00512E81">
        <w:trPr>
          <w:trHeight w:val="181"/>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D976CCC" w14:textId="77777777" w:rsidR="008476EA" w:rsidRDefault="008476EA" w:rsidP="008476EA">
            <w:r>
              <w:rPr>
                <w:color w:val="000000"/>
                <w:sz w:val="20"/>
              </w:rPr>
              <w:t>Middle</w:t>
            </w:r>
          </w:p>
        </w:tc>
        <w:tc>
          <w:tcPr>
            <w:tcW w:w="547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35B3DD" w14:textId="77777777" w:rsidR="008476EA" w:rsidRPr="00512E81" w:rsidRDefault="008476EA" w:rsidP="008476EA">
            <w:pPr>
              <w:rPr>
                <w:sz w:val="20"/>
                <w:szCs w:val="20"/>
              </w:rPr>
            </w:pPr>
          </w:p>
        </w:tc>
      </w:tr>
      <w:tr w:rsidR="00DD3620" w14:paraId="7CAC261A"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4FC9649" w14:textId="77777777" w:rsidR="00DD3620" w:rsidRDefault="00DD3620" w:rsidP="00DD3620">
            <w:pPr>
              <w:jc w:val="right"/>
            </w:pPr>
            <w:r>
              <w:rPr>
                <w:color w:val="000000"/>
                <w:sz w:val="20"/>
              </w:rPr>
              <w:t>2018</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E2B97" w14:textId="52C407C1" w:rsidR="00DD3620" w:rsidRPr="00512E81" w:rsidRDefault="00DD3620" w:rsidP="00DD3620">
            <w:pPr>
              <w:jc w:val="center"/>
              <w:rPr>
                <w:sz w:val="20"/>
                <w:szCs w:val="20"/>
              </w:rPr>
            </w:pPr>
            <w:r w:rsidRPr="00512E81">
              <w:rPr>
                <w:rFonts w:eastAsia="Arial"/>
                <w:sz w:val="20"/>
                <w:szCs w:val="20"/>
              </w:rPr>
              <w:t>33.9</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AF4C1" w14:textId="7602F545" w:rsidR="00DD3620" w:rsidRPr="00512E81" w:rsidRDefault="00DD3620" w:rsidP="00DD3620">
            <w:pPr>
              <w:jc w:val="center"/>
              <w:rPr>
                <w:sz w:val="20"/>
                <w:szCs w:val="20"/>
              </w:rPr>
            </w:pPr>
            <w:r w:rsidRPr="00512E81">
              <w:rPr>
                <w:rFonts w:eastAsia="Arial"/>
                <w:sz w:val="20"/>
                <w:szCs w:val="20"/>
              </w:rPr>
              <w:t>16</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0C7318" w14:textId="08A143FE" w:rsidR="00DD3620" w:rsidRPr="00512E81" w:rsidRDefault="00DD3620" w:rsidP="00DD3620">
            <w:pPr>
              <w:jc w:val="center"/>
              <w:rPr>
                <w:sz w:val="20"/>
                <w:szCs w:val="20"/>
              </w:rPr>
            </w:pPr>
            <w:r w:rsidRPr="00512E81">
              <w:rPr>
                <w:rFonts w:eastAsia="Arial"/>
                <w:sz w:val="20"/>
                <w:szCs w:val="20"/>
              </w:rPr>
              <w:t>44.4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A83789" w14:textId="59DD0FAF" w:rsidR="00DD3620" w:rsidRPr="00512E81" w:rsidRDefault="00DD3620" w:rsidP="00DD3620">
            <w:pPr>
              <w:jc w:val="center"/>
              <w:rPr>
                <w:sz w:val="20"/>
                <w:szCs w:val="20"/>
              </w:rPr>
            </w:pPr>
            <w:r w:rsidRPr="00512E81">
              <w:rPr>
                <w:rFonts w:eastAsia="Arial"/>
                <w:sz w:val="20"/>
                <w:szCs w:val="20"/>
              </w:rPr>
              <w:t>1,266</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7581D" w14:textId="3C4819B4" w:rsidR="00DD3620" w:rsidRPr="00512E81" w:rsidRDefault="00DD3620" w:rsidP="00DD3620">
            <w:pPr>
              <w:jc w:val="center"/>
              <w:rPr>
                <w:sz w:val="20"/>
                <w:szCs w:val="20"/>
              </w:rPr>
            </w:pPr>
            <w:r w:rsidRPr="00512E81">
              <w:rPr>
                <w:rFonts w:eastAsia="Arial"/>
                <w:sz w:val="20"/>
                <w:szCs w:val="20"/>
              </w:rPr>
              <w:t>30.1</w:t>
            </w:r>
          </w:p>
        </w:tc>
      </w:tr>
      <w:tr w:rsidR="00DD3620" w14:paraId="5DACE0F0"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33E9DEA" w14:textId="77777777" w:rsidR="00DD3620" w:rsidRDefault="00DD3620" w:rsidP="00DD3620">
            <w:pPr>
              <w:jc w:val="right"/>
            </w:pPr>
            <w:r>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D1E8E" w14:textId="71FB264D" w:rsidR="00DD3620" w:rsidRPr="00512E81" w:rsidRDefault="003C7931" w:rsidP="00DD3620">
            <w:pPr>
              <w:jc w:val="center"/>
              <w:rPr>
                <w:sz w:val="20"/>
                <w:szCs w:val="20"/>
              </w:rPr>
            </w:pPr>
            <w:r w:rsidRPr="00512E81">
              <w:rPr>
                <w:rFonts w:eastAsia="Arial"/>
                <w:sz w:val="20"/>
                <w:szCs w:val="20"/>
              </w:rPr>
              <w:t>33.4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A13DC" w14:textId="350ECFE1" w:rsidR="00DD3620" w:rsidRPr="00512E81" w:rsidRDefault="00DD3620" w:rsidP="00DD3620">
            <w:pPr>
              <w:jc w:val="center"/>
              <w:rPr>
                <w:sz w:val="20"/>
                <w:szCs w:val="20"/>
              </w:rPr>
            </w:pPr>
            <w:r w:rsidRPr="00512E81">
              <w:rPr>
                <w:rFonts w:eastAsia="Arial"/>
                <w:sz w:val="20"/>
                <w:szCs w:val="20"/>
              </w:rPr>
              <w:t>31</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68DCCE" w14:textId="6B9D03BB" w:rsidR="00DD3620" w:rsidRPr="00512E81" w:rsidRDefault="00DD3620" w:rsidP="00DD3620">
            <w:pPr>
              <w:jc w:val="center"/>
              <w:rPr>
                <w:sz w:val="20"/>
                <w:szCs w:val="20"/>
              </w:rPr>
            </w:pPr>
            <w:r w:rsidRPr="00512E81">
              <w:rPr>
                <w:rFonts w:eastAsia="Arial"/>
                <w:sz w:val="20"/>
                <w:szCs w:val="20"/>
              </w:rPr>
              <w:t>62.0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EB844F" w14:textId="339E3905" w:rsidR="00DD3620" w:rsidRPr="00512E81" w:rsidRDefault="00DD3620" w:rsidP="00DD3620">
            <w:pPr>
              <w:jc w:val="center"/>
              <w:rPr>
                <w:sz w:val="20"/>
                <w:szCs w:val="20"/>
              </w:rPr>
            </w:pPr>
            <w:r w:rsidRPr="00512E81">
              <w:rPr>
                <w:rFonts w:eastAsia="Arial"/>
                <w:sz w:val="20"/>
                <w:szCs w:val="20"/>
              </w:rPr>
              <w:t>3,441</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3F8A63" w14:textId="4E8D2933" w:rsidR="00DD3620" w:rsidRPr="00512E81" w:rsidRDefault="00DD3620" w:rsidP="00DD3620">
            <w:pPr>
              <w:jc w:val="center"/>
              <w:rPr>
                <w:sz w:val="20"/>
                <w:szCs w:val="20"/>
              </w:rPr>
            </w:pPr>
            <w:r w:rsidRPr="00512E81">
              <w:rPr>
                <w:rFonts w:eastAsia="Arial"/>
                <w:sz w:val="20"/>
                <w:szCs w:val="20"/>
              </w:rPr>
              <w:t>66.9</w:t>
            </w:r>
          </w:p>
        </w:tc>
      </w:tr>
      <w:tr w:rsidR="00DD3620" w14:paraId="463433FA"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69C1841" w14:textId="1CF25157" w:rsidR="00DD3620" w:rsidRDefault="00DD3620" w:rsidP="00DD3620">
            <w:pPr>
              <w:jc w:val="right"/>
              <w:rPr>
                <w:color w:val="000000"/>
                <w:sz w:val="20"/>
              </w:rPr>
            </w:pPr>
            <w:r>
              <w:rPr>
                <w:color w:val="000000"/>
                <w:sz w:val="20"/>
              </w:rPr>
              <w:t>YTD 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B3EF8" w14:textId="2E1BCBEC" w:rsidR="00DD3620" w:rsidRPr="00512E81" w:rsidRDefault="00DD3620" w:rsidP="00DD3620">
            <w:pPr>
              <w:jc w:val="center"/>
              <w:rPr>
                <w:sz w:val="20"/>
                <w:szCs w:val="20"/>
              </w:rPr>
            </w:pPr>
            <w:r w:rsidRPr="00512E81">
              <w:rPr>
                <w:rFonts w:eastAsia="Arial"/>
                <w:sz w:val="20"/>
                <w:szCs w:val="20"/>
              </w:rPr>
              <w:t>33.3</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B8344" w14:textId="187273A1" w:rsidR="00DD3620" w:rsidRPr="00512E81" w:rsidRDefault="00DD3620" w:rsidP="00DD3620">
            <w:pPr>
              <w:jc w:val="center"/>
              <w:rPr>
                <w:sz w:val="20"/>
                <w:szCs w:val="20"/>
              </w:rPr>
            </w:pPr>
            <w:r w:rsidRPr="00512E81">
              <w:rPr>
                <w:rFonts w:eastAsia="Arial"/>
                <w:sz w:val="20"/>
                <w:szCs w:val="20"/>
              </w:rPr>
              <w:t>58</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379302" w14:textId="6DD2B9F3" w:rsidR="00DD3620" w:rsidRPr="00512E81" w:rsidRDefault="00DD3620" w:rsidP="00DD3620">
            <w:pPr>
              <w:jc w:val="center"/>
              <w:rPr>
                <w:sz w:val="20"/>
                <w:szCs w:val="20"/>
              </w:rPr>
            </w:pPr>
            <w:r w:rsidRPr="00512E81">
              <w:rPr>
                <w:rFonts w:eastAsia="Arial"/>
                <w:sz w:val="20"/>
                <w:szCs w:val="20"/>
              </w:rPr>
              <w:t>37.4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F7C42" w14:textId="24CE8F55" w:rsidR="00DD3620" w:rsidRPr="00512E81" w:rsidRDefault="00DD3620" w:rsidP="00DD3620">
            <w:pPr>
              <w:jc w:val="center"/>
              <w:rPr>
                <w:sz w:val="20"/>
                <w:szCs w:val="20"/>
              </w:rPr>
            </w:pPr>
            <w:r w:rsidRPr="00512E81">
              <w:rPr>
                <w:rFonts w:eastAsia="Arial"/>
                <w:sz w:val="20"/>
                <w:szCs w:val="20"/>
              </w:rPr>
              <w:t>9,232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EC338" w14:textId="5107083D" w:rsidR="00DD3620" w:rsidRPr="00512E81" w:rsidRDefault="00DD3620" w:rsidP="00DD3620">
            <w:pPr>
              <w:jc w:val="center"/>
              <w:rPr>
                <w:sz w:val="20"/>
                <w:szCs w:val="20"/>
              </w:rPr>
            </w:pPr>
            <w:r w:rsidRPr="00512E81">
              <w:rPr>
                <w:rFonts w:eastAsia="Arial"/>
                <w:sz w:val="20"/>
                <w:szCs w:val="20"/>
              </w:rPr>
              <w:t>45.7</w:t>
            </w:r>
          </w:p>
        </w:tc>
      </w:tr>
      <w:tr w:rsidR="008476EA" w14:paraId="5D778D95" w14:textId="77777777" w:rsidTr="00512E81">
        <w:trPr>
          <w:trHeight w:val="181"/>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C3E4362" w14:textId="77777777" w:rsidR="008476EA" w:rsidRDefault="008476EA" w:rsidP="008476EA">
            <w:r>
              <w:rPr>
                <w:color w:val="000000"/>
                <w:sz w:val="20"/>
              </w:rPr>
              <w:t>Upper</w:t>
            </w:r>
          </w:p>
        </w:tc>
        <w:tc>
          <w:tcPr>
            <w:tcW w:w="547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ABEB89" w14:textId="77777777" w:rsidR="008476EA" w:rsidRPr="00512E81" w:rsidRDefault="008476EA" w:rsidP="008476EA">
            <w:pPr>
              <w:rPr>
                <w:sz w:val="20"/>
                <w:szCs w:val="20"/>
              </w:rPr>
            </w:pPr>
          </w:p>
        </w:tc>
      </w:tr>
      <w:tr w:rsidR="00DD3620" w14:paraId="19F295DE"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E7F6A6A" w14:textId="77777777" w:rsidR="00DD3620" w:rsidRDefault="00DD3620" w:rsidP="00DD3620">
            <w:pPr>
              <w:jc w:val="right"/>
            </w:pPr>
            <w:r>
              <w:rPr>
                <w:color w:val="000000"/>
                <w:sz w:val="20"/>
              </w:rPr>
              <w:t>2018</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243D2" w14:textId="7AABCB08" w:rsidR="00DD3620" w:rsidRPr="00512E81" w:rsidRDefault="00DD3620" w:rsidP="00DD3620">
            <w:pPr>
              <w:jc w:val="center"/>
              <w:rPr>
                <w:sz w:val="20"/>
                <w:szCs w:val="20"/>
              </w:rPr>
            </w:pPr>
            <w:r w:rsidRPr="00512E81">
              <w:rPr>
                <w:rFonts w:eastAsia="Arial"/>
                <w:sz w:val="20"/>
                <w:szCs w:val="20"/>
              </w:rPr>
              <w:t>51.5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08491" w14:textId="7E801AC6" w:rsidR="00DD3620" w:rsidRPr="00512E81" w:rsidRDefault="00DD3620" w:rsidP="00DD3620">
            <w:pPr>
              <w:jc w:val="center"/>
              <w:rPr>
                <w:sz w:val="20"/>
                <w:szCs w:val="20"/>
              </w:rPr>
            </w:pPr>
            <w:r w:rsidRPr="00512E81">
              <w:rPr>
                <w:rFonts w:eastAsia="Arial"/>
                <w:sz w:val="20"/>
                <w:szCs w:val="20"/>
              </w:rPr>
              <w:t>14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A67C5" w14:textId="1B79292C" w:rsidR="00DD3620" w:rsidRPr="00512E81" w:rsidRDefault="00DD3620" w:rsidP="00DD3620">
            <w:pPr>
              <w:jc w:val="center"/>
              <w:rPr>
                <w:sz w:val="20"/>
                <w:szCs w:val="20"/>
              </w:rPr>
            </w:pPr>
            <w:r w:rsidRPr="00512E81">
              <w:rPr>
                <w:rFonts w:eastAsia="Arial"/>
                <w:sz w:val="20"/>
                <w:szCs w:val="20"/>
              </w:rPr>
              <w:t>38.9</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BDA25" w14:textId="6C5AFD02" w:rsidR="00DD3620" w:rsidRPr="00512E81" w:rsidRDefault="00DD3620" w:rsidP="00DD3620">
            <w:pPr>
              <w:jc w:val="center"/>
              <w:rPr>
                <w:sz w:val="20"/>
                <w:szCs w:val="20"/>
              </w:rPr>
            </w:pPr>
            <w:r w:rsidRPr="00512E81">
              <w:rPr>
                <w:rFonts w:eastAsia="Arial"/>
                <w:sz w:val="20"/>
                <w:szCs w:val="20"/>
              </w:rPr>
              <w:t>1,475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DC854D" w14:textId="6A30AC85" w:rsidR="00DD3620" w:rsidRPr="00512E81" w:rsidRDefault="00DD3620" w:rsidP="00DD3620">
            <w:pPr>
              <w:jc w:val="center"/>
              <w:rPr>
                <w:sz w:val="20"/>
                <w:szCs w:val="20"/>
              </w:rPr>
            </w:pPr>
            <w:r w:rsidRPr="00512E81">
              <w:rPr>
                <w:rFonts w:eastAsia="Arial"/>
                <w:sz w:val="20"/>
                <w:szCs w:val="20"/>
              </w:rPr>
              <w:t>35.1</w:t>
            </w:r>
          </w:p>
        </w:tc>
      </w:tr>
      <w:tr w:rsidR="00DD3620" w14:paraId="03A7896F"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A6C36A6" w14:textId="77777777" w:rsidR="00DD3620" w:rsidRDefault="00DD3620" w:rsidP="00DD3620">
            <w:pPr>
              <w:jc w:val="right"/>
            </w:pPr>
            <w:r>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793F57" w14:textId="51D100C6" w:rsidR="00DD3620" w:rsidRPr="00512E81" w:rsidRDefault="003C7931" w:rsidP="00DD3620">
            <w:pPr>
              <w:jc w:val="center"/>
              <w:rPr>
                <w:sz w:val="20"/>
                <w:szCs w:val="20"/>
              </w:rPr>
            </w:pPr>
            <w:r w:rsidRPr="00512E81">
              <w:rPr>
                <w:rFonts w:eastAsia="Arial"/>
                <w:sz w:val="20"/>
                <w:szCs w:val="20"/>
              </w:rPr>
              <w:t>52.5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FDFEB" w14:textId="685761D3" w:rsidR="00DD3620" w:rsidRPr="00512E81" w:rsidRDefault="00DD3620" w:rsidP="00DD3620">
            <w:pPr>
              <w:jc w:val="center"/>
              <w:rPr>
                <w:sz w:val="20"/>
                <w:szCs w:val="20"/>
              </w:rPr>
            </w:pPr>
            <w:r w:rsidRPr="00512E81">
              <w:rPr>
                <w:rFonts w:eastAsia="Arial"/>
                <w:sz w:val="20"/>
                <w:szCs w:val="20"/>
              </w:rPr>
              <w:t>15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E2931" w14:textId="666E64FB" w:rsidR="00DD3620" w:rsidRPr="00512E81" w:rsidRDefault="00DD3620" w:rsidP="00DD3620">
            <w:pPr>
              <w:jc w:val="center"/>
              <w:rPr>
                <w:sz w:val="20"/>
                <w:szCs w:val="20"/>
              </w:rPr>
            </w:pPr>
            <w:r w:rsidRPr="00512E81">
              <w:rPr>
                <w:rFonts w:eastAsia="Arial"/>
                <w:sz w:val="20"/>
                <w:szCs w:val="20"/>
              </w:rPr>
              <w:t>30.0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F0915" w14:textId="05CF115A" w:rsidR="00DD3620" w:rsidRPr="00512E81" w:rsidRDefault="00DD3620" w:rsidP="00DD3620">
            <w:pPr>
              <w:jc w:val="center"/>
              <w:rPr>
                <w:sz w:val="20"/>
                <w:szCs w:val="20"/>
              </w:rPr>
            </w:pPr>
            <w:r w:rsidRPr="00512E81">
              <w:rPr>
                <w:rFonts w:eastAsia="Arial"/>
                <w:sz w:val="20"/>
                <w:szCs w:val="20"/>
              </w:rPr>
              <w:t>1,540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C1AA8" w14:textId="73E6BD84" w:rsidR="00DD3620" w:rsidRPr="00512E81" w:rsidRDefault="00DD3620" w:rsidP="00DD3620">
            <w:pPr>
              <w:jc w:val="center"/>
              <w:rPr>
                <w:sz w:val="20"/>
                <w:szCs w:val="20"/>
              </w:rPr>
            </w:pPr>
            <w:r w:rsidRPr="00512E81">
              <w:rPr>
                <w:rFonts w:eastAsia="Arial"/>
                <w:sz w:val="20"/>
                <w:szCs w:val="20"/>
              </w:rPr>
              <w:t>29.9</w:t>
            </w:r>
          </w:p>
        </w:tc>
      </w:tr>
      <w:tr w:rsidR="00DD3620" w14:paraId="2E21D029"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7AAD727" w14:textId="000F1718" w:rsidR="00DD3620" w:rsidRDefault="00DD3620" w:rsidP="00DD3620">
            <w:pPr>
              <w:jc w:val="right"/>
              <w:rPr>
                <w:color w:val="000000"/>
                <w:sz w:val="20"/>
              </w:rPr>
            </w:pPr>
            <w:r>
              <w:rPr>
                <w:color w:val="000000"/>
                <w:sz w:val="20"/>
              </w:rPr>
              <w:t>YTD 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0CAFEF" w14:textId="3DF4F757" w:rsidR="00DD3620" w:rsidRPr="00512E81" w:rsidRDefault="00DD3620" w:rsidP="00DD3620">
            <w:pPr>
              <w:jc w:val="center"/>
              <w:rPr>
                <w:sz w:val="20"/>
                <w:szCs w:val="20"/>
              </w:rPr>
            </w:pPr>
            <w:r w:rsidRPr="00512E81">
              <w:rPr>
                <w:rFonts w:eastAsia="Arial"/>
                <w:sz w:val="20"/>
                <w:szCs w:val="20"/>
              </w:rPr>
              <w:t>52.5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C64994" w14:textId="760171C0" w:rsidR="00DD3620" w:rsidRPr="00512E81" w:rsidRDefault="00DD3620" w:rsidP="00DD3620">
            <w:pPr>
              <w:jc w:val="center"/>
              <w:rPr>
                <w:sz w:val="20"/>
                <w:szCs w:val="20"/>
              </w:rPr>
            </w:pPr>
            <w:r w:rsidRPr="00512E81">
              <w:rPr>
                <w:rFonts w:eastAsia="Arial"/>
                <w:sz w:val="20"/>
                <w:szCs w:val="20"/>
              </w:rPr>
              <w:t>69</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17FDD" w14:textId="348F1C5A" w:rsidR="00DD3620" w:rsidRPr="00512E81" w:rsidRDefault="00DD3620" w:rsidP="00DD3620">
            <w:pPr>
              <w:jc w:val="center"/>
              <w:rPr>
                <w:sz w:val="20"/>
                <w:szCs w:val="20"/>
              </w:rPr>
            </w:pPr>
            <w:r w:rsidRPr="00512E81">
              <w:rPr>
                <w:rFonts w:eastAsia="Arial"/>
                <w:sz w:val="20"/>
                <w:szCs w:val="20"/>
              </w:rPr>
              <w:t>44.5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33DF8" w14:textId="2BA23D67" w:rsidR="00DD3620" w:rsidRPr="00512E81" w:rsidRDefault="00DD3620" w:rsidP="00DD3620">
            <w:pPr>
              <w:jc w:val="center"/>
              <w:rPr>
                <w:sz w:val="20"/>
                <w:szCs w:val="20"/>
              </w:rPr>
            </w:pPr>
            <w:r w:rsidRPr="00512E81">
              <w:rPr>
                <w:rFonts w:eastAsia="Arial"/>
                <w:sz w:val="20"/>
                <w:szCs w:val="20"/>
              </w:rPr>
              <w:t>7,466</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BD1029" w14:textId="2F5F9089" w:rsidR="00DD3620" w:rsidRPr="00512E81" w:rsidRDefault="00DD3620" w:rsidP="00DD3620">
            <w:pPr>
              <w:jc w:val="center"/>
              <w:rPr>
                <w:sz w:val="20"/>
                <w:szCs w:val="20"/>
              </w:rPr>
            </w:pPr>
            <w:r w:rsidRPr="00512E81">
              <w:rPr>
                <w:rFonts w:eastAsia="Arial"/>
                <w:sz w:val="20"/>
                <w:szCs w:val="20"/>
              </w:rPr>
              <w:t>37.0</w:t>
            </w:r>
          </w:p>
        </w:tc>
      </w:tr>
      <w:tr w:rsidR="008476EA" w14:paraId="2B8F0CC5" w14:textId="77777777" w:rsidTr="00512E81">
        <w:trPr>
          <w:trHeight w:val="181"/>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D50181A" w14:textId="77777777" w:rsidR="008476EA" w:rsidRDefault="008476EA" w:rsidP="008476EA">
            <w:r>
              <w:rPr>
                <w:color w:val="000000"/>
                <w:sz w:val="20"/>
              </w:rPr>
              <w:t>Not Available</w:t>
            </w:r>
          </w:p>
        </w:tc>
        <w:tc>
          <w:tcPr>
            <w:tcW w:w="547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980CE" w14:textId="77777777" w:rsidR="008476EA" w:rsidRPr="00512E81" w:rsidRDefault="008476EA" w:rsidP="008476EA">
            <w:pPr>
              <w:rPr>
                <w:sz w:val="20"/>
                <w:szCs w:val="20"/>
              </w:rPr>
            </w:pPr>
          </w:p>
        </w:tc>
      </w:tr>
      <w:tr w:rsidR="00BA33B5" w14:paraId="173C5E18"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9E9A24E" w14:textId="77777777" w:rsidR="00BA33B5" w:rsidRDefault="00BA33B5" w:rsidP="00BA33B5">
            <w:pPr>
              <w:jc w:val="right"/>
            </w:pPr>
            <w:r>
              <w:rPr>
                <w:color w:val="000000"/>
                <w:sz w:val="20"/>
              </w:rPr>
              <w:t>2018</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0461C8" w14:textId="60AB7F7A" w:rsidR="00BA33B5" w:rsidRPr="00512E81" w:rsidRDefault="00BA33B5" w:rsidP="00BA33B5">
            <w:pPr>
              <w:jc w:val="center"/>
              <w:rPr>
                <w:sz w:val="20"/>
                <w:szCs w:val="20"/>
              </w:rPr>
            </w:pPr>
            <w:r w:rsidRPr="00512E81">
              <w:rPr>
                <w:rFonts w:eastAsia="Arial"/>
                <w:sz w:val="20"/>
                <w:szCs w:val="20"/>
              </w:rPr>
              <w:t>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27E828" w14:textId="1B21CADC" w:rsidR="00BA33B5" w:rsidRPr="00512E81" w:rsidRDefault="00BA33B5" w:rsidP="00BA33B5">
            <w:pPr>
              <w:jc w:val="center"/>
              <w:rPr>
                <w:sz w:val="20"/>
                <w:szCs w:val="20"/>
              </w:rPr>
            </w:pPr>
            <w:r w:rsidRPr="00512E81">
              <w:rPr>
                <w:rFonts w:eastAsia="Arial"/>
                <w:sz w:val="20"/>
                <w:szCs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0230B5" w14:textId="7A702A3E" w:rsidR="00BA33B5" w:rsidRPr="00512E81" w:rsidRDefault="00BA33B5" w:rsidP="00BA33B5">
            <w:pPr>
              <w:jc w:val="center"/>
              <w:rPr>
                <w:sz w:val="20"/>
                <w:szCs w:val="20"/>
              </w:rPr>
            </w:pPr>
            <w:r w:rsidRPr="00512E81">
              <w:rPr>
                <w:rFonts w:eastAsia="Arial"/>
                <w:sz w:val="20"/>
                <w:szCs w:val="20"/>
              </w:rPr>
              <w:t>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1368FF" w14:textId="3C1181F0" w:rsidR="00BA33B5" w:rsidRPr="00512E81" w:rsidRDefault="00BA33B5" w:rsidP="00BA33B5">
            <w:pPr>
              <w:jc w:val="center"/>
              <w:rPr>
                <w:sz w:val="20"/>
                <w:szCs w:val="20"/>
              </w:rPr>
            </w:pPr>
            <w:r w:rsidRPr="00512E81">
              <w:rPr>
                <w:rFonts w:eastAsia="Arial"/>
                <w:sz w:val="20"/>
                <w:szCs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FBEEC" w14:textId="06B29FF2" w:rsidR="00BA33B5" w:rsidRPr="00512E81" w:rsidRDefault="00BA33B5" w:rsidP="00BA33B5">
            <w:pPr>
              <w:jc w:val="center"/>
              <w:rPr>
                <w:sz w:val="20"/>
                <w:szCs w:val="20"/>
              </w:rPr>
            </w:pPr>
            <w:r w:rsidRPr="00512E81">
              <w:rPr>
                <w:rFonts w:eastAsia="Arial"/>
                <w:sz w:val="20"/>
                <w:szCs w:val="20"/>
              </w:rPr>
              <w:t>0.0</w:t>
            </w:r>
          </w:p>
        </w:tc>
      </w:tr>
      <w:tr w:rsidR="00BA33B5" w14:paraId="6278EE57"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1F289F3" w14:textId="77777777" w:rsidR="00BA33B5" w:rsidRDefault="00BA33B5" w:rsidP="00BA33B5">
            <w:pPr>
              <w:jc w:val="right"/>
            </w:pPr>
            <w:r>
              <w:rPr>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A2F0D7" w14:textId="439697FA" w:rsidR="00BA33B5" w:rsidRPr="00512E81" w:rsidRDefault="005C6E3F" w:rsidP="00BA33B5">
            <w:pPr>
              <w:jc w:val="center"/>
              <w:rPr>
                <w:sz w:val="20"/>
                <w:szCs w:val="20"/>
              </w:rPr>
            </w:pPr>
            <w:r>
              <w:rPr>
                <w:rFonts w:eastAsia="Arial"/>
                <w:sz w:val="20"/>
                <w:szCs w:val="20"/>
              </w:rPr>
              <w:t>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E3F7A" w14:textId="0DAEAC88" w:rsidR="00BA33B5" w:rsidRPr="00512E81" w:rsidRDefault="00BA33B5" w:rsidP="00BA33B5">
            <w:pPr>
              <w:jc w:val="center"/>
              <w:rPr>
                <w:sz w:val="20"/>
                <w:szCs w:val="20"/>
              </w:rPr>
            </w:pPr>
            <w:r w:rsidRPr="00512E81">
              <w:rPr>
                <w:rFonts w:eastAsia="Arial"/>
                <w:sz w:val="20"/>
                <w:szCs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D5EDDB" w14:textId="011D97EE" w:rsidR="00BA33B5" w:rsidRPr="00512E81" w:rsidRDefault="00BA33B5" w:rsidP="00BA33B5">
            <w:pPr>
              <w:jc w:val="center"/>
              <w:rPr>
                <w:sz w:val="20"/>
                <w:szCs w:val="20"/>
              </w:rPr>
            </w:pPr>
            <w:r w:rsidRPr="00512E81">
              <w:rPr>
                <w:rFonts w:eastAsia="Arial"/>
                <w:sz w:val="20"/>
                <w:szCs w:val="20"/>
              </w:rPr>
              <w:t>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12CFCA" w14:textId="675A339D" w:rsidR="00BA33B5" w:rsidRPr="00512E81" w:rsidRDefault="00BA33B5" w:rsidP="00BA33B5">
            <w:pPr>
              <w:jc w:val="center"/>
              <w:rPr>
                <w:sz w:val="20"/>
                <w:szCs w:val="20"/>
              </w:rPr>
            </w:pPr>
            <w:r w:rsidRPr="00512E81">
              <w:rPr>
                <w:rFonts w:eastAsia="Arial"/>
                <w:sz w:val="20"/>
                <w:szCs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A3B11" w14:textId="0A7B0A0C" w:rsidR="00BA33B5" w:rsidRPr="00512E81" w:rsidRDefault="00BA33B5" w:rsidP="00BA33B5">
            <w:pPr>
              <w:jc w:val="center"/>
              <w:rPr>
                <w:sz w:val="20"/>
                <w:szCs w:val="20"/>
              </w:rPr>
            </w:pPr>
            <w:r w:rsidRPr="00512E81">
              <w:rPr>
                <w:rFonts w:eastAsia="Arial"/>
                <w:sz w:val="20"/>
                <w:szCs w:val="20"/>
              </w:rPr>
              <w:t>0.0</w:t>
            </w:r>
          </w:p>
        </w:tc>
      </w:tr>
      <w:tr w:rsidR="00BA33B5" w14:paraId="75311990" w14:textId="77777777" w:rsidTr="00512E81">
        <w:trPr>
          <w:trHeight w:val="166"/>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342E546" w14:textId="279CC43C" w:rsidR="00BA33B5" w:rsidRDefault="00BA33B5" w:rsidP="00BA33B5">
            <w:pPr>
              <w:jc w:val="right"/>
              <w:rPr>
                <w:color w:val="000000"/>
                <w:sz w:val="20"/>
              </w:rPr>
            </w:pPr>
            <w:r>
              <w:rPr>
                <w:color w:val="000000"/>
                <w:sz w:val="20"/>
              </w:rPr>
              <w:t>YTD 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629E26" w14:textId="77C8372A" w:rsidR="00BA33B5" w:rsidRPr="00512E81" w:rsidRDefault="00BA33B5" w:rsidP="00BA33B5">
            <w:pPr>
              <w:jc w:val="center"/>
              <w:rPr>
                <w:sz w:val="20"/>
                <w:szCs w:val="20"/>
              </w:rPr>
            </w:pPr>
            <w:r w:rsidRPr="00512E81">
              <w:rPr>
                <w:rFonts w:eastAsia="Arial"/>
                <w:sz w:val="20"/>
                <w:szCs w:val="20"/>
              </w:rPr>
              <w:t>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59EAFB" w14:textId="2D3D1E8A" w:rsidR="00BA33B5" w:rsidRPr="00512E81" w:rsidRDefault="00BA33B5" w:rsidP="00BA33B5">
            <w:pPr>
              <w:jc w:val="center"/>
              <w:rPr>
                <w:sz w:val="20"/>
                <w:szCs w:val="20"/>
              </w:rPr>
            </w:pPr>
            <w:r w:rsidRPr="00512E81">
              <w:rPr>
                <w:rFonts w:eastAsia="Arial"/>
                <w:sz w:val="20"/>
                <w:szCs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984420" w14:textId="1CC9661B" w:rsidR="00BA33B5" w:rsidRPr="00512E81" w:rsidRDefault="00BA33B5" w:rsidP="00BA33B5">
            <w:pPr>
              <w:jc w:val="center"/>
              <w:rPr>
                <w:sz w:val="20"/>
                <w:szCs w:val="20"/>
              </w:rPr>
            </w:pPr>
            <w:r w:rsidRPr="00512E81">
              <w:rPr>
                <w:rFonts w:eastAsia="Arial"/>
                <w:sz w:val="20"/>
                <w:szCs w:val="20"/>
              </w:rPr>
              <w:t>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A4829" w14:textId="755EE8B5" w:rsidR="00BA33B5" w:rsidRPr="00512E81" w:rsidRDefault="00BA33B5" w:rsidP="00BA33B5">
            <w:pPr>
              <w:jc w:val="center"/>
              <w:rPr>
                <w:sz w:val="20"/>
                <w:szCs w:val="20"/>
              </w:rPr>
            </w:pPr>
            <w:r w:rsidRPr="00512E81">
              <w:rPr>
                <w:rFonts w:eastAsia="Arial"/>
                <w:sz w:val="20"/>
                <w:szCs w:val="20"/>
              </w:rPr>
              <w:t>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EF9C8" w14:textId="55124BDB" w:rsidR="00BA33B5" w:rsidRPr="00512E81" w:rsidRDefault="00BA33B5" w:rsidP="00BA33B5">
            <w:pPr>
              <w:jc w:val="center"/>
              <w:rPr>
                <w:sz w:val="20"/>
                <w:szCs w:val="20"/>
              </w:rPr>
            </w:pPr>
            <w:r w:rsidRPr="00512E81">
              <w:rPr>
                <w:rFonts w:eastAsia="Arial"/>
                <w:sz w:val="20"/>
                <w:szCs w:val="20"/>
              </w:rPr>
              <w:t>0.0</w:t>
            </w:r>
          </w:p>
        </w:tc>
      </w:tr>
      <w:tr w:rsidR="008476EA" w14:paraId="3448D31B" w14:textId="77777777" w:rsidTr="00512E81">
        <w:trPr>
          <w:trHeight w:val="181"/>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45C607D" w14:textId="77777777" w:rsidR="008476EA" w:rsidRDefault="008476EA" w:rsidP="008476EA">
            <w:r>
              <w:rPr>
                <w:b/>
                <w:color w:val="000000"/>
                <w:sz w:val="20"/>
              </w:rPr>
              <w:t>Totals</w:t>
            </w:r>
          </w:p>
        </w:tc>
        <w:tc>
          <w:tcPr>
            <w:tcW w:w="547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EE6FED" w14:textId="77777777" w:rsidR="008476EA" w:rsidRPr="00512E81" w:rsidRDefault="008476EA" w:rsidP="008476EA">
            <w:pPr>
              <w:rPr>
                <w:sz w:val="20"/>
                <w:szCs w:val="20"/>
              </w:rPr>
            </w:pPr>
          </w:p>
        </w:tc>
      </w:tr>
      <w:tr w:rsidR="00BA33B5" w14:paraId="2984660E" w14:textId="77777777" w:rsidTr="00512E81">
        <w:trPr>
          <w:trHeight w:val="181"/>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8D77DF6" w14:textId="77777777" w:rsidR="00BA33B5" w:rsidRDefault="00BA33B5" w:rsidP="00BA33B5">
            <w:pPr>
              <w:jc w:val="right"/>
            </w:pPr>
            <w:r>
              <w:rPr>
                <w:b/>
                <w:color w:val="000000"/>
                <w:sz w:val="20"/>
              </w:rPr>
              <w:t>2018</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82753" w14:textId="5F3E2403" w:rsidR="00BA33B5" w:rsidRPr="00512E81" w:rsidRDefault="00BA33B5" w:rsidP="00BA33B5">
            <w:pPr>
              <w:jc w:val="center"/>
              <w:rPr>
                <w:sz w:val="20"/>
                <w:szCs w:val="20"/>
              </w:rPr>
            </w:pPr>
            <w:r w:rsidRPr="00512E81">
              <w:rPr>
                <w:rFonts w:eastAsia="Arial"/>
                <w:b/>
                <w:sz w:val="20"/>
                <w:szCs w:val="20"/>
              </w:rPr>
              <w:t>100.0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D976A5" w14:textId="3F399D48" w:rsidR="00BA33B5" w:rsidRPr="00512E81" w:rsidRDefault="00BA33B5" w:rsidP="00BA33B5">
            <w:pPr>
              <w:jc w:val="center"/>
              <w:rPr>
                <w:sz w:val="20"/>
                <w:szCs w:val="20"/>
              </w:rPr>
            </w:pPr>
            <w:r w:rsidRPr="00512E81">
              <w:rPr>
                <w:rFonts w:eastAsia="Arial"/>
                <w:b/>
                <w:sz w:val="20"/>
                <w:szCs w:val="20"/>
              </w:rPr>
              <w:t>36</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A94319" w14:textId="2053AF05" w:rsidR="00BA33B5" w:rsidRPr="00512E81" w:rsidRDefault="00BA33B5" w:rsidP="00BA33B5">
            <w:pPr>
              <w:jc w:val="center"/>
              <w:rPr>
                <w:sz w:val="20"/>
                <w:szCs w:val="20"/>
              </w:rPr>
            </w:pPr>
            <w:r w:rsidRPr="00512E81">
              <w:rPr>
                <w:rFonts w:eastAsia="Arial"/>
                <w:b/>
                <w:sz w:val="20"/>
                <w:szCs w:val="20"/>
              </w:rPr>
              <w:t>100.0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8007E6" w14:textId="456E20D1" w:rsidR="00BA33B5" w:rsidRPr="00512E81" w:rsidRDefault="00BA33B5" w:rsidP="00BA33B5">
            <w:pPr>
              <w:jc w:val="center"/>
              <w:rPr>
                <w:sz w:val="20"/>
                <w:szCs w:val="20"/>
              </w:rPr>
            </w:pPr>
            <w:r w:rsidRPr="00512E81">
              <w:rPr>
                <w:rFonts w:eastAsia="Arial"/>
                <w:b/>
                <w:sz w:val="20"/>
                <w:szCs w:val="20"/>
              </w:rPr>
              <w:t>4,208</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BBD91A" w14:textId="2CEDCF23" w:rsidR="00BA33B5" w:rsidRPr="00512E81" w:rsidRDefault="00BA33B5" w:rsidP="00BA33B5">
            <w:pPr>
              <w:jc w:val="center"/>
              <w:rPr>
                <w:sz w:val="20"/>
                <w:szCs w:val="20"/>
              </w:rPr>
            </w:pPr>
            <w:r w:rsidRPr="00512E81">
              <w:rPr>
                <w:rFonts w:eastAsia="Arial"/>
                <w:b/>
                <w:sz w:val="20"/>
                <w:szCs w:val="20"/>
              </w:rPr>
              <w:t>100.0</w:t>
            </w:r>
          </w:p>
        </w:tc>
      </w:tr>
      <w:tr w:rsidR="00BA33B5" w14:paraId="74D7ECC5" w14:textId="77777777" w:rsidTr="00512E81">
        <w:trPr>
          <w:trHeight w:val="181"/>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74BF5FC" w14:textId="77777777" w:rsidR="00BA33B5" w:rsidRDefault="00BA33B5" w:rsidP="00BA33B5">
            <w:pPr>
              <w:jc w:val="right"/>
            </w:pPr>
            <w:r>
              <w:rPr>
                <w:b/>
                <w:color w:val="000000"/>
                <w:sz w:val="20"/>
              </w:rPr>
              <w:t>2019</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28A8A7" w14:textId="09E96E39" w:rsidR="00BA33B5" w:rsidRPr="00512E81" w:rsidRDefault="005C6E3F" w:rsidP="00BA33B5">
            <w:pPr>
              <w:jc w:val="center"/>
              <w:rPr>
                <w:sz w:val="20"/>
                <w:szCs w:val="20"/>
              </w:rPr>
            </w:pPr>
            <w:r>
              <w:rPr>
                <w:rFonts w:eastAsia="Arial"/>
                <w:b/>
                <w:sz w:val="20"/>
                <w:szCs w:val="20"/>
              </w:rPr>
              <w:t>100.0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DADBEB" w14:textId="3A304A0E" w:rsidR="00BA33B5" w:rsidRPr="00512E81" w:rsidRDefault="00BA33B5" w:rsidP="00BA33B5">
            <w:pPr>
              <w:jc w:val="center"/>
              <w:rPr>
                <w:sz w:val="20"/>
                <w:szCs w:val="20"/>
              </w:rPr>
            </w:pPr>
            <w:r w:rsidRPr="00512E81">
              <w:rPr>
                <w:rFonts w:eastAsia="Arial"/>
                <w:b/>
                <w:sz w:val="20"/>
                <w:szCs w:val="20"/>
              </w:rPr>
              <w:t>50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33AA9F" w14:textId="6995DAD8" w:rsidR="00BA33B5" w:rsidRPr="00512E81" w:rsidRDefault="00BA33B5" w:rsidP="00BA33B5">
            <w:pPr>
              <w:jc w:val="center"/>
              <w:rPr>
                <w:sz w:val="20"/>
                <w:szCs w:val="20"/>
              </w:rPr>
            </w:pPr>
            <w:r w:rsidRPr="00512E81">
              <w:rPr>
                <w:rFonts w:eastAsia="Arial"/>
                <w:b/>
                <w:sz w:val="20"/>
                <w:szCs w:val="20"/>
              </w:rPr>
              <w:t>100.0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59776" w14:textId="34F96F8E" w:rsidR="00BA33B5" w:rsidRPr="00512E81" w:rsidRDefault="00BA33B5" w:rsidP="00BA33B5">
            <w:pPr>
              <w:jc w:val="center"/>
              <w:rPr>
                <w:sz w:val="20"/>
                <w:szCs w:val="20"/>
              </w:rPr>
            </w:pPr>
            <w:r w:rsidRPr="00512E81">
              <w:rPr>
                <w:rFonts w:eastAsia="Arial"/>
                <w:b/>
                <w:sz w:val="20"/>
                <w:szCs w:val="20"/>
              </w:rPr>
              <w:t>5,145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3073D2" w14:textId="60396151" w:rsidR="00BA33B5" w:rsidRPr="00512E81" w:rsidRDefault="00BA33B5" w:rsidP="00BA33B5">
            <w:pPr>
              <w:jc w:val="center"/>
              <w:rPr>
                <w:sz w:val="20"/>
                <w:szCs w:val="20"/>
              </w:rPr>
            </w:pPr>
            <w:r w:rsidRPr="00512E81">
              <w:rPr>
                <w:rFonts w:eastAsia="Arial"/>
                <w:b/>
                <w:sz w:val="20"/>
                <w:szCs w:val="20"/>
              </w:rPr>
              <w:t>100.0</w:t>
            </w:r>
          </w:p>
        </w:tc>
      </w:tr>
      <w:tr w:rsidR="00BA33B5" w14:paraId="030A93FD" w14:textId="77777777" w:rsidTr="00512E81">
        <w:trPr>
          <w:trHeight w:val="181"/>
          <w:jc w:val="center"/>
        </w:trPr>
        <w:tc>
          <w:tcPr>
            <w:tcW w:w="2592"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20F3EF2" w14:textId="5187ABA1" w:rsidR="00BA33B5" w:rsidRDefault="00BA33B5" w:rsidP="00BA33B5">
            <w:pPr>
              <w:jc w:val="right"/>
              <w:rPr>
                <w:b/>
                <w:color w:val="000000"/>
                <w:sz w:val="20"/>
              </w:rPr>
            </w:pPr>
            <w:r>
              <w:rPr>
                <w:b/>
                <w:color w:val="000000"/>
                <w:sz w:val="20"/>
              </w:rPr>
              <w:t>YTD 2020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E937E" w14:textId="7C364D9E" w:rsidR="00BA33B5" w:rsidRPr="00512E81" w:rsidRDefault="00BA33B5" w:rsidP="00BA33B5">
            <w:pPr>
              <w:jc w:val="center"/>
              <w:rPr>
                <w:b/>
                <w:sz w:val="20"/>
                <w:szCs w:val="20"/>
              </w:rPr>
            </w:pPr>
            <w:r w:rsidRPr="00512E81">
              <w:rPr>
                <w:rFonts w:eastAsia="Arial"/>
                <w:b/>
                <w:sz w:val="20"/>
                <w:szCs w:val="20"/>
              </w:rPr>
              <w:t>100.0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9D30DA" w14:textId="14574C40" w:rsidR="00BA33B5" w:rsidRPr="00512E81" w:rsidRDefault="00BA33B5" w:rsidP="00BA33B5">
            <w:pPr>
              <w:jc w:val="center"/>
              <w:rPr>
                <w:b/>
                <w:sz w:val="20"/>
                <w:szCs w:val="20"/>
              </w:rPr>
            </w:pPr>
            <w:r w:rsidRPr="00512E81">
              <w:rPr>
                <w:rFonts w:eastAsia="Arial"/>
                <w:b/>
                <w:sz w:val="20"/>
                <w:szCs w:val="20"/>
              </w:rPr>
              <w:t>155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7DA23" w14:textId="7414F555" w:rsidR="00BA33B5" w:rsidRPr="00512E81" w:rsidRDefault="00BA33B5" w:rsidP="00BA33B5">
            <w:pPr>
              <w:jc w:val="center"/>
              <w:rPr>
                <w:b/>
                <w:sz w:val="20"/>
                <w:szCs w:val="20"/>
              </w:rPr>
            </w:pPr>
            <w:r w:rsidRPr="00512E81">
              <w:rPr>
                <w:rFonts w:eastAsia="Arial"/>
                <w:b/>
                <w:sz w:val="20"/>
                <w:szCs w:val="20"/>
              </w:rPr>
              <w:t>100.0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83A5E" w14:textId="6314C606" w:rsidR="00BA33B5" w:rsidRPr="00512E81" w:rsidRDefault="00BA33B5" w:rsidP="00BA33B5">
            <w:pPr>
              <w:jc w:val="center"/>
              <w:rPr>
                <w:b/>
                <w:sz w:val="20"/>
                <w:szCs w:val="20"/>
              </w:rPr>
            </w:pPr>
            <w:r w:rsidRPr="00512E81">
              <w:rPr>
                <w:rFonts w:eastAsia="Arial"/>
                <w:b/>
                <w:sz w:val="20"/>
                <w:szCs w:val="20"/>
              </w:rPr>
              <w:t>20,203</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541732" w14:textId="2EFDAFAB" w:rsidR="00BA33B5" w:rsidRPr="00512E81" w:rsidRDefault="00BA33B5" w:rsidP="00BA33B5">
            <w:pPr>
              <w:jc w:val="center"/>
              <w:rPr>
                <w:b/>
                <w:sz w:val="20"/>
                <w:szCs w:val="20"/>
              </w:rPr>
            </w:pPr>
            <w:r w:rsidRPr="00512E81">
              <w:rPr>
                <w:rFonts w:eastAsia="Arial"/>
                <w:b/>
                <w:sz w:val="20"/>
                <w:szCs w:val="20"/>
              </w:rPr>
              <w:t>100.0</w:t>
            </w:r>
          </w:p>
        </w:tc>
      </w:tr>
      <w:tr w:rsidR="008476EA" w14:paraId="3CA33A65" w14:textId="77777777" w:rsidTr="00512E81">
        <w:trPr>
          <w:trHeight w:val="473"/>
          <w:jc w:val="center"/>
        </w:trPr>
        <w:tc>
          <w:tcPr>
            <w:tcW w:w="8064" w:type="dxa"/>
            <w:gridSpan w:val="6"/>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1AA3253A" w14:textId="379E1088" w:rsidR="008476EA" w:rsidRDefault="008476EA" w:rsidP="008476EA">
            <w:r>
              <w:rPr>
                <w:i/>
                <w:color w:val="000000"/>
                <w:sz w:val="16"/>
              </w:rPr>
              <w:t>Source: 2018</w:t>
            </w:r>
            <w:r w:rsidR="008B0916">
              <w:rPr>
                <w:i/>
                <w:color w:val="000000"/>
                <w:sz w:val="16"/>
              </w:rPr>
              <w:t>,</w:t>
            </w:r>
            <w:r>
              <w:rPr>
                <w:i/>
                <w:color w:val="000000"/>
                <w:sz w:val="16"/>
              </w:rPr>
              <w:t xml:space="preserve"> 2019</w:t>
            </w:r>
            <w:r w:rsidR="008B0916">
              <w:rPr>
                <w:i/>
                <w:color w:val="000000"/>
                <w:sz w:val="16"/>
              </w:rPr>
              <w:t>, &amp; 2020</w:t>
            </w:r>
            <w:r>
              <w:rPr>
                <w:i/>
                <w:color w:val="000000"/>
                <w:sz w:val="16"/>
              </w:rPr>
              <w:t xml:space="preserve"> D&amp;B </w:t>
            </w:r>
            <w:r w:rsidR="00512E81">
              <w:rPr>
                <w:i/>
                <w:color w:val="000000"/>
                <w:sz w:val="16"/>
              </w:rPr>
              <w:t>Data; Bank</w:t>
            </w:r>
            <w:r>
              <w:rPr>
                <w:i/>
                <w:color w:val="000000"/>
                <w:sz w:val="16"/>
              </w:rPr>
              <w:t xml:space="preserve"> Data</w:t>
            </w:r>
            <w:r w:rsidR="008B0916">
              <w:rPr>
                <w:i/>
                <w:color w:val="000000"/>
                <w:sz w:val="16"/>
              </w:rPr>
              <w:t xml:space="preserve"> </w:t>
            </w:r>
            <w:r w:rsidR="00512E81">
              <w:rPr>
                <w:i/>
                <w:color w:val="000000"/>
                <w:sz w:val="16"/>
                <w:szCs w:val="20"/>
              </w:rPr>
              <w:t>1/1/2018 – 6/30/2020</w:t>
            </w:r>
            <w:r>
              <w:rPr>
                <w:i/>
                <w:color w:val="000000"/>
                <w:sz w:val="16"/>
              </w:rPr>
              <w:t>; "--" data not available.</w:t>
            </w:r>
          </w:p>
          <w:p w14:paraId="1C427585" w14:textId="0B5F6FB6" w:rsidR="008476EA" w:rsidRDefault="008476EA" w:rsidP="008476EA">
            <w:r>
              <w:rPr>
                <w:i/>
                <w:color w:val="000000"/>
                <w:sz w:val="16"/>
              </w:rPr>
              <w:t>Due to rounding, totals may not equal 100.0%</w:t>
            </w:r>
          </w:p>
        </w:tc>
      </w:tr>
    </w:tbl>
    <w:p w14:paraId="24A51BCA" w14:textId="0CAA3E32" w:rsidR="008476EA" w:rsidRDefault="008476EA" w:rsidP="005F3C2E">
      <w:pPr>
        <w:tabs>
          <w:tab w:val="left" w:pos="540"/>
        </w:tabs>
        <w:rPr>
          <w:color w:val="000000"/>
        </w:rPr>
      </w:pPr>
    </w:p>
    <w:p w14:paraId="79720C88" w14:textId="77777777" w:rsidR="008B0916" w:rsidRDefault="008B0916">
      <w:pPr>
        <w:rPr>
          <w:b/>
          <w:bCs/>
          <w:u w:val="single"/>
        </w:rPr>
      </w:pPr>
      <w:r>
        <w:rPr>
          <w:b/>
          <w:bCs/>
          <w:u w:val="single"/>
        </w:rPr>
        <w:br w:type="page"/>
      </w:r>
    </w:p>
    <w:p w14:paraId="6F5E047C" w14:textId="79818902" w:rsidR="00563BA0" w:rsidRPr="00563BA0" w:rsidRDefault="00563BA0" w:rsidP="00563BA0">
      <w:pPr>
        <w:rPr>
          <w:b/>
          <w:bCs/>
          <w:u w:val="single"/>
        </w:rPr>
      </w:pPr>
      <w:r w:rsidRPr="00563BA0">
        <w:rPr>
          <w:b/>
          <w:bCs/>
          <w:u w:val="single"/>
        </w:rPr>
        <w:t>Borrower Profile</w:t>
      </w:r>
    </w:p>
    <w:p w14:paraId="04DEF446" w14:textId="77777777" w:rsidR="00563BA0" w:rsidRDefault="00563BA0" w:rsidP="00563BA0">
      <w:pPr>
        <w:rPr>
          <w:iCs/>
        </w:rPr>
      </w:pPr>
    </w:p>
    <w:p w14:paraId="784DD234" w14:textId="4A224A96" w:rsidR="00AB0332" w:rsidRPr="00DE3485" w:rsidRDefault="0071416A" w:rsidP="00AB0332">
      <w:pPr>
        <w:pStyle w:val="QuickFormat1"/>
        <w:jc w:val="left"/>
        <w:rPr>
          <w:b w:val="0"/>
          <w:sz w:val="24"/>
          <w:szCs w:val="24"/>
          <w:highlight w:val="magenta"/>
          <w:lang w:val="en-US"/>
        </w:rPr>
      </w:pPr>
      <w:r w:rsidRPr="0071416A">
        <w:rPr>
          <w:b w:val="0"/>
          <w:sz w:val="24"/>
          <w:szCs w:val="24"/>
          <w:lang w:val="en-US"/>
        </w:rPr>
        <w:t xml:space="preserve">The distribution of borrowers reflects </w:t>
      </w:r>
      <w:r w:rsidR="0012587E" w:rsidRPr="00B62408">
        <w:rPr>
          <w:b w:val="0"/>
          <w:sz w:val="24"/>
          <w:szCs w:val="24"/>
          <w:lang w:val="en-US"/>
        </w:rPr>
        <w:t>poor</w:t>
      </w:r>
      <w:r w:rsidRPr="00B62408">
        <w:rPr>
          <w:b w:val="0"/>
          <w:sz w:val="24"/>
          <w:szCs w:val="24"/>
          <w:lang w:val="en-US"/>
        </w:rPr>
        <w:t xml:space="preserve"> penetration</w:t>
      </w:r>
      <w:r w:rsidRPr="0071416A">
        <w:rPr>
          <w:b w:val="0"/>
          <w:sz w:val="24"/>
          <w:szCs w:val="24"/>
          <w:lang w:val="en-US"/>
        </w:rPr>
        <w:t xml:space="preserve"> among individuals of different income levels</w:t>
      </w:r>
      <w:r w:rsidR="00DE3485">
        <w:rPr>
          <w:b w:val="0"/>
          <w:sz w:val="24"/>
          <w:szCs w:val="24"/>
          <w:lang w:val="en-US"/>
        </w:rPr>
        <w:t xml:space="preserve"> </w:t>
      </w:r>
      <w:r w:rsidR="001F5C23">
        <w:rPr>
          <w:b w:val="0"/>
          <w:sz w:val="24"/>
          <w:szCs w:val="24"/>
          <w:lang w:val="en-US"/>
        </w:rPr>
        <w:t xml:space="preserve">and </w:t>
      </w:r>
      <w:r w:rsidR="00DE3485" w:rsidRPr="00DE3485">
        <w:rPr>
          <w:b w:val="0"/>
          <w:iCs/>
          <w:sz w:val="24"/>
          <w:szCs w:val="24"/>
        </w:rPr>
        <w:t>businesses of different sizes in the assessment area.</w:t>
      </w:r>
      <w:r>
        <w:rPr>
          <w:b w:val="0"/>
          <w:sz w:val="24"/>
          <w:szCs w:val="24"/>
          <w:lang w:val="en-US"/>
        </w:rPr>
        <w:t xml:space="preserve">  </w:t>
      </w:r>
      <w:r w:rsidR="00AB0332" w:rsidRPr="00852E2E">
        <w:rPr>
          <w:b w:val="0"/>
          <w:sz w:val="24"/>
          <w:szCs w:val="24"/>
          <w:lang w:val="en-US"/>
        </w:rPr>
        <w:t>Examiners focused on comparisons to aggregate data and area demographics.</w:t>
      </w:r>
      <w:r w:rsidR="00DE3485">
        <w:rPr>
          <w:b w:val="0"/>
          <w:sz w:val="24"/>
          <w:szCs w:val="24"/>
          <w:lang w:val="en-US"/>
        </w:rPr>
        <w:t xml:space="preserve">  </w:t>
      </w:r>
      <w:r w:rsidR="00DE3485" w:rsidRPr="00DE3485">
        <w:rPr>
          <w:b w:val="0"/>
          <w:iCs/>
          <w:sz w:val="24"/>
          <w:szCs w:val="24"/>
        </w:rPr>
        <w:t>Examiners focused on the percentage by number of home mortgage loans to low- and moderate-income borrowers</w:t>
      </w:r>
      <w:r w:rsidR="00DE3485">
        <w:rPr>
          <w:b w:val="0"/>
          <w:iCs/>
          <w:sz w:val="24"/>
          <w:szCs w:val="24"/>
          <w:lang w:val="en-US"/>
        </w:rPr>
        <w:t xml:space="preserve"> and </w:t>
      </w:r>
      <w:r w:rsidR="00DE3485" w:rsidRPr="00DE3485">
        <w:rPr>
          <w:b w:val="0"/>
          <w:iCs/>
          <w:sz w:val="24"/>
          <w:szCs w:val="24"/>
        </w:rPr>
        <w:t xml:space="preserve">the percentage by number of </w:t>
      </w:r>
      <w:r w:rsidR="00DE3485">
        <w:rPr>
          <w:b w:val="0"/>
          <w:iCs/>
          <w:sz w:val="24"/>
          <w:szCs w:val="24"/>
          <w:lang w:val="en-US"/>
        </w:rPr>
        <w:t>small business loans</w:t>
      </w:r>
      <w:r w:rsidR="00DE3485" w:rsidRPr="00DE3485">
        <w:rPr>
          <w:b w:val="0"/>
          <w:iCs/>
          <w:sz w:val="24"/>
          <w:szCs w:val="24"/>
        </w:rPr>
        <w:t xml:space="preserve"> to businesses with GARs of $1.0 million or less.</w:t>
      </w:r>
    </w:p>
    <w:p w14:paraId="2E76F612" w14:textId="2B682C35" w:rsidR="00D75737" w:rsidRDefault="00D75737" w:rsidP="00AB0332">
      <w:pPr>
        <w:pStyle w:val="QuickFormat1"/>
        <w:jc w:val="left"/>
        <w:rPr>
          <w:b w:val="0"/>
          <w:sz w:val="24"/>
          <w:szCs w:val="24"/>
          <w:highlight w:val="magenta"/>
          <w:lang w:val="en-US"/>
        </w:rPr>
      </w:pPr>
    </w:p>
    <w:p w14:paraId="5674AC31" w14:textId="4D1DE07E" w:rsidR="00D75737" w:rsidRPr="00D75737" w:rsidRDefault="00D75737" w:rsidP="00AB0332">
      <w:pPr>
        <w:pStyle w:val="QuickFormat1"/>
        <w:jc w:val="left"/>
        <w:rPr>
          <w:sz w:val="24"/>
          <w:szCs w:val="24"/>
          <w:highlight w:val="magenta"/>
          <w:lang w:val="en-US"/>
        </w:rPr>
      </w:pPr>
      <w:r w:rsidRPr="00D75737">
        <w:rPr>
          <w:bCs/>
          <w:i/>
          <w:sz w:val="24"/>
          <w:szCs w:val="24"/>
        </w:rPr>
        <w:t>Home Mortgage Loans</w:t>
      </w:r>
    </w:p>
    <w:p w14:paraId="1F902F66" w14:textId="19F5ECC0" w:rsidR="0012587E" w:rsidRDefault="00FC1B0E" w:rsidP="00AB0332">
      <w:pPr>
        <w:pStyle w:val="QuickFormat1"/>
        <w:jc w:val="left"/>
        <w:rPr>
          <w:b w:val="0"/>
          <w:sz w:val="24"/>
          <w:szCs w:val="24"/>
          <w:lang w:val="en-US"/>
        </w:rPr>
      </w:pPr>
      <w:r w:rsidRPr="00FC1B0E">
        <w:rPr>
          <w:b w:val="0"/>
          <w:sz w:val="24"/>
          <w:szCs w:val="24"/>
          <w:lang w:val="en-US"/>
        </w:rPr>
        <w:t xml:space="preserve">The distribution of </w:t>
      </w:r>
      <w:r>
        <w:rPr>
          <w:b w:val="0"/>
          <w:sz w:val="24"/>
          <w:szCs w:val="24"/>
          <w:lang w:val="en-US"/>
        </w:rPr>
        <w:t>home mortgage</w:t>
      </w:r>
      <w:r w:rsidRPr="00FC1B0E">
        <w:rPr>
          <w:b w:val="0"/>
          <w:sz w:val="24"/>
          <w:szCs w:val="24"/>
          <w:lang w:val="en-US"/>
        </w:rPr>
        <w:t xml:space="preserve"> loans to individuals of differen</w:t>
      </w:r>
      <w:r w:rsidR="00D529DC">
        <w:rPr>
          <w:b w:val="0"/>
          <w:sz w:val="24"/>
          <w:szCs w:val="24"/>
          <w:lang w:val="en-US"/>
        </w:rPr>
        <w:t>t income levels, including low- and moderate-</w:t>
      </w:r>
      <w:r w:rsidRPr="00FC1B0E">
        <w:rPr>
          <w:b w:val="0"/>
          <w:sz w:val="24"/>
          <w:szCs w:val="24"/>
          <w:lang w:val="en-US"/>
        </w:rPr>
        <w:t xml:space="preserve">income borrowers, is </w:t>
      </w:r>
      <w:r w:rsidRPr="00B62408">
        <w:rPr>
          <w:b w:val="0"/>
          <w:sz w:val="24"/>
          <w:szCs w:val="24"/>
          <w:lang w:val="en-US"/>
        </w:rPr>
        <w:t>poor</w:t>
      </w:r>
      <w:r>
        <w:rPr>
          <w:b w:val="0"/>
          <w:sz w:val="24"/>
          <w:szCs w:val="24"/>
          <w:lang w:val="en-US"/>
        </w:rPr>
        <w:t xml:space="preserve">.  </w:t>
      </w:r>
    </w:p>
    <w:p w14:paraId="2BA0E159" w14:textId="77777777" w:rsidR="0012587E" w:rsidRDefault="0012587E" w:rsidP="00AB0332">
      <w:pPr>
        <w:pStyle w:val="QuickFormat1"/>
        <w:jc w:val="left"/>
        <w:rPr>
          <w:b w:val="0"/>
          <w:sz w:val="24"/>
          <w:szCs w:val="24"/>
          <w:lang w:val="en-US"/>
        </w:rPr>
      </w:pPr>
    </w:p>
    <w:p w14:paraId="262B3305" w14:textId="55DDB0C5" w:rsidR="0012587E" w:rsidRDefault="00CE7637" w:rsidP="00AB0332">
      <w:pPr>
        <w:pStyle w:val="QuickFormat1"/>
        <w:jc w:val="left"/>
        <w:rPr>
          <w:b w:val="0"/>
          <w:sz w:val="24"/>
          <w:szCs w:val="24"/>
          <w:lang w:val="en-US"/>
        </w:rPr>
      </w:pPr>
      <w:r>
        <w:rPr>
          <w:b w:val="0"/>
          <w:sz w:val="24"/>
          <w:szCs w:val="24"/>
          <w:lang w:val="en-US"/>
        </w:rPr>
        <w:t xml:space="preserve">The bank’s lending to low- and moderate-income borrowers </w:t>
      </w:r>
      <w:r w:rsidR="007E16FB">
        <w:rPr>
          <w:b w:val="0"/>
          <w:sz w:val="24"/>
          <w:szCs w:val="24"/>
          <w:lang w:val="en-US"/>
        </w:rPr>
        <w:t>was below aggregate performance and demographic data</w:t>
      </w:r>
      <w:r>
        <w:rPr>
          <w:b w:val="0"/>
          <w:sz w:val="24"/>
          <w:szCs w:val="24"/>
          <w:lang w:val="en-US"/>
        </w:rPr>
        <w:t xml:space="preserve"> in 2018 and 2019.  </w:t>
      </w:r>
      <w:r w:rsidR="008E5AF1">
        <w:rPr>
          <w:b w:val="0"/>
          <w:sz w:val="24"/>
          <w:szCs w:val="24"/>
          <w:lang w:val="en-US"/>
        </w:rPr>
        <w:t>Market share reports for 2019, the most recent year aggregate data is available, show that d</w:t>
      </w:r>
      <w:r w:rsidR="0012587E">
        <w:rPr>
          <w:b w:val="0"/>
          <w:sz w:val="24"/>
          <w:szCs w:val="24"/>
          <w:lang w:val="en-US"/>
        </w:rPr>
        <w:t>espite ranking 41</w:t>
      </w:r>
      <w:r w:rsidR="0012587E" w:rsidRPr="0012587E">
        <w:rPr>
          <w:b w:val="0"/>
          <w:sz w:val="24"/>
          <w:szCs w:val="24"/>
          <w:vertAlign w:val="superscript"/>
          <w:lang w:val="en-US"/>
        </w:rPr>
        <w:t>st</w:t>
      </w:r>
      <w:r w:rsidR="0012587E">
        <w:rPr>
          <w:b w:val="0"/>
          <w:sz w:val="24"/>
          <w:szCs w:val="24"/>
          <w:lang w:val="en-US"/>
        </w:rPr>
        <w:t xml:space="preserve"> in overall mortgage lending,</w:t>
      </w:r>
      <w:r w:rsidR="0012587E" w:rsidRPr="0012587E">
        <w:rPr>
          <w:b w:val="0"/>
          <w:sz w:val="24"/>
          <w:szCs w:val="24"/>
          <w:lang w:val="en-US"/>
        </w:rPr>
        <w:t xml:space="preserve"> Northmark Bank ranked 67</w:t>
      </w:r>
      <w:r w:rsidR="00C13477" w:rsidRPr="00B443FB">
        <w:rPr>
          <w:b w:val="0"/>
          <w:sz w:val="24"/>
          <w:szCs w:val="24"/>
          <w:vertAlign w:val="superscript"/>
          <w:lang w:val="en-US"/>
        </w:rPr>
        <w:t>th</w:t>
      </w:r>
      <w:r w:rsidR="00C13477">
        <w:rPr>
          <w:b w:val="0"/>
          <w:sz w:val="24"/>
          <w:szCs w:val="24"/>
          <w:lang w:val="en-US"/>
        </w:rPr>
        <w:t xml:space="preserve"> </w:t>
      </w:r>
      <w:r w:rsidR="0012587E" w:rsidRPr="0012587E">
        <w:rPr>
          <w:b w:val="0"/>
          <w:sz w:val="24"/>
          <w:szCs w:val="24"/>
          <w:lang w:val="en-US"/>
        </w:rPr>
        <w:t>of 132 institutions with a market share of only 0.24 percent</w:t>
      </w:r>
      <w:r w:rsidR="0012587E">
        <w:rPr>
          <w:b w:val="0"/>
          <w:sz w:val="24"/>
          <w:szCs w:val="24"/>
          <w:lang w:val="en-US"/>
        </w:rPr>
        <w:t xml:space="preserve"> in lending to low-income </w:t>
      </w:r>
      <w:r w:rsidR="008E5AF1">
        <w:rPr>
          <w:b w:val="0"/>
          <w:sz w:val="24"/>
          <w:szCs w:val="24"/>
          <w:lang w:val="en-US"/>
        </w:rPr>
        <w:t>borrowers</w:t>
      </w:r>
      <w:r w:rsidR="0012587E" w:rsidRPr="0012587E">
        <w:rPr>
          <w:b w:val="0"/>
          <w:sz w:val="24"/>
          <w:szCs w:val="24"/>
          <w:lang w:val="en-US"/>
        </w:rPr>
        <w:t xml:space="preserve">.  </w:t>
      </w:r>
      <w:r w:rsidR="0012587E">
        <w:rPr>
          <w:b w:val="0"/>
          <w:sz w:val="24"/>
          <w:szCs w:val="24"/>
          <w:lang w:val="en-US"/>
        </w:rPr>
        <w:t xml:space="preserve">In lending </w:t>
      </w:r>
      <w:r w:rsidR="00D529DC">
        <w:rPr>
          <w:b w:val="0"/>
          <w:sz w:val="24"/>
          <w:szCs w:val="24"/>
          <w:lang w:val="en-US"/>
        </w:rPr>
        <w:t>to moderate-income borrowers, Northmark Ba</w:t>
      </w:r>
      <w:r w:rsidR="0012587E">
        <w:rPr>
          <w:b w:val="0"/>
          <w:sz w:val="24"/>
          <w:szCs w:val="24"/>
          <w:lang w:val="en-US"/>
        </w:rPr>
        <w:t>nk ranked 108</w:t>
      </w:r>
      <w:r w:rsidR="0012587E" w:rsidRPr="0012587E">
        <w:rPr>
          <w:b w:val="0"/>
          <w:sz w:val="24"/>
          <w:szCs w:val="24"/>
          <w:vertAlign w:val="superscript"/>
          <w:lang w:val="en-US"/>
        </w:rPr>
        <w:t>th</w:t>
      </w:r>
      <w:r w:rsidR="0012587E">
        <w:rPr>
          <w:b w:val="0"/>
          <w:sz w:val="24"/>
          <w:szCs w:val="24"/>
          <w:lang w:val="en-US"/>
        </w:rPr>
        <w:t xml:space="preserve"> of 204 institutions with only 0.13 percent market share</w:t>
      </w:r>
      <w:r w:rsidR="00590180">
        <w:rPr>
          <w:b w:val="0"/>
          <w:sz w:val="24"/>
          <w:szCs w:val="24"/>
          <w:lang w:val="en-US"/>
        </w:rPr>
        <w:t xml:space="preserve">.  </w:t>
      </w:r>
      <w:r w:rsidR="0095367F">
        <w:rPr>
          <w:b w:val="0"/>
          <w:sz w:val="24"/>
          <w:szCs w:val="24"/>
          <w:lang w:val="en-US"/>
        </w:rPr>
        <w:t>Similarly situated</w:t>
      </w:r>
      <w:r w:rsidR="0012587E">
        <w:rPr>
          <w:b w:val="0"/>
          <w:sz w:val="24"/>
          <w:szCs w:val="24"/>
          <w:lang w:val="en-US"/>
        </w:rPr>
        <w:t xml:space="preserve"> institutions that ranked close to Northmark Bank in overall mortgage lending ranked ahead of the bank in lending to low- and moderate-income borrowers.  Specifically, Winchester Savings Bank and Winchester Co-operative Bank</w:t>
      </w:r>
      <w:r w:rsidR="00CC4A57">
        <w:rPr>
          <w:b w:val="0"/>
          <w:sz w:val="24"/>
          <w:szCs w:val="24"/>
          <w:lang w:val="en-US"/>
        </w:rPr>
        <w:t>, which ranked 47</w:t>
      </w:r>
      <w:r w:rsidR="00CC4A57" w:rsidRPr="00CC4A57">
        <w:rPr>
          <w:b w:val="0"/>
          <w:sz w:val="24"/>
          <w:szCs w:val="24"/>
          <w:vertAlign w:val="superscript"/>
          <w:lang w:val="en-US"/>
        </w:rPr>
        <w:t>th</w:t>
      </w:r>
      <w:r w:rsidR="00CC4A57">
        <w:rPr>
          <w:b w:val="0"/>
          <w:sz w:val="24"/>
          <w:szCs w:val="24"/>
          <w:lang w:val="en-US"/>
        </w:rPr>
        <w:t xml:space="preserve"> and 34</w:t>
      </w:r>
      <w:r w:rsidR="00CC4A57" w:rsidRPr="00CC4A57">
        <w:rPr>
          <w:b w:val="0"/>
          <w:sz w:val="24"/>
          <w:szCs w:val="24"/>
          <w:vertAlign w:val="superscript"/>
          <w:lang w:val="en-US"/>
        </w:rPr>
        <w:t>th</w:t>
      </w:r>
      <w:r w:rsidR="00CC4A57">
        <w:rPr>
          <w:b w:val="0"/>
          <w:sz w:val="24"/>
          <w:szCs w:val="24"/>
          <w:lang w:val="en-US"/>
        </w:rPr>
        <w:t xml:space="preserve"> overall,</w:t>
      </w:r>
      <w:r w:rsidR="0012587E">
        <w:rPr>
          <w:b w:val="0"/>
          <w:sz w:val="24"/>
          <w:szCs w:val="24"/>
          <w:lang w:val="en-US"/>
        </w:rPr>
        <w:t xml:space="preserve"> ranked 46</w:t>
      </w:r>
      <w:r w:rsidR="0012587E" w:rsidRPr="0012587E">
        <w:rPr>
          <w:b w:val="0"/>
          <w:sz w:val="24"/>
          <w:szCs w:val="24"/>
          <w:vertAlign w:val="superscript"/>
          <w:lang w:val="en-US"/>
        </w:rPr>
        <w:t>th</w:t>
      </w:r>
      <w:r w:rsidR="0012587E">
        <w:rPr>
          <w:b w:val="0"/>
          <w:sz w:val="24"/>
          <w:szCs w:val="24"/>
          <w:lang w:val="en-US"/>
        </w:rPr>
        <w:t xml:space="preserve"> and 21</w:t>
      </w:r>
      <w:r w:rsidR="0012587E" w:rsidRPr="0012587E">
        <w:rPr>
          <w:b w:val="0"/>
          <w:sz w:val="24"/>
          <w:szCs w:val="24"/>
          <w:vertAlign w:val="superscript"/>
          <w:lang w:val="en-US"/>
        </w:rPr>
        <w:t>st</w:t>
      </w:r>
      <w:r w:rsidR="0012587E">
        <w:rPr>
          <w:b w:val="0"/>
          <w:sz w:val="24"/>
          <w:szCs w:val="24"/>
          <w:lang w:val="en-US"/>
        </w:rPr>
        <w:t xml:space="preserve"> in lending to low-income borrowers, and 56</w:t>
      </w:r>
      <w:r w:rsidR="0012587E" w:rsidRPr="0012587E">
        <w:rPr>
          <w:b w:val="0"/>
          <w:sz w:val="24"/>
          <w:szCs w:val="24"/>
          <w:vertAlign w:val="superscript"/>
          <w:lang w:val="en-US"/>
        </w:rPr>
        <w:t>th</w:t>
      </w:r>
      <w:r w:rsidR="0012587E">
        <w:rPr>
          <w:b w:val="0"/>
          <w:sz w:val="24"/>
          <w:szCs w:val="24"/>
          <w:lang w:val="en-US"/>
        </w:rPr>
        <w:t xml:space="preserve"> and 28</w:t>
      </w:r>
      <w:r w:rsidR="0012587E" w:rsidRPr="0012587E">
        <w:rPr>
          <w:b w:val="0"/>
          <w:sz w:val="24"/>
          <w:szCs w:val="24"/>
          <w:vertAlign w:val="superscript"/>
          <w:lang w:val="en-US"/>
        </w:rPr>
        <w:t>th</w:t>
      </w:r>
      <w:r w:rsidR="0012587E">
        <w:rPr>
          <w:b w:val="0"/>
          <w:sz w:val="24"/>
          <w:szCs w:val="24"/>
          <w:lang w:val="en-US"/>
        </w:rPr>
        <w:t xml:space="preserve"> in lending to moderate-</w:t>
      </w:r>
      <w:r w:rsidR="008E5AF1">
        <w:rPr>
          <w:b w:val="0"/>
          <w:sz w:val="24"/>
          <w:szCs w:val="24"/>
          <w:lang w:val="en-US"/>
        </w:rPr>
        <w:t>income borrowers</w:t>
      </w:r>
      <w:r w:rsidR="007C5903">
        <w:rPr>
          <w:b w:val="0"/>
          <w:sz w:val="24"/>
          <w:szCs w:val="24"/>
          <w:lang w:val="en-US"/>
        </w:rPr>
        <w:t>,</w:t>
      </w:r>
      <w:r w:rsidR="008E5AF1">
        <w:rPr>
          <w:b w:val="0"/>
          <w:sz w:val="24"/>
          <w:szCs w:val="24"/>
          <w:lang w:val="en-US"/>
        </w:rPr>
        <w:t xml:space="preserve"> respectively.  </w:t>
      </w:r>
      <w:r>
        <w:rPr>
          <w:b w:val="0"/>
          <w:sz w:val="24"/>
          <w:szCs w:val="24"/>
          <w:lang w:val="en-US"/>
        </w:rPr>
        <w:t xml:space="preserve">Although the bank’s performance in the first six months of 2020 shows a positive trend, </w:t>
      </w:r>
      <w:r w:rsidR="007E16FB">
        <w:rPr>
          <w:b w:val="0"/>
          <w:sz w:val="24"/>
          <w:szCs w:val="24"/>
          <w:lang w:val="en-US"/>
        </w:rPr>
        <w:t>lending remained significantly below the percentages of low- and moderate-income families in 2020</w:t>
      </w:r>
      <w:r>
        <w:rPr>
          <w:b w:val="0"/>
          <w:sz w:val="24"/>
          <w:szCs w:val="24"/>
          <w:lang w:val="en-US"/>
        </w:rPr>
        <w:t xml:space="preserve">.  </w:t>
      </w:r>
    </w:p>
    <w:p w14:paraId="628A1C92" w14:textId="004AE06A" w:rsidR="00747F21" w:rsidRDefault="00747F21" w:rsidP="00AB0332">
      <w:pPr>
        <w:pStyle w:val="QuickFormat1"/>
        <w:jc w:val="left"/>
        <w:rPr>
          <w:b w:val="0"/>
          <w:sz w:val="24"/>
          <w:szCs w:val="24"/>
          <w:lang w:val="en-US"/>
        </w:rPr>
      </w:pPr>
    </w:p>
    <w:p w14:paraId="563D5268" w14:textId="01AD996E" w:rsidR="00D529DC" w:rsidRDefault="00D529DC" w:rsidP="00AB0332">
      <w:pPr>
        <w:pStyle w:val="QuickFormat1"/>
        <w:jc w:val="left"/>
        <w:rPr>
          <w:b w:val="0"/>
          <w:sz w:val="24"/>
          <w:szCs w:val="24"/>
          <w:lang w:val="en-US"/>
        </w:rPr>
      </w:pPr>
    </w:p>
    <w:p w14:paraId="7BE3D36B" w14:textId="6B704AEA" w:rsidR="00D529DC" w:rsidRDefault="00D529DC" w:rsidP="00AB0332">
      <w:pPr>
        <w:pStyle w:val="QuickFormat1"/>
        <w:jc w:val="left"/>
        <w:rPr>
          <w:b w:val="0"/>
          <w:sz w:val="24"/>
          <w:szCs w:val="24"/>
          <w:lang w:val="en-US"/>
        </w:rPr>
      </w:pPr>
    </w:p>
    <w:p w14:paraId="4DF6DCA8" w14:textId="4C83D6BE" w:rsidR="00D529DC" w:rsidRDefault="00D529DC" w:rsidP="00AB0332">
      <w:pPr>
        <w:pStyle w:val="QuickFormat1"/>
        <w:jc w:val="left"/>
        <w:rPr>
          <w:b w:val="0"/>
          <w:sz w:val="24"/>
          <w:szCs w:val="24"/>
          <w:lang w:val="en-US"/>
        </w:rPr>
      </w:pPr>
    </w:p>
    <w:p w14:paraId="78D21774" w14:textId="52E6D628" w:rsidR="00D529DC" w:rsidRDefault="00D529DC" w:rsidP="00AB0332">
      <w:pPr>
        <w:pStyle w:val="QuickFormat1"/>
        <w:jc w:val="left"/>
        <w:rPr>
          <w:b w:val="0"/>
          <w:sz w:val="24"/>
          <w:szCs w:val="24"/>
          <w:lang w:val="en-US"/>
        </w:rPr>
      </w:pPr>
    </w:p>
    <w:p w14:paraId="7CB2B0D1" w14:textId="0F45EB06" w:rsidR="00D529DC" w:rsidRDefault="00D529DC" w:rsidP="00AB0332">
      <w:pPr>
        <w:pStyle w:val="QuickFormat1"/>
        <w:jc w:val="left"/>
        <w:rPr>
          <w:b w:val="0"/>
          <w:sz w:val="24"/>
          <w:szCs w:val="24"/>
          <w:lang w:val="en-US"/>
        </w:rPr>
      </w:pPr>
    </w:p>
    <w:p w14:paraId="0856059F" w14:textId="1C7DACF5" w:rsidR="00D529DC" w:rsidRDefault="00D529DC" w:rsidP="00AB0332">
      <w:pPr>
        <w:pStyle w:val="QuickFormat1"/>
        <w:jc w:val="left"/>
        <w:rPr>
          <w:b w:val="0"/>
          <w:sz w:val="24"/>
          <w:szCs w:val="24"/>
          <w:lang w:val="en-US"/>
        </w:rPr>
      </w:pPr>
    </w:p>
    <w:p w14:paraId="1C60E5E2" w14:textId="0838ECD3" w:rsidR="00D529DC" w:rsidRDefault="00D529DC" w:rsidP="00AB0332">
      <w:pPr>
        <w:pStyle w:val="QuickFormat1"/>
        <w:jc w:val="left"/>
        <w:rPr>
          <w:b w:val="0"/>
          <w:sz w:val="24"/>
          <w:szCs w:val="24"/>
          <w:lang w:val="en-US"/>
        </w:rPr>
      </w:pPr>
    </w:p>
    <w:p w14:paraId="0AE21C71" w14:textId="050B6199" w:rsidR="00D529DC" w:rsidRDefault="00D529DC" w:rsidP="00AB0332">
      <w:pPr>
        <w:pStyle w:val="QuickFormat1"/>
        <w:jc w:val="left"/>
        <w:rPr>
          <w:b w:val="0"/>
          <w:sz w:val="24"/>
          <w:szCs w:val="24"/>
          <w:lang w:val="en-US"/>
        </w:rPr>
      </w:pPr>
    </w:p>
    <w:p w14:paraId="20ABD18C" w14:textId="6CCF5EF0" w:rsidR="00D529DC" w:rsidRDefault="00D529DC" w:rsidP="00AB0332">
      <w:pPr>
        <w:pStyle w:val="QuickFormat1"/>
        <w:jc w:val="left"/>
        <w:rPr>
          <w:b w:val="0"/>
          <w:sz w:val="24"/>
          <w:szCs w:val="24"/>
          <w:lang w:val="en-US"/>
        </w:rPr>
      </w:pPr>
    </w:p>
    <w:p w14:paraId="6A7A1D03" w14:textId="1AFA4ADF" w:rsidR="007E16FB" w:rsidRDefault="007E16FB" w:rsidP="00AB0332">
      <w:pPr>
        <w:pStyle w:val="QuickFormat1"/>
        <w:jc w:val="left"/>
        <w:rPr>
          <w:b w:val="0"/>
          <w:sz w:val="24"/>
          <w:szCs w:val="24"/>
          <w:lang w:val="en-US"/>
        </w:rPr>
      </w:pPr>
    </w:p>
    <w:p w14:paraId="0F1715FF" w14:textId="77777777" w:rsidR="007E16FB" w:rsidRDefault="007E16FB" w:rsidP="00AB0332">
      <w:pPr>
        <w:pStyle w:val="QuickFormat1"/>
        <w:jc w:val="left"/>
        <w:rPr>
          <w:b w:val="0"/>
          <w:sz w:val="24"/>
          <w:szCs w:val="24"/>
          <w:lang w:val="en-US"/>
        </w:rPr>
      </w:pPr>
    </w:p>
    <w:p w14:paraId="09D1FBEC" w14:textId="7358BA4A" w:rsidR="00D529DC" w:rsidRDefault="00D529DC" w:rsidP="00AB0332">
      <w:pPr>
        <w:pStyle w:val="QuickFormat1"/>
        <w:jc w:val="left"/>
        <w:rPr>
          <w:b w:val="0"/>
          <w:sz w:val="24"/>
          <w:szCs w:val="24"/>
          <w:lang w:val="en-US"/>
        </w:rPr>
      </w:pPr>
    </w:p>
    <w:p w14:paraId="2DEF9BC0" w14:textId="05C2B479" w:rsidR="00D529DC" w:rsidRDefault="00D529DC" w:rsidP="00AB0332">
      <w:pPr>
        <w:pStyle w:val="QuickFormat1"/>
        <w:jc w:val="left"/>
        <w:rPr>
          <w:b w:val="0"/>
          <w:sz w:val="24"/>
          <w:szCs w:val="24"/>
          <w:lang w:val="en-US"/>
        </w:rPr>
      </w:pPr>
    </w:p>
    <w:p w14:paraId="199240DA" w14:textId="23E68482" w:rsidR="00D529DC" w:rsidRDefault="00D529DC" w:rsidP="00AB0332">
      <w:pPr>
        <w:pStyle w:val="QuickFormat1"/>
        <w:jc w:val="left"/>
        <w:rPr>
          <w:b w:val="0"/>
          <w:sz w:val="24"/>
          <w:szCs w:val="24"/>
          <w:lang w:val="en-US"/>
        </w:rPr>
      </w:pPr>
    </w:p>
    <w:p w14:paraId="5D762360" w14:textId="2D6B2AA1" w:rsidR="00D529DC" w:rsidRDefault="00D529DC" w:rsidP="00AB0332">
      <w:pPr>
        <w:pStyle w:val="QuickFormat1"/>
        <w:jc w:val="left"/>
        <w:rPr>
          <w:b w:val="0"/>
          <w:sz w:val="24"/>
          <w:szCs w:val="24"/>
          <w:lang w:val="en-US"/>
        </w:rPr>
      </w:pPr>
    </w:p>
    <w:p w14:paraId="034F2421" w14:textId="5887106C" w:rsidR="00D529DC" w:rsidRDefault="00D529DC" w:rsidP="00AB0332">
      <w:pPr>
        <w:pStyle w:val="QuickFormat1"/>
        <w:jc w:val="left"/>
        <w:rPr>
          <w:b w:val="0"/>
          <w:sz w:val="24"/>
          <w:szCs w:val="24"/>
          <w:lang w:val="en-US"/>
        </w:rPr>
      </w:pPr>
    </w:p>
    <w:p w14:paraId="508DE8F5" w14:textId="2CA50016" w:rsidR="00D529DC" w:rsidRDefault="00D529DC" w:rsidP="00AB0332">
      <w:pPr>
        <w:pStyle w:val="QuickFormat1"/>
        <w:jc w:val="left"/>
        <w:rPr>
          <w:b w:val="0"/>
          <w:sz w:val="24"/>
          <w:szCs w:val="24"/>
          <w:lang w:val="en-US"/>
        </w:rPr>
      </w:pPr>
    </w:p>
    <w:p w14:paraId="51011D97" w14:textId="342A378F" w:rsidR="005171E8" w:rsidRDefault="005171E8" w:rsidP="00AB0332">
      <w:pPr>
        <w:pStyle w:val="QuickFormat1"/>
        <w:jc w:val="left"/>
        <w:rPr>
          <w:b w:val="0"/>
          <w:sz w:val="24"/>
          <w:szCs w:val="24"/>
          <w:lang w:val="en-US"/>
        </w:rPr>
      </w:pPr>
    </w:p>
    <w:p w14:paraId="52A22AE3" w14:textId="77777777" w:rsidR="005171E8" w:rsidRDefault="005171E8" w:rsidP="00AB0332">
      <w:pPr>
        <w:pStyle w:val="QuickFormat1"/>
        <w:jc w:val="left"/>
        <w:rPr>
          <w:b w:val="0"/>
          <w:sz w:val="24"/>
          <w:szCs w:val="24"/>
          <w:lang w:val="en-US"/>
        </w:rPr>
      </w:pPr>
    </w:p>
    <w:p w14:paraId="278CA6E5" w14:textId="77777777" w:rsidR="00D529DC" w:rsidRDefault="00D529DC" w:rsidP="00AB0332">
      <w:pPr>
        <w:pStyle w:val="QuickFormat1"/>
        <w:jc w:val="left"/>
        <w:rPr>
          <w:b w:val="0"/>
          <w:sz w:val="24"/>
          <w:szCs w:val="24"/>
          <w:lang w:val="en-US"/>
        </w:rPr>
      </w:pPr>
    </w:p>
    <w:tbl>
      <w:tblPr>
        <w:tblW w:w="0" w:type="auto"/>
        <w:tblCellMar>
          <w:left w:w="0" w:type="dxa"/>
          <w:right w:w="0" w:type="dxa"/>
        </w:tblCellMar>
        <w:tblLook w:val="0000" w:firstRow="0" w:lastRow="0" w:firstColumn="0" w:lastColumn="0" w:noHBand="0" w:noVBand="0"/>
      </w:tblPr>
      <w:tblGrid>
        <w:gridCol w:w="2253"/>
        <w:gridCol w:w="1417"/>
        <w:gridCol w:w="1431"/>
        <w:gridCol w:w="1124"/>
        <w:gridCol w:w="991"/>
        <w:gridCol w:w="1135"/>
        <w:gridCol w:w="991"/>
      </w:tblGrid>
      <w:tr w:rsidR="00DF53F5" w:rsidRPr="00DF53F5" w14:paraId="5BABA78F" w14:textId="77777777" w:rsidTr="001229E9">
        <w:trPr>
          <w:trHeight w:val="426"/>
        </w:trPr>
        <w:tc>
          <w:tcPr>
            <w:tcW w:w="9342"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67770299" w14:textId="77777777" w:rsidR="00DF53F5" w:rsidRPr="00DF53F5" w:rsidRDefault="00DF53F5" w:rsidP="00DF53F5">
            <w:pPr>
              <w:jc w:val="center"/>
              <w:rPr>
                <w:sz w:val="20"/>
                <w:szCs w:val="20"/>
              </w:rPr>
            </w:pPr>
            <w:r w:rsidRPr="00DF53F5">
              <w:rPr>
                <w:b/>
                <w:color w:val="000000"/>
                <w:sz w:val="20"/>
                <w:szCs w:val="20"/>
              </w:rPr>
              <w:t>Distribution of Home Mortgage Loans by Borrower Income Level</w:t>
            </w:r>
          </w:p>
        </w:tc>
      </w:tr>
      <w:tr w:rsidR="00DF53F5" w:rsidRPr="00DF53F5" w14:paraId="4D5B3084" w14:textId="77777777" w:rsidTr="001229E9">
        <w:trPr>
          <w:trHeight w:val="498"/>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347FC14" w14:textId="77777777" w:rsidR="00DF53F5" w:rsidRPr="00DF53F5" w:rsidRDefault="00DF53F5" w:rsidP="00DF53F5">
            <w:pPr>
              <w:rPr>
                <w:sz w:val="20"/>
                <w:szCs w:val="20"/>
              </w:rPr>
            </w:pPr>
            <w:r w:rsidRPr="00DF53F5">
              <w:rPr>
                <w:b/>
                <w:color w:val="000000"/>
                <w:sz w:val="20"/>
                <w:szCs w:val="20"/>
              </w:rPr>
              <w:t>Borrower Income Level</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B9E7104" w14:textId="77777777" w:rsidR="00DF53F5" w:rsidRPr="00DF53F5" w:rsidRDefault="00DF53F5" w:rsidP="00DF53F5">
            <w:pPr>
              <w:jc w:val="center"/>
              <w:rPr>
                <w:sz w:val="20"/>
                <w:szCs w:val="20"/>
              </w:rPr>
            </w:pPr>
            <w:r w:rsidRPr="00DF53F5">
              <w:rPr>
                <w:b/>
                <w:color w:val="000000"/>
                <w:sz w:val="20"/>
                <w:szCs w:val="20"/>
              </w:rPr>
              <w:t>% of  Families</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86299EA" w14:textId="77777777" w:rsidR="00DF53F5" w:rsidRPr="00DF53F5" w:rsidRDefault="00DF53F5" w:rsidP="00DF53F5">
            <w:pPr>
              <w:jc w:val="center"/>
              <w:rPr>
                <w:sz w:val="20"/>
                <w:szCs w:val="20"/>
              </w:rPr>
            </w:pPr>
            <w:r w:rsidRPr="00DF53F5">
              <w:rPr>
                <w:b/>
                <w:color w:val="000000"/>
                <w:sz w:val="20"/>
                <w:szCs w:val="20"/>
              </w:rPr>
              <w:t>Aggregate Performance</w:t>
            </w:r>
            <w:r w:rsidRPr="00DF53F5">
              <w:rPr>
                <w:b/>
                <w:color w:val="000000"/>
                <w:sz w:val="20"/>
                <w:szCs w:val="20"/>
              </w:rPr>
              <w:br/>
              <w:t>% of #</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9B7A2B1" w14:textId="77777777" w:rsidR="00DF53F5" w:rsidRPr="00DF53F5" w:rsidRDefault="00DF53F5" w:rsidP="00DF53F5">
            <w:pPr>
              <w:jc w:val="center"/>
              <w:rPr>
                <w:sz w:val="20"/>
                <w:szCs w:val="20"/>
              </w:rPr>
            </w:pPr>
            <w:r w:rsidRPr="00DF53F5">
              <w:rPr>
                <w:b/>
                <w:color w:val="000000"/>
                <w:sz w:val="20"/>
                <w:szCs w:val="20"/>
              </w:rPr>
              <w:t>#</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4E91D5F" w14:textId="77777777" w:rsidR="00DF53F5" w:rsidRPr="00DF53F5" w:rsidRDefault="00DF53F5" w:rsidP="00DF53F5">
            <w:pPr>
              <w:jc w:val="center"/>
              <w:rPr>
                <w:sz w:val="20"/>
                <w:szCs w:val="20"/>
              </w:rPr>
            </w:pPr>
            <w:r w:rsidRPr="00DF53F5">
              <w:rPr>
                <w:b/>
                <w:color w:val="000000"/>
                <w:sz w:val="20"/>
                <w:szCs w:val="20"/>
              </w:rPr>
              <w:t>%</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E187A68" w14:textId="77777777" w:rsidR="00DF53F5" w:rsidRPr="00DF53F5" w:rsidRDefault="00DF53F5" w:rsidP="00DF53F5">
            <w:pPr>
              <w:jc w:val="center"/>
              <w:rPr>
                <w:sz w:val="20"/>
                <w:szCs w:val="20"/>
              </w:rPr>
            </w:pPr>
            <w:r w:rsidRPr="00DF53F5">
              <w:rPr>
                <w:b/>
                <w:color w:val="000000"/>
                <w:sz w:val="20"/>
                <w:szCs w:val="20"/>
              </w:rPr>
              <w:t>$(000s)</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C1CF121" w14:textId="77777777" w:rsidR="00DF53F5" w:rsidRPr="00DF53F5" w:rsidRDefault="00DF53F5" w:rsidP="00DF53F5">
            <w:pPr>
              <w:jc w:val="center"/>
              <w:rPr>
                <w:sz w:val="20"/>
                <w:szCs w:val="20"/>
              </w:rPr>
            </w:pPr>
            <w:r w:rsidRPr="00DF53F5">
              <w:rPr>
                <w:b/>
                <w:color w:val="000000"/>
                <w:sz w:val="20"/>
                <w:szCs w:val="20"/>
              </w:rPr>
              <w:t>%</w:t>
            </w:r>
          </w:p>
        </w:tc>
      </w:tr>
      <w:tr w:rsidR="00DF53F5" w:rsidRPr="00DF53F5" w14:paraId="6EB70AA6" w14:textId="77777777" w:rsidTr="001229E9">
        <w:trPr>
          <w:trHeight w:val="181"/>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E611444" w14:textId="36D67204" w:rsidR="00DF53F5" w:rsidRPr="00DF53F5" w:rsidRDefault="009F41BF" w:rsidP="00DF53F5">
            <w:pPr>
              <w:rPr>
                <w:sz w:val="20"/>
                <w:szCs w:val="20"/>
              </w:rPr>
            </w:pPr>
            <w:r>
              <w:rPr>
                <w:sz w:val="20"/>
                <w:szCs w:val="20"/>
              </w:rPr>
              <w:t>Low</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534627" w14:textId="77777777" w:rsidR="00DF53F5" w:rsidRPr="00DF53F5" w:rsidRDefault="00DF53F5" w:rsidP="00DF53F5">
            <w:pPr>
              <w:rPr>
                <w:sz w:val="20"/>
                <w:szCs w:val="20"/>
              </w:rPr>
            </w:pPr>
          </w:p>
        </w:tc>
      </w:tr>
      <w:tr w:rsidR="004F1F6C" w:rsidRPr="00DF53F5" w14:paraId="03420E21"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F208341" w14:textId="77777777" w:rsidR="004F1F6C" w:rsidRPr="00DF53F5" w:rsidRDefault="004F1F6C" w:rsidP="004F1F6C">
            <w:pPr>
              <w:jc w:val="right"/>
              <w:rPr>
                <w:sz w:val="20"/>
                <w:szCs w:val="20"/>
              </w:rPr>
            </w:pPr>
            <w:r w:rsidRPr="00DF53F5">
              <w:rPr>
                <w:color w:val="000000"/>
                <w:sz w:val="20"/>
                <w:szCs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845AF" w14:textId="00AA4EF5" w:rsidR="004F1F6C" w:rsidRPr="00512E81" w:rsidRDefault="004F1F6C" w:rsidP="004F1F6C">
            <w:pPr>
              <w:jc w:val="center"/>
              <w:rPr>
                <w:sz w:val="20"/>
                <w:szCs w:val="20"/>
              </w:rPr>
            </w:pPr>
            <w:r w:rsidRPr="00512E81">
              <w:rPr>
                <w:rFonts w:eastAsia="Arial"/>
                <w:sz w:val="20"/>
                <w:szCs w:val="20"/>
              </w:rPr>
              <w:t>23.6</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7601CB" w14:textId="20A3B731" w:rsidR="004F1F6C" w:rsidRPr="00512E81" w:rsidRDefault="004F1F6C" w:rsidP="004F1F6C">
            <w:pPr>
              <w:jc w:val="center"/>
              <w:rPr>
                <w:sz w:val="20"/>
                <w:szCs w:val="20"/>
              </w:rPr>
            </w:pPr>
            <w:r w:rsidRPr="00512E81">
              <w:rPr>
                <w:rFonts w:eastAsia="Arial"/>
                <w:sz w:val="20"/>
                <w:szCs w:val="20"/>
              </w:rPr>
              <w:t>6.9</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2FC3ED" w14:textId="43B79065" w:rsidR="004F1F6C" w:rsidRPr="00512E81" w:rsidRDefault="004F1F6C" w:rsidP="004F1F6C">
            <w:pPr>
              <w:jc w:val="center"/>
              <w:rPr>
                <w:sz w:val="20"/>
                <w:szCs w:val="20"/>
              </w:rPr>
            </w:pPr>
            <w:r w:rsidRPr="00512E81">
              <w:rPr>
                <w:rFonts w:eastAsia="Arial"/>
                <w:sz w:val="20"/>
                <w:szCs w:val="20"/>
              </w:rPr>
              <w:t>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7C4C9C" w14:textId="742B3D81" w:rsidR="004F1F6C" w:rsidRPr="00512E81" w:rsidRDefault="004F1F6C" w:rsidP="004F1F6C">
            <w:pPr>
              <w:jc w:val="center"/>
              <w:rPr>
                <w:sz w:val="20"/>
                <w:szCs w:val="20"/>
              </w:rPr>
            </w:pPr>
            <w:r w:rsidRPr="00512E81">
              <w:rPr>
                <w:rFonts w:eastAsia="Arial"/>
                <w:sz w:val="20"/>
                <w:szCs w:val="20"/>
              </w:rPr>
              <w:t>1.6</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40412" w14:textId="39E3790C" w:rsidR="004F1F6C" w:rsidRPr="00512E81" w:rsidRDefault="004F1F6C" w:rsidP="004F1F6C">
            <w:pPr>
              <w:jc w:val="center"/>
              <w:rPr>
                <w:sz w:val="20"/>
                <w:szCs w:val="20"/>
              </w:rPr>
            </w:pPr>
            <w:r w:rsidRPr="00512E81">
              <w:rPr>
                <w:rFonts w:eastAsia="Arial"/>
                <w:sz w:val="20"/>
                <w:szCs w:val="20"/>
              </w:rPr>
              <w:t>100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CE2B6" w14:textId="66A78C83" w:rsidR="004F1F6C" w:rsidRPr="00512E81" w:rsidRDefault="004F1F6C" w:rsidP="004F1F6C">
            <w:pPr>
              <w:jc w:val="center"/>
              <w:rPr>
                <w:sz w:val="20"/>
                <w:szCs w:val="20"/>
              </w:rPr>
            </w:pPr>
            <w:r w:rsidRPr="00512E81">
              <w:rPr>
                <w:rFonts w:eastAsia="Arial"/>
                <w:sz w:val="20"/>
                <w:szCs w:val="20"/>
              </w:rPr>
              <w:t>0.3</w:t>
            </w:r>
          </w:p>
        </w:tc>
      </w:tr>
      <w:tr w:rsidR="004F1F6C" w:rsidRPr="00DF53F5" w14:paraId="7629A30C"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824C054" w14:textId="77777777" w:rsidR="004F1F6C" w:rsidRPr="00DF53F5" w:rsidRDefault="004F1F6C" w:rsidP="004F1F6C">
            <w:pPr>
              <w:jc w:val="right"/>
              <w:rPr>
                <w:sz w:val="20"/>
                <w:szCs w:val="20"/>
              </w:rPr>
            </w:pPr>
            <w:r w:rsidRPr="00DF53F5">
              <w:rPr>
                <w:color w:val="000000"/>
                <w:sz w:val="20"/>
                <w:szCs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F31184" w14:textId="44C65E8C" w:rsidR="004F1F6C" w:rsidRPr="00512E81" w:rsidRDefault="004F1F6C" w:rsidP="004F1F6C">
            <w:pPr>
              <w:jc w:val="center"/>
              <w:rPr>
                <w:sz w:val="20"/>
                <w:szCs w:val="20"/>
              </w:rPr>
            </w:pPr>
            <w:r w:rsidRPr="00512E81">
              <w:rPr>
                <w:rFonts w:eastAsia="Arial"/>
                <w:sz w:val="20"/>
                <w:szCs w:val="20"/>
              </w:rPr>
              <w:t>23.6</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3C4F6" w14:textId="0925FC5A" w:rsidR="004F1F6C" w:rsidRPr="00512E81" w:rsidRDefault="004F1F6C" w:rsidP="004F1F6C">
            <w:pPr>
              <w:jc w:val="center"/>
              <w:rPr>
                <w:sz w:val="20"/>
                <w:szCs w:val="20"/>
              </w:rPr>
            </w:pPr>
            <w:r w:rsidRPr="00512E81">
              <w:rPr>
                <w:rFonts w:eastAsia="Arial"/>
                <w:sz w:val="20"/>
                <w:szCs w:val="20"/>
              </w:rPr>
              <w:t>5.3</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7CC6A" w14:textId="114EB3DB" w:rsidR="004F1F6C" w:rsidRPr="00512E81" w:rsidRDefault="004F1F6C" w:rsidP="004F1F6C">
            <w:pPr>
              <w:jc w:val="center"/>
              <w:rPr>
                <w:sz w:val="20"/>
                <w:szCs w:val="20"/>
              </w:rPr>
            </w:pPr>
            <w:r w:rsidRPr="00512E81">
              <w:rPr>
                <w:rFonts w:eastAsia="Arial"/>
                <w:sz w:val="20"/>
                <w:szCs w:val="20"/>
              </w:rPr>
              <w:t>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9B713" w14:textId="1356A404" w:rsidR="004F1F6C" w:rsidRPr="00512E81" w:rsidRDefault="004F1F6C" w:rsidP="004F1F6C">
            <w:pPr>
              <w:jc w:val="center"/>
              <w:rPr>
                <w:sz w:val="20"/>
                <w:szCs w:val="20"/>
              </w:rPr>
            </w:pPr>
            <w:r w:rsidRPr="00512E81">
              <w:rPr>
                <w:rFonts w:eastAsia="Arial"/>
                <w:sz w:val="20"/>
                <w:szCs w:val="20"/>
              </w:rPr>
              <w:t>2.3</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81596D" w14:textId="7DDEDD8E" w:rsidR="004F1F6C" w:rsidRPr="00512E81" w:rsidRDefault="004F1F6C" w:rsidP="004F1F6C">
            <w:pPr>
              <w:jc w:val="center"/>
              <w:rPr>
                <w:sz w:val="20"/>
                <w:szCs w:val="20"/>
              </w:rPr>
            </w:pPr>
            <w:r w:rsidRPr="00512E81">
              <w:rPr>
                <w:rFonts w:eastAsia="Arial"/>
                <w:sz w:val="20"/>
                <w:szCs w:val="20"/>
              </w:rPr>
              <w:t>380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07873" w14:textId="69E681F3" w:rsidR="004F1F6C" w:rsidRPr="00512E81" w:rsidRDefault="004F1F6C" w:rsidP="004F1F6C">
            <w:pPr>
              <w:jc w:val="center"/>
              <w:rPr>
                <w:sz w:val="20"/>
                <w:szCs w:val="20"/>
              </w:rPr>
            </w:pPr>
            <w:r w:rsidRPr="00512E81">
              <w:rPr>
                <w:rFonts w:eastAsia="Arial"/>
                <w:sz w:val="20"/>
                <w:szCs w:val="20"/>
              </w:rPr>
              <w:t>0.9</w:t>
            </w:r>
          </w:p>
        </w:tc>
      </w:tr>
      <w:tr w:rsidR="004F1F6C" w:rsidRPr="00DF53F5" w14:paraId="03DD29F3"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4FDDC9C" w14:textId="37CFF871" w:rsidR="004F1F6C" w:rsidRPr="00DF53F5" w:rsidRDefault="004F1F6C" w:rsidP="004F1F6C">
            <w:pPr>
              <w:jc w:val="right"/>
              <w:rPr>
                <w:color w:val="000000"/>
                <w:sz w:val="20"/>
                <w:szCs w:val="20"/>
              </w:rPr>
            </w:pPr>
            <w:r>
              <w:rPr>
                <w:color w:val="000000"/>
                <w:sz w:val="20"/>
                <w:szCs w:val="20"/>
              </w:rPr>
              <w:t>YTD 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51E58" w14:textId="4B1440BC" w:rsidR="004F1F6C" w:rsidRPr="00512E81" w:rsidRDefault="004F1F6C" w:rsidP="004F1F6C">
            <w:pPr>
              <w:jc w:val="center"/>
              <w:rPr>
                <w:sz w:val="20"/>
                <w:szCs w:val="20"/>
              </w:rPr>
            </w:pPr>
            <w:r w:rsidRPr="00512E81">
              <w:rPr>
                <w:rFonts w:eastAsia="Arial"/>
                <w:sz w:val="20"/>
                <w:szCs w:val="20"/>
              </w:rPr>
              <w:t>23.6</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69EF5B" w14:textId="630456FE" w:rsidR="004F1F6C" w:rsidRPr="00512E81" w:rsidRDefault="004F1F6C" w:rsidP="004F1F6C">
            <w:pPr>
              <w:jc w:val="center"/>
              <w:rPr>
                <w:sz w:val="20"/>
                <w:szCs w:val="20"/>
              </w:rPr>
            </w:pPr>
            <w:r w:rsidRPr="00512E81">
              <w:rPr>
                <w:rFonts w:eastAsia="Arial"/>
                <w:sz w:val="20"/>
                <w:szCs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106AA7" w14:textId="388A414A" w:rsidR="004F1F6C" w:rsidRPr="00512E81" w:rsidRDefault="004F1F6C" w:rsidP="004F1F6C">
            <w:pPr>
              <w:jc w:val="center"/>
              <w:rPr>
                <w:sz w:val="20"/>
                <w:szCs w:val="20"/>
              </w:rPr>
            </w:pPr>
            <w:r w:rsidRPr="00512E81">
              <w:rPr>
                <w:rFonts w:eastAsia="Arial"/>
                <w:sz w:val="20"/>
                <w:szCs w:val="20"/>
              </w:rPr>
              <w:t>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82E0E" w14:textId="2AF786C1" w:rsidR="004F1F6C" w:rsidRPr="00512E81" w:rsidRDefault="004F1F6C" w:rsidP="004F1F6C">
            <w:pPr>
              <w:jc w:val="center"/>
              <w:rPr>
                <w:sz w:val="20"/>
                <w:szCs w:val="20"/>
              </w:rPr>
            </w:pPr>
            <w:r w:rsidRPr="00512E81">
              <w:rPr>
                <w:rFonts w:eastAsia="Arial"/>
                <w:sz w:val="20"/>
                <w:szCs w:val="20"/>
              </w:rPr>
              <w:t>2.7</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6BC16E" w14:textId="74F96FE7" w:rsidR="004F1F6C" w:rsidRPr="00512E81" w:rsidRDefault="004F1F6C" w:rsidP="004F1F6C">
            <w:pPr>
              <w:jc w:val="center"/>
              <w:rPr>
                <w:sz w:val="20"/>
                <w:szCs w:val="20"/>
              </w:rPr>
            </w:pPr>
            <w:r w:rsidRPr="00512E81">
              <w:rPr>
                <w:rFonts w:eastAsia="Arial"/>
                <w:sz w:val="20"/>
                <w:szCs w:val="20"/>
              </w:rPr>
              <w:t>74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E853A0" w14:textId="2046F04C" w:rsidR="004F1F6C" w:rsidRPr="00512E81" w:rsidRDefault="004F1F6C" w:rsidP="004F1F6C">
            <w:pPr>
              <w:jc w:val="center"/>
              <w:rPr>
                <w:sz w:val="20"/>
                <w:szCs w:val="20"/>
              </w:rPr>
            </w:pPr>
            <w:r w:rsidRPr="00512E81">
              <w:rPr>
                <w:rFonts w:eastAsia="Arial"/>
                <w:sz w:val="20"/>
                <w:szCs w:val="20"/>
              </w:rPr>
              <w:t>0.2</w:t>
            </w:r>
          </w:p>
        </w:tc>
      </w:tr>
      <w:tr w:rsidR="00971193" w:rsidRPr="00DF53F5" w14:paraId="64D5C2F7" w14:textId="77777777" w:rsidTr="001229E9">
        <w:trPr>
          <w:trHeight w:val="181"/>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6610A4E" w14:textId="77777777" w:rsidR="00971193" w:rsidRPr="00DF53F5" w:rsidRDefault="00971193" w:rsidP="00971193">
            <w:pPr>
              <w:rPr>
                <w:sz w:val="20"/>
                <w:szCs w:val="20"/>
              </w:rPr>
            </w:pPr>
            <w:r w:rsidRPr="00DF53F5">
              <w:rPr>
                <w:color w:val="000000"/>
                <w:sz w:val="20"/>
                <w:szCs w:val="20"/>
              </w:rPr>
              <w:t>Moderate</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5316C" w14:textId="77777777" w:rsidR="00971193" w:rsidRPr="00512E81" w:rsidRDefault="00971193" w:rsidP="00971193">
            <w:pPr>
              <w:rPr>
                <w:sz w:val="20"/>
                <w:szCs w:val="20"/>
              </w:rPr>
            </w:pPr>
          </w:p>
        </w:tc>
      </w:tr>
      <w:tr w:rsidR="004F1F6C" w:rsidRPr="00DF53F5" w14:paraId="394B77A2"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7A5698D" w14:textId="77777777" w:rsidR="004F1F6C" w:rsidRPr="00DF53F5" w:rsidRDefault="004F1F6C" w:rsidP="004F1F6C">
            <w:pPr>
              <w:jc w:val="right"/>
              <w:rPr>
                <w:sz w:val="20"/>
                <w:szCs w:val="20"/>
              </w:rPr>
            </w:pPr>
            <w:r w:rsidRPr="00DF53F5">
              <w:rPr>
                <w:color w:val="000000"/>
                <w:sz w:val="20"/>
                <w:szCs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F2EAD" w14:textId="0BC651DA" w:rsidR="004F1F6C" w:rsidRPr="00512E81" w:rsidRDefault="004F1F6C" w:rsidP="004F1F6C">
            <w:pPr>
              <w:jc w:val="center"/>
              <w:rPr>
                <w:sz w:val="20"/>
                <w:szCs w:val="20"/>
              </w:rPr>
            </w:pPr>
            <w:r w:rsidRPr="00512E81">
              <w:rPr>
                <w:rFonts w:eastAsia="Arial"/>
                <w:sz w:val="20"/>
                <w:szCs w:val="20"/>
              </w:rPr>
              <w:t>14.0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E5E6A" w14:textId="523EBC76" w:rsidR="004F1F6C" w:rsidRPr="00512E81" w:rsidRDefault="004F1F6C" w:rsidP="004F1F6C">
            <w:pPr>
              <w:jc w:val="center"/>
              <w:rPr>
                <w:sz w:val="20"/>
                <w:szCs w:val="20"/>
              </w:rPr>
            </w:pPr>
            <w:r w:rsidRPr="00512E81">
              <w:rPr>
                <w:rFonts w:eastAsia="Arial"/>
                <w:sz w:val="20"/>
                <w:szCs w:val="20"/>
              </w:rPr>
              <w:t>16.0</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B8F1DB" w14:textId="4BD0D169" w:rsidR="004F1F6C" w:rsidRPr="00512E81" w:rsidRDefault="004F1F6C" w:rsidP="004F1F6C">
            <w:pPr>
              <w:jc w:val="center"/>
              <w:rPr>
                <w:sz w:val="20"/>
                <w:szCs w:val="20"/>
              </w:rPr>
            </w:pPr>
            <w:r w:rsidRPr="00512E81">
              <w:rPr>
                <w:rFonts w:eastAsia="Arial"/>
                <w:sz w:val="20"/>
                <w:szCs w:val="20"/>
              </w:rPr>
              <w:t>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23473C" w14:textId="24FE7B1E" w:rsidR="004F1F6C" w:rsidRPr="00512E81" w:rsidRDefault="004F1F6C" w:rsidP="004F1F6C">
            <w:pPr>
              <w:jc w:val="center"/>
              <w:rPr>
                <w:sz w:val="20"/>
                <w:szCs w:val="20"/>
              </w:rPr>
            </w:pPr>
            <w:r w:rsidRPr="00512E81">
              <w:rPr>
                <w:rFonts w:eastAsia="Arial"/>
                <w:sz w:val="20"/>
                <w:szCs w:val="20"/>
              </w:rPr>
              <w:t>4.9</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709933" w14:textId="51C5FCCC" w:rsidR="004F1F6C" w:rsidRPr="00512E81" w:rsidRDefault="004F1F6C" w:rsidP="004F1F6C">
            <w:pPr>
              <w:jc w:val="center"/>
              <w:rPr>
                <w:sz w:val="20"/>
                <w:szCs w:val="20"/>
              </w:rPr>
            </w:pPr>
            <w:r w:rsidRPr="00512E81">
              <w:rPr>
                <w:rFonts w:eastAsia="Arial"/>
                <w:sz w:val="20"/>
                <w:szCs w:val="20"/>
              </w:rPr>
              <w:t>2,283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1E92E" w14:textId="33800237" w:rsidR="004F1F6C" w:rsidRPr="00512E81" w:rsidRDefault="004F1F6C" w:rsidP="004F1F6C">
            <w:pPr>
              <w:jc w:val="center"/>
              <w:rPr>
                <w:sz w:val="20"/>
                <w:szCs w:val="20"/>
              </w:rPr>
            </w:pPr>
            <w:r w:rsidRPr="00512E81">
              <w:rPr>
                <w:rFonts w:eastAsia="Arial"/>
                <w:sz w:val="20"/>
                <w:szCs w:val="20"/>
              </w:rPr>
              <w:t>6.3</w:t>
            </w:r>
          </w:p>
        </w:tc>
      </w:tr>
      <w:tr w:rsidR="004F1F6C" w:rsidRPr="00DF53F5" w14:paraId="14696E37"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F394750" w14:textId="77777777" w:rsidR="004F1F6C" w:rsidRPr="00DF53F5" w:rsidRDefault="004F1F6C" w:rsidP="004F1F6C">
            <w:pPr>
              <w:jc w:val="right"/>
              <w:rPr>
                <w:sz w:val="20"/>
                <w:szCs w:val="20"/>
              </w:rPr>
            </w:pPr>
            <w:r w:rsidRPr="00DF53F5">
              <w:rPr>
                <w:color w:val="000000"/>
                <w:sz w:val="20"/>
                <w:szCs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718A25" w14:textId="50E1C53B" w:rsidR="004F1F6C" w:rsidRPr="00512E81" w:rsidRDefault="004F1F6C" w:rsidP="004F1F6C">
            <w:pPr>
              <w:jc w:val="center"/>
              <w:rPr>
                <w:sz w:val="20"/>
                <w:szCs w:val="20"/>
              </w:rPr>
            </w:pPr>
            <w:r w:rsidRPr="00512E81">
              <w:rPr>
                <w:rFonts w:eastAsia="Arial"/>
                <w:sz w:val="20"/>
                <w:szCs w:val="20"/>
              </w:rPr>
              <w:t>14.0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CDB596" w14:textId="00584CB1" w:rsidR="004F1F6C" w:rsidRPr="00512E81" w:rsidRDefault="004F1F6C" w:rsidP="004F1F6C">
            <w:pPr>
              <w:jc w:val="center"/>
              <w:rPr>
                <w:sz w:val="20"/>
                <w:szCs w:val="20"/>
              </w:rPr>
            </w:pPr>
            <w:r w:rsidRPr="00512E81">
              <w:rPr>
                <w:rFonts w:eastAsia="Arial"/>
                <w:sz w:val="20"/>
                <w:szCs w:val="20"/>
              </w:rPr>
              <w:t>15.5</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C16FB" w14:textId="5682D720" w:rsidR="004F1F6C" w:rsidRPr="00512E81" w:rsidRDefault="004F1F6C" w:rsidP="004F1F6C">
            <w:pPr>
              <w:jc w:val="center"/>
              <w:rPr>
                <w:sz w:val="20"/>
                <w:szCs w:val="20"/>
              </w:rPr>
            </w:pPr>
            <w:r w:rsidRPr="00512E81">
              <w:rPr>
                <w:rFonts w:eastAsia="Arial"/>
                <w:sz w:val="20"/>
                <w:szCs w:val="20"/>
              </w:rPr>
              <w:t>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A6CB5" w14:textId="7483C2A3" w:rsidR="004F1F6C" w:rsidRPr="00512E81" w:rsidRDefault="004F1F6C" w:rsidP="004F1F6C">
            <w:pPr>
              <w:jc w:val="center"/>
              <w:rPr>
                <w:sz w:val="20"/>
                <w:szCs w:val="20"/>
              </w:rPr>
            </w:pPr>
            <w:r w:rsidRPr="00512E81">
              <w:rPr>
                <w:rFonts w:eastAsia="Arial"/>
                <w:sz w:val="20"/>
                <w:szCs w:val="20"/>
              </w:rPr>
              <w:t>3.5</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92735" w14:textId="7DCED189" w:rsidR="004F1F6C" w:rsidRPr="00512E81" w:rsidRDefault="004F1F6C" w:rsidP="004F1F6C">
            <w:pPr>
              <w:jc w:val="center"/>
              <w:rPr>
                <w:sz w:val="20"/>
                <w:szCs w:val="20"/>
              </w:rPr>
            </w:pPr>
            <w:r w:rsidRPr="00512E81">
              <w:rPr>
                <w:rFonts w:eastAsia="Arial"/>
                <w:sz w:val="20"/>
                <w:szCs w:val="20"/>
              </w:rPr>
              <w:t>325</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1F2B9" w14:textId="02496B63" w:rsidR="004F1F6C" w:rsidRPr="00512E81" w:rsidRDefault="004F1F6C" w:rsidP="004F1F6C">
            <w:pPr>
              <w:jc w:val="center"/>
              <w:rPr>
                <w:sz w:val="20"/>
                <w:szCs w:val="20"/>
              </w:rPr>
            </w:pPr>
            <w:r w:rsidRPr="00512E81">
              <w:rPr>
                <w:rFonts w:eastAsia="Arial"/>
                <w:sz w:val="20"/>
                <w:szCs w:val="20"/>
              </w:rPr>
              <w:t>0.8</w:t>
            </w:r>
          </w:p>
        </w:tc>
      </w:tr>
      <w:tr w:rsidR="004F1F6C" w:rsidRPr="00DF53F5" w14:paraId="666661C3"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ACA11B2" w14:textId="00718DD5" w:rsidR="004F1F6C" w:rsidRPr="00DF53F5" w:rsidRDefault="004F1F6C" w:rsidP="004F1F6C">
            <w:pPr>
              <w:jc w:val="right"/>
              <w:rPr>
                <w:color w:val="000000"/>
                <w:sz w:val="20"/>
                <w:szCs w:val="20"/>
              </w:rPr>
            </w:pPr>
            <w:r>
              <w:rPr>
                <w:color w:val="000000"/>
                <w:sz w:val="20"/>
                <w:szCs w:val="20"/>
              </w:rPr>
              <w:t>YTD 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158BCC" w14:textId="55A956C2" w:rsidR="004F1F6C" w:rsidRPr="00512E81" w:rsidRDefault="004F1F6C" w:rsidP="004F1F6C">
            <w:pPr>
              <w:jc w:val="center"/>
              <w:rPr>
                <w:sz w:val="20"/>
                <w:szCs w:val="20"/>
              </w:rPr>
            </w:pPr>
            <w:r w:rsidRPr="00512E81">
              <w:rPr>
                <w:rFonts w:eastAsia="Arial"/>
                <w:sz w:val="20"/>
                <w:szCs w:val="20"/>
              </w:rPr>
              <w:t>14.0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A0B214" w14:textId="5C72273F" w:rsidR="004F1F6C" w:rsidRPr="00512E81" w:rsidRDefault="004F1F6C" w:rsidP="004F1F6C">
            <w:pPr>
              <w:jc w:val="center"/>
              <w:rPr>
                <w:sz w:val="20"/>
                <w:szCs w:val="20"/>
              </w:rPr>
            </w:pPr>
            <w:r w:rsidRPr="00512E81">
              <w:rPr>
                <w:rFonts w:eastAsia="Arial"/>
                <w:sz w:val="20"/>
                <w:szCs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DC801B" w14:textId="22587368" w:rsidR="004F1F6C" w:rsidRPr="00512E81" w:rsidRDefault="004F1F6C" w:rsidP="004F1F6C">
            <w:pPr>
              <w:jc w:val="center"/>
              <w:rPr>
                <w:sz w:val="20"/>
                <w:szCs w:val="20"/>
              </w:rPr>
            </w:pPr>
            <w:r w:rsidRPr="00512E81">
              <w:rPr>
                <w:rFonts w:eastAsia="Arial"/>
                <w:sz w:val="20"/>
                <w:szCs w:val="20"/>
              </w:rPr>
              <w:t>5</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2B79A8" w14:textId="36501641" w:rsidR="004F1F6C" w:rsidRPr="00512E81" w:rsidRDefault="004F1F6C" w:rsidP="004F1F6C">
            <w:pPr>
              <w:jc w:val="center"/>
              <w:rPr>
                <w:sz w:val="20"/>
                <w:szCs w:val="20"/>
              </w:rPr>
            </w:pPr>
            <w:r w:rsidRPr="00512E81">
              <w:rPr>
                <w:rFonts w:eastAsia="Arial"/>
                <w:sz w:val="20"/>
                <w:szCs w:val="20"/>
              </w:rPr>
              <w:t>6.8</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E6E099" w14:textId="39727B4E" w:rsidR="004F1F6C" w:rsidRPr="00512E81" w:rsidRDefault="004F1F6C" w:rsidP="004F1F6C">
            <w:pPr>
              <w:jc w:val="center"/>
              <w:rPr>
                <w:sz w:val="20"/>
                <w:szCs w:val="20"/>
              </w:rPr>
            </w:pPr>
            <w:r w:rsidRPr="00512E81">
              <w:rPr>
                <w:rFonts w:eastAsia="Arial"/>
                <w:sz w:val="20"/>
                <w:szCs w:val="20"/>
              </w:rPr>
              <w:t>1,223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31AC2" w14:textId="77F121F2" w:rsidR="004F1F6C" w:rsidRPr="00512E81" w:rsidRDefault="004F1F6C" w:rsidP="004F1F6C">
            <w:pPr>
              <w:jc w:val="center"/>
              <w:rPr>
                <w:sz w:val="20"/>
                <w:szCs w:val="20"/>
              </w:rPr>
            </w:pPr>
            <w:r w:rsidRPr="00512E81">
              <w:rPr>
                <w:rFonts w:eastAsia="Arial"/>
                <w:sz w:val="20"/>
                <w:szCs w:val="20"/>
              </w:rPr>
              <w:t>3.6</w:t>
            </w:r>
          </w:p>
        </w:tc>
      </w:tr>
      <w:tr w:rsidR="00971193" w:rsidRPr="00DF53F5" w14:paraId="39CC04B0" w14:textId="77777777" w:rsidTr="001229E9">
        <w:trPr>
          <w:trHeight w:val="181"/>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BB5E0A4" w14:textId="77777777" w:rsidR="00971193" w:rsidRPr="00DF53F5" w:rsidRDefault="00971193" w:rsidP="00971193">
            <w:pPr>
              <w:rPr>
                <w:sz w:val="20"/>
                <w:szCs w:val="20"/>
              </w:rPr>
            </w:pPr>
            <w:r w:rsidRPr="00DF53F5">
              <w:rPr>
                <w:color w:val="000000"/>
                <w:sz w:val="20"/>
                <w:szCs w:val="20"/>
              </w:rPr>
              <w:t>Middle</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7B0F1" w14:textId="77777777" w:rsidR="00971193" w:rsidRPr="00512E81" w:rsidRDefault="00971193" w:rsidP="00971193">
            <w:pPr>
              <w:rPr>
                <w:sz w:val="20"/>
                <w:szCs w:val="20"/>
              </w:rPr>
            </w:pPr>
          </w:p>
        </w:tc>
      </w:tr>
      <w:tr w:rsidR="004F1F6C" w:rsidRPr="00DF53F5" w14:paraId="1A906928"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2DCA695" w14:textId="77777777" w:rsidR="004F1F6C" w:rsidRPr="00DF53F5" w:rsidRDefault="004F1F6C" w:rsidP="004F1F6C">
            <w:pPr>
              <w:jc w:val="right"/>
              <w:rPr>
                <w:sz w:val="20"/>
                <w:szCs w:val="20"/>
              </w:rPr>
            </w:pPr>
            <w:r w:rsidRPr="00DF53F5">
              <w:rPr>
                <w:color w:val="000000"/>
                <w:sz w:val="20"/>
                <w:szCs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EF8961" w14:textId="1B869235" w:rsidR="004F1F6C" w:rsidRPr="00512E81" w:rsidRDefault="004F1F6C" w:rsidP="004F1F6C">
            <w:pPr>
              <w:jc w:val="center"/>
              <w:rPr>
                <w:sz w:val="20"/>
                <w:szCs w:val="20"/>
              </w:rPr>
            </w:pPr>
            <w:r w:rsidRPr="00512E81">
              <w:rPr>
                <w:rFonts w:eastAsia="Arial"/>
                <w:sz w:val="20"/>
                <w:szCs w:val="20"/>
              </w:rPr>
              <w:t>17.5</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6339F" w14:textId="14A3C476" w:rsidR="004F1F6C" w:rsidRPr="00512E81" w:rsidRDefault="004F1F6C" w:rsidP="004F1F6C">
            <w:pPr>
              <w:jc w:val="center"/>
              <w:rPr>
                <w:sz w:val="20"/>
                <w:szCs w:val="20"/>
              </w:rPr>
            </w:pPr>
            <w:r w:rsidRPr="00512E81">
              <w:rPr>
                <w:rFonts w:eastAsia="Arial"/>
                <w:sz w:val="20"/>
                <w:szCs w:val="20"/>
              </w:rPr>
              <w:t>19.3</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A70505" w14:textId="69B4A819" w:rsidR="004F1F6C" w:rsidRPr="00512E81" w:rsidRDefault="004F1F6C" w:rsidP="004F1F6C">
            <w:pPr>
              <w:jc w:val="center"/>
              <w:rPr>
                <w:sz w:val="20"/>
                <w:szCs w:val="20"/>
              </w:rPr>
            </w:pPr>
            <w:r w:rsidRPr="00512E81">
              <w:rPr>
                <w:rFonts w:eastAsia="Arial"/>
                <w:sz w:val="20"/>
                <w:szCs w:val="20"/>
              </w:rPr>
              <w:t>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87BBD" w14:textId="52A1C0FD" w:rsidR="004F1F6C" w:rsidRPr="00512E81" w:rsidRDefault="004F1F6C" w:rsidP="004F1F6C">
            <w:pPr>
              <w:jc w:val="center"/>
              <w:rPr>
                <w:sz w:val="20"/>
                <w:szCs w:val="20"/>
              </w:rPr>
            </w:pPr>
            <w:r w:rsidRPr="00512E81">
              <w:rPr>
                <w:rFonts w:eastAsia="Arial"/>
                <w:sz w:val="20"/>
                <w:szCs w:val="20"/>
              </w:rPr>
              <w:t>9.8</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FE34A" w14:textId="2275980F" w:rsidR="004F1F6C" w:rsidRPr="00512E81" w:rsidRDefault="004F1F6C" w:rsidP="004F1F6C">
            <w:pPr>
              <w:jc w:val="center"/>
              <w:rPr>
                <w:sz w:val="20"/>
                <w:szCs w:val="20"/>
              </w:rPr>
            </w:pPr>
            <w:r w:rsidRPr="00512E81">
              <w:rPr>
                <w:rFonts w:eastAsia="Arial"/>
                <w:sz w:val="20"/>
                <w:szCs w:val="20"/>
              </w:rPr>
              <w:t>1,611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F81B9" w14:textId="14572B61" w:rsidR="004F1F6C" w:rsidRPr="00512E81" w:rsidRDefault="004F1F6C" w:rsidP="004F1F6C">
            <w:pPr>
              <w:jc w:val="center"/>
              <w:rPr>
                <w:sz w:val="20"/>
                <w:szCs w:val="20"/>
              </w:rPr>
            </w:pPr>
            <w:r w:rsidRPr="00512E81">
              <w:rPr>
                <w:rFonts w:eastAsia="Arial"/>
                <w:sz w:val="20"/>
                <w:szCs w:val="20"/>
              </w:rPr>
              <w:t>4.4</w:t>
            </w:r>
          </w:p>
        </w:tc>
      </w:tr>
      <w:tr w:rsidR="004F1F6C" w:rsidRPr="00DF53F5" w14:paraId="2B8116C6"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11ED9EE" w14:textId="77777777" w:rsidR="004F1F6C" w:rsidRPr="00DF53F5" w:rsidRDefault="004F1F6C" w:rsidP="004F1F6C">
            <w:pPr>
              <w:jc w:val="right"/>
              <w:rPr>
                <w:sz w:val="20"/>
                <w:szCs w:val="20"/>
              </w:rPr>
            </w:pPr>
            <w:r w:rsidRPr="00DF53F5">
              <w:rPr>
                <w:color w:val="000000"/>
                <w:sz w:val="20"/>
                <w:szCs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9B545C" w14:textId="6F27D6FE" w:rsidR="004F1F6C" w:rsidRPr="00512E81" w:rsidRDefault="004F1F6C" w:rsidP="004F1F6C">
            <w:pPr>
              <w:jc w:val="center"/>
              <w:rPr>
                <w:sz w:val="20"/>
                <w:szCs w:val="20"/>
              </w:rPr>
            </w:pPr>
            <w:r w:rsidRPr="00512E81">
              <w:rPr>
                <w:rFonts w:eastAsia="Arial"/>
                <w:sz w:val="20"/>
                <w:szCs w:val="20"/>
              </w:rPr>
              <w:t>17.5</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FF92D" w14:textId="666FB54C" w:rsidR="004F1F6C" w:rsidRPr="00512E81" w:rsidRDefault="004F1F6C" w:rsidP="004F1F6C">
            <w:pPr>
              <w:jc w:val="center"/>
              <w:rPr>
                <w:sz w:val="20"/>
                <w:szCs w:val="20"/>
              </w:rPr>
            </w:pPr>
            <w:r w:rsidRPr="00512E81">
              <w:rPr>
                <w:rFonts w:eastAsia="Arial"/>
                <w:sz w:val="20"/>
                <w:szCs w:val="20"/>
              </w:rPr>
              <w:t>19.8</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7368C" w14:textId="668B1B85" w:rsidR="004F1F6C" w:rsidRPr="00512E81" w:rsidRDefault="004F1F6C" w:rsidP="004F1F6C">
            <w:pPr>
              <w:jc w:val="center"/>
              <w:rPr>
                <w:sz w:val="20"/>
                <w:szCs w:val="20"/>
              </w:rPr>
            </w:pPr>
            <w:r w:rsidRPr="00512E81">
              <w:rPr>
                <w:rFonts w:eastAsia="Arial"/>
                <w:sz w:val="20"/>
                <w:szCs w:val="20"/>
              </w:rPr>
              <w:t>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C474CC" w14:textId="01ABA146" w:rsidR="004F1F6C" w:rsidRPr="00512E81" w:rsidRDefault="004F1F6C" w:rsidP="004F1F6C">
            <w:pPr>
              <w:jc w:val="center"/>
              <w:rPr>
                <w:sz w:val="20"/>
                <w:szCs w:val="20"/>
              </w:rPr>
            </w:pPr>
            <w:r w:rsidRPr="00512E81">
              <w:rPr>
                <w:rFonts w:eastAsia="Arial"/>
                <w:sz w:val="20"/>
                <w:szCs w:val="20"/>
              </w:rPr>
              <w:t>8.1</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18B14" w14:textId="3056B9BF" w:rsidR="004F1F6C" w:rsidRPr="00512E81" w:rsidRDefault="004F1F6C" w:rsidP="004F1F6C">
            <w:pPr>
              <w:jc w:val="center"/>
              <w:rPr>
                <w:sz w:val="20"/>
                <w:szCs w:val="20"/>
              </w:rPr>
            </w:pPr>
            <w:r w:rsidRPr="00512E81">
              <w:rPr>
                <w:rFonts w:eastAsia="Arial"/>
                <w:sz w:val="20"/>
                <w:szCs w:val="20"/>
              </w:rPr>
              <w:t>1,948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01575C" w14:textId="0A209A87" w:rsidR="004F1F6C" w:rsidRPr="00512E81" w:rsidRDefault="004F1F6C" w:rsidP="004F1F6C">
            <w:pPr>
              <w:jc w:val="center"/>
              <w:rPr>
                <w:sz w:val="20"/>
                <w:szCs w:val="20"/>
              </w:rPr>
            </w:pPr>
            <w:r w:rsidRPr="00512E81">
              <w:rPr>
                <w:rFonts w:eastAsia="Arial"/>
                <w:sz w:val="20"/>
                <w:szCs w:val="20"/>
              </w:rPr>
              <w:t>4.8</w:t>
            </w:r>
          </w:p>
        </w:tc>
      </w:tr>
      <w:tr w:rsidR="004F1F6C" w:rsidRPr="00DF53F5" w14:paraId="349B69BA"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2FDD135" w14:textId="064716F1" w:rsidR="004F1F6C" w:rsidRPr="00DF53F5" w:rsidRDefault="004F1F6C" w:rsidP="004F1F6C">
            <w:pPr>
              <w:jc w:val="right"/>
              <w:rPr>
                <w:color w:val="000000"/>
                <w:sz w:val="20"/>
                <w:szCs w:val="20"/>
              </w:rPr>
            </w:pPr>
            <w:r>
              <w:rPr>
                <w:color w:val="000000"/>
                <w:sz w:val="20"/>
                <w:szCs w:val="20"/>
              </w:rPr>
              <w:t>YTD 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4F89F0" w14:textId="1FD4D1C3" w:rsidR="004F1F6C" w:rsidRPr="00512E81" w:rsidRDefault="004F1F6C" w:rsidP="004F1F6C">
            <w:pPr>
              <w:jc w:val="center"/>
              <w:rPr>
                <w:sz w:val="20"/>
                <w:szCs w:val="20"/>
              </w:rPr>
            </w:pPr>
            <w:r w:rsidRPr="00512E81">
              <w:rPr>
                <w:rFonts w:eastAsia="Arial"/>
                <w:sz w:val="20"/>
                <w:szCs w:val="20"/>
              </w:rPr>
              <w:t>17.5</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6B920F" w14:textId="427FD977" w:rsidR="004F1F6C" w:rsidRPr="00512E81" w:rsidRDefault="004F1F6C" w:rsidP="004F1F6C">
            <w:pPr>
              <w:jc w:val="center"/>
              <w:rPr>
                <w:sz w:val="20"/>
                <w:szCs w:val="20"/>
              </w:rPr>
            </w:pPr>
            <w:r w:rsidRPr="00512E81">
              <w:rPr>
                <w:rFonts w:eastAsia="Arial"/>
                <w:sz w:val="20"/>
                <w:szCs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CF1A13" w14:textId="3DC689D7" w:rsidR="004F1F6C" w:rsidRPr="00512E81" w:rsidRDefault="004F1F6C" w:rsidP="004F1F6C">
            <w:pPr>
              <w:jc w:val="center"/>
              <w:rPr>
                <w:sz w:val="20"/>
                <w:szCs w:val="20"/>
              </w:rPr>
            </w:pPr>
            <w:r w:rsidRPr="00512E81">
              <w:rPr>
                <w:rFonts w:eastAsia="Arial"/>
                <w:sz w:val="20"/>
                <w:szCs w:val="20"/>
              </w:rPr>
              <w:t>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80F76" w14:textId="04A2CE42" w:rsidR="004F1F6C" w:rsidRPr="00512E81" w:rsidRDefault="004F1F6C" w:rsidP="004F1F6C">
            <w:pPr>
              <w:jc w:val="center"/>
              <w:rPr>
                <w:sz w:val="20"/>
                <w:szCs w:val="20"/>
              </w:rPr>
            </w:pPr>
            <w:r w:rsidRPr="00512E81">
              <w:rPr>
                <w:rFonts w:eastAsia="Arial"/>
                <w:sz w:val="20"/>
                <w:szCs w:val="20"/>
              </w:rPr>
              <w:t>10.8</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6036C" w14:textId="74CF6296" w:rsidR="004F1F6C" w:rsidRPr="00512E81" w:rsidRDefault="004F1F6C" w:rsidP="004F1F6C">
            <w:pPr>
              <w:jc w:val="center"/>
              <w:rPr>
                <w:sz w:val="20"/>
                <w:szCs w:val="20"/>
              </w:rPr>
            </w:pPr>
            <w:r w:rsidRPr="00512E81">
              <w:rPr>
                <w:rFonts w:eastAsia="Arial"/>
                <w:sz w:val="20"/>
                <w:szCs w:val="20"/>
              </w:rPr>
              <w:t>2,356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E331B" w14:textId="5305FF90" w:rsidR="004F1F6C" w:rsidRPr="00512E81" w:rsidRDefault="004F1F6C" w:rsidP="004F1F6C">
            <w:pPr>
              <w:jc w:val="center"/>
              <w:rPr>
                <w:sz w:val="20"/>
                <w:szCs w:val="20"/>
              </w:rPr>
            </w:pPr>
            <w:r w:rsidRPr="00512E81">
              <w:rPr>
                <w:rFonts w:eastAsia="Arial"/>
                <w:sz w:val="20"/>
                <w:szCs w:val="20"/>
              </w:rPr>
              <w:t>6.9</w:t>
            </w:r>
          </w:p>
        </w:tc>
      </w:tr>
      <w:tr w:rsidR="00971193" w:rsidRPr="00DF53F5" w14:paraId="5530EC33" w14:textId="77777777" w:rsidTr="001229E9">
        <w:trPr>
          <w:trHeight w:val="181"/>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253862C" w14:textId="77777777" w:rsidR="00971193" w:rsidRPr="00DF53F5" w:rsidRDefault="00971193" w:rsidP="00971193">
            <w:pPr>
              <w:rPr>
                <w:sz w:val="20"/>
                <w:szCs w:val="20"/>
              </w:rPr>
            </w:pPr>
            <w:r w:rsidRPr="00DF53F5">
              <w:rPr>
                <w:color w:val="000000"/>
                <w:sz w:val="20"/>
                <w:szCs w:val="20"/>
              </w:rPr>
              <w:t>Upper</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4EF59A" w14:textId="77777777" w:rsidR="00971193" w:rsidRPr="00512E81" w:rsidRDefault="00971193" w:rsidP="00971193">
            <w:pPr>
              <w:rPr>
                <w:sz w:val="20"/>
                <w:szCs w:val="20"/>
              </w:rPr>
            </w:pPr>
          </w:p>
        </w:tc>
      </w:tr>
      <w:tr w:rsidR="004F1F6C" w:rsidRPr="00DF53F5" w14:paraId="2021F07A"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0E23B27" w14:textId="77777777" w:rsidR="004F1F6C" w:rsidRPr="00DF53F5" w:rsidRDefault="004F1F6C" w:rsidP="004F1F6C">
            <w:pPr>
              <w:jc w:val="right"/>
              <w:rPr>
                <w:sz w:val="20"/>
                <w:szCs w:val="20"/>
              </w:rPr>
            </w:pPr>
            <w:r w:rsidRPr="00DF53F5">
              <w:rPr>
                <w:color w:val="000000"/>
                <w:sz w:val="20"/>
                <w:szCs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04286E" w14:textId="2DE49FFB" w:rsidR="004F1F6C" w:rsidRPr="00512E81" w:rsidRDefault="004F1F6C" w:rsidP="004F1F6C">
            <w:pPr>
              <w:jc w:val="center"/>
              <w:rPr>
                <w:sz w:val="20"/>
                <w:szCs w:val="20"/>
              </w:rPr>
            </w:pPr>
            <w:r w:rsidRPr="00512E81">
              <w:rPr>
                <w:rFonts w:eastAsia="Arial"/>
                <w:sz w:val="20"/>
                <w:szCs w:val="20"/>
              </w:rPr>
              <w:t>44.9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8FAE98" w14:textId="36DA3D18" w:rsidR="004F1F6C" w:rsidRPr="00512E81" w:rsidRDefault="004F1F6C" w:rsidP="004F1F6C">
            <w:pPr>
              <w:jc w:val="center"/>
              <w:rPr>
                <w:sz w:val="20"/>
                <w:szCs w:val="20"/>
              </w:rPr>
            </w:pPr>
            <w:r w:rsidRPr="00512E81">
              <w:rPr>
                <w:rFonts w:eastAsia="Arial"/>
                <w:sz w:val="20"/>
                <w:szCs w:val="20"/>
              </w:rPr>
              <w:t>45.8</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29E49E" w14:textId="6D66A48C" w:rsidR="004F1F6C" w:rsidRPr="00512E81" w:rsidRDefault="004F1F6C" w:rsidP="004F1F6C">
            <w:pPr>
              <w:jc w:val="center"/>
              <w:rPr>
                <w:sz w:val="20"/>
                <w:szCs w:val="20"/>
              </w:rPr>
            </w:pPr>
            <w:r w:rsidRPr="00512E81">
              <w:rPr>
                <w:rFonts w:eastAsia="Arial"/>
                <w:sz w:val="20"/>
                <w:szCs w:val="20"/>
              </w:rPr>
              <w:t>29</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474B6" w14:textId="15C37F1B" w:rsidR="004F1F6C" w:rsidRPr="00512E81" w:rsidRDefault="004F1F6C" w:rsidP="004F1F6C">
            <w:pPr>
              <w:jc w:val="center"/>
              <w:rPr>
                <w:sz w:val="20"/>
                <w:szCs w:val="20"/>
              </w:rPr>
            </w:pPr>
            <w:r w:rsidRPr="00512E81">
              <w:rPr>
                <w:rFonts w:eastAsia="Arial"/>
                <w:sz w:val="20"/>
                <w:szCs w:val="20"/>
              </w:rPr>
              <w:t>47.5</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6E58DC" w14:textId="07EFE62F" w:rsidR="004F1F6C" w:rsidRPr="00512E81" w:rsidRDefault="004F1F6C" w:rsidP="004F1F6C">
            <w:pPr>
              <w:jc w:val="center"/>
              <w:rPr>
                <w:sz w:val="20"/>
                <w:szCs w:val="20"/>
              </w:rPr>
            </w:pPr>
            <w:r w:rsidRPr="00512E81">
              <w:rPr>
                <w:rFonts w:eastAsia="Arial"/>
                <w:sz w:val="20"/>
                <w:szCs w:val="20"/>
              </w:rPr>
              <w:t>17,145</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3DBBF" w14:textId="195E5578" w:rsidR="004F1F6C" w:rsidRPr="00512E81" w:rsidRDefault="004F1F6C" w:rsidP="004F1F6C">
            <w:pPr>
              <w:jc w:val="center"/>
              <w:rPr>
                <w:sz w:val="20"/>
                <w:szCs w:val="20"/>
              </w:rPr>
            </w:pPr>
            <w:r w:rsidRPr="00512E81">
              <w:rPr>
                <w:rFonts w:eastAsia="Arial"/>
                <w:sz w:val="20"/>
                <w:szCs w:val="20"/>
              </w:rPr>
              <w:t>47.2</w:t>
            </w:r>
          </w:p>
        </w:tc>
      </w:tr>
      <w:tr w:rsidR="004F1F6C" w:rsidRPr="00DF53F5" w14:paraId="06635D4A"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11333BD" w14:textId="77777777" w:rsidR="004F1F6C" w:rsidRPr="00DF53F5" w:rsidRDefault="004F1F6C" w:rsidP="004F1F6C">
            <w:pPr>
              <w:jc w:val="right"/>
              <w:rPr>
                <w:sz w:val="20"/>
                <w:szCs w:val="20"/>
              </w:rPr>
            </w:pPr>
            <w:r w:rsidRPr="00DF53F5">
              <w:rPr>
                <w:color w:val="000000"/>
                <w:sz w:val="20"/>
                <w:szCs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4B512" w14:textId="53019F81" w:rsidR="004F1F6C" w:rsidRPr="00512E81" w:rsidRDefault="004F1F6C" w:rsidP="004F1F6C">
            <w:pPr>
              <w:jc w:val="center"/>
              <w:rPr>
                <w:sz w:val="20"/>
                <w:szCs w:val="20"/>
              </w:rPr>
            </w:pPr>
            <w:r w:rsidRPr="00512E81">
              <w:rPr>
                <w:rFonts w:eastAsia="Arial"/>
                <w:sz w:val="20"/>
                <w:szCs w:val="20"/>
              </w:rPr>
              <w:t>44.9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36474" w14:textId="0050F993" w:rsidR="004F1F6C" w:rsidRPr="00512E81" w:rsidRDefault="004F1F6C" w:rsidP="004F1F6C">
            <w:pPr>
              <w:jc w:val="center"/>
              <w:rPr>
                <w:sz w:val="20"/>
                <w:szCs w:val="20"/>
              </w:rPr>
            </w:pPr>
            <w:r w:rsidRPr="00512E81">
              <w:rPr>
                <w:rFonts w:eastAsia="Arial"/>
                <w:sz w:val="20"/>
                <w:szCs w:val="20"/>
              </w:rPr>
              <w:t>47.5</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81AC13" w14:textId="3D832A7C" w:rsidR="004F1F6C" w:rsidRPr="00512E81" w:rsidRDefault="004F1F6C" w:rsidP="004F1F6C">
            <w:pPr>
              <w:jc w:val="center"/>
              <w:rPr>
                <w:sz w:val="20"/>
                <w:szCs w:val="20"/>
              </w:rPr>
            </w:pPr>
            <w:r w:rsidRPr="00512E81">
              <w:rPr>
                <w:rFonts w:eastAsia="Arial"/>
                <w:sz w:val="20"/>
                <w:szCs w:val="20"/>
              </w:rPr>
              <w:t>40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35182" w14:textId="6C01A5B8" w:rsidR="004F1F6C" w:rsidRPr="00512E81" w:rsidRDefault="004F1F6C" w:rsidP="004F1F6C">
            <w:pPr>
              <w:jc w:val="center"/>
              <w:rPr>
                <w:sz w:val="20"/>
                <w:szCs w:val="20"/>
              </w:rPr>
            </w:pPr>
            <w:r w:rsidRPr="00512E81">
              <w:rPr>
                <w:rFonts w:eastAsia="Arial"/>
                <w:sz w:val="20"/>
                <w:szCs w:val="20"/>
              </w:rPr>
              <w:t>46.5</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AC4C4" w14:textId="163F87CC" w:rsidR="004F1F6C" w:rsidRPr="00512E81" w:rsidRDefault="004F1F6C" w:rsidP="004F1F6C">
            <w:pPr>
              <w:jc w:val="center"/>
              <w:rPr>
                <w:sz w:val="20"/>
                <w:szCs w:val="20"/>
              </w:rPr>
            </w:pPr>
            <w:r w:rsidRPr="00512E81">
              <w:rPr>
                <w:rFonts w:eastAsia="Arial"/>
                <w:sz w:val="20"/>
                <w:szCs w:val="20"/>
              </w:rPr>
              <w:t>20,294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B5331" w14:textId="1E494BA4" w:rsidR="004F1F6C" w:rsidRPr="00512E81" w:rsidRDefault="004F1F6C" w:rsidP="004F1F6C">
            <w:pPr>
              <w:jc w:val="center"/>
              <w:rPr>
                <w:sz w:val="20"/>
                <w:szCs w:val="20"/>
              </w:rPr>
            </w:pPr>
            <w:r w:rsidRPr="00512E81">
              <w:rPr>
                <w:rFonts w:eastAsia="Arial"/>
                <w:sz w:val="20"/>
                <w:szCs w:val="20"/>
              </w:rPr>
              <w:t>49.6</w:t>
            </w:r>
          </w:p>
        </w:tc>
      </w:tr>
      <w:tr w:rsidR="004F1F6C" w:rsidRPr="00DF53F5" w14:paraId="74C0E94D"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3026493" w14:textId="66C40832" w:rsidR="004F1F6C" w:rsidRPr="00DF53F5" w:rsidRDefault="004F1F6C" w:rsidP="004F1F6C">
            <w:pPr>
              <w:jc w:val="right"/>
              <w:rPr>
                <w:color w:val="000000"/>
                <w:sz w:val="20"/>
                <w:szCs w:val="20"/>
              </w:rPr>
            </w:pPr>
            <w:r>
              <w:rPr>
                <w:color w:val="000000"/>
                <w:sz w:val="20"/>
                <w:szCs w:val="20"/>
              </w:rPr>
              <w:t>YTD 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D91BC3" w14:textId="7CE7A4B2" w:rsidR="004F1F6C" w:rsidRPr="00512E81" w:rsidRDefault="004F1F6C" w:rsidP="004F1F6C">
            <w:pPr>
              <w:jc w:val="center"/>
              <w:rPr>
                <w:sz w:val="20"/>
                <w:szCs w:val="20"/>
              </w:rPr>
            </w:pPr>
            <w:r w:rsidRPr="00512E81">
              <w:rPr>
                <w:rFonts w:eastAsia="Arial"/>
                <w:sz w:val="20"/>
                <w:szCs w:val="20"/>
              </w:rPr>
              <w:t>44.9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0B092B" w14:textId="5DA643DD" w:rsidR="004F1F6C" w:rsidRPr="00512E81" w:rsidRDefault="004F1F6C" w:rsidP="004F1F6C">
            <w:pPr>
              <w:jc w:val="center"/>
              <w:rPr>
                <w:sz w:val="20"/>
                <w:szCs w:val="20"/>
              </w:rPr>
            </w:pPr>
            <w:r w:rsidRPr="00512E81">
              <w:rPr>
                <w:rFonts w:eastAsia="Arial"/>
                <w:sz w:val="20"/>
                <w:szCs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6B7DE0" w14:textId="4E865139" w:rsidR="004F1F6C" w:rsidRPr="00512E81" w:rsidRDefault="004F1F6C" w:rsidP="004F1F6C">
            <w:pPr>
              <w:jc w:val="center"/>
              <w:rPr>
                <w:sz w:val="20"/>
                <w:szCs w:val="20"/>
              </w:rPr>
            </w:pPr>
            <w:r w:rsidRPr="00512E81">
              <w:rPr>
                <w:rFonts w:eastAsia="Arial"/>
                <w:sz w:val="20"/>
                <w:szCs w:val="20"/>
              </w:rPr>
              <w:t>39</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C8F09C" w14:textId="11E6CCAE" w:rsidR="004F1F6C" w:rsidRPr="00512E81" w:rsidRDefault="004F1F6C" w:rsidP="004F1F6C">
            <w:pPr>
              <w:jc w:val="center"/>
              <w:rPr>
                <w:sz w:val="20"/>
                <w:szCs w:val="20"/>
              </w:rPr>
            </w:pPr>
            <w:r w:rsidRPr="00512E81">
              <w:rPr>
                <w:rFonts w:eastAsia="Arial"/>
                <w:sz w:val="20"/>
                <w:szCs w:val="20"/>
              </w:rPr>
              <w:t>52.7</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C382C9" w14:textId="5E46E1F0" w:rsidR="004F1F6C" w:rsidRPr="00512E81" w:rsidRDefault="004F1F6C" w:rsidP="004F1F6C">
            <w:pPr>
              <w:jc w:val="center"/>
              <w:rPr>
                <w:sz w:val="20"/>
                <w:szCs w:val="20"/>
              </w:rPr>
            </w:pPr>
            <w:r w:rsidRPr="00512E81">
              <w:rPr>
                <w:rFonts w:eastAsia="Arial"/>
                <w:sz w:val="20"/>
                <w:szCs w:val="20"/>
              </w:rPr>
              <w:t>21,626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7D4B5D" w14:textId="60568CE7" w:rsidR="004F1F6C" w:rsidRPr="00512E81" w:rsidRDefault="004F1F6C" w:rsidP="004F1F6C">
            <w:pPr>
              <w:jc w:val="center"/>
              <w:rPr>
                <w:sz w:val="20"/>
                <w:szCs w:val="20"/>
              </w:rPr>
            </w:pPr>
            <w:r w:rsidRPr="00512E81">
              <w:rPr>
                <w:rFonts w:eastAsia="Arial"/>
                <w:sz w:val="20"/>
                <w:szCs w:val="20"/>
              </w:rPr>
              <w:t>63.7</w:t>
            </w:r>
          </w:p>
        </w:tc>
      </w:tr>
      <w:tr w:rsidR="00971193" w:rsidRPr="00DF53F5" w14:paraId="1F058361" w14:textId="77777777" w:rsidTr="001229E9">
        <w:trPr>
          <w:trHeight w:val="181"/>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CFE953C" w14:textId="77777777" w:rsidR="00971193" w:rsidRPr="00DF53F5" w:rsidRDefault="00971193" w:rsidP="00971193">
            <w:pPr>
              <w:rPr>
                <w:sz w:val="20"/>
                <w:szCs w:val="20"/>
              </w:rPr>
            </w:pPr>
            <w:r w:rsidRPr="00DF53F5">
              <w:rPr>
                <w:color w:val="000000"/>
                <w:sz w:val="20"/>
                <w:szCs w:val="20"/>
              </w:rPr>
              <w:t>Not Available</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FDEDC" w14:textId="77777777" w:rsidR="00971193" w:rsidRPr="00512E81" w:rsidRDefault="00971193" w:rsidP="00971193">
            <w:pPr>
              <w:rPr>
                <w:sz w:val="20"/>
                <w:szCs w:val="20"/>
              </w:rPr>
            </w:pPr>
          </w:p>
        </w:tc>
      </w:tr>
      <w:tr w:rsidR="004F1F6C" w:rsidRPr="00DF53F5" w14:paraId="0D91C0BA"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18DD178" w14:textId="77777777" w:rsidR="004F1F6C" w:rsidRPr="00DF53F5" w:rsidRDefault="004F1F6C" w:rsidP="004F1F6C">
            <w:pPr>
              <w:jc w:val="right"/>
              <w:rPr>
                <w:sz w:val="20"/>
                <w:szCs w:val="20"/>
              </w:rPr>
            </w:pPr>
            <w:r w:rsidRPr="00DF53F5">
              <w:rPr>
                <w:color w:val="000000"/>
                <w:sz w:val="20"/>
                <w:szCs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A9A909" w14:textId="640697A8" w:rsidR="004F1F6C" w:rsidRPr="00512E81" w:rsidRDefault="004F1F6C" w:rsidP="004F1F6C">
            <w:pPr>
              <w:jc w:val="center"/>
              <w:rPr>
                <w:sz w:val="20"/>
                <w:szCs w:val="20"/>
              </w:rPr>
            </w:pPr>
            <w:r w:rsidRPr="00512E81">
              <w:rPr>
                <w:rFonts w:eastAsia="Arial"/>
                <w:sz w:val="20"/>
                <w:szCs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679D7" w14:textId="6BF5059C" w:rsidR="004F1F6C" w:rsidRPr="00512E81" w:rsidRDefault="004F1F6C" w:rsidP="004F1F6C">
            <w:pPr>
              <w:jc w:val="center"/>
              <w:rPr>
                <w:sz w:val="20"/>
                <w:szCs w:val="20"/>
              </w:rPr>
            </w:pPr>
            <w:r w:rsidRPr="00512E81">
              <w:rPr>
                <w:rFonts w:eastAsia="Arial"/>
                <w:sz w:val="20"/>
                <w:szCs w:val="20"/>
              </w:rPr>
              <w:t>12.0</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CF017" w14:textId="31E51BFF" w:rsidR="004F1F6C" w:rsidRPr="00512E81" w:rsidRDefault="004F1F6C" w:rsidP="004F1F6C">
            <w:pPr>
              <w:jc w:val="center"/>
              <w:rPr>
                <w:sz w:val="20"/>
                <w:szCs w:val="20"/>
              </w:rPr>
            </w:pPr>
            <w:r w:rsidRPr="00512E81">
              <w:rPr>
                <w:rFonts w:eastAsia="Arial"/>
                <w:sz w:val="20"/>
                <w:szCs w:val="20"/>
              </w:rPr>
              <w:t>22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D38B07" w14:textId="3D6FD5E3" w:rsidR="004F1F6C" w:rsidRPr="00512E81" w:rsidRDefault="004F1F6C" w:rsidP="004F1F6C">
            <w:pPr>
              <w:jc w:val="center"/>
              <w:rPr>
                <w:sz w:val="20"/>
                <w:szCs w:val="20"/>
              </w:rPr>
            </w:pPr>
            <w:r w:rsidRPr="00512E81">
              <w:rPr>
                <w:rFonts w:eastAsia="Arial"/>
                <w:sz w:val="20"/>
                <w:szCs w:val="20"/>
              </w:rPr>
              <w:t>36.1</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9823B" w14:textId="066D2D8D" w:rsidR="004F1F6C" w:rsidRPr="00512E81" w:rsidRDefault="004F1F6C" w:rsidP="004F1F6C">
            <w:pPr>
              <w:jc w:val="center"/>
              <w:rPr>
                <w:sz w:val="20"/>
                <w:szCs w:val="20"/>
              </w:rPr>
            </w:pPr>
            <w:r w:rsidRPr="00512E81">
              <w:rPr>
                <w:rFonts w:eastAsia="Arial"/>
                <w:sz w:val="20"/>
                <w:szCs w:val="20"/>
              </w:rPr>
              <w:t>15,169</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55E07C" w14:textId="257923A9" w:rsidR="004F1F6C" w:rsidRPr="00512E81" w:rsidRDefault="004F1F6C" w:rsidP="004F1F6C">
            <w:pPr>
              <w:jc w:val="center"/>
              <w:rPr>
                <w:sz w:val="20"/>
                <w:szCs w:val="20"/>
              </w:rPr>
            </w:pPr>
            <w:r w:rsidRPr="00512E81">
              <w:rPr>
                <w:rFonts w:eastAsia="Arial"/>
                <w:sz w:val="20"/>
                <w:szCs w:val="20"/>
              </w:rPr>
              <w:t>41.8</w:t>
            </w:r>
          </w:p>
        </w:tc>
      </w:tr>
      <w:tr w:rsidR="004F1F6C" w:rsidRPr="00DF53F5" w14:paraId="6AA2C178"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B9B6495" w14:textId="77777777" w:rsidR="004F1F6C" w:rsidRPr="00DF53F5" w:rsidRDefault="004F1F6C" w:rsidP="004F1F6C">
            <w:pPr>
              <w:jc w:val="right"/>
              <w:rPr>
                <w:sz w:val="20"/>
                <w:szCs w:val="20"/>
              </w:rPr>
            </w:pPr>
            <w:r w:rsidRPr="00DF53F5">
              <w:rPr>
                <w:color w:val="000000"/>
                <w:sz w:val="20"/>
                <w:szCs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E66C6" w14:textId="3359CF08" w:rsidR="004F1F6C" w:rsidRPr="00512E81" w:rsidRDefault="004F1F6C" w:rsidP="004F1F6C">
            <w:pPr>
              <w:jc w:val="center"/>
              <w:rPr>
                <w:sz w:val="20"/>
                <w:szCs w:val="20"/>
              </w:rPr>
            </w:pPr>
            <w:r w:rsidRPr="00512E81">
              <w:rPr>
                <w:rFonts w:eastAsia="Arial"/>
                <w:sz w:val="20"/>
                <w:szCs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967B6" w14:textId="17682812" w:rsidR="004F1F6C" w:rsidRPr="00512E81" w:rsidRDefault="004F1F6C" w:rsidP="004F1F6C">
            <w:pPr>
              <w:jc w:val="center"/>
              <w:rPr>
                <w:sz w:val="20"/>
                <w:szCs w:val="20"/>
              </w:rPr>
            </w:pPr>
            <w:r w:rsidRPr="00512E81">
              <w:rPr>
                <w:rFonts w:eastAsia="Arial"/>
                <w:sz w:val="20"/>
                <w:szCs w:val="20"/>
              </w:rPr>
              <w:t>11.9</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BC8A49" w14:textId="11D5FCEE" w:rsidR="004F1F6C" w:rsidRPr="00512E81" w:rsidRDefault="004F1F6C" w:rsidP="004F1F6C">
            <w:pPr>
              <w:jc w:val="center"/>
              <w:rPr>
                <w:sz w:val="20"/>
                <w:szCs w:val="20"/>
              </w:rPr>
            </w:pPr>
            <w:r w:rsidRPr="00512E81">
              <w:rPr>
                <w:rFonts w:eastAsia="Arial"/>
                <w:sz w:val="20"/>
                <w:szCs w:val="20"/>
              </w:rPr>
              <w:t>34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1CBD7" w14:textId="5954E763" w:rsidR="004F1F6C" w:rsidRPr="00512E81" w:rsidRDefault="004F1F6C" w:rsidP="004F1F6C">
            <w:pPr>
              <w:jc w:val="center"/>
              <w:rPr>
                <w:sz w:val="20"/>
                <w:szCs w:val="20"/>
              </w:rPr>
            </w:pPr>
            <w:r w:rsidRPr="00512E81">
              <w:rPr>
                <w:rFonts w:eastAsia="Arial"/>
                <w:sz w:val="20"/>
                <w:szCs w:val="20"/>
              </w:rPr>
              <w:t>39.5</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5CF38" w14:textId="293DB242" w:rsidR="004F1F6C" w:rsidRPr="00512E81" w:rsidRDefault="004F1F6C" w:rsidP="004F1F6C">
            <w:pPr>
              <w:jc w:val="center"/>
              <w:rPr>
                <w:sz w:val="20"/>
                <w:szCs w:val="20"/>
              </w:rPr>
            </w:pPr>
            <w:r w:rsidRPr="00512E81">
              <w:rPr>
                <w:rFonts w:eastAsia="Arial"/>
                <w:sz w:val="20"/>
                <w:szCs w:val="20"/>
              </w:rPr>
              <w:t>17,959</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B888F" w14:textId="3EEC5A07" w:rsidR="004F1F6C" w:rsidRPr="00512E81" w:rsidRDefault="004F1F6C" w:rsidP="004F1F6C">
            <w:pPr>
              <w:jc w:val="center"/>
              <w:rPr>
                <w:sz w:val="20"/>
                <w:szCs w:val="20"/>
              </w:rPr>
            </w:pPr>
            <w:r w:rsidRPr="00512E81">
              <w:rPr>
                <w:rFonts w:eastAsia="Arial"/>
                <w:sz w:val="20"/>
                <w:szCs w:val="20"/>
              </w:rPr>
              <w:t>43.9</w:t>
            </w:r>
          </w:p>
        </w:tc>
      </w:tr>
      <w:tr w:rsidR="004F1F6C" w:rsidRPr="00DF53F5" w14:paraId="30F3F902" w14:textId="77777777" w:rsidTr="001229E9">
        <w:trPr>
          <w:trHeight w:val="166"/>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1A0A503" w14:textId="73DBE9B2" w:rsidR="004F1F6C" w:rsidRPr="00DF53F5" w:rsidRDefault="004F1F6C" w:rsidP="004F1F6C">
            <w:pPr>
              <w:jc w:val="right"/>
              <w:rPr>
                <w:color w:val="000000"/>
                <w:sz w:val="20"/>
                <w:szCs w:val="20"/>
              </w:rPr>
            </w:pPr>
            <w:r>
              <w:rPr>
                <w:color w:val="000000"/>
                <w:sz w:val="20"/>
                <w:szCs w:val="20"/>
              </w:rPr>
              <w:t>YTD 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71936" w14:textId="0C46A666" w:rsidR="004F1F6C" w:rsidRPr="00512E81" w:rsidRDefault="004F1F6C" w:rsidP="004F1F6C">
            <w:pPr>
              <w:jc w:val="center"/>
              <w:rPr>
                <w:sz w:val="20"/>
                <w:szCs w:val="20"/>
              </w:rPr>
            </w:pPr>
            <w:r w:rsidRPr="00512E81">
              <w:rPr>
                <w:rFonts w:eastAsia="Arial"/>
                <w:sz w:val="20"/>
                <w:szCs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F2480" w14:textId="0D6A4118" w:rsidR="004F1F6C" w:rsidRPr="00512E81" w:rsidRDefault="004F1F6C" w:rsidP="004F1F6C">
            <w:pPr>
              <w:jc w:val="center"/>
              <w:rPr>
                <w:sz w:val="20"/>
                <w:szCs w:val="20"/>
              </w:rPr>
            </w:pPr>
            <w:r w:rsidRPr="00512E81">
              <w:rPr>
                <w:rFonts w:eastAsia="Arial"/>
                <w:sz w:val="20"/>
                <w:szCs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E83451" w14:textId="404FE560" w:rsidR="004F1F6C" w:rsidRPr="00512E81" w:rsidRDefault="004F1F6C" w:rsidP="004F1F6C">
            <w:pPr>
              <w:jc w:val="center"/>
              <w:rPr>
                <w:sz w:val="20"/>
                <w:szCs w:val="20"/>
              </w:rPr>
            </w:pPr>
            <w:r w:rsidRPr="00512E81">
              <w:rPr>
                <w:rFonts w:eastAsia="Arial"/>
                <w:sz w:val="20"/>
                <w:szCs w:val="20"/>
              </w:rPr>
              <w:t>20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BDDF8" w14:textId="541F5B6E" w:rsidR="004F1F6C" w:rsidRPr="00512E81" w:rsidRDefault="004F1F6C" w:rsidP="004F1F6C">
            <w:pPr>
              <w:jc w:val="center"/>
              <w:rPr>
                <w:sz w:val="20"/>
                <w:szCs w:val="20"/>
              </w:rPr>
            </w:pPr>
            <w:r w:rsidRPr="00512E81">
              <w:rPr>
                <w:rFonts w:eastAsia="Arial"/>
                <w:sz w:val="20"/>
                <w:szCs w:val="20"/>
              </w:rPr>
              <w:t>27.0</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EF4511" w14:textId="520376B5" w:rsidR="004F1F6C" w:rsidRPr="00512E81" w:rsidRDefault="004F1F6C" w:rsidP="004F1F6C">
            <w:pPr>
              <w:jc w:val="center"/>
              <w:rPr>
                <w:sz w:val="20"/>
                <w:szCs w:val="20"/>
              </w:rPr>
            </w:pPr>
            <w:r w:rsidRPr="00512E81">
              <w:rPr>
                <w:rFonts w:eastAsia="Arial"/>
                <w:sz w:val="20"/>
                <w:szCs w:val="20"/>
              </w:rPr>
              <w:t>8,657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96C13" w14:textId="69EDDF3C" w:rsidR="004F1F6C" w:rsidRPr="00512E81" w:rsidRDefault="004F1F6C" w:rsidP="004F1F6C">
            <w:pPr>
              <w:jc w:val="center"/>
              <w:rPr>
                <w:sz w:val="20"/>
                <w:szCs w:val="20"/>
              </w:rPr>
            </w:pPr>
            <w:r w:rsidRPr="00512E81">
              <w:rPr>
                <w:rFonts w:eastAsia="Arial"/>
                <w:sz w:val="20"/>
                <w:szCs w:val="20"/>
              </w:rPr>
              <w:t>25.5</w:t>
            </w:r>
          </w:p>
        </w:tc>
      </w:tr>
      <w:tr w:rsidR="00971193" w:rsidRPr="00DF53F5" w14:paraId="6A886A66" w14:textId="77777777" w:rsidTr="001229E9">
        <w:trPr>
          <w:trHeight w:val="181"/>
        </w:trPr>
        <w:tc>
          <w:tcPr>
            <w:tcW w:w="2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0E50B8A" w14:textId="77777777" w:rsidR="00971193" w:rsidRPr="00DF53F5" w:rsidRDefault="00971193" w:rsidP="00971193">
            <w:pPr>
              <w:rPr>
                <w:sz w:val="20"/>
                <w:szCs w:val="20"/>
              </w:rPr>
            </w:pPr>
            <w:r w:rsidRPr="00DF53F5">
              <w:rPr>
                <w:b/>
                <w:color w:val="000000"/>
                <w:sz w:val="20"/>
                <w:szCs w:val="20"/>
              </w:rPr>
              <w:t>Totals</w:t>
            </w:r>
          </w:p>
        </w:tc>
        <w:tc>
          <w:tcPr>
            <w:tcW w:w="7089"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852AB" w14:textId="77777777" w:rsidR="00971193" w:rsidRPr="00512E81" w:rsidRDefault="00971193" w:rsidP="00971193">
            <w:pPr>
              <w:rPr>
                <w:sz w:val="20"/>
                <w:szCs w:val="20"/>
              </w:rPr>
            </w:pPr>
          </w:p>
        </w:tc>
      </w:tr>
      <w:tr w:rsidR="004F1F6C" w:rsidRPr="00DF53F5" w14:paraId="4B319694" w14:textId="77777777" w:rsidTr="001229E9">
        <w:trPr>
          <w:trHeight w:val="181"/>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E66AF3D" w14:textId="77777777" w:rsidR="004F1F6C" w:rsidRPr="00DF53F5" w:rsidRDefault="004F1F6C" w:rsidP="004F1F6C">
            <w:pPr>
              <w:jc w:val="right"/>
              <w:rPr>
                <w:sz w:val="20"/>
                <w:szCs w:val="20"/>
              </w:rPr>
            </w:pPr>
            <w:r w:rsidRPr="00DF53F5">
              <w:rPr>
                <w:b/>
                <w:color w:val="000000"/>
                <w:sz w:val="20"/>
                <w:szCs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5D6505" w14:textId="7F043FD6" w:rsidR="004F1F6C" w:rsidRPr="00512E81" w:rsidRDefault="004F1F6C" w:rsidP="004F1F6C">
            <w:pPr>
              <w:jc w:val="center"/>
              <w:rPr>
                <w:sz w:val="20"/>
                <w:szCs w:val="20"/>
              </w:rPr>
            </w:pPr>
            <w:r w:rsidRPr="00512E81">
              <w:rPr>
                <w:rFonts w:eastAsia="Arial"/>
                <w:b/>
                <w:sz w:val="20"/>
                <w:szCs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92A96" w14:textId="6111DFE3" w:rsidR="004F1F6C" w:rsidRPr="00512E81" w:rsidRDefault="004F1F6C" w:rsidP="004F1F6C">
            <w:pPr>
              <w:jc w:val="center"/>
              <w:rPr>
                <w:sz w:val="20"/>
                <w:szCs w:val="20"/>
              </w:rPr>
            </w:pPr>
            <w:r w:rsidRPr="00512E81">
              <w:rPr>
                <w:rFonts w:eastAsia="Arial"/>
                <w:b/>
                <w:sz w:val="20"/>
                <w:szCs w:val="20"/>
              </w:rPr>
              <w:t>100.0</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3980E" w14:textId="05C6FE15" w:rsidR="004F1F6C" w:rsidRPr="00512E81" w:rsidRDefault="004F1F6C" w:rsidP="004F1F6C">
            <w:pPr>
              <w:jc w:val="center"/>
              <w:rPr>
                <w:sz w:val="20"/>
                <w:szCs w:val="20"/>
              </w:rPr>
            </w:pPr>
            <w:r w:rsidRPr="00512E81">
              <w:rPr>
                <w:rFonts w:eastAsia="Arial"/>
                <w:b/>
                <w:sz w:val="20"/>
                <w:szCs w:val="20"/>
              </w:rPr>
              <w:t>61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4D2993" w14:textId="3E0E0D59" w:rsidR="004F1F6C" w:rsidRPr="00512E81" w:rsidRDefault="004F1F6C" w:rsidP="004F1F6C">
            <w:pPr>
              <w:jc w:val="center"/>
              <w:rPr>
                <w:sz w:val="20"/>
                <w:szCs w:val="20"/>
              </w:rPr>
            </w:pPr>
            <w:r w:rsidRPr="00512E81">
              <w:rPr>
                <w:rFonts w:eastAsia="Arial"/>
                <w:b/>
                <w:sz w:val="20"/>
                <w:szCs w:val="20"/>
              </w:rPr>
              <w:t>100.0</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40DA19" w14:textId="3C22DF22" w:rsidR="004F1F6C" w:rsidRPr="00512E81" w:rsidRDefault="004F1F6C" w:rsidP="004F1F6C">
            <w:pPr>
              <w:jc w:val="center"/>
              <w:rPr>
                <w:sz w:val="20"/>
                <w:szCs w:val="20"/>
              </w:rPr>
            </w:pPr>
            <w:r w:rsidRPr="00512E81">
              <w:rPr>
                <w:rFonts w:eastAsia="Arial"/>
                <w:b/>
                <w:sz w:val="20"/>
                <w:szCs w:val="20"/>
              </w:rPr>
              <w:t>36,308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FBC7EC" w14:textId="20D6DFFD" w:rsidR="004F1F6C" w:rsidRPr="00512E81" w:rsidRDefault="004F1F6C" w:rsidP="004F1F6C">
            <w:pPr>
              <w:jc w:val="center"/>
              <w:rPr>
                <w:sz w:val="20"/>
                <w:szCs w:val="20"/>
              </w:rPr>
            </w:pPr>
            <w:r w:rsidRPr="00512E81">
              <w:rPr>
                <w:rFonts w:eastAsia="Arial"/>
                <w:b/>
                <w:sz w:val="20"/>
                <w:szCs w:val="20"/>
              </w:rPr>
              <w:t>100.0</w:t>
            </w:r>
          </w:p>
        </w:tc>
      </w:tr>
      <w:tr w:rsidR="004F1F6C" w:rsidRPr="00DF53F5" w14:paraId="2F7DB07C" w14:textId="77777777" w:rsidTr="001229E9">
        <w:trPr>
          <w:trHeight w:val="181"/>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86A90B2" w14:textId="77777777" w:rsidR="004F1F6C" w:rsidRPr="00DF53F5" w:rsidRDefault="004F1F6C" w:rsidP="004F1F6C">
            <w:pPr>
              <w:jc w:val="right"/>
              <w:rPr>
                <w:sz w:val="20"/>
                <w:szCs w:val="20"/>
              </w:rPr>
            </w:pPr>
            <w:r w:rsidRPr="00DF53F5">
              <w:rPr>
                <w:b/>
                <w:color w:val="000000"/>
                <w:sz w:val="20"/>
                <w:szCs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DC9D7" w14:textId="6E5BAF12" w:rsidR="004F1F6C" w:rsidRPr="00512E81" w:rsidRDefault="004F1F6C" w:rsidP="004F1F6C">
            <w:pPr>
              <w:jc w:val="center"/>
              <w:rPr>
                <w:sz w:val="20"/>
                <w:szCs w:val="20"/>
              </w:rPr>
            </w:pPr>
            <w:r w:rsidRPr="00512E81">
              <w:rPr>
                <w:rFonts w:eastAsia="Arial"/>
                <w:b/>
                <w:sz w:val="20"/>
                <w:szCs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51A64" w14:textId="4E582E4A" w:rsidR="004F1F6C" w:rsidRPr="00512E81" w:rsidRDefault="004F1F6C" w:rsidP="004F1F6C">
            <w:pPr>
              <w:jc w:val="center"/>
              <w:rPr>
                <w:sz w:val="20"/>
                <w:szCs w:val="20"/>
              </w:rPr>
            </w:pPr>
            <w:r w:rsidRPr="00512E81">
              <w:rPr>
                <w:rFonts w:eastAsia="Arial"/>
                <w:b/>
                <w:sz w:val="20"/>
                <w:szCs w:val="20"/>
              </w:rPr>
              <w:t>100.0</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824DA3" w14:textId="27F4A453" w:rsidR="004F1F6C" w:rsidRPr="00512E81" w:rsidRDefault="004F1F6C" w:rsidP="004F1F6C">
            <w:pPr>
              <w:jc w:val="center"/>
              <w:rPr>
                <w:sz w:val="20"/>
                <w:szCs w:val="20"/>
              </w:rPr>
            </w:pPr>
            <w:r w:rsidRPr="00512E81">
              <w:rPr>
                <w:rFonts w:eastAsia="Arial"/>
                <w:b/>
                <w:sz w:val="20"/>
                <w:szCs w:val="20"/>
              </w:rPr>
              <w:t>86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E941D9" w14:textId="6F50DD04" w:rsidR="004F1F6C" w:rsidRPr="00512E81" w:rsidRDefault="004F1F6C" w:rsidP="004F1F6C">
            <w:pPr>
              <w:jc w:val="center"/>
              <w:rPr>
                <w:sz w:val="20"/>
                <w:szCs w:val="20"/>
              </w:rPr>
            </w:pPr>
            <w:r w:rsidRPr="00512E81">
              <w:rPr>
                <w:rFonts w:eastAsia="Arial"/>
                <w:b/>
                <w:sz w:val="20"/>
                <w:szCs w:val="20"/>
              </w:rPr>
              <w:t>100.0</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027A8" w14:textId="0C3BCCA1" w:rsidR="004F1F6C" w:rsidRPr="00512E81" w:rsidRDefault="004F1F6C" w:rsidP="004F1F6C">
            <w:pPr>
              <w:jc w:val="center"/>
              <w:rPr>
                <w:sz w:val="20"/>
                <w:szCs w:val="20"/>
              </w:rPr>
            </w:pPr>
            <w:r w:rsidRPr="00512E81">
              <w:rPr>
                <w:rFonts w:eastAsia="Arial"/>
                <w:b/>
                <w:sz w:val="20"/>
                <w:szCs w:val="20"/>
              </w:rPr>
              <w:t>40,905</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4E1B64" w14:textId="6D25FECC" w:rsidR="004F1F6C" w:rsidRPr="00512E81" w:rsidRDefault="004F1F6C" w:rsidP="004F1F6C">
            <w:pPr>
              <w:jc w:val="center"/>
              <w:rPr>
                <w:sz w:val="20"/>
                <w:szCs w:val="20"/>
              </w:rPr>
            </w:pPr>
            <w:r w:rsidRPr="00512E81">
              <w:rPr>
                <w:rFonts w:eastAsia="Arial"/>
                <w:b/>
                <w:sz w:val="20"/>
                <w:szCs w:val="20"/>
              </w:rPr>
              <w:t>100.0</w:t>
            </w:r>
          </w:p>
        </w:tc>
      </w:tr>
      <w:tr w:rsidR="004F1F6C" w:rsidRPr="00DF53F5" w14:paraId="5D98374D" w14:textId="77777777" w:rsidTr="001229E9">
        <w:trPr>
          <w:trHeight w:val="181"/>
        </w:trPr>
        <w:tc>
          <w:tcPr>
            <w:tcW w:w="225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6EE4FD4" w14:textId="042B14ED" w:rsidR="004F1F6C" w:rsidRPr="00DF53F5" w:rsidRDefault="004F1F6C" w:rsidP="004F1F6C">
            <w:pPr>
              <w:jc w:val="right"/>
              <w:rPr>
                <w:b/>
                <w:color w:val="000000"/>
                <w:sz w:val="20"/>
                <w:szCs w:val="20"/>
              </w:rPr>
            </w:pPr>
            <w:r>
              <w:rPr>
                <w:b/>
                <w:color w:val="000000"/>
                <w:sz w:val="20"/>
                <w:szCs w:val="20"/>
              </w:rPr>
              <w:t>YTD 2020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7942B8" w14:textId="65ACCECB" w:rsidR="004F1F6C" w:rsidRPr="00512E81" w:rsidRDefault="004F1F6C" w:rsidP="004F1F6C">
            <w:pPr>
              <w:jc w:val="center"/>
              <w:rPr>
                <w:b/>
                <w:sz w:val="20"/>
                <w:szCs w:val="20"/>
              </w:rPr>
            </w:pPr>
            <w:r w:rsidRPr="00512E81">
              <w:rPr>
                <w:rFonts w:eastAsia="Arial"/>
                <w:b/>
                <w:sz w:val="20"/>
                <w:szCs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016A5B" w14:textId="31863729" w:rsidR="004F1F6C" w:rsidRPr="00512E81" w:rsidRDefault="004F1F6C" w:rsidP="004F1F6C">
            <w:pPr>
              <w:jc w:val="center"/>
              <w:rPr>
                <w:b/>
                <w:sz w:val="20"/>
                <w:szCs w:val="20"/>
              </w:rPr>
            </w:pPr>
            <w:r w:rsidRPr="00512E81">
              <w:rPr>
                <w:rFonts w:eastAsia="Arial"/>
                <w:b/>
                <w:sz w:val="20"/>
                <w:szCs w:val="20"/>
              </w:rPr>
              <w:t>--</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59F2EA" w14:textId="04FEEB93" w:rsidR="004F1F6C" w:rsidRPr="00512E81" w:rsidRDefault="004F1F6C" w:rsidP="004F1F6C">
            <w:pPr>
              <w:jc w:val="center"/>
              <w:rPr>
                <w:b/>
                <w:sz w:val="20"/>
                <w:szCs w:val="20"/>
              </w:rPr>
            </w:pPr>
            <w:r w:rsidRPr="00512E81">
              <w:rPr>
                <w:rFonts w:eastAsia="Arial"/>
                <w:b/>
                <w:sz w:val="20"/>
                <w:szCs w:val="20"/>
              </w:rPr>
              <w:t>74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C8A3EA" w14:textId="42A02B69" w:rsidR="004F1F6C" w:rsidRPr="00512E81" w:rsidRDefault="004F1F6C" w:rsidP="004F1F6C">
            <w:pPr>
              <w:jc w:val="center"/>
              <w:rPr>
                <w:b/>
                <w:sz w:val="20"/>
                <w:szCs w:val="20"/>
              </w:rPr>
            </w:pPr>
            <w:r w:rsidRPr="00512E81">
              <w:rPr>
                <w:rFonts w:eastAsia="Arial"/>
                <w:b/>
                <w:sz w:val="20"/>
                <w:szCs w:val="20"/>
              </w:rPr>
              <w:t>100.0</w:t>
            </w:r>
          </w:p>
        </w:tc>
        <w:tc>
          <w:tcPr>
            <w:tcW w:w="11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454EF4" w14:textId="15AE4027" w:rsidR="004F1F6C" w:rsidRPr="00512E81" w:rsidRDefault="004F1F6C" w:rsidP="004F1F6C">
            <w:pPr>
              <w:jc w:val="center"/>
              <w:rPr>
                <w:b/>
                <w:sz w:val="20"/>
                <w:szCs w:val="20"/>
              </w:rPr>
            </w:pPr>
            <w:r w:rsidRPr="00512E81">
              <w:rPr>
                <w:rFonts w:eastAsia="Arial"/>
                <w:b/>
                <w:sz w:val="20"/>
                <w:szCs w:val="20"/>
              </w:rPr>
              <w:t>33,936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2C5B9" w14:textId="58DFC5F3" w:rsidR="004F1F6C" w:rsidRPr="00512E81" w:rsidRDefault="004F1F6C" w:rsidP="004F1F6C">
            <w:pPr>
              <w:jc w:val="center"/>
              <w:rPr>
                <w:b/>
                <w:sz w:val="20"/>
                <w:szCs w:val="20"/>
              </w:rPr>
            </w:pPr>
            <w:r w:rsidRPr="00512E81">
              <w:rPr>
                <w:rFonts w:eastAsia="Arial"/>
                <w:b/>
                <w:sz w:val="20"/>
                <w:szCs w:val="20"/>
              </w:rPr>
              <w:t>100.0</w:t>
            </w:r>
          </w:p>
        </w:tc>
      </w:tr>
      <w:tr w:rsidR="00DF53F5" w:rsidRPr="00DF53F5" w14:paraId="051F5C10" w14:textId="77777777" w:rsidTr="001229E9">
        <w:trPr>
          <w:trHeight w:val="509"/>
        </w:trPr>
        <w:tc>
          <w:tcPr>
            <w:tcW w:w="9342"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03E840C5" w14:textId="7D865292" w:rsidR="00DF53F5" w:rsidRPr="00DF53F5" w:rsidRDefault="00DF53F5" w:rsidP="00DF53F5">
            <w:pPr>
              <w:rPr>
                <w:sz w:val="20"/>
                <w:szCs w:val="20"/>
              </w:rPr>
            </w:pPr>
            <w:r w:rsidRPr="00DF53F5">
              <w:rPr>
                <w:i/>
                <w:color w:val="000000"/>
                <w:sz w:val="16"/>
                <w:szCs w:val="20"/>
              </w:rPr>
              <w:t>Source: 2015 ACS Census</w:t>
            </w:r>
            <w:r w:rsidR="00DE0546">
              <w:rPr>
                <w:i/>
                <w:color w:val="000000"/>
                <w:sz w:val="16"/>
                <w:szCs w:val="20"/>
              </w:rPr>
              <w:t>;</w:t>
            </w:r>
            <w:r w:rsidRPr="00DF53F5">
              <w:rPr>
                <w:i/>
                <w:color w:val="000000"/>
                <w:sz w:val="16"/>
                <w:szCs w:val="20"/>
              </w:rPr>
              <w:t xml:space="preserve"> </w:t>
            </w:r>
            <w:r w:rsidR="00512E81">
              <w:rPr>
                <w:i/>
                <w:color w:val="000000"/>
                <w:sz w:val="16"/>
                <w:szCs w:val="20"/>
              </w:rPr>
              <w:t xml:space="preserve">Bank Data 1/1/2018 – 6/30/2020; </w:t>
            </w:r>
            <w:r w:rsidRPr="00DF53F5">
              <w:rPr>
                <w:i/>
                <w:color w:val="000000"/>
                <w:sz w:val="16"/>
                <w:szCs w:val="20"/>
              </w:rPr>
              <w:t>201</w:t>
            </w:r>
            <w:r w:rsidR="00A4099C">
              <w:rPr>
                <w:i/>
                <w:color w:val="000000"/>
                <w:sz w:val="16"/>
                <w:szCs w:val="20"/>
              </w:rPr>
              <w:t>8</w:t>
            </w:r>
            <w:r w:rsidR="00971193">
              <w:rPr>
                <w:i/>
                <w:color w:val="000000"/>
                <w:sz w:val="16"/>
                <w:szCs w:val="20"/>
              </w:rPr>
              <w:t xml:space="preserve"> and 2019 </w:t>
            </w:r>
            <w:r w:rsidRPr="00DF53F5">
              <w:rPr>
                <w:i/>
                <w:color w:val="000000"/>
                <w:sz w:val="16"/>
                <w:szCs w:val="20"/>
              </w:rPr>
              <w:t>HMDA Aggregate Data, "--" data not available.</w:t>
            </w:r>
          </w:p>
          <w:p w14:paraId="00097021" w14:textId="77777777" w:rsidR="00DF53F5" w:rsidRPr="00DF53F5" w:rsidRDefault="00DF53F5" w:rsidP="00DF53F5">
            <w:pPr>
              <w:rPr>
                <w:sz w:val="20"/>
                <w:szCs w:val="20"/>
              </w:rPr>
            </w:pPr>
            <w:r w:rsidRPr="00DF53F5">
              <w:rPr>
                <w:i/>
                <w:color w:val="000000"/>
                <w:sz w:val="16"/>
                <w:szCs w:val="20"/>
              </w:rPr>
              <w:t>Due to rounding, totals may not equal 100.0</w:t>
            </w:r>
          </w:p>
        </w:tc>
      </w:tr>
    </w:tbl>
    <w:p w14:paraId="1F1B7C86" w14:textId="0506F2EA" w:rsidR="00563BA0" w:rsidRDefault="00563BA0" w:rsidP="00563BA0">
      <w:pPr>
        <w:rPr>
          <w:iCs/>
        </w:rPr>
      </w:pPr>
    </w:p>
    <w:p w14:paraId="4CC1DB6D" w14:textId="414B6BA0" w:rsidR="008476EA" w:rsidRDefault="00D75737" w:rsidP="008476EA">
      <w:pPr>
        <w:rPr>
          <w:b/>
          <w:i/>
          <w:iCs/>
          <w:color w:val="000000"/>
        </w:rPr>
      </w:pPr>
      <w:r>
        <w:rPr>
          <w:b/>
          <w:i/>
          <w:iCs/>
          <w:color w:val="000000"/>
        </w:rPr>
        <w:t>Small Business</w:t>
      </w:r>
      <w:r w:rsidR="008476EA">
        <w:rPr>
          <w:b/>
          <w:i/>
          <w:iCs/>
          <w:color w:val="000000"/>
        </w:rPr>
        <w:t xml:space="preserve"> Loans</w:t>
      </w:r>
    </w:p>
    <w:p w14:paraId="2E64C060" w14:textId="27A73A34" w:rsidR="005C458B" w:rsidRDefault="008476EA">
      <w:pPr>
        <w:rPr>
          <w:iCs/>
          <w:color w:val="000000"/>
        </w:rPr>
      </w:pPr>
      <w:r w:rsidRPr="006876C5">
        <w:rPr>
          <w:iCs/>
          <w:color w:val="000000"/>
        </w:rPr>
        <w:t xml:space="preserve">The distribution of </w:t>
      </w:r>
      <w:r w:rsidR="005C458B">
        <w:rPr>
          <w:iCs/>
          <w:color w:val="000000"/>
        </w:rPr>
        <w:t>small business loans</w:t>
      </w:r>
      <w:r w:rsidRPr="006876C5">
        <w:rPr>
          <w:iCs/>
          <w:color w:val="000000"/>
        </w:rPr>
        <w:t xml:space="preserve"> </w:t>
      </w:r>
      <w:r w:rsidR="005C458B">
        <w:rPr>
          <w:iCs/>
          <w:color w:val="000000"/>
        </w:rPr>
        <w:t>reflect</w:t>
      </w:r>
      <w:r w:rsidR="001F5C23">
        <w:rPr>
          <w:iCs/>
          <w:color w:val="000000"/>
        </w:rPr>
        <w:t>s</w:t>
      </w:r>
      <w:r w:rsidRPr="00EC4E07">
        <w:rPr>
          <w:iCs/>
          <w:color w:val="000000"/>
        </w:rPr>
        <w:t xml:space="preserve"> reasonable penetration </w:t>
      </w:r>
      <w:r w:rsidRPr="006876C5">
        <w:rPr>
          <w:iCs/>
          <w:color w:val="000000"/>
        </w:rPr>
        <w:t>to businesses with GARs of $1</w:t>
      </w:r>
      <w:r>
        <w:rPr>
          <w:iCs/>
          <w:color w:val="000000"/>
        </w:rPr>
        <w:t>.0</w:t>
      </w:r>
      <w:r w:rsidRPr="006876C5">
        <w:rPr>
          <w:iCs/>
          <w:color w:val="000000"/>
        </w:rPr>
        <w:t xml:space="preserve"> million or less</w:t>
      </w:r>
      <w:r>
        <w:rPr>
          <w:iCs/>
          <w:color w:val="000000"/>
        </w:rPr>
        <w:t>.  As shown in the followin</w:t>
      </w:r>
      <w:r w:rsidR="00DA2797">
        <w:rPr>
          <w:iCs/>
          <w:color w:val="000000"/>
        </w:rPr>
        <w:t xml:space="preserve">g table, </w:t>
      </w:r>
      <w:r w:rsidR="00FC1B0E">
        <w:rPr>
          <w:iCs/>
          <w:color w:val="000000"/>
        </w:rPr>
        <w:t>the bank made a m</w:t>
      </w:r>
      <w:r w:rsidR="00DA2797">
        <w:rPr>
          <w:iCs/>
          <w:color w:val="000000"/>
        </w:rPr>
        <w:t>ajority of</w:t>
      </w:r>
      <w:r w:rsidR="00352D5A">
        <w:rPr>
          <w:iCs/>
          <w:color w:val="000000"/>
        </w:rPr>
        <w:t xml:space="preserve"> its</w:t>
      </w:r>
      <w:r>
        <w:rPr>
          <w:iCs/>
          <w:color w:val="000000"/>
        </w:rPr>
        <w:t xml:space="preserve"> </w:t>
      </w:r>
      <w:r w:rsidR="00FC1B0E">
        <w:rPr>
          <w:iCs/>
          <w:color w:val="000000"/>
        </w:rPr>
        <w:t xml:space="preserve">small business </w:t>
      </w:r>
      <w:r>
        <w:rPr>
          <w:iCs/>
          <w:color w:val="000000"/>
        </w:rPr>
        <w:t>loans to th</w:t>
      </w:r>
      <w:r w:rsidR="00352D5A">
        <w:rPr>
          <w:iCs/>
          <w:color w:val="000000"/>
        </w:rPr>
        <w:t>e</w:t>
      </w:r>
      <w:r>
        <w:rPr>
          <w:iCs/>
          <w:color w:val="000000"/>
        </w:rPr>
        <w:t>se businesses</w:t>
      </w:r>
      <w:r w:rsidRPr="006876C5">
        <w:rPr>
          <w:iCs/>
          <w:color w:val="000000"/>
        </w:rPr>
        <w:t xml:space="preserve">.  </w:t>
      </w:r>
      <w:r w:rsidR="00DB330C">
        <w:rPr>
          <w:iCs/>
          <w:color w:val="000000"/>
        </w:rPr>
        <w:t>Although</w:t>
      </w:r>
      <w:r w:rsidR="00FC1B0E">
        <w:rPr>
          <w:iCs/>
          <w:color w:val="000000"/>
        </w:rPr>
        <w:t xml:space="preserve"> the table appears to show a declining trend in the bank’s performance in 2020, this is due to</w:t>
      </w:r>
      <w:r w:rsidR="009E76B7">
        <w:rPr>
          <w:iCs/>
          <w:color w:val="000000"/>
        </w:rPr>
        <w:t xml:space="preserve"> the bank originating</w:t>
      </w:r>
      <w:r w:rsidR="00FC1B0E">
        <w:rPr>
          <w:iCs/>
          <w:color w:val="000000"/>
        </w:rPr>
        <w:t xml:space="preserve"> a high volume of PPP </w:t>
      </w:r>
      <w:r w:rsidR="00D32D30">
        <w:rPr>
          <w:iCs/>
          <w:color w:val="000000"/>
        </w:rPr>
        <w:t>loans, which</w:t>
      </w:r>
      <w:r w:rsidR="009E76B7">
        <w:rPr>
          <w:iCs/>
          <w:color w:val="000000"/>
        </w:rPr>
        <w:t xml:space="preserve"> did not have</w:t>
      </w:r>
      <w:r w:rsidR="00FC1B0E">
        <w:rPr>
          <w:iCs/>
          <w:color w:val="000000"/>
        </w:rPr>
        <w:t xml:space="preserve"> revenue information</w:t>
      </w:r>
      <w:r w:rsidR="009E76B7">
        <w:rPr>
          <w:iCs/>
          <w:color w:val="000000"/>
        </w:rPr>
        <w:t xml:space="preserve"> available.  </w:t>
      </w:r>
      <w:r w:rsidR="00352D5A">
        <w:rPr>
          <w:iCs/>
          <w:color w:val="000000"/>
        </w:rPr>
        <w:t>Specifically, t</w:t>
      </w:r>
      <w:r w:rsidR="00FC1B0E" w:rsidRPr="00FC1B0E">
        <w:rPr>
          <w:iCs/>
          <w:color w:val="000000"/>
        </w:rPr>
        <w:t xml:space="preserve">he table shows that </w:t>
      </w:r>
      <w:r w:rsidR="00640FE6">
        <w:rPr>
          <w:iCs/>
          <w:color w:val="000000"/>
        </w:rPr>
        <w:t xml:space="preserve">revenue information was unavailable for </w:t>
      </w:r>
      <w:r w:rsidR="00FC1B0E" w:rsidRPr="00FC1B0E">
        <w:rPr>
          <w:iCs/>
          <w:color w:val="000000"/>
        </w:rPr>
        <w:t>14.8 perc</w:t>
      </w:r>
      <w:r w:rsidR="00FC1B0E">
        <w:rPr>
          <w:iCs/>
          <w:color w:val="000000"/>
        </w:rPr>
        <w:t>ent of small business loans</w:t>
      </w:r>
      <w:r w:rsidR="00640FE6">
        <w:rPr>
          <w:iCs/>
          <w:color w:val="000000"/>
        </w:rPr>
        <w:t xml:space="preserve"> in 2020.</w:t>
      </w:r>
      <w:r w:rsidR="00FC1B0E">
        <w:rPr>
          <w:iCs/>
          <w:color w:val="000000"/>
        </w:rPr>
        <w:t xml:space="preserve">  </w:t>
      </w:r>
    </w:p>
    <w:tbl>
      <w:tblPr>
        <w:tblpPr w:leftFromText="180" w:rightFromText="180" w:vertAnchor="text" w:horzAnchor="margin" w:tblpXSpec="center" w:tblpY="-779"/>
        <w:tblOverlap w:val="never"/>
        <w:tblW w:w="0" w:type="auto"/>
        <w:tblCellMar>
          <w:left w:w="0" w:type="dxa"/>
          <w:right w:w="0" w:type="dxa"/>
        </w:tblCellMar>
        <w:tblLook w:val="0000" w:firstRow="0" w:lastRow="0" w:firstColumn="0" w:lastColumn="0" w:noHBand="0" w:noVBand="0"/>
      </w:tblPr>
      <w:tblGrid>
        <w:gridCol w:w="2041"/>
        <w:gridCol w:w="1330"/>
        <w:gridCol w:w="943"/>
        <w:gridCol w:w="893"/>
        <w:gridCol w:w="1041"/>
        <w:gridCol w:w="893"/>
      </w:tblGrid>
      <w:tr w:rsidR="005C458B" w14:paraId="35F56837" w14:textId="77777777" w:rsidTr="005C458B">
        <w:trPr>
          <w:trHeight w:val="354"/>
        </w:trPr>
        <w:tc>
          <w:tcPr>
            <w:tcW w:w="7141" w:type="dxa"/>
            <w:gridSpan w:val="6"/>
            <w:tcBorders>
              <w:top w:val="single" w:sz="7" w:space="0" w:color="000000"/>
              <w:left w:val="single" w:sz="7" w:space="0" w:color="000000"/>
              <w:right w:val="single" w:sz="7" w:space="0" w:color="000000"/>
            </w:tcBorders>
            <w:tcMar>
              <w:top w:w="39" w:type="dxa"/>
              <w:left w:w="39" w:type="dxa"/>
              <w:bottom w:w="39" w:type="dxa"/>
              <w:right w:w="39" w:type="dxa"/>
            </w:tcMar>
          </w:tcPr>
          <w:p w14:paraId="6EE3D87F" w14:textId="77777777" w:rsidR="005C458B" w:rsidRDefault="005C458B" w:rsidP="005C458B">
            <w:pPr>
              <w:jc w:val="center"/>
            </w:pPr>
            <w:r>
              <w:rPr>
                <w:b/>
                <w:color w:val="000000"/>
                <w:sz w:val="20"/>
              </w:rPr>
              <w:t>Distribution of Small Business Loans by Gross Annual Revenue Category</w:t>
            </w:r>
          </w:p>
        </w:tc>
      </w:tr>
      <w:tr w:rsidR="005C458B" w14:paraId="358EAC54" w14:textId="77777777" w:rsidTr="005C458B">
        <w:trPr>
          <w:trHeight w:val="498"/>
        </w:trPr>
        <w:tc>
          <w:tcPr>
            <w:tcW w:w="2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2ABC4FF" w14:textId="77777777" w:rsidR="005C458B" w:rsidRDefault="005C458B" w:rsidP="005C458B">
            <w:r>
              <w:rPr>
                <w:b/>
                <w:color w:val="000000"/>
                <w:sz w:val="20"/>
              </w:rPr>
              <w:t>Gross Revenue Level</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2B13B43" w14:textId="77777777" w:rsidR="005C458B" w:rsidRDefault="005C458B" w:rsidP="005C458B">
            <w:pPr>
              <w:jc w:val="center"/>
            </w:pPr>
            <w:r>
              <w:rPr>
                <w:b/>
                <w:color w:val="000000"/>
                <w:sz w:val="20"/>
              </w:rPr>
              <w:t>% of  Businesses</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43B3DE6" w14:textId="77777777" w:rsidR="005C458B" w:rsidRDefault="005C458B" w:rsidP="005C458B">
            <w:pPr>
              <w:jc w:val="center"/>
            </w:pPr>
            <w:r>
              <w:rPr>
                <w:b/>
                <w:color w:val="000000"/>
                <w:sz w:val="20"/>
              </w:rPr>
              <w:t>#</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FC2821C" w14:textId="77777777" w:rsidR="005C458B" w:rsidRDefault="005C458B" w:rsidP="005C458B">
            <w:pPr>
              <w:jc w:val="center"/>
            </w:pPr>
            <w:r>
              <w:rPr>
                <w:b/>
                <w:color w:val="000000"/>
                <w:sz w:val="20"/>
              </w:rPr>
              <w:t>%</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406590A" w14:textId="77777777" w:rsidR="005C458B" w:rsidRDefault="005C458B" w:rsidP="005C458B">
            <w:pPr>
              <w:jc w:val="center"/>
            </w:pPr>
            <w:r>
              <w:rPr>
                <w:b/>
                <w:color w:val="000000"/>
                <w:sz w:val="20"/>
              </w:rPr>
              <w:t>$(000s)</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92D1FC" w14:textId="77777777" w:rsidR="005C458B" w:rsidRDefault="005C458B" w:rsidP="005C458B">
            <w:pPr>
              <w:jc w:val="center"/>
            </w:pPr>
            <w:r>
              <w:rPr>
                <w:b/>
                <w:color w:val="000000"/>
                <w:sz w:val="20"/>
              </w:rPr>
              <w:t>%</w:t>
            </w:r>
          </w:p>
        </w:tc>
      </w:tr>
      <w:tr w:rsidR="005C458B" w14:paraId="47B63363" w14:textId="77777777" w:rsidTr="005C458B">
        <w:trPr>
          <w:trHeight w:val="181"/>
        </w:trPr>
        <w:tc>
          <w:tcPr>
            <w:tcW w:w="2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D75EF0D" w14:textId="77777777" w:rsidR="005C458B" w:rsidRDefault="005C458B" w:rsidP="005C458B">
            <w:r>
              <w:rPr>
                <w:color w:val="000000"/>
                <w:sz w:val="20"/>
              </w:rPr>
              <w:t>&lt;=$1,000,000</w:t>
            </w:r>
          </w:p>
        </w:tc>
        <w:tc>
          <w:tcPr>
            <w:tcW w:w="5100"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60AC12" w14:textId="77777777" w:rsidR="005C458B" w:rsidRDefault="005C458B" w:rsidP="005C458B"/>
        </w:tc>
      </w:tr>
      <w:tr w:rsidR="00D556A7" w14:paraId="6D7B9694" w14:textId="77777777" w:rsidTr="005C458B">
        <w:trPr>
          <w:trHeight w:val="166"/>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3DE38C1" w14:textId="77777777" w:rsidR="00D556A7" w:rsidRDefault="00D556A7" w:rsidP="00D556A7">
            <w:pPr>
              <w:jc w:val="right"/>
            </w:pPr>
            <w:r>
              <w:rPr>
                <w:color w:val="000000"/>
                <w:sz w:val="20"/>
              </w:rPr>
              <w:t>2018</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40B25" w14:textId="47211648" w:rsidR="00D556A7" w:rsidRPr="00512E81" w:rsidRDefault="00D556A7" w:rsidP="00D556A7">
            <w:pPr>
              <w:jc w:val="center"/>
              <w:rPr>
                <w:sz w:val="20"/>
                <w:szCs w:val="20"/>
              </w:rPr>
            </w:pPr>
            <w:r w:rsidRPr="00512E81">
              <w:rPr>
                <w:rFonts w:eastAsia="Arial"/>
                <w:sz w:val="20"/>
                <w:szCs w:val="20"/>
              </w:rPr>
              <w:t>83.7</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9C6BC6" w14:textId="250AE831" w:rsidR="00D556A7" w:rsidRPr="00512E81" w:rsidRDefault="00D556A7" w:rsidP="00D556A7">
            <w:pPr>
              <w:jc w:val="center"/>
              <w:rPr>
                <w:sz w:val="20"/>
                <w:szCs w:val="20"/>
              </w:rPr>
            </w:pPr>
            <w:r w:rsidRPr="00512E81">
              <w:rPr>
                <w:rFonts w:eastAsia="Arial"/>
                <w:sz w:val="20"/>
                <w:szCs w:val="20"/>
              </w:rPr>
              <w:t>23</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DF62F9" w14:textId="2E7A7658" w:rsidR="00D556A7" w:rsidRPr="00512E81" w:rsidRDefault="00D556A7" w:rsidP="00D556A7">
            <w:pPr>
              <w:jc w:val="center"/>
              <w:rPr>
                <w:sz w:val="20"/>
                <w:szCs w:val="20"/>
              </w:rPr>
            </w:pPr>
            <w:r w:rsidRPr="00512E81">
              <w:rPr>
                <w:rFonts w:eastAsia="Arial"/>
                <w:sz w:val="20"/>
                <w:szCs w:val="20"/>
              </w:rPr>
              <w:t>63.9</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4AE58" w14:textId="2B1ADFF1" w:rsidR="00D556A7" w:rsidRPr="00512E81" w:rsidRDefault="00D556A7" w:rsidP="00D556A7">
            <w:pPr>
              <w:jc w:val="center"/>
              <w:rPr>
                <w:sz w:val="20"/>
                <w:szCs w:val="20"/>
              </w:rPr>
            </w:pPr>
            <w:r w:rsidRPr="00512E81">
              <w:rPr>
                <w:rFonts w:eastAsia="Arial"/>
                <w:sz w:val="20"/>
                <w:szCs w:val="20"/>
              </w:rPr>
              <w:t>2,312</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012F2C" w14:textId="410DEF73" w:rsidR="00D556A7" w:rsidRPr="00512E81" w:rsidRDefault="00D556A7" w:rsidP="00D556A7">
            <w:pPr>
              <w:jc w:val="center"/>
              <w:rPr>
                <w:sz w:val="20"/>
                <w:szCs w:val="20"/>
              </w:rPr>
            </w:pPr>
            <w:r w:rsidRPr="00512E81">
              <w:rPr>
                <w:rFonts w:eastAsia="Arial"/>
                <w:sz w:val="20"/>
                <w:szCs w:val="20"/>
              </w:rPr>
              <w:t>54.9</w:t>
            </w:r>
          </w:p>
        </w:tc>
      </w:tr>
      <w:tr w:rsidR="00D556A7" w14:paraId="6D788965" w14:textId="77777777" w:rsidTr="005C458B">
        <w:trPr>
          <w:trHeight w:val="166"/>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94CA5AD" w14:textId="77777777" w:rsidR="00D556A7" w:rsidRDefault="00D556A7" w:rsidP="00D556A7">
            <w:pPr>
              <w:jc w:val="right"/>
            </w:pPr>
            <w:r>
              <w:rPr>
                <w:color w:val="000000"/>
                <w:sz w:val="20"/>
              </w:rPr>
              <w:t>2019</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CA5B4" w14:textId="3BDF6171" w:rsidR="00D556A7" w:rsidRPr="00512E81" w:rsidRDefault="00C25164" w:rsidP="00D556A7">
            <w:pPr>
              <w:jc w:val="center"/>
              <w:rPr>
                <w:sz w:val="20"/>
                <w:szCs w:val="20"/>
              </w:rPr>
            </w:pPr>
            <w:r w:rsidRPr="00512E81">
              <w:rPr>
                <w:rFonts w:eastAsia="Arial"/>
                <w:sz w:val="20"/>
                <w:szCs w:val="20"/>
              </w:rPr>
              <w:t>85.3</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DCBA5" w14:textId="4EA7F2E2" w:rsidR="00D556A7" w:rsidRPr="00512E81" w:rsidRDefault="00D556A7" w:rsidP="00D556A7">
            <w:pPr>
              <w:jc w:val="center"/>
              <w:rPr>
                <w:sz w:val="20"/>
                <w:szCs w:val="20"/>
              </w:rPr>
            </w:pPr>
            <w:r w:rsidRPr="00512E81">
              <w:rPr>
                <w:rFonts w:eastAsia="Arial"/>
                <w:sz w:val="20"/>
                <w:szCs w:val="20"/>
              </w:rPr>
              <w:t>30</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AA704E" w14:textId="1C1D955B" w:rsidR="00D556A7" w:rsidRPr="00512E81" w:rsidRDefault="00D556A7" w:rsidP="00D556A7">
            <w:pPr>
              <w:jc w:val="center"/>
              <w:rPr>
                <w:sz w:val="20"/>
                <w:szCs w:val="20"/>
              </w:rPr>
            </w:pPr>
            <w:r w:rsidRPr="00512E81">
              <w:rPr>
                <w:rFonts w:eastAsia="Arial"/>
                <w:sz w:val="20"/>
                <w:szCs w:val="20"/>
              </w:rPr>
              <w:t>60.0</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A3215F" w14:textId="35F781F3" w:rsidR="00D556A7" w:rsidRPr="00512E81" w:rsidRDefault="00D556A7" w:rsidP="00D556A7">
            <w:pPr>
              <w:jc w:val="center"/>
              <w:rPr>
                <w:sz w:val="20"/>
                <w:szCs w:val="20"/>
              </w:rPr>
            </w:pPr>
            <w:r w:rsidRPr="00512E81">
              <w:rPr>
                <w:rFonts w:eastAsia="Arial"/>
                <w:sz w:val="20"/>
                <w:szCs w:val="20"/>
              </w:rPr>
              <w:t>2,612</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442CD3" w14:textId="73412276" w:rsidR="00D556A7" w:rsidRPr="00512E81" w:rsidRDefault="00D556A7" w:rsidP="00D556A7">
            <w:pPr>
              <w:jc w:val="center"/>
              <w:rPr>
                <w:sz w:val="20"/>
                <w:szCs w:val="20"/>
              </w:rPr>
            </w:pPr>
            <w:r w:rsidRPr="00512E81">
              <w:rPr>
                <w:rFonts w:eastAsia="Arial"/>
                <w:sz w:val="20"/>
                <w:szCs w:val="20"/>
              </w:rPr>
              <w:t>50.8</w:t>
            </w:r>
          </w:p>
        </w:tc>
      </w:tr>
      <w:tr w:rsidR="00D556A7" w14:paraId="3CD63087" w14:textId="77777777" w:rsidTr="005C458B">
        <w:trPr>
          <w:trHeight w:val="166"/>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DC6A336" w14:textId="7B08195C" w:rsidR="00D556A7" w:rsidRDefault="00D556A7" w:rsidP="00D556A7">
            <w:pPr>
              <w:jc w:val="right"/>
              <w:rPr>
                <w:color w:val="000000"/>
                <w:sz w:val="20"/>
              </w:rPr>
            </w:pPr>
            <w:r>
              <w:rPr>
                <w:color w:val="000000"/>
                <w:sz w:val="20"/>
              </w:rPr>
              <w:t>YTD 2020</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700B76" w14:textId="23BDD61F" w:rsidR="00D556A7" w:rsidRPr="00512E81" w:rsidRDefault="00D556A7" w:rsidP="00D556A7">
            <w:pPr>
              <w:jc w:val="center"/>
              <w:rPr>
                <w:sz w:val="20"/>
                <w:szCs w:val="20"/>
              </w:rPr>
            </w:pPr>
            <w:r w:rsidRPr="00512E81">
              <w:rPr>
                <w:rFonts w:eastAsia="Arial"/>
                <w:sz w:val="20"/>
                <w:szCs w:val="20"/>
              </w:rPr>
              <w:t>86.5</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4743A" w14:textId="24D40B3F" w:rsidR="00D556A7" w:rsidRPr="00512E81" w:rsidRDefault="00D556A7" w:rsidP="00D556A7">
            <w:pPr>
              <w:jc w:val="center"/>
              <w:rPr>
                <w:sz w:val="20"/>
                <w:szCs w:val="20"/>
              </w:rPr>
            </w:pPr>
            <w:r w:rsidRPr="00512E81">
              <w:rPr>
                <w:rFonts w:eastAsia="Arial"/>
                <w:sz w:val="20"/>
                <w:szCs w:val="20"/>
              </w:rPr>
              <w:t>66</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B9E0D" w14:textId="75C02575" w:rsidR="00D556A7" w:rsidRPr="00512E81" w:rsidRDefault="00D556A7" w:rsidP="00D556A7">
            <w:pPr>
              <w:jc w:val="center"/>
              <w:rPr>
                <w:sz w:val="20"/>
                <w:szCs w:val="20"/>
              </w:rPr>
            </w:pPr>
            <w:r w:rsidRPr="00512E81">
              <w:rPr>
                <w:rFonts w:eastAsia="Arial"/>
                <w:sz w:val="20"/>
                <w:szCs w:val="20"/>
              </w:rPr>
              <w:t>42.6</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0B2F6A" w14:textId="6769F4D5" w:rsidR="00D556A7" w:rsidRPr="00512E81" w:rsidRDefault="00D556A7" w:rsidP="00D556A7">
            <w:pPr>
              <w:jc w:val="center"/>
              <w:rPr>
                <w:sz w:val="20"/>
                <w:szCs w:val="20"/>
              </w:rPr>
            </w:pPr>
            <w:r w:rsidRPr="00512E81">
              <w:rPr>
                <w:rFonts w:eastAsia="Arial"/>
                <w:sz w:val="20"/>
                <w:szCs w:val="20"/>
              </w:rPr>
              <w:t>4,692</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6D56B" w14:textId="66E28EFB" w:rsidR="00D556A7" w:rsidRPr="00512E81" w:rsidRDefault="00D556A7" w:rsidP="00D556A7">
            <w:pPr>
              <w:jc w:val="center"/>
              <w:rPr>
                <w:sz w:val="20"/>
                <w:szCs w:val="20"/>
              </w:rPr>
            </w:pPr>
            <w:r w:rsidRPr="00512E81">
              <w:rPr>
                <w:rFonts w:eastAsia="Arial"/>
                <w:sz w:val="20"/>
                <w:szCs w:val="20"/>
              </w:rPr>
              <w:t>23.2</w:t>
            </w:r>
          </w:p>
        </w:tc>
      </w:tr>
      <w:tr w:rsidR="005C458B" w14:paraId="18923A82" w14:textId="77777777" w:rsidTr="005C458B">
        <w:trPr>
          <w:trHeight w:val="181"/>
        </w:trPr>
        <w:tc>
          <w:tcPr>
            <w:tcW w:w="2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43BD35D" w14:textId="43FADAD1" w:rsidR="005C458B" w:rsidRDefault="005C458B" w:rsidP="005C458B">
            <w:r>
              <w:rPr>
                <w:color w:val="000000"/>
                <w:sz w:val="20"/>
              </w:rPr>
              <w:t>&gt;</w:t>
            </w:r>
            <w:r w:rsidR="00352D5A">
              <w:rPr>
                <w:color w:val="000000"/>
                <w:sz w:val="20"/>
              </w:rPr>
              <w:t>$</w:t>
            </w:r>
            <w:r>
              <w:rPr>
                <w:color w:val="000000"/>
                <w:sz w:val="20"/>
              </w:rPr>
              <w:t>1,000,000</w:t>
            </w:r>
          </w:p>
        </w:tc>
        <w:tc>
          <w:tcPr>
            <w:tcW w:w="5100"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87160" w14:textId="77777777" w:rsidR="005C458B" w:rsidRPr="00512E81" w:rsidRDefault="005C458B" w:rsidP="005C458B">
            <w:pPr>
              <w:rPr>
                <w:sz w:val="20"/>
                <w:szCs w:val="20"/>
              </w:rPr>
            </w:pPr>
          </w:p>
        </w:tc>
      </w:tr>
      <w:tr w:rsidR="007D790D" w14:paraId="27C19308" w14:textId="77777777" w:rsidTr="005C458B">
        <w:trPr>
          <w:trHeight w:val="166"/>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CDB3D68" w14:textId="77777777" w:rsidR="007D790D" w:rsidRDefault="007D790D" w:rsidP="007D790D">
            <w:pPr>
              <w:jc w:val="right"/>
            </w:pPr>
            <w:r>
              <w:rPr>
                <w:color w:val="000000"/>
                <w:sz w:val="20"/>
              </w:rPr>
              <w:t>2018</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CF90C1" w14:textId="747139C8" w:rsidR="007D790D" w:rsidRPr="00512E81" w:rsidRDefault="007D790D" w:rsidP="007D790D">
            <w:pPr>
              <w:jc w:val="center"/>
              <w:rPr>
                <w:sz w:val="20"/>
                <w:szCs w:val="20"/>
              </w:rPr>
            </w:pPr>
            <w:r w:rsidRPr="00512E81">
              <w:rPr>
                <w:rFonts w:eastAsia="Arial"/>
                <w:sz w:val="20"/>
                <w:szCs w:val="20"/>
              </w:rPr>
              <w:t>7.4</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F10B03" w14:textId="31B76280" w:rsidR="007D790D" w:rsidRPr="00512E81" w:rsidRDefault="007D790D" w:rsidP="007D790D">
            <w:pPr>
              <w:jc w:val="center"/>
              <w:rPr>
                <w:sz w:val="20"/>
                <w:szCs w:val="20"/>
              </w:rPr>
            </w:pPr>
            <w:r w:rsidRPr="00512E81">
              <w:rPr>
                <w:rFonts w:eastAsia="Arial"/>
                <w:sz w:val="20"/>
                <w:szCs w:val="20"/>
              </w:rPr>
              <w:t>13</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405633" w14:textId="634A8830" w:rsidR="007D790D" w:rsidRPr="00512E81" w:rsidRDefault="007D790D" w:rsidP="007D790D">
            <w:pPr>
              <w:jc w:val="center"/>
              <w:rPr>
                <w:sz w:val="20"/>
                <w:szCs w:val="20"/>
              </w:rPr>
            </w:pPr>
            <w:r w:rsidRPr="00512E81">
              <w:rPr>
                <w:rFonts w:eastAsia="Arial"/>
                <w:sz w:val="20"/>
                <w:szCs w:val="20"/>
              </w:rPr>
              <w:t>36.1</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37896B" w14:textId="3D57826A" w:rsidR="007D790D" w:rsidRPr="00512E81" w:rsidRDefault="007D790D" w:rsidP="007D790D">
            <w:pPr>
              <w:jc w:val="center"/>
              <w:rPr>
                <w:sz w:val="20"/>
                <w:szCs w:val="20"/>
              </w:rPr>
            </w:pPr>
            <w:r w:rsidRPr="00512E81">
              <w:rPr>
                <w:rFonts w:eastAsia="Arial"/>
                <w:sz w:val="20"/>
                <w:szCs w:val="20"/>
              </w:rPr>
              <w:t>1,896</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F8BC2" w14:textId="6132E257" w:rsidR="007D790D" w:rsidRPr="00512E81" w:rsidRDefault="007D790D" w:rsidP="007D790D">
            <w:pPr>
              <w:jc w:val="center"/>
              <w:rPr>
                <w:sz w:val="20"/>
                <w:szCs w:val="20"/>
              </w:rPr>
            </w:pPr>
            <w:r w:rsidRPr="00512E81">
              <w:rPr>
                <w:rFonts w:eastAsia="Arial"/>
                <w:sz w:val="20"/>
                <w:szCs w:val="20"/>
              </w:rPr>
              <w:t>45.1</w:t>
            </w:r>
          </w:p>
        </w:tc>
      </w:tr>
      <w:tr w:rsidR="007D790D" w14:paraId="4FF4BB73" w14:textId="77777777" w:rsidTr="005C458B">
        <w:trPr>
          <w:trHeight w:val="166"/>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8324FA1" w14:textId="77777777" w:rsidR="007D790D" w:rsidRDefault="007D790D" w:rsidP="007D790D">
            <w:pPr>
              <w:jc w:val="right"/>
            </w:pPr>
            <w:r>
              <w:rPr>
                <w:color w:val="000000"/>
                <w:sz w:val="20"/>
              </w:rPr>
              <w:t>2019</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5B665" w14:textId="6DE9A5B1" w:rsidR="007D790D" w:rsidRPr="00512E81" w:rsidRDefault="00C25164" w:rsidP="007D790D">
            <w:pPr>
              <w:jc w:val="center"/>
              <w:rPr>
                <w:sz w:val="20"/>
                <w:szCs w:val="20"/>
              </w:rPr>
            </w:pPr>
            <w:r w:rsidRPr="00512E81">
              <w:rPr>
                <w:rFonts w:eastAsia="Arial"/>
                <w:sz w:val="20"/>
                <w:szCs w:val="20"/>
              </w:rPr>
              <w:t>6.6</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D3118A" w14:textId="78220888" w:rsidR="007D790D" w:rsidRPr="00512E81" w:rsidRDefault="007D790D" w:rsidP="007D790D">
            <w:pPr>
              <w:jc w:val="center"/>
              <w:rPr>
                <w:sz w:val="20"/>
                <w:szCs w:val="20"/>
              </w:rPr>
            </w:pPr>
            <w:r w:rsidRPr="00512E81">
              <w:rPr>
                <w:rFonts w:eastAsia="Arial"/>
                <w:sz w:val="20"/>
                <w:szCs w:val="20"/>
              </w:rPr>
              <w:t>20</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54B499" w14:textId="4CAE3CF2" w:rsidR="007D790D" w:rsidRPr="00512E81" w:rsidRDefault="007D790D" w:rsidP="007D790D">
            <w:pPr>
              <w:jc w:val="center"/>
              <w:rPr>
                <w:sz w:val="20"/>
                <w:szCs w:val="20"/>
              </w:rPr>
            </w:pPr>
            <w:r w:rsidRPr="00512E81">
              <w:rPr>
                <w:rFonts w:eastAsia="Arial"/>
                <w:sz w:val="20"/>
                <w:szCs w:val="20"/>
              </w:rPr>
              <w:t>40.0</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126C7" w14:textId="5364ED59" w:rsidR="007D790D" w:rsidRPr="00512E81" w:rsidRDefault="007D790D" w:rsidP="007D790D">
            <w:pPr>
              <w:jc w:val="center"/>
              <w:rPr>
                <w:sz w:val="20"/>
                <w:szCs w:val="20"/>
              </w:rPr>
            </w:pPr>
            <w:r w:rsidRPr="00512E81">
              <w:rPr>
                <w:rFonts w:eastAsia="Arial"/>
                <w:sz w:val="20"/>
                <w:szCs w:val="20"/>
              </w:rPr>
              <w:t>2,533</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967ED" w14:textId="61F25C93" w:rsidR="007D790D" w:rsidRPr="00512E81" w:rsidRDefault="007D790D" w:rsidP="007D790D">
            <w:pPr>
              <w:jc w:val="center"/>
              <w:rPr>
                <w:sz w:val="20"/>
                <w:szCs w:val="20"/>
              </w:rPr>
            </w:pPr>
            <w:r w:rsidRPr="00512E81">
              <w:rPr>
                <w:rFonts w:eastAsia="Arial"/>
                <w:sz w:val="20"/>
                <w:szCs w:val="20"/>
              </w:rPr>
              <w:t>49.2</w:t>
            </w:r>
          </w:p>
        </w:tc>
      </w:tr>
      <w:tr w:rsidR="007D790D" w14:paraId="20142AB4" w14:textId="77777777" w:rsidTr="005C458B">
        <w:trPr>
          <w:trHeight w:val="166"/>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0373DC7" w14:textId="4A971652" w:rsidR="007D790D" w:rsidRDefault="007D790D" w:rsidP="007D790D">
            <w:pPr>
              <w:jc w:val="right"/>
              <w:rPr>
                <w:color w:val="000000"/>
                <w:sz w:val="20"/>
              </w:rPr>
            </w:pPr>
            <w:r>
              <w:rPr>
                <w:color w:val="000000"/>
                <w:sz w:val="20"/>
              </w:rPr>
              <w:t>YTD 2020</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9FD4C" w14:textId="624A68A2" w:rsidR="007D790D" w:rsidRPr="00512E81" w:rsidRDefault="007D790D" w:rsidP="007D790D">
            <w:pPr>
              <w:jc w:val="center"/>
              <w:rPr>
                <w:sz w:val="20"/>
                <w:szCs w:val="20"/>
              </w:rPr>
            </w:pPr>
            <w:r w:rsidRPr="00512E81">
              <w:rPr>
                <w:rFonts w:eastAsia="Arial"/>
                <w:sz w:val="20"/>
                <w:szCs w:val="20"/>
              </w:rPr>
              <w:t>6.0</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705C8" w14:textId="29D66D2A" w:rsidR="007D790D" w:rsidRPr="00512E81" w:rsidRDefault="007D790D" w:rsidP="007D790D">
            <w:pPr>
              <w:jc w:val="center"/>
              <w:rPr>
                <w:sz w:val="20"/>
                <w:szCs w:val="20"/>
              </w:rPr>
            </w:pPr>
            <w:r w:rsidRPr="00512E81">
              <w:rPr>
                <w:rFonts w:eastAsia="Arial"/>
                <w:sz w:val="20"/>
                <w:szCs w:val="20"/>
              </w:rPr>
              <w:t>66</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F593D6" w14:textId="22269E1B" w:rsidR="007D790D" w:rsidRPr="00512E81" w:rsidRDefault="007D790D" w:rsidP="007D790D">
            <w:pPr>
              <w:jc w:val="center"/>
              <w:rPr>
                <w:sz w:val="20"/>
                <w:szCs w:val="20"/>
              </w:rPr>
            </w:pPr>
            <w:r w:rsidRPr="00512E81">
              <w:rPr>
                <w:rFonts w:eastAsia="Arial"/>
                <w:sz w:val="20"/>
                <w:szCs w:val="20"/>
              </w:rPr>
              <w:t>42.6</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354BD6" w14:textId="3E8C2DFA" w:rsidR="007D790D" w:rsidRPr="00512E81" w:rsidRDefault="007D790D" w:rsidP="007D790D">
            <w:pPr>
              <w:jc w:val="center"/>
              <w:rPr>
                <w:sz w:val="20"/>
                <w:szCs w:val="20"/>
              </w:rPr>
            </w:pPr>
            <w:r w:rsidRPr="00512E81">
              <w:rPr>
                <w:rFonts w:eastAsia="Arial"/>
                <w:sz w:val="20"/>
                <w:szCs w:val="20"/>
              </w:rPr>
              <w:t>13,677</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AB3B72" w14:textId="22CCA431" w:rsidR="007D790D" w:rsidRPr="00512E81" w:rsidRDefault="007D790D" w:rsidP="007D790D">
            <w:pPr>
              <w:jc w:val="center"/>
              <w:rPr>
                <w:sz w:val="20"/>
                <w:szCs w:val="20"/>
              </w:rPr>
            </w:pPr>
            <w:r w:rsidRPr="00512E81">
              <w:rPr>
                <w:rFonts w:eastAsia="Arial"/>
                <w:sz w:val="20"/>
                <w:szCs w:val="20"/>
              </w:rPr>
              <w:t>67.7</w:t>
            </w:r>
          </w:p>
        </w:tc>
      </w:tr>
      <w:tr w:rsidR="005C458B" w14:paraId="2F1843DE" w14:textId="77777777" w:rsidTr="005C458B">
        <w:trPr>
          <w:trHeight w:val="181"/>
        </w:trPr>
        <w:tc>
          <w:tcPr>
            <w:tcW w:w="2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AC80822" w14:textId="77777777" w:rsidR="005C458B" w:rsidRDefault="005C458B" w:rsidP="005C458B">
            <w:r>
              <w:rPr>
                <w:color w:val="000000"/>
                <w:sz w:val="20"/>
              </w:rPr>
              <w:t>Revenue Not Available</w:t>
            </w:r>
          </w:p>
        </w:tc>
        <w:tc>
          <w:tcPr>
            <w:tcW w:w="5100"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D0CFD" w14:textId="77777777" w:rsidR="005C458B" w:rsidRPr="00512E81" w:rsidRDefault="005C458B" w:rsidP="005C458B">
            <w:pPr>
              <w:rPr>
                <w:sz w:val="20"/>
                <w:szCs w:val="20"/>
              </w:rPr>
            </w:pPr>
          </w:p>
        </w:tc>
      </w:tr>
      <w:tr w:rsidR="007D790D" w14:paraId="0A8106FC" w14:textId="77777777" w:rsidTr="005C458B">
        <w:trPr>
          <w:trHeight w:val="166"/>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0F05C16" w14:textId="77777777" w:rsidR="007D790D" w:rsidRDefault="007D790D" w:rsidP="007D790D">
            <w:pPr>
              <w:jc w:val="right"/>
            </w:pPr>
            <w:r>
              <w:rPr>
                <w:color w:val="000000"/>
                <w:sz w:val="20"/>
              </w:rPr>
              <w:t>2018</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999ED" w14:textId="1871D4BE" w:rsidR="007D790D" w:rsidRPr="00512E81" w:rsidRDefault="007D790D" w:rsidP="007D790D">
            <w:pPr>
              <w:jc w:val="center"/>
              <w:rPr>
                <w:sz w:val="20"/>
                <w:szCs w:val="20"/>
              </w:rPr>
            </w:pPr>
            <w:r w:rsidRPr="00512E81">
              <w:rPr>
                <w:rFonts w:eastAsia="Arial"/>
                <w:sz w:val="20"/>
                <w:szCs w:val="20"/>
              </w:rPr>
              <w:t>8.8</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62DC15" w14:textId="2C3B0803" w:rsidR="007D790D" w:rsidRPr="00512E81" w:rsidRDefault="007D790D" w:rsidP="007D790D">
            <w:pPr>
              <w:jc w:val="center"/>
              <w:rPr>
                <w:sz w:val="20"/>
                <w:szCs w:val="20"/>
              </w:rPr>
            </w:pPr>
            <w:r w:rsidRPr="00512E81">
              <w:rPr>
                <w:rFonts w:eastAsia="Arial"/>
                <w:sz w:val="20"/>
                <w:szCs w:val="20"/>
              </w:rPr>
              <w:t>0</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A1FA4E" w14:textId="6FAF18E7" w:rsidR="007D790D" w:rsidRPr="00512E81" w:rsidRDefault="007D790D" w:rsidP="007D790D">
            <w:pPr>
              <w:jc w:val="center"/>
              <w:rPr>
                <w:sz w:val="20"/>
                <w:szCs w:val="20"/>
              </w:rPr>
            </w:pPr>
            <w:r w:rsidRPr="00512E81">
              <w:rPr>
                <w:rFonts w:eastAsia="Arial"/>
                <w:sz w:val="20"/>
                <w:szCs w:val="20"/>
              </w:rPr>
              <w:t>0.0</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0C52BC" w14:textId="2B5B5081" w:rsidR="007D790D" w:rsidRPr="00512E81" w:rsidRDefault="007D790D" w:rsidP="007D790D">
            <w:pPr>
              <w:jc w:val="center"/>
              <w:rPr>
                <w:sz w:val="20"/>
                <w:szCs w:val="20"/>
              </w:rPr>
            </w:pPr>
            <w:r w:rsidRPr="00512E81">
              <w:rPr>
                <w:rFonts w:eastAsia="Arial"/>
                <w:sz w:val="20"/>
                <w:szCs w:val="20"/>
              </w:rPr>
              <w:t>0</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CECC51" w14:textId="692C1EA1" w:rsidR="007D790D" w:rsidRPr="00512E81" w:rsidRDefault="007D790D" w:rsidP="007D790D">
            <w:pPr>
              <w:jc w:val="center"/>
              <w:rPr>
                <w:sz w:val="20"/>
                <w:szCs w:val="20"/>
              </w:rPr>
            </w:pPr>
            <w:r w:rsidRPr="00512E81">
              <w:rPr>
                <w:rFonts w:eastAsia="Arial"/>
                <w:sz w:val="20"/>
                <w:szCs w:val="20"/>
              </w:rPr>
              <w:t>0.0</w:t>
            </w:r>
          </w:p>
        </w:tc>
      </w:tr>
      <w:tr w:rsidR="007D790D" w14:paraId="08682A7E" w14:textId="77777777" w:rsidTr="005C458B">
        <w:trPr>
          <w:trHeight w:val="166"/>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2F5B6EF" w14:textId="77777777" w:rsidR="007D790D" w:rsidRDefault="007D790D" w:rsidP="007D790D">
            <w:pPr>
              <w:jc w:val="right"/>
            </w:pPr>
            <w:r>
              <w:rPr>
                <w:color w:val="000000"/>
                <w:sz w:val="20"/>
              </w:rPr>
              <w:t>2019</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7A9F1" w14:textId="201AAA46" w:rsidR="007D790D" w:rsidRPr="00512E81" w:rsidRDefault="00C25164" w:rsidP="007D790D">
            <w:pPr>
              <w:jc w:val="center"/>
              <w:rPr>
                <w:sz w:val="20"/>
                <w:szCs w:val="20"/>
              </w:rPr>
            </w:pPr>
            <w:r w:rsidRPr="00512E81">
              <w:rPr>
                <w:sz w:val="20"/>
                <w:szCs w:val="20"/>
              </w:rPr>
              <w:t>8.0</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F6874" w14:textId="5CA0086A" w:rsidR="007D790D" w:rsidRPr="00512E81" w:rsidRDefault="007D790D" w:rsidP="007D790D">
            <w:pPr>
              <w:jc w:val="center"/>
              <w:rPr>
                <w:sz w:val="20"/>
                <w:szCs w:val="20"/>
              </w:rPr>
            </w:pPr>
            <w:r w:rsidRPr="00512E81">
              <w:rPr>
                <w:rFonts w:eastAsia="Arial"/>
                <w:sz w:val="20"/>
                <w:szCs w:val="20"/>
              </w:rPr>
              <w:t>0</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17052D" w14:textId="026FA301" w:rsidR="007D790D" w:rsidRPr="00512E81" w:rsidRDefault="007D790D" w:rsidP="007D790D">
            <w:pPr>
              <w:jc w:val="center"/>
              <w:rPr>
                <w:sz w:val="20"/>
                <w:szCs w:val="20"/>
              </w:rPr>
            </w:pPr>
            <w:r w:rsidRPr="00512E81">
              <w:rPr>
                <w:rFonts w:eastAsia="Arial"/>
                <w:sz w:val="20"/>
                <w:szCs w:val="20"/>
              </w:rPr>
              <w:t>0.0</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E83C9" w14:textId="0FCCFE56" w:rsidR="007D790D" w:rsidRPr="00512E81" w:rsidRDefault="007D790D" w:rsidP="007D790D">
            <w:pPr>
              <w:jc w:val="center"/>
              <w:rPr>
                <w:sz w:val="20"/>
                <w:szCs w:val="20"/>
              </w:rPr>
            </w:pPr>
            <w:r w:rsidRPr="00512E81">
              <w:rPr>
                <w:rFonts w:eastAsia="Arial"/>
                <w:sz w:val="20"/>
                <w:szCs w:val="20"/>
              </w:rPr>
              <w:t>0</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829A5A" w14:textId="4645D9B9" w:rsidR="007D790D" w:rsidRPr="00512E81" w:rsidRDefault="007D790D" w:rsidP="007D790D">
            <w:pPr>
              <w:jc w:val="center"/>
              <w:rPr>
                <w:sz w:val="20"/>
                <w:szCs w:val="20"/>
              </w:rPr>
            </w:pPr>
            <w:r w:rsidRPr="00512E81">
              <w:rPr>
                <w:rFonts w:eastAsia="Arial"/>
                <w:sz w:val="20"/>
                <w:szCs w:val="20"/>
              </w:rPr>
              <w:t>0.0</w:t>
            </w:r>
          </w:p>
        </w:tc>
      </w:tr>
      <w:tr w:rsidR="007D790D" w14:paraId="3052477D" w14:textId="77777777" w:rsidTr="005C458B">
        <w:trPr>
          <w:trHeight w:val="166"/>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DBEA3B6" w14:textId="6F8F496B" w:rsidR="007D790D" w:rsidRDefault="007D790D" w:rsidP="007D790D">
            <w:pPr>
              <w:jc w:val="right"/>
              <w:rPr>
                <w:color w:val="000000"/>
                <w:sz w:val="20"/>
              </w:rPr>
            </w:pPr>
            <w:r>
              <w:rPr>
                <w:color w:val="000000"/>
                <w:sz w:val="20"/>
              </w:rPr>
              <w:t>YTD 2020</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9B5B3B" w14:textId="7FB0CB71" w:rsidR="007D790D" w:rsidRPr="00512E81" w:rsidRDefault="007D790D" w:rsidP="007D790D">
            <w:pPr>
              <w:jc w:val="center"/>
              <w:rPr>
                <w:sz w:val="20"/>
                <w:szCs w:val="20"/>
              </w:rPr>
            </w:pPr>
            <w:r w:rsidRPr="00512E81">
              <w:rPr>
                <w:rFonts w:eastAsia="Arial"/>
                <w:sz w:val="20"/>
                <w:szCs w:val="20"/>
              </w:rPr>
              <w:t>7.6</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079F4E" w14:textId="00BE6CB2" w:rsidR="007D790D" w:rsidRPr="00512E81" w:rsidRDefault="007D790D" w:rsidP="007D790D">
            <w:pPr>
              <w:jc w:val="center"/>
              <w:rPr>
                <w:sz w:val="20"/>
                <w:szCs w:val="20"/>
              </w:rPr>
            </w:pPr>
            <w:r w:rsidRPr="00512E81">
              <w:rPr>
                <w:rFonts w:eastAsia="Arial"/>
                <w:sz w:val="20"/>
                <w:szCs w:val="20"/>
              </w:rPr>
              <w:t>23</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74801" w14:textId="245C9E04" w:rsidR="007D790D" w:rsidRPr="00512E81" w:rsidRDefault="007D790D" w:rsidP="007D790D">
            <w:pPr>
              <w:jc w:val="center"/>
              <w:rPr>
                <w:sz w:val="20"/>
                <w:szCs w:val="20"/>
              </w:rPr>
            </w:pPr>
            <w:r w:rsidRPr="00512E81">
              <w:rPr>
                <w:rFonts w:eastAsia="Arial"/>
                <w:sz w:val="20"/>
                <w:szCs w:val="20"/>
              </w:rPr>
              <w:t>14.8</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1231F1" w14:textId="1026BF85" w:rsidR="007D790D" w:rsidRPr="00512E81" w:rsidRDefault="007D790D" w:rsidP="007D790D">
            <w:pPr>
              <w:jc w:val="center"/>
              <w:rPr>
                <w:sz w:val="20"/>
                <w:szCs w:val="20"/>
              </w:rPr>
            </w:pPr>
            <w:r w:rsidRPr="00512E81">
              <w:rPr>
                <w:rFonts w:eastAsia="Arial"/>
                <w:sz w:val="20"/>
                <w:szCs w:val="20"/>
              </w:rPr>
              <w:t>1,834</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12D3C1" w14:textId="398E1BE9" w:rsidR="007D790D" w:rsidRPr="00512E81" w:rsidRDefault="007D790D" w:rsidP="007D790D">
            <w:pPr>
              <w:jc w:val="center"/>
              <w:rPr>
                <w:sz w:val="20"/>
                <w:szCs w:val="20"/>
              </w:rPr>
            </w:pPr>
            <w:r w:rsidRPr="00512E81">
              <w:rPr>
                <w:rFonts w:eastAsia="Arial"/>
                <w:sz w:val="20"/>
                <w:szCs w:val="20"/>
              </w:rPr>
              <w:t>9.1</w:t>
            </w:r>
          </w:p>
        </w:tc>
      </w:tr>
      <w:tr w:rsidR="005C458B" w14:paraId="03430CF8" w14:textId="77777777" w:rsidTr="005C458B">
        <w:trPr>
          <w:trHeight w:val="181"/>
        </w:trPr>
        <w:tc>
          <w:tcPr>
            <w:tcW w:w="2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F32D54E" w14:textId="77777777" w:rsidR="005C458B" w:rsidRDefault="005C458B" w:rsidP="005C458B">
            <w:r>
              <w:rPr>
                <w:b/>
                <w:color w:val="000000"/>
                <w:sz w:val="20"/>
              </w:rPr>
              <w:t>Totals</w:t>
            </w:r>
          </w:p>
        </w:tc>
        <w:tc>
          <w:tcPr>
            <w:tcW w:w="5100"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DC748" w14:textId="77777777" w:rsidR="005C458B" w:rsidRPr="00512E81" w:rsidRDefault="005C458B" w:rsidP="005C458B">
            <w:pPr>
              <w:rPr>
                <w:sz w:val="20"/>
                <w:szCs w:val="20"/>
              </w:rPr>
            </w:pPr>
          </w:p>
        </w:tc>
      </w:tr>
      <w:tr w:rsidR="007D790D" w14:paraId="5323B100" w14:textId="77777777" w:rsidTr="005C458B">
        <w:trPr>
          <w:trHeight w:val="181"/>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E554AA7" w14:textId="77777777" w:rsidR="007D790D" w:rsidRDefault="007D790D" w:rsidP="007D790D">
            <w:pPr>
              <w:jc w:val="right"/>
            </w:pPr>
            <w:r>
              <w:rPr>
                <w:b/>
                <w:color w:val="000000"/>
                <w:sz w:val="20"/>
              </w:rPr>
              <w:t>2018</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DCA3A" w14:textId="414E3539" w:rsidR="007D790D" w:rsidRPr="00512E81" w:rsidRDefault="007D790D" w:rsidP="007D790D">
            <w:pPr>
              <w:jc w:val="center"/>
              <w:rPr>
                <w:sz w:val="20"/>
                <w:szCs w:val="20"/>
              </w:rPr>
            </w:pPr>
            <w:r w:rsidRPr="00512E81">
              <w:rPr>
                <w:rFonts w:eastAsia="Arial"/>
                <w:b/>
                <w:sz w:val="20"/>
                <w:szCs w:val="20"/>
              </w:rPr>
              <w:t>100.0</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E3F095" w14:textId="12DBAF5C" w:rsidR="007D790D" w:rsidRPr="00512E81" w:rsidRDefault="007D790D" w:rsidP="007D790D">
            <w:pPr>
              <w:jc w:val="center"/>
              <w:rPr>
                <w:sz w:val="20"/>
                <w:szCs w:val="20"/>
              </w:rPr>
            </w:pPr>
            <w:r w:rsidRPr="00512E81">
              <w:rPr>
                <w:rFonts w:eastAsia="Arial"/>
                <w:b/>
                <w:sz w:val="20"/>
                <w:szCs w:val="20"/>
              </w:rPr>
              <w:t>36</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151FA" w14:textId="10E30B08" w:rsidR="007D790D" w:rsidRPr="00512E81" w:rsidRDefault="007D790D" w:rsidP="007D790D">
            <w:pPr>
              <w:jc w:val="center"/>
              <w:rPr>
                <w:sz w:val="20"/>
                <w:szCs w:val="20"/>
              </w:rPr>
            </w:pPr>
            <w:r w:rsidRPr="00512E81">
              <w:rPr>
                <w:rFonts w:eastAsia="Arial"/>
                <w:b/>
                <w:sz w:val="20"/>
                <w:szCs w:val="20"/>
              </w:rPr>
              <w:t>100.0</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02D976" w14:textId="712AE4A1" w:rsidR="007D790D" w:rsidRPr="00512E81" w:rsidRDefault="007D790D" w:rsidP="007D790D">
            <w:pPr>
              <w:jc w:val="center"/>
              <w:rPr>
                <w:sz w:val="20"/>
                <w:szCs w:val="20"/>
              </w:rPr>
            </w:pPr>
            <w:r w:rsidRPr="00512E81">
              <w:rPr>
                <w:rFonts w:eastAsia="Arial"/>
                <w:b/>
                <w:sz w:val="20"/>
                <w:szCs w:val="20"/>
              </w:rPr>
              <w:t>4,208</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5D3E16" w14:textId="1591F392" w:rsidR="007D790D" w:rsidRPr="00512E81" w:rsidRDefault="007D790D" w:rsidP="007D790D">
            <w:pPr>
              <w:jc w:val="center"/>
              <w:rPr>
                <w:sz w:val="20"/>
                <w:szCs w:val="20"/>
              </w:rPr>
            </w:pPr>
            <w:r w:rsidRPr="00512E81">
              <w:rPr>
                <w:rFonts w:eastAsia="Arial"/>
                <w:b/>
                <w:sz w:val="20"/>
                <w:szCs w:val="20"/>
              </w:rPr>
              <w:t>100.0</w:t>
            </w:r>
          </w:p>
        </w:tc>
      </w:tr>
      <w:tr w:rsidR="007D790D" w14:paraId="709DA81C" w14:textId="77777777" w:rsidTr="005C458B">
        <w:trPr>
          <w:trHeight w:val="181"/>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B4A3321" w14:textId="77777777" w:rsidR="007D790D" w:rsidRDefault="007D790D" w:rsidP="007D790D">
            <w:pPr>
              <w:jc w:val="right"/>
            </w:pPr>
            <w:r>
              <w:rPr>
                <w:b/>
                <w:color w:val="000000"/>
                <w:sz w:val="20"/>
              </w:rPr>
              <w:t>2019</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984292" w14:textId="153FEFA4" w:rsidR="007D790D" w:rsidRPr="00531C74" w:rsidRDefault="007D790D" w:rsidP="007D790D">
            <w:pPr>
              <w:jc w:val="center"/>
              <w:rPr>
                <w:b/>
                <w:sz w:val="20"/>
                <w:szCs w:val="20"/>
              </w:rPr>
            </w:pPr>
            <w:r w:rsidRPr="00531C74">
              <w:rPr>
                <w:b/>
                <w:sz w:val="20"/>
                <w:szCs w:val="20"/>
              </w:rPr>
              <w:t>100.0</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E9CC0" w14:textId="1B39DDEA" w:rsidR="007D790D" w:rsidRPr="00512E81" w:rsidRDefault="007D790D" w:rsidP="007D790D">
            <w:pPr>
              <w:jc w:val="center"/>
              <w:rPr>
                <w:sz w:val="20"/>
                <w:szCs w:val="20"/>
              </w:rPr>
            </w:pPr>
            <w:r w:rsidRPr="00512E81">
              <w:rPr>
                <w:rFonts w:eastAsia="Arial"/>
                <w:b/>
                <w:sz w:val="20"/>
                <w:szCs w:val="20"/>
              </w:rPr>
              <w:t>50</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10570F" w14:textId="1603247D" w:rsidR="007D790D" w:rsidRPr="00512E81" w:rsidRDefault="007D790D" w:rsidP="007D790D">
            <w:pPr>
              <w:jc w:val="center"/>
              <w:rPr>
                <w:sz w:val="20"/>
                <w:szCs w:val="20"/>
              </w:rPr>
            </w:pPr>
            <w:r w:rsidRPr="00512E81">
              <w:rPr>
                <w:rFonts w:eastAsia="Arial"/>
                <w:b/>
                <w:sz w:val="20"/>
                <w:szCs w:val="20"/>
              </w:rPr>
              <w:t>100.0</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87DBD" w14:textId="119B9805" w:rsidR="007D790D" w:rsidRPr="00512E81" w:rsidRDefault="007D790D" w:rsidP="007D790D">
            <w:pPr>
              <w:jc w:val="center"/>
              <w:rPr>
                <w:sz w:val="20"/>
                <w:szCs w:val="20"/>
              </w:rPr>
            </w:pPr>
            <w:r w:rsidRPr="00512E81">
              <w:rPr>
                <w:rFonts w:eastAsia="Arial"/>
                <w:b/>
                <w:sz w:val="20"/>
                <w:szCs w:val="20"/>
              </w:rPr>
              <w:t>5,145</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2CAAB4" w14:textId="1923ABAB" w:rsidR="007D790D" w:rsidRPr="00512E81" w:rsidRDefault="007D790D" w:rsidP="007D790D">
            <w:pPr>
              <w:jc w:val="center"/>
              <w:rPr>
                <w:sz w:val="20"/>
                <w:szCs w:val="20"/>
              </w:rPr>
            </w:pPr>
            <w:r w:rsidRPr="00512E81">
              <w:rPr>
                <w:rFonts w:eastAsia="Arial"/>
                <w:b/>
                <w:sz w:val="20"/>
                <w:szCs w:val="20"/>
              </w:rPr>
              <w:t>100.0</w:t>
            </w:r>
          </w:p>
        </w:tc>
      </w:tr>
      <w:tr w:rsidR="007D790D" w14:paraId="429FD6C3" w14:textId="77777777" w:rsidTr="005C458B">
        <w:trPr>
          <w:trHeight w:val="181"/>
        </w:trPr>
        <w:tc>
          <w:tcPr>
            <w:tcW w:w="204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C70B1F4" w14:textId="00F0E4BE" w:rsidR="007D790D" w:rsidRDefault="007D790D" w:rsidP="007D790D">
            <w:pPr>
              <w:jc w:val="right"/>
              <w:rPr>
                <w:b/>
                <w:color w:val="000000"/>
                <w:sz w:val="20"/>
              </w:rPr>
            </w:pPr>
            <w:r>
              <w:rPr>
                <w:b/>
                <w:color w:val="000000"/>
                <w:sz w:val="20"/>
              </w:rPr>
              <w:t>YTD 2020</w:t>
            </w:r>
          </w:p>
        </w:tc>
        <w:tc>
          <w:tcPr>
            <w:tcW w:w="1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67CCFC" w14:textId="2A22E1BE" w:rsidR="007D790D" w:rsidRPr="00512E81" w:rsidRDefault="007D790D" w:rsidP="007D790D">
            <w:pPr>
              <w:jc w:val="center"/>
              <w:rPr>
                <w:b/>
                <w:sz w:val="20"/>
                <w:szCs w:val="20"/>
              </w:rPr>
            </w:pPr>
            <w:r w:rsidRPr="00512E81">
              <w:rPr>
                <w:rFonts w:eastAsia="Arial"/>
                <w:b/>
                <w:sz w:val="20"/>
                <w:szCs w:val="20"/>
              </w:rPr>
              <w:t>100.0</w:t>
            </w:r>
          </w:p>
        </w:tc>
        <w:tc>
          <w:tcPr>
            <w:tcW w:w="9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2FB664" w14:textId="087D8D46" w:rsidR="007D790D" w:rsidRPr="00512E81" w:rsidRDefault="007D790D" w:rsidP="007D790D">
            <w:pPr>
              <w:jc w:val="center"/>
              <w:rPr>
                <w:b/>
                <w:sz w:val="20"/>
                <w:szCs w:val="20"/>
              </w:rPr>
            </w:pPr>
            <w:r w:rsidRPr="00512E81">
              <w:rPr>
                <w:rFonts w:eastAsia="Arial"/>
                <w:b/>
                <w:sz w:val="20"/>
                <w:szCs w:val="20"/>
              </w:rPr>
              <w:t>155</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74E1D0" w14:textId="53A17B37" w:rsidR="007D790D" w:rsidRPr="00512E81" w:rsidRDefault="007D790D" w:rsidP="007D790D">
            <w:pPr>
              <w:jc w:val="center"/>
              <w:rPr>
                <w:b/>
                <w:sz w:val="20"/>
                <w:szCs w:val="20"/>
              </w:rPr>
            </w:pPr>
            <w:r w:rsidRPr="00512E81">
              <w:rPr>
                <w:rFonts w:eastAsia="Arial"/>
                <w:b/>
                <w:sz w:val="20"/>
                <w:szCs w:val="20"/>
              </w:rPr>
              <w:t>100.0</w:t>
            </w:r>
          </w:p>
        </w:tc>
        <w:tc>
          <w:tcPr>
            <w:tcW w:w="10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07A6FB" w14:textId="7500BD13" w:rsidR="007D790D" w:rsidRPr="00512E81" w:rsidRDefault="007D790D" w:rsidP="007D790D">
            <w:pPr>
              <w:jc w:val="center"/>
              <w:rPr>
                <w:b/>
                <w:sz w:val="20"/>
                <w:szCs w:val="20"/>
              </w:rPr>
            </w:pPr>
            <w:r w:rsidRPr="00512E81">
              <w:rPr>
                <w:rFonts w:eastAsia="Arial"/>
                <w:b/>
                <w:sz w:val="20"/>
                <w:szCs w:val="20"/>
              </w:rPr>
              <w:t>20,203</w:t>
            </w:r>
          </w:p>
        </w:tc>
        <w:tc>
          <w:tcPr>
            <w:tcW w:w="8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DAA6D" w14:textId="386288C6" w:rsidR="007D790D" w:rsidRPr="00512E81" w:rsidRDefault="007D790D" w:rsidP="007D790D">
            <w:pPr>
              <w:jc w:val="center"/>
              <w:rPr>
                <w:b/>
                <w:sz w:val="20"/>
                <w:szCs w:val="20"/>
              </w:rPr>
            </w:pPr>
            <w:r w:rsidRPr="00512E81">
              <w:rPr>
                <w:rFonts w:eastAsia="Arial"/>
                <w:b/>
                <w:sz w:val="20"/>
                <w:szCs w:val="20"/>
              </w:rPr>
              <w:t>100.0</w:t>
            </w:r>
          </w:p>
        </w:tc>
      </w:tr>
      <w:tr w:rsidR="005C458B" w14:paraId="7ECDDE82" w14:textId="77777777" w:rsidTr="005C458B">
        <w:trPr>
          <w:trHeight w:val="536"/>
        </w:trPr>
        <w:tc>
          <w:tcPr>
            <w:tcW w:w="7141" w:type="dxa"/>
            <w:gridSpan w:val="6"/>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6B472997" w14:textId="06D9A5FE" w:rsidR="005C458B" w:rsidRDefault="005C458B" w:rsidP="005C458B">
            <w:r>
              <w:rPr>
                <w:i/>
                <w:color w:val="000000"/>
                <w:sz w:val="16"/>
              </w:rPr>
              <w:t>Source: 2018</w:t>
            </w:r>
            <w:r w:rsidR="002103F6">
              <w:rPr>
                <w:i/>
                <w:color w:val="000000"/>
                <w:sz w:val="16"/>
              </w:rPr>
              <w:t>, 2019</w:t>
            </w:r>
            <w:r>
              <w:rPr>
                <w:i/>
                <w:color w:val="000000"/>
                <w:sz w:val="16"/>
              </w:rPr>
              <w:t xml:space="preserve"> &amp; </w:t>
            </w:r>
            <w:r w:rsidR="00512E81">
              <w:rPr>
                <w:i/>
                <w:color w:val="000000"/>
                <w:sz w:val="16"/>
              </w:rPr>
              <w:t>2020</w:t>
            </w:r>
            <w:r>
              <w:rPr>
                <w:i/>
                <w:color w:val="000000"/>
                <w:sz w:val="16"/>
              </w:rPr>
              <w:t xml:space="preserve"> D&amp;B Data</w:t>
            </w:r>
            <w:r w:rsidR="00512E81">
              <w:rPr>
                <w:i/>
                <w:color w:val="000000"/>
                <w:sz w:val="16"/>
              </w:rPr>
              <w:t>;</w:t>
            </w:r>
            <w:r w:rsidR="00512E81">
              <w:rPr>
                <w:i/>
                <w:color w:val="000000"/>
                <w:sz w:val="16"/>
                <w:szCs w:val="20"/>
              </w:rPr>
              <w:t xml:space="preserve"> Bank Data 1/1/2018 – 6/30/2020; </w:t>
            </w:r>
            <w:r>
              <w:rPr>
                <w:i/>
                <w:color w:val="000000"/>
                <w:sz w:val="16"/>
              </w:rPr>
              <w:t>"--" data not available.</w:t>
            </w:r>
          </w:p>
          <w:p w14:paraId="3CCF7BD1" w14:textId="0E27C1C2" w:rsidR="005C458B" w:rsidRDefault="005C458B" w:rsidP="005C458B">
            <w:r>
              <w:rPr>
                <w:i/>
                <w:color w:val="000000"/>
                <w:sz w:val="16"/>
              </w:rPr>
              <w:t>Due to round</w:t>
            </w:r>
            <w:r w:rsidR="00DE3485">
              <w:rPr>
                <w:i/>
                <w:color w:val="000000"/>
                <w:sz w:val="16"/>
              </w:rPr>
              <w:t>ing, totals may not equal 100.0%</w:t>
            </w:r>
          </w:p>
        </w:tc>
      </w:tr>
    </w:tbl>
    <w:p w14:paraId="76A3FD25" w14:textId="77777777" w:rsidR="008476EA" w:rsidRDefault="008476EA" w:rsidP="008476EA">
      <w:pPr>
        <w:rPr>
          <w:iCs/>
          <w:color w:val="000000"/>
        </w:rPr>
      </w:pPr>
    </w:p>
    <w:p w14:paraId="14DFDA78" w14:textId="77777777" w:rsidR="008476EA" w:rsidRDefault="008476EA" w:rsidP="008476EA">
      <w:pPr>
        <w:rPr>
          <w:iCs/>
          <w:color w:val="000000"/>
        </w:rPr>
      </w:pPr>
    </w:p>
    <w:tbl>
      <w:tblPr>
        <w:tblW w:w="0" w:type="auto"/>
        <w:tblCellMar>
          <w:left w:w="0" w:type="dxa"/>
          <w:right w:w="0" w:type="dxa"/>
        </w:tblCellMar>
        <w:tblLook w:val="0000" w:firstRow="0" w:lastRow="0" w:firstColumn="0" w:lastColumn="0" w:noHBand="0" w:noVBand="0"/>
      </w:tblPr>
      <w:tblGrid>
        <w:gridCol w:w="6897"/>
        <w:gridCol w:w="2463"/>
      </w:tblGrid>
      <w:tr w:rsidR="005C458B" w14:paraId="17DCBC60" w14:textId="77777777" w:rsidTr="002F7F3E">
        <w:tc>
          <w:tcPr>
            <w:tcW w:w="8064" w:type="dxa"/>
          </w:tcPr>
          <w:p w14:paraId="0E9A36D0" w14:textId="77777777" w:rsidR="005C458B" w:rsidRDefault="005C458B" w:rsidP="002F7F3E"/>
        </w:tc>
        <w:tc>
          <w:tcPr>
            <w:tcW w:w="2879" w:type="dxa"/>
          </w:tcPr>
          <w:p w14:paraId="4D357BD7" w14:textId="77777777" w:rsidR="005C458B" w:rsidRDefault="005C458B" w:rsidP="002F7F3E">
            <w:pPr>
              <w:pStyle w:val="EmptyLayoutCell"/>
            </w:pPr>
          </w:p>
        </w:tc>
      </w:tr>
    </w:tbl>
    <w:p w14:paraId="7C84F657" w14:textId="77777777" w:rsidR="00563BA0" w:rsidRPr="00563BA0" w:rsidRDefault="00563BA0" w:rsidP="00563BA0">
      <w:pPr>
        <w:rPr>
          <w:b/>
          <w:u w:val="single"/>
          <w:lang w:val="x-none"/>
        </w:rPr>
      </w:pPr>
      <w:r w:rsidRPr="00563BA0">
        <w:rPr>
          <w:b/>
          <w:u w:val="single"/>
          <w:lang w:val="x-none"/>
        </w:rPr>
        <w:t>Response to Complaints</w:t>
      </w:r>
    </w:p>
    <w:p w14:paraId="13EB512F" w14:textId="77777777" w:rsidR="00563BA0" w:rsidRDefault="00563BA0" w:rsidP="00563BA0"/>
    <w:p w14:paraId="45962901" w14:textId="77777777" w:rsidR="000F4DFF" w:rsidRPr="00784ED0" w:rsidRDefault="000F4DFF" w:rsidP="000F4DFF">
      <w:pPr>
        <w:pStyle w:val="QuickFormat1"/>
        <w:jc w:val="left"/>
        <w:rPr>
          <w:lang w:val="en-US"/>
        </w:rPr>
      </w:pPr>
      <w:r w:rsidRPr="00784ED0">
        <w:rPr>
          <w:b w:val="0"/>
          <w:bCs/>
          <w:sz w:val="24"/>
          <w:szCs w:val="24"/>
        </w:rPr>
        <w:t>The bank did not receive any CRA-related complaints since the previous evaluation</w:t>
      </w:r>
      <w:r>
        <w:rPr>
          <w:b w:val="0"/>
          <w:bCs/>
          <w:sz w:val="24"/>
          <w:szCs w:val="24"/>
          <w:lang w:val="en-US"/>
        </w:rPr>
        <w:t>; therefore, this criterion did not affect the rating.</w:t>
      </w:r>
    </w:p>
    <w:p w14:paraId="749BBE78" w14:textId="77777777" w:rsidR="0043094A" w:rsidRDefault="0043094A" w:rsidP="00761267">
      <w:pPr>
        <w:keepNext/>
        <w:tabs>
          <w:tab w:val="left" w:pos="480"/>
          <w:tab w:val="left" w:pos="960"/>
          <w:tab w:val="left" w:pos="6840"/>
        </w:tabs>
        <w:outlineLvl w:val="0"/>
        <w:rPr>
          <w:b/>
          <w:bCs/>
          <w:iCs/>
          <w:spacing w:val="-3"/>
          <w:u w:val="single"/>
        </w:rPr>
      </w:pPr>
    </w:p>
    <w:p w14:paraId="70BCC74C" w14:textId="44CFD7EF" w:rsidR="00747F21" w:rsidRPr="00761267" w:rsidRDefault="00747F21" w:rsidP="00761267">
      <w:pPr>
        <w:keepNext/>
        <w:tabs>
          <w:tab w:val="left" w:pos="480"/>
          <w:tab w:val="left" w:pos="960"/>
          <w:tab w:val="left" w:pos="6840"/>
        </w:tabs>
        <w:outlineLvl w:val="0"/>
        <w:rPr>
          <w:b/>
          <w:bCs/>
          <w:iCs/>
          <w:spacing w:val="-3"/>
          <w:u w:val="single"/>
        </w:rPr>
      </w:pPr>
      <w:r w:rsidRPr="00747F21">
        <w:rPr>
          <w:b/>
          <w:bCs/>
          <w:iCs/>
          <w:spacing w:val="-3"/>
          <w:u w:val="single"/>
        </w:rPr>
        <w:t>COMMUNITY DEVELOPMENT TEST</w:t>
      </w:r>
    </w:p>
    <w:p w14:paraId="11E1DF12" w14:textId="4F02AAD1" w:rsidR="00712337" w:rsidRDefault="00712337" w:rsidP="00712337">
      <w:pPr>
        <w:rPr>
          <w:bCs/>
          <w:color w:val="000000"/>
        </w:rPr>
      </w:pPr>
    </w:p>
    <w:p w14:paraId="5508D518" w14:textId="5CEAF3EA" w:rsidR="0043094A" w:rsidRDefault="0043094A" w:rsidP="0043094A">
      <w:r>
        <w:t>The institution’s community development performance demonstrates adequate responsiveness to the community development needs in its assessment area through community development loans, qualified investments, and community development services.  Examiners considered the institution’s capacity and the need and availability for community development activities in the assessment area.</w:t>
      </w:r>
    </w:p>
    <w:p w14:paraId="3C9C3538" w14:textId="77777777" w:rsidR="0043094A" w:rsidRDefault="0043094A" w:rsidP="0043094A"/>
    <w:p w14:paraId="4EE3D8E1" w14:textId="6D5EECC9" w:rsidR="0043094A" w:rsidRDefault="0043094A" w:rsidP="0043094A">
      <w:pPr>
        <w:rPr>
          <w:b/>
          <w:u w:val="single"/>
        </w:rPr>
      </w:pPr>
      <w:r>
        <w:rPr>
          <w:b/>
          <w:u w:val="single"/>
        </w:rPr>
        <w:t>Community Development Loans</w:t>
      </w:r>
    </w:p>
    <w:p w14:paraId="6DAEDE84" w14:textId="77777777" w:rsidR="00531C74" w:rsidRDefault="00531C74" w:rsidP="0043094A">
      <w:pPr>
        <w:rPr>
          <w:b/>
          <w:u w:val="single"/>
        </w:rPr>
      </w:pPr>
    </w:p>
    <w:p w14:paraId="1603FD71" w14:textId="29FE0A95" w:rsidR="0043094A" w:rsidRDefault="0043094A" w:rsidP="0043094A">
      <w:r>
        <w:t>Northmark</w:t>
      </w:r>
      <w:r w:rsidR="000D576B">
        <w:t xml:space="preserve"> Bank</w:t>
      </w:r>
      <w:r w:rsidR="00B62408">
        <w:t xml:space="preserve"> originated nine</w:t>
      </w:r>
      <w:r>
        <w:t xml:space="preserve"> community development loans for approximately $3.2 million during the evaluation period.  This level of activity represents approximately 1.0 percent of average </w:t>
      </w:r>
      <w:r w:rsidR="005A5961" w:rsidRPr="005A5961">
        <w:t>total</w:t>
      </w:r>
      <w:r w:rsidRPr="005A5961">
        <w:t xml:space="preserve"> loans </w:t>
      </w:r>
      <w:r w:rsidR="005A5961" w:rsidRPr="005A5961">
        <w:t>and 0.9 percent</w:t>
      </w:r>
      <w:r w:rsidR="005A5961">
        <w:t xml:space="preserve"> of average total assets </w:t>
      </w:r>
      <w:r>
        <w:t>over the evaluation period</w:t>
      </w:r>
      <w:r w:rsidR="005A5961">
        <w:t>.  Performance is similar to the previous evaluation</w:t>
      </w:r>
      <w:r>
        <w:t xml:space="preserve">.  The majority of the community development loans </w:t>
      </w:r>
      <w:r w:rsidR="0044396E">
        <w:t>supported economic</w:t>
      </w:r>
      <w:r>
        <w:t xml:space="preserve"> development</w:t>
      </w:r>
      <w:r w:rsidR="004B6820">
        <w:t>.</w:t>
      </w:r>
    </w:p>
    <w:p w14:paraId="6D40E1E5" w14:textId="77777777" w:rsidR="0043094A" w:rsidRDefault="0043094A" w:rsidP="0043094A"/>
    <w:p w14:paraId="454ED3C2" w14:textId="502FFF39" w:rsidR="00531C74" w:rsidRDefault="0043094A" w:rsidP="0043094A">
      <w:r>
        <w:t>The flowing table illustrates the bank’s community development lending activity by year and purpose inside the assessment area.</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43094A" w:rsidRPr="005B64E6" w14:paraId="2A6E4AA5" w14:textId="77777777" w:rsidTr="000D576B">
        <w:trPr>
          <w:trHeight w:val="360"/>
          <w:jc w:val="center"/>
        </w:trPr>
        <w:tc>
          <w:tcPr>
            <w:tcW w:w="9820" w:type="dxa"/>
            <w:gridSpan w:val="11"/>
            <w:shd w:val="clear" w:color="auto" w:fill="auto"/>
            <w:vAlign w:val="center"/>
          </w:tcPr>
          <w:p w14:paraId="5AEF53CA" w14:textId="77777777" w:rsidR="0043094A" w:rsidRPr="005B64E6" w:rsidRDefault="0043094A" w:rsidP="000D576B">
            <w:pPr>
              <w:keepNext/>
              <w:widowControl w:val="0"/>
              <w:jc w:val="center"/>
              <w:rPr>
                <w:b/>
                <w:sz w:val="20"/>
                <w:szCs w:val="20"/>
              </w:rPr>
            </w:pPr>
            <w:r w:rsidRPr="005B64E6">
              <w:rPr>
                <w:b/>
                <w:sz w:val="20"/>
                <w:szCs w:val="20"/>
              </w:rPr>
              <w:t>Community Development Lending</w:t>
            </w:r>
          </w:p>
        </w:tc>
      </w:tr>
      <w:tr w:rsidR="0043094A" w:rsidRPr="005B64E6" w14:paraId="6A10B1BF" w14:textId="77777777" w:rsidTr="000D576B">
        <w:trPr>
          <w:trHeight w:val="288"/>
          <w:jc w:val="center"/>
        </w:trPr>
        <w:tc>
          <w:tcPr>
            <w:tcW w:w="1987" w:type="dxa"/>
            <w:vMerge w:val="restart"/>
            <w:shd w:val="clear" w:color="auto" w:fill="auto"/>
            <w:vAlign w:val="center"/>
          </w:tcPr>
          <w:p w14:paraId="643262BF" w14:textId="77777777" w:rsidR="0043094A" w:rsidRPr="005B64E6" w:rsidRDefault="0043094A" w:rsidP="000D576B">
            <w:pPr>
              <w:keepNext/>
              <w:widowControl w:val="0"/>
              <w:rPr>
                <w:b/>
                <w:sz w:val="20"/>
                <w:szCs w:val="20"/>
              </w:rPr>
            </w:pPr>
            <w:r w:rsidRPr="005B64E6">
              <w:rPr>
                <w:b/>
                <w:sz w:val="20"/>
                <w:szCs w:val="20"/>
              </w:rPr>
              <w:t>Activity Year</w:t>
            </w:r>
          </w:p>
        </w:tc>
        <w:tc>
          <w:tcPr>
            <w:tcW w:w="1594" w:type="dxa"/>
            <w:gridSpan w:val="2"/>
            <w:shd w:val="clear" w:color="auto" w:fill="auto"/>
            <w:vAlign w:val="center"/>
          </w:tcPr>
          <w:p w14:paraId="7C032C2C" w14:textId="77777777" w:rsidR="0043094A" w:rsidRPr="005B64E6" w:rsidRDefault="0043094A" w:rsidP="000D576B">
            <w:pPr>
              <w:keepNext/>
              <w:widowControl w:val="0"/>
              <w:jc w:val="center"/>
              <w:rPr>
                <w:b/>
                <w:sz w:val="20"/>
                <w:szCs w:val="20"/>
              </w:rPr>
            </w:pPr>
            <w:r w:rsidRPr="005B64E6">
              <w:rPr>
                <w:b/>
                <w:sz w:val="20"/>
                <w:szCs w:val="20"/>
              </w:rPr>
              <w:t>Affordable Housing</w:t>
            </w:r>
          </w:p>
        </w:tc>
        <w:tc>
          <w:tcPr>
            <w:tcW w:w="1530" w:type="dxa"/>
            <w:gridSpan w:val="2"/>
            <w:shd w:val="clear" w:color="auto" w:fill="auto"/>
            <w:vAlign w:val="center"/>
          </w:tcPr>
          <w:p w14:paraId="20C29EAE" w14:textId="77777777" w:rsidR="0043094A" w:rsidRPr="005B64E6" w:rsidRDefault="0043094A" w:rsidP="000D576B">
            <w:pPr>
              <w:keepNext/>
              <w:widowControl w:val="0"/>
              <w:jc w:val="center"/>
              <w:rPr>
                <w:b/>
                <w:sz w:val="20"/>
                <w:szCs w:val="20"/>
              </w:rPr>
            </w:pPr>
            <w:r w:rsidRPr="005B64E6">
              <w:rPr>
                <w:b/>
                <w:sz w:val="20"/>
                <w:szCs w:val="20"/>
              </w:rPr>
              <w:t>Community Services</w:t>
            </w:r>
          </w:p>
        </w:tc>
        <w:tc>
          <w:tcPr>
            <w:tcW w:w="1530" w:type="dxa"/>
            <w:gridSpan w:val="2"/>
            <w:shd w:val="clear" w:color="auto" w:fill="auto"/>
            <w:vAlign w:val="center"/>
          </w:tcPr>
          <w:p w14:paraId="654E3514" w14:textId="77777777" w:rsidR="0043094A" w:rsidRPr="005B64E6" w:rsidRDefault="0043094A" w:rsidP="000D576B">
            <w:pPr>
              <w:keepNext/>
              <w:widowControl w:val="0"/>
              <w:jc w:val="center"/>
              <w:rPr>
                <w:b/>
                <w:sz w:val="20"/>
                <w:szCs w:val="20"/>
              </w:rPr>
            </w:pPr>
            <w:r w:rsidRPr="005B64E6">
              <w:rPr>
                <w:b/>
                <w:sz w:val="20"/>
                <w:szCs w:val="20"/>
              </w:rPr>
              <w:t>Economic Development</w:t>
            </w:r>
          </w:p>
        </w:tc>
        <w:tc>
          <w:tcPr>
            <w:tcW w:w="1620" w:type="dxa"/>
            <w:gridSpan w:val="2"/>
            <w:shd w:val="clear" w:color="auto" w:fill="auto"/>
            <w:vAlign w:val="center"/>
          </w:tcPr>
          <w:p w14:paraId="04571F21" w14:textId="77777777" w:rsidR="0043094A" w:rsidRPr="005B64E6" w:rsidRDefault="0043094A" w:rsidP="000D576B">
            <w:pPr>
              <w:keepNext/>
              <w:widowControl w:val="0"/>
              <w:jc w:val="center"/>
              <w:rPr>
                <w:b/>
                <w:sz w:val="20"/>
                <w:szCs w:val="20"/>
              </w:rPr>
            </w:pPr>
            <w:r w:rsidRPr="005B64E6">
              <w:rPr>
                <w:b/>
                <w:sz w:val="20"/>
                <w:szCs w:val="20"/>
              </w:rPr>
              <w:t>Revitalize or Stabilize</w:t>
            </w:r>
          </w:p>
        </w:tc>
        <w:tc>
          <w:tcPr>
            <w:tcW w:w="1559" w:type="dxa"/>
            <w:gridSpan w:val="2"/>
            <w:shd w:val="clear" w:color="auto" w:fill="auto"/>
            <w:vAlign w:val="center"/>
          </w:tcPr>
          <w:p w14:paraId="1D51E6D1" w14:textId="77777777" w:rsidR="0043094A" w:rsidRPr="005B64E6" w:rsidRDefault="0043094A" w:rsidP="000D576B">
            <w:pPr>
              <w:keepNext/>
              <w:widowControl w:val="0"/>
              <w:jc w:val="center"/>
              <w:rPr>
                <w:b/>
                <w:sz w:val="20"/>
                <w:szCs w:val="20"/>
              </w:rPr>
            </w:pPr>
            <w:r w:rsidRPr="005B64E6">
              <w:rPr>
                <w:b/>
                <w:sz w:val="20"/>
                <w:szCs w:val="20"/>
              </w:rPr>
              <w:t>Totals</w:t>
            </w:r>
          </w:p>
        </w:tc>
      </w:tr>
      <w:tr w:rsidR="0043094A" w:rsidRPr="005B64E6" w14:paraId="7E6354D7" w14:textId="77777777" w:rsidTr="000D576B">
        <w:trPr>
          <w:trHeight w:val="288"/>
          <w:jc w:val="center"/>
        </w:trPr>
        <w:tc>
          <w:tcPr>
            <w:tcW w:w="1987" w:type="dxa"/>
            <w:vMerge/>
            <w:shd w:val="clear" w:color="auto" w:fill="auto"/>
            <w:vAlign w:val="center"/>
          </w:tcPr>
          <w:p w14:paraId="1D7FD3B7" w14:textId="77777777" w:rsidR="0043094A" w:rsidRPr="005B64E6" w:rsidRDefault="0043094A" w:rsidP="000D576B">
            <w:pPr>
              <w:keepNext/>
              <w:widowControl w:val="0"/>
              <w:rPr>
                <w:sz w:val="20"/>
                <w:szCs w:val="20"/>
                <w:highlight w:val="green"/>
              </w:rPr>
            </w:pPr>
          </w:p>
        </w:tc>
        <w:tc>
          <w:tcPr>
            <w:tcW w:w="700" w:type="dxa"/>
            <w:shd w:val="clear" w:color="auto" w:fill="auto"/>
            <w:vAlign w:val="center"/>
          </w:tcPr>
          <w:p w14:paraId="4BE9D977" w14:textId="77777777" w:rsidR="0043094A" w:rsidRPr="005B64E6" w:rsidRDefault="0043094A" w:rsidP="000D576B">
            <w:pPr>
              <w:keepNext/>
              <w:widowControl w:val="0"/>
              <w:jc w:val="center"/>
              <w:rPr>
                <w:b/>
                <w:sz w:val="20"/>
                <w:szCs w:val="20"/>
              </w:rPr>
            </w:pPr>
            <w:r w:rsidRPr="005B64E6">
              <w:rPr>
                <w:b/>
                <w:sz w:val="20"/>
                <w:szCs w:val="20"/>
              </w:rPr>
              <w:t>#</w:t>
            </w:r>
          </w:p>
        </w:tc>
        <w:tc>
          <w:tcPr>
            <w:tcW w:w="894" w:type="dxa"/>
            <w:shd w:val="clear" w:color="auto" w:fill="auto"/>
            <w:vAlign w:val="center"/>
          </w:tcPr>
          <w:p w14:paraId="654876BB" w14:textId="77777777" w:rsidR="0043094A" w:rsidRPr="005B64E6" w:rsidRDefault="0043094A" w:rsidP="000D576B">
            <w:pPr>
              <w:keepNext/>
              <w:widowControl w:val="0"/>
              <w:jc w:val="center"/>
              <w:rPr>
                <w:b/>
                <w:sz w:val="20"/>
                <w:szCs w:val="20"/>
              </w:rPr>
            </w:pPr>
            <w:r w:rsidRPr="005B64E6">
              <w:rPr>
                <w:b/>
                <w:sz w:val="20"/>
                <w:szCs w:val="20"/>
              </w:rPr>
              <w:t>$(000s)</w:t>
            </w:r>
          </w:p>
        </w:tc>
        <w:tc>
          <w:tcPr>
            <w:tcW w:w="616" w:type="dxa"/>
            <w:shd w:val="clear" w:color="auto" w:fill="auto"/>
            <w:vAlign w:val="center"/>
          </w:tcPr>
          <w:p w14:paraId="27FFCF3C" w14:textId="77777777" w:rsidR="0043094A" w:rsidRPr="005B64E6" w:rsidRDefault="0043094A" w:rsidP="000D576B">
            <w:pPr>
              <w:keepNext/>
              <w:widowControl w:val="0"/>
              <w:jc w:val="center"/>
              <w:rPr>
                <w:b/>
                <w:sz w:val="20"/>
                <w:szCs w:val="20"/>
              </w:rPr>
            </w:pPr>
            <w:r w:rsidRPr="005B64E6">
              <w:rPr>
                <w:b/>
                <w:sz w:val="20"/>
                <w:szCs w:val="20"/>
              </w:rPr>
              <w:t>#</w:t>
            </w:r>
          </w:p>
        </w:tc>
        <w:tc>
          <w:tcPr>
            <w:tcW w:w="914" w:type="dxa"/>
            <w:shd w:val="clear" w:color="auto" w:fill="auto"/>
            <w:vAlign w:val="center"/>
          </w:tcPr>
          <w:p w14:paraId="1BBDE879" w14:textId="77777777" w:rsidR="0043094A" w:rsidRPr="005B64E6" w:rsidRDefault="0043094A" w:rsidP="000D576B">
            <w:pPr>
              <w:keepNext/>
              <w:widowControl w:val="0"/>
              <w:jc w:val="center"/>
              <w:rPr>
                <w:b/>
                <w:sz w:val="20"/>
                <w:szCs w:val="20"/>
              </w:rPr>
            </w:pPr>
            <w:r w:rsidRPr="005B64E6">
              <w:rPr>
                <w:b/>
                <w:sz w:val="20"/>
                <w:szCs w:val="20"/>
              </w:rPr>
              <w:t>$(000s)</w:t>
            </w:r>
          </w:p>
        </w:tc>
        <w:tc>
          <w:tcPr>
            <w:tcW w:w="616" w:type="dxa"/>
            <w:shd w:val="clear" w:color="auto" w:fill="auto"/>
            <w:vAlign w:val="center"/>
          </w:tcPr>
          <w:p w14:paraId="5F8C1BDC" w14:textId="77777777" w:rsidR="0043094A" w:rsidRPr="005B64E6" w:rsidRDefault="0043094A" w:rsidP="000D576B">
            <w:pPr>
              <w:keepNext/>
              <w:widowControl w:val="0"/>
              <w:jc w:val="center"/>
              <w:rPr>
                <w:b/>
                <w:sz w:val="20"/>
                <w:szCs w:val="20"/>
              </w:rPr>
            </w:pPr>
            <w:r w:rsidRPr="005B64E6">
              <w:rPr>
                <w:b/>
                <w:sz w:val="20"/>
                <w:szCs w:val="20"/>
              </w:rPr>
              <w:t>#</w:t>
            </w:r>
          </w:p>
        </w:tc>
        <w:tc>
          <w:tcPr>
            <w:tcW w:w="914" w:type="dxa"/>
            <w:shd w:val="clear" w:color="auto" w:fill="auto"/>
            <w:vAlign w:val="center"/>
          </w:tcPr>
          <w:p w14:paraId="1D159FB7" w14:textId="77777777" w:rsidR="0043094A" w:rsidRPr="005B64E6" w:rsidRDefault="0043094A" w:rsidP="000D576B">
            <w:pPr>
              <w:keepNext/>
              <w:widowControl w:val="0"/>
              <w:jc w:val="center"/>
              <w:rPr>
                <w:b/>
                <w:sz w:val="20"/>
                <w:szCs w:val="20"/>
              </w:rPr>
            </w:pPr>
            <w:r w:rsidRPr="005B64E6">
              <w:rPr>
                <w:b/>
                <w:sz w:val="20"/>
                <w:szCs w:val="20"/>
              </w:rPr>
              <w:t>$(000s)</w:t>
            </w:r>
          </w:p>
        </w:tc>
        <w:tc>
          <w:tcPr>
            <w:tcW w:w="671" w:type="dxa"/>
            <w:shd w:val="clear" w:color="auto" w:fill="auto"/>
            <w:vAlign w:val="center"/>
          </w:tcPr>
          <w:p w14:paraId="619CEC52" w14:textId="77777777" w:rsidR="0043094A" w:rsidRPr="005B64E6" w:rsidRDefault="0043094A" w:rsidP="000D576B">
            <w:pPr>
              <w:keepNext/>
              <w:widowControl w:val="0"/>
              <w:jc w:val="center"/>
              <w:rPr>
                <w:b/>
                <w:sz w:val="20"/>
                <w:szCs w:val="20"/>
              </w:rPr>
            </w:pPr>
            <w:r w:rsidRPr="005B64E6">
              <w:rPr>
                <w:b/>
                <w:sz w:val="20"/>
                <w:szCs w:val="20"/>
              </w:rPr>
              <w:t>#</w:t>
            </w:r>
          </w:p>
        </w:tc>
        <w:tc>
          <w:tcPr>
            <w:tcW w:w="949" w:type="dxa"/>
            <w:shd w:val="clear" w:color="auto" w:fill="auto"/>
            <w:vAlign w:val="center"/>
          </w:tcPr>
          <w:p w14:paraId="5C22F282" w14:textId="77777777" w:rsidR="0043094A" w:rsidRPr="005B64E6" w:rsidRDefault="0043094A" w:rsidP="000D576B">
            <w:pPr>
              <w:keepNext/>
              <w:widowControl w:val="0"/>
              <w:jc w:val="center"/>
              <w:rPr>
                <w:b/>
                <w:sz w:val="20"/>
                <w:szCs w:val="20"/>
              </w:rPr>
            </w:pPr>
            <w:r w:rsidRPr="005B64E6">
              <w:rPr>
                <w:b/>
                <w:sz w:val="20"/>
                <w:szCs w:val="20"/>
              </w:rPr>
              <w:t>$(000s)</w:t>
            </w:r>
          </w:p>
        </w:tc>
        <w:tc>
          <w:tcPr>
            <w:tcW w:w="659" w:type="dxa"/>
            <w:shd w:val="clear" w:color="auto" w:fill="auto"/>
            <w:vAlign w:val="center"/>
          </w:tcPr>
          <w:p w14:paraId="43BE5492" w14:textId="77777777" w:rsidR="0043094A" w:rsidRPr="005B64E6" w:rsidRDefault="0043094A" w:rsidP="000D576B">
            <w:pPr>
              <w:keepNext/>
              <w:widowControl w:val="0"/>
              <w:jc w:val="center"/>
              <w:rPr>
                <w:b/>
                <w:sz w:val="20"/>
                <w:szCs w:val="20"/>
              </w:rPr>
            </w:pPr>
            <w:r w:rsidRPr="005B64E6">
              <w:rPr>
                <w:b/>
                <w:sz w:val="20"/>
                <w:szCs w:val="20"/>
              </w:rPr>
              <w:t>#</w:t>
            </w:r>
          </w:p>
        </w:tc>
        <w:tc>
          <w:tcPr>
            <w:tcW w:w="900" w:type="dxa"/>
            <w:shd w:val="clear" w:color="auto" w:fill="auto"/>
            <w:vAlign w:val="center"/>
          </w:tcPr>
          <w:p w14:paraId="77BF3BBA" w14:textId="77777777" w:rsidR="0043094A" w:rsidRPr="005B64E6" w:rsidRDefault="0043094A" w:rsidP="000D576B">
            <w:pPr>
              <w:keepNext/>
              <w:widowControl w:val="0"/>
              <w:jc w:val="center"/>
              <w:rPr>
                <w:b/>
                <w:sz w:val="20"/>
                <w:szCs w:val="20"/>
              </w:rPr>
            </w:pPr>
            <w:r w:rsidRPr="005B64E6">
              <w:rPr>
                <w:b/>
                <w:sz w:val="20"/>
                <w:szCs w:val="20"/>
              </w:rPr>
              <w:t>$(000s)</w:t>
            </w:r>
          </w:p>
        </w:tc>
      </w:tr>
      <w:tr w:rsidR="0043094A" w:rsidRPr="005B64E6" w14:paraId="5CF6CB26" w14:textId="77777777" w:rsidTr="000D576B">
        <w:trPr>
          <w:trHeight w:val="288"/>
          <w:jc w:val="center"/>
        </w:trPr>
        <w:tc>
          <w:tcPr>
            <w:tcW w:w="1987" w:type="dxa"/>
            <w:shd w:val="clear" w:color="auto" w:fill="auto"/>
            <w:vAlign w:val="center"/>
          </w:tcPr>
          <w:p w14:paraId="43BAA920" w14:textId="77777777" w:rsidR="0043094A" w:rsidRPr="005B64E6" w:rsidRDefault="0043094A" w:rsidP="000D576B">
            <w:pPr>
              <w:keepNext/>
              <w:widowControl w:val="0"/>
              <w:rPr>
                <w:sz w:val="20"/>
                <w:szCs w:val="20"/>
              </w:rPr>
            </w:pPr>
            <w:r>
              <w:rPr>
                <w:sz w:val="20"/>
                <w:szCs w:val="20"/>
              </w:rPr>
              <w:t>2018</w:t>
            </w:r>
          </w:p>
        </w:tc>
        <w:tc>
          <w:tcPr>
            <w:tcW w:w="700" w:type="dxa"/>
            <w:shd w:val="clear" w:color="auto" w:fill="auto"/>
            <w:vAlign w:val="center"/>
          </w:tcPr>
          <w:p w14:paraId="6AF7158D" w14:textId="77777777" w:rsidR="0043094A" w:rsidRPr="005B64E6" w:rsidRDefault="0043094A" w:rsidP="000D576B">
            <w:pPr>
              <w:keepNext/>
              <w:widowControl w:val="0"/>
              <w:jc w:val="center"/>
              <w:rPr>
                <w:sz w:val="20"/>
                <w:szCs w:val="20"/>
              </w:rPr>
            </w:pPr>
            <w:r>
              <w:rPr>
                <w:sz w:val="20"/>
                <w:szCs w:val="20"/>
              </w:rPr>
              <w:t>0</w:t>
            </w:r>
          </w:p>
        </w:tc>
        <w:tc>
          <w:tcPr>
            <w:tcW w:w="894" w:type="dxa"/>
            <w:shd w:val="clear" w:color="auto" w:fill="auto"/>
            <w:vAlign w:val="center"/>
          </w:tcPr>
          <w:p w14:paraId="2402B5C4" w14:textId="77777777" w:rsidR="0043094A" w:rsidRPr="005B64E6" w:rsidRDefault="0043094A" w:rsidP="000D576B">
            <w:pPr>
              <w:keepNext/>
              <w:widowControl w:val="0"/>
              <w:jc w:val="center"/>
              <w:rPr>
                <w:sz w:val="20"/>
                <w:szCs w:val="20"/>
              </w:rPr>
            </w:pPr>
            <w:r>
              <w:rPr>
                <w:sz w:val="20"/>
                <w:szCs w:val="20"/>
              </w:rPr>
              <w:t>0</w:t>
            </w:r>
          </w:p>
        </w:tc>
        <w:tc>
          <w:tcPr>
            <w:tcW w:w="616" w:type="dxa"/>
            <w:shd w:val="clear" w:color="auto" w:fill="auto"/>
            <w:vAlign w:val="center"/>
          </w:tcPr>
          <w:p w14:paraId="1703D747" w14:textId="77777777" w:rsidR="0043094A" w:rsidRPr="005B64E6" w:rsidRDefault="0043094A" w:rsidP="000D576B">
            <w:pPr>
              <w:keepNext/>
              <w:widowControl w:val="0"/>
              <w:jc w:val="center"/>
              <w:rPr>
                <w:sz w:val="20"/>
                <w:szCs w:val="20"/>
              </w:rPr>
            </w:pPr>
            <w:r w:rsidRPr="005B64E6">
              <w:rPr>
                <w:sz w:val="20"/>
                <w:szCs w:val="20"/>
              </w:rPr>
              <w:t>0</w:t>
            </w:r>
          </w:p>
        </w:tc>
        <w:tc>
          <w:tcPr>
            <w:tcW w:w="914" w:type="dxa"/>
            <w:shd w:val="clear" w:color="auto" w:fill="auto"/>
            <w:vAlign w:val="center"/>
          </w:tcPr>
          <w:p w14:paraId="096685AE" w14:textId="77777777" w:rsidR="0043094A" w:rsidRPr="005B64E6" w:rsidRDefault="0043094A" w:rsidP="000D576B">
            <w:pPr>
              <w:keepNext/>
              <w:widowControl w:val="0"/>
              <w:jc w:val="center"/>
              <w:rPr>
                <w:sz w:val="20"/>
                <w:szCs w:val="20"/>
              </w:rPr>
            </w:pPr>
            <w:r w:rsidRPr="005B64E6">
              <w:rPr>
                <w:sz w:val="20"/>
                <w:szCs w:val="20"/>
              </w:rPr>
              <w:t>0</w:t>
            </w:r>
          </w:p>
        </w:tc>
        <w:tc>
          <w:tcPr>
            <w:tcW w:w="616" w:type="dxa"/>
            <w:shd w:val="clear" w:color="auto" w:fill="auto"/>
            <w:vAlign w:val="center"/>
          </w:tcPr>
          <w:p w14:paraId="3D23113E" w14:textId="77777777" w:rsidR="0043094A" w:rsidRPr="005B64E6" w:rsidRDefault="0043094A" w:rsidP="000D576B">
            <w:pPr>
              <w:keepNext/>
              <w:widowControl w:val="0"/>
              <w:jc w:val="center"/>
              <w:rPr>
                <w:sz w:val="20"/>
                <w:szCs w:val="20"/>
              </w:rPr>
            </w:pPr>
            <w:r>
              <w:rPr>
                <w:sz w:val="20"/>
                <w:szCs w:val="20"/>
              </w:rPr>
              <w:t>1</w:t>
            </w:r>
          </w:p>
        </w:tc>
        <w:tc>
          <w:tcPr>
            <w:tcW w:w="914" w:type="dxa"/>
            <w:shd w:val="clear" w:color="auto" w:fill="auto"/>
            <w:vAlign w:val="center"/>
          </w:tcPr>
          <w:p w14:paraId="055957BC" w14:textId="77777777" w:rsidR="0043094A" w:rsidRPr="005B64E6" w:rsidRDefault="0043094A" w:rsidP="000D576B">
            <w:pPr>
              <w:keepNext/>
              <w:widowControl w:val="0"/>
              <w:jc w:val="center"/>
              <w:rPr>
                <w:sz w:val="20"/>
                <w:szCs w:val="20"/>
              </w:rPr>
            </w:pPr>
            <w:r>
              <w:rPr>
                <w:sz w:val="20"/>
                <w:szCs w:val="20"/>
              </w:rPr>
              <w:t>89</w:t>
            </w:r>
          </w:p>
        </w:tc>
        <w:tc>
          <w:tcPr>
            <w:tcW w:w="671" w:type="dxa"/>
            <w:shd w:val="clear" w:color="auto" w:fill="auto"/>
            <w:vAlign w:val="center"/>
          </w:tcPr>
          <w:p w14:paraId="4F878377" w14:textId="77777777" w:rsidR="0043094A" w:rsidRPr="005B64E6" w:rsidRDefault="0043094A" w:rsidP="000D576B">
            <w:pPr>
              <w:keepNext/>
              <w:widowControl w:val="0"/>
              <w:jc w:val="center"/>
              <w:rPr>
                <w:sz w:val="20"/>
                <w:szCs w:val="20"/>
              </w:rPr>
            </w:pPr>
            <w:r w:rsidRPr="005B64E6">
              <w:rPr>
                <w:sz w:val="20"/>
                <w:szCs w:val="20"/>
              </w:rPr>
              <w:t>0</w:t>
            </w:r>
          </w:p>
        </w:tc>
        <w:tc>
          <w:tcPr>
            <w:tcW w:w="949" w:type="dxa"/>
            <w:shd w:val="clear" w:color="auto" w:fill="auto"/>
            <w:vAlign w:val="center"/>
          </w:tcPr>
          <w:p w14:paraId="1CCB409A" w14:textId="77777777" w:rsidR="0043094A" w:rsidRPr="005B64E6" w:rsidRDefault="0043094A" w:rsidP="000D576B">
            <w:pPr>
              <w:keepNext/>
              <w:widowControl w:val="0"/>
              <w:jc w:val="center"/>
              <w:rPr>
                <w:sz w:val="20"/>
                <w:szCs w:val="20"/>
              </w:rPr>
            </w:pPr>
            <w:r w:rsidRPr="005B64E6">
              <w:rPr>
                <w:sz w:val="20"/>
                <w:szCs w:val="20"/>
              </w:rPr>
              <w:t>0</w:t>
            </w:r>
          </w:p>
        </w:tc>
        <w:tc>
          <w:tcPr>
            <w:tcW w:w="659" w:type="dxa"/>
            <w:shd w:val="clear" w:color="auto" w:fill="auto"/>
            <w:vAlign w:val="center"/>
          </w:tcPr>
          <w:p w14:paraId="3C7A1BA7" w14:textId="77777777" w:rsidR="0043094A" w:rsidRPr="005B64E6" w:rsidRDefault="0043094A" w:rsidP="000D576B">
            <w:pPr>
              <w:keepNext/>
              <w:widowControl w:val="0"/>
              <w:jc w:val="center"/>
              <w:rPr>
                <w:b/>
                <w:sz w:val="20"/>
                <w:szCs w:val="20"/>
              </w:rPr>
            </w:pPr>
            <w:r>
              <w:rPr>
                <w:b/>
                <w:sz w:val="20"/>
                <w:szCs w:val="20"/>
              </w:rPr>
              <w:t>1</w:t>
            </w:r>
          </w:p>
        </w:tc>
        <w:tc>
          <w:tcPr>
            <w:tcW w:w="900" w:type="dxa"/>
            <w:shd w:val="clear" w:color="auto" w:fill="auto"/>
            <w:vAlign w:val="center"/>
          </w:tcPr>
          <w:p w14:paraId="3383A8FD" w14:textId="77777777" w:rsidR="0043094A" w:rsidRPr="005B64E6" w:rsidRDefault="0043094A" w:rsidP="000D576B">
            <w:pPr>
              <w:keepNext/>
              <w:widowControl w:val="0"/>
              <w:jc w:val="center"/>
              <w:rPr>
                <w:b/>
                <w:sz w:val="20"/>
                <w:szCs w:val="20"/>
              </w:rPr>
            </w:pPr>
            <w:r>
              <w:rPr>
                <w:b/>
                <w:sz w:val="20"/>
                <w:szCs w:val="20"/>
              </w:rPr>
              <w:t>89</w:t>
            </w:r>
          </w:p>
        </w:tc>
      </w:tr>
      <w:tr w:rsidR="0043094A" w:rsidRPr="005B64E6" w14:paraId="5D67F18A" w14:textId="77777777" w:rsidTr="000D576B">
        <w:trPr>
          <w:trHeight w:val="288"/>
          <w:jc w:val="center"/>
        </w:trPr>
        <w:tc>
          <w:tcPr>
            <w:tcW w:w="1987" w:type="dxa"/>
            <w:shd w:val="clear" w:color="auto" w:fill="auto"/>
            <w:vAlign w:val="center"/>
          </w:tcPr>
          <w:p w14:paraId="02DC5776" w14:textId="77777777" w:rsidR="0043094A" w:rsidRPr="005B64E6" w:rsidRDefault="0043094A" w:rsidP="000D576B">
            <w:pPr>
              <w:keepNext/>
              <w:widowControl w:val="0"/>
              <w:rPr>
                <w:sz w:val="20"/>
                <w:szCs w:val="20"/>
              </w:rPr>
            </w:pPr>
            <w:r w:rsidRPr="005B64E6">
              <w:rPr>
                <w:sz w:val="20"/>
                <w:szCs w:val="20"/>
              </w:rPr>
              <w:t>2019</w:t>
            </w:r>
          </w:p>
        </w:tc>
        <w:tc>
          <w:tcPr>
            <w:tcW w:w="700" w:type="dxa"/>
            <w:shd w:val="clear" w:color="auto" w:fill="auto"/>
            <w:vAlign w:val="center"/>
          </w:tcPr>
          <w:p w14:paraId="5A13F77F" w14:textId="77777777" w:rsidR="0043094A" w:rsidRPr="005B64E6" w:rsidRDefault="0043094A" w:rsidP="000D576B">
            <w:pPr>
              <w:keepNext/>
              <w:widowControl w:val="0"/>
              <w:jc w:val="center"/>
              <w:rPr>
                <w:sz w:val="20"/>
                <w:szCs w:val="20"/>
              </w:rPr>
            </w:pPr>
            <w:r>
              <w:rPr>
                <w:sz w:val="20"/>
                <w:szCs w:val="20"/>
              </w:rPr>
              <w:t>1</w:t>
            </w:r>
          </w:p>
        </w:tc>
        <w:tc>
          <w:tcPr>
            <w:tcW w:w="894" w:type="dxa"/>
            <w:shd w:val="clear" w:color="auto" w:fill="auto"/>
            <w:vAlign w:val="center"/>
          </w:tcPr>
          <w:p w14:paraId="4B0AB4BB" w14:textId="77777777" w:rsidR="0043094A" w:rsidRPr="005B64E6" w:rsidRDefault="0043094A" w:rsidP="000D576B">
            <w:pPr>
              <w:keepNext/>
              <w:widowControl w:val="0"/>
              <w:jc w:val="center"/>
              <w:rPr>
                <w:sz w:val="20"/>
                <w:szCs w:val="20"/>
              </w:rPr>
            </w:pPr>
            <w:r>
              <w:rPr>
                <w:sz w:val="20"/>
                <w:szCs w:val="20"/>
              </w:rPr>
              <w:t>850</w:t>
            </w:r>
          </w:p>
        </w:tc>
        <w:tc>
          <w:tcPr>
            <w:tcW w:w="616" w:type="dxa"/>
            <w:shd w:val="clear" w:color="auto" w:fill="auto"/>
            <w:vAlign w:val="center"/>
          </w:tcPr>
          <w:p w14:paraId="74C4427F" w14:textId="77777777" w:rsidR="0043094A" w:rsidRPr="005B64E6" w:rsidRDefault="0043094A" w:rsidP="000D576B">
            <w:pPr>
              <w:keepNext/>
              <w:widowControl w:val="0"/>
              <w:jc w:val="center"/>
              <w:rPr>
                <w:sz w:val="20"/>
                <w:szCs w:val="20"/>
              </w:rPr>
            </w:pPr>
            <w:r w:rsidRPr="005B64E6">
              <w:rPr>
                <w:sz w:val="20"/>
                <w:szCs w:val="20"/>
              </w:rPr>
              <w:t>0</w:t>
            </w:r>
          </w:p>
        </w:tc>
        <w:tc>
          <w:tcPr>
            <w:tcW w:w="914" w:type="dxa"/>
            <w:shd w:val="clear" w:color="auto" w:fill="auto"/>
            <w:vAlign w:val="center"/>
          </w:tcPr>
          <w:p w14:paraId="2837F6CD" w14:textId="77777777" w:rsidR="0043094A" w:rsidRPr="005B64E6" w:rsidRDefault="0043094A" w:rsidP="000D576B">
            <w:pPr>
              <w:keepNext/>
              <w:widowControl w:val="0"/>
              <w:jc w:val="center"/>
              <w:rPr>
                <w:sz w:val="20"/>
                <w:szCs w:val="20"/>
              </w:rPr>
            </w:pPr>
            <w:r w:rsidRPr="005B64E6">
              <w:rPr>
                <w:sz w:val="20"/>
                <w:szCs w:val="20"/>
              </w:rPr>
              <w:t>0</w:t>
            </w:r>
          </w:p>
        </w:tc>
        <w:tc>
          <w:tcPr>
            <w:tcW w:w="616" w:type="dxa"/>
            <w:shd w:val="clear" w:color="auto" w:fill="auto"/>
            <w:vAlign w:val="center"/>
          </w:tcPr>
          <w:p w14:paraId="0603E946" w14:textId="77777777" w:rsidR="0043094A" w:rsidRPr="005B64E6" w:rsidRDefault="0043094A" w:rsidP="000D576B">
            <w:pPr>
              <w:keepNext/>
              <w:widowControl w:val="0"/>
              <w:jc w:val="center"/>
              <w:rPr>
                <w:sz w:val="20"/>
                <w:szCs w:val="20"/>
              </w:rPr>
            </w:pPr>
            <w:r>
              <w:rPr>
                <w:sz w:val="20"/>
                <w:szCs w:val="20"/>
              </w:rPr>
              <w:t>3</w:t>
            </w:r>
          </w:p>
        </w:tc>
        <w:tc>
          <w:tcPr>
            <w:tcW w:w="914" w:type="dxa"/>
            <w:shd w:val="clear" w:color="auto" w:fill="auto"/>
            <w:vAlign w:val="center"/>
          </w:tcPr>
          <w:p w14:paraId="5F18CAE4" w14:textId="77777777" w:rsidR="0043094A" w:rsidRPr="005B64E6" w:rsidRDefault="0043094A" w:rsidP="000D576B">
            <w:pPr>
              <w:keepNext/>
              <w:widowControl w:val="0"/>
              <w:jc w:val="center"/>
              <w:rPr>
                <w:sz w:val="20"/>
                <w:szCs w:val="20"/>
              </w:rPr>
            </w:pPr>
            <w:r>
              <w:rPr>
                <w:sz w:val="20"/>
                <w:szCs w:val="20"/>
              </w:rPr>
              <w:t>149</w:t>
            </w:r>
          </w:p>
        </w:tc>
        <w:tc>
          <w:tcPr>
            <w:tcW w:w="671" w:type="dxa"/>
            <w:shd w:val="clear" w:color="auto" w:fill="auto"/>
            <w:vAlign w:val="center"/>
          </w:tcPr>
          <w:p w14:paraId="552C69F7" w14:textId="77777777" w:rsidR="0043094A" w:rsidRPr="005B64E6" w:rsidRDefault="0043094A" w:rsidP="000D576B">
            <w:pPr>
              <w:keepNext/>
              <w:widowControl w:val="0"/>
              <w:jc w:val="center"/>
              <w:rPr>
                <w:sz w:val="20"/>
                <w:szCs w:val="20"/>
              </w:rPr>
            </w:pPr>
            <w:r w:rsidRPr="005B64E6">
              <w:rPr>
                <w:sz w:val="20"/>
                <w:szCs w:val="20"/>
              </w:rPr>
              <w:t>0</w:t>
            </w:r>
          </w:p>
        </w:tc>
        <w:tc>
          <w:tcPr>
            <w:tcW w:w="949" w:type="dxa"/>
            <w:shd w:val="clear" w:color="auto" w:fill="auto"/>
            <w:vAlign w:val="center"/>
          </w:tcPr>
          <w:p w14:paraId="23E9FA1B" w14:textId="77777777" w:rsidR="0043094A" w:rsidRPr="005B64E6" w:rsidRDefault="0043094A" w:rsidP="000D576B">
            <w:pPr>
              <w:keepNext/>
              <w:widowControl w:val="0"/>
              <w:jc w:val="center"/>
              <w:rPr>
                <w:sz w:val="20"/>
                <w:szCs w:val="20"/>
              </w:rPr>
            </w:pPr>
            <w:r w:rsidRPr="005B64E6">
              <w:rPr>
                <w:sz w:val="20"/>
                <w:szCs w:val="20"/>
              </w:rPr>
              <w:t>0</w:t>
            </w:r>
          </w:p>
        </w:tc>
        <w:tc>
          <w:tcPr>
            <w:tcW w:w="659" w:type="dxa"/>
            <w:shd w:val="clear" w:color="auto" w:fill="auto"/>
            <w:vAlign w:val="center"/>
          </w:tcPr>
          <w:p w14:paraId="622C9B53" w14:textId="77777777" w:rsidR="0043094A" w:rsidRPr="005B64E6" w:rsidRDefault="0043094A" w:rsidP="000D576B">
            <w:pPr>
              <w:keepNext/>
              <w:widowControl w:val="0"/>
              <w:jc w:val="center"/>
              <w:rPr>
                <w:b/>
                <w:sz w:val="20"/>
                <w:szCs w:val="20"/>
              </w:rPr>
            </w:pPr>
            <w:r>
              <w:rPr>
                <w:b/>
                <w:sz w:val="20"/>
                <w:szCs w:val="20"/>
              </w:rPr>
              <w:t>4</w:t>
            </w:r>
          </w:p>
        </w:tc>
        <w:tc>
          <w:tcPr>
            <w:tcW w:w="900" w:type="dxa"/>
            <w:shd w:val="clear" w:color="auto" w:fill="auto"/>
            <w:vAlign w:val="center"/>
          </w:tcPr>
          <w:p w14:paraId="644F9DDC" w14:textId="77777777" w:rsidR="0043094A" w:rsidRPr="005B64E6" w:rsidRDefault="0043094A" w:rsidP="000D576B">
            <w:pPr>
              <w:keepNext/>
              <w:widowControl w:val="0"/>
              <w:jc w:val="center"/>
              <w:rPr>
                <w:b/>
                <w:sz w:val="20"/>
                <w:szCs w:val="20"/>
              </w:rPr>
            </w:pPr>
            <w:r>
              <w:rPr>
                <w:b/>
                <w:sz w:val="20"/>
                <w:szCs w:val="20"/>
              </w:rPr>
              <w:t>999</w:t>
            </w:r>
          </w:p>
        </w:tc>
      </w:tr>
      <w:tr w:rsidR="0043094A" w:rsidRPr="005B64E6" w14:paraId="4EE546C4" w14:textId="77777777" w:rsidTr="000D576B">
        <w:trPr>
          <w:trHeight w:val="288"/>
          <w:jc w:val="center"/>
        </w:trPr>
        <w:tc>
          <w:tcPr>
            <w:tcW w:w="1987" w:type="dxa"/>
            <w:shd w:val="clear" w:color="auto" w:fill="auto"/>
            <w:vAlign w:val="center"/>
          </w:tcPr>
          <w:p w14:paraId="77AA1532" w14:textId="77777777" w:rsidR="0043094A" w:rsidRPr="005B64E6" w:rsidRDefault="0043094A" w:rsidP="000D576B">
            <w:pPr>
              <w:keepNext/>
              <w:widowControl w:val="0"/>
              <w:rPr>
                <w:sz w:val="20"/>
                <w:szCs w:val="20"/>
              </w:rPr>
            </w:pPr>
            <w:r w:rsidRPr="005B64E6">
              <w:rPr>
                <w:sz w:val="20"/>
                <w:szCs w:val="20"/>
              </w:rPr>
              <w:t>YTD 2020</w:t>
            </w:r>
          </w:p>
        </w:tc>
        <w:tc>
          <w:tcPr>
            <w:tcW w:w="700" w:type="dxa"/>
            <w:shd w:val="clear" w:color="auto" w:fill="auto"/>
            <w:vAlign w:val="center"/>
          </w:tcPr>
          <w:p w14:paraId="52FC05BD" w14:textId="77777777" w:rsidR="0043094A" w:rsidRPr="005B64E6" w:rsidRDefault="0043094A" w:rsidP="000D576B">
            <w:pPr>
              <w:keepNext/>
              <w:widowControl w:val="0"/>
              <w:jc w:val="center"/>
              <w:rPr>
                <w:sz w:val="20"/>
                <w:szCs w:val="20"/>
              </w:rPr>
            </w:pPr>
            <w:r>
              <w:rPr>
                <w:sz w:val="20"/>
                <w:szCs w:val="20"/>
              </w:rPr>
              <w:t>1</w:t>
            </w:r>
          </w:p>
        </w:tc>
        <w:tc>
          <w:tcPr>
            <w:tcW w:w="894" w:type="dxa"/>
            <w:shd w:val="clear" w:color="auto" w:fill="auto"/>
            <w:vAlign w:val="center"/>
          </w:tcPr>
          <w:p w14:paraId="29751720" w14:textId="77777777" w:rsidR="0043094A" w:rsidRPr="005B64E6" w:rsidRDefault="0043094A" w:rsidP="000D576B">
            <w:pPr>
              <w:keepNext/>
              <w:widowControl w:val="0"/>
              <w:jc w:val="center"/>
              <w:rPr>
                <w:sz w:val="20"/>
                <w:szCs w:val="20"/>
              </w:rPr>
            </w:pPr>
            <w:r>
              <w:rPr>
                <w:sz w:val="20"/>
                <w:szCs w:val="20"/>
              </w:rPr>
              <w:t>100</w:t>
            </w:r>
          </w:p>
        </w:tc>
        <w:tc>
          <w:tcPr>
            <w:tcW w:w="616" w:type="dxa"/>
            <w:shd w:val="clear" w:color="auto" w:fill="auto"/>
            <w:vAlign w:val="center"/>
          </w:tcPr>
          <w:p w14:paraId="0C04FCF2" w14:textId="77777777" w:rsidR="0043094A" w:rsidRPr="005B64E6" w:rsidRDefault="0043094A" w:rsidP="000D576B">
            <w:pPr>
              <w:keepNext/>
              <w:widowControl w:val="0"/>
              <w:jc w:val="center"/>
              <w:rPr>
                <w:sz w:val="20"/>
                <w:szCs w:val="20"/>
              </w:rPr>
            </w:pPr>
            <w:r w:rsidRPr="005B64E6">
              <w:rPr>
                <w:sz w:val="20"/>
                <w:szCs w:val="20"/>
              </w:rPr>
              <w:t>0</w:t>
            </w:r>
          </w:p>
        </w:tc>
        <w:tc>
          <w:tcPr>
            <w:tcW w:w="914" w:type="dxa"/>
            <w:shd w:val="clear" w:color="auto" w:fill="auto"/>
            <w:vAlign w:val="center"/>
          </w:tcPr>
          <w:p w14:paraId="36688CFB" w14:textId="77777777" w:rsidR="0043094A" w:rsidRPr="005B64E6" w:rsidRDefault="0043094A" w:rsidP="000D576B">
            <w:pPr>
              <w:keepNext/>
              <w:widowControl w:val="0"/>
              <w:jc w:val="center"/>
              <w:rPr>
                <w:sz w:val="20"/>
                <w:szCs w:val="20"/>
              </w:rPr>
            </w:pPr>
            <w:r w:rsidRPr="005B64E6">
              <w:rPr>
                <w:sz w:val="20"/>
                <w:szCs w:val="20"/>
              </w:rPr>
              <w:t>0</w:t>
            </w:r>
          </w:p>
        </w:tc>
        <w:tc>
          <w:tcPr>
            <w:tcW w:w="616" w:type="dxa"/>
            <w:shd w:val="clear" w:color="auto" w:fill="auto"/>
            <w:vAlign w:val="center"/>
          </w:tcPr>
          <w:p w14:paraId="63F55472" w14:textId="77777777" w:rsidR="0043094A" w:rsidRPr="005B64E6" w:rsidRDefault="0043094A" w:rsidP="000D576B">
            <w:pPr>
              <w:keepNext/>
              <w:widowControl w:val="0"/>
              <w:jc w:val="center"/>
              <w:rPr>
                <w:sz w:val="20"/>
                <w:szCs w:val="20"/>
              </w:rPr>
            </w:pPr>
            <w:r>
              <w:rPr>
                <w:sz w:val="20"/>
                <w:szCs w:val="20"/>
              </w:rPr>
              <w:t>3</w:t>
            </w:r>
          </w:p>
        </w:tc>
        <w:tc>
          <w:tcPr>
            <w:tcW w:w="914" w:type="dxa"/>
            <w:shd w:val="clear" w:color="auto" w:fill="auto"/>
            <w:vAlign w:val="center"/>
          </w:tcPr>
          <w:p w14:paraId="55B57C65" w14:textId="77777777" w:rsidR="0043094A" w:rsidRPr="005B64E6" w:rsidRDefault="0043094A" w:rsidP="000D576B">
            <w:pPr>
              <w:keepNext/>
              <w:widowControl w:val="0"/>
              <w:jc w:val="center"/>
              <w:rPr>
                <w:sz w:val="20"/>
                <w:szCs w:val="20"/>
              </w:rPr>
            </w:pPr>
            <w:r>
              <w:rPr>
                <w:sz w:val="20"/>
                <w:szCs w:val="20"/>
              </w:rPr>
              <w:t>2,045</w:t>
            </w:r>
          </w:p>
        </w:tc>
        <w:tc>
          <w:tcPr>
            <w:tcW w:w="671" w:type="dxa"/>
            <w:shd w:val="clear" w:color="auto" w:fill="auto"/>
            <w:vAlign w:val="center"/>
          </w:tcPr>
          <w:p w14:paraId="2E720682" w14:textId="77777777" w:rsidR="0043094A" w:rsidRPr="005B64E6" w:rsidRDefault="0043094A" w:rsidP="000D576B">
            <w:pPr>
              <w:keepNext/>
              <w:widowControl w:val="0"/>
              <w:jc w:val="center"/>
              <w:rPr>
                <w:sz w:val="20"/>
                <w:szCs w:val="20"/>
              </w:rPr>
            </w:pPr>
            <w:r w:rsidRPr="005B64E6">
              <w:rPr>
                <w:sz w:val="20"/>
                <w:szCs w:val="20"/>
              </w:rPr>
              <w:t>0</w:t>
            </w:r>
          </w:p>
        </w:tc>
        <w:tc>
          <w:tcPr>
            <w:tcW w:w="949" w:type="dxa"/>
            <w:shd w:val="clear" w:color="auto" w:fill="auto"/>
            <w:vAlign w:val="center"/>
          </w:tcPr>
          <w:p w14:paraId="67707E91" w14:textId="77777777" w:rsidR="0043094A" w:rsidRPr="005B64E6" w:rsidRDefault="0043094A" w:rsidP="000D576B">
            <w:pPr>
              <w:keepNext/>
              <w:widowControl w:val="0"/>
              <w:jc w:val="center"/>
              <w:rPr>
                <w:sz w:val="20"/>
                <w:szCs w:val="20"/>
              </w:rPr>
            </w:pPr>
            <w:r w:rsidRPr="005B64E6">
              <w:rPr>
                <w:sz w:val="20"/>
                <w:szCs w:val="20"/>
              </w:rPr>
              <w:t>0</w:t>
            </w:r>
          </w:p>
        </w:tc>
        <w:tc>
          <w:tcPr>
            <w:tcW w:w="659" w:type="dxa"/>
            <w:shd w:val="clear" w:color="auto" w:fill="auto"/>
            <w:vAlign w:val="center"/>
          </w:tcPr>
          <w:p w14:paraId="61B47C9B" w14:textId="77777777" w:rsidR="0043094A" w:rsidRPr="005B64E6" w:rsidRDefault="0043094A" w:rsidP="000D576B">
            <w:pPr>
              <w:keepNext/>
              <w:widowControl w:val="0"/>
              <w:jc w:val="center"/>
              <w:rPr>
                <w:b/>
                <w:sz w:val="20"/>
                <w:szCs w:val="20"/>
              </w:rPr>
            </w:pPr>
            <w:r>
              <w:rPr>
                <w:b/>
                <w:sz w:val="20"/>
                <w:szCs w:val="20"/>
              </w:rPr>
              <w:t>4</w:t>
            </w:r>
          </w:p>
        </w:tc>
        <w:tc>
          <w:tcPr>
            <w:tcW w:w="900" w:type="dxa"/>
            <w:shd w:val="clear" w:color="auto" w:fill="auto"/>
            <w:vAlign w:val="center"/>
          </w:tcPr>
          <w:p w14:paraId="641D30C8" w14:textId="77777777" w:rsidR="0043094A" w:rsidRPr="005B64E6" w:rsidRDefault="0043094A" w:rsidP="000D576B">
            <w:pPr>
              <w:keepNext/>
              <w:widowControl w:val="0"/>
              <w:jc w:val="center"/>
              <w:rPr>
                <w:b/>
                <w:sz w:val="20"/>
                <w:szCs w:val="20"/>
              </w:rPr>
            </w:pPr>
            <w:r>
              <w:rPr>
                <w:b/>
                <w:sz w:val="20"/>
                <w:szCs w:val="20"/>
              </w:rPr>
              <w:t>2,145</w:t>
            </w:r>
          </w:p>
        </w:tc>
      </w:tr>
      <w:tr w:rsidR="0043094A" w:rsidRPr="005B64E6" w14:paraId="4AB6F7C9" w14:textId="77777777" w:rsidTr="000D576B">
        <w:trPr>
          <w:trHeight w:val="288"/>
          <w:jc w:val="center"/>
        </w:trPr>
        <w:tc>
          <w:tcPr>
            <w:tcW w:w="1987" w:type="dxa"/>
            <w:shd w:val="clear" w:color="auto" w:fill="auto"/>
            <w:vAlign w:val="center"/>
          </w:tcPr>
          <w:p w14:paraId="4CD8AC70" w14:textId="77777777" w:rsidR="0043094A" w:rsidRPr="005B64E6" w:rsidRDefault="0043094A" w:rsidP="000D576B">
            <w:pPr>
              <w:keepNext/>
              <w:widowControl w:val="0"/>
              <w:rPr>
                <w:b/>
                <w:sz w:val="20"/>
                <w:szCs w:val="20"/>
                <w:highlight w:val="green"/>
              </w:rPr>
            </w:pPr>
            <w:r w:rsidRPr="005B64E6">
              <w:rPr>
                <w:b/>
                <w:sz w:val="20"/>
                <w:szCs w:val="20"/>
              </w:rPr>
              <w:t>Total</w:t>
            </w:r>
          </w:p>
        </w:tc>
        <w:tc>
          <w:tcPr>
            <w:tcW w:w="700" w:type="dxa"/>
            <w:shd w:val="clear" w:color="auto" w:fill="auto"/>
            <w:vAlign w:val="center"/>
          </w:tcPr>
          <w:p w14:paraId="2F5C195C" w14:textId="77777777" w:rsidR="0043094A" w:rsidRPr="005B64E6" w:rsidRDefault="0043094A" w:rsidP="000D576B">
            <w:pPr>
              <w:keepNext/>
              <w:widowControl w:val="0"/>
              <w:jc w:val="center"/>
              <w:rPr>
                <w:b/>
                <w:sz w:val="20"/>
                <w:szCs w:val="20"/>
              </w:rPr>
            </w:pPr>
            <w:r>
              <w:rPr>
                <w:b/>
                <w:sz w:val="20"/>
                <w:szCs w:val="20"/>
              </w:rPr>
              <w:t>2</w:t>
            </w:r>
          </w:p>
        </w:tc>
        <w:tc>
          <w:tcPr>
            <w:tcW w:w="894" w:type="dxa"/>
            <w:shd w:val="clear" w:color="auto" w:fill="auto"/>
            <w:vAlign w:val="center"/>
          </w:tcPr>
          <w:p w14:paraId="7B459BA3" w14:textId="77777777" w:rsidR="0043094A" w:rsidRPr="005B64E6" w:rsidRDefault="0043094A" w:rsidP="000D576B">
            <w:pPr>
              <w:keepNext/>
              <w:widowControl w:val="0"/>
              <w:jc w:val="center"/>
              <w:rPr>
                <w:b/>
                <w:sz w:val="20"/>
                <w:szCs w:val="20"/>
              </w:rPr>
            </w:pPr>
            <w:r>
              <w:rPr>
                <w:b/>
                <w:sz w:val="20"/>
                <w:szCs w:val="20"/>
              </w:rPr>
              <w:t>950</w:t>
            </w:r>
          </w:p>
        </w:tc>
        <w:tc>
          <w:tcPr>
            <w:tcW w:w="616" w:type="dxa"/>
            <w:shd w:val="clear" w:color="auto" w:fill="auto"/>
            <w:vAlign w:val="center"/>
          </w:tcPr>
          <w:p w14:paraId="3870A56A" w14:textId="77777777" w:rsidR="0043094A" w:rsidRPr="005B64E6" w:rsidRDefault="0043094A" w:rsidP="000D576B">
            <w:pPr>
              <w:keepNext/>
              <w:widowControl w:val="0"/>
              <w:jc w:val="center"/>
              <w:rPr>
                <w:b/>
                <w:sz w:val="20"/>
                <w:szCs w:val="20"/>
              </w:rPr>
            </w:pPr>
            <w:r w:rsidRPr="005B64E6">
              <w:rPr>
                <w:b/>
                <w:sz w:val="20"/>
                <w:szCs w:val="20"/>
              </w:rPr>
              <w:t>0</w:t>
            </w:r>
          </w:p>
        </w:tc>
        <w:tc>
          <w:tcPr>
            <w:tcW w:w="914" w:type="dxa"/>
            <w:shd w:val="clear" w:color="auto" w:fill="auto"/>
            <w:vAlign w:val="center"/>
          </w:tcPr>
          <w:p w14:paraId="5486AE3F" w14:textId="77777777" w:rsidR="0043094A" w:rsidRPr="005B64E6" w:rsidRDefault="0043094A" w:rsidP="000D576B">
            <w:pPr>
              <w:keepNext/>
              <w:widowControl w:val="0"/>
              <w:jc w:val="center"/>
              <w:rPr>
                <w:b/>
                <w:sz w:val="20"/>
                <w:szCs w:val="20"/>
              </w:rPr>
            </w:pPr>
            <w:r w:rsidRPr="005B64E6">
              <w:rPr>
                <w:b/>
                <w:sz w:val="20"/>
                <w:szCs w:val="20"/>
              </w:rPr>
              <w:t>0</w:t>
            </w:r>
          </w:p>
        </w:tc>
        <w:tc>
          <w:tcPr>
            <w:tcW w:w="616" w:type="dxa"/>
            <w:shd w:val="clear" w:color="auto" w:fill="auto"/>
            <w:vAlign w:val="center"/>
          </w:tcPr>
          <w:p w14:paraId="4DD77F74" w14:textId="77777777" w:rsidR="0043094A" w:rsidRPr="005B64E6" w:rsidRDefault="0043094A" w:rsidP="000D576B">
            <w:pPr>
              <w:keepNext/>
              <w:widowControl w:val="0"/>
              <w:jc w:val="center"/>
              <w:rPr>
                <w:b/>
                <w:sz w:val="20"/>
                <w:szCs w:val="20"/>
              </w:rPr>
            </w:pPr>
            <w:r>
              <w:rPr>
                <w:b/>
                <w:sz w:val="20"/>
                <w:szCs w:val="20"/>
              </w:rPr>
              <w:t>7</w:t>
            </w:r>
          </w:p>
        </w:tc>
        <w:tc>
          <w:tcPr>
            <w:tcW w:w="914" w:type="dxa"/>
            <w:shd w:val="clear" w:color="auto" w:fill="auto"/>
            <w:vAlign w:val="center"/>
          </w:tcPr>
          <w:p w14:paraId="5F415370" w14:textId="77777777" w:rsidR="0043094A" w:rsidRPr="005B64E6" w:rsidRDefault="0043094A" w:rsidP="000D576B">
            <w:pPr>
              <w:keepNext/>
              <w:widowControl w:val="0"/>
              <w:jc w:val="center"/>
              <w:rPr>
                <w:b/>
                <w:sz w:val="20"/>
                <w:szCs w:val="20"/>
              </w:rPr>
            </w:pPr>
            <w:r>
              <w:rPr>
                <w:b/>
                <w:sz w:val="20"/>
                <w:szCs w:val="20"/>
              </w:rPr>
              <w:t>2,283</w:t>
            </w:r>
          </w:p>
        </w:tc>
        <w:tc>
          <w:tcPr>
            <w:tcW w:w="671" w:type="dxa"/>
            <w:shd w:val="clear" w:color="auto" w:fill="auto"/>
            <w:vAlign w:val="center"/>
          </w:tcPr>
          <w:p w14:paraId="682AE8C5" w14:textId="77777777" w:rsidR="0043094A" w:rsidRPr="005B64E6" w:rsidRDefault="0043094A" w:rsidP="000D576B">
            <w:pPr>
              <w:keepNext/>
              <w:widowControl w:val="0"/>
              <w:jc w:val="center"/>
              <w:rPr>
                <w:b/>
                <w:sz w:val="20"/>
                <w:szCs w:val="20"/>
              </w:rPr>
            </w:pPr>
            <w:r w:rsidRPr="005B64E6">
              <w:rPr>
                <w:b/>
                <w:sz w:val="20"/>
                <w:szCs w:val="20"/>
              </w:rPr>
              <w:t>0</w:t>
            </w:r>
          </w:p>
        </w:tc>
        <w:tc>
          <w:tcPr>
            <w:tcW w:w="949" w:type="dxa"/>
            <w:shd w:val="clear" w:color="auto" w:fill="auto"/>
            <w:vAlign w:val="center"/>
          </w:tcPr>
          <w:p w14:paraId="5130BBC9" w14:textId="77777777" w:rsidR="0043094A" w:rsidRPr="005B64E6" w:rsidRDefault="0043094A" w:rsidP="000D576B">
            <w:pPr>
              <w:keepNext/>
              <w:widowControl w:val="0"/>
              <w:jc w:val="center"/>
              <w:rPr>
                <w:b/>
                <w:sz w:val="20"/>
                <w:szCs w:val="20"/>
              </w:rPr>
            </w:pPr>
            <w:r w:rsidRPr="005B64E6">
              <w:rPr>
                <w:b/>
                <w:sz w:val="20"/>
                <w:szCs w:val="20"/>
              </w:rPr>
              <w:t>0</w:t>
            </w:r>
          </w:p>
        </w:tc>
        <w:tc>
          <w:tcPr>
            <w:tcW w:w="659" w:type="dxa"/>
            <w:shd w:val="clear" w:color="auto" w:fill="auto"/>
            <w:vAlign w:val="center"/>
          </w:tcPr>
          <w:p w14:paraId="55A0EF47" w14:textId="77777777" w:rsidR="0043094A" w:rsidRPr="005B64E6" w:rsidRDefault="0043094A" w:rsidP="000D576B">
            <w:pPr>
              <w:keepNext/>
              <w:widowControl w:val="0"/>
              <w:jc w:val="center"/>
              <w:rPr>
                <w:b/>
                <w:sz w:val="20"/>
                <w:szCs w:val="20"/>
              </w:rPr>
            </w:pPr>
            <w:r>
              <w:rPr>
                <w:b/>
                <w:sz w:val="20"/>
                <w:szCs w:val="20"/>
              </w:rPr>
              <w:t>9</w:t>
            </w:r>
          </w:p>
        </w:tc>
        <w:tc>
          <w:tcPr>
            <w:tcW w:w="900" w:type="dxa"/>
            <w:shd w:val="clear" w:color="auto" w:fill="auto"/>
            <w:vAlign w:val="center"/>
          </w:tcPr>
          <w:p w14:paraId="1A0847CB" w14:textId="77777777" w:rsidR="0043094A" w:rsidRPr="005B64E6" w:rsidRDefault="0043094A" w:rsidP="000D576B">
            <w:pPr>
              <w:keepNext/>
              <w:widowControl w:val="0"/>
              <w:jc w:val="center"/>
              <w:rPr>
                <w:b/>
                <w:sz w:val="20"/>
                <w:szCs w:val="20"/>
              </w:rPr>
            </w:pPr>
            <w:r>
              <w:rPr>
                <w:b/>
                <w:sz w:val="20"/>
                <w:szCs w:val="20"/>
              </w:rPr>
              <w:t>3,233</w:t>
            </w:r>
          </w:p>
        </w:tc>
      </w:tr>
      <w:tr w:rsidR="0043094A" w:rsidRPr="005B64E6" w14:paraId="5FAE66D6" w14:textId="77777777" w:rsidTr="000D576B">
        <w:trPr>
          <w:trHeight w:val="288"/>
          <w:jc w:val="center"/>
        </w:trPr>
        <w:tc>
          <w:tcPr>
            <w:tcW w:w="9820" w:type="dxa"/>
            <w:gridSpan w:val="11"/>
            <w:shd w:val="clear" w:color="auto" w:fill="auto"/>
            <w:vAlign w:val="center"/>
          </w:tcPr>
          <w:p w14:paraId="684CA6F8" w14:textId="73B652BC" w:rsidR="0043094A" w:rsidRPr="002526DE" w:rsidRDefault="0043094A" w:rsidP="00352D5A">
            <w:pPr>
              <w:keepNext/>
              <w:widowControl w:val="0"/>
              <w:rPr>
                <w:b/>
                <w:sz w:val="16"/>
                <w:szCs w:val="20"/>
              </w:rPr>
            </w:pPr>
            <w:r w:rsidRPr="002526DE">
              <w:rPr>
                <w:i/>
                <w:sz w:val="16"/>
                <w:szCs w:val="20"/>
              </w:rPr>
              <w:t xml:space="preserve">Source:  Bank </w:t>
            </w:r>
            <w:r w:rsidR="00352D5A">
              <w:rPr>
                <w:i/>
                <w:sz w:val="16"/>
                <w:szCs w:val="20"/>
              </w:rPr>
              <w:t xml:space="preserve">Data </w:t>
            </w:r>
          </w:p>
        </w:tc>
      </w:tr>
    </w:tbl>
    <w:p w14:paraId="40AC0B6A" w14:textId="77777777" w:rsidR="0043094A" w:rsidRDefault="0043094A" w:rsidP="0043094A"/>
    <w:p w14:paraId="233EBC06" w14:textId="62936A03" w:rsidR="0043094A" w:rsidRDefault="0043094A" w:rsidP="00D8038F">
      <w:r>
        <w:t>Below are notable examples of community development loans.</w:t>
      </w:r>
    </w:p>
    <w:p w14:paraId="4C56E389" w14:textId="77777777" w:rsidR="0043094A" w:rsidRDefault="0043094A" w:rsidP="00D8038F"/>
    <w:p w14:paraId="38BFF5D7" w14:textId="7ED09103" w:rsidR="0043094A" w:rsidRDefault="0043094A" w:rsidP="00ED5F31">
      <w:pPr>
        <w:pStyle w:val="ListParagraph"/>
        <w:widowControl/>
        <w:numPr>
          <w:ilvl w:val="0"/>
          <w:numId w:val="36"/>
        </w:numPr>
        <w:spacing w:after="160"/>
        <w:contextualSpacing/>
        <w:rPr>
          <w:rFonts w:ascii="Times New Roman" w:hAnsi="Times New Roman" w:cs="Times New Roman"/>
        </w:rPr>
      </w:pPr>
      <w:r>
        <w:rPr>
          <w:rFonts w:ascii="Times New Roman" w:hAnsi="Times New Roman" w:cs="Times New Roman"/>
        </w:rPr>
        <w:t>In 2020, the bank extended a $1.9 million PPP loan t</w:t>
      </w:r>
      <w:r w:rsidR="00BC48CF">
        <w:rPr>
          <w:rFonts w:ascii="Times New Roman" w:hAnsi="Times New Roman" w:cs="Times New Roman"/>
        </w:rPr>
        <w:t xml:space="preserve">o a small business located in </w:t>
      </w:r>
      <w:r>
        <w:rPr>
          <w:rFonts w:ascii="Times New Roman" w:hAnsi="Times New Roman" w:cs="Times New Roman"/>
        </w:rPr>
        <w:t>Lawrence.  The loan helped the business maintain their workforce during th</w:t>
      </w:r>
      <w:r w:rsidR="005A5961">
        <w:rPr>
          <w:rFonts w:ascii="Times New Roman" w:hAnsi="Times New Roman" w:cs="Times New Roman"/>
        </w:rPr>
        <w:t xml:space="preserve">e COVID-19 pandemic.  This economic development loan </w:t>
      </w:r>
      <w:r w:rsidR="00BC48CF">
        <w:rPr>
          <w:rFonts w:ascii="Times New Roman" w:hAnsi="Times New Roman" w:cs="Times New Roman"/>
        </w:rPr>
        <w:t>helped promote job retention in the low- and moderate-income area</w:t>
      </w:r>
      <w:r w:rsidR="005A5961">
        <w:rPr>
          <w:rFonts w:ascii="Times New Roman" w:hAnsi="Times New Roman" w:cs="Times New Roman"/>
        </w:rPr>
        <w:t xml:space="preserve">.  </w:t>
      </w:r>
    </w:p>
    <w:p w14:paraId="374713C5" w14:textId="77777777" w:rsidR="0043094A" w:rsidRDefault="0043094A" w:rsidP="00D8038F">
      <w:pPr>
        <w:pStyle w:val="ListParagraph"/>
        <w:rPr>
          <w:rFonts w:ascii="Times New Roman" w:hAnsi="Times New Roman" w:cs="Times New Roman"/>
        </w:rPr>
      </w:pPr>
    </w:p>
    <w:p w14:paraId="0E548ECE" w14:textId="72F148BA" w:rsidR="0043094A" w:rsidRPr="00640FE6" w:rsidRDefault="0043094A" w:rsidP="00ED5F31">
      <w:pPr>
        <w:pStyle w:val="ListParagraph"/>
        <w:widowControl/>
        <w:numPr>
          <w:ilvl w:val="0"/>
          <w:numId w:val="36"/>
        </w:numPr>
        <w:spacing w:after="160"/>
        <w:contextualSpacing/>
        <w:rPr>
          <w:rFonts w:ascii="Times New Roman" w:hAnsi="Times New Roman" w:cs="Times New Roman"/>
        </w:rPr>
      </w:pPr>
      <w:r>
        <w:rPr>
          <w:rFonts w:ascii="Times New Roman" w:hAnsi="Times New Roman" w:cs="Times New Roman"/>
        </w:rPr>
        <w:t>In 2020, the bank provided a $100,000 line of credit to assist the day-to-day operations of a non-profit</w:t>
      </w:r>
      <w:r w:rsidR="0095367F">
        <w:rPr>
          <w:rFonts w:ascii="Times New Roman" w:hAnsi="Times New Roman" w:cs="Times New Roman"/>
        </w:rPr>
        <w:t xml:space="preserve"> organization</w:t>
      </w:r>
      <w:r>
        <w:rPr>
          <w:rFonts w:ascii="Times New Roman" w:hAnsi="Times New Roman" w:cs="Times New Roman"/>
        </w:rPr>
        <w:t xml:space="preserve"> dedicated to providing affordable housing to low- and moderate-income individuals in the assessment area.  </w:t>
      </w:r>
    </w:p>
    <w:p w14:paraId="2A236554" w14:textId="5C384826" w:rsidR="0043094A" w:rsidRDefault="0043094A" w:rsidP="00D8038F">
      <w:pPr>
        <w:rPr>
          <w:b/>
          <w:u w:val="single"/>
        </w:rPr>
      </w:pPr>
      <w:r>
        <w:rPr>
          <w:b/>
          <w:u w:val="single"/>
        </w:rPr>
        <w:t>Qualified Investments</w:t>
      </w:r>
    </w:p>
    <w:p w14:paraId="7634C9D2" w14:textId="77777777" w:rsidR="00531C74" w:rsidRDefault="00531C74" w:rsidP="00D8038F">
      <w:pPr>
        <w:rPr>
          <w:b/>
          <w:u w:val="single"/>
        </w:rPr>
      </w:pPr>
    </w:p>
    <w:p w14:paraId="2AF31704" w14:textId="2A9FC0FE" w:rsidR="0043094A" w:rsidRDefault="0043094A">
      <w:r>
        <w:t xml:space="preserve">During the evaluation period, Northmark </w:t>
      </w:r>
      <w:r w:rsidR="000D576B">
        <w:t xml:space="preserve">Bank </w:t>
      </w:r>
      <w:r>
        <w:t>made 42 qualified investments totaling approximately $37,381.  A</w:t>
      </w:r>
      <w:r w:rsidRPr="002526DE">
        <w:t xml:space="preserve">ll </w:t>
      </w:r>
      <w:r>
        <w:t>qualified investments were donations to local organizations</w:t>
      </w:r>
      <w:r w:rsidR="00352D5A">
        <w:t>.</w:t>
      </w:r>
      <w:r w:rsidR="00352D5A" w:rsidRPr="002526DE">
        <w:t xml:space="preserve">  </w:t>
      </w:r>
      <w:r>
        <w:t xml:space="preserve">The bank does not hold any </w:t>
      </w:r>
      <w:r w:rsidR="0095367F">
        <w:t xml:space="preserve">prior period </w:t>
      </w:r>
      <w:r>
        <w:t xml:space="preserve">qualified </w:t>
      </w:r>
      <w:r w:rsidR="0095367F">
        <w:t>investments and</w:t>
      </w:r>
      <w:r>
        <w:t xml:space="preserve"> did not make any new qualified equity investments during the evaluation period.  The total dollar amount of </w:t>
      </w:r>
      <w:r w:rsidR="00BC48CF">
        <w:t xml:space="preserve">qualified donations equates to </w:t>
      </w:r>
      <w:r>
        <w:t>less than 0.1 percent of average total assets</w:t>
      </w:r>
      <w:r w:rsidR="00BC48CF">
        <w:t xml:space="preserve"> </w:t>
      </w:r>
      <w:r w:rsidR="00FF4BB5">
        <w:t xml:space="preserve">and 0.7 percent of average pre-tax net operating income </w:t>
      </w:r>
      <w:r w:rsidR="00BC48CF">
        <w:t>since the previous evaluation</w:t>
      </w:r>
      <w:r>
        <w:t xml:space="preserve">. </w:t>
      </w:r>
      <w:r w:rsidR="00531C74">
        <w:t xml:space="preserve"> Th</w:t>
      </w:r>
      <w:r w:rsidR="0095367F">
        <w:t>e</w:t>
      </w:r>
      <w:r w:rsidR="00531C74">
        <w:t xml:space="preserve"> level of activity is an improvement over the previous evaluation when the bank made 27 qualified donations for $13,150 over a longer period. </w:t>
      </w:r>
    </w:p>
    <w:p w14:paraId="1D3076AF" w14:textId="77777777" w:rsidR="00531C74" w:rsidRDefault="00531C74"/>
    <w:p w14:paraId="6A0C8221" w14:textId="7A222AEE" w:rsidR="0095367F" w:rsidRDefault="0043094A">
      <w:r>
        <w:t>The following table illustrates the bank’s community development investments by purpose.</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43094A" w:rsidRPr="004121FD" w14:paraId="19D9BE66" w14:textId="77777777" w:rsidTr="000D576B">
        <w:trPr>
          <w:trHeight w:val="360"/>
          <w:jc w:val="center"/>
        </w:trPr>
        <w:tc>
          <w:tcPr>
            <w:tcW w:w="9820" w:type="dxa"/>
            <w:gridSpan w:val="11"/>
            <w:shd w:val="clear" w:color="auto" w:fill="auto"/>
            <w:vAlign w:val="center"/>
          </w:tcPr>
          <w:p w14:paraId="4649D769" w14:textId="77777777" w:rsidR="0043094A" w:rsidRPr="00531C74" w:rsidRDefault="0043094A" w:rsidP="000D576B">
            <w:pPr>
              <w:keepNext/>
              <w:widowControl w:val="0"/>
              <w:jc w:val="center"/>
              <w:rPr>
                <w:b/>
                <w:sz w:val="20"/>
                <w:szCs w:val="20"/>
              </w:rPr>
            </w:pPr>
            <w:r w:rsidRPr="00531C74">
              <w:rPr>
                <w:b/>
                <w:sz w:val="20"/>
                <w:szCs w:val="20"/>
              </w:rPr>
              <w:t>Qualified Investments</w:t>
            </w:r>
          </w:p>
        </w:tc>
      </w:tr>
      <w:tr w:rsidR="0043094A" w:rsidRPr="004121FD" w14:paraId="7FABAF83" w14:textId="77777777" w:rsidTr="000D576B">
        <w:trPr>
          <w:trHeight w:val="288"/>
          <w:jc w:val="center"/>
        </w:trPr>
        <w:tc>
          <w:tcPr>
            <w:tcW w:w="1987" w:type="dxa"/>
            <w:vMerge w:val="restart"/>
            <w:shd w:val="clear" w:color="auto" w:fill="auto"/>
            <w:vAlign w:val="center"/>
          </w:tcPr>
          <w:p w14:paraId="516A0E12" w14:textId="77777777" w:rsidR="0043094A" w:rsidRPr="00531C74" w:rsidRDefault="0043094A" w:rsidP="000D576B">
            <w:pPr>
              <w:keepNext/>
              <w:widowControl w:val="0"/>
              <w:rPr>
                <w:b/>
                <w:sz w:val="20"/>
                <w:szCs w:val="20"/>
              </w:rPr>
            </w:pPr>
            <w:r w:rsidRPr="00531C74">
              <w:rPr>
                <w:b/>
                <w:sz w:val="20"/>
                <w:szCs w:val="20"/>
              </w:rPr>
              <w:t>Activity Year</w:t>
            </w:r>
          </w:p>
        </w:tc>
        <w:tc>
          <w:tcPr>
            <w:tcW w:w="1594" w:type="dxa"/>
            <w:gridSpan w:val="2"/>
            <w:shd w:val="clear" w:color="auto" w:fill="auto"/>
            <w:vAlign w:val="center"/>
          </w:tcPr>
          <w:p w14:paraId="6CAA9929" w14:textId="77777777" w:rsidR="0043094A" w:rsidRPr="00531C74" w:rsidRDefault="0043094A" w:rsidP="000D576B">
            <w:pPr>
              <w:keepNext/>
              <w:widowControl w:val="0"/>
              <w:jc w:val="center"/>
              <w:rPr>
                <w:b/>
                <w:sz w:val="20"/>
                <w:szCs w:val="20"/>
              </w:rPr>
            </w:pPr>
            <w:r w:rsidRPr="00531C74">
              <w:rPr>
                <w:b/>
                <w:sz w:val="20"/>
                <w:szCs w:val="20"/>
              </w:rPr>
              <w:t>Affordable Housing</w:t>
            </w:r>
          </w:p>
        </w:tc>
        <w:tc>
          <w:tcPr>
            <w:tcW w:w="1530" w:type="dxa"/>
            <w:gridSpan w:val="2"/>
            <w:shd w:val="clear" w:color="auto" w:fill="auto"/>
            <w:vAlign w:val="center"/>
          </w:tcPr>
          <w:p w14:paraId="67C2A4D1" w14:textId="77777777" w:rsidR="0043094A" w:rsidRPr="00531C74" w:rsidRDefault="0043094A" w:rsidP="000D576B">
            <w:pPr>
              <w:keepNext/>
              <w:widowControl w:val="0"/>
              <w:jc w:val="center"/>
              <w:rPr>
                <w:b/>
                <w:sz w:val="20"/>
                <w:szCs w:val="20"/>
              </w:rPr>
            </w:pPr>
            <w:r w:rsidRPr="00531C74">
              <w:rPr>
                <w:b/>
                <w:sz w:val="20"/>
                <w:szCs w:val="20"/>
              </w:rPr>
              <w:t>Community Services</w:t>
            </w:r>
          </w:p>
        </w:tc>
        <w:tc>
          <w:tcPr>
            <w:tcW w:w="1530" w:type="dxa"/>
            <w:gridSpan w:val="2"/>
            <w:shd w:val="clear" w:color="auto" w:fill="auto"/>
            <w:vAlign w:val="center"/>
          </w:tcPr>
          <w:p w14:paraId="3139C78F" w14:textId="77777777" w:rsidR="0043094A" w:rsidRPr="00531C74" w:rsidRDefault="0043094A" w:rsidP="000D576B">
            <w:pPr>
              <w:keepNext/>
              <w:widowControl w:val="0"/>
              <w:jc w:val="center"/>
              <w:rPr>
                <w:b/>
                <w:sz w:val="20"/>
                <w:szCs w:val="20"/>
              </w:rPr>
            </w:pPr>
            <w:r w:rsidRPr="00531C74">
              <w:rPr>
                <w:b/>
                <w:sz w:val="20"/>
                <w:szCs w:val="20"/>
              </w:rPr>
              <w:t>Economic Development</w:t>
            </w:r>
          </w:p>
        </w:tc>
        <w:tc>
          <w:tcPr>
            <w:tcW w:w="1620" w:type="dxa"/>
            <w:gridSpan w:val="2"/>
            <w:shd w:val="clear" w:color="auto" w:fill="auto"/>
            <w:vAlign w:val="center"/>
          </w:tcPr>
          <w:p w14:paraId="10A9866E" w14:textId="77777777" w:rsidR="0043094A" w:rsidRPr="00531C74" w:rsidRDefault="0043094A" w:rsidP="000D576B">
            <w:pPr>
              <w:keepNext/>
              <w:widowControl w:val="0"/>
              <w:jc w:val="center"/>
              <w:rPr>
                <w:b/>
                <w:sz w:val="20"/>
                <w:szCs w:val="20"/>
              </w:rPr>
            </w:pPr>
            <w:r w:rsidRPr="00531C74">
              <w:rPr>
                <w:b/>
                <w:sz w:val="20"/>
                <w:szCs w:val="20"/>
              </w:rPr>
              <w:t>Revitalize or Stabilize</w:t>
            </w:r>
          </w:p>
        </w:tc>
        <w:tc>
          <w:tcPr>
            <w:tcW w:w="1559" w:type="dxa"/>
            <w:gridSpan w:val="2"/>
            <w:shd w:val="clear" w:color="auto" w:fill="auto"/>
            <w:vAlign w:val="center"/>
          </w:tcPr>
          <w:p w14:paraId="5296D665" w14:textId="77777777" w:rsidR="0043094A" w:rsidRPr="00531C74" w:rsidRDefault="0043094A" w:rsidP="000D576B">
            <w:pPr>
              <w:keepNext/>
              <w:widowControl w:val="0"/>
              <w:jc w:val="center"/>
              <w:rPr>
                <w:b/>
                <w:sz w:val="20"/>
                <w:szCs w:val="20"/>
              </w:rPr>
            </w:pPr>
            <w:r w:rsidRPr="00531C74">
              <w:rPr>
                <w:b/>
                <w:sz w:val="20"/>
                <w:szCs w:val="20"/>
              </w:rPr>
              <w:t>Totals</w:t>
            </w:r>
          </w:p>
        </w:tc>
      </w:tr>
      <w:tr w:rsidR="0043094A" w:rsidRPr="004121FD" w14:paraId="2CE7F522" w14:textId="77777777" w:rsidTr="000D576B">
        <w:trPr>
          <w:trHeight w:val="288"/>
          <w:jc w:val="center"/>
        </w:trPr>
        <w:tc>
          <w:tcPr>
            <w:tcW w:w="1987" w:type="dxa"/>
            <w:vMerge/>
            <w:shd w:val="clear" w:color="auto" w:fill="auto"/>
            <w:vAlign w:val="center"/>
          </w:tcPr>
          <w:p w14:paraId="78793816" w14:textId="77777777" w:rsidR="0043094A" w:rsidRPr="00531C74" w:rsidRDefault="0043094A" w:rsidP="000D576B">
            <w:pPr>
              <w:keepNext/>
              <w:widowControl w:val="0"/>
              <w:rPr>
                <w:sz w:val="20"/>
                <w:szCs w:val="20"/>
                <w:highlight w:val="green"/>
              </w:rPr>
            </w:pPr>
          </w:p>
        </w:tc>
        <w:tc>
          <w:tcPr>
            <w:tcW w:w="700" w:type="dxa"/>
            <w:shd w:val="clear" w:color="auto" w:fill="auto"/>
            <w:vAlign w:val="center"/>
          </w:tcPr>
          <w:p w14:paraId="5D699BCD" w14:textId="77777777" w:rsidR="0043094A" w:rsidRPr="00531C74" w:rsidRDefault="0043094A" w:rsidP="000D576B">
            <w:pPr>
              <w:keepNext/>
              <w:widowControl w:val="0"/>
              <w:jc w:val="center"/>
              <w:rPr>
                <w:b/>
                <w:sz w:val="20"/>
                <w:szCs w:val="20"/>
              </w:rPr>
            </w:pPr>
            <w:r w:rsidRPr="00531C74">
              <w:rPr>
                <w:b/>
                <w:sz w:val="20"/>
                <w:szCs w:val="20"/>
              </w:rPr>
              <w:t>#</w:t>
            </w:r>
          </w:p>
        </w:tc>
        <w:tc>
          <w:tcPr>
            <w:tcW w:w="894" w:type="dxa"/>
            <w:shd w:val="clear" w:color="auto" w:fill="auto"/>
            <w:vAlign w:val="center"/>
          </w:tcPr>
          <w:p w14:paraId="378AF265" w14:textId="70CE05FD" w:rsidR="0043094A" w:rsidRPr="00531C74" w:rsidRDefault="0043094A" w:rsidP="000D576B">
            <w:pPr>
              <w:keepNext/>
              <w:widowControl w:val="0"/>
              <w:jc w:val="center"/>
              <w:rPr>
                <w:b/>
                <w:sz w:val="20"/>
                <w:szCs w:val="20"/>
              </w:rPr>
            </w:pPr>
            <w:r w:rsidRPr="00531C74">
              <w:rPr>
                <w:b/>
                <w:sz w:val="20"/>
                <w:szCs w:val="20"/>
              </w:rPr>
              <w:t>$</w:t>
            </w:r>
            <w:r w:rsidR="00BC48CF">
              <w:rPr>
                <w:b/>
                <w:sz w:val="20"/>
                <w:szCs w:val="20"/>
              </w:rPr>
              <w:t>(000s)</w:t>
            </w:r>
          </w:p>
        </w:tc>
        <w:tc>
          <w:tcPr>
            <w:tcW w:w="616" w:type="dxa"/>
            <w:shd w:val="clear" w:color="auto" w:fill="auto"/>
            <w:vAlign w:val="center"/>
          </w:tcPr>
          <w:p w14:paraId="6881EE3F" w14:textId="77777777" w:rsidR="0043094A" w:rsidRPr="00531C74" w:rsidRDefault="0043094A" w:rsidP="000D576B">
            <w:pPr>
              <w:keepNext/>
              <w:widowControl w:val="0"/>
              <w:jc w:val="center"/>
              <w:rPr>
                <w:b/>
                <w:sz w:val="20"/>
                <w:szCs w:val="20"/>
              </w:rPr>
            </w:pPr>
            <w:r w:rsidRPr="00531C74">
              <w:rPr>
                <w:b/>
                <w:sz w:val="20"/>
                <w:szCs w:val="20"/>
              </w:rPr>
              <w:t>#</w:t>
            </w:r>
          </w:p>
        </w:tc>
        <w:tc>
          <w:tcPr>
            <w:tcW w:w="914" w:type="dxa"/>
            <w:shd w:val="clear" w:color="auto" w:fill="auto"/>
            <w:vAlign w:val="center"/>
          </w:tcPr>
          <w:p w14:paraId="5B9DD3C2" w14:textId="620709FC" w:rsidR="0043094A" w:rsidRPr="00531C74" w:rsidRDefault="0043094A" w:rsidP="000D576B">
            <w:pPr>
              <w:keepNext/>
              <w:widowControl w:val="0"/>
              <w:jc w:val="center"/>
              <w:rPr>
                <w:b/>
                <w:sz w:val="20"/>
                <w:szCs w:val="20"/>
              </w:rPr>
            </w:pPr>
            <w:r w:rsidRPr="00531C74">
              <w:rPr>
                <w:b/>
                <w:sz w:val="20"/>
                <w:szCs w:val="20"/>
              </w:rPr>
              <w:t>$</w:t>
            </w:r>
            <w:r w:rsidR="00BC48CF">
              <w:rPr>
                <w:b/>
                <w:sz w:val="20"/>
                <w:szCs w:val="20"/>
              </w:rPr>
              <w:t>(000s)</w:t>
            </w:r>
          </w:p>
        </w:tc>
        <w:tc>
          <w:tcPr>
            <w:tcW w:w="616" w:type="dxa"/>
            <w:shd w:val="clear" w:color="auto" w:fill="auto"/>
            <w:vAlign w:val="center"/>
          </w:tcPr>
          <w:p w14:paraId="50D19065" w14:textId="77777777" w:rsidR="0043094A" w:rsidRPr="00531C74" w:rsidRDefault="0043094A" w:rsidP="000D576B">
            <w:pPr>
              <w:keepNext/>
              <w:widowControl w:val="0"/>
              <w:jc w:val="center"/>
              <w:rPr>
                <w:b/>
                <w:sz w:val="20"/>
                <w:szCs w:val="20"/>
              </w:rPr>
            </w:pPr>
            <w:r w:rsidRPr="00531C74">
              <w:rPr>
                <w:b/>
                <w:sz w:val="20"/>
                <w:szCs w:val="20"/>
              </w:rPr>
              <w:t>#</w:t>
            </w:r>
          </w:p>
        </w:tc>
        <w:tc>
          <w:tcPr>
            <w:tcW w:w="914" w:type="dxa"/>
            <w:shd w:val="clear" w:color="auto" w:fill="auto"/>
            <w:vAlign w:val="center"/>
          </w:tcPr>
          <w:p w14:paraId="129D4125" w14:textId="4DC4708E" w:rsidR="0043094A" w:rsidRPr="00531C74" w:rsidRDefault="0043094A" w:rsidP="000D576B">
            <w:pPr>
              <w:keepNext/>
              <w:widowControl w:val="0"/>
              <w:jc w:val="center"/>
              <w:rPr>
                <w:b/>
                <w:sz w:val="20"/>
                <w:szCs w:val="20"/>
              </w:rPr>
            </w:pPr>
            <w:r w:rsidRPr="00531C74">
              <w:rPr>
                <w:b/>
                <w:sz w:val="20"/>
                <w:szCs w:val="20"/>
              </w:rPr>
              <w:t>$</w:t>
            </w:r>
            <w:r w:rsidR="00BC48CF">
              <w:rPr>
                <w:b/>
                <w:sz w:val="20"/>
                <w:szCs w:val="20"/>
              </w:rPr>
              <w:t>(000s)</w:t>
            </w:r>
          </w:p>
        </w:tc>
        <w:tc>
          <w:tcPr>
            <w:tcW w:w="671" w:type="dxa"/>
            <w:shd w:val="clear" w:color="auto" w:fill="auto"/>
            <w:vAlign w:val="center"/>
          </w:tcPr>
          <w:p w14:paraId="35D8E2BD" w14:textId="77777777" w:rsidR="0043094A" w:rsidRPr="00531C74" w:rsidRDefault="0043094A" w:rsidP="000D576B">
            <w:pPr>
              <w:keepNext/>
              <w:widowControl w:val="0"/>
              <w:jc w:val="center"/>
              <w:rPr>
                <w:b/>
                <w:sz w:val="20"/>
                <w:szCs w:val="20"/>
              </w:rPr>
            </w:pPr>
            <w:r w:rsidRPr="00531C74">
              <w:rPr>
                <w:b/>
                <w:sz w:val="20"/>
                <w:szCs w:val="20"/>
              </w:rPr>
              <w:t>#</w:t>
            </w:r>
          </w:p>
        </w:tc>
        <w:tc>
          <w:tcPr>
            <w:tcW w:w="949" w:type="dxa"/>
            <w:shd w:val="clear" w:color="auto" w:fill="auto"/>
            <w:vAlign w:val="center"/>
          </w:tcPr>
          <w:p w14:paraId="5C7F2C46" w14:textId="1946DFA7" w:rsidR="0043094A" w:rsidRPr="00531C74" w:rsidRDefault="0043094A" w:rsidP="000D576B">
            <w:pPr>
              <w:keepNext/>
              <w:widowControl w:val="0"/>
              <w:jc w:val="center"/>
              <w:rPr>
                <w:b/>
                <w:sz w:val="20"/>
                <w:szCs w:val="20"/>
              </w:rPr>
            </w:pPr>
            <w:r w:rsidRPr="00531C74">
              <w:rPr>
                <w:b/>
                <w:sz w:val="20"/>
                <w:szCs w:val="20"/>
              </w:rPr>
              <w:t>$</w:t>
            </w:r>
            <w:r w:rsidR="00BC48CF">
              <w:rPr>
                <w:b/>
                <w:sz w:val="20"/>
                <w:szCs w:val="20"/>
              </w:rPr>
              <w:t>(000s)</w:t>
            </w:r>
          </w:p>
        </w:tc>
        <w:tc>
          <w:tcPr>
            <w:tcW w:w="659" w:type="dxa"/>
            <w:shd w:val="clear" w:color="auto" w:fill="auto"/>
            <w:vAlign w:val="center"/>
          </w:tcPr>
          <w:p w14:paraId="15D25B70" w14:textId="77777777" w:rsidR="0043094A" w:rsidRPr="00531C74" w:rsidRDefault="0043094A" w:rsidP="000D576B">
            <w:pPr>
              <w:keepNext/>
              <w:widowControl w:val="0"/>
              <w:jc w:val="center"/>
              <w:rPr>
                <w:b/>
                <w:sz w:val="20"/>
                <w:szCs w:val="20"/>
              </w:rPr>
            </w:pPr>
            <w:r w:rsidRPr="00531C74">
              <w:rPr>
                <w:b/>
                <w:sz w:val="20"/>
                <w:szCs w:val="20"/>
              </w:rPr>
              <w:t>#</w:t>
            </w:r>
          </w:p>
        </w:tc>
        <w:tc>
          <w:tcPr>
            <w:tcW w:w="900" w:type="dxa"/>
            <w:shd w:val="clear" w:color="auto" w:fill="auto"/>
            <w:vAlign w:val="center"/>
          </w:tcPr>
          <w:p w14:paraId="420AA1A4" w14:textId="5720350A" w:rsidR="0043094A" w:rsidRPr="00531C74" w:rsidRDefault="0043094A" w:rsidP="000D576B">
            <w:pPr>
              <w:keepNext/>
              <w:widowControl w:val="0"/>
              <w:jc w:val="center"/>
              <w:rPr>
                <w:b/>
                <w:sz w:val="20"/>
                <w:szCs w:val="20"/>
              </w:rPr>
            </w:pPr>
            <w:r w:rsidRPr="00531C74">
              <w:rPr>
                <w:b/>
                <w:sz w:val="20"/>
                <w:szCs w:val="20"/>
              </w:rPr>
              <w:t>$</w:t>
            </w:r>
            <w:r w:rsidR="00BC48CF">
              <w:rPr>
                <w:b/>
                <w:sz w:val="20"/>
                <w:szCs w:val="20"/>
              </w:rPr>
              <w:t>(000s)</w:t>
            </w:r>
          </w:p>
        </w:tc>
      </w:tr>
      <w:tr w:rsidR="0043094A" w:rsidRPr="004121FD" w14:paraId="73370F76" w14:textId="77777777" w:rsidTr="000D576B">
        <w:trPr>
          <w:trHeight w:val="288"/>
          <w:jc w:val="center"/>
        </w:trPr>
        <w:tc>
          <w:tcPr>
            <w:tcW w:w="1987" w:type="dxa"/>
            <w:shd w:val="clear" w:color="auto" w:fill="auto"/>
            <w:vAlign w:val="center"/>
          </w:tcPr>
          <w:p w14:paraId="59B3EA0C" w14:textId="77777777" w:rsidR="0043094A" w:rsidRPr="00531C74" w:rsidRDefault="0043094A" w:rsidP="000D576B">
            <w:pPr>
              <w:keepNext/>
              <w:widowControl w:val="0"/>
              <w:rPr>
                <w:sz w:val="20"/>
                <w:szCs w:val="20"/>
              </w:rPr>
            </w:pPr>
            <w:r w:rsidRPr="00531C74">
              <w:rPr>
                <w:sz w:val="20"/>
                <w:szCs w:val="20"/>
              </w:rPr>
              <w:t>2018</w:t>
            </w:r>
          </w:p>
        </w:tc>
        <w:tc>
          <w:tcPr>
            <w:tcW w:w="700" w:type="dxa"/>
            <w:shd w:val="clear" w:color="auto" w:fill="auto"/>
            <w:vAlign w:val="center"/>
          </w:tcPr>
          <w:p w14:paraId="6626C040" w14:textId="77777777" w:rsidR="0043094A" w:rsidRPr="00531C74" w:rsidRDefault="0043094A" w:rsidP="000D576B">
            <w:pPr>
              <w:keepNext/>
              <w:widowControl w:val="0"/>
              <w:jc w:val="center"/>
              <w:rPr>
                <w:sz w:val="20"/>
                <w:szCs w:val="20"/>
              </w:rPr>
            </w:pPr>
            <w:r w:rsidRPr="00531C74">
              <w:rPr>
                <w:sz w:val="20"/>
                <w:szCs w:val="20"/>
              </w:rPr>
              <w:t>0</w:t>
            </w:r>
          </w:p>
        </w:tc>
        <w:tc>
          <w:tcPr>
            <w:tcW w:w="894" w:type="dxa"/>
            <w:shd w:val="clear" w:color="auto" w:fill="auto"/>
            <w:vAlign w:val="center"/>
          </w:tcPr>
          <w:p w14:paraId="77AA34AF" w14:textId="77777777" w:rsidR="0043094A" w:rsidRPr="00531C74" w:rsidRDefault="0043094A" w:rsidP="000D576B">
            <w:pPr>
              <w:keepNext/>
              <w:widowControl w:val="0"/>
              <w:jc w:val="center"/>
              <w:rPr>
                <w:sz w:val="20"/>
                <w:szCs w:val="20"/>
              </w:rPr>
            </w:pPr>
            <w:r w:rsidRPr="00531C74">
              <w:rPr>
                <w:sz w:val="20"/>
                <w:szCs w:val="20"/>
              </w:rPr>
              <w:t>0</w:t>
            </w:r>
          </w:p>
        </w:tc>
        <w:tc>
          <w:tcPr>
            <w:tcW w:w="616" w:type="dxa"/>
            <w:shd w:val="clear" w:color="auto" w:fill="auto"/>
            <w:vAlign w:val="center"/>
          </w:tcPr>
          <w:p w14:paraId="57B40AD2" w14:textId="77777777" w:rsidR="0043094A" w:rsidRPr="00531C74" w:rsidRDefault="0043094A" w:rsidP="000D576B">
            <w:pPr>
              <w:keepNext/>
              <w:widowControl w:val="0"/>
              <w:jc w:val="center"/>
              <w:rPr>
                <w:sz w:val="20"/>
                <w:szCs w:val="20"/>
              </w:rPr>
            </w:pPr>
            <w:r w:rsidRPr="00531C74">
              <w:rPr>
                <w:sz w:val="20"/>
                <w:szCs w:val="20"/>
              </w:rPr>
              <w:t>0</w:t>
            </w:r>
          </w:p>
        </w:tc>
        <w:tc>
          <w:tcPr>
            <w:tcW w:w="914" w:type="dxa"/>
            <w:shd w:val="clear" w:color="auto" w:fill="auto"/>
            <w:vAlign w:val="center"/>
          </w:tcPr>
          <w:p w14:paraId="310FEDD6" w14:textId="77777777" w:rsidR="0043094A" w:rsidRPr="00531C74" w:rsidRDefault="0043094A" w:rsidP="000D576B">
            <w:pPr>
              <w:keepNext/>
              <w:widowControl w:val="0"/>
              <w:jc w:val="center"/>
              <w:rPr>
                <w:sz w:val="20"/>
                <w:szCs w:val="20"/>
              </w:rPr>
            </w:pPr>
            <w:r w:rsidRPr="00531C74">
              <w:rPr>
                <w:sz w:val="20"/>
                <w:szCs w:val="20"/>
              </w:rPr>
              <w:t>0</w:t>
            </w:r>
          </w:p>
        </w:tc>
        <w:tc>
          <w:tcPr>
            <w:tcW w:w="616" w:type="dxa"/>
            <w:shd w:val="clear" w:color="auto" w:fill="auto"/>
            <w:vAlign w:val="center"/>
          </w:tcPr>
          <w:p w14:paraId="4B23F286" w14:textId="77777777" w:rsidR="0043094A" w:rsidRPr="00531C74" w:rsidRDefault="0043094A" w:rsidP="000D576B">
            <w:pPr>
              <w:keepNext/>
              <w:widowControl w:val="0"/>
              <w:jc w:val="center"/>
              <w:rPr>
                <w:sz w:val="20"/>
                <w:szCs w:val="20"/>
              </w:rPr>
            </w:pPr>
            <w:r w:rsidRPr="00531C74">
              <w:rPr>
                <w:sz w:val="20"/>
                <w:szCs w:val="20"/>
              </w:rPr>
              <w:t>0</w:t>
            </w:r>
          </w:p>
        </w:tc>
        <w:tc>
          <w:tcPr>
            <w:tcW w:w="914" w:type="dxa"/>
            <w:shd w:val="clear" w:color="auto" w:fill="auto"/>
            <w:vAlign w:val="center"/>
          </w:tcPr>
          <w:p w14:paraId="3D1BD8F8" w14:textId="77777777" w:rsidR="0043094A" w:rsidRPr="00531C74" w:rsidRDefault="0043094A" w:rsidP="000D576B">
            <w:pPr>
              <w:keepNext/>
              <w:widowControl w:val="0"/>
              <w:jc w:val="center"/>
              <w:rPr>
                <w:sz w:val="20"/>
                <w:szCs w:val="20"/>
              </w:rPr>
            </w:pPr>
            <w:r w:rsidRPr="00531C74">
              <w:rPr>
                <w:sz w:val="20"/>
                <w:szCs w:val="20"/>
              </w:rPr>
              <w:t>0</w:t>
            </w:r>
          </w:p>
        </w:tc>
        <w:tc>
          <w:tcPr>
            <w:tcW w:w="671" w:type="dxa"/>
            <w:shd w:val="clear" w:color="auto" w:fill="auto"/>
            <w:vAlign w:val="center"/>
          </w:tcPr>
          <w:p w14:paraId="705F7736" w14:textId="77777777" w:rsidR="0043094A" w:rsidRPr="00531C74" w:rsidRDefault="0043094A" w:rsidP="000D576B">
            <w:pPr>
              <w:keepNext/>
              <w:widowControl w:val="0"/>
              <w:jc w:val="center"/>
              <w:rPr>
                <w:sz w:val="20"/>
                <w:szCs w:val="20"/>
              </w:rPr>
            </w:pPr>
            <w:r w:rsidRPr="00531C74">
              <w:rPr>
                <w:sz w:val="20"/>
                <w:szCs w:val="20"/>
              </w:rPr>
              <w:t>0</w:t>
            </w:r>
          </w:p>
        </w:tc>
        <w:tc>
          <w:tcPr>
            <w:tcW w:w="949" w:type="dxa"/>
            <w:shd w:val="clear" w:color="auto" w:fill="auto"/>
            <w:vAlign w:val="center"/>
          </w:tcPr>
          <w:p w14:paraId="196D39A5" w14:textId="77777777" w:rsidR="0043094A" w:rsidRPr="00531C74" w:rsidRDefault="0043094A" w:rsidP="000D576B">
            <w:pPr>
              <w:keepNext/>
              <w:widowControl w:val="0"/>
              <w:jc w:val="center"/>
              <w:rPr>
                <w:sz w:val="20"/>
                <w:szCs w:val="20"/>
              </w:rPr>
            </w:pPr>
            <w:r w:rsidRPr="00531C74">
              <w:rPr>
                <w:sz w:val="20"/>
                <w:szCs w:val="20"/>
              </w:rPr>
              <w:t>0</w:t>
            </w:r>
          </w:p>
        </w:tc>
        <w:tc>
          <w:tcPr>
            <w:tcW w:w="659" w:type="dxa"/>
            <w:shd w:val="clear" w:color="auto" w:fill="auto"/>
            <w:vAlign w:val="center"/>
          </w:tcPr>
          <w:p w14:paraId="0E493F7E" w14:textId="77777777" w:rsidR="0043094A" w:rsidRPr="00531C74" w:rsidRDefault="0043094A" w:rsidP="000D576B">
            <w:pPr>
              <w:keepNext/>
              <w:widowControl w:val="0"/>
              <w:jc w:val="center"/>
              <w:rPr>
                <w:b/>
                <w:sz w:val="20"/>
                <w:szCs w:val="20"/>
              </w:rPr>
            </w:pPr>
            <w:r w:rsidRPr="00531C74">
              <w:rPr>
                <w:b/>
                <w:sz w:val="20"/>
                <w:szCs w:val="20"/>
              </w:rPr>
              <w:t>0</w:t>
            </w:r>
          </w:p>
        </w:tc>
        <w:tc>
          <w:tcPr>
            <w:tcW w:w="900" w:type="dxa"/>
            <w:shd w:val="clear" w:color="auto" w:fill="auto"/>
            <w:vAlign w:val="center"/>
          </w:tcPr>
          <w:p w14:paraId="2B15825E" w14:textId="77777777" w:rsidR="0043094A" w:rsidRPr="00531C74" w:rsidRDefault="0043094A" w:rsidP="000D576B">
            <w:pPr>
              <w:keepNext/>
              <w:widowControl w:val="0"/>
              <w:jc w:val="center"/>
              <w:rPr>
                <w:b/>
                <w:sz w:val="20"/>
                <w:szCs w:val="20"/>
              </w:rPr>
            </w:pPr>
            <w:r w:rsidRPr="00531C74">
              <w:rPr>
                <w:b/>
                <w:sz w:val="20"/>
                <w:szCs w:val="20"/>
              </w:rPr>
              <w:t>0</w:t>
            </w:r>
          </w:p>
        </w:tc>
      </w:tr>
      <w:tr w:rsidR="0043094A" w:rsidRPr="004121FD" w14:paraId="60752E2E" w14:textId="77777777" w:rsidTr="000D576B">
        <w:trPr>
          <w:trHeight w:val="288"/>
          <w:jc w:val="center"/>
        </w:trPr>
        <w:tc>
          <w:tcPr>
            <w:tcW w:w="1987" w:type="dxa"/>
            <w:shd w:val="clear" w:color="auto" w:fill="auto"/>
            <w:vAlign w:val="center"/>
          </w:tcPr>
          <w:p w14:paraId="22590E5E" w14:textId="77777777" w:rsidR="0043094A" w:rsidRPr="00531C74" w:rsidRDefault="0043094A" w:rsidP="000D576B">
            <w:pPr>
              <w:keepNext/>
              <w:widowControl w:val="0"/>
              <w:rPr>
                <w:sz w:val="20"/>
                <w:szCs w:val="20"/>
              </w:rPr>
            </w:pPr>
            <w:r w:rsidRPr="00531C74">
              <w:rPr>
                <w:sz w:val="20"/>
                <w:szCs w:val="20"/>
              </w:rPr>
              <w:t>2019</w:t>
            </w:r>
          </w:p>
        </w:tc>
        <w:tc>
          <w:tcPr>
            <w:tcW w:w="700" w:type="dxa"/>
            <w:shd w:val="clear" w:color="auto" w:fill="auto"/>
            <w:vAlign w:val="center"/>
          </w:tcPr>
          <w:p w14:paraId="4D88E039" w14:textId="77777777" w:rsidR="0043094A" w:rsidRPr="00531C74" w:rsidRDefault="0043094A" w:rsidP="000D576B">
            <w:pPr>
              <w:keepNext/>
              <w:widowControl w:val="0"/>
              <w:jc w:val="center"/>
              <w:rPr>
                <w:sz w:val="20"/>
                <w:szCs w:val="20"/>
              </w:rPr>
            </w:pPr>
            <w:r w:rsidRPr="00531C74">
              <w:rPr>
                <w:sz w:val="20"/>
                <w:szCs w:val="20"/>
              </w:rPr>
              <w:t>0</w:t>
            </w:r>
          </w:p>
        </w:tc>
        <w:tc>
          <w:tcPr>
            <w:tcW w:w="894" w:type="dxa"/>
            <w:shd w:val="clear" w:color="auto" w:fill="auto"/>
            <w:vAlign w:val="center"/>
          </w:tcPr>
          <w:p w14:paraId="170ECDC4" w14:textId="77777777" w:rsidR="0043094A" w:rsidRPr="00531C74" w:rsidRDefault="0043094A" w:rsidP="000D576B">
            <w:pPr>
              <w:keepNext/>
              <w:widowControl w:val="0"/>
              <w:jc w:val="center"/>
              <w:rPr>
                <w:sz w:val="20"/>
                <w:szCs w:val="20"/>
              </w:rPr>
            </w:pPr>
            <w:r w:rsidRPr="00531C74">
              <w:rPr>
                <w:sz w:val="20"/>
                <w:szCs w:val="20"/>
              </w:rPr>
              <w:t>0</w:t>
            </w:r>
          </w:p>
        </w:tc>
        <w:tc>
          <w:tcPr>
            <w:tcW w:w="616" w:type="dxa"/>
            <w:shd w:val="clear" w:color="auto" w:fill="auto"/>
            <w:vAlign w:val="center"/>
          </w:tcPr>
          <w:p w14:paraId="2DF890A0" w14:textId="77777777" w:rsidR="0043094A" w:rsidRPr="00531C74" w:rsidRDefault="0043094A" w:rsidP="000D576B">
            <w:pPr>
              <w:keepNext/>
              <w:widowControl w:val="0"/>
              <w:jc w:val="center"/>
              <w:rPr>
                <w:sz w:val="20"/>
                <w:szCs w:val="20"/>
              </w:rPr>
            </w:pPr>
            <w:r w:rsidRPr="00531C74">
              <w:rPr>
                <w:sz w:val="20"/>
                <w:szCs w:val="20"/>
              </w:rPr>
              <w:t>0</w:t>
            </w:r>
          </w:p>
        </w:tc>
        <w:tc>
          <w:tcPr>
            <w:tcW w:w="914" w:type="dxa"/>
            <w:shd w:val="clear" w:color="auto" w:fill="auto"/>
            <w:vAlign w:val="center"/>
          </w:tcPr>
          <w:p w14:paraId="33D11B59" w14:textId="77777777" w:rsidR="0043094A" w:rsidRPr="00531C74" w:rsidRDefault="0043094A" w:rsidP="000D576B">
            <w:pPr>
              <w:keepNext/>
              <w:widowControl w:val="0"/>
              <w:jc w:val="center"/>
              <w:rPr>
                <w:sz w:val="20"/>
                <w:szCs w:val="20"/>
              </w:rPr>
            </w:pPr>
            <w:r w:rsidRPr="00531C74">
              <w:rPr>
                <w:sz w:val="20"/>
                <w:szCs w:val="20"/>
              </w:rPr>
              <w:t>0</w:t>
            </w:r>
          </w:p>
        </w:tc>
        <w:tc>
          <w:tcPr>
            <w:tcW w:w="616" w:type="dxa"/>
            <w:shd w:val="clear" w:color="auto" w:fill="auto"/>
            <w:vAlign w:val="center"/>
          </w:tcPr>
          <w:p w14:paraId="7812FB46" w14:textId="77777777" w:rsidR="0043094A" w:rsidRPr="00531C74" w:rsidRDefault="0043094A" w:rsidP="000D576B">
            <w:pPr>
              <w:keepNext/>
              <w:widowControl w:val="0"/>
              <w:jc w:val="center"/>
              <w:rPr>
                <w:sz w:val="20"/>
                <w:szCs w:val="20"/>
              </w:rPr>
            </w:pPr>
            <w:r w:rsidRPr="00531C74">
              <w:rPr>
                <w:sz w:val="20"/>
                <w:szCs w:val="20"/>
              </w:rPr>
              <w:t>0</w:t>
            </w:r>
          </w:p>
        </w:tc>
        <w:tc>
          <w:tcPr>
            <w:tcW w:w="914" w:type="dxa"/>
            <w:shd w:val="clear" w:color="auto" w:fill="auto"/>
            <w:vAlign w:val="center"/>
          </w:tcPr>
          <w:p w14:paraId="0B3E9362" w14:textId="77777777" w:rsidR="0043094A" w:rsidRPr="00531C74" w:rsidRDefault="0043094A" w:rsidP="000D576B">
            <w:pPr>
              <w:keepNext/>
              <w:widowControl w:val="0"/>
              <w:jc w:val="center"/>
              <w:rPr>
                <w:sz w:val="20"/>
                <w:szCs w:val="20"/>
              </w:rPr>
            </w:pPr>
            <w:r w:rsidRPr="00531C74">
              <w:rPr>
                <w:sz w:val="20"/>
                <w:szCs w:val="20"/>
              </w:rPr>
              <w:t>0</w:t>
            </w:r>
          </w:p>
        </w:tc>
        <w:tc>
          <w:tcPr>
            <w:tcW w:w="671" w:type="dxa"/>
            <w:shd w:val="clear" w:color="auto" w:fill="auto"/>
            <w:vAlign w:val="center"/>
          </w:tcPr>
          <w:p w14:paraId="7AA8E041" w14:textId="77777777" w:rsidR="0043094A" w:rsidRPr="00531C74" w:rsidRDefault="0043094A" w:rsidP="000D576B">
            <w:pPr>
              <w:keepNext/>
              <w:widowControl w:val="0"/>
              <w:jc w:val="center"/>
              <w:rPr>
                <w:sz w:val="20"/>
                <w:szCs w:val="20"/>
              </w:rPr>
            </w:pPr>
            <w:r w:rsidRPr="00531C74">
              <w:rPr>
                <w:sz w:val="20"/>
                <w:szCs w:val="20"/>
              </w:rPr>
              <w:t>0</w:t>
            </w:r>
          </w:p>
        </w:tc>
        <w:tc>
          <w:tcPr>
            <w:tcW w:w="949" w:type="dxa"/>
            <w:shd w:val="clear" w:color="auto" w:fill="auto"/>
            <w:vAlign w:val="center"/>
          </w:tcPr>
          <w:p w14:paraId="3BB00CA8" w14:textId="77777777" w:rsidR="0043094A" w:rsidRPr="00531C74" w:rsidRDefault="0043094A" w:rsidP="000D576B">
            <w:pPr>
              <w:keepNext/>
              <w:widowControl w:val="0"/>
              <w:jc w:val="center"/>
              <w:rPr>
                <w:sz w:val="20"/>
                <w:szCs w:val="20"/>
              </w:rPr>
            </w:pPr>
            <w:r w:rsidRPr="00531C74">
              <w:rPr>
                <w:sz w:val="20"/>
                <w:szCs w:val="20"/>
              </w:rPr>
              <w:t>0</w:t>
            </w:r>
          </w:p>
        </w:tc>
        <w:tc>
          <w:tcPr>
            <w:tcW w:w="659" w:type="dxa"/>
            <w:shd w:val="clear" w:color="auto" w:fill="auto"/>
            <w:vAlign w:val="center"/>
          </w:tcPr>
          <w:p w14:paraId="6BE26A5C" w14:textId="77777777" w:rsidR="0043094A" w:rsidRPr="00531C74" w:rsidRDefault="0043094A" w:rsidP="000D576B">
            <w:pPr>
              <w:keepNext/>
              <w:widowControl w:val="0"/>
              <w:jc w:val="center"/>
              <w:rPr>
                <w:b/>
                <w:sz w:val="20"/>
                <w:szCs w:val="20"/>
              </w:rPr>
            </w:pPr>
            <w:r w:rsidRPr="00531C74">
              <w:rPr>
                <w:b/>
                <w:sz w:val="20"/>
                <w:szCs w:val="20"/>
              </w:rPr>
              <w:t>0</w:t>
            </w:r>
          </w:p>
        </w:tc>
        <w:tc>
          <w:tcPr>
            <w:tcW w:w="900" w:type="dxa"/>
            <w:shd w:val="clear" w:color="auto" w:fill="auto"/>
            <w:vAlign w:val="center"/>
          </w:tcPr>
          <w:p w14:paraId="681749C0" w14:textId="77777777" w:rsidR="0043094A" w:rsidRPr="00531C74" w:rsidRDefault="0043094A" w:rsidP="000D576B">
            <w:pPr>
              <w:keepNext/>
              <w:widowControl w:val="0"/>
              <w:jc w:val="center"/>
              <w:rPr>
                <w:b/>
                <w:sz w:val="20"/>
                <w:szCs w:val="20"/>
              </w:rPr>
            </w:pPr>
            <w:r w:rsidRPr="00531C74">
              <w:rPr>
                <w:b/>
                <w:sz w:val="20"/>
                <w:szCs w:val="20"/>
              </w:rPr>
              <w:t>0</w:t>
            </w:r>
          </w:p>
        </w:tc>
      </w:tr>
      <w:tr w:rsidR="0043094A" w:rsidRPr="004121FD" w14:paraId="0F2E6BF7" w14:textId="77777777" w:rsidTr="000D576B">
        <w:trPr>
          <w:trHeight w:val="288"/>
          <w:jc w:val="center"/>
        </w:trPr>
        <w:tc>
          <w:tcPr>
            <w:tcW w:w="1987" w:type="dxa"/>
            <w:shd w:val="clear" w:color="auto" w:fill="auto"/>
            <w:vAlign w:val="center"/>
          </w:tcPr>
          <w:p w14:paraId="0A7975FA" w14:textId="77777777" w:rsidR="0043094A" w:rsidRPr="00531C74" w:rsidRDefault="0043094A" w:rsidP="000D576B">
            <w:pPr>
              <w:keepNext/>
              <w:widowControl w:val="0"/>
              <w:rPr>
                <w:sz w:val="20"/>
                <w:szCs w:val="20"/>
              </w:rPr>
            </w:pPr>
            <w:r w:rsidRPr="00531C74">
              <w:rPr>
                <w:sz w:val="20"/>
                <w:szCs w:val="20"/>
              </w:rPr>
              <w:t>YTD 2020</w:t>
            </w:r>
          </w:p>
        </w:tc>
        <w:tc>
          <w:tcPr>
            <w:tcW w:w="700" w:type="dxa"/>
            <w:shd w:val="clear" w:color="auto" w:fill="auto"/>
            <w:vAlign w:val="center"/>
          </w:tcPr>
          <w:p w14:paraId="70AFB46F" w14:textId="77777777" w:rsidR="0043094A" w:rsidRPr="00531C74" w:rsidRDefault="0043094A" w:rsidP="000D576B">
            <w:pPr>
              <w:keepNext/>
              <w:widowControl w:val="0"/>
              <w:jc w:val="center"/>
              <w:rPr>
                <w:sz w:val="20"/>
                <w:szCs w:val="20"/>
              </w:rPr>
            </w:pPr>
            <w:r w:rsidRPr="00531C74">
              <w:rPr>
                <w:sz w:val="20"/>
                <w:szCs w:val="20"/>
              </w:rPr>
              <w:t>0</w:t>
            </w:r>
          </w:p>
        </w:tc>
        <w:tc>
          <w:tcPr>
            <w:tcW w:w="894" w:type="dxa"/>
            <w:shd w:val="clear" w:color="auto" w:fill="auto"/>
            <w:vAlign w:val="center"/>
          </w:tcPr>
          <w:p w14:paraId="1FAA0481" w14:textId="77777777" w:rsidR="0043094A" w:rsidRPr="00531C74" w:rsidRDefault="0043094A" w:rsidP="000D576B">
            <w:pPr>
              <w:keepNext/>
              <w:widowControl w:val="0"/>
              <w:jc w:val="center"/>
              <w:rPr>
                <w:sz w:val="20"/>
                <w:szCs w:val="20"/>
              </w:rPr>
            </w:pPr>
            <w:r w:rsidRPr="00531C74">
              <w:rPr>
                <w:sz w:val="20"/>
                <w:szCs w:val="20"/>
              </w:rPr>
              <w:t>0</w:t>
            </w:r>
          </w:p>
        </w:tc>
        <w:tc>
          <w:tcPr>
            <w:tcW w:w="616" w:type="dxa"/>
            <w:shd w:val="clear" w:color="auto" w:fill="auto"/>
            <w:vAlign w:val="center"/>
          </w:tcPr>
          <w:p w14:paraId="587B9E35" w14:textId="77777777" w:rsidR="0043094A" w:rsidRPr="00531C74" w:rsidRDefault="0043094A" w:rsidP="000D576B">
            <w:pPr>
              <w:keepNext/>
              <w:widowControl w:val="0"/>
              <w:jc w:val="center"/>
              <w:rPr>
                <w:sz w:val="20"/>
                <w:szCs w:val="20"/>
              </w:rPr>
            </w:pPr>
            <w:r w:rsidRPr="00531C74">
              <w:rPr>
                <w:sz w:val="20"/>
                <w:szCs w:val="20"/>
              </w:rPr>
              <w:t>0</w:t>
            </w:r>
          </w:p>
        </w:tc>
        <w:tc>
          <w:tcPr>
            <w:tcW w:w="914" w:type="dxa"/>
            <w:shd w:val="clear" w:color="auto" w:fill="auto"/>
            <w:vAlign w:val="center"/>
          </w:tcPr>
          <w:p w14:paraId="19712CD3" w14:textId="77777777" w:rsidR="0043094A" w:rsidRPr="00531C74" w:rsidRDefault="0043094A" w:rsidP="000D576B">
            <w:pPr>
              <w:keepNext/>
              <w:widowControl w:val="0"/>
              <w:jc w:val="center"/>
              <w:rPr>
                <w:sz w:val="20"/>
                <w:szCs w:val="20"/>
              </w:rPr>
            </w:pPr>
            <w:r w:rsidRPr="00531C74">
              <w:rPr>
                <w:sz w:val="20"/>
                <w:szCs w:val="20"/>
              </w:rPr>
              <w:t>0</w:t>
            </w:r>
          </w:p>
        </w:tc>
        <w:tc>
          <w:tcPr>
            <w:tcW w:w="616" w:type="dxa"/>
            <w:shd w:val="clear" w:color="auto" w:fill="auto"/>
            <w:vAlign w:val="center"/>
          </w:tcPr>
          <w:p w14:paraId="25D15EC4" w14:textId="77777777" w:rsidR="0043094A" w:rsidRPr="00531C74" w:rsidRDefault="0043094A" w:rsidP="000D576B">
            <w:pPr>
              <w:keepNext/>
              <w:widowControl w:val="0"/>
              <w:jc w:val="center"/>
              <w:rPr>
                <w:sz w:val="20"/>
                <w:szCs w:val="20"/>
              </w:rPr>
            </w:pPr>
            <w:r w:rsidRPr="00531C74">
              <w:rPr>
                <w:sz w:val="20"/>
                <w:szCs w:val="20"/>
              </w:rPr>
              <w:t>0</w:t>
            </w:r>
          </w:p>
        </w:tc>
        <w:tc>
          <w:tcPr>
            <w:tcW w:w="914" w:type="dxa"/>
            <w:shd w:val="clear" w:color="auto" w:fill="auto"/>
            <w:vAlign w:val="center"/>
          </w:tcPr>
          <w:p w14:paraId="6C2D3CF3" w14:textId="77777777" w:rsidR="0043094A" w:rsidRPr="00531C74" w:rsidRDefault="0043094A" w:rsidP="000D576B">
            <w:pPr>
              <w:keepNext/>
              <w:widowControl w:val="0"/>
              <w:jc w:val="center"/>
              <w:rPr>
                <w:sz w:val="20"/>
                <w:szCs w:val="20"/>
              </w:rPr>
            </w:pPr>
            <w:r w:rsidRPr="00531C74">
              <w:rPr>
                <w:sz w:val="20"/>
                <w:szCs w:val="20"/>
              </w:rPr>
              <w:t>0</w:t>
            </w:r>
          </w:p>
        </w:tc>
        <w:tc>
          <w:tcPr>
            <w:tcW w:w="671" w:type="dxa"/>
            <w:shd w:val="clear" w:color="auto" w:fill="auto"/>
            <w:vAlign w:val="center"/>
          </w:tcPr>
          <w:p w14:paraId="1E881583" w14:textId="77777777" w:rsidR="0043094A" w:rsidRPr="00531C74" w:rsidRDefault="0043094A" w:rsidP="000D576B">
            <w:pPr>
              <w:keepNext/>
              <w:widowControl w:val="0"/>
              <w:jc w:val="center"/>
              <w:rPr>
                <w:sz w:val="20"/>
                <w:szCs w:val="20"/>
              </w:rPr>
            </w:pPr>
            <w:r w:rsidRPr="00531C74">
              <w:rPr>
                <w:sz w:val="20"/>
                <w:szCs w:val="20"/>
              </w:rPr>
              <w:t>0</w:t>
            </w:r>
          </w:p>
        </w:tc>
        <w:tc>
          <w:tcPr>
            <w:tcW w:w="949" w:type="dxa"/>
            <w:shd w:val="clear" w:color="auto" w:fill="auto"/>
            <w:vAlign w:val="center"/>
          </w:tcPr>
          <w:p w14:paraId="65AE1755" w14:textId="77777777" w:rsidR="0043094A" w:rsidRPr="00531C74" w:rsidRDefault="0043094A" w:rsidP="000D576B">
            <w:pPr>
              <w:keepNext/>
              <w:widowControl w:val="0"/>
              <w:jc w:val="center"/>
              <w:rPr>
                <w:sz w:val="20"/>
                <w:szCs w:val="20"/>
              </w:rPr>
            </w:pPr>
            <w:r w:rsidRPr="00531C74">
              <w:rPr>
                <w:sz w:val="20"/>
                <w:szCs w:val="20"/>
              </w:rPr>
              <w:t>0</w:t>
            </w:r>
          </w:p>
        </w:tc>
        <w:tc>
          <w:tcPr>
            <w:tcW w:w="659" w:type="dxa"/>
            <w:shd w:val="clear" w:color="auto" w:fill="auto"/>
            <w:vAlign w:val="center"/>
          </w:tcPr>
          <w:p w14:paraId="62C2026D" w14:textId="77777777" w:rsidR="0043094A" w:rsidRPr="00531C74" w:rsidRDefault="0043094A" w:rsidP="000D576B">
            <w:pPr>
              <w:keepNext/>
              <w:widowControl w:val="0"/>
              <w:jc w:val="center"/>
              <w:rPr>
                <w:b/>
                <w:sz w:val="20"/>
                <w:szCs w:val="20"/>
              </w:rPr>
            </w:pPr>
            <w:r w:rsidRPr="00531C74">
              <w:rPr>
                <w:b/>
                <w:sz w:val="20"/>
                <w:szCs w:val="20"/>
              </w:rPr>
              <w:t>0</w:t>
            </w:r>
          </w:p>
        </w:tc>
        <w:tc>
          <w:tcPr>
            <w:tcW w:w="900" w:type="dxa"/>
            <w:shd w:val="clear" w:color="auto" w:fill="auto"/>
            <w:vAlign w:val="center"/>
          </w:tcPr>
          <w:p w14:paraId="47E3F4AD" w14:textId="77777777" w:rsidR="0043094A" w:rsidRPr="00531C74" w:rsidRDefault="0043094A" w:rsidP="000D576B">
            <w:pPr>
              <w:keepNext/>
              <w:widowControl w:val="0"/>
              <w:jc w:val="center"/>
              <w:rPr>
                <w:b/>
                <w:sz w:val="20"/>
                <w:szCs w:val="20"/>
              </w:rPr>
            </w:pPr>
            <w:r w:rsidRPr="00531C74">
              <w:rPr>
                <w:b/>
                <w:sz w:val="20"/>
                <w:szCs w:val="20"/>
              </w:rPr>
              <w:t>0</w:t>
            </w:r>
          </w:p>
        </w:tc>
      </w:tr>
      <w:tr w:rsidR="0043094A" w:rsidRPr="004121FD" w14:paraId="4CE067A4" w14:textId="77777777" w:rsidTr="000D576B">
        <w:trPr>
          <w:trHeight w:val="288"/>
          <w:jc w:val="center"/>
        </w:trPr>
        <w:tc>
          <w:tcPr>
            <w:tcW w:w="1987" w:type="dxa"/>
            <w:shd w:val="clear" w:color="auto" w:fill="auto"/>
            <w:vAlign w:val="center"/>
          </w:tcPr>
          <w:p w14:paraId="02F0916A" w14:textId="77777777" w:rsidR="0043094A" w:rsidRPr="00531C74" w:rsidRDefault="0043094A" w:rsidP="000D576B">
            <w:pPr>
              <w:keepNext/>
              <w:widowControl w:val="0"/>
              <w:rPr>
                <w:b/>
                <w:sz w:val="20"/>
                <w:szCs w:val="20"/>
              </w:rPr>
            </w:pPr>
            <w:r w:rsidRPr="00531C74">
              <w:rPr>
                <w:b/>
                <w:sz w:val="20"/>
                <w:szCs w:val="20"/>
              </w:rPr>
              <w:t>Subtotal</w:t>
            </w:r>
          </w:p>
        </w:tc>
        <w:tc>
          <w:tcPr>
            <w:tcW w:w="700" w:type="dxa"/>
            <w:shd w:val="clear" w:color="auto" w:fill="auto"/>
            <w:vAlign w:val="center"/>
          </w:tcPr>
          <w:p w14:paraId="62074933" w14:textId="77777777" w:rsidR="0043094A" w:rsidRPr="00531C74" w:rsidRDefault="0043094A" w:rsidP="000D576B">
            <w:pPr>
              <w:keepNext/>
              <w:widowControl w:val="0"/>
              <w:jc w:val="center"/>
              <w:rPr>
                <w:b/>
                <w:sz w:val="20"/>
                <w:szCs w:val="20"/>
              </w:rPr>
            </w:pPr>
            <w:r w:rsidRPr="00531C74">
              <w:rPr>
                <w:b/>
                <w:sz w:val="20"/>
                <w:szCs w:val="20"/>
              </w:rPr>
              <w:t>0</w:t>
            </w:r>
          </w:p>
        </w:tc>
        <w:tc>
          <w:tcPr>
            <w:tcW w:w="894" w:type="dxa"/>
            <w:shd w:val="clear" w:color="auto" w:fill="auto"/>
            <w:vAlign w:val="center"/>
          </w:tcPr>
          <w:p w14:paraId="4C90247D" w14:textId="77777777" w:rsidR="0043094A" w:rsidRPr="00531C74" w:rsidRDefault="0043094A" w:rsidP="000D576B">
            <w:pPr>
              <w:keepNext/>
              <w:widowControl w:val="0"/>
              <w:jc w:val="center"/>
              <w:rPr>
                <w:b/>
                <w:sz w:val="20"/>
                <w:szCs w:val="20"/>
              </w:rPr>
            </w:pPr>
            <w:r w:rsidRPr="00531C74">
              <w:rPr>
                <w:b/>
                <w:sz w:val="20"/>
                <w:szCs w:val="20"/>
              </w:rPr>
              <w:t>0</w:t>
            </w:r>
          </w:p>
        </w:tc>
        <w:tc>
          <w:tcPr>
            <w:tcW w:w="616" w:type="dxa"/>
            <w:shd w:val="clear" w:color="auto" w:fill="auto"/>
            <w:vAlign w:val="center"/>
          </w:tcPr>
          <w:p w14:paraId="50D49CA9" w14:textId="77777777" w:rsidR="0043094A" w:rsidRPr="00531C74" w:rsidRDefault="0043094A" w:rsidP="000D576B">
            <w:pPr>
              <w:keepNext/>
              <w:widowControl w:val="0"/>
              <w:jc w:val="center"/>
              <w:rPr>
                <w:b/>
                <w:sz w:val="20"/>
                <w:szCs w:val="20"/>
              </w:rPr>
            </w:pPr>
            <w:r w:rsidRPr="00531C74">
              <w:rPr>
                <w:b/>
                <w:sz w:val="20"/>
                <w:szCs w:val="20"/>
              </w:rPr>
              <w:t>0</w:t>
            </w:r>
          </w:p>
        </w:tc>
        <w:tc>
          <w:tcPr>
            <w:tcW w:w="914" w:type="dxa"/>
            <w:shd w:val="clear" w:color="auto" w:fill="auto"/>
            <w:vAlign w:val="center"/>
          </w:tcPr>
          <w:p w14:paraId="078AE3A7" w14:textId="77777777" w:rsidR="0043094A" w:rsidRPr="00531C74" w:rsidRDefault="0043094A" w:rsidP="000D576B">
            <w:pPr>
              <w:keepNext/>
              <w:widowControl w:val="0"/>
              <w:jc w:val="center"/>
              <w:rPr>
                <w:b/>
                <w:sz w:val="20"/>
                <w:szCs w:val="20"/>
              </w:rPr>
            </w:pPr>
            <w:r w:rsidRPr="00531C74">
              <w:rPr>
                <w:b/>
                <w:sz w:val="20"/>
                <w:szCs w:val="20"/>
              </w:rPr>
              <w:t>0</w:t>
            </w:r>
          </w:p>
        </w:tc>
        <w:tc>
          <w:tcPr>
            <w:tcW w:w="616" w:type="dxa"/>
            <w:shd w:val="clear" w:color="auto" w:fill="auto"/>
            <w:vAlign w:val="center"/>
          </w:tcPr>
          <w:p w14:paraId="764C327D" w14:textId="77777777" w:rsidR="0043094A" w:rsidRPr="00531C74" w:rsidRDefault="0043094A" w:rsidP="000D576B">
            <w:pPr>
              <w:keepNext/>
              <w:widowControl w:val="0"/>
              <w:jc w:val="center"/>
              <w:rPr>
                <w:b/>
                <w:sz w:val="20"/>
                <w:szCs w:val="20"/>
              </w:rPr>
            </w:pPr>
            <w:r w:rsidRPr="00531C74">
              <w:rPr>
                <w:b/>
                <w:sz w:val="20"/>
                <w:szCs w:val="20"/>
              </w:rPr>
              <w:t>0</w:t>
            </w:r>
          </w:p>
        </w:tc>
        <w:tc>
          <w:tcPr>
            <w:tcW w:w="914" w:type="dxa"/>
            <w:shd w:val="clear" w:color="auto" w:fill="auto"/>
            <w:vAlign w:val="center"/>
          </w:tcPr>
          <w:p w14:paraId="6439E7C9" w14:textId="77777777" w:rsidR="0043094A" w:rsidRPr="00531C74" w:rsidRDefault="0043094A" w:rsidP="000D576B">
            <w:pPr>
              <w:keepNext/>
              <w:widowControl w:val="0"/>
              <w:jc w:val="center"/>
              <w:rPr>
                <w:b/>
                <w:sz w:val="20"/>
                <w:szCs w:val="20"/>
              </w:rPr>
            </w:pPr>
            <w:r w:rsidRPr="00531C74">
              <w:rPr>
                <w:b/>
                <w:sz w:val="20"/>
                <w:szCs w:val="20"/>
              </w:rPr>
              <w:t>0</w:t>
            </w:r>
          </w:p>
        </w:tc>
        <w:tc>
          <w:tcPr>
            <w:tcW w:w="671" w:type="dxa"/>
            <w:shd w:val="clear" w:color="auto" w:fill="auto"/>
            <w:vAlign w:val="center"/>
          </w:tcPr>
          <w:p w14:paraId="1C7DE5F6" w14:textId="77777777" w:rsidR="0043094A" w:rsidRPr="00531C74" w:rsidRDefault="0043094A" w:rsidP="000D576B">
            <w:pPr>
              <w:keepNext/>
              <w:widowControl w:val="0"/>
              <w:jc w:val="center"/>
              <w:rPr>
                <w:b/>
                <w:sz w:val="20"/>
                <w:szCs w:val="20"/>
              </w:rPr>
            </w:pPr>
            <w:r w:rsidRPr="00531C74">
              <w:rPr>
                <w:b/>
                <w:sz w:val="20"/>
                <w:szCs w:val="20"/>
              </w:rPr>
              <w:t>0</w:t>
            </w:r>
          </w:p>
        </w:tc>
        <w:tc>
          <w:tcPr>
            <w:tcW w:w="949" w:type="dxa"/>
            <w:shd w:val="clear" w:color="auto" w:fill="auto"/>
            <w:vAlign w:val="center"/>
          </w:tcPr>
          <w:p w14:paraId="24EBBCF9" w14:textId="77777777" w:rsidR="0043094A" w:rsidRPr="00531C74" w:rsidRDefault="0043094A" w:rsidP="000D576B">
            <w:pPr>
              <w:keepNext/>
              <w:widowControl w:val="0"/>
              <w:jc w:val="center"/>
              <w:rPr>
                <w:b/>
                <w:sz w:val="20"/>
                <w:szCs w:val="20"/>
              </w:rPr>
            </w:pPr>
            <w:r w:rsidRPr="00531C74">
              <w:rPr>
                <w:b/>
                <w:sz w:val="20"/>
                <w:szCs w:val="20"/>
              </w:rPr>
              <w:t>0</w:t>
            </w:r>
          </w:p>
        </w:tc>
        <w:tc>
          <w:tcPr>
            <w:tcW w:w="659" w:type="dxa"/>
            <w:shd w:val="clear" w:color="auto" w:fill="auto"/>
            <w:vAlign w:val="center"/>
          </w:tcPr>
          <w:p w14:paraId="02BD758D" w14:textId="77777777" w:rsidR="0043094A" w:rsidRPr="00531C74" w:rsidRDefault="0043094A" w:rsidP="000D576B">
            <w:pPr>
              <w:keepNext/>
              <w:widowControl w:val="0"/>
              <w:jc w:val="center"/>
              <w:rPr>
                <w:b/>
                <w:sz w:val="20"/>
                <w:szCs w:val="20"/>
              </w:rPr>
            </w:pPr>
            <w:r w:rsidRPr="00531C74">
              <w:rPr>
                <w:b/>
                <w:sz w:val="20"/>
                <w:szCs w:val="20"/>
              </w:rPr>
              <w:t>0</w:t>
            </w:r>
          </w:p>
        </w:tc>
        <w:tc>
          <w:tcPr>
            <w:tcW w:w="900" w:type="dxa"/>
            <w:shd w:val="clear" w:color="auto" w:fill="auto"/>
            <w:vAlign w:val="center"/>
          </w:tcPr>
          <w:p w14:paraId="39535493" w14:textId="77777777" w:rsidR="0043094A" w:rsidRPr="00531C74" w:rsidRDefault="0043094A" w:rsidP="000D576B">
            <w:pPr>
              <w:keepNext/>
              <w:widowControl w:val="0"/>
              <w:jc w:val="center"/>
              <w:rPr>
                <w:b/>
                <w:sz w:val="20"/>
                <w:szCs w:val="20"/>
              </w:rPr>
            </w:pPr>
            <w:r w:rsidRPr="00531C74">
              <w:rPr>
                <w:b/>
                <w:sz w:val="20"/>
                <w:szCs w:val="20"/>
              </w:rPr>
              <w:t>0</w:t>
            </w:r>
          </w:p>
        </w:tc>
      </w:tr>
      <w:tr w:rsidR="0043094A" w:rsidRPr="004121FD" w14:paraId="37ADE295" w14:textId="77777777" w:rsidTr="000D576B">
        <w:trPr>
          <w:trHeight w:val="288"/>
          <w:jc w:val="center"/>
        </w:trPr>
        <w:tc>
          <w:tcPr>
            <w:tcW w:w="1987" w:type="dxa"/>
            <w:shd w:val="clear" w:color="auto" w:fill="auto"/>
            <w:vAlign w:val="center"/>
          </w:tcPr>
          <w:p w14:paraId="57F4E00F" w14:textId="77777777" w:rsidR="0043094A" w:rsidRPr="00531C74" w:rsidRDefault="0043094A" w:rsidP="000D576B">
            <w:pPr>
              <w:keepNext/>
              <w:widowControl w:val="0"/>
              <w:rPr>
                <w:sz w:val="20"/>
                <w:szCs w:val="20"/>
              </w:rPr>
            </w:pPr>
            <w:r w:rsidRPr="00531C74">
              <w:rPr>
                <w:sz w:val="20"/>
                <w:szCs w:val="20"/>
              </w:rPr>
              <w:t>Qualified Grants &amp; Donations</w:t>
            </w:r>
          </w:p>
        </w:tc>
        <w:tc>
          <w:tcPr>
            <w:tcW w:w="700" w:type="dxa"/>
            <w:shd w:val="clear" w:color="auto" w:fill="auto"/>
            <w:vAlign w:val="center"/>
          </w:tcPr>
          <w:p w14:paraId="68448559" w14:textId="77777777" w:rsidR="0043094A" w:rsidRPr="00531C74" w:rsidRDefault="0043094A" w:rsidP="000D576B">
            <w:pPr>
              <w:keepNext/>
              <w:widowControl w:val="0"/>
              <w:jc w:val="center"/>
              <w:rPr>
                <w:sz w:val="20"/>
                <w:szCs w:val="20"/>
              </w:rPr>
            </w:pPr>
            <w:r w:rsidRPr="00531C74">
              <w:rPr>
                <w:sz w:val="20"/>
                <w:szCs w:val="20"/>
              </w:rPr>
              <w:t>2</w:t>
            </w:r>
          </w:p>
        </w:tc>
        <w:tc>
          <w:tcPr>
            <w:tcW w:w="894" w:type="dxa"/>
            <w:shd w:val="clear" w:color="auto" w:fill="auto"/>
            <w:vAlign w:val="center"/>
          </w:tcPr>
          <w:p w14:paraId="27BCA8BC" w14:textId="619DE938" w:rsidR="0043094A" w:rsidRPr="00531C74" w:rsidRDefault="00BC48CF" w:rsidP="000D576B">
            <w:pPr>
              <w:keepNext/>
              <w:widowControl w:val="0"/>
              <w:jc w:val="center"/>
              <w:rPr>
                <w:sz w:val="20"/>
                <w:szCs w:val="20"/>
              </w:rPr>
            </w:pPr>
            <w:r>
              <w:rPr>
                <w:sz w:val="20"/>
                <w:szCs w:val="20"/>
              </w:rPr>
              <w:t>1</w:t>
            </w:r>
          </w:p>
        </w:tc>
        <w:tc>
          <w:tcPr>
            <w:tcW w:w="616" w:type="dxa"/>
            <w:shd w:val="clear" w:color="auto" w:fill="auto"/>
            <w:vAlign w:val="center"/>
          </w:tcPr>
          <w:p w14:paraId="0BA20260" w14:textId="77777777" w:rsidR="0043094A" w:rsidRPr="00531C74" w:rsidRDefault="0043094A" w:rsidP="000D576B">
            <w:pPr>
              <w:keepNext/>
              <w:widowControl w:val="0"/>
              <w:jc w:val="center"/>
              <w:rPr>
                <w:sz w:val="20"/>
                <w:szCs w:val="20"/>
              </w:rPr>
            </w:pPr>
            <w:r w:rsidRPr="00531C74">
              <w:rPr>
                <w:sz w:val="20"/>
                <w:szCs w:val="20"/>
              </w:rPr>
              <w:t>40</w:t>
            </w:r>
          </w:p>
        </w:tc>
        <w:tc>
          <w:tcPr>
            <w:tcW w:w="914" w:type="dxa"/>
            <w:shd w:val="clear" w:color="auto" w:fill="auto"/>
            <w:vAlign w:val="center"/>
          </w:tcPr>
          <w:p w14:paraId="6141DAB0" w14:textId="3E64D2AC" w:rsidR="0043094A" w:rsidRPr="00531C74" w:rsidRDefault="00BC48CF" w:rsidP="000D576B">
            <w:pPr>
              <w:keepNext/>
              <w:widowControl w:val="0"/>
              <w:jc w:val="center"/>
              <w:rPr>
                <w:sz w:val="20"/>
                <w:szCs w:val="20"/>
              </w:rPr>
            </w:pPr>
            <w:r>
              <w:rPr>
                <w:sz w:val="20"/>
                <w:szCs w:val="20"/>
              </w:rPr>
              <w:t>36</w:t>
            </w:r>
          </w:p>
        </w:tc>
        <w:tc>
          <w:tcPr>
            <w:tcW w:w="616" w:type="dxa"/>
            <w:shd w:val="clear" w:color="auto" w:fill="auto"/>
            <w:vAlign w:val="center"/>
          </w:tcPr>
          <w:p w14:paraId="366F8C85" w14:textId="77777777" w:rsidR="0043094A" w:rsidRPr="00531C74" w:rsidRDefault="0043094A" w:rsidP="000D576B">
            <w:pPr>
              <w:keepNext/>
              <w:widowControl w:val="0"/>
              <w:jc w:val="center"/>
              <w:rPr>
                <w:sz w:val="20"/>
                <w:szCs w:val="20"/>
              </w:rPr>
            </w:pPr>
            <w:r w:rsidRPr="00531C74">
              <w:rPr>
                <w:sz w:val="20"/>
                <w:szCs w:val="20"/>
              </w:rPr>
              <w:t>0</w:t>
            </w:r>
          </w:p>
        </w:tc>
        <w:tc>
          <w:tcPr>
            <w:tcW w:w="914" w:type="dxa"/>
            <w:shd w:val="clear" w:color="auto" w:fill="auto"/>
            <w:vAlign w:val="center"/>
          </w:tcPr>
          <w:p w14:paraId="706EAA72" w14:textId="77777777" w:rsidR="0043094A" w:rsidRPr="00531C74" w:rsidRDefault="0043094A" w:rsidP="000D576B">
            <w:pPr>
              <w:keepNext/>
              <w:widowControl w:val="0"/>
              <w:jc w:val="center"/>
              <w:rPr>
                <w:sz w:val="20"/>
                <w:szCs w:val="20"/>
              </w:rPr>
            </w:pPr>
            <w:r w:rsidRPr="00531C74">
              <w:rPr>
                <w:sz w:val="20"/>
                <w:szCs w:val="20"/>
              </w:rPr>
              <w:t>0</w:t>
            </w:r>
          </w:p>
        </w:tc>
        <w:tc>
          <w:tcPr>
            <w:tcW w:w="671" w:type="dxa"/>
            <w:shd w:val="clear" w:color="auto" w:fill="auto"/>
            <w:vAlign w:val="center"/>
          </w:tcPr>
          <w:p w14:paraId="608DD957" w14:textId="77777777" w:rsidR="0043094A" w:rsidRPr="00531C74" w:rsidRDefault="0043094A" w:rsidP="000D576B">
            <w:pPr>
              <w:keepNext/>
              <w:widowControl w:val="0"/>
              <w:jc w:val="center"/>
              <w:rPr>
                <w:sz w:val="20"/>
                <w:szCs w:val="20"/>
              </w:rPr>
            </w:pPr>
            <w:r w:rsidRPr="00531C74">
              <w:rPr>
                <w:sz w:val="20"/>
                <w:szCs w:val="20"/>
              </w:rPr>
              <w:t>0</w:t>
            </w:r>
          </w:p>
        </w:tc>
        <w:tc>
          <w:tcPr>
            <w:tcW w:w="949" w:type="dxa"/>
            <w:shd w:val="clear" w:color="auto" w:fill="auto"/>
            <w:vAlign w:val="center"/>
          </w:tcPr>
          <w:p w14:paraId="3CD7B73F" w14:textId="77777777" w:rsidR="0043094A" w:rsidRPr="00531C74" w:rsidRDefault="0043094A" w:rsidP="000D576B">
            <w:pPr>
              <w:keepNext/>
              <w:widowControl w:val="0"/>
              <w:jc w:val="center"/>
              <w:rPr>
                <w:sz w:val="20"/>
                <w:szCs w:val="20"/>
              </w:rPr>
            </w:pPr>
            <w:r w:rsidRPr="00531C74">
              <w:rPr>
                <w:sz w:val="20"/>
                <w:szCs w:val="20"/>
              </w:rPr>
              <w:t>0</w:t>
            </w:r>
          </w:p>
        </w:tc>
        <w:tc>
          <w:tcPr>
            <w:tcW w:w="659" w:type="dxa"/>
            <w:shd w:val="clear" w:color="auto" w:fill="auto"/>
            <w:vAlign w:val="center"/>
          </w:tcPr>
          <w:p w14:paraId="3A9DC128" w14:textId="77777777" w:rsidR="0043094A" w:rsidRPr="00531C74" w:rsidRDefault="0043094A" w:rsidP="000D576B">
            <w:pPr>
              <w:keepNext/>
              <w:widowControl w:val="0"/>
              <w:jc w:val="center"/>
              <w:rPr>
                <w:b/>
                <w:sz w:val="20"/>
                <w:szCs w:val="20"/>
              </w:rPr>
            </w:pPr>
            <w:r w:rsidRPr="00531C74">
              <w:rPr>
                <w:b/>
                <w:sz w:val="20"/>
                <w:szCs w:val="20"/>
              </w:rPr>
              <w:t>42</w:t>
            </w:r>
          </w:p>
        </w:tc>
        <w:tc>
          <w:tcPr>
            <w:tcW w:w="900" w:type="dxa"/>
            <w:shd w:val="clear" w:color="auto" w:fill="auto"/>
            <w:vAlign w:val="center"/>
          </w:tcPr>
          <w:p w14:paraId="5107EA21" w14:textId="00E9CD10" w:rsidR="0043094A" w:rsidRPr="00531C74" w:rsidRDefault="00BC48CF" w:rsidP="000D576B">
            <w:pPr>
              <w:keepNext/>
              <w:widowControl w:val="0"/>
              <w:jc w:val="center"/>
              <w:rPr>
                <w:b/>
                <w:sz w:val="20"/>
                <w:szCs w:val="20"/>
              </w:rPr>
            </w:pPr>
            <w:r>
              <w:rPr>
                <w:b/>
                <w:sz w:val="20"/>
                <w:szCs w:val="20"/>
              </w:rPr>
              <w:t>37</w:t>
            </w:r>
          </w:p>
        </w:tc>
      </w:tr>
      <w:tr w:rsidR="0043094A" w:rsidRPr="004121FD" w14:paraId="1950A6B2" w14:textId="77777777" w:rsidTr="000D576B">
        <w:trPr>
          <w:trHeight w:val="288"/>
          <w:jc w:val="center"/>
        </w:trPr>
        <w:tc>
          <w:tcPr>
            <w:tcW w:w="1987" w:type="dxa"/>
            <w:shd w:val="clear" w:color="auto" w:fill="auto"/>
            <w:vAlign w:val="center"/>
          </w:tcPr>
          <w:p w14:paraId="24DA4BDE" w14:textId="77777777" w:rsidR="0043094A" w:rsidRPr="00531C74" w:rsidRDefault="0043094A" w:rsidP="000D576B">
            <w:pPr>
              <w:keepNext/>
              <w:widowControl w:val="0"/>
              <w:rPr>
                <w:b/>
                <w:sz w:val="20"/>
                <w:szCs w:val="20"/>
                <w:highlight w:val="green"/>
              </w:rPr>
            </w:pPr>
            <w:r w:rsidRPr="00531C74">
              <w:rPr>
                <w:b/>
                <w:sz w:val="20"/>
                <w:szCs w:val="20"/>
              </w:rPr>
              <w:t>Total</w:t>
            </w:r>
          </w:p>
        </w:tc>
        <w:tc>
          <w:tcPr>
            <w:tcW w:w="700" w:type="dxa"/>
            <w:shd w:val="clear" w:color="auto" w:fill="auto"/>
            <w:vAlign w:val="center"/>
          </w:tcPr>
          <w:p w14:paraId="659D400A" w14:textId="77777777" w:rsidR="0043094A" w:rsidRPr="00531C74" w:rsidRDefault="0043094A" w:rsidP="000D576B">
            <w:pPr>
              <w:keepNext/>
              <w:widowControl w:val="0"/>
              <w:jc w:val="center"/>
              <w:rPr>
                <w:b/>
                <w:sz w:val="20"/>
                <w:szCs w:val="20"/>
              </w:rPr>
            </w:pPr>
            <w:r w:rsidRPr="00531C74">
              <w:rPr>
                <w:b/>
                <w:sz w:val="20"/>
                <w:szCs w:val="20"/>
              </w:rPr>
              <w:t>2</w:t>
            </w:r>
          </w:p>
        </w:tc>
        <w:tc>
          <w:tcPr>
            <w:tcW w:w="894" w:type="dxa"/>
            <w:shd w:val="clear" w:color="auto" w:fill="auto"/>
            <w:vAlign w:val="center"/>
          </w:tcPr>
          <w:p w14:paraId="5CAEA8E8" w14:textId="17F6F0C0" w:rsidR="0043094A" w:rsidRPr="00531C74" w:rsidRDefault="00BC48CF" w:rsidP="000D576B">
            <w:pPr>
              <w:keepNext/>
              <w:widowControl w:val="0"/>
              <w:jc w:val="center"/>
              <w:rPr>
                <w:b/>
                <w:sz w:val="20"/>
                <w:szCs w:val="20"/>
              </w:rPr>
            </w:pPr>
            <w:r>
              <w:rPr>
                <w:b/>
                <w:sz w:val="20"/>
                <w:szCs w:val="20"/>
              </w:rPr>
              <w:t>1</w:t>
            </w:r>
          </w:p>
        </w:tc>
        <w:tc>
          <w:tcPr>
            <w:tcW w:w="616" w:type="dxa"/>
            <w:shd w:val="clear" w:color="auto" w:fill="auto"/>
            <w:vAlign w:val="center"/>
          </w:tcPr>
          <w:p w14:paraId="3392ADFD" w14:textId="77777777" w:rsidR="0043094A" w:rsidRPr="00531C74" w:rsidRDefault="0043094A" w:rsidP="000D576B">
            <w:pPr>
              <w:keepNext/>
              <w:widowControl w:val="0"/>
              <w:jc w:val="center"/>
              <w:rPr>
                <w:b/>
                <w:sz w:val="20"/>
                <w:szCs w:val="20"/>
              </w:rPr>
            </w:pPr>
            <w:r w:rsidRPr="00531C74">
              <w:rPr>
                <w:b/>
                <w:sz w:val="20"/>
                <w:szCs w:val="20"/>
              </w:rPr>
              <w:t>40</w:t>
            </w:r>
          </w:p>
        </w:tc>
        <w:tc>
          <w:tcPr>
            <w:tcW w:w="914" w:type="dxa"/>
            <w:shd w:val="clear" w:color="auto" w:fill="auto"/>
            <w:vAlign w:val="center"/>
          </w:tcPr>
          <w:p w14:paraId="1D29975B" w14:textId="39BE65C6" w:rsidR="0043094A" w:rsidRPr="00531C74" w:rsidRDefault="00BC48CF" w:rsidP="000D576B">
            <w:pPr>
              <w:keepNext/>
              <w:widowControl w:val="0"/>
              <w:jc w:val="center"/>
              <w:rPr>
                <w:b/>
                <w:sz w:val="20"/>
                <w:szCs w:val="20"/>
              </w:rPr>
            </w:pPr>
            <w:r>
              <w:rPr>
                <w:b/>
                <w:sz w:val="20"/>
                <w:szCs w:val="20"/>
              </w:rPr>
              <w:t>36</w:t>
            </w:r>
          </w:p>
        </w:tc>
        <w:tc>
          <w:tcPr>
            <w:tcW w:w="616" w:type="dxa"/>
            <w:shd w:val="clear" w:color="auto" w:fill="auto"/>
            <w:vAlign w:val="center"/>
          </w:tcPr>
          <w:p w14:paraId="5FA04CBB" w14:textId="77777777" w:rsidR="0043094A" w:rsidRPr="00531C74" w:rsidRDefault="0043094A" w:rsidP="000D576B">
            <w:pPr>
              <w:keepNext/>
              <w:widowControl w:val="0"/>
              <w:jc w:val="center"/>
              <w:rPr>
                <w:b/>
                <w:sz w:val="20"/>
                <w:szCs w:val="20"/>
              </w:rPr>
            </w:pPr>
            <w:r w:rsidRPr="00531C74">
              <w:rPr>
                <w:b/>
                <w:sz w:val="20"/>
                <w:szCs w:val="20"/>
              </w:rPr>
              <w:t>0</w:t>
            </w:r>
          </w:p>
        </w:tc>
        <w:tc>
          <w:tcPr>
            <w:tcW w:w="914" w:type="dxa"/>
            <w:shd w:val="clear" w:color="auto" w:fill="auto"/>
            <w:vAlign w:val="center"/>
          </w:tcPr>
          <w:p w14:paraId="23AC9780" w14:textId="77777777" w:rsidR="0043094A" w:rsidRPr="00531C74" w:rsidRDefault="0043094A" w:rsidP="000D576B">
            <w:pPr>
              <w:keepNext/>
              <w:widowControl w:val="0"/>
              <w:jc w:val="center"/>
              <w:rPr>
                <w:b/>
                <w:sz w:val="20"/>
                <w:szCs w:val="20"/>
              </w:rPr>
            </w:pPr>
            <w:r w:rsidRPr="00531C74">
              <w:rPr>
                <w:b/>
                <w:sz w:val="20"/>
                <w:szCs w:val="20"/>
              </w:rPr>
              <w:t>0</w:t>
            </w:r>
          </w:p>
        </w:tc>
        <w:tc>
          <w:tcPr>
            <w:tcW w:w="671" w:type="dxa"/>
            <w:shd w:val="clear" w:color="auto" w:fill="auto"/>
            <w:vAlign w:val="center"/>
          </w:tcPr>
          <w:p w14:paraId="2F3CBCC1" w14:textId="77777777" w:rsidR="0043094A" w:rsidRPr="00531C74" w:rsidRDefault="0043094A" w:rsidP="000D576B">
            <w:pPr>
              <w:keepNext/>
              <w:widowControl w:val="0"/>
              <w:jc w:val="center"/>
              <w:rPr>
                <w:b/>
                <w:sz w:val="20"/>
                <w:szCs w:val="20"/>
              </w:rPr>
            </w:pPr>
            <w:r w:rsidRPr="00531C74">
              <w:rPr>
                <w:b/>
                <w:sz w:val="20"/>
                <w:szCs w:val="20"/>
              </w:rPr>
              <w:t>0</w:t>
            </w:r>
          </w:p>
        </w:tc>
        <w:tc>
          <w:tcPr>
            <w:tcW w:w="949" w:type="dxa"/>
            <w:shd w:val="clear" w:color="auto" w:fill="auto"/>
            <w:vAlign w:val="center"/>
          </w:tcPr>
          <w:p w14:paraId="4821F4E1" w14:textId="77777777" w:rsidR="0043094A" w:rsidRPr="00531C74" w:rsidRDefault="0043094A" w:rsidP="000D576B">
            <w:pPr>
              <w:keepNext/>
              <w:widowControl w:val="0"/>
              <w:jc w:val="center"/>
              <w:rPr>
                <w:b/>
                <w:sz w:val="20"/>
                <w:szCs w:val="20"/>
              </w:rPr>
            </w:pPr>
            <w:r w:rsidRPr="00531C74">
              <w:rPr>
                <w:b/>
                <w:sz w:val="20"/>
                <w:szCs w:val="20"/>
              </w:rPr>
              <w:t>0</w:t>
            </w:r>
          </w:p>
        </w:tc>
        <w:tc>
          <w:tcPr>
            <w:tcW w:w="659" w:type="dxa"/>
            <w:shd w:val="clear" w:color="auto" w:fill="auto"/>
            <w:vAlign w:val="center"/>
          </w:tcPr>
          <w:p w14:paraId="59BC417D" w14:textId="77777777" w:rsidR="0043094A" w:rsidRPr="00531C74" w:rsidRDefault="0043094A" w:rsidP="000D576B">
            <w:pPr>
              <w:keepNext/>
              <w:widowControl w:val="0"/>
              <w:jc w:val="center"/>
              <w:rPr>
                <w:b/>
                <w:sz w:val="20"/>
                <w:szCs w:val="20"/>
              </w:rPr>
            </w:pPr>
            <w:r w:rsidRPr="00531C74">
              <w:rPr>
                <w:b/>
                <w:sz w:val="20"/>
                <w:szCs w:val="20"/>
              </w:rPr>
              <w:t>42</w:t>
            </w:r>
          </w:p>
        </w:tc>
        <w:tc>
          <w:tcPr>
            <w:tcW w:w="900" w:type="dxa"/>
            <w:shd w:val="clear" w:color="auto" w:fill="auto"/>
            <w:vAlign w:val="center"/>
          </w:tcPr>
          <w:p w14:paraId="26294BE0" w14:textId="6046B576" w:rsidR="0043094A" w:rsidRPr="00531C74" w:rsidRDefault="00BC48CF" w:rsidP="000D576B">
            <w:pPr>
              <w:keepNext/>
              <w:widowControl w:val="0"/>
              <w:jc w:val="center"/>
              <w:rPr>
                <w:b/>
                <w:sz w:val="20"/>
                <w:szCs w:val="20"/>
              </w:rPr>
            </w:pPr>
            <w:r>
              <w:rPr>
                <w:b/>
                <w:sz w:val="20"/>
                <w:szCs w:val="20"/>
              </w:rPr>
              <w:t>37</w:t>
            </w:r>
          </w:p>
        </w:tc>
      </w:tr>
      <w:tr w:rsidR="0043094A" w:rsidRPr="004121FD" w14:paraId="16F05C33" w14:textId="77777777" w:rsidTr="000D576B">
        <w:trPr>
          <w:trHeight w:val="288"/>
          <w:jc w:val="center"/>
        </w:trPr>
        <w:tc>
          <w:tcPr>
            <w:tcW w:w="9820" w:type="dxa"/>
            <w:gridSpan w:val="11"/>
            <w:shd w:val="clear" w:color="auto" w:fill="auto"/>
            <w:vAlign w:val="center"/>
          </w:tcPr>
          <w:p w14:paraId="4617B7BB" w14:textId="6C368439" w:rsidR="0043094A" w:rsidRPr="004121FD" w:rsidRDefault="0043094A" w:rsidP="00352D5A">
            <w:pPr>
              <w:keepNext/>
              <w:widowControl w:val="0"/>
              <w:rPr>
                <w:b/>
                <w:sz w:val="20"/>
                <w:szCs w:val="20"/>
              </w:rPr>
            </w:pPr>
            <w:r w:rsidRPr="002F18E6">
              <w:rPr>
                <w:i/>
                <w:sz w:val="16"/>
                <w:szCs w:val="20"/>
              </w:rPr>
              <w:t xml:space="preserve">Source:  Bank </w:t>
            </w:r>
            <w:r w:rsidR="00352D5A">
              <w:rPr>
                <w:i/>
                <w:sz w:val="16"/>
                <w:szCs w:val="20"/>
              </w:rPr>
              <w:t xml:space="preserve">Data </w:t>
            </w:r>
          </w:p>
        </w:tc>
      </w:tr>
    </w:tbl>
    <w:p w14:paraId="1E0DCD26" w14:textId="77777777" w:rsidR="0043094A" w:rsidRDefault="0043094A" w:rsidP="0043094A"/>
    <w:p w14:paraId="1283DC43" w14:textId="53199D50" w:rsidR="0043094A" w:rsidRDefault="0043094A" w:rsidP="00352D5A">
      <w:r>
        <w:t xml:space="preserve">The following are examples of organization </w:t>
      </w:r>
      <w:r w:rsidR="00531C74">
        <w:t xml:space="preserve">to which </w:t>
      </w:r>
      <w:r>
        <w:t xml:space="preserve">the </w:t>
      </w:r>
      <w:r w:rsidR="00531C74">
        <w:t>bank made qualified donations</w:t>
      </w:r>
      <w:r>
        <w:t xml:space="preserve">. </w:t>
      </w:r>
    </w:p>
    <w:p w14:paraId="58C4105B" w14:textId="510D1381" w:rsidR="0043094A" w:rsidRPr="0017658A" w:rsidRDefault="0043094A" w:rsidP="00352D5A">
      <w:pPr>
        <w:rPr>
          <w:b/>
          <w:i/>
        </w:rPr>
      </w:pPr>
    </w:p>
    <w:p w14:paraId="1EC74375" w14:textId="26462B3D" w:rsidR="00B62408" w:rsidRPr="0017658A" w:rsidRDefault="0043094A" w:rsidP="00ED5F31">
      <w:pPr>
        <w:pStyle w:val="ListParagraph"/>
        <w:widowControl/>
        <w:numPr>
          <w:ilvl w:val="0"/>
          <w:numId w:val="37"/>
        </w:numPr>
        <w:spacing w:after="160"/>
        <w:contextualSpacing/>
        <w:rPr>
          <w:rFonts w:ascii="Times New Roman" w:hAnsi="Times New Roman" w:cs="Times New Roman"/>
          <w:b/>
          <w:i/>
        </w:rPr>
      </w:pPr>
      <w:r w:rsidRPr="00531C74">
        <w:rPr>
          <w:rFonts w:ascii="Times New Roman" w:hAnsi="Times New Roman" w:cs="Times New Roman"/>
          <w:b/>
        </w:rPr>
        <w:t>Lawrence Community Works</w:t>
      </w:r>
      <w:r>
        <w:rPr>
          <w:rFonts w:ascii="Times New Roman" w:hAnsi="Times New Roman" w:cs="Times New Roman"/>
        </w:rPr>
        <w:t xml:space="preserve"> – Lawrence Community Works provides community services to low- and moderate-income people through job training sessions, homebuyer seminars</w:t>
      </w:r>
      <w:r w:rsidR="0044396E">
        <w:rPr>
          <w:rFonts w:ascii="Times New Roman" w:hAnsi="Times New Roman" w:cs="Times New Roman"/>
        </w:rPr>
        <w:t>, landlord</w:t>
      </w:r>
      <w:r>
        <w:rPr>
          <w:rFonts w:ascii="Times New Roman" w:hAnsi="Times New Roman" w:cs="Times New Roman"/>
        </w:rPr>
        <w:t xml:space="preserve"> training seminars, and financial education.  The organization also builds and renovates affordable housing in the assessment area.</w:t>
      </w:r>
    </w:p>
    <w:p w14:paraId="252AAAC0" w14:textId="77777777" w:rsidR="0017658A" w:rsidRPr="0017658A" w:rsidRDefault="0017658A" w:rsidP="00ED5F31">
      <w:pPr>
        <w:pStyle w:val="ListParagraph"/>
        <w:widowControl/>
        <w:spacing w:after="160"/>
        <w:contextualSpacing/>
        <w:rPr>
          <w:rFonts w:ascii="Times New Roman" w:hAnsi="Times New Roman" w:cs="Times New Roman"/>
          <w:b/>
          <w:i/>
        </w:rPr>
      </w:pPr>
    </w:p>
    <w:p w14:paraId="51B26463" w14:textId="58068B7B" w:rsidR="0043094A" w:rsidRPr="009A6736" w:rsidRDefault="0043094A" w:rsidP="00ED5F31">
      <w:pPr>
        <w:pStyle w:val="ListParagraph"/>
        <w:widowControl/>
        <w:numPr>
          <w:ilvl w:val="0"/>
          <w:numId w:val="37"/>
        </w:numPr>
        <w:contextualSpacing/>
        <w:rPr>
          <w:rFonts w:ascii="Times New Roman" w:hAnsi="Times New Roman" w:cs="Times New Roman"/>
          <w:b/>
          <w:i/>
        </w:rPr>
      </w:pPr>
      <w:r w:rsidRPr="00531C74">
        <w:rPr>
          <w:rFonts w:ascii="Times New Roman" w:hAnsi="Times New Roman" w:cs="Times New Roman"/>
          <w:b/>
        </w:rPr>
        <w:t>Mission of Deeds –</w:t>
      </w:r>
      <w:r w:rsidRPr="009A6736">
        <w:rPr>
          <w:rFonts w:ascii="Times New Roman" w:hAnsi="Times New Roman" w:cs="Times New Roman"/>
        </w:rPr>
        <w:t xml:space="preserve"> Mission of Deeds provides beds, furniture, and household goods, without charge, to formerly homeless and </w:t>
      </w:r>
      <w:r>
        <w:rPr>
          <w:rFonts w:ascii="Times New Roman" w:hAnsi="Times New Roman" w:cs="Times New Roman"/>
        </w:rPr>
        <w:t xml:space="preserve">low- and moderate-income individuals throughout Middlesex and Essex Counties and some of Suffolk County.  </w:t>
      </w:r>
    </w:p>
    <w:p w14:paraId="43C2133D" w14:textId="77777777" w:rsidR="0043094A" w:rsidRPr="009A6736" w:rsidRDefault="0043094A" w:rsidP="00352D5A">
      <w:pPr>
        <w:pStyle w:val="ListParagraph"/>
        <w:rPr>
          <w:rFonts w:ascii="Times New Roman" w:hAnsi="Times New Roman" w:cs="Times New Roman"/>
          <w:b/>
          <w:i/>
        </w:rPr>
      </w:pPr>
    </w:p>
    <w:p w14:paraId="0768ECDF" w14:textId="27E26838" w:rsidR="0043094A" w:rsidRPr="009A6736" w:rsidRDefault="0043094A" w:rsidP="00ED5F31">
      <w:pPr>
        <w:pStyle w:val="ListParagraph"/>
        <w:widowControl/>
        <w:numPr>
          <w:ilvl w:val="0"/>
          <w:numId w:val="37"/>
        </w:numPr>
        <w:contextualSpacing/>
        <w:rPr>
          <w:rFonts w:ascii="Times New Roman" w:hAnsi="Times New Roman" w:cs="Times New Roman"/>
          <w:b/>
          <w:i/>
        </w:rPr>
      </w:pPr>
      <w:r w:rsidRPr="00531C74">
        <w:rPr>
          <w:rFonts w:ascii="Times New Roman" w:hAnsi="Times New Roman" w:cs="Times New Roman"/>
          <w:b/>
        </w:rPr>
        <w:t xml:space="preserve">Lazarus House </w:t>
      </w:r>
      <w:r w:rsidR="00531C74" w:rsidRPr="00531C74">
        <w:rPr>
          <w:rFonts w:ascii="Times New Roman" w:hAnsi="Times New Roman" w:cs="Times New Roman"/>
          <w:b/>
        </w:rPr>
        <w:t>Inc.</w:t>
      </w:r>
      <w:r w:rsidR="00531C74">
        <w:rPr>
          <w:rFonts w:ascii="Times New Roman" w:hAnsi="Times New Roman" w:cs="Times New Roman"/>
        </w:rPr>
        <w:t xml:space="preserve"> </w:t>
      </w:r>
      <w:r>
        <w:rPr>
          <w:rFonts w:ascii="Times New Roman" w:hAnsi="Times New Roman" w:cs="Times New Roman"/>
        </w:rPr>
        <w:t xml:space="preserve">– Lazarus House works to end poverty by providing community services to </w:t>
      </w:r>
      <w:r w:rsidRPr="009A6736">
        <w:rPr>
          <w:rFonts w:ascii="Times New Roman" w:hAnsi="Times New Roman" w:cs="Times New Roman"/>
        </w:rPr>
        <w:t>poor, underserved, and homel</w:t>
      </w:r>
      <w:r>
        <w:rPr>
          <w:rFonts w:ascii="Times New Roman" w:hAnsi="Times New Roman" w:cs="Times New Roman"/>
        </w:rPr>
        <w:t xml:space="preserve">ess individuals and families in Lawrence.  Services include food, </w:t>
      </w:r>
      <w:r w:rsidRPr="009A6736">
        <w:rPr>
          <w:rFonts w:ascii="Times New Roman" w:hAnsi="Times New Roman" w:cs="Times New Roman"/>
        </w:rPr>
        <w:t>clothing, emergency shelter, job training, and outreach programs.</w:t>
      </w:r>
      <w:r>
        <w:rPr>
          <w:rFonts w:ascii="Times New Roman" w:hAnsi="Times New Roman" w:cs="Times New Roman"/>
        </w:rPr>
        <w:t xml:space="preserve"> </w:t>
      </w:r>
    </w:p>
    <w:p w14:paraId="5F53D517" w14:textId="77777777" w:rsidR="0043094A" w:rsidRPr="009A6736" w:rsidRDefault="0043094A" w:rsidP="00352D5A">
      <w:pPr>
        <w:rPr>
          <w:b/>
          <w:i/>
        </w:rPr>
      </w:pPr>
    </w:p>
    <w:p w14:paraId="2E22C865" w14:textId="03458B47" w:rsidR="0043094A" w:rsidRDefault="0043094A" w:rsidP="00352D5A">
      <w:pPr>
        <w:rPr>
          <w:b/>
          <w:u w:val="single"/>
        </w:rPr>
      </w:pPr>
      <w:r>
        <w:rPr>
          <w:b/>
          <w:u w:val="single"/>
        </w:rPr>
        <w:t>Community Development Services</w:t>
      </w:r>
    </w:p>
    <w:p w14:paraId="1DFCD9F1" w14:textId="77777777" w:rsidR="00531C74" w:rsidRDefault="00531C74" w:rsidP="007521E9">
      <w:pPr>
        <w:rPr>
          <w:b/>
          <w:u w:val="single"/>
        </w:rPr>
      </w:pPr>
    </w:p>
    <w:p w14:paraId="076E99E5" w14:textId="69E92CA3" w:rsidR="0043094A" w:rsidRDefault="0043094A" w:rsidP="007521E9">
      <w:r>
        <w:t>Bank employees and trustees provided 2</w:t>
      </w:r>
      <w:r w:rsidR="00B443FB">
        <w:t>6</w:t>
      </w:r>
      <w:r>
        <w:t xml:space="preserve"> instances of financial or technical assistance to 13 different community development organizations in the assessment area.  </w:t>
      </w:r>
      <w:r w:rsidR="00531C74">
        <w:t xml:space="preserve">This level of activity is similar to the previous evaluation.  </w:t>
      </w:r>
      <w:r>
        <w:t xml:space="preserve">The following table illustrates community development services by year and purpose. </w:t>
      </w:r>
    </w:p>
    <w:p w14:paraId="7016F953" w14:textId="77777777" w:rsidR="00C76E10" w:rsidRDefault="00C76E10" w:rsidP="007521E9"/>
    <w:tbl>
      <w:tblPr>
        <w:tblW w:w="91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70"/>
        <w:gridCol w:w="1170"/>
        <w:gridCol w:w="1260"/>
        <w:gridCol w:w="1350"/>
        <w:gridCol w:w="1260"/>
        <w:gridCol w:w="1170"/>
      </w:tblGrid>
      <w:tr w:rsidR="0043094A" w:rsidRPr="008818B2" w14:paraId="1995672F" w14:textId="77777777" w:rsidTr="000D576B">
        <w:trPr>
          <w:trHeight w:val="360"/>
          <w:jc w:val="center"/>
        </w:trPr>
        <w:tc>
          <w:tcPr>
            <w:tcW w:w="9180" w:type="dxa"/>
            <w:gridSpan w:val="6"/>
            <w:shd w:val="clear" w:color="auto" w:fill="auto"/>
            <w:vAlign w:val="center"/>
          </w:tcPr>
          <w:p w14:paraId="39129971" w14:textId="77777777" w:rsidR="0043094A" w:rsidRPr="008818B2" w:rsidRDefault="0043094A" w:rsidP="00D8038F">
            <w:pPr>
              <w:keepNext/>
              <w:widowControl w:val="0"/>
              <w:jc w:val="center"/>
              <w:rPr>
                <w:b/>
                <w:sz w:val="20"/>
                <w:szCs w:val="20"/>
              </w:rPr>
            </w:pPr>
            <w:r w:rsidRPr="008818B2">
              <w:rPr>
                <w:b/>
                <w:color w:val="000000"/>
                <w:sz w:val="20"/>
                <w:szCs w:val="20"/>
              </w:rPr>
              <w:t>Community Development Services</w:t>
            </w:r>
          </w:p>
        </w:tc>
      </w:tr>
      <w:tr w:rsidR="0043094A" w:rsidRPr="008818B2" w14:paraId="5CC1FF93" w14:textId="77777777" w:rsidTr="000D576B">
        <w:trPr>
          <w:trHeight w:val="288"/>
          <w:jc w:val="center"/>
        </w:trPr>
        <w:tc>
          <w:tcPr>
            <w:tcW w:w="2970" w:type="dxa"/>
            <w:vMerge w:val="restart"/>
            <w:shd w:val="clear" w:color="auto" w:fill="auto"/>
            <w:vAlign w:val="center"/>
          </w:tcPr>
          <w:p w14:paraId="13A43577" w14:textId="77777777" w:rsidR="0043094A" w:rsidRPr="008818B2" w:rsidRDefault="0043094A" w:rsidP="00352D5A">
            <w:pPr>
              <w:keepNext/>
              <w:widowControl w:val="0"/>
              <w:rPr>
                <w:b/>
                <w:sz w:val="20"/>
                <w:szCs w:val="20"/>
              </w:rPr>
            </w:pPr>
            <w:r w:rsidRPr="008818B2">
              <w:rPr>
                <w:b/>
                <w:sz w:val="20"/>
                <w:szCs w:val="20"/>
              </w:rPr>
              <w:t>Activity Year</w:t>
            </w:r>
          </w:p>
        </w:tc>
        <w:tc>
          <w:tcPr>
            <w:tcW w:w="1170" w:type="dxa"/>
            <w:shd w:val="clear" w:color="auto" w:fill="auto"/>
            <w:vAlign w:val="center"/>
          </w:tcPr>
          <w:p w14:paraId="1DA3E356" w14:textId="77777777" w:rsidR="0043094A" w:rsidRPr="008818B2" w:rsidRDefault="0043094A" w:rsidP="00352D5A">
            <w:pPr>
              <w:keepNext/>
              <w:widowControl w:val="0"/>
              <w:jc w:val="center"/>
              <w:rPr>
                <w:sz w:val="20"/>
                <w:szCs w:val="20"/>
              </w:rPr>
            </w:pPr>
            <w:r w:rsidRPr="008818B2">
              <w:rPr>
                <w:b/>
                <w:sz w:val="20"/>
                <w:szCs w:val="20"/>
              </w:rPr>
              <w:t>Affordable Housing</w:t>
            </w:r>
          </w:p>
        </w:tc>
        <w:tc>
          <w:tcPr>
            <w:tcW w:w="1260" w:type="dxa"/>
            <w:shd w:val="clear" w:color="auto" w:fill="auto"/>
            <w:vAlign w:val="center"/>
          </w:tcPr>
          <w:p w14:paraId="33550A33" w14:textId="77777777" w:rsidR="0043094A" w:rsidRPr="008818B2" w:rsidRDefault="0043094A" w:rsidP="007521E9">
            <w:pPr>
              <w:keepNext/>
              <w:widowControl w:val="0"/>
              <w:jc w:val="center"/>
              <w:rPr>
                <w:b/>
                <w:sz w:val="20"/>
                <w:szCs w:val="20"/>
              </w:rPr>
            </w:pPr>
            <w:r w:rsidRPr="008818B2">
              <w:rPr>
                <w:b/>
                <w:sz w:val="20"/>
                <w:szCs w:val="20"/>
              </w:rPr>
              <w:t>Community Services</w:t>
            </w:r>
          </w:p>
        </w:tc>
        <w:tc>
          <w:tcPr>
            <w:tcW w:w="1350" w:type="dxa"/>
            <w:shd w:val="clear" w:color="auto" w:fill="auto"/>
            <w:vAlign w:val="center"/>
          </w:tcPr>
          <w:p w14:paraId="60750398" w14:textId="77777777" w:rsidR="0043094A" w:rsidRPr="008818B2" w:rsidRDefault="0043094A" w:rsidP="007521E9">
            <w:pPr>
              <w:keepNext/>
              <w:widowControl w:val="0"/>
              <w:jc w:val="center"/>
              <w:rPr>
                <w:b/>
                <w:sz w:val="20"/>
                <w:szCs w:val="20"/>
              </w:rPr>
            </w:pPr>
            <w:r w:rsidRPr="008818B2">
              <w:rPr>
                <w:b/>
                <w:sz w:val="20"/>
                <w:szCs w:val="20"/>
              </w:rPr>
              <w:t>Economic Development</w:t>
            </w:r>
          </w:p>
        </w:tc>
        <w:tc>
          <w:tcPr>
            <w:tcW w:w="1260" w:type="dxa"/>
            <w:shd w:val="clear" w:color="auto" w:fill="auto"/>
            <w:vAlign w:val="center"/>
          </w:tcPr>
          <w:p w14:paraId="0417B97C" w14:textId="77777777" w:rsidR="0043094A" w:rsidRPr="008818B2" w:rsidRDefault="0043094A" w:rsidP="007521E9">
            <w:pPr>
              <w:keepNext/>
              <w:widowControl w:val="0"/>
              <w:jc w:val="center"/>
              <w:rPr>
                <w:b/>
                <w:sz w:val="20"/>
                <w:szCs w:val="20"/>
              </w:rPr>
            </w:pPr>
            <w:r w:rsidRPr="008818B2">
              <w:rPr>
                <w:b/>
                <w:sz w:val="20"/>
                <w:szCs w:val="20"/>
              </w:rPr>
              <w:t>Revitalize or Stabilize</w:t>
            </w:r>
          </w:p>
        </w:tc>
        <w:tc>
          <w:tcPr>
            <w:tcW w:w="1170" w:type="dxa"/>
            <w:shd w:val="clear" w:color="auto" w:fill="auto"/>
            <w:vAlign w:val="center"/>
          </w:tcPr>
          <w:p w14:paraId="1D3386AB" w14:textId="77777777" w:rsidR="0043094A" w:rsidRPr="008818B2" w:rsidRDefault="0043094A" w:rsidP="007521E9">
            <w:pPr>
              <w:keepNext/>
              <w:widowControl w:val="0"/>
              <w:jc w:val="center"/>
              <w:rPr>
                <w:b/>
                <w:sz w:val="20"/>
                <w:szCs w:val="20"/>
              </w:rPr>
            </w:pPr>
            <w:r w:rsidRPr="008818B2">
              <w:rPr>
                <w:b/>
                <w:sz w:val="20"/>
                <w:szCs w:val="20"/>
              </w:rPr>
              <w:t>Totals</w:t>
            </w:r>
          </w:p>
        </w:tc>
      </w:tr>
      <w:tr w:rsidR="0043094A" w:rsidRPr="008818B2" w14:paraId="3A7D993D" w14:textId="77777777" w:rsidTr="000D576B">
        <w:trPr>
          <w:trHeight w:val="288"/>
          <w:jc w:val="center"/>
        </w:trPr>
        <w:tc>
          <w:tcPr>
            <w:tcW w:w="2970" w:type="dxa"/>
            <w:vMerge/>
            <w:shd w:val="clear" w:color="auto" w:fill="auto"/>
            <w:vAlign w:val="center"/>
          </w:tcPr>
          <w:p w14:paraId="19767FC0" w14:textId="77777777" w:rsidR="0043094A" w:rsidRPr="008818B2" w:rsidRDefault="0043094A">
            <w:pPr>
              <w:keepNext/>
              <w:widowControl w:val="0"/>
              <w:rPr>
                <w:sz w:val="20"/>
                <w:szCs w:val="20"/>
              </w:rPr>
            </w:pPr>
          </w:p>
        </w:tc>
        <w:tc>
          <w:tcPr>
            <w:tcW w:w="1170" w:type="dxa"/>
            <w:shd w:val="clear" w:color="auto" w:fill="auto"/>
            <w:vAlign w:val="center"/>
          </w:tcPr>
          <w:p w14:paraId="720F97F4" w14:textId="77777777" w:rsidR="0043094A" w:rsidRPr="008818B2" w:rsidRDefault="0043094A">
            <w:pPr>
              <w:keepNext/>
              <w:widowControl w:val="0"/>
              <w:jc w:val="center"/>
              <w:rPr>
                <w:b/>
                <w:sz w:val="20"/>
                <w:szCs w:val="20"/>
              </w:rPr>
            </w:pPr>
            <w:r w:rsidRPr="008818B2">
              <w:rPr>
                <w:b/>
                <w:sz w:val="20"/>
                <w:szCs w:val="20"/>
              </w:rPr>
              <w:t>#</w:t>
            </w:r>
          </w:p>
        </w:tc>
        <w:tc>
          <w:tcPr>
            <w:tcW w:w="1260" w:type="dxa"/>
            <w:shd w:val="clear" w:color="auto" w:fill="auto"/>
            <w:vAlign w:val="center"/>
          </w:tcPr>
          <w:p w14:paraId="5B45561D" w14:textId="77777777" w:rsidR="0043094A" w:rsidRPr="008818B2" w:rsidRDefault="0043094A">
            <w:pPr>
              <w:keepNext/>
              <w:widowControl w:val="0"/>
              <w:jc w:val="center"/>
              <w:rPr>
                <w:b/>
                <w:sz w:val="20"/>
                <w:szCs w:val="20"/>
              </w:rPr>
            </w:pPr>
            <w:r w:rsidRPr="008818B2">
              <w:rPr>
                <w:b/>
                <w:sz w:val="20"/>
                <w:szCs w:val="20"/>
              </w:rPr>
              <w:t>#</w:t>
            </w:r>
          </w:p>
        </w:tc>
        <w:tc>
          <w:tcPr>
            <w:tcW w:w="1350" w:type="dxa"/>
            <w:shd w:val="clear" w:color="auto" w:fill="auto"/>
            <w:vAlign w:val="center"/>
          </w:tcPr>
          <w:p w14:paraId="0E0574B9" w14:textId="77777777" w:rsidR="0043094A" w:rsidRPr="008818B2" w:rsidRDefault="0043094A">
            <w:pPr>
              <w:keepNext/>
              <w:widowControl w:val="0"/>
              <w:jc w:val="center"/>
              <w:rPr>
                <w:b/>
                <w:sz w:val="20"/>
                <w:szCs w:val="20"/>
              </w:rPr>
            </w:pPr>
            <w:r w:rsidRPr="008818B2">
              <w:rPr>
                <w:b/>
                <w:sz w:val="20"/>
                <w:szCs w:val="20"/>
              </w:rPr>
              <w:t>#</w:t>
            </w:r>
          </w:p>
        </w:tc>
        <w:tc>
          <w:tcPr>
            <w:tcW w:w="1260" w:type="dxa"/>
            <w:shd w:val="clear" w:color="auto" w:fill="auto"/>
            <w:vAlign w:val="center"/>
          </w:tcPr>
          <w:p w14:paraId="025B9D0D" w14:textId="77777777" w:rsidR="0043094A" w:rsidRPr="008818B2" w:rsidRDefault="0043094A">
            <w:pPr>
              <w:keepNext/>
              <w:widowControl w:val="0"/>
              <w:jc w:val="center"/>
              <w:rPr>
                <w:b/>
                <w:sz w:val="20"/>
                <w:szCs w:val="20"/>
              </w:rPr>
            </w:pPr>
            <w:r w:rsidRPr="008818B2">
              <w:rPr>
                <w:b/>
                <w:sz w:val="20"/>
                <w:szCs w:val="20"/>
              </w:rPr>
              <w:t>#</w:t>
            </w:r>
          </w:p>
        </w:tc>
        <w:tc>
          <w:tcPr>
            <w:tcW w:w="1170" w:type="dxa"/>
            <w:shd w:val="clear" w:color="auto" w:fill="auto"/>
            <w:vAlign w:val="center"/>
          </w:tcPr>
          <w:p w14:paraId="0FA4A5E9" w14:textId="77777777" w:rsidR="0043094A" w:rsidRPr="008818B2" w:rsidRDefault="0043094A">
            <w:pPr>
              <w:keepNext/>
              <w:widowControl w:val="0"/>
              <w:jc w:val="center"/>
              <w:rPr>
                <w:b/>
                <w:sz w:val="20"/>
                <w:szCs w:val="20"/>
              </w:rPr>
            </w:pPr>
            <w:r w:rsidRPr="008818B2">
              <w:rPr>
                <w:b/>
                <w:sz w:val="20"/>
                <w:szCs w:val="20"/>
              </w:rPr>
              <w:t>#</w:t>
            </w:r>
          </w:p>
        </w:tc>
      </w:tr>
      <w:tr w:rsidR="0043094A" w:rsidRPr="008818B2" w14:paraId="4E6659AE" w14:textId="77777777" w:rsidTr="000D576B">
        <w:trPr>
          <w:trHeight w:val="288"/>
          <w:jc w:val="center"/>
        </w:trPr>
        <w:tc>
          <w:tcPr>
            <w:tcW w:w="2970" w:type="dxa"/>
            <w:shd w:val="clear" w:color="auto" w:fill="auto"/>
            <w:vAlign w:val="center"/>
          </w:tcPr>
          <w:p w14:paraId="7F6C8F79" w14:textId="0A7B3929" w:rsidR="0043094A" w:rsidRPr="008818B2" w:rsidRDefault="0043094A" w:rsidP="00352D5A">
            <w:pPr>
              <w:keepNext/>
              <w:widowControl w:val="0"/>
              <w:rPr>
                <w:sz w:val="20"/>
                <w:szCs w:val="20"/>
              </w:rPr>
            </w:pPr>
            <w:r>
              <w:rPr>
                <w:sz w:val="20"/>
                <w:szCs w:val="20"/>
              </w:rPr>
              <w:t>2018</w:t>
            </w:r>
          </w:p>
        </w:tc>
        <w:tc>
          <w:tcPr>
            <w:tcW w:w="1170" w:type="dxa"/>
            <w:shd w:val="clear" w:color="auto" w:fill="auto"/>
            <w:vAlign w:val="center"/>
          </w:tcPr>
          <w:p w14:paraId="02C91EC1" w14:textId="77777777" w:rsidR="0043094A" w:rsidRDefault="0043094A" w:rsidP="00352D5A">
            <w:pPr>
              <w:keepNext/>
              <w:widowControl w:val="0"/>
              <w:jc w:val="center"/>
              <w:rPr>
                <w:sz w:val="20"/>
                <w:szCs w:val="20"/>
              </w:rPr>
            </w:pPr>
            <w:r>
              <w:rPr>
                <w:sz w:val="20"/>
                <w:szCs w:val="20"/>
              </w:rPr>
              <w:t>0</w:t>
            </w:r>
          </w:p>
        </w:tc>
        <w:tc>
          <w:tcPr>
            <w:tcW w:w="1260" w:type="dxa"/>
            <w:shd w:val="clear" w:color="auto" w:fill="auto"/>
            <w:vAlign w:val="center"/>
          </w:tcPr>
          <w:p w14:paraId="78AD8716" w14:textId="77777777" w:rsidR="0043094A" w:rsidRDefault="0043094A" w:rsidP="007521E9">
            <w:pPr>
              <w:keepNext/>
              <w:widowControl w:val="0"/>
              <w:jc w:val="center"/>
              <w:rPr>
                <w:sz w:val="20"/>
                <w:szCs w:val="20"/>
              </w:rPr>
            </w:pPr>
            <w:r>
              <w:rPr>
                <w:sz w:val="20"/>
                <w:szCs w:val="20"/>
              </w:rPr>
              <w:t>2</w:t>
            </w:r>
          </w:p>
        </w:tc>
        <w:tc>
          <w:tcPr>
            <w:tcW w:w="1350" w:type="dxa"/>
            <w:shd w:val="clear" w:color="auto" w:fill="auto"/>
            <w:vAlign w:val="center"/>
          </w:tcPr>
          <w:p w14:paraId="342440F2" w14:textId="77777777" w:rsidR="0043094A" w:rsidRDefault="0043094A" w:rsidP="007521E9">
            <w:pPr>
              <w:keepNext/>
              <w:widowControl w:val="0"/>
              <w:jc w:val="center"/>
              <w:rPr>
                <w:sz w:val="20"/>
                <w:szCs w:val="20"/>
              </w:rPr>
            </w:pPr>
            <w:r>
              <w:rPr>
                <w:sz w:val="20"/>
                <w:szCs w:val="20"/>
              </w:rPr>
              <w:t>0</w:t>
            </w:r>
          </w:p>
        </w:tc>
        <w:tc>
          <w:tcPr>
            <w:tcW w:w="1260" w:type="dxa"/>
            <w:shd w:val="clear" w:color="auto" w:fill="auto"/>
            <w:vAlign w:val="center"/>
          </w:tcPr>
          <w:p w14:paraId="6DDC4852" w14:textId="77777777" w:rsidR="0043094A" w:rsidRPr="008818B2" w:rsidRDefault="0043094A" w:rsidP="007521E9">
            <w:pPr>
              <w:keepNext/>
              <w:widowControl w:val="0"/>
              <w:jc w:val="center"/>
              <w:rPr>
                <w:sz w:val="20"/>
                <w:szCs w:val="20"/>
              </w:rPr>
            </w:pPr>
            <w:r>
              <w:rPr>
                <w:sz w:val="20"/>
                <w:szCs w:val="20"/>
              </w:rPr>
              <w:t>0</w:t>
            </w:r>
          </w:p>
        </w:tc>
        <w:tc>
          <w:tcPr>
            <w:tcW w:w="1170" w:type="dxa"/>
            <w:shd w:val="clear" w:color="auto" w:fill="auto"/>
            <w:vAlign w:val="center"/>
          </w:tcPr>
          <w:p w14:paraId="36CF6BC6" w14:textId="77777777" w:rsidR="0043094A" w:rsidRDefault="0043094A" w:rsidP="007521E9">
            <w:pPr>
              <w:keepNext/>
              <w:widowControl w:val="0"/>
              <w:jc w:val="center"/>
              <w:rPr>
                <w:b/>
                <w:sz w:val="20"/>
                <w:szCs w:val="20"/>
              </w:rPr>
            </w:pPr>
            <w:r>
              <w:rPr>
                <w:b/>
                <w:sz w:val="20"/>
                <w:szCs w:val="20"/>
              </w:rPr>
              <w:t>2</w:t>
            </w:r>
          </w:p>
        </w:tc>
      </w:tr>
      <w:tr w:rsidR="0043094A" w:rsidRPr="008818B2" w14:paraId="6BE503B0" w14:textId="77777777" w:rsidTr="000D576B">
        <w:trPr>
          <w:trHeight w:val="288"/>
          <w:jc w:val="center"/>
        </w:trPr>
        <w:tc>
          <w:tcPr>
            <w:tcW w:w="2970" w:type="dxa"/>
            <w:shd w:val="clear" w:color="auto" w:fill="auto"/>
            <w:vAlign w:val="center"/>
          </w:tcPr>
          <w:p w14:paraId="478B3E61" w14:textId="77777777" w:rsidR="0043094A" w:rsidRPr="008818B2" w:rsidRDefault="0043094A" w:rsidP="00352D5A">
            <w:pPr>
              <w:keepNext/>
              <w:widowControl w:val="0"/>
              <w:rPr>
                <w:sz w:val="20"/>
                <w:szCs w:val="20"/>
              </w:rPr>
            </w:pPr>
            <w:r w:rsidRPr="008818B2">
              <w:rPr>
                <w:sz w:val="20"/>
                <w:szCs w:val="20"/>
              </w:rPr>
              <w:t>2019</w:t>
            </w:r>
          </w:p>
        </w:tc>
        <w:tc>
          <w:tcPr>
            <w:tcW w:w="1170" w:type="dxa"/>
            <w:shd w:val="clear" w:color="auto" w:fill="auto"/>
            <w:vAlign w:val="center"/>
          </w:tcPr>
          <w:p w14:paraId="43E4E4BB" w14:textId="77777777" w:rsidR="0043094A" w:rsidRPr="008818B2" w:rsidRDefault="0043094A" w:rsidP="00352D5A">
            <w:pPr>
              <w:keepNext/>
              <w:widowControl w:val="0"/>
              <w:jc w:val="center"/>
              <w:rPr>
                <w:sz w:val="20"/>
                <w:szCs w:val="20"/>
              </w:rPr>
            </w:pPr>
            <w:r>
              <w:rPr>
                <w:sz w:val="20"/>
                <w:szCs w:val="20"/>
              </w:rPr>
              <w:t>1</w:t>
            </w:r>
          </w:p>
        </w:tc>
        <w:tc>
          <w:tcPr>
            <w:tcW w:w="1260" w:type="dxa"/>
            <w:shd w:val="clear" w:color="auto" w:fill="auto"/>
            <w:vAlign w:val="center"/>
          </w:tcPr>
          <w:p w14:paraId="3F27BD70" w14:textId="77777777" w:rsidR="0043094A" w:rsidRPr="008818B2" w:rsidRDefault="0043094A" w:rsidP="007521E9">
            <w:pPr>
              <w:keepNext/>
              <w:widowControl w:val="0"/>
              <w:jc w:val="center"/>
              <w:rPr>
                <w:sz w:val="20"/>
                <w:szCs w:val="20"/>
              </w:rPr>
            </w:pPr>
            <w:r>
              <w:rPr>
                <w:sz w:val="20"/>
                <w:szCs w:val="20"/>
              </w:rPr>
              <w:t>12</w:t>
            </w:r>
          </w:p>
        </w:tc>
        <w:tc>
          <w:tcPr>
            <w:tcW w:w="1350" w:type="dxa"/>
            <w:shd w:val="clear" w:color="auto" w:fill="auto"/>
            <w:vAlign w:val="center"/>
          </w:tcPr>
          <w:p w14:paraId="729B53EA" w14:textId="77777777" w:rsidR="0043094A" w:rsidRPr="008818B2" w:rsidRDefault="0043094A" w:rsidP="007521E9">
            <w:pPr>
              <w:keepNext/>
              <w:widowControl w:val="0"/>
              <w:jc w:val="center"/>
              <w:rPr>
                <w:sz w:val="20"/>
                <w:szCs w:val="20"/>
              </w:rPr>
            </w:pPr>
            <w:r>
              <w:rPr>
                <w:sz w:val="20"/>
                <w:szCs w:val="20"/>
              </w:rPr>
              <w:t>0</w:t>
            </w:r>
          </w:p>
        </w:tc>
        <w:tc>
          <w:tcPr>
            <w:tcW w:w="1260" w:type="dxa"/>
            <w:shd w:val="clear" w:color="auto" w:fill="auto"/>
            <w:vAlign w:val="center"/>
          </w:tcPr>
          <w:p w14:paraId="4BEF3D3B" w14:textId="77777777" w:rsidR="0043094A" w:rsidRPr="008818B2" w:rsidRDefault="0043094A" w:rsidP="007521E9">
            <w:pPr>
              <w:keepNext/>
              <w:widowControl w:val="0"/>
              <w:jc w:val="center"/>
              <w:rPr>
                <w:sz w:val="20"/>
                <w:szCs w:val="20"/>
              </w:rPr>
            </w:pPr>
            <w:r w:rsidRPr="008818B2">
              <w:rPr>
                <w:sz w:val="20"/>
                <w:szCs w:val="20"/>
              </w:rPr>
              <w:t>0</w:t>
            </w:r>
          </w:p>
        </w:tc>
        <w:tc>
          <w:tcPr>
            <w:tcW w:w="1170" w:type="dxa"/>
            <w:shd w:val="clear" w:color="auto" w:fill="auto"/>
            <w:vAlign w:val="center"/>
          </w:tcPr>
          <w:p w14:paraId="340CD8C6" w14:textId="77777777" w:rsidR="0043094A" w:rsidRPr="008818B2" w:rsidRDefault="0043094A" w:rsidP="007521E9">
            <w:pPr>
              <w:keepNext/>
              <w:widowControl w:val="0"/>
              <w:jc w:val="center"/>
              <w:rPr>
                <w:b/>
                <w:sz w:val="20"/>
                <w:szCs w:val="20"/>
              </w:rPr>
            </w:pPr>
            <w:r>
              <w:rPr>
                <w:b/>
                <w:sz w:val="20"/>
                <w:szCs w:val="20"/>
              </w:rPr>
              <w:t>13</w:t>
            </w:r>
          </w:p>
        </w:tc>
      </w:tr>
      <w:tr w:rsidR="0043094A" w:rsidRPr="008818B2" w14:paraId="3FC56966" w14:textId="77777777" w:rsidTr="000D576B">
        <w:trPr>
          <w:trHeight w:val="288"/>
          <w:jc w:val="center"/>
        </w:trPr>
        <w:tc>
          <w:tcPr>
            <w:tcW w:w="2970" w:type="dxa"/>
            <w:shd w:val="clear" w:color="auto" w:fill="auto"/>
            <w:vAlign w:val="center"/>
          </w:tcPr>
          <w:p w14:paraId="4BCB5605" w14:textId="77777777" w:rsidR="0043094A" w:rsidRPr="008818B2" w:rsidRDefault="0043094A" w:rsidP="00352D5A">
            <w:pPr>
              <w:keepNext/>
              <w:widowControl w:val="0"/>
              <w:rPr>
                <w:sz w:val="20"/>
                <w:szCs w:val="20"/>
              </w:rPr>
            </w:pPr>
            <w:r w:rsidRPr="008818B2">
              <w:rPr>
                <w:sz w:val="20"/>
                <w:szCs w:val="20"/>
              </w:rPr>
              <w:t>YTD 2020</w:t>
            </w:r>
          </w:p>
        </w:tc>
        <w:tc>
          <w:tcPr>
            <w:tcW w:w="1170" w:type="dxa"/>
            <w:shd w:val="clear" w:color="auto" w:fill="auto"/>
            <w:vAlign w:val="center"/>
          </w:tcPr>
          <w:p w14:paraId="52AFEAFC" w14:textId="77777777" w:rsidR="0043094A" w:rsidRPr="008818B2" w:rsidRDefault="0043094A" w:rsidP="00352D5A">
            <w:pPr>
              <w:keepNext/>
              <w:widowControl w:val="0"/>
              <w:jc w:val="center"/>
              <w:rPr>
                <w:sz w:val="20"/>
                <w:szCs w:val="20"/>
              </w:rPr>
            </w:pPr>
            <w:r>
              <w:rPr>
                <w:sz w:val="20"/>
                <w:szCs w:val="20"/>
              </w:rPr>
              <w:t>1</w:t>
            </w:r>
          </w:p>
        </w:tc>
        <w:tc>
          <w:tcPr>
            <w:tcW w:w="1260" w:type="dxa"/>
            <w:shd w:val="clear" w:color="auto" w:fill="auto"/>
            <w:vAlign w:val="center"/>
          </w:tcPr>
          <w:p w14:paraId="41D6B856" w14:textId="77777777" w:rsidR="0043094A" w:rsidRPr="008818B2" w:rsidRDefault="0043094A" w:rsidP="007521E9">
            <w:pPr>
              <w:keepNext/>
              <w:widowControl w:val="0"/>
              <w:jc w:val="center"/>
              <w:rPr>
                <w:sz w:val="20"/>
                <w:szCs w:val="20"/>
              </w:rPr>
            </w:pPr>
            <w:r>
              <w:rPr>
                <w:sz w:val="20"/>
                <w:szCs w:val="20"/>
              </w:rPr>
              <w:t>10</w:t>
            </w:r>
          </w:p>
        </w:tc>
        <w:tc>
          <w:tcPr>
            <w:tcW w:w="1350" w:type="dxa"/>
            <w:shd w:val="clear" w:color="auto" w:fill="auto"/>
            <w:vAlign w:val="center"/>
          </w:tcPr>
          <w:p w14:paraId="656A9F92" w14:textId="77777777" w:rsidR="0043094A" w:rsidRPr="008818B2" w:rsidRDefault="0043094A" w:rsidP="007521E9">
            <w:pPr>
              <w:keepNext/>
              <w:widowControl w:val="0"/>
              <w:jc w:val="center"/>
              <w:rPr>
                <w:sz w:val="20"/>
                <w:szCs w:val="20"/>
              </w:rPr>
            </w:pPr>
            <w:r w:rsidRPr="008818B2">
              <w:rPr>
                <w:sz w:val="20"/>
                <w:szCs w:val="20"/>
              </w:rPr>
              <w:t>0</w:t>
            </w:r>
          </w:p>
        </w:tc>
        <w:tc>
          <w:tcPr>
            <w:tcW w:w="1260" w:type="dxa"/>
            <w:shd w:val="clear" w:color="auto" w:fill="auto"/>
            <w:vAlign w:val="center"/>
          </w:tcPr>
          <w:p w14:paraId="46788632" w14:textId="77777777" w:rsidR="0043094A" w:rsidRPr="008818B2" w:rsidRDefault="0043094A" w:rsidP="007521E9">
            <w:pPr>
              <w:keepNext/>
              <w:widowControl w:val="0"/>
              <w:jc w:val="center"/>
              <w:rPr>
                <w:sz w:val="20"/>
                <w:szCs w:val="20"/>
              </w:rPr>
            </w:pPr>
            <w:r w:rsidRPr="008818B2">
              <w:rPr>
                <w:sz w:val="20"/>
                <w:szCs w:val="20"/>
              </w:rPr>
              <w:t>0</w:t>
            </w:r>
          </w:p>
        </w:tc>
        <w:tc>
          <w:tcPr>
            <w:tcW w:w="1170" w:type="dxa"/>
            <w:shd w:val="clear" w:color="auto" w:fill="auto"/>
            <w:vAlign w:val="center"/>
          </w:tcPr>
          <w:p w14:paraId="18C1040F" w14:textId="77777777" w:rsidR="0043094A" w:rsidRPr="008818B2" w:rsidRDefault="0043094A" w:rsidP="007521E9">
            <w:pPr>
              <w:keepNext/>
              <w:widowControl w:val="0"/>
              <w:jc w:val="center"/>
              <w:rPr>
                <w:b/>
                <w:sz w:val="20"/>
                <w:szCs w:val="20"/>
              </w:rPr>
            </w:pPr>
            <w:r>
              <w:rPr>
                <w:b/>
                <w:sz w:val="20"/>
                <w:szCs w:val="20"/>
              </w:rPr>
              <w:t>11</w:t>
            </w:r>
          </w:p>
        </w:tc>
      </w:tr>
      <w:tr w:rsidR="0043094A" w:rsidRPr="008818B2" w14:paraId="186A0C50" w14:textId="77777777" w:rsidTr="000D576B">
        <w:trPr>
          <w:trHeight w:val="288"/>
          <w:jc w:val="center"/>
        </w:trPr>
        <w:tc>
          <w:tcPr>
            <w:tcW w:w="2970" w:type="dxa"/>
            <w:shd w:val="clear" w:color="auto" w:fill="auto"/>
            <w:vAlign w:val="center"/>
          </w:tcPr>
          <w:p w14:paraId="13693F81" w14:textId="77777777" w:rsidR="0043094A" w:rsidRPr="008818B2" w:rsidRDefault="0043094A" w:rsidP="00352D5A">
            <w:pPr>
              <w:keepNext/>
              <w:widowControl w:val="0"/>
              <w:rPr>
                <w:b/>
                <w:sz w:val="20"/>
                <w:szCs w:val="20"/>
                <w:highlight w:val="green"/>
              </w:rPr>
            </w:pPr>
            <w:r w:rsidRPr="008818B2">
              <w:rPr>
                <w:b/>
                <w:sz w:val="20"/>
                <w:szCs w:val="20"/>
              </w:rPr>
              <w:t>Total</w:t>
            </w:r>
          </w:p>
        </w:tc>
        <w:tc>
          <w:tcPr>
            <w:tcW w:w="1170" w:type="dxa"/>
            <w:shd w:val="clear" w:color="auto" w:fill="auto"/>
            <w:vAlign w:val="center"/>
          </w:tcPr>
          <w:p w14:paraId="47B5FC59" w14:textId="77777777" w:rsidR="0043094A" w:rsidRPr="008818B2" w:rsidRDefault="0043094A" w:rsidP="00352D5A">
            <w:pPr>
              <w:keepNext/>
              <w:widowControl w:val="0"/>
              <w:jc w:val="center"/>
              <w:rPr>
                <w:b/>
                <w:sz w:val="20"/>
                <w:szCs w:val="20"/>
              </w:rPr>
            </w:pPr>
            <w:r>
              <w:rPr>
                <w:b/>
                <w:sz w:val="20"/>
                <w:szCs w:val="20"/>
              </w:rPr>
              <w:t>2</w:t>
            </w:r>
          </w:p>
        </w:tc>
        <w:tc>
          <w:tcPr>
            <w:tcW w:w="1260" w:type="dxa"/>
            <w:shd w:val="clear" w:color="auto" w:fill="auto"/>
            <w:vAlign w:val="center"/>
          </w:tcPr>
          <w:p w14:paraId="2B9EBCEC" w14:textId="77777777" w:rsidR="0043094A" w:rsidRPr="008818B2" w:rsidRDefault="0043094A" w:rsidP="007521E9">
            <w:pPr>
              <w:keepNext/>
              <w:widowControl w:val="0"/>
              <w:jc w:val="center"/>
              <w:rPr>
                <w:b/>
                <w:sz w:val="20"/>
                <w:szCs w:val="20"/>
              </w:rPr>
            </w:pPr>
            <w:r>
              <w:rPr>
                <w:b/>
                <w:sz w:val="20"/>
                <w:szCs w:val="20"/>
              </w:rPr>
              <w:t>24</w:t>
            </w:r>
          </w:p>
        </w:tc>
        <w:tc>
          <w:tcPr>
            <w:tcW w:w="1350" w:type="dxa"/>
            <w:shd w:val="clear" w:color="auto" w:fill="auto"/>
            <w:vAlign w:val="center"/>
          </w:tcPr>
          <w:p w14:paraId="03C2745E" w14:textId="77777777" w:rsidR="0043094A" w:rsidRPr="008818B2" w:rsidRDefault="0043094A" w:rsidP="007521E9">
            <w:pPr>
              <w:keepNext/>
              <w:widowControl w:val="0"/>
              <w:jc w:val="center"/>
              <w:rPr>
                <w:b/>
                <w:sz w:val="20"/>
                <w:szCs w:val="20"/>
              </w:rPr>
            </w:pPr>
            <w:r>
              <w:rPr>
                <w:b/>
                <w:sz w:val="20"/>
                <w:szCs w:val="20"/>
              </w:rPr>
              <w:t>0</w:t>
            </w:r>
          </w:p>
        </w:tc>
        <w:tc>
          <w:tcPr>
            <w:tcW w:w="1260" w:type="dxa"/>
            <w:shd w:val="clear" w:color="auto" w:fill="auto"/>
            <w:vAlign w:val="center"/>
          </w:tcPr>
          <w:p w14:paraId="55F6EA54" w14:textId="77777777" w:rsidR="0043094A" w:rsidRPr="008818B2" w:rsidRDefault="0043094A" w:rsidP="007521E9">
            <w:pPr>
              <w:keepNext/>
              <w:widowControl w:val="0"/>
              <w:jc w:val="center"/>
              <w:rPr>
                <w:b/>
                <w:sz w:val="20"/>
                <w:szCs w:val="20"/>
              </w:rPr>
            </w:pPr>
            <w:r w:rsidRPr="008818B2">
              <w:rPr>
                <w:b/>
                <w:sz w:val="20"/>
                <w:szCs w:val="20"/>
              </w:rPr>
              <w:t>0</w:t>
            </w:r>
          </w:p>
        </w:tc>
        <w:tc>
          <w:tcPr>
            <w:tcW w:w="1170" w:type="dxa"/>
            <w:shd w:val="clear" w:color="auto" w:fill="auto"/>
            <w:vAlign w:val="center"/>
          </w:tcPr>
          <w:p w14:paraId="7C886A7C" w14:textId="77777777" w:rsidR="0043094A" w:rsidRPr="008818B2" w:rsidRDefault="0043094A" w:rsidP="007521E9">
            <w:pPr>
              <w:keepNext/>
              <w:widowControl w:val="0"/>
              <w:jc w:val="center"/>
              <w:rPr>
                <w:b/>
                <w:sz w:val="20"/>
                <w:szCs w:val="20"/>
              </w:rPr>
            </w:pPr>
            <w:r>
              <w:rPr>
                <w:b/>
                <w:sz w:val="20"/>
                <w:szCs w:val="20"/>
              </w:rPr>
              <w:t>26</w:t>
            </w:r>
          </w:p>
        </w:tc>
      </w:tr>
      <w:tr w:rsidR="0043094A" w:rsidRPr="008818B2" w14:paraId="08E589F6" w14:textId="77777777" w:rsidTr="000D576B">
        <w:trPr>
          <w:trHeight w:val="288"/>
          <w:jc w:val="center"/>
        </w:trPr>
        <w:tc>
          <w:tcPr>
            <w:tcW w:w="9180" w:type="dxa"/>
            <w:gridSpan w:val="6"/>
            <w:shd w:val="clear" w:color="auto" w:fill="auto"/>
            <w:vAlign w:val="center"/>
          </w:tcPr>
          <w:p w14:paraId="376716E1" w14:textId="52D394D9" w:rsidR="0043094A" w:rsidRPr="008818B2" w:rsidRDefault="0043094A" w:rsidP="00C76E10">
            <w:pPr>
              <w:keepNext/>
              <w:widowControl w:val="0"/>
              <w:rPr>
                <w:b/>
                <w:sz w:val="20"/>
                <w:szCs w:val="20"/>
              </w:rPr>
            </w:pPr>
            <w:r w:rsidRPr="002F18E6">
              <w:rPr>
                <w:i/>
                <w:sz w:val="16"/>
                <w:szCs w:val="20"/>
              </w:rPr>
              <w:t xml:space="preserve">Source:  Bank </w:t>
            </w:r>
            <w:r w:rsidR="00C76E10">
              <w:rPr>
                <w:i/>
                <w:sz w:val="16"/>
                <w:szCs w:val="20"/>
              </w:rPr>
              <w:t xml:space="preserve">Data </w:t>
            </w:r>
          </w:p>
        </w:tc>
      </w:tr>
    </w:tbl>
    <w:p w14:paraId="68EA5C22" w14:textId="77777777" w:rsidR="0043094A" w:rsidRDefault="0043094A" w:rsidP="00352D5A"/>
    <w:p w14:paraId="01DD8648" w14:textId="20F1EFD2" w:rsidR="0043094A" w:rsidRDefault="0043094A" w:rsidP="00352D5A">
      <w:r>
        <w:t>Bank employees are involved in local community development organizations in multiple capacities.  The following organizations benefited from bank employee involvement.</w:t>
      </w:r>
    </w:p>
    <w:p w14:paraId="7C8A1A1C" w14:textId="77777777" w:rsidR="00531C74" w:rsidRDefault="00531C74" w:rsidP="00352D5A"/>
    <w:p w14:paraId="2A752A49" w14:textId="293C4818" w:rsidR="0043094A" w:rsidRDefault="0043094A" w:rsidP="00ED5F31">
      <w:pPr>
        <w:pStyle w:val="ListParagraph"/>
        <w:widowControl/>
        <w:numPr>
          <w:ilvl w:val="0"/>
          <w:numId w:val="38"/>
        </w:numPr>
        <w:spacing w:after="160"/>
        <w:contextualSpacing/>
        <w:rPr>
          <w:rFonts w:ascii="Times New Roman" w:hAnsi="Times New Roman" w:cs="Times New Roman"/>
        </w:rPr>
      </w:pPr>
      <w:r w:rsidRPr="00531C74">
        <w:rPr>
          <w:rFonts w:ascii="Times New Roman" w:hAnsi="Times New Roman" w:cs="Times New Roman"/>
          <w:b/>
        </w:rPr>
        <w:t>Boys and Girls Club of Lawrence</w:t>
      </w:r>
      <w:r w:rsidR="00C76E10">
        <w:rPr>
          <w:rFonts w:ascii="Times New Roman" w:hAnsi="Times New Roman" w:cs="Times New Roman"/>
          <w:b/>
        </w:rPr>
        <w:t xml:space="preserve"> (Club)</w:t>
      </w:r>
      <w:r>
        <w:rPr>
          <w:rFonts w:ascii="Times New Roman" w:hAnsi="Times New Roman" w:cs="Times New Roman"/>
        </w:rPr>
        <w:t xml:space="preserve"> – The</w:t>
      </w:r>
      <w:r w:rsidR="00C76E10">
        <w:rPr>
          <w:rFonts w:ascii="Times New Roman" w:hAnsi="Times New Roman" w:cs="Times New Roman"/>
        </w:rPr>
        <w:t xml:space="preserve"> Club’s</w:t>
      </w:r>
      <w:r>
        <w:rPr>
          <w:rFonts w:ascii="Times New Roman" w:hAnsi="Times New Roman" w:cs="Times New Roman"/>
        </w:rPr>
        <w:t xml:space="preserve"> mission is to help children in Lawrence break the cycle of poverty by providing access to educational opportunities and recreational activities.  The bank’s Chairman serves on the Club’s Board of Advisors and Scholarship Committees while another bank employee serves on the Finance Committee. </w:t>
      </w:r>
    </w:p>
    <w:p w14:paraId="6BE3F9DA" w14:textId="77777777" w:rsidR="0043094A" w:rsidRDefault="0043094A" w:rsidP="00352D5A">
      <w:pPr>
        <w:pStyle w:val="ListParagraph"/>
        <w:rPr>
          <w:rFonts w:ascii="Times New Roman" w:hAnsi="Times New Roman" w:cs="Times New Roman"/>
        </w:rPr>
      </w:pPr>
    </w:p>
    <w:p w14:paraId="07B507CF" w14:textId="18BA4D8C" w:rsidR="00531C74" w:rsidRDefault="0043094A" w:rsidP="00ED5F31">
      <w:pPr>
        <w:pStyle w:val="ListParagraph"/>
        <w:widowControl/>
        <w:numPr>
          <w:ilvl w:val="0"/>
          <w:numId w:val="38"/>
        </w:numPr>
        <w:contextualSpacing/>
        <w:rPr>
          <w:rFonts w:ascii="Times New Roman" w:hAnsi="Times New Roman" w:cs="Times New Roman"/>
        </w:rPr>
      </w:pPr>
      <w:r w:rsidRPr="00531C74">
        <w:rPr>
          <w:rFonts w:ascii="Times New Roman" w:hAnsi="Times New Roman" w:cs="Times New Roman"/>
          <w:b/>
        </w:rPr>
        <w:t>Budget Buddies</w:t>
      </w:r>
      <w:r>
        <w:rPr>
          <w:rFonts w:ascii="Times New Roman" w:hAnsi="Times New Roman" w:cs="Times New Roman"/>
        </w:rPr>
        <w:t xml:space="preserve"> – Budget Buddies offers weekly financial training programs over a six-month period to low-income women throughout the Greater Lawrence area.  Bank employees have served as volunteer financial coaches for the organization. </w:t>
      </w:r>
    </w:p>
    <w:p w14:paraId="3E3DBA71" w14:textId="7B96ADEC" w:rsidR="00531C74" w:rsidRPr="00531C74" w:rsidRDefault="00531C74" w:rsidP="00ED5F31">
      <w:pPr>
        <w:contextualSpacing/>
      </w:pPr>
    </w:p>
    <w:p w14:paraId="19E74EFA" w14:textId="367F3C60" w:rsidR="0043094A" w:rsidRPr="0017658A" w:rsidRDefault="0043094A" w:rsidP="00ED5F31">
      <w:pPr>
        <w:pStyle w:val="ListParagraph"/>
        <w:widowControl/>
        <w:numPr>
          <w:ilvl w:val="0"/>
          <w:numId w:val="38"/>
        </w:numPr>
        <w:spacing w:after="160"/>
        <w:contextualSpacing/>
        <w:rPr>
          <w:rFonts w:ascii="Times New Roman" w:hAnsi="Times New Roman" w:cs="Times New Roman"/>
        </w:rPr>
      </w:pPr>
      <w:r w:rsidRPr="00531C74">
        <w:rPr>
          <w:rFonts w:ascii="Times New Roman" w:hAnsi="Times New Roman" w:cs="Times New Roman"/>
          <w:b/>
        </w:rPr>
        <w:t>Bread &amp; Roses Housing</w:t>
      </w:r>
      <w:r>
        <w:rPr>
          <w:rFonts w:ascii="Times New Roman" w:hAnsi="Times New Roman" w:cs="Times New Roman"/>
          <w:i/>
        </w:rPr>
        <w:t xml:space="preserve"> </w:t>
      </w:r>
      <w:r>
        <w:rPr>
          <w:rFonts w:ascii="Times New Roman" w:hAnsi="Times New Roman" w:cs="Times New Roman"/>
        </w:rPr>
        <w:t xml:space="preserve">– Bread &amp; Roses </w:t>
      </w:r>
      <w:r w:rsidR="0095367F">
        <w:rPr>
          <w:rFonts w:ascii="Times New Roman" w:hAnsi="Times New Roman" w:cs="Times New Roman"/>
        </w:rPr>
        <w:t>H</w:t>
      </w:r>
      <w:r>
        <w:rPr>
          <w:rFonts w:ascii="Times New Roman" w:hAnsi="Times New Roman" w:cs="Times New Roman"/>
        </w:rPr>
        <w:t>ousing is a non</w:t>
      </w:r>
      <w:r w:rsidR="0070065C">
        <w:rPr>
          <w:rFonts w:ascii="Times New Roman" w:hAnsi="Times New Roman" w:cs="Times New Roman"/>
        </w:rPr>
        <w:t>-</w:t>
      </w:r>
      <w:r>
        <w:rPr>
          <w:rFonts w:ascii="Times New Roman" w:hAnsi="Times New Roman" w:cs="Times New Roman"/>
        </w:rPr>
        <w:t>profit organization focused on creating and preserving affordable housing for low-income families and improving economically distressed neighborhoods within the Greater Lawrence area.  Multiple bank employees provided financial expertise to the organization</w:t>
      </w:r>
      <w:r w:rsidR="00C76E10">
        <w:rPr>
          <w:rFonts w:ascii="Times New Roman" w:hAnsi="Times New Roman" w:cs="Times New Roman"/>
        </w:rPr>
        <w:t xml:space="preserve"> through</w:t>
      </w:r>
      <w:r>
        <w:rPr>
          <w:rFonts w:ascii="Times New Roman" w:hAnsi="Times New Roman" w:cs="Times New Roman"/>
        </w:rPr>
        <w:t xml:space="preserve"> </w:t>
      </w:r>
      <w:r w:rsidR="004B6820">
        <w:rPr>
          <w:rFonts w:ascii="Times New Roman" w:hAnsi="Times New Roman" w:cs="Times New Roman"/>
        </w:rPr>
        <w:t>f</w:t>
      </w:r>
      <w:r>
        <w:rPr>
          <w:rFonts w:ascii="Times New Roman" w:hAnsi="Times New Roman" w:cs="Times New Roman"/>
        </w:rPr>
        <w:t xml:space="preserve">irst </w:t>
      </w:r>
      <w:r w:rsidR="004B6820">
        <w:rPr>
          <w:rFonts w:ascii="Times New Roman" w:hAnsi="Times New Roman" w:cs="Times New Roman"/>
        </w:rPr>
        <w:t>t</w:t>
      </w:r>
      <w:r>
        <w:rPr>
          <w:rFonts w:ascii="Times New Roman" w:hAnsi="Times New Roman" w:cs="Times New Roman"/>
        </w:rPr>
        <w:t xml:space="preserve">ime </w:t>
      </w:r>
      <w:r w:rsidR="004B6820">
        <w:rPr>
          <w:rFonts w:ascii="Times New Roman" w:hAnsi="Times New Roman" w:cs="Times New Roman"/>
        </w:rPr>
        <w:t>h</w:t>
      </w:r>
      <w:r>
        <w:rPr>
          <w:rFonts w:ascii="Times New Roman" w:hAnsi="Times New Roman" w:cs="Times New Roman"/>
        </w:rPr>
        <w:t>omebuyer classes.</w:t>
      </w:r>
    </w:p>
    <w:p w14:paraId="59CD8218" w14:textId="10378CC8" w:rsidR="0043094A" w:rsidRDefault="0043094A" w:rsidP="00352D5A">
      <w:pPr>
        <w:ind w:left="360"/>
        <w:rPr>
          <w:b/>
          <w:i/>
        </w:rPr>
      </w:pPr>
      <w:r>
        <w:rPr>
          <w:b/>
          <w:i/>
        </w:rPr>
        <w:t>Other Community Services and Outreach</w:t>
      </w:r>
    </w:p>
    <w:p w14:paraId="3E209CBD" w14:textId="77777777" w:rsidR="00531C74" w:rsidRDefault="00531C74" w:rsidP="00352D5A">
      <w:pPr>
        <w:ind w:left="360"/>
        <w:rPr>
          <w:b/>
          <w:i/>
        </w:rPr>
      </w:pPr>
    </w:p>
    <w:p w14:paraId="3C04B22E" w14:textId="66CAA70A" w:rsidR="0043094A" w:rsidRDefault="0043094A" w:rsidP="00ED5F31">
      <w:pPr>
        <w:pStyle w:val="ListParagraph"/>
        <w:widowControl/>
        <w:numPr>
          <w:ilvl w:val="0"/>
          <w:numId w:val="39"/>
        </w:numPr>
        <w:spacing w:after="160"/>
        <w:contextualSpacing/>
        <w:rPr>
          <w:rFonts w:ascii="Times New Roman" w:hAnsi="Times New Roman" w:cs="Times New Roman"/>
        </w:rPr>
      </w:pPr>
      <w:r w:rsidRPr="004D4756">
        <w:rPr>
          <w:rFonts w:ascii="Times New Roman" w:hAnsi="Times New Roman" w:cs="Times New Roman"/>
        </w:rPr>
        <w:t xml:space="preserve">The bank participates in the Interest on Lawyer’s Trust Accounts program.  Earned interest on certain lawyer escrow account deposits help fund improvements in administering justice and delivering legal services to low-income clients.  </w:t>
      </w:r>
    </w:p>
    <w:p w14:paraId="1B3451ED" w14:textId="77777777" w:rsidR="0043094A" w:rsidRDefault="0043094A" w:rsidP="00352D5A">
      <w:pPr>
        <w:pStyle w:val="ListParagraph"/>
        <w:ind w:left="1080"/>
        <w:rPr>
          <w:rFonts w:ascii="Times New Roman" w:hAnsi="Times New Roman" w:cs="Times New Roman"/>
        </w:rPr>
      </w:pPr>
    </w:p>
    <w:p w14:paraId="461B3A76" w14:textId="678BA933" w:rsidR="00CB7129" w:rsidRPr="00D529DC" w:rsidRDefault="0043094A" w:rsidP="00ED5F31">
      <w:pPr>
        <w:pStyle w:val="ListParagraph"/>
        <w:widowControl/>
        <w:numPr>
          <w:ilvl w:val="0"/>
          <w:numId w:val="39"/>
        </w:numPr>
        <w:spacing w:after="160"/>
        <w:contextualSpacing/>
        <w:rPr>
          <w:rFonts w:ascii="Times New Roman" w:hAnsi="Times New Roman" w:cs="Times New Roman"/>
        </w:rPr>
      </w:pPr>
      <w:r w:rsidRPr="004D4756">
        <w:rPr>
          <w:rFonts w:ascii="Times New Roman" w:hAnsi="Times New Roman" w:cs="Times New Roman"/>
        </w:rPr>
        <w:t>The bank part</w:t>
      </w:r>
      <w:r>
        <w:rPr>
          <w:rFonts w:ascii="Times New Roman" w:hAnsi="Times New Roman" w:cs="Times New Roman"/>
        </w:rPr>
        <w:t>icipates</w:t>
      </w:r>
      <w:r w:rsidRPr="004D4756">
        <w:rPr>
          <w:rFonts w:ascii="Times New Roman" w:hAnsi="Times New Roman" w:cs="Times New Roman"/>
        </w:rPr>
        <w:t xml:space="preserve"> in the Massachusetts Community and Banking Council’s Basic Banking in Massachusetts guidelines.  This statewide program offers low-cost checking and saving accounts, which assists in increasing access to financial services for low- and moderate-income individuals</w:t>
      </w:r>
      <w:bookmarkStart w:id="3" w:name="_Toc18417782"/>
      <w:bookmarkStart w:id="4" w:name="_Toc56158548"/>
      <w:r w:rsidR="00D529DC">
        <w:rPr>
          <w:rFonts w:ascii="Times New Roman" w:hAnsi="Times New Roman" w:cs="Times New Roman"/>
        </w:rPr>
        <w:t>.</w:t>
      </w:r>
    </w:p>
    <w:p w14:paraId="5A390745" w14:textId="77777777" w:rsidR="006F6E37" w:rsidRDefault="006F6E37" w:rsidP="00482C33">
      <w:pPr>
        <w:rPr>
          <w:b/>
          <w:bCs/>
          <w:spacing w:val="-3"/>
          <w:sz w:val="28"/>
          <w:szCs w:val="20"/>
        </w:rPr>
      </w:pPr>
    </w:p>
    <w:p w14:paraId="0D726192" w14:textId="7078826F" w:rsidR="00482C33" w:rsidRDefault="00482C33" w:rsidP="00482C33">
      <w:pPr>
        <w:rPr>
          <w:bCs/>
        </w:rPr>
      </w:pPr>
      <w:r w:rsidRPr="00C760CF">
        <w:rPr>
          <w:b/>
          <w:bCs/>
          <w:spacing w:val="-3"/>
          <w:sz w:val="28"/>
          <w:szCs w:val="20"/>
        </w:rPr>
        <w:t>DISCRIMINATORY OR OTHER ILLEGAL CREDIT PRACTICES REVIEW</w:t>
      </w:r>
      <w:bookmarkEnd w:id="3"/>
      <w:bookmarkEnd w:id="4"/>
    </w:p>
    <w:p w14:paraId="4C41E850" w14:textId="77777777" w:rsidR="00482C33" w:rsidRDefault="00482C33" w:rsidP="00482C33">
      <w:pPr>
        <w:rPr>
          <w:bCs/>
        </w:rPr>
      </w:pPr>
    </w:p>
    <w:p w14:paraId="217967E4" w14:textId="77777777" w:rsidR="00531C74" w:rsidRDefault="00482C33" w:rsidP="00531C74">
      <w:pPr>
        <w:rPr>
          <w:bCs/>
        </w:rPr>
      </w:pPr>
      <w:r>
        <w:rPr>
          <w:bCs/>
        </w:rPr>
        <w:t>Examiners did not identify any evidence of discriminatory or other illegal credit practices; therefore, this consideration did not affect the in</w:t>
      </w:r>
      <w:r w:rsidR="00531C74">
        <w:rPr>
          <w:bCs/>
        </w:rPr>
        <w:t xml:space="preserve">stitution’s overall CRA rating.  </w:t>
      </w:r>
    </w:p>
    <w:p w14:paraId="71C5980A" w14:textId="77777777" w:rsidR="00531C74" w:rsidRDefault="00531C74" w:rsidP="00531C74">
      <w:pPr>
        <w:rPr>
          <w:bCs/>
        </w:rPr>
      </w:pPr>
    </w:p>
    <w:p w14:paraId="00AD3349" w14:textId="46382A53" w:rsidR="00482C33" w:rsidRDefault="00482C33" w:rsidP="00531C74">
      <w:pPr>
        <w:rPr>
          <w:rFonts w:eastAsia="Calibri"/>
          <w:b/>
          <w:spacing w:val="-4"/>
        </w:rPr>
      </w:pPr>
      <w:r>
        <w:rPr>
          <w:rFonts w:eastAsia="Calibri"/>
          <w:b/>
          <w:spacing w:val="-4"/>
        </w:rPr>
        <w:t xml:space="preserve">FAIR LENDING POLICIES AND PROCEDURES </w:t>
      </w:r>
    </w:p>
    <w:p w14:paraId="73BC86AB" w14:textId="77777777" w:rsidR="00531C74" w:rsidRDefault="00531C74" w:rsidP="00531C74">
      <w:pPr>
        <w:rPr>
          <w:b/>
          <w:i/>
          <w:spacing w:val="-4"/>
        </w:rPr>
      </w:pPr>
    </w:p>
    <w:p w14:paraId="5F715960" w14:textId="31A88637" w:rsidR="00531C74" w:rsidRDefault="00531C74" w:rsidP="00531C74">
      <w:r w:rsidRPr="00357DD5">
        <w:t xml:space="preserve">Examiners reviewed the </w:t>
      </w:r>
      <w:r w:rsidR="004B6820">
        <w:t>b</w:t>
      </w:r>
      <w:r w:rsidRPr="00357DD5">
        <w:t xml:space="preserve">ank’s 2018 and 2019 HMDA LARs to determine if the </w:t>
      </w:r>
      <w:r w:rsidR="004B6820">
        <w:t>b</w:t>
      </w:r>
      <w:r w:rsidRPr="00357DD5">
        <w:t>ank’s application flow from different racial and ethnic groups reflected the assessment area’s demographics.</w:t>
      </w:r>
    </w:p>
    <w:p w14:paraId="475EC7BC" w14:textId="77777777" w:rsidR="00531C74" w:rsidRPr="00357DD5" w:rsidRDefault="00531C74" w:rsidP="00531C74"/>
    <w:p w14:paraId="1A7EA93E" w14:textId="2931C286" w:rsidR="00531C74" w:rsidRDefault="00531C74" w:rsidP="00531C74">
      <w:r w:rsidRPr="00357DD5">
        <w:t xml:space="preserve">According to 2015 ACS U.S. Census data, the </w:t>
      </w:r>
      <w:r w:rsidR="00113F76">
        <w:t>b</w:t>
      </w:r>
      <w:r w:rsidRPr="00357DD5">
        <w:t>ank’s assessment area contains a population of 344,592 individuals, of which 32.3 percent are minorities.  The assessment area’s minority population is 2.1 percent Black/African American, 8.5 percent Asian, 0.1 percent American Indian, 19.7 percent Hispanic or Latino, and 1.9 percent Other.</w:t>
      </w:r>
    </w:p>
    <w:p w14:paraId="267B2A90" w14:textId="77777777" w:rsidR="00531C74" w:rsidRPr="00357DD5" w:rsidRDefault="00531C74" w:rsidP="00531C74"/>
    <w:p w14:paraId="082F828C" w14:textId="59AA5FDB" w:rsidR="00531C74" w:rsidRDefault="00531C74" w:rsidP="00531C74">
      <w:r w:rsidRPr="00357DD5">
        <w:t xml:space="preserve">In 2018, the </w:t>
      </w:r>
      <w:r w:rsidR="00113F76">
        <w:t>b</w:t>
      </w:r>
      <w:r w:rsidRPr="00357DD5">
        <w:t xml:space="preserve">ank received 82 HMDA-reportable loan applications from within its assessment area.  Of these applications, the </w:t>
      </w:r>
      <w:r w:rsidR="00113F76">
        <w:t>b</w:t>
      </w:r>
      <w:r w:rsidRPr="00357DD5">
        <w:t xml:space="preserve">ank received 2, or 2.4 percent, from racial minorities, 2 of which were originated.  Compare to aggregate data, which indicates 14.4 percent of applications were received from racial minorities.  For the same period, the </w:t>
      </w:r>
      <w:r w:rsidR="00113F76">
        <w:t>b</w:t>
      </w:r>
      <w:r w:rsidRPr="00357DD5">
        <w:t>ank received no applications from Hispanic applicants.  The aggregate data indicated 8.9 percent of applications were received from Hispanic applicants.</w:t>
      </w:r>
    </w:p>
    <w:p w14:paraId="36361C79" w14:textId="77777777" w:rsidR="00531C74" w:rsidRPr="00357DD5" w:rsidRDefault="00531C74" w:rsidP="00531C74"/>
    <w:p w14:paraId="21AFF23A" w14:textId="42033441" w:rsidR="00531C74" w:rsidRDefault="00531C74" w:rsidP="00531C74">
      <w:r w:rsidRPr="00357DD5">
        <w:t xml:space="preserve">In 2019, the </w:t>
      </w:r>
      <w:r w:rsidR="00113F76">
        <w:t>b</w:t>
      </w:r>
      <w:r w:rsidRPr="00357DD5">
        <w:t xml:space="preserve">ank received 94 HMDA-reportable loan applications from within its assessment area.  Of all HMDA-reportable applications received in 2019, the </w:t>
      </w:r>
      <w:r w:rsidR="00113F76">
        <w:t>b</w:t>
      </w:r>
      <w:r w:rsidRPr="00357DD5">
        <w:t xml:space="preserve">ank received 2, or 2.1 percent, from racial minorities, of which, 1 was originated.  Compare to aggregate data, which indicates 14.0 percent of applications were received from racial minorities.  For the same period, the </w:t>
      </w:r>
      <w:r w:rsidR="00113F76">
        <w:t>b</w:t>
      </w:r>
      <w:r w:rsidRPr="00357DD5">
        <w:t>ank received 2 applications, or 2.1 percent, from Hispanic applicants, of which 1 was originated.  Aggregate data indicates 12.2 percent of total applications were received from Hispanic applicants in 2019.</w:t>
      </w:r>
    </w:p>
    <w:p w14:paraId="4F0DDA91" w14:textId="77777777" w:rsidR="00531C74" w:rsidRPr="00357DD5" w:rsidRDefault="00531C74" w:rsidP="00531C74"/>
    <w:p w14:paraId="75EC6BD7" w14:textId="0FF88B31" w:rsidR="00531C74" w:rsidRDefault="00531C74" w:rsidP="00531C74">
      <w:r w:rsidRPr="00357DD5">
        <w:t xml:space="preserve">The </w:t>
      </w:r>
      <w:r w:rsidR="00113F76">
        <w:t>b</w:t>
      </w:r>
      <w:r w:rsidRPr="00357DD5">
        <w:t>ank’s performance in 2018 and 2019 with respect to applications received from both racial and ethnic minorities fell below the aggregate.</w:t>
      </w:r>
    </w:p>
    <w:p w14:paraId="66E2BE55" w14:textId="77777777" w:rsidR="00531C74" w:rsidRPr="00357DD5" w:rsidRDefault="00531C74" w:rsidP="00531C74"/>
    <w:p w14:paraId="19A0E37E" w14:textId="5E7B1807" w:rsidR="00531C74" w:rsidRDefault="00531C74" w:rsidP="00531C74">
      <w:r w:rsidRPr="00357DD5">
        <w:t xml:space="preserve">The following table details the </w:t>
      </w:r>
      <w:r w:rsidR="00113F76">
        <w:t>b</w:t>
      </w:r>
      <w:r w:rsidRPr="00357DD5">
        <w:t>ank’s minority application flow and aggregate data in its assessment area.</w:t>
      </w:r>
    </w:p>
    <w:p w14:paraId="4C4DF01E" w14:textId="77777777" w:rsidR="008A361F" w:rsidRPr="00357DD5" w:rsidRDefault="008A361F" w:rsidP="00531C74"/>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753"/>
        <w:gridCol w:w="979"/>
        <w:gridCol w:w="1168"/>
        <w:gridCol w:w="720"/>
        <w:gridCol w:w="900"/>
        <w:gridCol w:w="1262"/>
      </w:tblGrid>
      <w:tr w:rsidR="00531C74" w:rsidRPr="00357DD5" w14:paraId="181D837D" w14:textId="77777777" w:rsidTr="00396077">
        <w:trPr>
          <w:jc w:val="center"/>
        </w:trPr>
        <w:tc>
          <w:tcPr>
            <w:tcW w:w="8797" w:type="dxa"/>
            <w:gridSpan w:val="7"/>
          </w:tcPr>
          <w:p w14:paraId="265B501F" w14:textId="77777777" w:rsidR="00531C74" w:rsidRPr="00357DD5" w:rsidRDefault="00531C74" w:rsidP="0012587E">
            <w:pPr>
              <w:jc w:val="center"/>
              <w:rPr>
                <w:b/>
                <w:sz w:val="20"/>
                <w:szCs w:val="20"/>
              </w:rPr>
            </w:pPr>
            <w:r w:rsidRPr="00357DD5">
              <w:rPr>
                <w:b/>
                <w:sz w:val="20"/>
                <w:szCs w:val="20"/>
              </w:rPr>
              <w:t>MINORITY APPLICATION FLOW</w:t>
            </w:r>
          </w:p>
        </w:tc>
      </w:tr>
      <w:tr w:rsidR="00531C74" w:rsidRPr="00357DD5" w14:paraId="039C82AD" w14:textId="77777777" w:rsidTr="00396077">
        <w:trPr>
          <w:cantSplit/>
          <w:jc w:val="center"/>
        </w:trPr>
        <w:tc>
          <w:tcPr>
            <w:tcW w:w="3015" w:type="dxa"/>
            <w:vMerge w:val="restart"/>
          </w:tcPr>
          <w:p w14:paraId="3F4A1E2A" w14:textId="77777777" w:rsidR="00531C74" w:rsidRPr="00357DD5" w:rsidRDefault="00531C74" w:rsidP="0012587E">
            <w:pPr>
              <w:keepNext/>
              <w:tabs>
                <w:tab w:val="left" w:pos="480"/>
                <w:tab w:val="left" w:pos="960"/>
                <w:tab w:val="left" w:pos="6840"/>
              </w:tabs>
              <w:jc w:val="both"/>
              <w:outlineLvl w:val="0"/>
              <w:rPr>
                <w:spacing w:val="-3"/>
                <w:sz w:val="20"/>
                <w:szCs w:val="20"/>
              </w:rPr>
            </w:pPr>
          </w:p>
          <w:p w14:paraId="1973FD3D" w14:textId="77777777" w:rsidR="00531C74" w:rsidRPr="00357DD5" w:rsidRDefault="00531C74" w:rsidP="0012587E">
            <w:pPr>
              <w:jc w:val="center"/>
              <w:rPr>
                <w:b/>
                <w:spacing w:val="-3"/>
                <w:sz w:val="20"/>
                <w:szCs w:val="20"/>
              </w:rPr>
            </w:pPr>
            <w:r w:rsidRPr="00357DD5">
              <w:rPr>
                <w:b/>
                <w:spacing w:val="-3"/>
                <w:sz w:val="20"/>
                <w:szCs w:val="20"/>
              </w:rPr>
              <w:t>RACE</w:t>
            </w:r>
          </w:p>
        </w:tc>
        <w:tc>
          <w:tcPr>
            <w:tcW w:w="1732" w:type="dxa"/>
            <w:gridSpan w:val="2"/>
          </w:tcPr>
          <w:p w14:paraId="11C6C7AF" w14:textId="77777777" w:rsidR="00531C74" w:rsidRPr="00357DD5" w:rsidRDefault="00531C74" w:rsidP="0012587E">
            <w:pPr>
              <w:jc w:val="center"/>
              <w:rPr>
                <w:b/>
                <w:sz w:val="20"/>
                <w:szCs w:val="20"/>
              </w:rPr>
            </w:pPr>
          </w:p>
          <w:p w14:paraId="11E732BC" w14:textId="77777777" w:rsidR="00531C74" w:rsidRPr="00357DD5" w:rsidRDefault="00531C74" w:rsidP="0012587E">
            <w:pPr>
              <w:jc w:val="center"/>
              <w:rPr>
                <w:b/>
                <w:sz w:val="20"/>
                <w:szCs w:val="20"/>
              </w:rPr>
            </w:pPr>
            <w:r w:rsidRPr="00357DD5">
              <w:rPr>
                <w:b/>
                <w:sz w:val="20"/>
                <w:szCs w:val="20"/>
              </w:rPr>
              <w:t>Bank 2018</w:t>
            </w:r>
          </w:p>
        </w:tc>
        <w:tc>
          <w:tcPr>
            <w:tcW w:w="1168" w:type="dxa"/>
            <w:shd w:val="clear" w:color="auto" w:fill="D9D9D9"/>
          </w:tcPr>
          <w:p w14:paraId="6D920593" w14:textId="77777777" w:rsidR="00531C74" w:rsidRPr="00357DD5" w:rsidRDefault="00531C74" w:rsidP="0012587E">
            <w:pPr>
              <w:jc w:val="center"/>
              <w:rPr>
                <w:b/>
                <w:spacing w:val="-3"/>
                <w:sz w:val="20"/>
                <w:szCs w:val="20"/>
              </w:rPr>
            </w:pPr>
            <w:r w:rsidRPr="00357DD5">
              <w:rPr>
                <w:b/>
                <w:spacing w:val="-3"/>
                <w:sz w:val="20"/>
                <w:szCs w:val="20"/>
              </w:rPr>
              <w:t>2018</w:t>
            </w:r>
          </w:p>
          <w:p w14:paraId="15ECC9D9" w14:textId="77777777" w:rsidR="00531C74" w:rsidRPr="00357DD5" w:rsidRDefault="00531C74" w:rsidP="0012587E">
            <w:pPr>
              <w:jc w:val="center"/>
              <w:rPr>
                <w:b/>
                <w:spacing w:val="-3"/>
                <w:sz w:val="20"/>
                <w:szCs w:val="20"/>
              </w:rPr>
            </w:pPr>
            <w:r w:rsidRPr="00357DD5">
              <w:rPr>
                <w:b/>
                <w:spacing w:val="-3"/>
                <w:sz w:val="20"/>
                <w:szCs w:val="20"/>
              </w:rPr>
              <w:t>Aggregate Data</w:t>
            </w:r>
          </w:p>
        </w:tc>
        <w:tc>
          <w:tcPr>
            <w:tcW w:w="1620" w:type="dxa"/>
            <w:gridSpan w:val="2"/>
          </w:tcPr>
          <w:p w14:paraId="38083D9C" w14:textId="77777777" w:rsidR="00531C74" w:rsidRPr="00357DD5" w:rsidRDefault="00531C74" w:rsidP="0012587E">
            <w:pPr>
              <w:jc w:val="center"/>
              <w:rPr>
                <w:b/>
                <w:spacing w:val="-3"/>
                <w:sz w:val="20"/>
                <w:szCs w:val="20"/>
              </w:rPr>
            </w:pPr>
          </w:p>
          <w:p w14:paraId="2F3050DB" w14:textId="77777777" w:rsidR="00531C74" w:rsidRPr="00357DD5" w:rsidRDefault="00531C74" w:rsidP="0012587E">
            <w:pPr>
              <w:jc w:val="center"/>
              <w:rPr>
                <w:b/>
                <w:spacing w:val="-3"/>
                <w:sz w:val="20"/>
                <w:szCs w:val="20"/>
              </w:rPr>
            </w:pPr>
            <w:r w:rsidRPr="00357DD5">
              <w:rPr>
                <w:b/>
                <w:spacing w:val="-3"/>
                <w:sz w:val="20"/>
                <w:szCs w:val="20"/>
              </w:rPr>
              <w:t>Bank 2019</w:t>
            </w:r>
          </w:p>
        </w:tc>
        <w:tc>
          <w:tcPr>
            <w:tcW w:w="1262" w:type="dxa"/>
            <w:shd w:val="clear" w:color="auto" w:fill="D9D9D9"/>
          </w:tcPr>
          <w:p w14:paraId="6B9AAA76" w14:textId="77777777" w:rsidR="00531C74" w:rsidRPr="00357DD5" w:rsidRDefault="00531C74" w:rsidP="0012587E">
            <w:pPr>
              <w:jc w:val="center"/>
              <w:rPr>
                <w:b/>
                <w:spacing w:val="-3"/>
                <w:sz w:val="20"/>
                <w:szCs w:val="20"/>
              </w:rPr>
            </w:pPr>
            <w:r w:rsidRPr="00357DD5">
              <w:rPr>
                <w:b/>
                <w:spacing w:val="-3"/>
                <w:sz w:val="20"/>
                <w:szCs w:val="20"/>
              </w:rPr>
              <w:t>2019</w:t>
            </w:r>
          </w:p>
          <w:p w14:paraId="278A66F5" w14:textId="77777777" w:rsidR="00531C74" w:rsidRPr="00357DD5" w:rsidRDefault="00531C74" w:rsidP="0012587E">
            <w:pPr>
              <w:jc w:val="center"/>
              <w:rPr>
                <w:b/>
                <w:spacing w:val="-3"/>
                <w:sz w:val="20"/>
                <w:szCs w:val="20"/>
              </w:rPr>
            </w:pPr>
            <w:r w:rsidRPr="00357DD5">
              <w:rPr>
                <w:b/>
                <w:spacing w:val="-3"/>
                <w:sz w:val="20"/>
                <w:szCs w:val="20"/>
              </w:rPr>
              <w:t>Aggregate Data</w:t>
            </w:r>
          </w:p>
        </w:tc>
      </w:tr>
      <w:tr w:rsidR="00531C74" w:rsidRPr="00357DD5" w14:paraId="7583B67C" w14:textId="77777777" w:rsidTr="00396077">
        <w:trPr>
          <w:cantSplit/>
          <w:jc w:val="center"/>
        </w:trPr>
        <w:tc>
          <w:tcPr>
            <w:tcW w:w="3015" w:type="dxa"/>
            <w:vMerge/>
          </w:tcPr>
          <w:p w14:paraId="264DC6C5" w14:textId="77777777" w:rsidR="00531C74" w:rsidRPr="00357DD5" w:rsidRDefault="00531C74" w:rsidP="0012587E">
            <w:pPr>
              <w:keepNext/>
              <w:tabs>
                <w:tab w:val="left" w:pos="480"/>
                <w:tab w:val="left" w:pos="960"/>
                <w:tab w:val="left" w:pos="6840"/>
              </w:tabs>
              <w:jc w:val="both"/>
              <w:outlineLvl w:val="0"/>
              <w:rPr>
                <w:color w:val="FF0000"/>
                <w:spacing w:val="-3"/>
                <w:sz w:val="20"/>
                <w:szCs w:val="20"/>
              </w:rPr>
            </w:pPr>
          </w:p>
        </w:tc>
        <w:tc>
          <w:tcPr>
            <w:tcW w:w="753" w:type="dxa"/>
          </w:tcPr>
          <w:p w14:paraId="10CF3595" w14:textId="77777777" w:rsidR="00531C74" w:rsidRPr="00357DD5" w:rsidRDefault="00531C74" w:rsidP="0012587E">
            <w:pPr>
              <w:jc w:val="center"/>
              <w:rPr>
                <w:spacing w:val="-3"/>
                <w:sz w:val="20"/>
                <w:szCs w:val="20"/>
              </w:rPr>
            </w:pPr>
            <w:r w:rsidRPr="00357DD5">
              <w:rPr>
                <w:spacing w:val="-3"/>
                <w:sz w:val="20"/>
                <w:szCs w:val="20"/>
              </w:rPr>
              <w:t>#</w:t>
            </w:r>
          </w:p>
        </w:tc>
        <w:tc>
          <w:tcPr>
            <w:tcW w:w="979" w:type="dxa"/>
          </w:tcPr>
          <w:p w14:paraId="78474993" w14:textId="77777777" w:rsidR="00531C74" w:rsidRPr="00357DD5" w:rsidRDefault="00531C74" w:rsidP="0012587E">
            <w:pPr>
              <w:jc w:val="center"/>
              <w:rPr>
                <w:spacing w:val="-3"/>
                <w:sz w:val="20"/>
                <w:szCs w:val="20"/>
              </w:rPr>
            </w:pPr>
            <w:r w:rsidRPr="00357DD5">
              <w:rPr>
                <w:spacing w:val="-3"/>
                <w:sz w:val="20"/>
                <w:szCs w:val="20"/>
              </w:rPr>
              <w:t>%</w:t>
            </w:r>
          </w:p>
        </w:tc>
        <w:tc>
          <w:tcPr>
            <w:tcW w:w="1168" w:type="dxa"/>
            <w:shd w:val="clear" w:color="auto" w:fill="D9D9D9"/>
          </w:tcPr>
          <w:p w14:paraId="61DE924C" w14:textId="77777777" w:rsidR="00531C74" w:rsidRPr="00357DD5" w:rsidRDefault="00531C74" w:rsidP="0012587E">
            <w:pPr>
              <w:jc w:val="center"/>
              <w:rPr>
                <w:spacing w:val="-3"/>
                <w:sz w:val="20"/>
                <w:szCs w:val="20"/>
              </w:rPr>
            </w:pPr>
            <w:r w:rsidRPr="00357DD5">
              <w:rPr>
                <w:spacing w:val="-3"/>
                <w:sz w:val="20"/>
                <w:szCs w:val="20"/>
              </w:rPr>
              <w:t>%</w:t>
            </w:r>
          </w:p>
        </w:tc>
        <w:tc>
          <w:tcPr>
            <w:tcW w:w="720" w:type="dxa"/>
          </w:tcPr>
          <w:p w14:paraId="329F5E3A" w14:textId="77777777" w:rsidR="00531C74" w:rsidRPr="00357DD5" w:rsidRDefault="00531C74" w:rsidP="0012587E">
            <w:pPr>
              <w:jc w:val="center"/>
              <w:rPr>
                <w:spacing w:val="-3"/>
                <w:sz w:val="20"/>
                <w:szCs w:val="20"/>
              </w:rPr>
            </w:pPr>
            <w:r w:rsidRPr="00357DD5">
              <w:rPr>
                <w:spacing w:val="-3"/>
                <w:sz w:val="20"/>
                <w:szCs w:val="20"/>
              </w:rPr>
              <w:t>#</w:t>
            </w:r>
          </w:p>
        </w:tc>
        <w:tc>
          <w:tcPr>
            <w:tcW w:w="900" w:type="dxa"/>
          </w:tcPr>
          <w:p w14:paraId="26EEB123" w14:textId="77777777" w:rsidR="00531C74" w:rsidRPr="00357DD5" w:rsidRDefault="00531C74" w:rsidP="0012587E">
            <w:pPr>
              <w:jc w:val="center"/>
              <w:rPr>
                <w:spacing w:val="-3"/>
                <w:sz w:val="20"/>
                <w:szCs w:val="20"/>
              </w:rPr>
            </w:pPr>
            <w:r w:rsidRPr="00357DD5">
              <w:rPr>
                <w:spacing w:val="-3"/>
                <w:sz w:val="20"/>
                <w:szCs w:val="20"/>
              </w:rPr>
              <w:t>%</w:t>
            </w:r>
          </w:p>
        </w:tc>
        <w:tc>
          <w:tcPr>
            <w:tcW w:w="1262" w:type="dxa"/>
            <w:shd w:val="clear" w:color="auto" w:fill="D9D9D9"/>
          </w:tcPr>
          <w:p w14:paraId="2E0E4BEE" w14:textId="77777777" w:rsidR="00531C74" w:rsidRPr="00357DD5" w:rsidRDefault="00531C74" w:rsidP="0012587E">
            <w:pPr>
              <w:jc w:val="center"/>
              <w:rPr>
                <w:spacing w:val="-3"/>
                <w:sz w:val="20"/>
                <w:szCs w:val="20"/>
              </w:rPr>
            </w:pPr>
            <w:r w:rsidRPr="00357DD5">
              <w:rPr>
                <w:spacing w:val="-3"/>
                <w:sz w:val="20"/>
                <w:szCs w:val="20"/>
              </w:rPr>
              <w:t>%</w:t>
            </w:r>
          </w:p>
        </w:tc>
      </w:tr>
      <w:tr w:rsidR="00531C74" w:rsidRPr="00357DD5" w14:paraId="010BCF85" w14:textId="77777777" w:rsidTr="00396077">
        <w:trPr>
          <w:jc w:val="center"/>
        </w:trPr>
        <w:tc>
          <w:tcPr>
            <w:tcW w:w="3015" w:type="dxa"/>
          </w:tcPr>
          <w:p w14:paraId="58FCA8C2" w14:textId="77777777" w:rsidR="00531C74" w:rsidRPr="00357DD5" w:rsidRDefault="00531C74" w:rsidP="0012587E">
            <w:pPr>
              <w:rPr>
                <w:spacing w:val="-3"/>
                <w:sz w:val="20"/>
                <w:szCs w:val="20"/>
              </w:rPr>
            </w:pPr>
            <w:r w:rsidRPr="00357DD5">
              <w:rPr>
                <w:spacing w:val="-3"/>
                <w:sz w:val="20"/>
                <w:szCs w:val="20"/>
              </w:rPr>
              <w:t>American Indian/ Alaska Native</w:t>
            </w:r>
          </w:p>
        </w:tc>
        <w:tc>
          <w:tcPr>
            <w:tcW w:w="753" w:type="dxa"/>
          </w:tcPr>
          <w:p w14:paraId="6FE3021A" w14:textId="77777777" w:rsidR="00531C74" w:rsidRPr="00357DD5" w:rsidRDefault="00531C74" w:rsidP="0012587E">
            <w:pPr>
              <w:jc w:val="center"/>
              <w:rPr>
                <w:spacing w:val="-3"/>
                <w:sz w:val="20"/>
                <w:szCs w:val="20"/>
              </w:rPr>
            </w:pPr>
            <w:r w:rsidRPr="00357DD5">
              <w:rPr>
                <w:spacing w:val="-3"/>
                <w:sz w:val="20"/>
                <w:szCs w:val="20"/>
              </w:rPr>
              <w:t>0</w:t>
            </w:r>
          </w:p>
        </w:tc>
        <w:tc>
          <w:tcPr>
            <w:tcW w:w="979" w:type="dxa"/>
          </w:tcPr>
          <w:p w14:paraId="72D4814D" w14:textId="77777777" w:rsidR="00531C74" w:rsidRPr="00357DD5" w:rsidRDefault="00531C74" w:rsidP="0012587E">
            <w:pPr>
              <w:jc w:val="center"/>
              <w:rPr>
                <w:spacing w:val="-3"/>
                <w:sz w:val="20"/>
                <w:szCs w:val="20"/>
              </w:rPr>
            </w:pPr>
            <w:r w:rsidRPr="00357DD5">
              <w:rPr>
                <w:spacing w:val="-3"/>
                <w:sz w:val="20"/>
                <w:szCs w:val="20"/>
              </w:rPr>
              <w:t>0.0</w:t>
            </w:r>
          </w:p>
        </w:tc>
        <w:tc>
          <w:tcPr>
            <w:tcW w:w="1168" w:type="dxa"/>
            <w:shd w:val="clear" w:color="auto" w:fill="D9D9D9"/>
          </w:tcPr>
          <w:p w14:paraId="5D714980" w14:textId="77777777" w:rsidR="00531C74" w:rsidRPr="00357DD5" w:rsidRDefault="00531C74" w:rsidP="0012587E">
            <w:pPr>
              <w:jc w:val="center"/>
              <w:rPr>
                <w:sz w:val="20"/>
                <w:szCs w:val="20"/>
              </w:rPr>
            </w:pPr>
            <w:r w:rsidRPr="00357DD5">
              <w:rPr>
                <w:sz w:val="20"/>
                <w:szCs w:val="20"/>
              </w:rPr>
              <w:t>0.3</w:t>
            </w:r>
          </w:p>
        </w:tc>
        <w:tc>
          <w:tcPr>
            <w:tcW w:w="720" w:type="dxa"/>
          </w:tcPr>
          <w:p w14:paraId="5E1DAE4E" w14:textId="77777777" w:rsidR="00531C74" w:rsidRPr="00357DD5" w:rsidRDefault="00531C74" w:rsidP="0012587E">
            <w:pPr>
              <w:jc w:val="center"/>
              <w:rPr>
                <w:spacing w:val="-3"/>
                <w:sz w:val="20"/>
                <w:szCs w:val="20"/>
              </w:rPr>
            </w:pPr>
            <w:r w:rsidRPr="00357DD5">
              <w:rPr>
                <w:spacing w:val="-3"/>
                <w:sz w:val="20"/>
                <w:szCs w:val="20"/>
              </w:rPr>
              <w:t>0</w:t>
            </w:r>
          </w:p>
        </w:tc>
        <w:tc>
          <w:tcPr>
            <w:tcW w:w="900" w:type="dxa"/>
          </w:tcPr>
          <w:p w14:paraId="33B4DB60" w14:textId="77777777" w:rsidR="00531C74" w:rsidRPr="00357DD5" w:rsidRDefault="00531C74" w:rsidP="0012587E">
            <w:pPr>
              <w:jc w:val="center"/>
              <w:rPr>
                <w:spacing w:val="-3"/>
                <w:sz w:val="20"/>
                <w:szCs w:val="20"/>
              </w:rPr>
            </w:pPr>
            <w:r w:rsidRPr="00357DD5">
              <w:rPr>
                <w:spacing w:val="-3"/>
                <w:sz w:val="20"/>
                <w:szCs w:val="20"/>
              </w:rPr>
              <w:t>0.0</w:t>
            </w:r>
          </w:p>
        </w:tc>
        <w:tc>
          <w:tcPr>
            <w:tcW w:w="1262" w:type="dxa"/>
            <w:shd w:val="clear" w:color="auto" w:fill="D9D9D9"/>
          </w:tcPr>
          <w:p w14:paraId="3C50C113" w14:textId="77777777" w:rsidR="00531C74" w:rsidRPr="00357DD5" w:rsidRDefault="00531C74" w:rsidP="0012587E">
            <w:pPr>
              <w:jc w:val="center"/>
              <w:rPr>
                <w:spacing w:val="-3"/>
                <w:sz w:val="20"/>
                <w:szCs w:val="20"/>
              </w:rPr>
            </w:pPr>
            <w:r w:rsidRPr="00357DD5">
              <w:rPr>
                <w:spacing w:val="-3"/>
                <w:sz w:val="20"/>
                <w:szCs w:val="20"/>
              </w:rPr>
              <w:t>0.3</w:t>
            </w:r>
          </w:p>
        </w:tc>
      </w:tr>
      <w:tr w:rsidR="00531C74" w:rsidRPr="00357DD5" w14:paraId="44D61D36" w14:textId="77777777" w:rsidTr="00396077">
        <w:trPr>
          <w:jc w:val="center"/>
        </w:trPr>
        <w:tc>
          <w:tcPr>
            <w:tcW w:w="3015" w:type="dxa"/>
          </w:tcPr>
          <w:p w14:paraId="3D24DE15" w14:textId="77777777" w:rsidR="00531C74" w:rsidRPr="00357DD5" w:rsidRDefault="00531C74" w:rsidP="0012587E">
            <w:pPr>
              <w:rPr>
                <w:spacing w:val="-3"/>
                <w:sz w:val="20"/>
                <w:szCs w:val="20"/>
              </w:rPr>
            </w:pPr>
            <w:r w:rsidRPr="00357DD5">
              <w:rPr>
                <w:spacing w:val="-3"/>
                <w:sz w:val="20"/>
                <w:szCs w:val="20"/>
              </w:rPr>
              <w:t>Asian</w:t>
            </w:r>
          </w:p>
        </w:tc>
        <w:tc>
          <w:tcPr>
            <w:tcW w:w="753" w:type="dxa"/>
          </w:tcPr>
          <w:p w14:paraId="4A68B162" w14:textId="77777777" w:rsidR="00531C74" w:rsidRPr="00357DD5" w:rsidRDefault="00531C74" w:rsidP="0012587E">
            <w:pPr>
              <w:jc w:val="center"/>
              <w:rPr>
                <w:spacing w:val="-3"/>
                <w:sz w:val="20"/>
                <w:szCs w:val="20"/>
              </w:rPr>
            </w:pPr>
            <w:r w:rsidRPr="00357DD5">
              <w:rPr>
                <w:spacing w:val="-3"/>
                <w:sz w:val="20"/>
                <w:szCs w:val="20"/>
              </w:rPr>
              <w:t>2</w:t>
            </w:r>
          </w:p>
        </w:tc>
        <w:tc>
          <w:tcPr>
            <w:tcW w:w="979" w:type="dxa"/>
          </w:tcPr>
          <w:p w14:paraId="2D69D52B" w14:textId="77777777" w:rsidR="00531C74" w:rsidRPr="00357DD5" w:rsidRDefault="00531C74" w:rsidP="0012587E">
            <w:pPr>
              <w:jc w:val="center"/>
              <w:rPr>
                <w:spacing w:val="-3"/>
                <w:sz w:val="20"/>
                <w:szCs w:val="20"/>
              </w:rPr>
            </w:pPr>
            <w:r w:rsidRPr="00357DD5">
              <w:rPr>
                <w:spacing w:val="-3"/>
                <w:sz w:val="20"/>
                <w:szCs w:val="20"/>
              </w:rPr>
              <w:t>2.4</w:t>
            </w:r>
          </w:p>
        </w:tc>
        <w:tc>
          <w:tcPr>
            <w:tcW w:w="1168" w:type="dxa"/>
            <w:shd w:val="clear" w:color="auto" w:fill="D9D9D9"/>
          </w:tcPr>
          <w:p w14:paraId="5023A0EC" w14:textId="77777777" w:rsidR="00531C74" w:rsidRPr="00357DD5" w:rsidRDefault="00531C74" w:rsidP="0012587E">
            <w:pPr>
              <w:jc w:val="center"/>
              <w:rPr>
                <w:sz w:val="20"/>
                <w:szCs w:val="20"/>
              </w:rPr>
            </w:pPr>
            <w:r w:rsidRPr="00357DD5">
              <w:rPr>
                <w:sz w:val="20"/>
                <w:szCs w:val="20"/>
              </w:rPr>
              <w:t>9.4</w:t>
            </w:r>
          </w:p>
        </w:tc>
        <w:tc>
          <w:tcPr>
            <w:tcW w:w="720" w:type="dxa"/>
          </w:tcPr>
          <w:p w14:paraId="01E15076" w14:textId="77777777" w:rsidR="00531C74" w:rsidRPr="00357DD5" w:rsidRDefault="00531C74" w:rsidP="0012587E">
            <w:pPr>
              <w:jc w:val="center"/>
              <w:rPr>
                <w:spacing w:val="-3"/>
                <w:sz w:val="20"/>
                <w:szCs w:val="20"/>
              </w:rPr>
            </w:pPr>
            <w:r w:rsidRPr="00357DD5">
              <w:rPr>
                <w:spacing w:val="-3"/>
                <w:sz w:val="20"/>
                <w:szCs w:val="20"/>
              </w:rPr>
              <w:t>2</w:t>
            </w:r>
          </w:p>
        </w:tc>
        <w:tc>
          <w:tcPr>
            <w:tcW w:w="900" w:type="dxa"/>
          </w:tcPr>
          <w:p w14:paraId="3BD8605C" w14:textId="77777777" w:rsidR="00531C74" w:rsidRPr="00357DD5" w:rsidRDefault="00531C74" w:rsidP="0012587E">
            <w:pPr>
              <w:jc w:val="center"/>
              <w:rPr>
                <w:spacing w:val="-3"/>
                <w:sz w:val="20"/>
                <w:szCs w:val="20"/>
              </w:rPr>
            </w:pPr>
            <w:r w:rsidRPr="00357DD5">
              <w:rPr>
                <w:spacing w:val="-3"/>
                <w:sz w:val="20"/>
                <w:szCs w:val="20"/>
              </w:rPr>
              <w:t>2.1</w:t>
            </w:r>
          </w:p>
        </w:tc>
        <w:tc>
          <w:tcPr>
            <w:tcW w:w="1262" w:type="dxa"/>
            <w:shd w:val="clear" w:color="auto" w:fill="D9D9D9"/>
          </w:tcPr>
          <w:p w14:paraId="76F58AAE" w14:textId="77777777" w:rsidR="00531C74" w:rsidRPr="00357DD5" w:rsidRDefault="00531C74" w:rsidP="0012587E">
            <w:pPr>
              <w:jc w:val="center"/>
              <w:rPr>
                <w:spacing w:val="-3"/>
                <w:sz w:val="20"/>
                <w:szCs w:val="20"/>
              </w:rPr>
            </w:pPr>
            <w:r w:rsidRPr="00357DD5">
              <w:rPr>
                <w:spacing w:val="-3"/>
                <w:sz w:val="20"/>
                <w:szCs w:val="20"/>
              </w:rPr>
              <w:t>9.3</w:t>
            </w:r>
          </w:p>
        </w:tc>
      </w:tr>
      <w:tr w:rsidR="00531C74" w:rsidRPr="00357DD5" w14:paraId="0EBE4549" w14:textId="77777777" w:rsidTr="00396077">
        <w:trPr>
          <w:jc w:val="center"/>
        </w:trPr>
        <w:tc>
          <w:tcPr>
            <w:tcW w:w="3015" w:type="dxa"/>
          </w:tcPr>
          <w:p w14:paraId="652B7EF3" w14:textId="77777777" w:rsidR="00531C74" w:rsidRPr="00357DD5" w:rsidRDefault="00531C74" w:rsidP="0012587E">
            <w:pPr>
              <w:rPr>
                <w:spacing w:val="-3"/>
                <w:sz w:val="20"/>
                <w:szCs w:val="20"/>
              </w:rPr>
            </w:pPr>
            <w:r w:rsidRPr="00357DD5">
              <w:rPr>
                <w:spacing w:val="-3"/>
                <w:sz w:val="20"/>
                <w:szCs w:val="20"/>
              </w:rPr>
              <w:t>Black/ African American</w:t>
            </w:r>
          </w:p>
        </w:tc>
        <w:tc>
          <w:tcPr>
            <w:tcW w:w="753" w:type="dxa"/>
          </w:tcPr>
          <w:p w14:paraId="50B2246A" w14:textId="77777777" w:rsidR="00531C74" w:rsidRPr="00357DD5" w:rsidRDefault="00531C74" w:rsidP="0012587E">
            <w:pPr>
              <w:jc w:val="center"/>
              <w:rPr>
                <w:spacing w:val="-3"/>
                <w:sz w:val="20"/>
                <w:szCs w:val="20"/>
              </w:rPr>
            </w:pPr>
            <w:r w:rsidRPr="00357DD5">
              <w:rPr>
                <w:spacing w:val="-3"/>
                <w:sz w:val="20"/>
                <w:szCs w:val="20"/>
              </w:rPr>
              <w:t>0</w:t>
            </w:r>
          </w:p>
        </w:tc>
        <w:tc>
          <w:tcPr>
            <w:tcW w:w="979" w:type="dxa"/>
          </w:tcPr>
          <w:p w14:paraId="5D2BE52D" w14:textId="77777777" w:rsidR="00531C74" w:rsidRPr="00357DD5" w:rsidRDefault="00531C74" w:rsidP="0012587E">
            <w:pPr>
              <w:jc w:val="center"/>
              <w:rPr>
                <w:spacing w:val="-3"/>
                <w:sz w:val="20"/>
                <w:szCs w:val="20"/>
              </w:rPr>
            </w:pPr>
            <w:r w:rsidRPr="00357DD5">
              <w:rPr>
                <w:spacing w:val="-3"/>
                <w:sz w:val="20"/>
                <w:szCs w:val="20"/>
              </w:rPr>
              <w:t>0.0</w:t>
            </w:r>
          </w:p>
        </w:tc>
        <w:tc>
          <w:tcPr>
            <w:tcW w:w="1168" w:type="dxa"/>
            <w:shd w:val="clear" w:color="auto" w:fill="D9D9D9"/>
          </w:tcPr>
          <w:p w14:paraId="7803D40C" w14:textId="77777777" w:rsidR="00531C74" w:rsidRPr="00357DD5" w:rsidRDefault="00531C74" w:rsidP="0012587E">
            <w:pPr>
              <w:jc w:val="center"/>
              <w:rPr>
                <w:sz w:val="20"/>
                <w:szCs w:val="20"/>
              </w:rPr>
            </w:pPr>
            <w:r w:rsidRPr="00357DD5">
              <w:rPr>
                <w:sz w:val="20"/>
                <w:szCs w:val="20"/>
              </w:rPr>
              <w:t>2.8</w:t>
            </w:r>
          </w:p>
        </w:tc>
        <w:tc>
          <w:tcPr>
            <w:tcW w:w="720" w:type="dxa"/>
          </w:tcPr>
          <w:p w14:paraId="45EAD55B" w14:textId="77777777" w:rsidR="00531C74" w:rsidRPr="00357DD5" w:rsidRDefault="00531C74" w:rsidP="0012587E">
            <w:pPr>
              <w:jc w:val="center"/>
              <w:rPr>
                <w:spacing w:val="-3"/>
                <w:sz w:val="20"/>
                <w:szCs w:val="20"/>
              </w:rPr>
            </w:pPr>
            <w:r w:rsidRPr="00357DD5">
              <w:rPr>
                <w:spacing w:val="-3"/>
                <w:sz w:val="20"/>
                <w:szCs w:val="20"/>
              </w:rPr>
              <w:t>0</w:t>
            </w:r>
          </w:p>
        </w:tc>
        <w:tc>
          <w:tcPr>
            <w:tcW w:w="900" w:type="dxa"/>
          </w:tcPr>
          <w:p w14:paraId="5D07EDC8" w14:textId="77777777" w:rsidR="00531C74" w:rsidRPr="00357DD5" w:rsidRDefault="00531C74" w:rsidP="0012587E">
            <w:pPr>
              <w:jc w:val="center"/>
              <w:rPr>
                <w:spacing w:val="-3"/>
                <w:sz w:val="20"/>
                <w:szCs w:val="20"/>
              </w:rPr>
            </w:pPr>
            <w:r w:rsidRPr="00357DD5">
              <w:rPr>
                <w:spacing w:val="-3"/>
                <w:sz w:val="20"/>
                <w:szCs w:val="20"/>
              </w:rPr>
              <w:t>0.0</w:t>
            </w:r>
          </w:p>
        </w:tc>
        <w:tc>
          <w:tcPr>
            <w:tcW w:w="1262" w:type="dxa"/>
            <w:shd w:val="clear" w:color="auto" w:fill="D9D9D9"/>
          </w:tcPr>
          <w:p w14:paraId="1439F6D0" w14:textId="77777777" w:rsidR="00531C74" w:rsidRPr="00357DD5" w:rsidRDefault="00531C74" w:rsidP="0012587E">
            <w:pPr>
              <w:jc w:val="center"/>
              <w:rPr>
                <w:spacing w:val="-3"/>
                <w:sz w:val="20"/>
                <w:szCs w:val="20"/>
              </w:rPr>
            </w:pPr>
            <w:r w:rsidRPr="00357DD5">
              <w:rPr>
                <w:spacing w:val="-3"/>
                <w:sz w:val="20"/>
                <w:szCs w:val="20"/>
              </w:rPr>
              <w:t>2.3</w:t>
            </w:r>
          </w:p>
        </w:tc>
      </w:tr>
      <w:tr w:rsidR="00531C74" w:rsidRPr="00357DD5" w14:paraId="2E22546B" w14:textId="77777777" w:rsidTr="00396077">
        <w:trPr>
          <w:jc w:val="center"/>
        </w:trPr>
        <w:tc>
          <w:tcPr>
            <w:tcW w:w="3015" w:type="dxa"/>
          </w:tcPr>
          <w:p w14:paraId="3474AC14" w14:textId="77777777" w:rsidR="00531C74" w:rsidRPr="00357DD5" w:rsidRDefault="00531C74" w:rsidP="0012587E">
            <w:pPr>
              <w:rPr>
                <w:spacing w:val="-3"/>
                <w:sz w:val="20"/>
                <w:szCs w:val="20"/>
              </w:rPr>
            </w:pPr>
            <w:r w:rsidRPr="00357DD5">
              <w:rPr>
                <w:spacing w:val="-3"/>
                <w:sz w:val="20"/>
                <w:szCs w:val="20"/>
              </w:rPr>
              <w:t>Hawaiian/Pacific Islander</w:t>
            </w:r>
          </w:p>
        </w:tc>
        <w:tc>
          <w:tcPr>
            <w:tcW w:w="753" w:type="dxa"/>
          </w:tcPr>
          <w:p w14:paraId="7AFA5BB2" w14:textId="77777777" w:rsidR="00531C74" w:rsidRPr="00357DD5" w:rsidRDefault="00531C74" w:rsidP="0012587E">
            <w:pPr>
              <w:jc w:val="center"/>
              <w:rPr>
                <w:spacing w:val="-3"/>
                <w:sz w:val="20"/>
                <w:szCs w:val="20"/>
              </w:rPr>
            </w:pPr>
            <w:r w:rsidRPr="00357DD5">
              <w:rPr>
                <w:spacing w:val="-3"/>
                <w:sz w:val="20"/>
                <w:szCs w:val="20"/>
              </w:rPr>
              <w:t>0</w:t>
            </w:r>
          </w:p>
        </w:tc>
        <w:tc>
          <w:tcPr>
            <w:tcW w:w="979" w:type="dxa"/>
          </w:tcPr>
          <w:p w14:paraId="719CB319" w14:textId="77777777" w:rsidR="00531C74" w:rsidRPr="00357DD5" w:rsidRDefault="00531C74" w:rsidP="0012587E">
            <w:pPr>
              <w:jc w:val="center"/>
              <w:rPr>
                <w:spacing w:val="-3"/>
                <w:sz w:val="20"/>
                <w:szCs w:val="20"/>
              </w:rPr>
            </w:pPr>
            <w:r w:rsidRPr="00357DD5">
              <w:rPr>
                <w:spacing w:val="-3"/>
                <w:sz w:val="20"/>
                <w:szCs w:val="20"/>
              </w:rPr>
              <w:t>0.0</w:t>
            </w:r>
          </w:p>
        </w:tc>
        <w:tc>
          <w:tcPr>
            <w:tcW w:w="1168" w:type="dxa"/>
            <w:shd w:val="clear" w:color="auto" w:fill="D9D9D9"/>
          </w:tcPr>
          <w:p w14:paraId="238FB49A" w14:textId="77777777" w:rsidR="00531C74" w:rsidRPr="00357DD5" w:rsidRDefault="00531C74" w:rsidP="0012587E">
            <w:pPr>
              <w:jc w:val="center"/>
              <w:rPr>
                <w:sz w:val="20"/>
                <w:szCs w:val="20"/>
              </w:rPr>
            </w:pPr>
            <w:r w:rsidRPr="00357DD5">
              <w:rPr>
                <w:sz w:val="20"/>
                <w:szCs w:val="20"/>
              </w:rPr>
              <w:t>0.2</w:t>
            </w:r>
          </w:p>
        </w:tc>
        <w:tc>
          <w:tcPr>
            <w:tcW w:w="720" w:type="dxa"/>
          </w:tcPr>
          <w:p w14:paraId="5B104EC9" w14:textId="77777777" w:rsidR="00531C74" w:rsidRPr="00357DD5" w:rsidRDefault="00531C74" w:rsidP="0012587E">
            <w:pPr>
              <w:jc w:val="center"/>
              <w:rPr>
                <w:spacing w:val="-3"/>
                <w:sz w:val="20"/>
                <w:szCs w:val="20"/>
              </w:rPr>
            </w:pPr>
            <w:r w:rsidRPr="00357DD5">
              <w:rPr>
                <w:spacing w:val="-3"/>
                <w:sz w:val="20"/>
                <w:szCs w:val="20"/>
              </w:rPr>
              <w:t>0</w:t>
            </w:r>
          </w:p>
        </w:tc>
        <w:tc>
          <w:tcPr>
            <w:tcW w:w="900" w:type="dxa"/>
          </w:tcPr>
          <w:p w14:paraId="1BAB62DE" w14:textId="77777777" w:rsidR="00531C74" w:rsidRPr="00357DD5" w:rsidRDefault="00531C74" w:rsidP="0012587E">
            <w:pPr>
              <w:jc w:val="center"/>
              <w:rPr>
                <w:spacing w:val="-3"/>
                <w:sz w:val="20"/>
                <w:szCs w:val="20"/>
              </w:rPr>
            </w:pPr>
            <w:r w:rsidRPr="00357DD5">
              <w:rPr>
                <w:spacing w:val="-3"/>
                <w:sz w:val="20"/>
                <w:szCs w:val="20"/>
              </w:rPr>
              <w:t>0.0</w:t>
            </w:r>
          </w:p>
        </w:tc>
        <w:tc>
          <w:tcPr>
            <w:tcW w:w="1262" w:type="dxa"/>
            <w:shd w:val="clear" w:color="auto" w:fill="D9D9D9"/>
          </w:tcPr>
          <w:p w14:paraId="18FC9D11" w14:textId="77777777" w:rsidR="00531C74" w:rsidRPr="00357DD5" w:rsidRDefault="00531C74" w:rsidP="0012587E">
            <w:pPr>
              <w:jc w:val="center"/>
              <w:rPr>
                <w:spacing w:val="-3"/>
                <w:sz w:val="20"/>
                <w:szCs w:val="20"/>
              </w:rPr>
            </w:pPr>
            <w:r w:rsidRPr="00357DD5">
              <w:rPr>
                <w:spacing w:val="-3"/>
                <w:sz w:val="20"/>
                <w:szCs w:val="20"/>
              </w:rPr>
              <w:t>0.2</w:t>
            </w:r>
          </w:p>
        </w:tc>
      </w:tr>
      <w:tr w:rsidR="00531C74" w:rsidRPr="00357DD5" w14:paraId="625CA8E4" w14:textId="77777777" w:rsidTr="00396077">
        <w:trPr>
          <w:jc w:val="center"/>
        </w:trPr>
        <w:tc>
          <w:tcPr>
            <w:tcW w:w="3015" w:type="dxa"/>
          </w:tcPr>
          <w:p w14:paraId="760D4C08" w14:textId="77777777" w:rsidR="00531C74" w:rsidRPr="00357DD5" w:rsidRDefault="00531C74" w:rsidP="0012587E">
            <w:pPr>
              <w:rPr>
                <w:spacing w:val="-3"/>
                <w:sz w:val="20"/>
                <w:szCs w:val="20"/>
              </w:rPr>
            </w:pPr>
            <w:r w:rsidRPr="00357DD5">
              <w:rPr>
                <w:spacing w:val="-3"/>
                <w:sz w:val="20"/>
                <w:szCs w:val="20"/>
              </w:rPr>
              <w:t>2 or more Minority</w:t>
            </w:r>
          </w:p>
        </w:tc>
        <w:tc>
          <w:tcPr>
            <w:tcW w:w="753" w:type="dxa"/>
          </w:tcPr>
          <w:p w14:paraId="772AD3D3" w14:textId="77777777" w:rsidR="00531C74" w:rsidRPr="00357DD5" w:rsidRDefault="00531C74" w:rsidP="0012587E">
            <w:pPr>
              <w:jc w:val="center"/>
              <w:rPr>
                <w:spacing w:val="-3"/>
                <w:sz w:val="20"/>
                <w:szCs w:val="20"/>
              </w:rPr>
            </w:pPr>
            <w:r w:rsidRPr="00357DD5">
              <w:rPr>
                <w:spacing w:val="-3"/>
                <w:sz w:val="20"/>
                <w:szCs w:val="20"/>
              </w:rPr>
              <w:t>0</w:t>
            </w:r>
          </w:p>
        </w:tc>
        <w:tc>
          <w:tcPr>
            <w:tcW w:w="979" w:type="dxa"/>
          </w:tcPr>
          <w:p w14:paraId="410D4ED9" w14:textId="77777777" w:rsidR="00531C74" w:rsidRPr="00357DD5" w:rsidRDefault="00531C74" w:rsidP="0012587E">
            <w:pPr>
              <w:jc w:val="center"/>
              <w:rPr>
                <w:spacing w:val="-3"/>
                <w:sz w:val="20"/>
                <w:szCs w:val="20"/>
              </w:rPr>
            </w:pPr>
            <w:r w:rsidRPr="00357DD5">
              <w:rPr>
                <w:spacing w:val="-3"/>
                <w:sz w:val="20"/>
                <w:szCs w:val="20"/>
              </w:rPr>
              <w:t>0.0</w:t>
            </w:r>
          </w:p>
        </w:tc>
        <w:tc>
          <w:tcPr>
            <w:tcW w:w="1168" w:type="dxa"/>
            <w:shd w:val="clear" w:color="auto" w:fill="D9D9D9"/>
          </w:tcPr>
          <w:p w14:paraId="3696A4CA" w14:textId="77777777" w:rsidR="00531C74" w:rsidRPr="00357DD5" w:rsidRDefault="00531C74" w:rsidP="0012587E">
            <w:pPr>
              <w:jc w:val="center"/>
              <w:rPr>
                <w:sz w:val="20"/>
                <w:szCs w:val="20"/>
              </w:rPr>
            </w:pPr>
            <w:r w:rsidRPr="00357DD5">
              <w:rPr>
                <w:sz w:val="20"/>
                <w:szCs w:val="20"/>
              </w:rPr>
              <w:t>0.1</w:t>
            </w:r>
          </w:p>
        </w:tc>
        <w:tc>
          <w:tcPr>
            <w:tcW w:w="720" w:type="dxa"/>
          </w:tcPr>
          <w:p w14:paraId="4C3C9793" w14:textId="77777777" w:rsidR="00531C74" w:rsidRPr="00357DD5" w:rsidRDefault="00531C74" w:rsidP="0012587E">
            <w:pPr>
              <w:jc w:val="center"/>
              <w:rPr>
                <w:spacing w:val="-3"/>
                <w:sz w:val="20"/>
                <w:szCs w:val="20"/>
              </w:rPr>
            </w:pPr>
            <w:r w:rsidRPr="00357DD5">
              <w:rPr>
                <w:spacing w:val="-3"/>
                <w:sz w:val="20"/>
                <w:szCs w:val="20"/>
              </w:rPr>
              <w:t>0</w:t>
            </w:r>
          </w:p>
        </w:tc>
        <w:tc>
          <w:tcPr>
            <w:tcW w:w="900" w:type="dxa"/>
          </w:tcPr>
          <w:p w14:paraId="4B8FB31A" w14:textId="77777777" w:rsidR="00531C74" w:rsidRPr="00357DD5" w:rsidRDefault="00531C74" w:rsidP="0012587E">
            <w:pPr>
              <w:jc w:val="center"/>
              <w:rPr>
                <w:spacing w:val="-3"/>
                <w:sz w:val="20"/>
                <w:szCs w:val="20"/>
              </w:rPr>
            </w:pPr>
            <w:r w:rsidRPr="00357DD5">
              <w:rPr>
                <w:spacing w:val="-3"/>
                <w:sz w:val="20"/>
                <w:szCs w:val="20"/>
              </w:rPr>
              <w:t>0.0</w:t>
            </w:r>
          </w:p>
        </w:tc>
        <w:tc>
          <w:tcPr>
            <w:tcW w:w="1262" w:type="dxa"/>
            <w:shd w:val="clear" w:color="auto" w:fill="D9D9D9"/>
          </w:tcPr>
          <w:p w14:paraId="62D6B7F9" w14:textId="77777777" w:rsidR="00531C74" w:rsidRPr="00357DD5" w:rsidRDefault="00531C74" w:rsidP="0012587E">
            <w:pPr>
              <w:jc w:val="center"/>
              <w:rPr>
                <w:spacing w:val="-3"/>
                <w:sz w:val="20"/>
                <w:szCs w:val="20"/>
              </w:rPr>
            </w:pPr>
            <w:r w:rsidRPr="00357DD5">
              <w:rPr>
                <w:spacing w:val="-3"/>
                <w:sz w:val="20"/>
                <w:szCs w:val="20"/>
              </w:rPr>
              <w:t>0.1</w:t>
            </w:r>
          </w:p>
        </w:tc>
      </w:tr>
      <w:tr w:rsidR="00531C74" w:rsidRPr="00357DD5" w14:paraId="329DEF85" w14:textId="77777777" w:rsidTr="00396077">
        <w:trPr>
          <w:jc w:val="center"/>
        </w:trPr>
        <w:tc>
          <w:tcPr>
            <w:tcW w:w="3015" w:type="dxa"/>
          </w:tcPr>
          <w:p w14:paraId="17C82014" w14:textId="77777777" w:rsidR="00531C74" w:rsidRPr="00357DD5" w:rsidRDefault="00531C74" w:rsidP="0012587E">
            <w:pPr>
              <w:rPr>
                <w:spacing w:val="-3"/>
                <w:sz w:val="20"/>
                <w:szCs w:val="20"/>
              </w:rPr>
            </w:pPr>
            <w:r w:rsidRPr="00357DD5">
              <w:rPr>
                <w:spacing w:val="-3"/>
                <w:sz w:val="20"/>
                <w:szCs w:val="20"/>
              </w:rPr>
              <w:t>Joint Race (White/Minority)</w:t>
            </w:r>
          </w:p>
        </w:tc>
        <w:tc>
          <w:tcPr>
            <w:tcW w:w="753" w:type="dxa"/>
          </w:tcPr>
          <w:p w14:paraId="73834C4B" w14:textId="77777777" w:rsidR="00531C74" w:rsidRPr="00357DD5" w:rsidRDefault="00531C74" w:rsidP="0012587E">
            <w:pPr>
              <w:jc w:val="center"/>
              <w:rPr>
                <w:spacing w:val="-3"/>
                <w:sz w:val="20"/>
                <w:szCs w:val="20"/>
              </w:rPr>
            </w:pPr>
            <w:r w:rsidRPr="00357DD5">
              <w:rPr>
                <w:spacing w:val="-3"/>
                <w:sz w:val="20"/>
                <w:szCs w:val="20"/>
              </w:rPr>
              <w:t>0</w:t>
            </w:r>
          </w:p>
        </w:tc>
        <w:tc>
          <w:tcPr>
            <w:tcW w:w="979" w:type="dxa"/>
          </w:tcPr>
          <w:p w14:paraId="0F12DFD2" w14:textId="77777777" w:rsidR="00531C74" w:rsidRPr="00357DD5" w:rsidRDefault="00531C74" w:rsidP="0012587E">
            <w:pPr>
              <w:jc w:val="center"/>
              <w:rPr>
                <w:spacing w:val="-3"/>
                <w:sz w:val="20"/>
                <w:szCs w:val="20"/>
              </w:rPr>
            </w:pPr>
            <w:r w:rsidRPr="00357DD5">
              <w:rPr>
                <w:spacing w:val="-3"/>
                <w:sz w:val="20"/>
                <w:szCs w:val="20"/>
              </w:rPr>
              <w:t>0.0</w:t>
            </w:r>
          </w:p>
        </w:tc>
        <w:tc>
          <w:tcPr>
            <w:tcW w:w="1168" w:type="dxa"/>
            <w:shd w:val="clear" w:color="auto" w:fill="D9D9D9"/>
          </w:tcPr>
          <w:p w14:paraId="62213774" w14:textId="77777777" w:rsidR="00531C74" w:rsidRPr="00357DD5" w:rsidRDefault="00531C74" w:rsidP="0012587E">
            <w:pPr>
              <w:jc w:val="center"/>
              <w:rPr>
                <w:sz w:val="20"/>
                <w:szCs w:val="20"/>
              </w:rPr>
            </w:pPr>
            <w:r w:rsidRPr="00357DD5">
              <w:rPr>
                <w:sz w:val="20"/>
                <w:szCs w:val="20"/>
              </w:rPr>
              <w:t>1.6</w:t>
            </w:r>
          </w:p>
        </w:tc>
        <w:tc>
          <w:tcPr>
            <w:tcW w:w="720" w:type="dxa"/>
          </w:tcPr>
          <w:p w14:paraId="2F5957E0" w14:textId="77777777" w:rsidR="00531C74" w:rsidRPr="00357DD5" w:rsidRDefault="00531C74" w:rsidP="0012587E">
            <w:pPr>
              <w:jc w:val="center"/>
              <w:rPr>
                <w:spacing w:val="-3"/>
                <w:sz w:val="20"/>
                <w:szCs w:val="20"/>
              </w:rPr>
            </w:pPr>
            <w:r w:rsidRPr="00357DD5">
              <w:rPr>
                <w:spacing w:val="-3"/>
                <w:sz w:val="20"/>
                <w:szCs w:val="20"/>
              </w:rPr>
              <w:t>0</w:t>
            </w:r>
          </w:p>
        </w:tc>
        <w:tc>
          <w:tcPr>
            <w:tcW w:w="900" w:type="dxa"/>
          </w:tcPr>
          <w:p w14:paraId="118CF416" w14:textId="77777777" w:rsidR="00531C74" w:rsidRPr="00357DD5" w:rsidRDefault="00531C74" w:rsidP="0012587E">
            <w:pPr>
              <w:jc w:val="center"/>
              <w:rPr>
                <w:spacing w:val="-3"/>
                <w:sz w:val="20"/>
                <w:szCs w:val="20"/>
              </w:rPr>
            </w:pPr>
            <w:r w:rsidRPr="00357DD5">
              <w:rPr>
                <w:spacing w:val="-3"/>
                <w:sz w:val="20"/>
                <w:szCs w:val="20"/>
              </w:rPr>
              <w:t>0.0</w:t>
            </w:r>
          </w:p>
        </w:tc>
        <w:tc>
          <w:tcPr>
            <w:tcW w:w="1262" w:type="dxa"/>
            <w:shd w:val="clear" w:color="auto" w:fill="D9D9D9"/>
          </w:tcPr>
          <w:p w14:paraId="677C9CF2" w14:textId="77777777" w:rsidR="00531C74" w:rsidRPr="00357DD5" w:rsidRDefault="00531C74" w:rsidP="0012587E">
            <w:pPr>
              <w:jc w:val="center"/>
              <w:rPr>
                <w:spacing w:val="-3"/>
                <w:sz w:val="20"/>
                <w:szCs w:val="20"/>
              </w:rPr>
            </w:pPr>
            <w:r w:rsidRPr="00357DD5">
              <w:rPr>
                <w:spacing w:val="-3"/>
                <w:sz w:val="20"/>
                <w:szCs w:val="20"/>
              </w:rPr>
              <w:t>1.8</w:t>
            </w:r>
          </w:p>
        </w:tc>
      </w:tr>
      <w:tr w:rsidR="00531C74" w:rsidRPr="00357DD5" w14:paraId="31D25363" w14:textId="77777777" w:rsidTr="00396077">
        <w:trPr>
          <w:jc w:val="center"/>
        </w:trPr>
        <w:tc>
          <w:tcPr>
            <w:tcW w:w="3015" w:type="dxa"/>
          </w:tcPr>
          <w:p w14:paraId="6FFA819A" w14:textId="77777777" w:rsidR="00531C74" w:rsidRPr="00357DD5" w:rsidRDefault="00531C74" w:rsidP="0012587E">
            <w:pPr>
              <w:jc w:val="center"/>
              <w:rPr>
                <w:b/>
                <w:spacing w:val="-3"/>
                <w:sz w:val="20"/>
                <w:szCs w:val="20"/>
              </w:rPr>
            </w:pPr>
            <w:r w:rsidRPr="00357DD5">
              <w:rPr>
                <w:b/>
                <w:spacing w:val="-3"/>
                <w:sz w:val="20"/>
                <w:szCs w:val="20"/>
              </w:rPr>
              <w:t>Total Minority</w:t>
            </w:r>
          </w:p>
        </w:tc>
        <w:tc>
          <w:tcPr>
            <w:tcW w:w="753" w:type="dxa"/>
          </w:tcPr>
          <w:p w14:paraId="784AEB4D" w14:textId="77777777" w:rsidR="00531C74" w:rsidRPr="00357DD5" w:rsidRDefault="00531C74" w:rsidP="0012587E">
            <w:pPr>
              <w:jc w:val="center"/>
              <w:rPr>
                <w:b/>
                <w:spacing w:val="-3"/>
                <w:sz w:val="20"/>
                <w:szCs w:val="20"/>
              </w:rPr>
            </w:pPr>
            <w:r w:rsidRPr="00357DD5">
              <w:rPr>
                <w:b/>
                <w:spacing w:val="-3"/>
                <w:sz w:val="20"/>
                <w:szCs w:val="20"/>
              </w:rPr>
              <w:t>2</w:t>
            </w:r>
          </w:p>
        </w:tc>
        <w:tc>
          <w:tcPr>
            <w:tcW w:w="979" w:type="dxa"/>
          </w:tcPr>
          <w:p w14:paraId="6D31DAA3" w14:textId="77777777" w:rsidR="00531C74" w:rsidRPr="00357DD5" w:rsidRDefault="00531C74" w:rsidP="0012587E">
            <w:pPr>
              <w:jc w:val="center"/>
              <w:rPr>
                <w:b/>
                <w:spacing w:val="-3"/>
                <w:sz w:val="20"/>
                <w:szCs w:val="20"/>
              </w:rPr>
            </w:pPr>
            <w:r w:rsidRPr="00357DD5">
              <w:rPr>
                <w:b/>
                <w:spacing w:val="-3"/>
                <w:sz w:val="20"/>
                <w:szCs w:val="20"/>
              </w:rPr>
              <w:t>2.4</w:t>
            </w:r>
          </w:p>
        </w:tc>
        <w:tc>
          <w:tcPr>
            <w:tcW w:w="1168" w:type="dxa"/>
            <w:shd w:val="clear" w:color="auto" w:fill="D9D9D9"/>
          </w:tcPr>
          <w:p w14:paraId="2C9D8E2F" w14:textId="77777777" w:rsidR="00531C74" w:rsidRPr="00357DD5" w:rsidRDefault="00531C74" w:rsidP="0012587E">
            <w:pPr>
              <w:jc w:val="center"/>
              <w:rPr>
                <w:b/>
                <w:spacing w:val="-3"/>
                <w:sz w:val="20"/>
                <w:szCs w:val="20"/>
              </w:rPr>
            </w:pPr>
            <w:r w:rsidRPr="00357DD5">
              <w:rPr>
                <w:b/>
                <w:spacing w:val="-3"/>
                <w:sz w:val="20"/>
                <w:szCs w:val="20"/>
              </w:rPr>
              <w:t>14.4</w:t>
            </w:r>
          </w:p>
        </w:tc>
        <w:tc>
          <w:tcPr>
            <w:tcW w:w="720" w:type="dxa"/>
          </w:tcPr>
          <w:p w14:paraId="33647B5D" w14:textId="77777777" w:rsidR="00531C74" w:rsidRPr="00357DD5" w:rsidRDefault="00531C74" w:rsidP="0012587E">
            <w:pPr>
              <w:jc w:val="center"/>
              <w:rPr>
                <w:b/>
                <w:spacing w:val="-3"/>
                <w:sz w:val="20"/>
                <w:szCs w:val="20"/>
              </w:rPr>
            </w:pPr>
            <w:r w:rsidRPr="00357DD5">
              <w:rPr>
                <w:b/>
                <w:spacing w:val="-3"/>
                <w:sz w:val="20"/>
                <w:szCs w:val="20"/>
              </w:rPr>
              <w:t>2</w:t>
            </w:r>
          </w:p>
        </w:tc>
        <w:tc>
          <w:tcPr>
            <w:tcW w:w="900" w:type="dxa"/>
          </w:tcPr>
          <w:p w14:paraId="30DD73E8" w14:textId="77777777" w:rsidR="00531C74" w:rsidRPr="00357DD5" w:rsidRDefault="00531C74" w:rsidP="0012587E">
            <w:pPr>
              <w:jc w:val="center"/>
              <w:rPr>
                <w:b/>
                <w:spacing w:val="-3"/>
                <w:sz w:val="20"/>
                <w:szCs w:val="20"/>
              </w:rPr>
            </w:pPr>
            <w:r w:rsidRPr="00357DD5">
              <w:rPr>
                <w:b/>
                <w:spacing w:val="-3"/>
                <w:sz w:val="20"/>
                <w:szCs w:val="20"/>
              </w:rPr>
              <w:t>2.1</w:t>
            </w:r>
          </w:p>
        </w:tc>
        <w:tc>
          <w:tcPr>
            <w:tcW w:w="1262" w:type="dxa"/>
            <w:shd w:val="clear" w:color="auto" w:fill="D9D9D9"/>
          </w:tcPr>
          <w:p w14:paraId="3AB44BF2" w14:textId="77777777" w:rsidR="00531C74" w:rsidRPr="00357DD5" w:rsidRDefault="00531C74" w:rsidP="0012587E">
            <w:pPr>
              <w:jc w:val="center"/>
              <w:rPr>
                <w:b/>
                <w:spacing w:val="-3"/>
                <w:sz w:val="20"/>
                <w:szCs w:val="20"/>
              </w:rPr>
            </w:pPr>
            <w:r w:rsidRPr="00357DD5">
              <w:rPr>
                <w:b/>
                <w:spacing w:val="-3"/>
                <w:sz w:val="20"/>
                <w:szCs w:val="20"/>
              </w:rPr>
              <w:t>14.0</w:t>
            </w:r>
          </w:p>
        </w:tc>
      </w:tr>
      <w:tr w:rsidR="00531C74" w:rsidRPr="00357DD5" w14:paraId="7A56BD12" w14:textId="77777777" w:rsidTr="00396077">
        <w:trPr>
          <w:jc w:val="center"/>
        </w:trPr>
        <w:tc>
          <w:tcPr>
            <w:tcW w:w="3015" w:type="dxa"/>
          </w:tcPr>
          <w:p w14:paraId="6CD5D9F3" w14:textId="77777777" w:rsidR="00531C74" w:rsidRPr="00357DD5" w:rsidRDefault="00531C74" w:rsidP="0012587E">
            <w:pPr>
              <w:rPr>
                <w:spacing w:val="-3"/>
                <w:sz w:val="20"/>
                <w:szCs w:val="20"/>
              </w:rPr>
            </w:pPr>
            <w:r w:rsidRPr="00357DD5">
              <w:rPr>
                <w:spacing w:val="-3"/>
                <w:sz w:val="20"/>
                <w:szCs w:val="20"/>
              </w:rPr>
              <w:t>White</w:t>
            </w:r>
          </w:p>
        </w:tc>
        <w:tc>
          <w:tcPr>
            <w:tcW w:w="753" w:type="dxa"/>
          </w:tcPr>
          <w:p w14:paraId="63172913" w14:textId="77777777" w:rsidR="00531C74" w:rsidRPr="00357DD5" w:rsidRDefault="00531C74" w:rsidP="0012587E">
            <w:pPr>
              <w:jc w:val="center"/>
              <w:rPr>
                <w:spacing w:val="-3"/>
                <w:sz w:val="20"/>
                <w:szCs w:val="20"/>
              </w:rPr>
            </w:pPr>
            <w:r w:rsidRPr="00357DD5">
              <w:rPr>
                <w:spacing w:val="-3"/>
                <w:sz w:val="20"/>
                <w:szCs w:val="20"/>
              </w:rPr>
              <w:t>32</w:t>
            </w:r>
          </w:p>
        </w:tc>
        <w:tc>
          <w:tcPr>
            <w:tcW w:w="979" w:type="dxa"/>
          </w:tcPr>
          <w:p w14:paraId="0A8FAA07" w14:textId="77777777" w:rsidR="00531C74" w:rsidRPr="00357DD5" w:rsidRDefault="00531C74" w:rsidP="0012587E">
            <w:pPr>
              <w:jc w:val="center"/>
              <w:rPr>
                <w:spacing w:val="-3"/>
                <w:sz w:val="20"/>
                <w:szCs w:val="20"/>
              </w:rPr>
            </w:pPr>
            <w:r w:rsidRPr="00357DD5">
              <w:rPr>
                <w:spacing w:val="-3"/>
                <w:sz w:val="20"/>
                <w:szCs w:val="20"/>
              </w:rPr>
              <w:t>39.0</w:t>
            </w:r>
          </w:p>
        </w:tc>
        <w:tc>
          <w:tcPr>
            <w:tcW w:w="1168" w:type="dxa"/>
            <w:shd w:val="clear" w:color="auto" w:fill="D9D9D9"/>
          </w:tcPr>
          <w:p w14:paraId="447A8624" w14:textId="77777777" w:rsidR="00531C74" w:rsidRPr="00357DD5" w:rsidRDefault="00531C74" w:rsidP="0012587E">
            <w:pPr>
              <w:jc w:val="center"/>
              <w:rPr>
                <w:spacing w:val="-3"/>
                <w:sz w:val="20"/>
                <w:szCs w:val="20"/>
              </w:rPr>
            </w:pPr>
            <w:r w:rsidRPr="00357DD5">
              <w:rPr>
                <w:spacing w:val="-3"/>
                <w:sz w:val="20"/>
                <w:szCs w:val="20"/>
              </w:rPr>
              <w:t>63.7</w:t>
            </w:r>
          </w:p>
        </w:tc>
        <w:tc>
          <w:tcPr>
            <w:tcW w:w="720" w:type="dxa"/>
          </w:tcPr>
          <w:p w14:paraId="2B78E460" w14:textId="77777777" w:rsidR="00531C74" w:rsidRPr="00357DD5" w:rsidRDefault="00531C74" w:rsidP="0012587E">
            <w:pPr>
              <w:jc w:val="center"/>
              <w:rPr>
                <w:spacing w:val="-3"/>
                <w:sz w:val="20"/>
                <w:szCs w:val="20"/>
              </w:rPr>
            </w:pPr>
            <w:r w:rsidRPr="00357DD5">
              <w:rPr>
                <w:spacing w:val="-3"/>
                <w:sz w:val="20"/>
                <w:szCs w:val="20"/>
              </w:rPr>
              <w:t>37</w:t>
            </w:r>
          </w:p>
        </w:tc>
        <w:tc>
          <w:tcPr>
            <w:tcW w:w="900" w:type="dxa"/>
          </w:tcPr>
          <w:p w14:paraId="57DE13C9" w14:textId="77777777" w:rsidR="00531C74" w:rsidRPr="00357DD5" w:rsidRDefault="00531C74" w:rsidP="0012587E">
            <w:pPr>
              <w:jc w:val="center"/>
              <w:rPr>
                <w:spacing w:val="-3"/>
                <w:sz w:val="20"/>
                <w:szCs w:val="20"/>
              </w:rPr>
            </w:pPr>
            <w:r w:rsidRPr="00357DD5">
              <w:rPr>
                <w:spacing w:val="-3"/>
                <w:sz w:val="20"/>
                <w:szCs w:val="20"/>
              </w:rPr>
              <w:t>39.4</w:t>
            </w:r>
          </w:p>
        </w:tc>
        <w:tc>
          <w:tcPr>
            <w:tcW w:w="1262" w:type="dxa"/>
            <w:shd w:val="clear" w:color="auto" w:fill="D9D9D9"/>
          </w:tcPr>
          <w:p w14:paraId="7DA9E8D9" w14:textId="77777777" w:rsidR="00531C74" w:rsidRPr="00357DD5" w:rsidRDefault="00531C74" w:rsidP="0012587E">
            <w:pPr>
              <w:jc w:val="center"/>
              <w:rPr>
                <w:spacing w:val="-3"/>
                <w:sz w:val="20"/>
                <w:szCs w:val="20"/>
              </w:rPr>
            </w:pPr>
            <w:r w:rsidRPr="00357DD5">
              <w:rPr>
                <w:spacing w:val="-3"/>
                <w:sz w:val="20"/>
                <w:szCs w:val="20"/>
              </w:rPr>
              <w:t>62.1</w:t>
            </w:r>
          </w:p>
        </w:tc>
      </w:tr>
      <w:tr w:rsidR="00531C74" w:rsidRPr="00357DD5" w14:paraId="0F11790F" w14:textId="77777777" w:rsidTr="00396077">
        <w:trPr>
          <w:jc w:val="center"/>
        </w:trPr>
        <w:tc>
          <w:tcPr>
            <w:tcW w:w="3015" w:type="dxa"/>
          </w:tcPr>
          <w:p w14:paraId="6CA05FA3" w14:textId="77777777" w:rsidR="00531C74" w:rsidRPr="00357DD5" w:rsidRDefault="00531C74" w:rsidP="0012587E">
            <w:pPr>
              <w:rPr>
                <w:spacing w:val="-3"/>
                <w:sz w:val="20"/>
                <w:szCs w:val="20"/>
              </w:rPr>
            </w:pPr>
            <w:r w:rsidRPr="00357DD5">
              <w:rPr>
                <w:spacing w:val="-3"/>
                <w:sz w:val="20"/>
                <w:szCs w:val="20"/>
              </w:rPr>
              <w:t>Race Not Available</w:t>
            </w:r>
          </w:p>
        </w:tc>
        <w:tc>
          <w:tcPr>
            <w:tcW w:w="753" w:type="dxa"/>
          </w:tcPr>
          <w:p w14:paraId="5F81D30B" w14:textId="77777777" w:rsidR="00531C74" w:rsidRPr="00357DD5" w:rsidRDefault="00531C74" w:rsidP="0012587E">
            <w:pPr>
              <w:jc w:val="center"/>
              <w:rPr>
                <w:spacing w:val="-3"/>
                <w:sz w:val="20"/>
                <w:szCs w:val="20"/>
              </w:rPr>
            </w:pPr>
            <w:r w:rsidRPr="00357DD5">
              <w:rPr>
                <w:spacing w:val="-3"/>
                <w:sz w:val="20"/>
                <w:szCs w:val="20"/>
              </w:rPr>
              <w:t>48</w:t>
            </w:r>
          </w:p>
        </w:tc>
        <w:tc>
          <w:tcPr>
            <w:tcW w:w="979" w:type="dxa"/>
          </w:tcPr>
          <w:p w14:paraId="128A3D51" w14:textId="77777777" w:rsidR="00531C74" w:rsidRPr="00357DD5" w:rsidRDefault="00531C74" w:rsidP="0012587E">
            <w:pPr>
              <w:jc w:val="center"/>
              <w:rPr>
                <w:spacing w:val="-3"/>
                <w:sz w:val="20"/>
                <w:szCs w:val="20"/>
              </w:rPr>
            </w:pPr>
            <w:r w:rsidRPr="00357DD5">
              <w:rPr>
                <w:spacing w:val="-3"/>
                <w:sz w:val="20"/>
                <w:szCs w:val="20"/>
              </w:rPr>
              <w:t>58.5</w:t>
            </w:r>
          </w:p>
        </w:tc>
        <w:tc>
          <w:tcPr>
            <w:tcW w:w="1168" w:type="dxa"/>
            <w:shd w:val="clear" w:color="auto" w:fill="D9D9D9"/>
          </w:tcPr>
          <w:p w14:paraId="5C5F0A9D" w14:textId="77777777" w:rsidR="00531C74" w:rsidRPr="00357DD5" w:rsidRDefault="00531C74" w:rsidP="0012587E">
            <w:pPr>
              <w:jc w:val="center"/>
              <w:rPr>
                <w:spacing w:val="-3"/>
                <w:sz w:val="20"/>
                <w:szCs w:val="20"/>
              </w:rPr>
            </w:pPr>
            <w:r w:rsidRPr="00357DD5">
              <w:rPr>
                <w:spacing w:val="-3"/>
                <w:sz w:val="20"/>
                <w:szCs w:val="20"/>
              </w:rPr>
              <w:t>21.7</w:t>
            </w:r>
          </w:p>
        </w:tc>
        <w:tc>
          <w:tcPr>
            <w:tcW w:w="720" w:type="dxa"/>
          </w:tcPr>
          <w:p w14:paraId="45272019" w14:textId="77777777" w:rsidR="00531C74" w:rsidRPr="00357DD5" w:rsidRDefault="00531C74" w:rsidP="0012587E">
            <w:pPr>
              <w:jc w:val="center"/>
              <w:rPr>
                <w:spacing w:val="-3"/>
                <w:sz w:val="20"/>
                <w:szCs w:val="20"/>
              </w:rPr>
            </w:pPr>
            <w:r w:rsidRPr="00357DD5">
              <w:rPr>
                <w:spacing w:val="-3"/>
                <w:sz w:val="20"/>
                <w:szCs w:val="20"/>
              </w:rPr>
              <w:t>55</w:t>
            </w:r>
          </w:p>
        </w:tc>
        <w:tc>
          <w:tcPr>
            <w:tcW w:w="900" w:type="dxa"/>
          </w:tcPr>
          <w:p w14:paraId="09072A9D" w14:textId="77777777" w:rsidR="00531C74" w:rsidRPr="00357DD5" w:rsidRDefault="00531C74" w:rsidP="0012587E">
            <w:pPr>
              <w:jc w:val="center"/>
              <w:rPr>
                <w:spacing w:val="-3"/>
                <w:sz w:val="20"/>
                <w:szCs w:val="20"/>
              </w:rPr>
            </w:pPr>
            <w:r w:rsidRPr="00357DD5">
              <w:rPr>
                <w:spacing w:val="-3"/>
                <w:sz w:val="20"/>
                <w:szCs w:val="20"/>
              </w:rPr>
              <w:t>58.5</w:t>
            </w:r>
          </w:p>
        </w:tc>
        <w:tc>
          <w:tcPr>
            <w:tcW w:w="1262" w:type="dxa"/>
            <w:shd w:val="clear" w:color="auto" w:fill="D9D9D9"/>
          </w:tcPr>
          <w:p w14:paraId="72FA801B" w14:textId="77777777" w:rsidR="00531C74" w:rsidRPr="00357DD5" w:rsidRDefault="00531C74" w:rsidP="0012587E">
            <w:pPr>
              <w:jc w:val="center"/>
              <w:rPr>
                <w:spacing w:val="-3"/>
                <w:sz w:val="20"/>
                <w:szCs w:val="20"/>
              </w:rPr>
            </w:pPr>
            <w:r w:rsidRPr="00357DD5">
              <w:rPr>
                <w:spacing w:val="-3"/>
                <w:sz w:val="20"/>
                <w:szCs w:val="20"/>
              </w:rPr>
              <w:t>24.0</w:t>
            </w:r>
          </w:p>
        </w:tc>
      </w:tr>
      <w:tr w:rsidR="00531C74" w:rsidRPr="00357DD5" w14:paraId="42919962" w14:textId="77777777" w:rsidTr="00396077">
        <w:trPr>
          <w:jc w:val="center"/>
        </w:trPr>
        <w:tc>
          <w:tcPr>
            <w:tcW w:w="3015" w:type="dxa"/>
          </w:tcPr>
          <w:p w14:paraId="2C5DE1A2" w14:textId="77777777" w:rsidR="00531C74" w:rsidRPr="00357DD5" w:rsidRDefault="00531C74" w:rsidP="0012587E">
            <w:pPr>
              <w:jc w:val="center"/>
              <w:rPr>
                <w:b/>
                <w:spacing w:val="-3"/>
                <w:sz w:val="20"/>
                <w:szCs w:val="20"/>
              </w:rPr>
            </w:pPr>
            <w:r w:rsidRPr="00357DD5">
              <w:rPr>
                <w:b/>
                <w:spacing w:val="-3"/>
                <w:sz w:val="20"/>
                <w:szCs w:val="20"/>
              </w:rPr>
              <w:t>Total</w:t>
            </w:r>
          </w:p>
        </w:tc>
        <w:tc>
          <w:tcPr>
            <w:tcW w:w="753" w:type="dxa"/>
          </w:tcPr>
          <w:p w14:paraId="28A5CBA2" w14:textId="77777777" w:rsidR="00531C74" w:rsidRPr="00357DD5" w:rsidRDefault="00531C74" w:rsidP="0012587E">
            <w:pPr>
              <w:jc w:val="center"/>
              <w:rPr>
                <w:b/>
                <w:spacing w:val="-3"/>
                <w:sz w:val="20"/>
                <w:szCs w:val="20"/>
              </w:rPr>
            </w:pPr>
            <w:r w:rsidRPr="00357DD5">
              <w:rPr>
                <w:b/>
                <w:spacing w:val="-3"/>
                <w:sz w:val="20"/>
                <w:szCs w:val="20"/>
              </w:rPr>
              <w:t>82</w:t>
            </w:r>
          </w:p>
        </w:tc>
        <w:tc>
          <w:tcPr>
            <w:tcW w:w="979" w:type="dxa"/>
          </w:tcPr>
          <w:p w14:paraId="7B81E023" w14:textId="77777777" w:rsidR="00531C74" w:rsidRPr="00357DD5" w:rsidRDefault="00531C74" w:rsidP="0012587E">
            <w:pPr>
              <w:jc w:val="center"/>
              <w:rPr>
                <w:b/>
                <w:spacing w:val="-3"/>
                <w:sz w:val="20"/>
                <w:szCs w:val="20"/>
              </w:rPr>
            </w:pPr>
            <w:r w:rsidRPr="00357DD5">
              <w:rPr>
                <w:b/>
                <w:spacing w:val="-3"/>
                <w:sz w:val="20"/>
                <w:szCs w:val="20"/>
              </w:rPr>
              <w:t>100.0</w:t>
            </w:r>
          </w:p>
        </w:tc>
        <w:tc>
          <w:tcPr>
            <w:tcW w:w="1168" w:type="dxa"/>
            <w:shd w:val="clear" w:color="auto" w:fill="D9D9D9"/>
          </w:tcPr>
          <w:p w14:paraId="40809A32" w14:textId="77777777" w:rsidR="00531C74" w:rsidRPr="00357DD5" w:rsidRDefault="00531C74" w:rsidP="0012587E">
            <w:pPr>
              <w:jc w:val="center"/>
              <w:rPr>
                <w:b/>
                <w:spacing w:val="-3"/>
                <w:sz w:val="20"/>
                <w:szCs w:val="20"/>
              </w:rPr>
            </w:pPr>
            <w:r w:rsidRPr="00357DD5">
              <w:rPr>
                <w:b/>
                <w:spacing w:val="-3"/>
                <w:sz w:val="20"/>
                <w:szCs w:val="20"/>
              </w:rPr>
              <w:t>100.0</w:t>
            </w:r>
          </w:p>
        </w:tc>
        <w:tc>
          <w:tcPr>
            <w:tcW w:w="720" w:type="dxa"/>
          </w:tcPr>
          <w:p w14:paraId="20A85731" w14:textId="77777777" w:rsidR="00531C74" w:rsidRPr="00357DD5" w:rsidRDefault="00531C74" w:rsidP="0012587E">
            <w:pPr>
              <w:jc w:val="center"/>
              <w:rPr>
                <w:b/>
                <w:spacing w:val="-3"/>
                <w:sz w:val="20"/>
                <w:szCs w:val="20"/>
              </w:rPr>
            </w:pPr>
            <w:r w:rsidRPr="00357DD5">
              <w:rPr>
                <w:b/>
                <w:spacing w:val="-3"/>
                <w:sz w:val="20"/>
                <w:szCs w:val="20"/>
              </w:rPr>
              <w:t>94</w:t>
            </w:r>
          </w:p>
        </w:tc>
        <w:tc>
          <w:tcPr>
            <w:tcW w:w="900" w:type="dxa"/>
          </w:tcPr>
          <w:p w14:paraId="7525C345" w14:textId="77777777" w:rsidR="00531C74" w:rsidRPr="00357DD5" w:rsidRDefault="00531C74" w:rsidP="0012587E">
            <w:pPr>
              <w:jc w:val="center"/>
              <w:rPr>
                <w:b/>
                <w:spacing w:val="-3"/>
                <w:sz w:val="20"/>
                <w:szCs w:val="20"/>
              </w:rPr>
            </w:pPr>
            <w:r w:rsidRPr="00357DD5">
              <w:rPr>
                <w:b/>
                <w:spacing w:val="-3"/>
                <w:sz w:val="20"/>
                <w:szCs w:val="20"/>
              </w:rPr>
              <w:t>100.0</w:t>
            </w:r>
          </w:p>
        </w:tc>
        <w:tc>
          <w:tcPr>
            <w:tcW w:w="1262" w:type="dxa"/>
            <w:shd w:val="clear" w:color="auto" w:fill="D9D9D9"/>
          </w:tcPr>
          <w:p w14:paraId="44C1316A" w14:textId="77777777" w:rsidR="00531C74" w:rsidRPr="00357DD5" w:rsidRDefault="00531C74" w:rsidP="0012587E">
            <w:pPr>
              <w:jc w:val="center"/>
              <w:rPr>
                <w:b/>
                <w:spacing w:val="-3"/>
                <w:sz w:val="20"/>
                <w:szCs w:val="20"/>
              </w:rPr>
            </w:pPr>
            <w:r w:rsidRPr="00357DD5">
              <w:rPr>
                <w:b/>
                <w:spacing w:val="-3"/>
                <w:sz w:val="20"/>
                <w:szCs w:val="20"/>
              </w:rPr>
              <w:t>100.0</w:t>
            </w:r>
          </w:p>
        </w:tc>
      </w:tr>
      <w:tr w:rsidR="00531C74" w:rsidRPr="00357DD5" w14:paraId="0C9C5527" w14:textId="77777777" w:rsidTr="00396077">
        <w:trPr>
          <w:jc w:val="center"/>
        </w:trPr>
        <w:tc>
          <w:tcPr>
            <w:tcW w:w="3015" w:type="dxa"/>
          </w:tcPr>
          <w:p w14:paraId="66B61153" w14:textId="77777777" w:rsidR="00531C74" w:rsidRPr="00357DD5" w:rsidRDefault="00531C74" w:rsidP="0012587E">
            <w:pPr>
              <w:jc w:val="center"/>
              <w:rPr>
                <w:b/>
                <w:spacing w:val="-3"/>
                <w:sz w:val="20"/>
                <w:szCs w:val="20"/>
              </w:rPr>
            </w:pPr>
            <w:r w:rsidRPr="00357DD5">
              <w:rPr>
                <w:b/>
                <w:spacing w:val="-3"/>
                <w:sz w:val="20"/>
                <w:szCs w:val="20"/>
              </w:rPr>
              <w:t>ETHNICITY</w:t>
            </w:r>
          </w:p>
        </w:tc>
        <w:tc>
          <w:tcPr>
            <w:tcW w:w="753" w:type="dxa"/>
          </w:tcPr>
          <w:p w14:paraId="71C39D5A" w14:textId="77777777" w:rsidR="00531C74" w:rsidRPr="00357DD5" w:rsidRDefault="00531C74" w:rsidP="0012587E">
            <w:pPr>
              <w:jc w:val="center"/>
              <w:rPr>
                <w:b/>
                <w:spacing w:val="-3"/>
                <w:sz w:val="20"/>
                <w:szCs w:val="20"/>
              </w:rPr>
            </w:pPr>
          </w:p>
        </w:tc>
        <w:tc>
          <w:tcPr>
            <w:tcW w:w="979" w:type="dxa"/>
          </w:tcPr>
          <w:p w14:paraId="78787DBA" w14:textId="77777777" w:rsidR="00531C74" w:rsidRPr="00357DD5" w:rsidRDefault="00531C74" w:rsidP="0012587E">
            <w:pPr>
              <w:jc w:val="center"/>
              <w:rPr>
                <w:b/>
                <w:spacing w:val="-3"/>
                <w:sz w:val="20"/>
                <w:szCs w:val="20"/>
              </w:rPr>
            </w:pPr>
          </w:p>
        </w:tc>
        <w:tc>
          <w:tcPr>
            <w:tcW w:w="1168" w:type="dxa"/>
            <w:shd w:val="clear" w:color="auto" w:fill="D9D9D9"/>
          </w:tcPr>
          <w:p w14:paraId="417C4879" w14:textId="77777777" w:rsidR="00531C74" w:rsidRPr="00357DD5" w:rsidRDefault="00531C74" w:rsidP="0012587E">
            <w:pPr>
              <w:jc w:val="center"/>
              <w:rPr>
                <w:b/>
                <w:spacing w:val="-3"/>
                <w:sz w:val="20"/>
                <w:szCs w:val="20"/>
              </w:rPr>
            </w:pPr>
          </w:p>
        </w:tc>
        <w:tc>
          <w:tcPr>
            <w:tcW w:w="720" w:type="dxa"/>
          </w:tcPr>
          <w:p w14:paraId="57F52631" w14:textId="77777777" w:rsidR="00531C74" w:rsidRPr="00357DD5" w:rsidRDefault="00531C74" w:rsidP="0012587E">
            <w:pPr>
              <w:jc w:val="center"/>
              <w:rPr>
                <w:b/>
                <w:spacing w:val="-3"/>
                <w:sz w:val="20"/>
                <w:szCs w:val="20"/>
              </w:rPr>
            </w:pPr>
          </w:p>
        </w:tc>
        <w:tc>
          <w:tcPr>
            <w:tcW w:w="900" w:type="dxa"/>
          </w:tcPr>
          <w:p w14:paraId="72C716A4" w14:textId="77777777" w:rsidR="00531C74" w:rsidRPr="00357DD5" w:rsidRDefault="00531C74" w:rsidP="0012587E">
            <w:pPr>
              <w:jc w:val="center"/>
              <w:rPr>
                <w:b/>
                <w:spacing w:val="-3"/>
                <w:sz w:val="20"/>
                <w:szCs w:val="20"/>
              </w:rPr>
            </w:pPr>
          </w:p>
        </w:tc>
        <w:tc>
          <w:tcPr>
            <w:tcW w:w="1262" w:type="dxa"/>
            <w:shd w:val="clear" w:color="auto" w:fill="D9D9D9"/>
          </w:tcPr>
          <w:p w14:paraId="5ABC808C" w14:textId="77777777" w:rsidR="00531C74" w:rsidRPr="00357DD5" w:rsidRDefault="00531C74" w:rsidP="0012587E">
            <w:pPr>
              <w:jc w:val="center"/>
              <w:rPr>
                <w:b/>
                <w:spacing w:val="-3"/>
                <w:sz w:val="20"/>
                <w:szCs w:val="20"/>
              </w:rPr>
            </w:pPr>
          </w:p>
        </w:tc>
      </w:tr>
      <w:tr w:rsidR="00531C74" w:rsidRPr="00357DD5" w14:paraId="05C972BB" w14:textId="77777777" w:rsidTr="00396077">
        <w:trPr>
          <w:jc w:val="center"/>
        </w:trPr>
        <w:tc>
          <w:tcPr>
            <w:tcW w:w="3015" w:type="dxa"/>
          </w:tcPr>
          <w:p w14:paraId="647B67EC" w14:textId="77777777" w:rsidR="00531C74" w:rsidRPr="00357DD5" w:rsidRDefault="00531C74" w:rsidP="0012587E">
            <w:pPr>
              <w:rPr>
                <w:spacing w:val="-3"/>
                <w:sz w:val="20"/>
                <w:szCs w:val="20"/>
              </w:rPr>
            </w:pPr>
            <w:r w:rsidRPr="00357DD5">
              <w:rPr>
                <w:spacing w:val="-3"/>
                <w:sz w:val="20"/>
                <w:szCs w:val="20"/>
              </w:rPr>
              <w:t>Hispanic or Latino</w:t>
            </w:r>
          </w:p>
        </w:tc>
        <w:tc>
          <w:tcPr>
            <w:tcW w:w="753" w:type="dxa"/>
          </w:tcPr>
          <w:p w14:paraId="6D4EAFC2" w14:textId="77777777" w:rsidR="00531C74" w:rsidRPr="00357DD5" w:rsidRDefault="00531C74" w:rsidP="0012587E">
            <w:pPr>
              <w:jc w:val="center"/>
              <w:rPr>
                <w:spacing w:val="-3"/>
                <w:sz w:val="20"/>
                <w:szCs w:val="20"/>
              </w:rPr>
            </w:pPr>
            <w:r w:rsidRPr="00357DD5">
              <w:rPr>
                <w:spacing w:val="-3"/>
                <w:sz w:val="20"/>
                <w:szCs w:val="20"/>
              </w:rPr>
              <w:t>0</w:t>
            </w:r>
          </w:p>
        </w:tc>
        <w:tc>
          <w:tcPr>
            <w:tcW w:w="979" w:type="dxa"/>
          </w:tcPr>
          <w:p w14:paraId="7EB99C4F" w14:textId="77777777" w:rsidR="00531C74" w:rsidRPr="00357DD5" w:rsidRDefault="00531C74" w:rsidP="0012587E">
            <w:pPr>
              <w:jc w:val="center"/>
              <w:rPr>
                <w:spacing w:val="-3"/>
                <w:sz w:val="20"/>
                <w:szCs w:val="20"/>
              </w:rPr>
            </w:pPr>
            <w:r w:rsidRPr="00357DD5">
              <w:rPr>
                <w:spacing w:val="-3"/>
                <w:sz w:val="20"/>
                <w:szCs w:val="20"/>
              </w:rPr>
              <w:t>0.0</w:t>
            </w:r>
          </w:p>
        </w:tc>
        <w:tc>
          <w:tcPr>
            <w:tcW w:w="1168" w:type="dxa"/>
            <w:shd w:val="clear" w:color="auto" w:fill="D9D9D9"/>
          </w:tcPr>
          <w:p w14:paraId="31AE8633" w14:textId="77777777" w:rsidR="00531C74" w:rsidRPr="00357DD5" w:rsidRDefault="00531C74" w:rsidP="0012587E">
            <w:pPr>
              <w:jc w:val="center"/>
              <w:rPr>
                <w:spacing w:val="-3"/>
                <w:sz w:val="20"/>
                <w:szCs w:val="20"/>
              </w:rPr>
            </w:pPr>
            <w:r w:rsidRPr="00357DD5">
              <w:rPr>
                <w:spacing w:val="-3"/>
                <w:sz w:val="20"/>
                <w:szCs w:val="20"/>
              </w:rPr>
              <w:t>7.6</w:t>
            </w:r>
          </w:p>
        </w:tc>
        <w:tc>
          <w:tcPr>
            <w:tcW w:w="720" w:type="dxa"/>
          </w:tcPr>
          <w:p w14:paraId="0F5F23FA" w14:textId="77777777" w:rsidR="00531C74" w:rsidRPr="00357DD5" w:rsidRDefault="00531C74" w:rsidP="0012587E">
            <w:pPr>
              <w:jc w:val="center"/>
              <w:rPr>
                <w:spacing w:val="-3"/>
                <w:sz w:val="20"/>
                <w:szCs w:val="20"/>
              </w:rPr>
            </w:pPr>
            <w:r w:rsidRPr="00357DD5">
              <w:rPr>
                <w:spacing w:val="-3"/>
                <w:sz w:val="20"/>
                <w:szCs w:val="20"/>
              </w:rPr>
              <w:t>2</w:t>
            </w:r>
          </w:p>
        </w:tc>
        <w:tc>
          <w:tcPr>
            <w:tcW w:w="900" w:type="dxa"/>
          </w:tcPr>
          <w:p w14:paraId="4FF3F24E" w14:textId="77777777" w:rsidR="00531C74" w:rsidRPr="00357DD5" w:rsidRDefault="00531C74" w:rsidP="0012587E">
            <w:pPr>
              <w:jc w:val="center"/>
              <w:rPr>
                <w:spacing w:val="-3"/>
                <w:sz w:val="20"/>
                <w:szCs w:val="20"/>
              </w:rPr>
            </w:pPr>
            <w:r w:rsidRPr="00357DD5">
              <w:rPr>
                <w:spacing w:val="-3"/>
                <w:sz w:val="20"/>
                <w:szCs w:val="20"/>
              </w:rPr>
              <w:t>2.1</w:t>
            </w:r>
          </w:p>
        </w:tc>
        <w:tc>
          <w:tcPr>
            <w:tcW w:w="1262" w:type="dxa"/>
            <w:shd w:val="clear" w:color="auto" w:fill="D9D9D9"/>
          </w:tcPr>
          <w:p w14:paraId="5CA374EC" w14:textId="77777777" w:rsidR="00531C74" w:rsidRPr="00357DD5" w:rsidRDefault="00531C74" w:rsidP="0012587E">
            <w:pPr>
              <w:jc w:val="center"/>
              <w:rPr>
                <w:spacing w:val="-3"/>
                <w:sz w:val="20"/>
                <w:szCs w:val="20"/>
              </w:rPr>
            </w:pPr>
            <w:r w:rsidRPr="00357DD5">
              <w:rPr>
                <w:spacing w:val="-3"/>
                <w:sz w:val="20"/>
                <w:szCs w:val="20"/>
              </w:rPr>
              <w:t>11.1</w:t>
            </w:r>
          </w:p>
        </w:tc>
      </w:tr>
      <w:tr w:rsidR="00531C74" w:rsidRPr="00357DD5" w14:paraId="022DC368" w14:textId="77777777" w:rsidTr="00396077">
        <w:trPr>
          <w:jc w:val="center"/>
        </w:trPr>
        <w:tc>
          <w:tcPr>
            <w:tcW w:w="3015" w:type="dxa"/>
          </w:tcPr>
          <w:p w14:paraId="1C43201D" w14:textId="77777777" w:rsidR="00531C74" w:rsidRPr="00357DD5" w:rsidRDefault="00531C74" w:rsidP="0012587E">
            <w:pPr>
              <w:rPr>
                <w:spacing w:val="-3"/>
                <w:sz w:val="20"/>
                <w:szCs w:val="20"/>
              </w:rPr>
            </w:pPr>
            <w:r w:rsidRPr="00357DD5">
              <w:rPr>
                <w:spacing w:val="-3"/>
                <w:sz w:val="20"/>
                <w:szCs w:val="20"/>
              </w:rPr>
              <w:t>Not Hispanic or Latino</w:t>
            </w:r>
          </w:p>
        </w:tc>
        <w:tc>
          <w:tcPr>
            <w:tcW w:w="753" w:type="dxa"/>
          </w:tcPr>
          <w:p w14:paraId="5633CA81" w14:textId="77777777" w:rsidR="00531C74" w:rsidRPr="00357DD5" w:rsidRDefault="00531C74" w:rsidP="0012587E">
            <w:pPr>
              <w:jc w:val="center"/>
              <w:rPr>
                <w:spacing w:val="-3"/>
                <w:sz w:val="20"/>
                <w:szCs w:val="20"/>
              </w:rPr>
            </w:pPr>
            <w:r w:rsidRPr="00357DD5">
              <w:rPr>
                <w:spacing w:val="-3"/>
                <w:sz w:val="20"/>
                <w:szCs w:val="20"/>
              </w:rPr>
              <w:t>30</w:t>
            </w:r>
          </w:p>
        </w:tc>
        <w:tc>
          <w:tcPr>
            <w:tcW w:w="979" w:type="dxa"/>
          </w:tcPr>
          <w:p w14:paraId="1BECAC21" w14:textId="77777777" w:rsidR="00531C74" w:rsidRPr="00357DD5" w:rsidRDefault="00531C74" w:rsidP="0012587E">
            <w:pPr>
              <w:jc w:val="center"/>
              <w:rPr>
                <w:spacing w:val="-3"/>
                <w:sz w:val="20"/>
                <w:szCs w:val="20"/>
              </w:rPr>
            </w:pPr>
            <w:r w:rsidRPr="00357DD5">
              <w:rPr>
                <w:spacing w:val="-3"/>
                <w:sz w:val="20"/>
                <w:szCs w:val="20"/>
              </w:rPr>
              <w:t>36.6</w:t>
            </w:r>
          </w:p>
        </w:tc>
        <w:tc>
          <w:tcPr>
            <w:tcW w:w="1168" w:type="dxa"/>
            <w:shd w:val="clear" w:color="auto" w:fill="D9D9D9"/>
          </w:tcPr>
          <w:p w14:paraId="61942BBA" w14:textId="77777777" w:rsidR="00531C74" w:rsidRPr="00357DD5" w:rsidRDefault="00531C74" w:rsidP="0012587E">
            <w:pPr>
              <w:jc w:val="center"/>
              <w:rPr>
                <w:spacing w:val="-3"/>
                <w:sz w:val="20"/>
                <w:szCs w:val="20"/>
              </w:rPr>
            </w:pPr>
            <w:r w:rsidRPr="00357DD5">
              <w:rPr>
                <w:spacing w:val="-3"/>
                <w:sz w:val="20"/>
                <w:szCs w:val="20"/>
              </w:rPr>
              <w:t>69.3</w:t>
            </w:r>
          </w:p>
        </w:tc>
        <w:tc>
          <w:tcPr>
            <w:tcW w:w="720" w:type="dxa"/>
          </w:tcPr>
          <w:p w14:paraId="0C5E7230" w14:textId="77777777" w:rsidR="00531C74" w:rsidRPr="00357DD5" w:rsidRDefault="00531C74" w:rsidP="0012587E">
            <w:pPr>
              <w:jc w:val="center"/>
              <w:rPr>
                <w:spacing w:val="-3"/>
                <w:sz w:val="20"/>
                <w:szCs w:val="20"/>
              </w:rPr>
            </w:pPr>
            <w:r w:rsidRPr="00357DD5">
              <w:rPr>
                <w:spacing w:val="-3"/>
                <w:sz w:val="20"/>
                <w:szCs w:val="20"/>
              </w:rPr>
              <w:t>33</w:t>
            </w:r>
          </w:p>
        </w:tc>
        <w:tc>
          <w:tcPr>
            <w:tcW w:w="900" w:type="dxa"/>
          </w:tcPr>
          <w:p w14:paraId="1E4F5955" w14:textId="77777777" w:rsidR="00531C74" w:rsidRPr="00357DD5" w:rsidRDefault="00531C74" w:rsidP="0012587E">
            <w:pPr>
              <w:jc w:val="center"/>
              <w:rPr>
                <w:spacing w:val="-3"/>
                <w:sz w:val="20"/>
                <w:szCs w:val="20"/>
              </w:rPr>
            </w:pPr>
            <w:r w:rsidRPr="00357DD5">
              <w:rPr>
                <w:spacing w:val="-3"/>
                <w:sz w:val="20"/>
                <w:szCs w:val="20"/>
              </w:rPr>
              <w:t>35.1</w:t>
            </w:r>
          </w:p>
        </w:tc>
        <w:tc>
          <w:tcPr>
            <w:tcW w:w="1262" w:type="dxa"/>
            <w:shd w:val="clear" w:color="auto" w:fill="D9D9D9"/>
          </w:tcPr>
          <w:p w14:paraId="6522C6B4" w14:textId="77777777" w:rsidR="00531C74" w:rsidRPr="00357DD5" w:rsidRDefault="00531C74" w:rsidP="0012587E">
            <w:pPr>
              <w:jc w:val="center"/>
              <w:rPr>
                <w:spacing w:val="-3"/>
                <w:sz w:val="20"/>
                <w:szCs w:val="20"/>
              </w:rPr>
            </w:pPr>
            <w:r w:rsidRPr="00357DD5">
              <w:rPr>
                <w:spacing w:val="-3"/>
                <w:sz w:val="20"/>
                <w:szCs w:val="20"/>
              </w:rPr>
              <w:t>65.0</w:t>
            </w:r>
          </w:p>
        </w:tc>
      </w:tr>
      <w:tr w:rsidR="00531C74" w:rsidRPr="00357DD5" w14:paraId="4F8656F2" w14:textId="77777777" w:rsidTr="00396077">
        <w:trPr>
          <w:jc w:val="center"/>
        </w:trPr>
        <w:tc>
          <w:tcPr>
            <w:tcW w:w="3015" w:type="dxa"/>
          </w:tcPr>
          <w:p w14:paraId="30AE225B" w14:textId="77777777" w:rsidR="00531C74" w:rsidRPr="00357DD5" w:rsidRDefault="00531C74" w:rsidP="0012587E">
            <w:pPr>
              <w:rPr>
                <w:spacing w:val="-3"/>
                <w:sz w:val="20"/>
                <w:szCs w:val="20"/>
              </w:rPr>
            </w:pPr>
            <w:r w:rsidRPr="00357DD5">
              <w:rPr>
                <w:spacing w:val="-3"/>
                <w:sz w:val="20"/>
                <w:szCs w:val="20"/>
              </w:rPr>
              <w:t>Joint (Hisp/Lat /Not Hisp/Lat)</w:t>
            </w:r>
          </w:p>
        </w:tc>
        <w:tc>
          <w:tcPr>
            <w:tcW w:w="753" w:type="dxa"/>
          </w:tcPr>
          <w:p w14:paraId="2368D208" w14:textId="77777777" w:rsidR="00531C74" w:rsidRPr="00357DD5" w:rsidRDefault="00531C74" w:rsidP="0012587E">
            <w:pPr>
              <w:jc w:val="center"/>
              <w:rPr>
                <w:spacing w:val="-3"/>
                <w:sz w:val="20"/>
                <w:szCs w:val="20"/>
              </w:rPr>
            </w:pPr>
            <w:r w:rsidRPr="00357DD5">
              <w:rPr>
                <w:spacing w:val="-3"/>
                <w:sz w:val="20"/>
                <w:szCs w:val="20"/>
              </w:rPr>
              <w:t>0</w:t>
            </w:r>
          </w:p>
        </w:tc>
        <w:tc>
          <w:tcPr>
            <w:tcW w:w="979" w:type="dxa"/>
          </w:tcPr>
          <w:p w14:paraId="074E46A4" w14:textId="77777777" w:rsidR="00531C74" w:rsidRPr="00357DD5" w:rsidRDefault="00531C74" w:rsidP="0012587E">
            <w:pPr>
              <w:jc w:val="center"/>
              <w:rPr>
                <w:spacing w:val="-3"/>
                <w:sz w:val="20"/>
                <w:szCs w:val="20"/>
              </w:rPr>
            </w:pPr>
            <w:r w:rsidRPr="00357DD5">
              <w:rPr>
                <w:spacing w:val="-3"/>
                <w:sz w:val="20"/>
                <w:szCs w:val="20"/>
              </w:rPr>
              <w:t>0.0</w:t>
            </w:r>
          </w:p>
        </w:tc>
        <w:tc>
          <w:tcPr>
            <w:tcW w:w="1168" w:type="dxa"/>
            <w:shd w:val="clear" w:color="auto" w:fill="D9D9D9"/>
          </w:tcPr>
          <w:p w14:paraId="60F8AADD" w14:textId="77777777" w:rsidR="00531C74" w:rsidRPr="00357DD5" w:rsidRDefault="00531C74" w:rsidP="0012587E">
            <w:pPr>
              <w:jc w:val="center"/>
              <w:rPr>
                <w:spacing w:val="-3"/>
                <w:sz w:val="20"/>
                <w:szCs w:val="20"/>
              </w:rPr>
            </w:pPr>
            <w:r w:rsidRPr="00357DD5">
              <w:rPr>
                <w:spacing w:val="-3"/>
                <w:sz w:val="20"/>
                <w:szCs w:val="20"/>
              </w:rPr>
              <w:t>1.3</w:t>
            </w:r>
          </w:p>
        </w:tc>
        <w:tc>
          <w:tcPr>
            <w:tcW w:w="720" w:type="dxa"/>
          </w:tcPr>
          <w:p w14:paraId="3EBFBD59" w14:textId="77777777" w:rsidR="00531C74" w:rsidRPr="00357DD5" w:rsidRDefault="00531C74" w:rsidP="0012587E">
            <w:pPr>
              <w:jc w:val="center"/>
              <w:rPr>
                <w:spacing w:val="-3"/>
                <w:sz w:val="20"/>
                <w:szCs w:val="20"/>
              </w:rPr>
            </w:pPr>
            <w:r w:rsidRPr="00357DD5">
              <w:rPr>
                <w:spacing w:val="-3"/>
                <w:sz w:val="20"/>
                <w:szCs w:val="20"/>
              </w:rPr>
              <w:t>0</w:t>
            </w:r>
          </w:p>
        </w:tc>
        <w:tc>
          <w:tcPr>
            <w:tcW w:w="900" w:type="dxa"/>
          </w:tcPr>
          <w:p w14:paraId="5CCFC9BC" w14:textId="77777777" w:rsidR="00531C74" w:rsidRPr="00357DD5" w:rsidRDefault="00531C74" w:rsidP="0012587E">
            <w:pPr>
              <w:jc w:val="center"/>
              <w:rPr>
                <w:spacing w:val="-3"/>
                <w:sz w:val="20"/>
                <w:szCs w:val="20"/>
              </w:rPr>
            </w:pPr>
            <w:r w:rsidRPr="00357DD5">
              <w:rPr>
                <w:spacing w:val="-3"/>
                <w:sz w:val="20"/>
                <w:szCs w:val="20"/>
              </w:rPr>
              <w:t>0.0</w:t>
            </w:r>
          </w:p>
        </w:tc>
        <w:tc>
          <w:tcPr>
            <w:tcW w:w="1262" w:type="dxa"/>
            <w:shd w:val="clear" w:color="auto" w:fill="D9D9D9"/>
          </w:tcPr>
          <w:p w14:paraId="2A7B194D" w14:textId="77777777" w:rsidR="00531C74" w:rsidRPr="00357DD5" w:rsidRDefault="00531C74" w:rsidP="0012587E">
            <w:pPr>
              <w:jc w:val="center"/>
              <w:rPr>
                <w:spacing w:val="-3"/>
                <w:sz w:val="20"/>
                <w:szCs w:val="20"/>
              </w:rPr>
            </w:pPr>
            <w:r w:rsidRPr="00357DD5">
              <w:rPr>
                <w:spacing w:val="-3"/>
                <w:sz w:val="20"/>
                <w:szCs w:val="20"/>
              </w:rPr>
              <w:t>1.1</w:t>
            </w:r>
          </w:p>
        </w:tc>
      </w:tr>
      <w:tr w:rsidR="00531C74" w:rsidRPr="00357DD5" w14:paraId="4A832F6A" w14:textId="77777777" w:rsidTr="00396077">
        <w:trPr>
          <w:jc w:val="center"/>
        </w:trPr>
        <w:tc>
          <w:tcPr>
            <w:tcW w:w="3015" w:type="dxa"/>
          </w:tcPr>
          <w:p w14:paraId="6FC24FB0" w14:textId="77777777" w:rsidR="00531C74" w:rsidRPr="00357DD5" w:rsidRDefault="00531C74" w:rsidP="0012587E">
            <w:pPr>
              <w:rPr>
                <w:spacing w:val="-3"/>
                <w:sz w:val="20"/>
                <w:szCs w:val="20"/>
              </w:rPr>
            </w:pPr>
            <w:r w:rsidRPr="00357DD5">
              <w:rPr>
                <w:spacing w:val="-3"/>
                <w:sz w:val="20"/>
                <w:szCs w:val="20"/>
              </w:rPr>
              <w:t>Ethnicity Not Available</w:t>
            </w:r>
          </w:p>
        </w:tc>
        <w:tc>
          <w:tcPr>
            <w:tcW w:w="753" w:type="dxa"/>
          </w:tcPr>
          <w:p w14:paraId="0C78019C" w14:textId="77777777" w:rsidR="00531C74" w:rsidRPr="00357DD5" w:rsidRDefault="00531C74" w:rsidP="0012587E">
            <w:pPr>
              <w:jc w:val="center"/>
              <w:rPr>
                <w:spacing w:val="-3"/>
                <w:sz w:val="20"/>
                <w:szCs w:val="20"/>
              </w:rPr>
            </w:pPr>
            <w:r w:rsidRPr="00357DD5">
              <w:rPr>
                <w:spacing w:val="-3"/>
                <w:sz w:val="20"/>
                <w:szCs w:val="20"/>
              </w:rPr>
              <w:t>52</w:t>
            </w:r>
          </w:p>
        </w:tc>
        <w:tc>
          <w:tcPr>
            <w:tcW w:w="979" w:type="dxa"/>
          </w:tcPr>
          <w:p w14:paraId="72E27C16" w14:textId="77777777" w:rsidR="00531C74" w:rsidRPr="00357DD5" w:rsidRDefault="00531C74" w:rsidP="0012587E">
            <w:pPr>
              <w:jc w:val="center"/>
              <w:rPr>
                <w:spacing w:val="-3"/>
                <w:sz w:val="20"/>
                <w:szCs w:val="20"/>
              </w:rPr>
            </w:pPr>
            <w:r w:rsidRPr="00357DD5">
              <w:rPr>
                <w:spacing w:val="-3"/>
                <w:sz w:val="20"/>
                <w:szCs w:val="20"/>
              </w:rPr>
              <w:t>63.4</w:t>
            </w:r>
          </w:p>
        </w:tc>
        <w:tc>
          <w:tcPr>
            <w:tcW w:w="1168" w:type="dxa"/>
            <w:shd w:val="clear" w:color="auto" w:fill="D9D9D9"/>
          </w:tcPr>
          <w:p w14:paraId="75BF3D98" w14:textId="77777777" w:rsidR="00531C74" w:rsidRPr="00357DD5" w:rsidRDefault="00531C74" w:rsidP="0012587E">
            <w:pPr>
              <w:jc w:val="center"/>
              <w:rPr>
                <w:spacing w:val="-3"/>
                <w:sz w:val="20"/>
                <w:szCs w:val="20"/>
              </w:rPr>
            </w:pPr>
            <w:r w:rsidRPr="00357DD5">
              <w:rPr>
                <w:spacing w:val="-3"/>
                <w:sz w:val="20"/>
                <w:szCs w:val="20"/>
              </w:rPr>
              <w:t>21.8</w:t>
            </w:r>
          </w:p>
        </w:tc>
        <w:tc>
          <w:tcPr>
            <w:tcW w:w="720" w:type="dxa"/>
          </w:tcPr>
          <w:p w14:paraId="44AAD5BF" w14:textId="77777777" w:rsidR="00531C74" w:rsidRPr="00357DD5" w:rsidRDefault="00531C74" w:rsidP="0012587E">
            <w:pPr>
              <w:jc w:val="center"/>
              <w:rPr>
                <w:spacing w:val="-3"/>
                <w:sz w:val="20"/>
                <w:szCs w:val="20"/>
              </w:rPr>
            </w:pPr>
            <w:r w:rsidRPr="00357DD5">
              <w:rPr>
                <w:spacing w:val="-3"/>
                <w:sz w:val="20"/>
                <w:szCs w:val="20"/>
              </w:rPr>
              <w:t>59</w:t>
            </w:r>
          </w:p>
        </w:tc>
        <w:tc>
          <w:tcPr>
            <w:tcW w:w="900" w:type="dxa"/>
          </w:tcPr>
          <w:p w14:paraId="68D6DF05" w14:textId="77777777" w:rsidR="00531C74" w:rsidRPr="00357DD5" w:rsidRDefault="00531C74" w:rsidP="0012587E">
            <w:pPr>
              <w:jc w:val="center"/>
              <w:rPr>
                <w:spacing w:val="-3"/>
                <w:sz w:val="20"/>
                <w:szCs w:val="20"/>
              </w:rPr>
            </w:pPr>
            <w:r w:rsidRPr="00357DD5">
              <w:rPr>
                <w:spacing w:val="-3"/>
                <w:sz w:val="20"/>
                <w:szCs w:val="20"/>
              </w:rPr>
              <w:t>62.8</w:t>
            </w:r>
          </w:p>
        </w:tc>
        <w:tc>
          <w:tcPr>
            <w:tcW w:w="1262" w:type="dxa"/>
            <w:shd w:val="clear" w:color="auto" w:fill="D9D9D9"/>
          </w:tcPr>
          <w:p w14:paraId="1636AC78" w14:textId="77777777" w:rsidR="00531C74" w:rsidRPr="00357DD5" w:rsidRDefault="00531C74" w:rsidP="0012587E">
            <w:pPr>
              <w:jc w:val="center"/>
              <w:rPr>
                <w:spacing w:val="-3"/>
                <w:sz w:val="20"/>
                <w:szCs w:val="20"/>
              </w:rPr>
            </w:pPr>
            <w:r w:rsidRPr="00357DD5">
              <w:rPr>
                <w:spacing w:val="-3"/>
                <w:sz w:val="20"/>
                <w:szCs w:val="20"/>
              </w:rPr>
              <w:t>22.7</w:t>
            </w:r>
          </w:p>
        </w:tc>
      </w:tr>
      <w:tr w:rsidR="00531C74" w:rsidRPr="00F243B2" w14:paraId="2330FAE4" w14:textId="77777777" w:rsidTr="00396077">
        <w:trPr>
          <w:jc w:val="center"/>
        </w:trPr>
        <w:tc>
          <w:tcPr>
            <w:tcW w:w="3015" w:type="dxa"/>
          </w:tcPr>
          <w:p w14:paraId="25BEDBB6" w14:textId="77777777" w:rsidR="00531C74" w:rsidRPr="00357DD5" w:rsidRDefault="00531C74" w:rsidP="0012587E">
            <w:pPr>
              <w:jc w:val="center"/>
              <w:rPr>
                <w:b/>
                <w:spacing w:val="-3"/>
                <w:sz w:val="20"/>
                <w:szCs w:val="20"/>
              </w:rPr>
            </w:pPr>
            <w:r w:rsidRPr="00357DD5">
              <w:rPr>
                <w:b/>
                <w:spacing w:val="-3"/>
                <w:sz w:val="20"/>
                <w:szCs w:val="20"/>
              </w:rPr>
              <w:t>Total</w:t>
            </w:r>
          </w:p>
        </w:tc>
        <w:tc>
          <w:tcPr>
            <w:tcW w:w="753" w:type="dxa"/>
          </w:tcPr>
          <w:p w14:paraId="25FFA5AB" w14:textId="77777777" w:rsidR="00531C74" w:rsidRPr="00357DD5" w:rsidRDefault="00531C74" w:rsidP="0012587E">
            <w:pPr>
              <w:jc w:val="center"/>
              <w:rPr>
                <w:b/>
                <w:spacing w:val="-3"/>
                <w:sz w:val="20"/>
                <w:szCs w:val="20"/>
              </w:rPr>
            </w:pPr>
            <w:r w:rsidRPr="00357DD5">
              <w:rPr>
                <w:b/>
                <w:spacing w:val="-3"/>
                <w:sz w:val="20"/>
                <w:szCs w:val="20"/>
              </w:rPr>
              <w:t>82</w:t>
            </w:r>
          </w:p>
        </w:tc>
        <w:tc>
          <w:tcPr>
            <w:tcW w:w="979" w:type="dxa"/>
          </w:tcPr>
          <w:p w14:paraId="5B834EB6" w14:textId="77777777" w:rsidR="00531C74" w:rsidRPr="00357DD5" w:rsidRDefault="00531C74" w:rsidP="0012587E">
            <w:pPr>
              <w:jc w:val="center"/>
              <w:rPr>
                <w:b/>
                <w:spacing w:val="-3"/>
                <w:sz w:val="20"/>
                <w:szCs w:val="20"/>
              </w:rPr>
            </w:pPr>
            <w:r w:rsidRPr="00357DD5">
              <w:rPr>
                <w:b/>
                <w:spacing w:val="-3"/>
                <w:sz w:val="20"/>
                <w:szCs w:val="20"/>
              </w:rPr>
              <w:t>100.0</w:t>
            </w:r>
          </w:p>
        </w:tc>
        <w:tc>
          <w:tcPr>
            <w:tcW w:w="1168" w:type="dxa"/>
            <w:shd w:val="clear" w:color="auto" w:fill="D9D9D9"/>
          </w:tcPr>
          <w:p w14:paraId="576F81CB" w14:textId="77777777" w:rsidR="00531C74" w:rsidRPr="00357DD5" w:rsidRDefault="00531C74" w:rsidP="0012587E">
            <w:pPr>
              <w:jc w:val="center"/>
              <w:rPr>
                <w:b/>
                <w:spacing w:val="-3"/>
                <w:sz w:val="20"/>
                <w:szCs w:val="20"/>
              </w:rPr>
            </w:pPr>
            <w:r w:rsidRPr="00357DD5">
              <w:rPr>
                <w:b/>
                <w:spacing w:val="-3"/>
                <w:sz w:val="20"/>
                <w:szCs w:val="20"/>
              </w:rPr>
              <w:t>100.0</w:t>
            </w:r>
          </w:p>
        </w:tc>
        <w:tc>
          <w:tcPr>
            <w:tcW w:w="720" w:type="dxa"/>
          </w:tcPr>
          <w:p w14:paraId="6BD3353D" w14:textId="77777777" w:rsidR="00531C74" w:rsidRPr="00357DD5" w:rsidRDefault="00531C74" w:rsidP="0012587E">
            <w:pPr>
              <w:jc w:val="center"/>
              <w:rPr>
                <w:b/>
                <w:spacing w:val="-3"/>
                <w:sz w:val="20"/>
                <w:szCs w:val="20"/>
              </w:rPr>
            </w:pPr>
            <w:r w:rsidRPr="00357DD5">
              <w:rPr>
                <w:b/>
                <w:spacing w:val="-3"/>
                <w:sz w:val="20"/>
                <w:szCs w:val="20"/>
              </w:rPr>
              <w:t>94</w:t>
            </w:r>
          </w:p>
        </w:tc>
        <w:tc>
          <w:tcPr>
            <w:tcW w:w="900" w:type="dxa"/>
          </w:tcPr>
          <w:p w14:paraId="20AE65F7" w14:textId="77777777" w:rsidR="00531C74" w:rsidRPr="00357DD5" w:rsidRDefault="00531C74" w:rsidP="0012587E">
            <w:pPr>
              <w:jc w:val="center"/>
              <w:rPr>
                <w:b/>
                <w:spacing w:val="-3"/>
                <w:sz w:val="20"/>
                <w:szCs w:val="20"/>
              </w:rPr>
            </w:pPr>
            <w:r w:rsidRPr="00357DD5">
              <w:rPr>
                <w:b/>
                <w:spacing w:val="-3"/>
                <w:sz w:val="20"/>
                <w:szCs w:val="20"/>
              </w:rPr>
              <w:t>100.0</w:t>
            </w:r>
          </w:p>
        </w:tc>
        <w:tc>
          <w:tcPr>
            <w:tcW w:w="1262" w:type="dxa"/>
            <w:shd w:val="clear" w:color="auto" w:fill="D9D9D9"/>
          </w:tcPr>
          <w:p w14:paraId="5D8A717F" w14:textId="77777777" w:rsidR="00531C74" w:rsidRPr="009B656A" w:rsidRDefault="00531C74" w:rsidP="0012587E">
            <w:pPr>
              <w:jc w:val="center"/>
              <w:rPr>
                <w:b/>
                <w:spacing w:val="-3"/>
                <w:sz w:val="20"/>
                <w:szCs w:val="20"/>
              </w:rPr>
            </w:pPr>
            <w:r w:rsidRPr="00357DD5">
              <w:rPr>
                <w:b/>
                <w:spacing w:val="-3"/>
                <w:sz w:val="20"/>
                <w:szCs w:val="20"/>
              </w:rPr>
              <w:t>100.0</w:t>
            </w:r>
          </w:p>
        </w:tc>
      </w:tr>
    </w:tbl>
    <w:p w14:paraId="2915C9EE" w14:textId="77777777" w:rsidR="00531C74" w:rsidRPr="00DA3441" w:rsidRDefault="00531C74" w:rsidP="00531C74"/>
    <w:p w14:paraId="667B065C" w14:textId="47791480" w:rsidR="006A4478" w:rsidRDefault="006A4478">
      <w:pPr>
        <w:rPr>
          <w:b/>
          <w:bCs/>
          <w:sz w:val="28"/>
          <w:szCs w:val="28"/>
        </w:rPr>
      </w:pPr>
    </w:p>
    <w:p w14:paraId="0B144094" w14:textId="77777777" w:rsidR="006A4478" w:rsidRDefault="006A4478">
      <w:pPr>
        <w:rPr>
          <w:b/>
          <w:bCs/>
          <w:sz w:val="28"/>
          <w:szCs w:val="28"/>
        </w:rPr>
      </w:pPr>
    </w:p>
    <w:p w14:paraId="52B6AC62" w14:textId="77777777" w:rsidR="00531C74" w:rsidRDefault="00531C74" w:rsidP="00D3354F">
      <w:pPr>
        <w:jc w:val="center"/>
        <w:rPr>
          <w:b/>
          <w:bCs/>
          <w:sz w:val="28"/>
          <w:szCs w:val="28"/>
        </w:rPr>
      </w:pPr>
    </w:p>
    <w:p w14:paraId="5497B238" w14:textId="18ACD05C" w:rsidR="00531C74" w:rsidRDefault="00531C74" w:rsidP="00D3354F">
      <w:pPr>
        <w:jc w:val="center"/>
        <w:rPr>
          <w:b/>
          <w:bCs/>
          <w:sz w:val="28"/>
          <w:szCs w:val="28"/>
        </w:rPr>
      </w:pPr>
    </w:p>
    <w:p w14:paraId="38C219A3" w14:textId="77777777" w:rsidR="0012055E" w:rsidRDefault="0012055E" w:rsidP="00D3354F">
      <w:pPr>
        <w:jc w:val="center"/>
        <w:rPr>
          <w:b/>
          <w:bCs/>
          <w:sz w:val="28"/>
          <w:szCs w:val="28"/>
        </w:rPr>
      </w:pPr>
    </w:p>
    <w:p w14:paraId="2C494B1A" w14:textId="77777777" w:rsidR="00531C74" w:rsidRDefault="00531C74" w:rsidP="00D3354F">
      <w:pPr>
        <w:jc w:val="center"/>
        <w:rPr>
          <w:b/>
          <w:bCs/>
          <w:sz w:val="28"/>
          <w:szCs w:val="28"/>
        </w:rPr>
      </w:pPr>
    </w:p>
    <w:p w14:paraId="48D45001" w14:textId="77777777" w:rsidR="00531C74" w:rsidRDefault="00531C74" w:rsidP="00D3354F">
      <w:pPr>
        <w:jc w:val="center"/>
        <w:rPr>
          <w:b/>
          <w:bCs/>
          <w:sz w:val="28"/>
          <w:szCs w:val="28"/>
        </w:rPr>
      </w:pPr>
    </w:p>
    <w:p w14:paraId="5A8FA2EB" w14:textId="77777777" w:rsidR="00531C74" w:rsidRDefault="00531C74" w:rsidP="00D3354F">
      <w:pPr>
        <w:jc w:val="center"/>
        <w:rPr>
          <w:b/>
          <w:bCs/>
          <w:sz w:val="28"/>
          <w:szCs w:val="28"/>
        </w:rPr>
      </w:pPr>
    </w:p>
    <w:p w14:paraId="641B3EE1" w14:textId="77777777" w:rsidR="00531C74" w:rsidRDefault="00531C74" w:rsidP="00D3354F">
      <w:pPr>
        <w:jc w:val="center"/>
        <w:rPr>
          <w:b/>
          <w:bCs/>
          <w:sz w:val="28"/>
          <w:szCs w:val="28"/>
        </w:rPr>
      </w:pPr>
    </w:p>
    <w:p w14:paraId="69EDBD4E" w14:textId="77777777" w:rsidR="00531C74" w:rsidRDefault="00531C74" w:rsidP="00D3354F">
      <w:pPr>
        <w:jc w:val="center"/>
        <w:rPr>
          <w:b/>
          <w:bCs/>
          <w:sz w:val="28"/>
          <w:szCs w:val="28"/>
        </w:rPr>
      </w:pPr>
    </w:p>
    <w:p w14:paraId="737D5D10" w14:textId="77777777" w:rsidR="00531C74" w:rsidRDefault="00531C74" w:rsidP="00D3354F">
      <w:pPr>
        <w:jc w:val="center"/>
        <w:rPr>
          <w:b/>
          <w:bCs/>
          <w:sz w:val="28"/>
          <w:szCs w:val="28"/>
        </w:rPr>
      </w:pPr>
    </w:p>
    <w:p w14:paraId="0FBD8327" w14:textId="77777777" w:rsidR="00531C74" w:rsidRDefault="00531C74" w:rsidP="00D3354F">
      <w:pPr>
        <w:jc w:val="center"/>
        <w:rPr>
          <w:b/>
          <w:bCs/>
          <w:sz w:val="28"/>
          <w:szCs w:val="28"/>
        </w:rPr>
      </w:pPr>
    </w:p>
    <w:p w14:paraId="06A80652" w14:textId="5621563A" w:rsidR="00531C74" w:rsidRDefault="00531C74" w:rsidP="00D3354F">
      <w:pPr>
        <w:jc w:val="center"/>
        <w:rPr>
          <w:b/>
          <w:bCs/>
          <w:sz w:val="28"/>
          <w:szCs w:val="28"/>
        </w:rPr>
      </w:pPr>
    </w:p>
    <w:p w14:paraId="774289C9" w14:textId="77777777" w:rsidR="00531C74" w:rsidRDefault="00531C74" w:rsidP="00D3354F">
      <w:pPr>
        <w:jc w:val="center"/>
        <w:rPr>
          <w:b/>
          <w:bCs/>
          <w:sz w:val="28"/>
          <w:szCs w:val="28"/>
        </w:rPr>
      </w:pPr>
    </w:p>
    <w:p w14:paraId="3091B165" w14:textId="77777777" w:rsidR="00531C74" w:rsidRDefault="00531C74" w:rsidP="00D3354F">
      <w:pPr>
        <w:jc w:val="center"/>
        <w:rPr>
          <w:b/>
          <w:bCs/>
          <w:sz w:val="28"/>
          <w:szCs w:val="28"/>
        </w:rPr>
      </w:pPr>
    </w:p>
    <w:p w14:paraId="2E818093" w14:textId="77777777" w:rsidR="00531C74" w:rsidRDefault="00531C74" w:rsidP="0095367F">
      <w:pPr>
        <w:rPr>
          <w:b/>
          <w:bCs/>
          <w:sz w:val="28"/>
          <w:szCs w:val="28"/>
        </w:rPr>
      </w:pPr>
    </w:p>
    <w:p w14:paraId="63ED19DC" w14:textId="50BAEF77" w:rsidR="0099672C" w:rsidRPr="00AE1F9E" w:rsidRDefault="0099672C" w:rsidP="00D3354F">
      <w:pPr>
        <w:jc w:val="center"/>
        <w:rPr>
          <w:b/>
          <w:bCs/>
          <w:sz w:val="28"/>
          <w:szCs w:val="28"/>
        </w:rPr>
      </w:pPr>
      <w:r w:rsidRPr="00AE1F9E">
        <w:rPr>
          <w:b/>
          <w:bCs/>
          <w:sz w:val="28"/>
          <w:szCs w:val="28"/>
        </w:rPr>
        <w:t>GLOSSARY</w:t>
      </w:r>
    </w:p>
    <w:p w14:paraId="1A0608DB" w14:textId="77777777" w:rsidR="0099672C" w:rsidRDefault="0099672C" w:rsidP="00D3354F">
      <w:pPr>
        <w:rPr>
          <w:b/>
          <w:bCs/>
        </w:rPr>
      </w:pPr>
    </w:p>
    <w:p w14:paraId="748E7DAA" w14:textId="77777777" w:rsidR="0099672C" w:rsidRPr="00D50F8D" w:rsidRDefault="00874E0E" w:rsidP="00D3354F">
      <w:r>
        <w:rPr>
          <w:b/>
          <w:bCs/>
        </w:rPr>
        <w:t>Aggregate L</w:t>
      </w:r>
      <w:r w:rsidR="0099672C" w:rsidRPr="00D50F8D">
        <w:rPr>
          <w:b/>
          <w:bCs/>
        </w:rPr>
        <w:t>ending:</w:t>
      </w:r>
      <w:r w:rsidR="0099672C" w:rsidRPr="00D50F8D">
        <w:t xml:space="preserve"> </w:t>
      </w:r>
      <w:r w:rsidR="0099672C">
        <w:t xml:space="preserve"> </w:t>
      </w:r>
      <w:r w:rsidR="0099672C" w:rsidRPr="00D50F8D">
        <w:t>The number of loans originated and purchased by all reporting lenders in specified income categories as a percentage of the aggregate number of loans originated and purchased by all reporting lenders in the metropolitan area/assessment area.</w:t>
      </w:r>
    </w:p>
    <w:p w14:paraId="1977E73C" w14:textId="77777777" w:rsidR="0099672C" w:rsidRDefault="0099672C" w:rsidP="00D3354F">
      <w:pPr>
        <w:rPr>
          <w:b/>
          <w:bCs/>
        </w:rPr>
      </w:pPr>
    </w:p>
    <w:p w14:paraId="27EEA1AB" w14:textId="77777777" w:rsidR="0099672C" w:rsidRDefault="0099672C" w:rsidP="00D3354F">
      <w:pPr>
        <w:rPr>
          <w:i/>
          <w:iCs/>
        </w:rPr>
      </w:pPr>
      <w:r>
        <w:rPr>
          <w:b/>
          <w:bCs/>
        </w:rPr>
        <w:t xml:space="preserve">Area Median Income: </w:t>
      </w:r>
      <w:r w:rsidRPr="00014F79">
        <w:rPr>
          <w:b/>
          <w:bCs/>
        </w:rPr>
        <w:t xml:space="preserve"> </w:t>
      </w:r>
      <w:r>
        <w:t>The median family income for the MSA, if a person or geography is located in an MSA; or the statewid</w:t>
      </w:r>
      <w:r w:rsidR="00691463">
        <w:t>e non</w:t>
      </w:r>
      <w:r>
        <w:t>metropolitan median family income, if a person or geography is located outside an MSA</w:t>
      </w:r>
      <w:r>
        <w:rPr>
          <w:i/>
          <w:iCs/>
        </w:rPr>
        <w:t>.</w:t>
      </w:r>
    </w:p>
    <w:p w14:paraId="08BCF1CB" w14:textId="77777777" w:rsidR="0099672C" w:rsidRDefault="0099672C" w:rsidP="00D3354F">
      <w:pPr>
        <w:rPr>
          <w:b/>
          <w:bCs/>
        </w:rPr>
      </w:pPr>
    </w:p>
    <w:p w14:paraId="5394B5F6" w14:textId="77777777" w:rsidR="0099672C" w:rsidRDefault="0099672C" w:rsidP="00D3354F">
      <w:r>
        <w:rPr>
          <w:b/>
          <w:bCs/>
        </w:rPr>
        <w:t>Assessment Area:</w:t>
      </w:r>
      <w:r>
        <w:t xml:space="preserve">  A geographic area delineated by the bank under the requirements of the Community Reinvestment Act.</w:t>
      </w:r>
    </w:p>
    <w:p w14:paraId="0B158792" w14:textId="77777777" w:rsidR="0099672C" w:rsidRDefault="0099672C" w:rsidP="00D3354F">
      <w:pPr>
        <w:rPr>
          <w:b/>
          <w:bCs/>
        </w:rPr>
      </w:pPr>
    </w:p>
    <w:p w14:paraId="53FEA06A" w14:textId="77777777" w:rsidR="0099672C" w:rsidRDefault="0099672C" w:rsidP="00D3354F">
      <w:r>
        <w:rPr>
          <w:b/>
          <w:bCs/>
        </w:rPr>
        <w:t xml:space="preserve">Census Tract:  </w:t>
      </w:r>
      <w:r>
        <w:t>A small, relatively permanent statistical subdivision of a county.  Census tract boundaries normally follow visible features, but they may follow governmental unit boundaries and other non-visible features in some instances.  They always nest within counties.  Census tracts average about 4,000 persons, and their physical size varies widely depending upon population density.  Census tracts are designed to be homogenous for population characteristics, economic status, and living conditions to allow for statistical comparisons.</w:t>
      </w:r>
    </w:p>
    <w:p w14:paraId="6A5CDB12" w14:textId="77777777" w:rsidR="0099672C" w:rsidRDefault="0099672C" w:rsidP="00D3354F">
      <w:pPr>
        <w:rPr>
          <w:b/>
          <w:bCs/>
        </w:rPr>
      </w:pPr>
    </w:p>
    <w:p w14:paraId="074D3635" w14:textId="77777777" w:rsidR="0099672C" w:rsidRPr="007A6E51" w:rsidRDefault="0099672C" w:rsidP="00145CB9">
      <w:pPr>
        <w:widowControl w:val="0"/>
      </w:pPr>
      <w:r w:rsidRPr="00D3354F">
        <w:rPr>
          <w:b/>
          <w:bCs/>
        </w:rPr>
        <w:t>C</w:t>
      </w:r>
      <w:r>
        <w:rPr>
          <w:b/>
          <w:bCs/>
        </w:rPr>
        <w:t xml:space="preserve">ombined Statistical Area (CSA):  </w:t>
      </w:r>
      <w:r w:rsidRPr="007A6E51">
        <w:t xml:space="preserve">A combination of several adjacent metropolitan statistical areas or micropolitan statistical areas or a mix of the two, which are linked by economic ties.  </w:t>
      </w:r>
    </w:p>
    <w:p w14:paraId="38253B9D" w14:textId="77777777" w:rsidR="0099672C" w:rsidRPr="00D3354F" w:rsidRDefault="0099672C" w:rsidP="00D3354F"/>
    <w:p w14:paraId="076CBDE5" w14:textId="77777777" w:rsidR="0099672C" w:rsidRPr="00D3354F" w:rsidRDefault="0099672C" w:rsidP="00D3354F">
      <w:r w:rsidRPr="00D3354F">
        <w:rPr>
          <w:b/>
          <w:bCs/>
        </w:rPr>
        <w:t xml:space="preserve">Community Development:  </w:t>
      </w:r>
      <w:r w:rsidRPr="00D3354F">
        <w:t>For loans, investments, and services to qualify as community development activities, their primary purpose must</w:t>
      </w:r>
      <w:r w:rsidR="00674560">
        <w:t>:</w:t>
      </w:r>
    </w:p>
    <w:p w14:paraId="71BDB515" w14:textId="77777777" w:rsidR="0099672C" w:rsidRPr="00D3354F" w:rsidRDefault="0099672C" w:rsidP="00D3354F">
      <w:pPr>
        <w:tabs>
          <w:tab w:val="left" w:pos="720"/>
        </w:tabs>
        <w:ind w:left="720" w:hanging="360"/>
      </w:pPr>
      <w:r w:rsidRPr="00D3354F">
        <w:t>(1)</w:t>
      </w:r>
      <w:r w:rsidRPr="00D3354F">
        <w:tab/>
        <w:t xml:space="preserve">Support affordable housing for low- and moderate-income individuals; </w:t>
      </w:r>
    </w:p>
    <w:p w14:paraId="15D8DDFE" w14:textId="77777777" w:rsidR="0099672C" w:rsidRPr="00D3354F" w:rsidRDefault="0099672C" w:rsidP="00D3354F">
      <w:pPr>
        <w:tabs>
          <w:tab w:val="left" w:pos="720"/>
        </w:tabs>
        <w:ind w:left="720" w:hanging="360"/>
      </w:pPr>
      <w:r w:rsidRPr="00D3354F">
        <w:t>(2)</w:t>
      </w:r>
      <w:r w:rsidRPr="00D3354F">
        <w:tab/>
        <w:t xml:space="preserve">Target community services toward low- and moderate-income individuals; </w:t>
      </w:r>
    </w:p>
    <w:p w14:paraId="3BC91A63" w14:textId="77777777" w:rsidR="0099672C" w:rsidRPr="00D3354F" w:rsidRDefault="0099672C" w:rsidP="00D3354F">
      <w:pPr>
        <w:tabs>
          <w:tab w:val="left" w:pos="720"/>
        </w:tabs>
        <w:ind w:left="720" w:hanging="360"/>
      </w:pPr>
      <w:r w:rsidRPr="00D3354F">
        <w:t>(3)</w:t>
      </w:r>
      <w:r w:rsidRPr="00D3354F">
        <w:tab/>
        <w:t xml:space="preserve">Promote economic development by financing small businesses or farms; or </w:t>
      </w:r>
    </w:p>
    <w:p w14:paraId="2D061BE3" w14:textId="77777777" w:rsidR="0099672C" w:rsidRPr="00D3354F" w:rsidRDefault="0099672C" w:rsidP="00D3354F">
      <w:pPr>
        <w:tabs>
          <w:tab w:val="left" w:pos="720"/>
        </w:tabs>
        <w:ind w:left="720" w:hanging="360"/>
      </w:pPr>
      <w:r w:rsidRPr="00D3354F">
        <w:t>(4)</w:t>
      </w:r>
      <w:r w:rsidRPr="00D3354F">
        <w:tab/>
        <w:t>Provide activities that revitalize or stabilize low- and moderate-income geographies, designated disaster areas, o</w:t>
      </w:r>
      <w:r w:rsidR="00691463">
        <w:t>r distressed or underserved non</w:t>
      </w:r>
      <w:r w:rsidRPr="00D3354F">
        <w:t>metropolitan middle-income geographies; or</w:t>
      </w:r>
    </w:p>
    <w:p w14:paraId="5E6897B9" w14:textId="77777777" w:rsidR="0099672C" w:rsidRPr="00D3354F" w:rsidRDefault="0099672C" w:rsidP="00D3354F">
      <w:pPr>
        <w:tabs>
          <w:tab w:val="left" w:pos="720"/>
        </w:tabs>
        <w:ind w:left="720" w:hanging="360"/>
      </w:pPr>
      <w:r w:rsidRPr="00D3354F">
        <w:t>(5)</w:t>
      </w:r>
      <w:r w:rsidRPr="00D3354F">
        <w:tab/>
        <w:t>Enable or facilitate projects or activities that address needs regarding foreclosed or abandoned residential properties in designated target areas.</w:t>
      </w:r>
    </w:p>
    <w:p w14:paraId="6D918040" w14:textId="77777777" w:rsidR="0099672C" w:rsidRPr="00D3354F" w:rsidRDefault="0099672C" w:rsidP="00D3354F"/>
    <w:p w14:paraId="01F2149C" w14:textId="77777777" w:rsidR="0099672C" w:rsidRPr="00D3354F" w:rsidRDefault="0099672C" w:rsidP="00D3354F">
      <w:r w:rsidRPr="00D3354F">
        <w:rPr>
          <w:b/>
          <w:bCs/>
        </w:rPr>
        <w:t xml:space="preserve">Community Development Corporation (CDC):  </w:t>
      </w:r>
      <w:r w:rsidRPr="00D3354F">
        <w:t>A CDC allows banks and holding companies to make equity type of investments in community development projects.  Bank CDCs can develop innovative debt instruments or provide near-equity investments tailored to the development needs of the community</w:t>
      </w:r>
      <w:r>
        <w:t>.  Bank CDCs are also tailored to their</w:t>
      </w:r>
      <w:r w:rsidRPr="00D3354F">
        <w:t xml:space="preserve"> financial and marketing needs</w:t>
      </w:r>
      <w:r>
        <w:t>.</w:t>
      </w:r>
      <w:r w:rsidRPr="00D3354F">
        <w:t xml:space="preserve">  A CDC may purchase, own, rehabilitate, construct, manage</w:t>
      </w:r>
      <w:r w:rsidR="00751988">
        <w:t>,</w:t>
      </w:r>
      <w:r w:rsidRPr="00D3354F">
        <w:t xml:space="preserve"> and sell real property.  Also, it may make equity or debt investments in development projects and in local businesses.  The CDC activities are expected to directly benefit low- and moderate-income groups, and the investment dollars should not represent an undue risk on the banking organization.  </w:t>
      </w:r>
    </w:p>
    <w:p w14:paraId="3F0D53CD" w14:textId="77777777" w:rsidR="0099672C" w:rsidRPr="00D3354F" w:rsidRDefault="0099672C" w:rsidP="00D3354F"/>
    <w:p w14:paraId="7D54C2FA" w14:textId="77777777" w:rsidR="00160973" w:rsidRDefault="00160973" w:rsidP="00D3354F">
      <w:pPr>
        <w:pStyle w:val="HTMLPreformatted"/>
        <w:rPr>
          <w:rFonts w:ascii="Times New Roman" w:hAnsi="Times New Roman"/>
          <w:b/>
          <w:bCs/>
          <w:sz w:val="24"/>
          <w:szCs w:val="24"/>
        </w:rPr>
      </w:pPr>
    </w:p>
    <w:p w14:paraId="37C8EA0E" w14:textId="12D1434F" w:rsidR="0099672C" w:rsidRPr="00D3354F" w:rsidRDefault="0099672C" w:rsidP="00D3354F">
      <w:pPr>
        <w:pStyle w:val="HTMLPreformatted"/>
        <w:rPr>
          <w:rFonts w:ascii="Times New Roman" w:hAnsi="Times New Roman"/>
          <w:sz w:val="24"/>
          <w:szCs w:val="24"/>
        </w:rPr>
      </w:pPr>
      <w:r w:rsidRPr="00D3354F">
        <w:rPr>
          <w:rFonts w:ascii="Times New Roman" w:hAnsi="Times New Roman"/>
          <w:b/>
          <w:bCs/>
          <w:sz w:val="24"/>
          <w:szCs w:val="24"/>
        </w:rPr>
        <w:t>Community Development Financial Institutions (CDFIs):</w:t>
      </w:r>
      <w:r w:rsidRPr="00D3354F">
        <w:rPr>
          <w:rFonts w:ascii="Times New Roman" w:hAnsi="Times New Roman"/>
          <w:sz w:val="24"/>
          <w:szCs w:val="24"/>
        </w:rPr>
        <w:t xml:space="preserve">  CDFIs are private intermediaries (either for profit or non</w:t>
      </w:r>
      <w:r w:rsidR="0070065C">
        <w:rPr>
          <w:rFonts w:ascii="Times New Roman" w:hAnsi="Times New Roman"/>
          <w:sz w:val="24"/>
          <w:szCs w:val="24"/>
        </w:rPr>
        <w:t>-</w:t>
      </w:r>
      <w:r w:rsidRPr="00D3354F">
        <w:rPr>
          <w:rFonts w:ascii="Times New Roman" w:hAnsi="Times New Roman"/>
          <w:sz w:val="24"/>
          <w:szCs w:val="24"/>
        </w:rPr>
        <w:t xml:space="preserve">profit) with community development as their primary mission.  A CDFI facilitates the flow of lending and investment capital into distressed communities and to individuals who have been unable to take advantage of the services offered by traditional financial institutions.  Some basic types of CDFIs include community development banks, community development loan funds, community development credit unions, micro enterprise funds, and community development venture capital funds.  </w:t>
      </w:r>
    </w:p>
    <w:p w14:paraId="31C7F108" w14:textId="77777777" w:rsidR="0099672C" w:rsidRPr="00D3354F" w:rsidRDefault="0099672C" w:rsidP="00D3354F">
      <w:pPr>
        <w:pStyle w:val="HTMLPreformatted"/>
        <w:rPr>
          <w:rFonts w:ascii="Times New Roman" w:hAnsi="Times New Roman"/>
          <w:sz w:val="24"/>
          <w:szCs w:val="24"/>
        </w:rPr>
      </w:pPr>
    </w:p>
    <w:p w14:paraId="5E76807E" w14:textId="77777777" w:rsidR="0099672C" w:rsidRDefault="0099672C" w:rsidP="00D3354F">
      <w:pPr>
        <w:pStyle w:val="HTMLPreformatted"/>
        <w:rPr>
          <w:rFonts w:ascii="Times New Roman" w:hAnsi="Times New Roman"/>
          <w:sz w:val="24"/>
          <w:szCs w:val="24"/>
        </w:rPr>
      </w:pPr>
      <w:r w:rsidRPr="00D3354F">
        <w:rPr>
          <w:rFonts w:ascii="Times New Roman" w:hAnsi="Times New Roman"/>
          <w:sz w:val="24"/>
          <w:szCs w:val="24"/>
        </w:rPr>
        <w:t>A certified CDFI must meet eligibility requirements</w:t>
      </w:r>
      <w:r>
        <w:rPr>
          <w:rFonts w:ascii="Times New Roman" w:hAnsi="Times New Roman"/>
          <w:sz w:val="24"/>
          <w:szCs w:val="24"/>
        </w:rPr>
        <w:t>.  These requirements include</w:t>
      </w:r>
      <w:r w:rsidR="00BF291B">
        <w:rPr>
          <w:rFonts w:ascii="Times New Roman" w:hAnsi="Times New Roman"/>
          <w:sz w:val="24"/>
          <w:szCs w:val="24"/>
        </w:rPr>
        <w:t xml:space="preserve"> the following:</w:t>
      </w:r>
    </w:p>
    <w:p w14:paraId="032C51A5" w14:textId="77777777" w:rsidR="0099672C" w:rsidRDefault="0099672C" w:rsidP="00DC5178">
      <w:pPr>
        <w:pStyle w:val="HTMLPreformatted"/>
        <w:numPr>
          <w:ilvl w:val="0"/>
          <w:numId w:val="21"/>
        </w:numPr>
        <w:rPr>
          <w:rFonts w:ascii="Times New Roman" w:hAnsi="Times New Roman"/>
          <w:sz w:val="24"/>
          <w:szCs w:val="24"/>
        </w:rPr>
      </w:pPr>
      <w:r>
        <w:rPr>
          <w:rFonts w:ascii="Times New Roman" w:hAnsi="Times New Roman"/>
          <w:sz w:val="24"/>
          <w:szCs w:val="24"/>
        </w:rPr>
        <w:t>H</w:t>
      </w:r>
      <w:r w:rsidRPr="00D3354F">
        <w:rPr>
          <w:rFonts w:ascii="Times New Roman" w:hAnsi="Times New Roman"/>
          <w:sz w:val="24"/>
          <w:szCs w:val="24"/>
        </w:rPr>
        <w:t xml:space="preserve">aving a primary mission of promoting community development; </w:t>
      </w:r>
    </w:p>
    <w:p w14:paraId="5644E1AF" w14:textId="77777777" w:rsidR="0099672C" w:rsidRDefault="0099672C" w:rsidP="00DC5178">
      <w:pPr>
        <w:pStyle w:val="HTMLPreformatted"/>
        <w:numPr>
          <w:ilvl w:val="0"/>
          <w:numId w:val="21"/>
        </w:numPr>
        <w:rPr>
          <w:rFonts w:ascii="Times New Roman" w:hAnsi="Times New Roman"/>
          <w:sz w:val="24"/>
          <w:szCs w:val="24"/>
        </w:rPr>
      </w:pPr>
      <w:r>
        <w:rPr>
          <w:rFonts w:ascii="Times New Roman" w:hAnsi="Times New Roman"/>
          <w:sz w:val="24"/>
          <w:szCs w:val="24"/>
        </w:rPr>
        <w:t>S</w:t>
      </w:r>
      <w:r w:rsidRPr="00D3354F">
        <w:rPr>
          <w:rFonts w:ascii="Times New Roman" w:hAnsi="Times New Roman"/>
          <w:sz w:val="24"/>
          <w:szCs w:val="24"/>
        </w:rPr>
        <w:t xml:space="preserve">erving an investment area or target population; </w:t>
      </w:r>
    </w:p>
    <w:p w14:paraId="2B92E001" w14:textId="77777777" w:rsidR="0099672C" w:rsidRDefault="0099672C" w:rsidP="00DC5178">
      <w:pPr>
        <w:pStyle w:val="HTMLPreformatted"/>
        <w:numPr>
          <w:ilvl w:val="0"/>
          <w:numId w:val="21"/>
        </w:numPr>
        <w:rPr>
          <w:rFonts w:ascii="Times New Roman" w:hAnsi="Times New Roman"/>
          <w:sz w:val="24"/>
          <w:szCs w:val="24"/>
        </w:rPr>
      </w:pPr>
      <w:r>
        <w:rPr>
          <w:rFonts w:ascii="Times New Roman" w:hAnsi="Times New Roman"/>
          <w:sz w:val="24"/>
          <w:szCs w:val="24"/>
        </w:rPr>
        <w:t>P</w:t>
      </w:r>
      <w:r w:rsidRPr="00D3354F">
        <w:rPr>
          <w:rFonts w:ascii="Times New Roman" w:hAnsi="Times New Roman"/>
          <w:sz w:val="24"/>
          <w:szCs w:val="24"/>
        </w:rPr>
        <w:t xml:space="preserve">roviding development services; </w:t>
      </w:r>
    </w:p>
    <w:p w14:paraId="3CA84049" w14:textId="77777777" w:rsidR="0099672C" w:rsidRDefault="0099672C" w:rsidP="00DC5178">
      <w:pPr>
        <w:pStyle w:val="HTMLPreformatted"/>
        <w:numPr>
          <w:ilvl w:val="0"/>
          <w:numId w:val="21"/>
        </w:numPr>
        <w:rPr>
          <w:rFonts w:ascii="Times New Roman" w:hAnsi="Times New Roman"/>
          <w:sz w:val="24"/>
          <w:szCs w:val="24"/>
        </w:rPr>
      </w:pPr>
      <w:r>
        <w:rPr>
          <w:rFonts w:ascii="Times New Roman" w:hAnsi="Times New Roman"/>
          <w:sz w:val="24"/>
          <w:szCs w:val="24"/>
        </w:rPr>
        <w:t>M</w:t>
      </w:r>
      <w:r w:rsidRPr="00D3354F">
        <w:rPr>
          <w:rFonts w:ascii="Times New Roman" w:hAnsi="Times New Roman"/>
          <w:sz w:val="24"/>
          <w:szCs w:val="24"/>
        </w:rPr>
        <w:t xml:space="preserve">aintaining accountability to residents of its investment area or targeted population through representation on its governing board of directors, or by other means; </w:t>
      </w:r>
    </w:p>
    <w:p w14:paraId="1DB6F3A8" w14:textId="77777777" w:rsidR="0099672C" w:rsidRPr="00D3354F" w:rsidRDefault="0099672C" w:rsidP="00DC5178">
      <w:pPr>
        <w:pStyle w:val="HTMLPreformatted"/>
        <w:numPr>
          <w:ilvl w:val="0"/>
          <w:numId w:val="21"/>
        </w:numPr>
        <w:rPr>
          <w:rFonts w:ascii="Times New Roman" w:hAnsi="Times New Roman"/>
          <w:sz w:val="24"/>
          <w:szCs w:val="24"/>
        </w:rPr>
      </w:pPr>
      <w:r>
        <w:rPr>
          <w:rFonts w:ascii="Times New Roman" w:hAnsi="Times New Roman"/>
          <w:sz w:val="24"/>
          <w:szCs w:val="24"/>
        </w:rPr>
        <w:t>N</w:t>
      </w:r>
      <w:r w:rsidRPr="00D3354F">
        <w:rPr>
          <w:rFonts w:ascii="Times New Roman" w:hAnsi="Times New Roman"/>
          <w:sz w:val="24"/>
          <w:szCs w:val="24"/>
        </w:rPr>
        <w:t>ot constituting an agency or instrumentality of the United States, of any state or political subdivision of a state.</w:t>
      </w:r>
    </w:p>
    <w:p w14:paraId="0EAE4448" w14:textId="77777777" w:rsidR="0099672C" w:rsidRPr="00D3354F" w:rsidRDefault="0099672C" w:rsidP="00D3354F">
      <w:pPr>
        <w:pStyle w:val="HTMLPreformatted"/>
        <w:rPr>
          <w:rFonts w:ascii="Times New Roman" w:hAnsi="Times New Roman"/>
          <w:b/>
          <w:bCs/>
          <w:sz w:val="24"/>
          <w:szCs w:val="24"/>
        </w:rPr>
      </w:pPr>
    </w:p>
    <w:p w14:paraId="4E7E463D" w14:textId="77777777" w:rsidR="0099672C" w:rsidRDefault="00874E0E" w:rsidP="00D3354F">
      <w:pPr>
        <w:pStyle w:val="HTMLPreformatted"/>
        <w:rPr>
          <w:rFonts w:ascii="Times New Roman" w:hAnsi="Times New Roman"/>
          <w:sz w:val="24"/>
          <w:szCs w:val="24"/>
        </w:rPr>
      </w:pPr>
      <w:r>
        <w:rPr>
          <w:rFonts w:ascii="Times New Roman" w:hAnsi="Times New Roman"/>
          <w:b/>
          <w:bCs/>
          <w:sz w:val="24"/>
          <w:szCs w:val="24"/>
        </w:rPr>
        <w:t>Community Development L</w:t>
      </w:r>
      <w:r w:rsidR="0099672C" w:rsidRPr="00D3354F">
        <w:rPr>
          <w:rFonts w:ascii="Times New Roman" w:hAnsi="Times New Roman"/>
          <w:b/>
          <w:bCs/>
          <w:sz w:val="24"/>
          <w:szCs w:val="24"/>
        </w:rPr>
        <w:t>oan:</w:t>
      </w:r>
      <w:r w:rsidR="0099672C" w:rsidRPr="00D3354F">
        <w:rPr>
          <w:rFonts w:ascii="Times New Roman" w:hAnsi="Times New Roman"/>
          <w:sz w:val="24"/>
          <w:szCs w:val="24"/>
        </w:rPr>
        <w:t xml:space="preserve">  A loan that </w:t>
      </w:r>
    </w:p>
    <w:p w14:paraId="5D5961F5" w14:textId="77777777" w:rsidR="0099672C" w:rsidRDefault="0099672C" w:rsidP="00BF61ED">
      <w:pPr>
        <w:pStyle w:val="HTMLPreformatted"/>
        <w:rPr>
          <w:rFonts w:ascii="Times New Roman" w:hAnsi="Times New Roman"/>
          <w:sz w:val="24"/>
          <w:szCs w:val="24"/>
        </w:rPr>
      </w:pPr>
      <w:r w:rsidRPr="00D3354F">
        <w:rPr>
          <w:rFonts w:ascii="Times New Roman" w:hAnsi="Times New Roman"/>
          <w:sz w:val="24"/>
          <w:szCs w:val="24"/>
        </w:rPr>
        <w:t xml:space="preserve">(1) </w:t>
      </w:r>
      <w:r w:rsidR="00751988">
        <w:rPr>
          <w:rFonts w:ascii="Times New Roman" w:hAnsi="Times New Roman"/>
          <w:sz w:val="24"/>
          <w:szCs w:val="24"/>
        </w:rPr>
        <w:t>H</w:t>
      </w:r>
      <w:r w:rsidRPr="00D3354F">
        <w:rPr>
          <w:rFonts w:ascii="Times New Roman" w:hAnsi="Times New Roman"/>
          <w:sz w:val="24"/>
          <w:szCs w:val="24"/>
        </w:rPr>
        <w:t xml:space="preserve">as as its primary purpose community development; and </w:t>
      </w:r>
    </w:p>
    <w:p w14:paraId="490FDF00" w14:textId="77777777" w:rsidR="0099672C" w:rsidRDefault="0099672C" w:rsidP="00BF61ED">
      <w:pPr>
        <w:pStyle w:val="HTMLPreformatted"/>
        <w:rPr>
          <w:rFonts w:ascii="Times New Roman" w:hAnsi="Times New Roman"/>
          <w:sz w:val="24"/>
          <w:szCs w:val="24"/>
        </w:rPr>
      </w:pPr>
      <w:r w:rsidRPr="00D3354F">
        <w:rPr>
          <w:rFonts w:ascii="Times New Roman" w:hAnsi="Times New Roman"/>
          <w:sz w:val="24"/>
          <w:szCs w:val="24"/>
        </w:rPr>
        <w:t xml:space="preserve">(2) </w:t>
      </w:r>
      <w:r w:rsidR="00751988">
        <w:rPr>
          <w:rFonts w:ascii="Times New Roman" w:hAnsi="Times New Roman"/>
          <w:sz w:val="24"/>
          <w:szCs w:val="24"/>
        </w:rPr>
        <w:t>E</w:t>
      </w:r>
      <w:r w:rsidRPr="00D3354F">
        <w:rPr>
          <w:rFonts w:ascii="Times New Roman" w:hAnsi="Times New Roman"/>
          <w:sz w:val="24"/>
          <w:szCs w:val="24"/>
        </w:rPr>
        <w:t xml:space="preserve">xcept in the case of a wholesale or limited purpose bank:  </w:t>
      </w:r>
    </w:p>
    <w:p w14:paraId="00EAEB87" w14:textId="77777777" w:rsidR="0099672C" w:rsidRDefault="0099672C" w:rsidP="00BC6D5E">
      <w:pPr>
        <w:pStyle w:val="HTMLPreformatted"/>
        <w:ind w:left="720"/>
        <w:rPr>
          <w:rFonts w:ascii="Times New Roman" w:hAnsi="Times New Roman"/>
          <w:sz w:val="24"/>
          <w:szCs w:val="24"/>
        </w:rPr>
      </w:pPr>
      <w:r w:rsidRPr="00D3354F">
        <w:rPr>
          <w:rFonts w:ascii="Times New Roman" w:hAnsi="Times New Roman"/>
          <w:sz w:val="24"/>
          <w:szCs w:val="24"/>
        </w:rPr>
        <w:t xml:space="preserve">(i) </w:t>
      </w:r>
      <w:r w:rsidR="00751988">
        <w:rPr>
          <w:rFonts w:ascii="Times New Roman" w:hAnsi="Times New Roman"/>
          <w:sz w:val="24"/>
          <w:szCs w:val="24"/>
        </w:rPr>
        <w:t>H</w:t>
      </w:r>
      <w:r w:rsidRPr="00D3354F">
        <w:rPr>
          <w:rFonts w:ascii="Times New Roman" w:hAnsi="Times New Roman"/>
          <w:sz w:val="24"/>
          <w:szCs w:val="24"/>
        </w:rPr>
        <w:t xml:space="preserve">as not been reported or collected by the bank or an affiliate for consideration in the bank’s assessment area as a home mortgage, small business, small farm, or consumer loan, unless it is a multifamily dwelling loan (as described in Appendix A to Part 203 of this title); and </w:t>
      </w:r>
    </w:p>
    <w:p w14:paraId="4F5A5C6E" w14:textId="77777777" w:rsidR="0099672C" w:rsidRPr="00D3354F" w:rsidRDefault="0099672C" w:rsidP="00BC6D5E">
      <w:pPr>
        <w:pStyle w:val="HTMLPreformatted"/>
        <w:ind w:left="720"/>
        <w:rPr>
          <w:rFonts w:ascii="Times New Roman" w:hAnsi="Times New Roman"/>
          <w:sz w:val="24"/>
          <w:szCs w:val="24"/>
        </w:rPr>
      </w:pPr>
      <w:r w:rsidRPr="00D3354F">
        <w:rPr>
          <w:rFonts w:ascii="Times New Roman" w:hAnsi="Times New Roman"/>
          <w:sz w:val="24"/>
          <w:szCs w:val="24"/>
        </w:rPr>
        <w:t xml:space="preserve">(ii) </w:t>
      </w:r>
      <w:r w:rsidR="00751988">
        <w:rPr>
          <w:rFonts w:ascii="Times New Roman" w:hAnsi="Times New Roman"/>
          <w:sz w:val="24"/>
          <w:szCs w:val="24"/>
        </w:rPr>
        <w:t>B</w:t>
      </w:r>
      <w:r w:rsidRPr="00D3354F">
        <w:rPr>
          <w:rFonts w:ascii="Times New Roman" w:hAnsi="Times New Roman"/>
          <w:sz w:val="24"/>
          <w:szCs w:val="24"/>
        </w:rPr>
        <w:t>enefits the bank’s assessment area(s) or a broader statewide or regional area includ</w:t>
      </w:r>
      <w:r>
        <w:rPr>
          <w:rFonts w:ascii="Times New Roman" w:hAnsi="Times New Roman"/>
          <w:sz w:val="24"/>
          <w:szCs w:val="24"/>
        </w:rPr>
        <w:t>ing</w:t>
      </w:r>
      <w:r w:rsidRPr="00D3354F">
        <w:rPr>
          <w:rFonts w:ascii="Times New Roman" w:hAnsi="Times New Roman"/>
          <w:sz w:val="24"/>
          <w:szCs w:val="24"/>
        </w:rPr>
        <w:t xml:space="preserve"> the bank’s assessment area(s).   </w:t>
      </w:r>
    </w:p>
    <w:p w14:paraId="5898BF41" w14:textId="77777777" w:rsidR="0099672C" w:rsidRPr="00D3354F" w:rsidRDefault="0099672C" w:rsidP="00D3354F">
      <w:pPr>
        <w:pStyle w:val="HTMLPreformatted"/>
        <w:rPr>
          <w:rFonts w:ascii="Times New Roman" w:hAnsi="Times New Roman"/>
          <w:b/>
          <w:bCs/>
          <w:sz w:val="24"/>
          <w:szCs w:val="24"/>
        </w:rPr>
      </w:pPr>
    </w:p>
    <w:p w14:paraId="76EDF701" w14:textId="77777777" w:rsidR="0099672C" w:rsidRDefault="00874E0E" w:rsidP="00D3354F">
      <w:pPr>
        <w:pStyle w:val="HTMLPreformatted"/>
        <w:rPr>
          <w:rFonts w:ascii="Times New Roman" w:hAnsi="Times New Roman"/>
          <w:sz w:val="24"/>
          <w:szCs w:val="24"/>
        </w:rPr>
      </w:pPr>
      <w:r>
        <w:rPr>
          <w:rFonts w:ascii="Times New Roman" w:hAnsi="Times New Roman"/>
          <w:b/>
          <w:bCs/>
          <w:sz w:val="24"/>
          <w:szCs w:val="24"/>
        </w:rPr>
        <w:t>Community Development S</w:t>
      </w:r>
      <w:r w:rsidR="0099672C" w:rsidRPr="00D3354F">
        <w:rPr>
          <w:rFonts w:ascii="Times New Roman" w:hAnsi="Times New Roman"/>
          <w:b/>
          <w:bCs/>
          <w:sz w:val="24"/>
          <w:szCs w:val="24"/>
        </w:rPr>
        <w:t>ervice:</w:t>
      </w:r>
      <w:r w:rsidR="0099672C" w:rsidRPr="00D3354F">
        <w:rPr>
          <w:rFonts w:ascii="Times New Roman" w:hAnsi="Times New Roman"/>
          <w:sz w:val="24"/>
          <w:szCs w:val="24"/>
        </w:rPr>
        <w:t xml:space="preserve">  A service that </w:t>
      </w:r>
    </w:p>
    <w:p w14:paraId="2229CBC3" w14:textId="77777777" w:rsidR="0099672C" w:rsidRDefault="0099672C" w:rsidP="00BC6D5E">
      <w:pPr>
        <w:pStyle w:val="HTMLPreformatted"/>
        <w:ind w:left="720"/>
        <w:rPr>
          <w:rFonts w:ascii="Times New Roman" w:hAnsi="Times New Roman"/>
          <w:sz w:val="24"/>
          <w:szCs w:val="24"/>
        </w:rPr>
      </w:pPr>
      <w:r w:rsidRPr="00D3354F">
        <w:rPr>
          <w:rFonts w:ascii="Times New Roman" w:hAnsi="Times New Roman"/>
          <w:sz w:val="24"/>
          <w:szCs w:val="24"/>
        </w:rPr>
        <w:t xml:space="preserve">(1) </w:t>
      </w:r>
      <w:r w:rsidR="00751988">
        <w:rPr>
          <w:rFonts w:ascii="Times New Roman" w:hAnsi="Times New Roman"/>
          <w:sz w:val="24"/>
          <w:szCs w:val="24"/>
        </w:rPr>
        <w:t>H</w:t>
      </w:r>
      <w:r w:rsidRPr="00D3354F">
        <w:rPr>
          <w:rFonts w:ascii="Times New Roman" w:hAnsi="Times New Roman"/>
          <w:sz w:val="24"/>
          <w:szCs w:val="24"/>
        </w:rPr>
        <w:t xml:space="preserve">as as its primary purpose community development; </w:t>
      </w:r>
    </w:p>
    <w:p w14:paraId="387ACEFB" w14:textId="77777777" w:rsidR="0099672C" w:rsidRDefault="0099672C" w:rsidP="00BC6D5E">
      <w:pPr>
        <w:pStyle w:val="HTMLPreformatted"/>
        <w:ind w:left="720"/>
        <w:rPr>
          <w:rFonts w:ascii="Times New Roman" w:hAnsi="Times New Roman"/>
          <w:sz w:val="24"/>
          <w:szCs w:val="24"/>
        </w:rPr>
      </w:pPr>
      <w:r w:rsidRPr="00D3354F">
        <w:rPr>
          <w:rFonts w:ascii="Times New Roman" w:hAnsi="Times New Roman"/>
          <w:sz w:val="24"/>
          <w:szCs w:val="24"/>
        </w:rPr>
        <w:t xml:space="preserve">(2) </w:t>
      </w:r>
      <w:r w:rsidR="00751988">
        <w:rPr>
          <w:rFonts w:ascii="Times New Roman" w:hAnsi="Times New Roman"/>
          <w:sz w:val="24"/>
          <w:szCs w:val="24"/>
        </w:rPr>
        <w:t>I</w:t>
      </w:r>
      <w:r w:rsidRPr="00D3354F">
        <w:rPr>
          <w:rFonts w:ascii="Times New Roman" w:hAnsi="Times New Roman"/>
          <w:sz w:val="24"/>
          <w:szCs w:val="24"/>
        </w:rPr>
        <w:t xml:space="preserve">s related to the provision of </w:t>
      </w:r>
      <w:r w:rsidRPr="00D3354F">
        <w:rPr>
          <w:rFonts w:ascii="Times New Roman" w:hAnsi="Times New Roman"/>
          <w:sz w:val="24"/>
          <w:szCs w:val="24"/>
          <w:u w:val="single"/>
        </w:rPr>
        <w:t>financial</w:t>
      </w:r>
      <w:r w:rsidRPr="00D3354F">
        <w:rPr>
          <w:rFonts w:ascii="Times New Roman" w:hAnsi="Times New Roman"/>
          <w:sz w:val="24"/>
          <w:szCs w:val="24"/>
        </w:rPr>
        <w:t xml:space="preserve"> services; and </w:t>
      </w:r>
    </w:p>
    <w:p w14:paraId="5A63568A" w14:textId="77777777" w:rsidR="0099672C" w:rsidRPr="00D3354F" w:rsidRDefault="0099672C" w:rsidP="00BC6D5E">
      <w:pPr>
        <w:pStyle w:val="HTMLPreformatted"/>
        <w:ind w:left="720"/>
        <w:rPr>
          <w:rFonts w:ascii="Times New Roman" w:hAnsi="Times New Roman"/>
          <w:sz w:val="24"/>
          <w:szCs w:val="24"/>
        </w:rPr>
      </w:pPr>
      <w:r w:rsidRPr="00D3354F">
        <w:rPr>
          <w:rFonts w:ascii="Times New Roman" w:hAnsi="Times New Roman"/>
          <w:sz w:val="24"/>
          <w:szCs w:val="24"/>
        </w:rPr>
        <w:t xml:space="preserve">(3) </w:t>
      </w:r>
      <w:r w:rsidR="00751988">
        <w:rPr>
          <w:rFonts w:ascii="Times New Roman" w:hAnsi="Times New Roman"/>
          <w:sz w:val="24"/>
          <w:szCs w:val="24"/>
        </w:rPr>
        <w:t>H</w:t>
      </w:r>
      <w:r w:rsidRPr="00D3354F">
        <w:rPr>
          <w:rFonts w:ascii="Times New Roman" w:hAnsi="Times New Roman"/>
          <w:sz w:val="24"/>
          <w:szCs w:val="24"/>
        </w:rPr>
        <w:t>as not been considered in the evaluation of the bank’s retail banking services under §</w:t>
      </w:r>
      <w:r>
        <w:rPr>
          <w:rFonts w:ascii="Times New Roman" w:hAnsi="Times New Roman"/>
          <w:sz w:val="24"/>
          <w:szCs w:val="24"/>
        </w:rPr>
        <w:t xml:space="preserve"> </w:t>
      </w:r>
      <w:r w:rsidRPr="00D3354F">
        <w:rPr>
          <w:rFonts w:ascii="Times New Roman" w:hAnsi="Times New Roman"/>
          <w:sz w:val="24"/>
          <w:szCs w:val="24"/>
        </w:rPr>
        <w:t xml:space="preserve">345.24(d).  </w:t>
      </w:r>
    </w:p>
    <w:p w14:paraId="2FFBC06E" w14:textId="77777777" w:rsidR="0099672C" w:rsidRPr="00D3354F" w:rsidRDefault="0099672C" w:rsidP="00D3354F">
      <w:pPr>
        <w:rPr>
          <w:b/>
          <w:bCs/>
        </w:rPr>
      </w:pPr>
    </w:p>
    <w:p w14:paraId="6811FCB2" w14:textId="77777777" w:rsidR="0099672C" w:rsidRPr="00D3354F" w:rsidRDefault="00874E0E" w:rsidP="00D3354F">
      <w:pPr>
        <w:rPr>
          <w:b/>
          <w:bCs/>
        </w:rPr>
      </w:pPr>
      <w:r>
        <w:rPr>
          <w:b/>
          <w:bCs/>
        </w:rPr>
        <w:t>Consumer L</w:t>
      </w:r>
      <w:r w:rsidR="0099672C" w:rsidRPr="00D3354F">
        <w:rPr>
          <w:b/>
          <w:bCs/>
        </w:rPr>
        <w:t xml:space="preserve">oan(s):  </w:t>
      </w:r>
      <w:r w:rsidR="0099672C" w:rsidRPr="00D3354F">
        <w:t>A loan(s) to one or more individuals for household, family, or other personal expenditures.  A consumer loan does not include a home mortgage, small business, or small farm loan.  This definition includes the following categories: motor vehicle loans, credit card loans, home equity loans, other secured consumer loans, and other unsecured consumer loans.</w:t>
      </w:r>
    </w:p>
    <w:p w14:paraId="15183679" w14:textId="77777777" w:rsidR="00AD0732" w:rsidRDefault="00AD0732" w:rsidP="00AD0732">
      <w:pPr>
        <w:rPr>
          <w:b/>
          <w:bCs/>
        </w:rPr>
      </w:pPr>
    </w:p>
    <w:p w14:paraId="5CEE7275" w14:textId="77777777" w:rsidR="00AD0732" w:rsidRDefault="00AD0732" w:rsidP="00AD0732">
      <w:r>
        <w:rPr>
          <w:b/>
          <w:bCs/>
        </w:rPr>
        <w:t xml:space="preserve">Core Based Statistical Areas (CBSAs):  </w:t>
      </w:r>
      <w:r>
        <w:t xml:space="preserve">The county or counties or equivalent entities associated with at least one core (urbanized area or urban cluster) of at least 10,000 population, plus adjacent counties having a high degree of social and economic integration with the core as measured through commuting ties with the counties associated with the core.  Metropolitan and Micropolitan Statistical Areas are the two categories of CBSAs. </w:t>
      </w:r>
    </w:p>
    <w:p w14:paraId="42A9DCAD" w14:textId="77777777" w:rsidR="0099672C" w:rsidRPr="00D3354F" w:rsidRDefault="0099672C" w:rsidP="00D3354F">
      <w:pPr>
        <w:pStyle w:val="HTMLPreformatted"/>
        <w:rPr>
          <w:rFonts w:ascii="Times New Roman" w:hAnsi="Times New Roman"/>
          <w:sz w:val="24"/>
          <w:szCs w:val="24"/>
        </w:rPr>
      </w:pPr>
    </w:p>
    <w:p w14:paraId="0983C174" w14:textId="77777777" w:rsidR="0099672C" w:rsidRDefault="00874E0E" w:rsidP="00D3354F">
      <w:pPr>
        <w:pStyle w:val="HTMLPreformatted"/>
        <w:rPr>
          <w:rFonts w:ascii="Times New Roman" w:hAnsi="Times New Roman"/>
          <w:sz w:val="24"/>
          <w:szCs w:val="24"/>
        </w:rPr>
      </w:pPr>
      <w:r>
        <w:rPr>
          <w:rFonts w:ascii="Times New Roman" w:hAnsi="Times New Roman"/>
          <w:b/>
          <w:bCs/>
          <w:sz w:val="24"/>
          <w:szCs w:val="24"/>
        </w:rPr>
        <w:t>Distressed Middle-Income Nonmetropolitan G</w:t>
      </w:r>
      <w:r w:rsidR="0099672C" w:rsidRPr="00D3354F">
        <w:rPr>
          <w:rFonts w:ascii="Times New Roman" w:hAnsi="Times New Roman"/>
          <w:b/>
          <w:bCs/>
          <w:sz w:val="24"/>
          <w:szCs w:val="24"/>
        </w:rPr>
        <w:t>eographies</w:t>
      </w:r>
      <w:r w:rsidR="0099672C" w:rsidRPr="00D3354F">
        <w:rPr>
          <w:rFonts w:ascii="Times New Roman" w:hAnsi="Times New Roman"/>
          <w:sz w:val="24"/>
          <w:szCs w:val="24"/>
        </w:rPr>
        <w:t xml:space="preserve">:  A nonmetropolitan middle-income geography will be designated as distressed if it is in a county that meets one or more of the following triggers:  </w:t>
      </w:r>
    </w:p>
    <w:p w14:paraId="1EA12222" w14:textId="77777777" w:rsidR="0099672C" w:rsidRDefault="0099672C" w:rsidP="00BC6D5E">
      <w:pPr>
        <w:pStyle w:val="HTMLPreformatted"/>
        <w:ind w:left="720"/>
        <w:rPr>
          <w:rFonts w:ascii="Times New Roman" w:hAnsi="Times New Roman"/>
          <w:sz w:val="24"/>
          <w:szCs w:val="24"/>
        </w:rPr>
      </w:pPr>
      <w:r w:rsidRPr="00D3354F">
        <w:rPr>
          <w:rFonts w:ascii="Times New Roman" w:hAnsi="Times New Roman"/>
          <w:sz w:val="24"/>
          <w:szCs w:val="24"/>
        </w:rPr>
        <w:t xml:space="preserve">(1) an unemployment rate of at least 1.5 times the national average; </w:t>
      </w:r>
    </w:p>
    <w:p w14:paraId="26A74586" w14:textId="77777777" w:rsidR="0099672C" w:rsidRDefault="0099672C" w:rsidP="00BC6D5E">
      <w:pPr>
        <w:pStyle w:val="HTMLPreformatted"/>
        <w:ind w:left="720"/>
        <w:rPr>
          <w:rFonts w:ascii="Times New Roman" w:hAnsi="Times New Roman"/>
          <w:sz w:val="24"/>
          <w:szCs w:val="24"/>
        </w:rPr>
      </w:pPr>
      <w:r w:rsidRPr="00D3354F">
        <w:rPr>
          <w:rFonts w:ascii="Times New Roman" w:hAnsi="Times New Roman"/>
          <w:sz w:val="24"/>
          <w:szCs w:val="24"/>
        </w:rPr>
        <w:t>(2) a poverty rate of 20 percent or more; or,</w:t>
      </w:r>
    </w:p>
    <w:p w14:paraId="7A22F0FB" w14:textId="77777777" w:rsidR="0099672C" w:rsidRPr="00D3354F" w:rsidRDefault="0099672C" w:rsidP="00BC6D5E">
      <w:pPr>
        <w:pStyle w:val="HTMLPreformatted"/>
        <w:ind w:left="720"/>
        <w:rPr>
          <w:rFonts w:ascii="Times New Roman" w:hAnsi="Times New Roman"/>
          <w:b/>
          <w:bCs/>
          <w:sz w:val="24"/>
          <w:szCs w:val="24"/>
        </w:rPr>
      </w:pPr>
      <w:r w:rsidRPr="00D3354F">
        <w:rPr>
          <w:rFonts w:ascii="Times New Roman" w:hAnsi="Times New Roman"/>
          <w:sz w:val="24"/>
          <w:szCs w:val="24"/>
        </w:rPr>
        <w:t xml:space="preserve">(3) a population loss of 10 percent or more between the previous and most recent decennial census or a net migration loss of 5 percent or more over the </w:t>
      </w:r>
      <w:r>
        <w:rPr>
          <w:rFonts w:ascii="Times New Roman" w:hAnsi="Times New Roman"/>
          <w:sz w:val="24"/>
          <w:szCs w:val="24"/>
        </w:rPr>
        <w:t>5</w:t>
      </w:r>
      <w:r w:rsidRPr="00D3354F">
        <w:rPr>
          <w:rFonts w:ascii="Times New Roman" w:hAnsi="Times New Roman"/>
          <w:sz w:val="24"/>
          <w:szCs w:val="24"/>
        </w:rPr>
        <w:t xml:space="preserve">-year period preceding the most recent census.  </w:t>
      </w:r>
    </w:p>
    <w:p w14:paraId="2983BC14" w14:textId="77777777" w:rsidR="0099672C" w:rsidRPr="00D3354F" w:rsidRDefault="0099672C" w:rsidP="00D3354F"/>
    <w:p w14:paraId="3DD31E83" w14:textId="77777777" w:rsidR="0099672C" w:rsidRPr="00D3354F" w:rsidRDefault="0099672C" w:rsidP="00D3354F">
      <w:r w:rsidRPr="00D3354F">
        <w:rPr>
          <w:b/>
          <w:bCs/>
        </w:rPr>
        <w:t>Family:</w:t>
      </w:r>
      <w:r w:rsidRPr="00D3354F">
        <w:t xml:space="preserve">  Includes a householder and one or more other persons living in the same household who are related to the householder by birth, marriage, or adoption.  The number of family households always equals the number of families; however, a family household may also include non-relatives living with the family.  Families are classified by type as either a married-couple family or other family</w:t>
      </w:r>
      <w:r>
        <w:t>.  Other family</w:t>
      </w:r>
      <w:r w:rsidRPr="00D3354F">
        <w:t xml:space="preserve"> is further classified into “male householder” (a family with a male householder and no wife present) or “female householder” (a family with a female householder and no husband present).</w:t>
      </w:r>
    </w:p>
    <w:p w14:paraId="674659DC" w14:textId="77777777" w:rsidR="0099672C" w:rsidRPr="00D3354F" w:rsidRDefault="0099672C" w:rsidP="00D3354F"/>
    <w:p w14:paraId="10F237B3" w14:textId="77777777" w:rsidR="0099672C" w:rsidRPr="00D3354F" w:rsidRDefault="0099672C" w:rsidP="00D3354F">
      <w:r w:rsidRPr="00D3354F">
        <w:rPr>
          <w:b/>
          <w:bCs/>
        </w:rPr>
        <w:t>Family Income:</w:t>
      </w:r>
      <w:r w:rsidRPr="00D3354F">
        <w:t xml:space="preserve">  Includes the income of all members of a family that are age 15 and older.</w:t>
      </w:r>
    </w:p>
    <w:p w14:paraId="374F7B49" w14:textId="77777777" w:rsidR="0099672C" w:rsidRPr="00D3354F" w:rsidRDefault="0099672C" w:rsidP="00D3354F">
      <w:pPr>
        <w:rPr>
          <w:b/>
          <w:bCs/>
        </w:rPr>
      </w:pPr>
    </w:p>
    <w:p w14:paraId="7F396E44" w14:textId="77777777" w:rsidR="0099672C" w:rsidRPr="00D3354F" w:rsidRDefault="0099672C" w:rsidP="00D3354F">
      <w:r w:rsidRPr="00D3354F">
        <w:rPr>
          <w:b/>
          <w:bCs/>
        </w:rPr>
        <w:t>FFIEC-</w:t>
      </w:r>
      <w:r w:rsidR="00674560">
        <w:rPr>
          <w:b/>
          <w:bCs/>
        </w:rPr>
        <w:t>Estimated</w:t>
      </w:r>
      <w:r w:rsidR="00674560" w:rsidRPr="00D3354F">
        <w:rPr>
          <w:b/>
          <w:bCs/>
        </w:rPr>
        <w:t xml:space="preserve"> </w:t>
      </w:r>
      <w:r w:rsidRPr="00D3354F">
        <w:rPr>
          <w:b/>
          <w:bCs/>
        </w:rPr>
        <w:t xml:space="preserve">Income Data:  </w:t>
      </w:r>
      <w:r w:rsidRPr="00D3354F">
        <w:t>The Federal Financial Institutions Examination Council (FFIEC) issues annual estimates which update median family incom</w:t>
      </w:r>
      <w:r w:rsidR="00691463">
        <w:t>e from the metropolitan and non</w:t>
      </w:r>
      <w:r w:rsidRPr="00D3354F">
        <w:t>metropolitan areas.  The FFIEC uses American Community Survey data and factors in information from other sources to arrive at an annual estimate that more closely reflects current economic conditions.</w:t>
      </w:r>
    </w:p>
    <w:p w14:paraId="5948233C" w14:textId="77777777" w:rsidR="0099672C" w:rsidRPr="00D3354F" w:rsidRDefault="0099672C" w:rsidP="00D3354F"/>
    <w:p w14:paraId="3F7C8A71" w14:textId="77777777" w:rsidR="00AD0732" w:rsidRPr="00C74E19" w:rsidRDefault="00AD0732" w:rsidP="00AD0732">
      <w:r w:rsidRPr="00C74E19">
        <w:rPr>
          <w:b/>
          <w:bCs/>
        </w:rPr>
        <w:t xml:space="preserve">Full-Scope Review:  </w:t>
      </w:r>
      <w:r w:rsidRPr="00C74E19">
        <w:t xml:space="preserve">A full-scope review is accomplished when examiners complete all applicable interagency examination procedures for an assessment area.  Performance </w:t>
      </w:r>
      <w:r>
        <w:t>under</w:t>
      </w:r>
      <w:r w:rsidRPr="00C74E19">
        <w:t xml:space="preserve"> applicable tests is analyzed considering performance context, quantitative factors (for example, geographic distribution, borrower profile</w:t>
      </w:r>
      <w:r>
        <w:t xml:space="preserve">, and </w:t>
      </w:r>
      <w:r w:rsidRPr="00C74E19">
        <w:t>total number and dollar amount of investments), and qualitative factors (</w:t>
      </w:r>
      <w:r>
        <w:t xml:space="preserve">for example, </w:t>
      </w:r>
      <w:r w:rsidRPr="00C74E19">
        <w:t>innovativeness, complexity, and responsiveness).</w:t>
      </w:r>
    </w:p>
    <w:p w14:paraId="27D7DC21" w14:textId="77777777" w:rsidR="0099672C" w:rsidRPr="00D3354F" w:rsidRDefault="0099672C" w:rsidP="00D3354F"/>
    <w:p w14:paraId="1F24B7FB" w14:textId="77777777" w:rsidR="0099672C" w:rsidRPr="00D3354F" w:rsidRDefault="0099672C" w:rsidP="00D3354F">
      <w:pPr>
        <w:rPr>
          <w:b/>
          <w:bCs/>
        </w:rPr>
      </w:pPr>
      <w:r w:rsidRPr="00D3354F">
        <w:rPr>
          <w:b/>
          <w:bCs/>
        </w:rPr>
        <w:t xml:space="preserve">Geography:  </w:t>
      </w:r>
      <w:r w:rsidRPr="00D3354F">
        <w:t xml:space="preserve">A census tract delineated by the United States Bureau of the Census in the most recent decennial census.  </w:t>
      </w:r>
      <w:r w:rsidRPr="00D3354F">
        <w:br/>
      </w:r>
    </w:p>
    <w:p w14:paraId="5EB2D16D" w14:textId="77777777" w:rsidR="0099672C" w:rsidRPr="00D3354F" w:rsidRDefault="0099672C" w:rsidP="00D3354F">
      <w:r w:rsidRPr="00D3354F">
        <w:rPr>
          <w:b/>
          <w:bCs/>
        </w:rPr>
        <w:t xml:space="preserve">Home Mortgage Disclosure Act (HMDA):  </w:t>
      </w:r>
      <w:r w:rsidRPr="00D3354F">
        <w:t>The statute that requires certain mortgage lenders that do business or have banking offices in a metropolitan statistical area to file annual summary reports of their mortgage lending activity.  The reports include such data as the race, gender</w:t>
      </w:r>
      <w:r w:rsidR="00874E0E">
        <w:t>, and the income of applicants</w:t>
      </w:r>
      <w:r w:rsidR="00751988">
        <w:t>;</w:t>
      </w:r>
      <w:r w:rsidRPr="00D3354F">
        <w:t xml:space="preserve"> the amount of loan requested</w:t>
      </w:r>
      <w:r w:rsidR="00751988">
        <w:t>;</w:t>
      </w:r>
      <w:r w:rsidRPr="00D3354F">
        <w:t xml:space="preserve"> </w:t>
      </w:r>
      <w:r w:rsidR="00874E0E">
        <w:t xml:space="preserve">and </w:t>
      </w:r>
      <w:r w:rsidRPr="00D3354F">
        <w:t>the disposition of the application (approved, denied, and withdrawn).</w:t>
      </w:r>
    </w:p>
    <w:p w14:paraId="0D193A1D" w14:textId="77777777" w:rsidR="0099672C" w:rsidRPr="00D3354F" w:rsidRDefault="0099672C" w:rsidP="00D3354F">
      <w:pPr>
        <w:rPr>
          <w:b/>
          <w:bCs/>
        </w:rPr>
      </w:pPr>
    </w:p>
    <w:p w14:paraId="1BD71326" w14:textId="77777777" w:rsidR="0099672C" w:rsidRPr="00D3354F" w:rsidRDefault="0099672C" w:rsidP="00D3354F">
      <w:r w:rsidRPr="00D3354F">
        <w:rPr>
          <w:b/>
          <w:bCs/>
        </w:rPr>
        <w:t>Home Mortgage Disclosure Loan Application Register (HMDA LAR):</w:t>
      </w:r>
      <w:r w:rsidRPr="00D3354F">
        <w:t xml:space="preserve">  The HMDA LARs record all applications received for residential purchase, refinance, home improvement</w:t>
      </w:r>
      <w:r>
        <w:t>,</w:t>
      </w:r>
      <w:r w:rsidRPr="00D3354F">
        <w:t xml:space="preserve"> and temporary-to-permanent construction loans.</w:t>
      </w:r>
    </w:p>
    <w:p w14:paraId="25065D84" w14:textId="77777777" w:rsidR="00751988" w:rsidRPr="00D3354F" w:rsidRDefault="00751988" w:rsidP="00D3354F"/>
    <w:p w14:paraId="30CD07A5" w14:textId="77777777" w:rsidR="0099672C" w:rsidRPr="00874E0E" w:rsidRDefault="00874E0E" w:rsidP="00145CB9">
      <w:pPr>
        <w:pStyle w:val="BodyText"/>
        <w:spacing w:after="0"/>
        <w:rPr>
          <w:rFonts w:ascii="Times New Roman" w:hAnsi="Times New Roman"/>
          <w:sz w:val="24"/>
          <w:szCs w:val="24"/>
        </w:rPr>
      </w:pPr>
      <w:r>
        <w:rPr>
          <w:rFonts w:ascii="Times New Roman" w:hAnsi="Times New Roman"/>
          <w:b/>
          <w:sz w:val="24"/>
          <w:szCs w:val="24"/>
        </w:rPr>
        <w:t>Home Mortgage L</w:t>
      </w:r>
      <w:r w:rsidR="0099672C" w:rsidRPr="00874E0E">
        <w:rPr>
          <w:rFonts w:ascii="Times New Roman" w:hAnsi="Times New Roman"/>
          <w:b/>
          <w:sz w:val="24"/>
          <w:szCs w:val="24"/>
        </w:rPr>
        <w:t>oans:</w:t>
      </w:r>
      <w:r w:rsidR="0099672C" w:rsidRPr="00874E0E">
        <w:rPr>
          <w:rFonts w:ascii="Times New Roman" w:hAnsi="Times New Roman"/>
          <w:sz w:val="24"/>
          <w:szCs w:val="24"/>
        </w:rPr>
        <w:t xml:space="preserve">  Includes home purchase and home improvement loans as defined in the HMDA regulation.</w:t>
      </w:r>
      <w:r w:rsidR="0099672C" w:rsidRPr="0046074D">
        <w:rPr>
          <w:rFonts w:ascii="Times New Roman" w:hAnsi="Times New Roman"/>
        </w:rPr>
        <w:t xml:space="preserve">  </w:t>
      </w:r>
      <w:r w:rsidR="0099672C" w:rsidRPr="00874E0E">
        <w:rPr>
          <w:rFonts w:ascii="Times New Roman" w:hAnsi="Times New Roman"/>
          <w:sz w:val="24"/>
          <w:szCs w:val="24"/>
        </w:rPr>
        <w:t xml:space="preserve">This definition also includes multi-family (five or more families) dwelling loans, loans </w:t>
      </w:r>
      <w:r w:rsidR="00751988">
        <w:rPr>
          <w:rFonts w:ascii="Times New Roman" w:hAnsi="Times New Roman"/>
          <w:sz w:val="24"/>
          <w:szCs w:val="24"/>
        </w:rPr>
        <w:t>to</w:t>
      </w:r>
      <w:r>
        <w:rPr>
          <w:rFonts w:ascii="Times New Roman" w:hAnsi="Times New Roman"/>
          <w:sz w:val="24"/>
          <w:szCs w:val="24"/>
        </w:rPr>
        <w:t xml:space="preserve"> purchase</w:t>
      </w:r>
      <w:r w:rsidR="0099672C" w:rsidRPr="00874E0E">
        <w:rPr>
          <w:rFonts w:ascii="Times New Roman" w:hAnsi="Times New Roman"/>
          <w:sz w:val="24"/>
          <w:szCs w:val="24"/>
        </w:rPr>
        <w:t xml:space="preserve"> manufactured homes</w:t>
      </w:r>
      <w:r w:rsidR="00751988">
        <w:rPr>
          <w:rFonts w:ascii="Times New Roman" w:hAnsi="Times New Roman"/>
          <w:sz w:val="24"/>
          <w:szCs w:val="24"/>
        </w:rPr>
        <w:t>,</w:t>
      </w:r>
      <w:r w:rsidR="0099672C" w:rsidRPr="00874E0E">
        <w:rPr>
          <w:rFonts w:ascii="Times New Roman" w:hAnsi="Times New Roman"/>
          <w:sz w:val="24"/>
          <w:szCs w:val="24"/>
        </w:rPr>
        <w:t xml:space="preserve"> and refinancings of home improvement and home purchase loans.</w:t>
      </w:r>
    </w:p>
    <w:p w14:paraId="44AB1ABC" w14:textId="77777777" w:rsidR="0099672C" w:rsidRPr="00D3354F" w:rsidRDefault="0099672C" w:rsidP="00D3354F">
      <w:pPr>
        <w:pStyle w:val="BodyText"/>
        <w:spacing w:after="0"/>
        <w:rPr>
          <w:rFonts w:ascii="Times New Roman" w:hAnsi="Times New Roman"/>
        </w:rPr>
      </w:pPr>
    </w:p>
    <w:p w14:paraId="732D774F" w14:textId="77777777" w:rsidR="0099672C" w:rsidRPr="00D3354F" w:rsidRDefault="0099672C" w:rsidP="00D3354F">
      <w:r w:rsidRPr="00D3354F">
        <w:rPr>
          <w:b/>
          <w:bCs/>
        </w:rPr>
        <w:t>Household:</w:t>
      </w:r>
      <w:r w:rsidRPr="00D3354F">
        <w:t xml:space="preserve">  Includes all persons occupying a housing unit.  Persons not living in households are classified as living in group quarters.  In 100 percent tabulations, the count of households always equals the count of occupied housing units.</w:t>
      </w:r>
    </w:p>
    <w:p w14:paraId="324709CF" w14:textId="77777777" w:rsidR="0099672C" w:rsidRPr="00D3354F" w:rsidRDefault="0099672C" w:rsidP="00D3354F"/>
    <w:p w14:paraId="6A502AA1" w14:textId="77777777" w:rsidR="0099672C" w:rsidRPr="00D3354F" w:rsidRDefault="0099672C" w:rsidP="00D3354F">
      <w:r w:rsidRPr="00D3354F">
        <w:rPr>
          <w:b/>
          <w:bCs/>
        </w:rPr>
        <w:t>Household Income:</w:t>
      </w:r>
      <w:r w:rsidRPr="00D3354F">
        <w:t xml:space="preserve">  Includes the income of the householder and all other persons that are age 15 and older in the household, whether related to the householder or not.  Because many households </w:t>
      </w:r>
      <w:r>
        <w:t>are</w:t>
      </w:r>
      <w:r w:rsidRPr="00D3354F">
        <w:t xml:space="preserve"> only one person, median household income is usually less than median family income.</w:t>
      </w:r>
    </w:p>
    <w:p w14:paraId="208059ED" w14:textId="77777777" w:rsidR="0099672C" w:rsidRPr="00D3354F" w:rsidRDefault="0099672C" w:rsidP="00D3354F"/>
    <w:p w14:paraId="7706A11A" w14:textId="77777777" w:rsidR="0099672C" w:rsidRPr="00D3354F" w:rsidRDefault="0099672C" w:rsidP="00D3354F">
      <w:r w:rsidRPr="00D3354F">
        <w:rPr>
          <w:b/>
          <w:bCs/>
        </w:rPr>
        <w:t xml:space="preserve">Housing Unit:  </w:t>
      </w:r>
      <w:r w:rsidRPr="00D3354F">
        <w:t>Includes a house, an apartment, a mobile home, a group of rooms, or a single room that is occupied as separate living quarters.</w:t>
      </w:r>
    </w:p>
    <w:p w14:paraId="545F51A3" w14:textId="77777777" w:rsidR="0099672C" w:rsidRPr="00D3354F" w:rsidRDefault="0099672C" w:rsidP="00D3354F">
      <w:pPr>
        <w:rPr>
          <w:b/>
          <w:bCs/>
        </w:rPr>
      </w:pPr>
    </w:p>
    <w:p w14:paraId="67CBC955" w14:textId="77777777" w:rsidR="00AD0732" w:rsidRPr="00C74E19" w:rsidRDefault="00AD0732" w:rsidP="00AD0732">
      <w:r w:rsidRPr="00C74E19">
        <w:rPr>
          <w:b/>
          <w:bCs/>
        </w:rPr>
        <w:t xml:space="preserve">Limited-Scope Review:  </w:t>
      </w:r>
      <w:r w:rsidRPr="00C74E19">
        <w:t xml:space="preserve">A limited scope review is accomplished when examiners do not complete all applicable interagency examination procedures for an assessment area.  </w:t>
      </w:r>
    </w:p>
    <w:p w14:paraId="0FF7AA08" w14:textId="77777777" w:rsidR="00AD0732" w:rsidRPr="00C74E19" w:rsidRDefault="00AD0732" w:rsidP="00AD0732">
      <w:r w:rsidRPr="00C74E19">
        <w:t>Performance under applicable tests is often analyzed using only quantitative factors (for example, geographic distribution, borrower profile, total number and dollar amount of investments, and branch distribution).</w:t>
      </w:r>
    </w:p>
    <w:p w14:paraId="2B42BAD1" w14:textId="77777777" w:rsidR="0099672C" w:rsidRPr="00D3354F" w:rsidRDefault="0099672C" w:rsidP="00D3354F"/>
    <w:p w14:paraId="3A05A976" w14:textId="77777777" w:rsidR="0099672C" w:rsidRPr="00D3354F" w:rsidRDefault="0099672C" w:rsidP="00D3354F">
      <w:r w:rsidRPr="00D3354F">
        <w:rPr>
          <w:b/>
          <w:bCs/>
        </w:rPr>
        <w:t xml:space="preserve">Low-Income:  </w:t>
      </w:r>
      <w:r w:rsidRPr="00D3354F">
        <w:t xml:space="preserve">Individual income that is less than 50 percent of the area median income, or a median family income that is less than 50 percent in the case of a geography. </w:t>
      </w:r>
    </w:p>
    <w:p w14:paraId="0642DCED" w14:textId="77777777" w:rsidR="0099672C" w:rsidRDefault="0099672C" w:rsidP="00D3354F">
      <w:pPr>
        <w:rPr>
          <w:b/>
          <w:bCs/>
        </w:rPr>
      </w:pPr>
    </w:p>
    <w:p w14:paraId="4E222765" w14:textId="77777777" w:rsidR="0099672C" w:rsidRPr="00D3354F" w:rsidRDefault="0099672C" w:rsidP="00D3354F">
      <w:r w:rsidRPr="00D3354F">
        <w:rPr>
          <w:b/>
          <w:bCs/>
        </w:rPr>
        <w:t>Low Income Housing Tax Credit:</w:t>
      </w:r>
      <w:r w:rsidRPr="00D3354F">
        <w:t xml:space="preserve">  The Low-Income Housing Tax Credit Program is a housing program contained within the Internal Revenue Code of 1986, as amended</w:t>
      </w:r>
      <w:r>
        <w:t>.  It</w:t>
      </w:r>
      <w:r w:rsidRPr="00D3354F">
        <w:t xml:space="preserve"> is administered by the U.S. Department of the Treasury and the Internal Revenue Service.  The U.S. Treasury Department distributes low-income housing tax credits to housing credit agencies</w:t>
      </w:r>
      <w:r>
        <w:t xml:space="preserve"> </w:t>
      </w:r>
      <w:r w:rsidRPr="00D3354F">
        <w:t xml:space="preserve">through the Internal </w:t>
      </w:r>
      <w:r w:rsidR="00874E0E">
        <w:t xml:space="preserve">Revenue Service.  </w:t>
      </w:r>
      <w:r w:rsidRPr="00D3354F">
        <w:t>The housing agencies allocate tax credits on a competitive basis.</w:t>
      </w:r>
    </w:p>
    <w:p w14:paraId="0F4E297B" w14:textId="77777777" w:rsidR="0099672C" w:rsidRPr="00D3354F" w:rsidRDefault="0099672C" w:rsidP="00D3354F">
      <w:r w:rsidRPr="00D3354F">
        <w:t xml:space="preserve">  </w:t>
      </w:r>
    </w:p>
    <w:p w14:paraId="449A1AB7" w14:textId="77777777" w:rsidR="0099672C" w:rsidRPr="00D3354F" w:rsidRDefault="0099672C" w:rsidP="00D3354F">
      <w:pPr>
        <w:rPr>
          <w:b/>
          <w:bCs/>
        </w:rPr>
      </w:pPr>
      <w:r w:rsidRPr="00D3354F">
        <w:t>Developers who acquire, rehabilitate, or construct low-income rental housing may keep their tax credits</w:t>
      </w:r>
      <w:r>
        <w:t xml:space="preserve">.  Or, they may </w:t>
      </w:r>
      <w:r w:rsidRPr="00D3354F">
        <w:t xml:space="preserve">sell them to corporations or investor groups, who, as owners of these properties, will be able to reduce their own federal tax payments.  The credit can be claimed annually for ten consecutive years.  For a project to be eligible, the developer must set aside a specific percentage of units for occupancy by low-income residents.  The set-aside requirement remains throughout the compliance period, usually 30 years. </w:t>
      </w:r>
    </w:p>
    <w:p w14:paraId="66FFBFCF" w14:textId="77777777" w:rsidR="0099672C" w:rsidRPr="00D3354F" w:rsidRDefault="0099672C" w:rsidP="00D3354F">
      <w:pPr>
        <w:rPr>
          <w:b/>
          <w:bCs/>
        </w:rPr>
      </w:pPr>
    </w:p>
    <w:p w14:paraId="7C6E6686" w14:textId="77777777" w:rsidR="0099672C" w:rsidRPr="00D3354F" w:rsidRDefault="0099672C" w:rsidP="00D3354F">
      <w:r w:rsidRPr="00D3354F">
        <w:rPr>
          <w:b/>
          <w:bCs/>
        </w:rPr>
        <w:t xml:space="preserve">Market Share:  </w:t>
      </w:r>
      <w:r w:rsidRPr="00D3354F">
        <w:t>The number of loans originated and purchased by the institution as a percentage of the aggregate number of loans originated and purchased by all reporting lenders in the metropolitan area/assessment area.</w:t>
      </w:r>
    </w:p>
    <w:p w14:paraId="32602C53" w14:textId="77777777" w:rsidR="0099672C" w:rsidRPr="00D3354F" w:rsidRDefault="0099672C" w:rsidP="00D3354F">
      <w:pPr>
        <w:rPr>
          <w:b/>
          <w:bCs/>
        </w:rPr>
      </w:pPr>
    </w:p>
    <w:p w14:paraId="2E91398E" w14:textId="77777777" w:rsidR="0099672C" w:rsidRPr="00D3354F" w:rsidRDefault="0099672C" w:rsidP="00D3354F">
      <w:r w:rsidRPr="00D3354F">
        <w:rPr>
          <w:b/>
          <w:bCs/>
        </w:rPr>
        <w:t xml:space="preserve">Median Income:  </w:t>
      </w:r>
      <w:r w:rsidRPr="00D3354F">
        <w:t>The median income divides the income distribution into two equal parts, one having incomes above the median and other having incomes below the median.</w:t>
      </w:r>
    </w:p>
    <w:p w14:paraId="1459C86B" w14:textId="77777777" w:rsidR="0099672C" w:rsidRPr="00D3354F" w:rsidRDefault="0099672C" w:rsidP="00D3354F"/>
    <w:p w14:paraId="536A5D74" w14:textId="77777777" w:rsidR="00AD0732" w:rsidRDefault="00AD0732" w:rsidP="00D3354F">
      <w:pPr>
        <w:rPr>
          <w:b/>
          <w:bCs/>
        </w:rPr>
      </w:pPr>
    </w:p>
    <w:p w14:paraId="329007E7" w14:textId="77777777" w:rsidR="0099672C" w:rsidRPr="00D3354F" w:rsidRDefault="0099672C" w:rsidP="00D3354F">
      <w:r w:rsidRPr="00D3354F">
        <w:rPr>
          <w:b/>
          <w:bCs/>
        </w:rPr>
        <w:t xml:space="preserve">Metropolitan Division (MD):  </w:t>
      </w:r>
      <w:r w:rsidRPr="00D3354F">
        <w:t xml:space="preserve">A county or group of counties within a CBSA that contain(s) an urbanized area with a population of at least 2.5 million.  A MD </w:t>
      </w:r>
      <w:r>
        <w:t>is</w:t>
      </w:r>
      <w:r w:rsidRPr="00D3354F">
        <w:t xml:space="preserve"> one or more main/secondary counties represent</w:t>
      </w:r>
      <w:r>
        <w:t>ing</w:t>
      </w:r>
      <w:r w:rsidRPr="00D3354F">
        <w:t xml:space="preserve"> an employment center or centers, plus adjacent counties associated with the main/secondary county or counties through commuting ties.  </w:t>
      </w:r>
    </w:p>
    <w:p w14:paraId="5A8BFDCF" w14:textId="77777777" w:rsidR="0099672C" w:rsidRPr="00D3354F" w:rsidRDefault="0099672C" w:rsidP="00D3354F">
      <w:pPr>
        <w:rPr>
          <w:b/>
          <w:bCs/>
        </w:rPr>
      </w:pPr>
    </w:p>
    <w:p w14:paraId="4794E6AF" w14:textId="77777777" w:rsidR="0099672C" w:rsidRDefault="0099672C" w:rsidP="00D3354F">
      <w:r w:rsidRPr="00D3354F">
        <w:rPr>
          <w:b/>
          <w:bCs/>
        </w:rPr>
        <w:t xml:space="preserve">Metropolitan Statistical Area (MSA):  </w:t>
      </w:r>
      <w:r w:rsidRPr="00D3354F">
        <w:t>CBSA</w:t>
      </w:r>
      <w:r>
        <w:t xml:space="preserve"> </w:t>
      </w:r>
      <w:r w:rsidRPr="00D3354F">
        <w:t xml:space="preserve">associated with at least one urbanized area </w:t>
      </w:r>
      <w:r>
        <w:t>having</w:t>
      </w:r>
      <w:r w:rsidRPr="00D3354F">
        <w:t xml:space="preserve"> a population of at least 50,000.  The MSA comprises the central county or counties or equivalent entities containing the core, plus adjacent outlying counties having a high degree of social and economic integration with the central county or counties as measured through commuting. </w:t>
      </w:r>
    </w:p>
    <w:p w14:paraId="3662A469" w14:textId="77777777" w:rsidR="0099672C" w:rsidRDefault="0099672C" w:rsidP="00D3354F"/>
    <w:p w14:paraId="014A2C03" w14:textId="77777777" w:rsidR="0099672C" w:rsidRPr="00D3354F" w:rsidRDefault="0099672C" w:rsidP="006D6766">
      <w:r w:rsidRPr="00D3354F">
        <w:rPr>
          <w:b/>
          <w:bCs/>
        </w:rPr>
        <w:t>M</w:t>
      </w:r>
      <w:r>
        <w:rPr>
          <w:b/>
          <w:bCs/>
        </w:rPr>
        <w:t>icropolitan Statistical Area</w:t>
      </w:r>
      <w:r w:rsidRPr="00D3354F">
        <w:rPr>
          <w:b/>
          <w:bCs/>
        </w:rPr>
        <w:t xml:space="preserve">:  </w:t>
      </w:r>
      <w:r w:rsidRPr="00D3354F">
        <w:t xml:space="preserve">CBSA associated with at least one urbanized area </w:t>
      </w:r>
      <w:r>
        <w:t>having</w:t>
      </w:r>
      <w:r w:rsidRPr="00D3354F">
        <w:t xml:space="preserve"> a population of at least </w:t>
      </w:r>
      <w:r>
        <w:t>1</w:t>
      </w:r>
      <w:r w:rsidRPr="00D3354F">
        <w:t>0,000</w:t>
      </w:r>
      <w:r>
        <w:t>, but less than 50,000</w:t>
      </w:r>
      <w:r w:rsidRPr="00D3354F">
        <w:t xml:space="preserve">.  </w:t>
      </w:r>
    </w:p>
    <w:p w14:paraId="158716BB" w14:textId="77777777" w:rsidR="0099672C" w:rsidRPr="00D3354F" w:rsidRDefault="0099672C" w:rsidP="00D3354F">
      <w:pPr>
        <w:rPr>
          <w:b/>
          <w:bCs/>
        </w:rPr>
      </w:pPr>
    </w:p>
    <w:p w14:paraId="7A7FBAC7" w14:textId="77777777" w:rsidR="0099672C" w:rsidRPr="00D3354F" w:rsidRDefault="0099672C" w:rsidP="00D3354F">
      <w:r w:rsidRPr="00D3354F">
        <w:rPr>
          <w:b/>
          <w:bCs/>
        </w:rPr>
        <w:t xml:space="preserve">Middle-Income:  </w:t>
      </w:r>
      <w:r w:rsidRPr="00D3354F">
        <w:t>Individual income that is at least 80 percent and less than 120 percent of the area median income, or a median family income that is at least 80 and less than 120 percent in the case of a geography.</w:t>
      </w:r>
    </w:p>
    <w:p w14:paraId="112D6E80" w14:textId="77777777" w:rsidR="0099672C" w:rsidRPr="00D3354F" w:rsidRDefault="0099672C" w:rsidP="00D3354F"/>
    <w:p w14:paraId="16F4ECA9" w14:textId="77777777" w:rsidR="0099672C" w:rsidRPr="00D3354F" w:rsidRDefault="0099672C" w:rsidP="00D3354F">
      <w:pPr>
        <w:rPr>
          <w:b/>
          <w:bCs/>
        </w:rPr>
      </w:pPr>
      <w:r w:rsidRPr="00D3354F">
        <w:rPr>
          <w:b/>
          <w:bCs/>
        </w:rPr>
        <w:t>Moderate-Income:</w:t>
      </w:r>
      <w:r w:rsidRPr="00D3354F">
        <w:t xml:space="preserve">  Individual income that is at least 50 percent and less than 80 percent of the area median income, or a median family income that is at least 50 and less than 80 percent in the case of a geography.</w:t>
      </w:r>
    </w:p>
    <w:p w14:paraId="4D27BFCC" w14:textId="77777777" w:rsidR="0099672C" w:rsidRPr="00D3354F" w:rsidRDefault="0099672C" w:rsidP="00D3354F">
      <w:pPr>
        <w:rPr>
          <w:b/>
          <w:bCs/>
        </w:rPr>
      </w:pPr>
    </w:p>
    <w:p w14:paraId="08F5DBFD" w14:textId="77777777" w:rsidR="0099672C" w:rsidRPr="00D3354F" w:rsidRDefault="0099672C" w:rsidP="00D3354F">
      <w:r w:rsidRPr="00D3354F">
        <w:rPr>
          <w:b/>
          <w:bCs/>
        </w:rPr>
        <w:t xml:space="preserve">Multi-family:  </w:t>
      </w:r>
      <w:r w:rsidRPr="00D3354F">
        <w:t>Refers to</w:t>
      </w:r>
      <w:r w:rsidRPr="00D3354F">
        <w:rPr>
          <w:b/>
          <w:bCs/>
        </w:rPr>
        <w:t xml:space="preserve"> </w:t>
      </w:r>
      <w:r w:rsidRPr="00D3354F">
        <w:t>a residential structure that contains five or more units.</w:t>
      </w:r>
    </w:p>
    <w:p w14:paraId="5B053B72" w14:textId="77777777" w:rsidR="0099672C" w:rsidRDefault="0099672C" w:rsidP="00D3354F">
      <w:pPr>
        <w:rPr>
          <w:b/>
          <w:bCs/>
        </w:rPr>
      </w:pPr>
    </w:p>
    <w:p w14:paraId="72C669A4" w14:textId="77777777" w:rsidR="0099672C" w:rsidRPr="00D3354F" w:rsidRDefault="00691463" w:rsidP="00D3354F">
      <w:r>
        <w:rPr>
          <w:b/>
          <w:bCs/>
        </w:rPr>
        <w:t>Non</w:t>
      </w:r>
      <w:r w:rsidR="0099672C" w:rsidRPr="00D3354F">
        <w:rPr>
          <w:b/>
          <w:bCs/>
        </w:rPr>
        <w:t>metropolitan Area:</w:t>
      </w:r>
      <w:r w:rsidR="0099672C" w:rsidRPr="00D3354F">
        <w:t xml:space="preserve">  All areas outside of metropolita</w:t>
      </w:r>
      <w:r>
        <w:t>n areas.  The definition of non</w:t>
      </w:r>
      <w:r w:rsidR="0099672C" w:rsidRPr="00D3354F">
        <w:t>metropolitan area is not consistent with the definition of rural areas.  Urban and rural classifications cut across the other hierarchies</w:t>
      </w:r>
      <w:r w:rsidR="0099672C">
        <w:t xml:space="preserve">. </w:t>
      </w:r>
      <w:r w:rsidR="0099672C" w:rsidRPr="00D3354F">
        <w:t xml:space="preserve"> </w:t>
      </w:r>
      <w:r w:rsidR="0099672C">
        <w:t>F</w:t>
      </w:r>
      <w:r w:rsidR="0099672C" w:rsidRPr="00D3354F">
        <w:t>or example, there is generally urban and rural territ</w:t>
      </w:r>
      <w:r>
        <w:t>ory within metropolitan and non</w:t>
      </w:r>
      <w:r w:rsidR="0099672C" w:rsidRPr="00D3354F">
        <w:t>metropolitan areas.</w:t>
      </w:r>
    </w:p>
    <w:p w14:paraId="40CFA1A1" w14:textId="77777777" w:rsidR="0099672C" w:rsidRPr="00D3354F" w:rsidRDefault="0099672C" w:rsidP="00D3354F">
      <w:pPr>
        <w:rPr>
          <w:b/>
          <w:bCs/>
        </w:rPr>
      </w:pPr>
    </w:p>
    <w:p w14:paraId="78786A70" w14:textId="77777777" w:rsidR="0099672C" w:rsidRPr="00D3354F" w:rsidRDefault="0099672C" w:rsidP="00D3354F">
      <w:r w:rsidRPr="00D3354F">
        <w:rPr>
          <w:b/>
          <w:bCs/>
        </w:rPr>
        <w:t>Owner-Occupied Units:</w:t>
      </w:r>
      <w:r w:rsidRPr="00D3354F">
        <w:t xml:space="preserve">  Includes units occupied by the owner or co-owner, even if the unit has not been fully paid for or is mortgaged.</w:t>
      </w:r>
    </w:p>
    <w:p w14:paraId="3E98396F" w14:textId="77777777" w:rsidR="0099672C" w:rsidRPr="00D3354F" w:rsidRDefault="0099672C" w:rsidP="00D3354F">
      <w:pPr>
        <w:rPr>
          <w:b/>
          <w:bCs/>
        </w:rPr>
      </w:pPr>
    </w:p>
    <w:p w14:paraId="70E01CC8" w14:textId="77777777" w:rsidR="0099672C" w:rsidRPr="00145CB9" w:rsidRDefault="0099672C" w:rsidP="00D3354F">
      <w:pPr>
        <w:rPr>
          <w:bCs/>
        </w:rPr>
      </w:pPr>
      <w:r>
        <w:rPr>
          <w:b/>
          <w:bCs/>
        </w:rPr>
        <w:t xml:space="preserve">Qualified Investment:  </w:t>
      </w:r>
      <w:r>
        <w:rPr>
          <w:bCs/>
        </w:rPr>
        <w:t>A lawful investment, deposit, membership share, or grant that has as its primary purpose community development.</w:t>
      </w:r>
    </w:p>
    <w:p w14:paraId="60BD0D1B" w14:textId="77777777" w:rsidR="0099672C" w:rsidRDefault="0099672C" w:rsidP="00D3354F">
      <w:pPr>
        <w:rPr>
          <w:b/>
          <w:bCs/>
        </w:rPr>
      </w:pPr>
    </w:p>
    <w:p w14:paraId="4FACA6BD" w14:textId="77777777" w:rsidR="0099672C" w:rsidRDefault="0099672C" w:rsidP="00D3354F">
      <w:pPr>
        <w:rPr>
          <w:snapToGrid w:val="0"/>
        </w:rPr>
      </w:pPr>
      <w:r w:rsidRPr="00D3354F">
        <w:rPr>
          <w:b/>
          <w:bCs/>
        </w:rPr>
        <w:t>Rated area:</w:t>
      </w:r>
      <w:r w:rsidRPr="00D3354F">
        <w:t xml:space="preserve">  </w:t>
      </w:r>
      <w:r w:rsidRPr="00D3354F">
        <w:rPr>
          <w:snapToGrid w:val="0"/>
        </w:rPr>
        <w:t xml:space="preserve">A rated area is a state or multistate metropolitan area.  For an institution with domestic branches in only one state, the institution’s CRA rating would be the state rating.  If an institution maintains domestic branches in more than one state, the institution will receive a rating for each state in which those branches are located.  If an institution maintains domestic branches in two or more states within a multistate metropolitan area, the institution will receive a rating for the multistate metropolitan area.  </w:t>
      </w:r>
    </w:p>
    <w:p w14:paraId="2D858A03" w14:textId="77777777" w:rsidR="0099672C" w:rsidRPr="006D6766" w:rsidRDefault="0099672C" w:rsidP="00D3354F">
      <w:pPr>
        <w:rPr>
          <w:color w:val="000000"/>
        </w:rPr>
      </w:pPr>
    </w:p>
    <w:p w14:paraId="770C5766" w14:textId="77777777" w:rsidR="0099672C" w:rsidRPr="00D3354F" w:rsidRDefault="0099672C" w:rsidP="00D3354F">
      <w:r w:rsidRPr="00D3354F">
        <w:rPr>
          <w:b/>
          <w:bCs/>
        </w:rPr>
        <w:t>Rural Area:</w:t>
      </w:r>
      <w:r w:rsidRPr="00D3354F">
        <w:t xml:space="preserve">  Territories, populations</w:t>
      </w:r>
      <w:r>
        <w:t>,</w:t>
      </w:r>
      <w:r w:rsidRPr="00D3354F">
        <w:t xml:space="preserve"> and housing units that are not classified as urban.</w:t>
      </w:r>
    </w:p>
    <w:p w14:paraId="2F81DABE" w14:textId="77777777" w:rsidR="0099672C" w:rsidRPr="00D3354F" w:rsidRDefault="0099672C" w:rsidP="00D3354F">
      <w:pPr>
        <w:rPr>
          <w:b/>
          <w:bCs/>
        </w:rPr>
      </w:pPr>
    </w:p>
    <w:p w14:paraId="23B17A13" w14:textId="77777777" w:rsidR="00AD0732" w:rsidRDefault="00AD0732" w:rsidP="00D3354F">
      <w:pPr>
        <w:pStyle w:val="NormalWeb"/>
        <w:spacing w:before="0" w:beforeAutospacing="0" w:after="0" w:afterAutospacing="0"/>
        <w:rPr>
          <w:b/>
          <w:bCs/>
          <w:color w:val="000000"/>
        </w:rPr>
      </w:pPr>
    </w:p>
    <w:p w14:paraId="6AA4F694" w14:textId="77777777" w:rsidR="0099672C" w:rsidRDefault="0099672C" w:rsidP="00D3354F">
      <w:pPr>
        <w:pStyle w:val="NormalWeb"/>
        <w:spacing w:before="0" w:beforeAutospacing="0" w:after="0" w:afterAutospacing="0"/>
        <w:rPr>
          <w:color w:val="000000"/>
        </w:rPr>
      </w:pPr>
      <w:r w:rsidRPr="00D3354F">
        <w:rPr>
          <w:b/>
          <w:bCs/>
          <w:color w:val="000000"/>
        </w:rPr>
        <w:t xml:space="preserve">Small Business Investment Company (SBIC):  </w:t>
      </w:r>
      <w:r w:rsidRPr="00D3354F">
        <w:rPr>
          <w:color w:val="000000"/>
        </w:rPr>
        <w:t>SBICs are privately-owned investment companies which are licensed and regulated by the Small Business Administration (SBA).  SBICs provide long-term loans and/or venture capital to small firms.  Because money for venture or risk investments is difficult for small firms to obtain, SBA provides assistance to SBICs to stimulate and supplement the flow of private equity and long-term loan funds to small companies.  Venture capitalists participate in the SBIC program to supplement their own private capital with funds borrowed at favorable rates through SBA’s guarantee of SBIC debentures</w:t>
      </w:r>
      <w:r>
        <w:rPr>
          <w:color w:val="000000"/>
        </w:rPr>
        <w:t>.  These SBIC debentures are then</w:t>
      </w:r>
      <w:r w:rsidRPr="00D3354F">
        <w:rPr>
          <w:color w:val="000000"/>
        </w:rPr>
        <w:t xml:space="preserve"> sold to private investors.  An SBIC’s success is linked to the growth and profitability of the companies that it finances</w:t>
      </w:r>
      <w:r>
        <w:rPr>
          <w:color w:val="000000"/>
        </w:rPr>
        <w:t>.  Therefore,</w:t>
      </w:r>
      <w:r w:rsidRPr="00D3354F">
        <w:rPr>
          <w:color w:val="000000"/>
        </w:rPr>
        <w:t xml:space="preserve"> some SBICs primarily assist businesses with significant growth potential, such as new firms in innovative industries.  SBICs finance small firms by providing straight loans and/or equity-type investments</w:t>
      </w:r>
      <w:r>
        <w:rPr>
          <w:color w:val="000000"/>
        </w:rPr>
        <w:t>.  This kind of financing</w:t>
      </w:r>
      <w:r w:rsidRPr="00D3354F">
        <w:rPr>
          <w:color w:val="000000"/>
        </w:rPr>
        <w:t xml:space="preserve"> give</w:t>
      </w:r>
      <w:r>
        <w:rPr>
          <w:color w:val="000000"/>
        </w:rPr>
        <w:t>s</w:t>
      </w:r>
      <w:r w:rsidRPr="00D3354F">
        <w:rPr>
          <w:color w:val="000000"/>
        </w:rPr>
        <w:t xml:space="preserve"> them partial ownership of those businesses</w:t>
      </w:r>
      <w:r>
        <w:rPr>
          <w:color w:val="000000"/>
        </w:rPr>
        <w:t xml:space="preserve"> and the possibility </w:t>
      </w:r>
      <w:r w:rsidRPr="00D3354F">
        <w:rPr>
          <w:color w:val="000000"/>
        </w:rPr>
        <w:t xml:space="preserve">of sharing in the companies’ profits as they grow and prosper.  </w:t>
      </w:r>
    </w:p>
    <w:p w14:paraId="55947723" w14:textId="77777777" w:rsidR="00AD0732" w:rsidRPr="00D3354F" w:rsidRDefault="00AD0732" w:rsidP="00D3354F">
      <w:pPr>
        <w:pStyle w:val="NormalWeb"/>
        <w:spacing w:before="0" w:beforeAutospacing="0" w:after="0" w:afterAutospacing="0"/>
      </w:pPr>
    </w:p>
    <w:p w14:paraId="3BAB5EB8" w14:textId="77777777" w:rsidR="0099672C" w:rsidRPr="00D3354F" w:rsidRDefault="0099672C" w:rsidP="00D3354F">
      <w:r w:rsidRPr="00D3354F">
        <w:rPr>
          <w:b/>
          <w:bCs/>
        </w:rPr>
        <w:t>Small Business Loan:</w:t>
      </w:r>
      <w:r w:rsidRPr="00D3354F">
        <w:t xml:space="preserve">  A loan included in “loans to small businesses” as defined in the Consolidated Report of Condition and Income (Call Report).  These loans have original amounts of $1 million or less and are either secured by nonfarm nonresidential properties or are classified as commercial and industrial loans.</w:t>
      </w:r>
    </w:p>
    <w:p w14:paraId="385D8CFD" w14:textId="77777777" w:rsidR="0099672C" w:rsidRPr="00D3354F" w:rsidRDefault="0099672C" w:rsidP="00D3354F">
      <w:pPr>
        <w:rPr>
          <w:b/>
          <w:bCs/>
        </w:rPr>
      </w:pPr>
    </w:p>
    <w:p w14:paraId="77F69F12" w14:textId="77777777" w:rsidR="0099672C" w:rsidRPr="00D3354F" w:rsidRDefault="0099672C" w:rsidP="00D3354F">
      <w:r w:rsidRPr="00D3354F">
        <w:rPr>
          <w:b/>
          <w:bCs/>
        </w:rPr>
        <w:t xml:space="preserve">Small Farm Loan:  </w:t>
      </w:r>
      <w:r w:rsidRPr="00D3354F">
        <w:t>A loan included in “loans to small farms” as defined in the instructions for preparation of the Consolidated Report of Condition and Income (Call Report).  These loans have original amounts of $500,000 or less and are either secured by farmland, including farm residential and other improvements, or are classified as loans to finance agricultural production and other loans to farmers.</w:t>
      </w:r>
    </w:p>
    <w:p w14:paraId="4B417B96" w14:textId="77777777" w:rsidR="0099672C" w:rsidRPr="00D3354F" w:rsidRDefault="0099672C" w:rsidP="00D3354F">
      <w:pPr>
        <w:rPr>
          <w:b/>
          <w:bCs/>
        </w:rPr>
      </w:pPr>
    </w:p>
    <w:p w14:paraId="2A2F01AF" w14:textId="77777777" w:rsidR="0099672C" w:rsidRDefault="0099672C" w:rsidP="004111C6">
      <w:r w:rsidRPr="00D3354F">
        <w:rPr>
          <w:b/>
          <w:bCs/>
        </w:rPr>
        <w:t>Underserved middle-income nonmetropolitan geographies:</w:t>
      </w:r>
      <w:r w:rsidRPr="00D3354F">
        <w:t xml:space="preserve">  A nonmetropolitan middle-income geography will be designated as underserved if it meets criteria for</w:t>
      </w:r>
    </w:p>
    <w:p w14:paraId="68606865" w14:textId="77777777" w:rsidR="0099672C" w:rsidRDefault="00DA2F86" w:rsidP="004111C6">
      <w:pPr>
        <w:numPr>
          <w:ilvl w:val="0"/>
          <w:numId w:val="23"/>
        </w:numPr>
      </w:pPr>
      <w:r>
        <w:t>P</w:t>
      </w:r>
      <w:r w:rsidR="0099672C" w:rsidRPr="00D3354F">
        <w:t>opulation size, density, and dispersion indicat</w:t>
      </w:r>
      <w:r w:rsidR="0099672C">
        <w:t>ing</w:t>
      </w:r>
      <w:r w:rsidR="0099672C" w:rsidRPr="00D3354F">
        <w:t xml:space="preserve"> the area’s population is sufficiently small, thin, and </w:t>
      </w:r>
    </w:p>
    <w:p w14:paraId="5591D204" w14:textId="77777777" w:rsidR="0099672C" w:rsidRPr="004111C6" w:rsidRDefault="00DA2F86" w:rsidP="004111C6">
      <w:pPr>
        <w:numPr>
          <w:ilvl w:val="0"/>
          <w:numId w:val="23"/>
        </w:numPr>
      </w:pPr>
      <w:r>
        <w:t>D</w:t>
      </w:r>
      <w:r w:rsidR="0099672C" w:rsidRPr="00D3354F">
        <w:t xml:space="preserve">istant from a population center that the tract is likely to have difficulty financing the fixed costs of meeting essential community needs. </w:t>
      </w:r>
    </w:p>
    <w:p w14:paraId="5632CFCC" w14:textId="77777777" w:rsidR="0099672C" w:rsidRPr="00D3354F" w:rsidRDefault="0099672C" w:rsidP="00D3354F">
      <w:pPr>
        <w:rPr>
          <w:b/>
          <w:bCs/>
        </w:rPr>
      </w:pPr>
    </w:p>
    <w:p w14:paraId="765AB7F9" w14:textId="77777777" w:rsidR="0099672C" w:rsidRPr="00D3354F" w:rsidRDefault="0099672C" w:rsidP="00D3354F">
      <w:r w:rsidRPr="00D3354F">
        <w:rPr>
          <w:b/>
          <w:bCs/>
        </w:rPr>
        <w:t>Upper-Income:</w:t>
      </w:r>
      <w:r w:rsidRPr="00D3354F">
        <w:t xml:space="preserve">  Individual income that is more than 120 percent of the area median income, or a median family income that is more than 120 percent in the case of a geography. </w:t>
      </w:r>
    </w:p>
    <w:p w14:paraId="1150B6C2" w14:textId="77777777" w:rsidR="0099672C" w:rsidRPr="00D3354F" w:rsidRDefault="0099672C" w:rsidP="00D3354F">
      <w:pPr>
        <w:rPr>
          <w:b/>
          <w:bCs/>
        </w:rPr>
      </w:pPr>
    </w:p>
    <w:p w14:paraId="607FE826" w14:textId="77777777" w:rsidR="00DA2F86" w:rsidRDefault="0099672C" w:rsidP="00D3354F">
      <w:r w:rsidRPr="00D3354F">
        <w:rPr>
          <w:b/>
          <w:bCs/>
        </w:rPr>
        <w:t>Urban</w:t>
      </w:r>
      <w:r w:rsidRPr="00D3354F">
        <w:t xml:space="preserve"> </w:t>
      </w:r>
      <w:r w:rsidRPr="00D3354F">
        <w:rPr>
          <w:b/>
          <w:bCs/>
        </w:rPr>
        <w:t xml:space="preserve">Area:  </w:t>
      </w:r>
      <w:r w:rsidRPr="00D3354F">
        <w:t>All territories, populations, and housing units in urbanized areas and in places of 2,500 or more persons outside urbanized areas.  More specifically, “urban” consists of territory, persons, and housing units in</w:t>
      </w:r>
      <w:r>
        <w:t xml:space="preserve"> p</w:t>
      </w:r>
      <w:r w:rsidRPr="00D3354F">
        <w:t>laces of 2,500 or more persons incorporated as cities, villages, boroughs (except in Alaska and New York), and towns (except in the New England states, New York, and Wisconsin)</w:t>
      </w:r>
      <w:r>
        <w:t xml:space="preserve">.  </w:t>
      </w:r>
    </w:p>
    <w:p w14:paraId="25F9D212" w14:textId="77777777" w:rsidR="00DA2F86" w:rsidRDefault="00DA2F86" w:rsidP="00D3354F"/>
    <w:p w14:paraId="7BFCD553" w14:textId="77777777" w:rsidR="0099672C" w:rsidRDefault="0099672C" w:rsidP="00D3354F">
      <w:r>
        <w:t xml:space="preserve">“Urban” </w:t>
      </w:r>
      <w:r w:rsidRPr="00D3354F">
        <w:t>exclud</w:t>
      </w:r>
      <w:r>
        <w:t>es</w:t>
      </w:r>
      <w:r w:rsidRPr="00D3354F">
        <w:t xml:space="preserve"> the rural portions of “extended cities”; census designated place of 2,500 or more persons; and other territory, incorporated or unincorporated, including in urbanized areas.</w:t>
      </w:r>
    </w:p>
    <w:p w14:paraId="2D90DAB9" w14:textId="77777777" w:rsidR="00AD0732" w:rsidRDefault="00AD0732" w:rsidP="00AD0732">
      <w:pPr>
        <w:tabs>
          <w:tab w:val="center" w:pos="4680"/>
        </w:tabs>
        <w:rPr>
          <w:color w:val="000000"/>
        </w:rPr>
      </w:pPr>
    </w:p>
    <w:p w14:paraId="2923B191" w14:textId="77777777" w:rsidR="00AD0732" w:rsidRDefault="00AD0732" w:rsidP="00AD0732">
      <w:pPr>
        <w:tabs>
          <w:tab w:val="center" w:pos="4680"/>
        </w:tabs>
        <w:rPr>
          <w:color w:val="000000"/>
        </w:rPr>
      </w:pPr>
    </w:p>
    <w:p w14:paraId="595FD0A8" w14:textId="77777777" w:rsidR="00AD0732" w:rsidRDefault="00AD0732" w:rsidP="00AD0732">
      <w:pPr>
        <w:tabs>
          <w:tab w:val="center" w:pos="4680"/>
        </w:tabs>
        <w:rPr>
          <w:b/>
          <w:spacing w:val="-4"/>
        </w:rPr>
        <w:sectPr w:rsidR="00AD0732" w:rsidSect="00BC6D5E">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pPr>
    </w:p>
    <w:p w14:paraId="4BD493B9" w14:textId="77777777" w:rsidR="002E62AF" w:rsidRPr="00CA22D8" w:rsidRDefault="002E62AF" w:rsidP="00AD0732">
      <w:pPr>
        <w:tabs>
          <w:tab w:val="center" w:pos="4680"/>
        </w:tabs>
        <w:jc w:val="center"/>
        <w:rPr>
          <w:b/>
          <w:spacing w:val="-3"/>
        </w:rPr>
      </w:pPr>
      <w:r w:rsidRPr="00CA22D8">
        <w:rPr>
          <w:b/>
          <w:spacing w:val="-4"/>
        </w:rPr>
        <w:t>PERFORMANCE EVALUATION DISCLOSURE GUIDE</w:t>
      </w:r>
    </w:p>
    <w:p w14:paraId="3534001E" w14:textId="77777777" w:rsidR="002E62AF" w:rsidRPr="00CA22D8" w:rsidRDefault="002E62AF" w:rsidP="002E62AF">
      <w:pPr>
        <w:tabs>
          <w:tab w:val="left" w:pos="720"/>
          <w:tab w:val="left" w:pos="1320"/>
          <w:tab w:val="left" w:pos="1680"/>
        </w:tabs>
        <w:jc w:val="both"/>
        <w:rPr>
          <w:spacing w:val="-3"/>
        </w:rPr>
      </w:pPr>
    </w:p>
    <w:p w14:paraId="26F5458F" w14:textId="77777777" w:rsidR="002E62AF" w:rsidRPr="00CA22D8" w:rsidRDefault="002E62AF" w:rsidP="002E62AF">
      <w:pPr>
        <w:tabs>
          <w:tab w:val="left" w:pos="720"/>
          <w:tab w:val="left" w:pos="1320"/>
          <w:tab w:val="left" w:pos="1680"/>
        </w:tabs>
        <w:ind w:left="720" w:hanging="720"/>
        <w:jc w:val="both"/>
        <w:rPr>
          <w:spacing w:val="-3"/>
        </w:rPr>
      </w:pPr>
      <w:r w:rsidRPr="00CA22D8">
        <w:rPr>
          <w:spacing w:val="-3"/>
        </w:rPr>
        <w:tab/>
        <w:t>Massachusetts General Laws Chapter 167, Section 14, as amended, and the Uniform Interagency Community Reinvestment Act (CRA) Guidelines for Disclosure of Written Evaluations, and Part 345 of the Federal Deposit Insurance Corporation’s Rules and Regulations, require all financial institutions to take the following actions within 30 business days of receipt of the CRA evaluation of their institution:</w:t>
      </w:r>
    </w:p>
    <w:p w14:paraId="2A7A3D71" w14:textId="77777777" w:rsidR="002E62AF" w:rsidRPr="00CA22D8" w:rsidRDefault="002E62AF" w:rsidP="002E62AF">
      <w:pPr>
        <w:tabs>
          <w:tab w:val="left" w:pos="720"/>
          <w:tab w:val="left" w:pos="1320"/>
          <w:tab w:val="left" w:pos="1680"/>
        </w:tabs>
        <w:jc w:val="both"/>
        <w:rPr>
          <w:spacing w:val="-3"/>
        </w:rPr>
      </w:pPr>
    </w:p>
    <w:p w14:paraId="2E93DE43" w14:textId="77777777" w:rsidR="002E62AF" w:rsidRPr="00CA22D8" w:rsidRDefault="002E62AF" w:rsidP="002E62AF">
      <w:pPr>
        <w:tabs>
          <w:tab w:val="left" w:pos="720"/>
          <w:tab w:val="left" w:pos="1320"/>
          <w:tab w:val="left" w:pos="1680"/>
        </w:tabs>
        <w:ind w:left="1320" w:hanging="1320"/>
        <w:jc w:val="both"/>
        <w:rPr>
          <w:spacing w:val="-3"/>
        </w:rPr>
      </w:pPr>
      <w:r w:rsidRPr="00CA22D8">
        <w:rPr>
          <w:spacing w:val="-3"/>
        </w:rPr>
        <w:tab/>
        <w:t xml:space="preserve">1) </w:t>
      </w:r>
      <w:r w:rsidRPr="00CA22D8">
        <w:rPr>
          <w:spacing w:val="-3"/>
        </w:rPr>
        <w:tab/>
        <w:t>Make its most current CRA performance evaluation available to the public;</w:t>
      </w:r>
    </w:p>
    <w:p w14:paraId="79C26B61" w14:textId="77777777" w:rsidR="002E62AF" w:rsidRPr="00CA22D8" w:rsidRDefault="002E62AF" w:rsidP="002E62AF">
      <w:pPr>
        <w:tabs>
          <w:tab w:val="left" w:pos="720"/>
          <w:tab w:val="left" w:pos="1320"/>
          <w:tab w:val="left" w:pos="1680"/>
        </w:tabs>
        <w:jc w:val="both"/>
        <w:rPr>
          <w:spacing w:val="-3"/>
        </w:rPr>
      </w:pPr>
    </w:p>
    <w:p w14:paraId="329E6D89" w14:textId="77777777" w:rsidR="002E62AF" w:rsidRPr="00CA22D8" w:rsidRDefault="002E62AF" w:rsidP="002E62AF">
      <w:pPr>
        <w:tabs>
          <w:tab w:val="left" w:pos="720"/>
          <w:tab w:val="left" w:pos="1320"/>
          <w:tab w:val="left" w:pos="1680"/>
        </w:tabs>
        <w:ind w:left="1320" w:hanging="1320"/>
        <w:jc w:val="both"/>
        <w:rPr>
          <w:spacing w:val="-3"/>
        </w:rPr>
      </w:pPr>
      <w:r w:rsidRPr="00CA22D8">
        <w:rPr>
          <w:spacing w:val="-3"/>
        </w:rPr>
        <w:tab/>
        <w:t>2)</w:t>
      </w:r>
      <w:r w:rsidRPr="00CA22D8">
        <w:rPr>
          <w:spacing w:val="-3"/>
        </w:rPr>
        <w:tab/>
        <w:t>At a minimum, place the evaluation in the institution's CRA public file located at the head office and at a designated office in each assessment area;</w:t>
      </w:r>
    </w:p>
    <w:p w14:paraId="02DD0002" w14:textId="77777777" w:rsidR="002E62AF" w:rsidRPr="00CA22D8" w:rsidRDefault="002E62AF" w:rsidP="002E62AF">
      <w:pPr>
        <w:tabs>
          <w:tab w:val="left" w:pos="720"/>
          <w:tab w:val="left" w:pos="1320"/>
          <w:tab w:val="left" w:pos="1680"/>
        </w:tabs>
        <w:jc w:val="both"/>
        <w:rPr>
          <w:spacing w:val="-3"/>
        </w:rPr>
      </w:pPr>
    </w:p>
    <w:p w14:paraId="7355FB08" w14:textId="77777777" w:rsidR="002E62AF" w:rsidRPr="00CA22D8" w:rsidRDefault="002E62AF" w:rsidP="002E62AF">
      <w:pPr>
        <w:tabs>
          <w:tab w:val="left" w:pos="720"/>
          <w:tab w:val="left" w:pos="1320"/>
          <w:tab w:val="left" w:pos="1680"/>
        </w:tabs>
        <w:ind w:left="1320" w:hanging="1320"/>
        <w:jc w:val="both"/>
        <w:rPr>
          <w:spacing w:val="-3"/>
        </w:rPr>
      </w:pPr>
      <w:r w:rsidRPr="00CA22D8">
        <w:rPr>
          <w:spacing w:val="-3"/>
        </w:rPr>
        <w:tab/>
        <w:t>3)</w:t>
      </w:r>
      <w:r w:rsidRPr="00CA22D8">
        <w:rPr>
          <w:spacing w:val="-3"/>
        </w:rPr>
        <w:tab/>
        <w:t>Add the following language to the institution's required CRA public notice that is posted in each depository facility:</w:t>
      </w:r>
    </w:p>
    <w:p w14:paraId="448C457D" w14:textId="77777777" w:rsidR="002E62AF" w:rsidRPr="00CA22D8" w:rsidRDefault="002E62AF" w:rsidP="002E62AF">
      <w:pPr>
        <w:tabs>
          <w:tab w:val="left" w:pos="720"/>
          <w:tab w:val="left" w:pos="1320"/>
          <w:tab w:val="left" w:pos="1680"/>
        </w:tabs>
        <w:jc w:val="both"/>
        <w:rPr>
          <w:spacing w:val="-3"/>
        </w:rPr>
      </w:pPr>
    </w:p>
    <w:p w14:paraId="5452A640" w14:textId="17B2EC18" w:rsidR="002E62AF" w:rsidRPr="00CA22D8" w:rsidRDefault="002E62AF" w:rsidP="002E62AF">
      <w:pPr>
        <w:tabs>
          <w:tab w:val="left" w:pos="720"/>
          <w:tab w:val="left" w:pos="1320"/>
          <w:tab w:val="left" w:pos="1680"/>
        </w:tabs>
        <w:ind w:left="1320" w:hanging="1320"/>
        <w:jc w:val="both"/>
        <w:rPr>
          <w:spacing w:val="-3"/>
        </w:rPr>
      </w:pPr>
      <w:r w:rsidRPr="00CA22D8">
        <w:rPr>
          <w:spacing w:val="-3"/>
        </w:rPr>
        <w:tab/>
      </w:r>
      <w:r w:rsidRPr="00CA22D8">
        <w:rPr>
          <w:spacing w:val="-3"/>
        </w:rPr>
        <w:tab/>
        <w:t>"You may obtain the public section of our most recent CRA Performance Evaluation, which was prepared by the Massachusetts Division of Banks, at</w:t>
      </w:r>
      <w:r w:rsidR="00BD7E8C">
        <w:rPr>
          <w:spacing w:val="-3"/>
        </w:rPr>
        <w:t xml:space="preserve"> 89 Turnpike Road</w:t>
      </w:r>
      <w:r w:rsidR="00764FE6">
        <w:rPr>
          <w:spacing w:val="-3"/>
        </w:rPr>
        <w:t xml:space="preserve"> </w:t>
      </w:r>
      <w:r w:rsidR="00BD7E8C">
        <w:rPr>
          <w:spacing w:val="-3"/>
        </w:rPr>
        <w:t>North Andover, Massachusetts, 01845</w:t>
      </w:r>
    </w:p>
    <w:p w14:paraId="01C0B6ED" w14:textId="77777777" w:rsidR="002E62AF" w:rsidRPr="00CA22D8" w:rsidRDefault="002E62AF" w:rsidP="002E62AF">
      <w:pPr>
        <w:tabs>
          <w:tab w:val="left" w:pos="720"/>
          <w:tab w:val="left" w:pos="1320"/>
          <w:tab w:val="left" w:pos="1680"/>
        </w:tabs>
        <w:jc w:val="both"/>
        <w:rPr>
          <w:spacing w:val="-3"/>
        </w:rPr>
      </w:pPr>
    </w:p>
    <w:p w14:paraId="5936551F" w14:textId="616E5A3C" w:rsidR="002E62AF" w:rsidRPr="00CA22D8" w:rsidRDefault="002E62AF" w:rsidP="002E62AF">
      <w:pPr>
        <w:tabs>
          <w:tab w:val="left" w:pos="720"/>
          <w:tab w:val="left" w:pos="1320"/>
          <w:tab w:val="left" w:pos="1680"/>
        </w:tabs>
        <w:ind w:left="1320" w:hanging="1320"/>
        <w:jc w:val="both"/>
        <w:rPr>
          <w:spacing w:val="-3"/>
        </w:rPr>
      </w:pPr>
      <w:r w:rsidRPr="00CA22D8">
        <w:rPr>
          <w:spacing w:val="-3"/>
        </w:rPr>
        <w:tab/>
      </w:r>
      <w:r w:rsidRPr="00CA22D8">
        <w:rPr>
          <w:spacing w:val="-3"/>
        </w:rPr>
        <w:tab/>
        <w:t>"You may obtain the public section of our most recent CRA Performance Evaluation, which was prepared by the Federal Deposit Insurance Corporation, at</w:t>
      </w:r>
      <w:r w:rsidR="00764FE6">
        <w:rPr>
          <w:spacing w:val="-3"/>
        </w:rPr>
        <w:t xml:space="preserve"> </w:t>
      </w:r>
      <w:r w:rsidR="00BD7E8C">
        <w:rPr>
          <w:spacing w:val="-3"/>
        </w:rPr>
        <w:t>89 Turnpike Road, North Andover, Massachusetts 01845</w:t>
      </w:r>
      <w:r w:rsidR="00764FE6">
        <w:rPr>
          <w:spacing w:val="-3"/>
        </w:rPr>
        <w:t>.</w:t>
      </w:r>
      <w:r w:rsidRPr="00CA22D8">
        <w:rPr>
          <w:spacing w:val="-3"/>
        </w:rPr>
        <w:t xml:space="preserve"> </w:t>
      </w:r>
    </w:p>
    <w:p w14:paraId="146C7ADB" w14:textId="77777777" w:rsidR="002E62AF" w:rsidRPr="00CA22D8" w:rsidRDefault="002E62AF" w:rsidP="002E62AF">
      <w:pPr>
        <w:tabs>
          <w:tab w:val="left" w:pos="720"/>
          <w:tab w:val="left" w:pos="1320"/>
          <w:tab w:val="left" w:pos="1680"/>
        </w:tabs>
        <w:jc w:val="both"/>
        <w:rPr>
          <w:spacing w:val="-3"/>
        </w:rPr>
      </w:pPr>
    </w:p>
    <w:p w14:paraId="20B1DFF4" w14:textId="77777777" w:rsidR="002E62AF" w:rsidRPr="00CA22D8" w:rsidRDefault="002E62AF" w:rsidP="002E62AF">
      <w:pPr>
        <w:tabs>
          <w:tab w:val="left" w:pos="720"/>
          <w:tab w:val="left" w:pos="1320"/>
          <w:tab w:val="left" w:pos="1680"/>
        </w:tabs>
        <w:ind w:left="1320" w:hanging="1320"/>
        <w:jc w:val="both"/>
        <w:rPr>
          <w:spacing w:val="-3"/>
        </w:rPr>
      </w:pPr>
      <w:r w:rsidRPr="00CA22D8">
        <w:rPr>
          <w:spacing w:val="-3"/>
        </w:rPr>
        <w:tab/>
      </w:r>
      <w:r w:rsidRPr="00CA22D8">
        <w:rPr>
          <w:spacing w:val="-3"/>
        </w:rPr>
        <w:tab/>
        <w:t>[Please Note:  If the institution has more than one assessment area, each office (other than off</w:t>
      </w:r>
      <w:r w:rsidRPr="00CA22D8">
        <w:rPr>
          <w:spacing w:val="-3"/>
        </w:rPr>
        <w:noBreakHyphen/>
        <w:t>premises electronic deposit facilities) in that community shall also include the address of the designated office for that assessment area.]</w:t>
      </w:r>
    </w:p>
    <w:p w14:paraId="62E9568D" w14:textId="77777777" w:rsidR="002E62AF" w:rsidRPr="00CA22D8" w:rsidRDefault="002E62AF" w:rsidP="002E62AF">
      <w:pPr>
        <w:tabs>
          <w:tab w:val="left" w:pos="720"/>
          <w:tab w:val="left" w:pos="1320"/>
          <w:tab w:val="left" w:pos="1680"/>
        </w:tabs>
        <w:jc w:val="both"/>
        <w:rPr>
          <w:spacing w:val="-3"/>
        </w:rPr>
      </w:pPr>
    </w:p>
    <w:p w14:paraId="2CAA40EE" w14:textId="77777777" w:rsidR="002E62AF" w:rsidRPr="00CA22D8" w:rsidRDefault="002E62AF" w:rsidP="002E62AF">
      <w:pPr>
        <w:tabs>
          <w:tab w:val="left" w:pos="720"/>
          <w:tab w:val="left" w:pos="1320"/>
          <w:tab w:val="left" w:pos="1680"/>
        </w:tabs>
        <w:ind w:left="1320" w:hanging="1320"/>
        <w:jc w:val="both"/>
        <w:rPr>
          <w:spacing w:val="-3"/>
        </w:rPr>
      </w:pPr>
      <w:r w:rsidRPr="00CA22D8">
        <w:rPr>
          <w:spacing w:val="-3"/>
        </w:rPr>
        <w:tab/>
        <w:t>4)</w:t>
      </w:r>
      <w:r w:rsidRPr="00CA22D8">
        <w:rPr>
          <w:spacing w:val="-3"/>
        </w:rPr>
        <w:tab/>
        <w:t>Provide a copy of its current evaluation to the public, upon request.  In connection with this, the institution is authorized to charge a fee which does not exceed the cost of reproduction and mailing (if applicable).</w:t>
      </w:r>
    </w:p>
    <w:p w14:paraId="316D98F5" w14:textId="77777777" w:rsidR="002E62AF" w:rsidRPr="00CA22D8" w:rsidRDefault="002E62AF" w:rsidP="002E62AF">
      <w:pPr>
        <w:tabs>
          <w:tab w:val="left" w:pos="720"/>
          <w:tab w:val="left" w:pos="1320"/>
          <w:tab w:val="left" w:pos="1680"/>
        </w:tabs>
        <w:jc w:val="both"/>
        <w:rPr>
          <w:spacing w:val="-3"/>
        </w:rPr>
      </w:pPr>
    </w:p>
    <w:p w14:paraId="5491BE34" w14:textId="77777777" w:rsidR="002E62AF" w:rsidRPr="00CA22D8" w:rsidRDefault="002E62AF" w:rsidP="002E62AF">
      <w:pPr>
        <w:tabs>
          <w:tab w:val="left" w:pos="720"/>
          <w:tab w:val="left" w:pos="1320"/>
          <w:tab w:val="left" w:pos="1680"/>
        </w:tabs>
        <w:ind w:left="720" w:hanging="720"/>
        <w:jc w:val="both"/>
        <w:rPr>
          <w:spacing w:val="-3"/>
        </w:rPr>
      </w:pPr>
      <w:r w:rsidRPr="00CA22D8">
        <w:rPr>
          <w:spacing w:val="-3"/>
        </w:rPr>
        <w:tab/>
        <w:t>The format and content of the institution's evaluation, as prepared by its supervisory agencies, may not be altered or abridged in any manner.  The institution is encouraged to include its response to the evaluation in its CRA public file.</w:t>
      </w:r>
    </w:p>
    <w:p w14:paraId="763AAA80" w14:textId="77777777" w:rsidR="002E62AF" w:rsidRDefault="002E62AF">
      <w:pPr>
        <w:rPr>
          <w:color w:val="000000"/>
        </w:rPr>
      </w:pPr>
    </w:p>
    <w:p w14:paraId="43ABF9FE" w14:textId="77777777" w:rsidR="002E62AF" w:rsidRPr="0041509F" w:rsidRDefault="002E62AF">
      <w:pPr>
        <w:rPr>
          <w:color w:val="000000"/>
        </w:rPr>
      </w:pPr>
    </w:p>
    <w:sectPr w:rsidR="002E62AF" w:rsidRPr="0041509F" w:rsidSect="00BC6D5E">
      <w:headerReference w:type="even" r:id="rId25"/>
      <w:headerReference w:type="default" r:id="rId26"/>
      <w:footerReference w:type="default" r:id="rId27"/>
      <w:head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971B3" w14:textId="77777777" w:rsidR="00F164A7" w:rsidRDefault="00F164A7" w:rsidP="00A03CC1">
      <w:r>
        <w:separator/>
      </w:r>
    </w:p>
  </w:endnote>
  <w:endnote w:type="continuationSeparator" w:id="0">
    <w:p w14:paraId="6FCF3165" w14:textId="77777777" w:rsidR="00F164A7" w:rsidRDefault="00F164A7" w:rsidP="00A03CC1">
      <w:r>
        <w:continuationSeparator/>
      </w:r>
    </w:p>
  </w:endnote>
  <w:endnote w:type="continuationNotice" w:id="1">
    <w:p w14:paraId="7184938E" w14:textId="77777777" w:rsidR="00F164A7" w:rsidRDefault="00F16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EDBDF" w14:textId="77777777" w:rsidR="00F164A7" w:rsidRDefault="00F16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AB92" w14:textId="77777777" w:rsidR="00F164A7" w:rsidRDefault="00F16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EF18C" w14:textId="77777777" w:rsidR="00F164A7" w:rsidRDefault="00F164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7CDD" w14:textId="0728BD9E" w:rsidR="00F164A7" w:rsidRPr="00AD0732" w:rsidRDefault="00F164A7">
    <w:pPr>
      <w:pStyle w:val="Footer"/>
      <w:jc w:val="center"/>
      <w:rPr>
        <w:sz w:val="24"/>
        <w:szCs w:val="24"/>
      </w:rPr>
    </w:pPr>
    <w:r w:rsidRPr="00AD0732">
      <w:rPr>
        <w:sz w:val="24"/>
        <w:szCs w:val="24"/>
      </w:rPr>
      <w:fldChar w:fldCharType="begin"/>
    </w:r>
    <w:r w:rsidRPr="00AD0732">
      <w:rPr>
        <w:sz w:val="24"/>
        <w:szCs w:val="24"/>
      </w:rPr>
      <w:instrText xml:space="preserve"> PAGE   \* MERGEFORMAT </w:instrText>
    </w:r>
    <w:r w:rsidRPr="00AD0732">
      <w:rPr>
        <w:sz w:val="24"/>
        <w:szCs w:val="24"/>
      </w:rPr>
      <w:fldChar w:fldCharType="separate"/>
    </w:r>
    <w:r w:rsidR="00467D13">
      <w:rPr>
        <w:noProof/>
        <w:sz w:val="24"/>
        <w:szCs w:val="24"/>
      </w:rPr>
      <w:t>1</w:t>
    </w:r>
    <w:r w:rsidRPr="00AD0732">
      <w:rPr>
        <w:sz w:val="24"/>
        <w:szCs w:val="24"/>
      </w:rPr>
      <w:fldChar w:fldCharType="end"/>
    </w:r>
  </w:p>
  <w:p w14:paraId="41721A4E" w14:textId="77777777" w:rsidR="00F164A7" w:rsidRDefault="00F164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192E" w14:textId="3B6D2EF7" w:rsidR="00F164A7" w:rsidRPr="00AD0732" w:rsidRDefault="00F164A7">
    <w:pPr>
      <w:pStyle w:val="Footer"/>
      <w:jc w:val="center"/>
      <w:rPr>
        <w:sz w:val="24"/>
        <w:szCs w:val="24"/>
      </w:rPr>
    </w:pPr>
    <w:r w:rsidRPr="00AD0732">
      <w:rPr>
        <w:sz w:val="24"/>
        <w:szCs w:val="24"/>
      </w:rPr>
      <w:fldChar w:fldCharType="begin"/>
    </w:r>
    <w:r w:rsidRPr="00AD0732">
      <w:rPr>
        <w:sz w:val="24"/>
        <w:szCs w:val="24"/>
      </w:rPr>
      <w:instrText xml:space="preserve"> PAGE   \* MERGEFORMAT </w:instrText>
    </w:r>
    <w:r w:rsidRPr="00AD0732">
      <w:rPr>
        <w:sz w:val="24"/>
        <w:szCs w:val="24"/>
      </w:rPr>
      <w:fldChar w:fldCharType="separate"/>
    </w:r>
    <w:r w:rsidR="00467D13">
      <w:rPr>
        <w:noProof/>
        <w:sz w:val="24"/>
        <w:szCs w:val="24"/>
      </w:rPr>
      <w:t>16</w:t>
    </w:r>
    <w:r w:rsidRPr="00AD0732">
      <w:rPr>
        <w:sz w:val="24"/>
        <w:szCs w:val="24"/>
      </w:rPr>
      <w:fldChar w:fldCharType="end"/>
    </w:r>
  </w:p>
  <w:p w14:paraId="61DCDA97" w14:textId="77777777" w:rsidR="00F164A7" w:rsidRDefault="00F164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A14E" w14:textId="77777777" w:rsidR="00F164A7" w:rsidRDefault="00F164A7">
    <w:pPr>
      <w:pStyle w:val="Footer"/>
      <w:jc w:val="center"/>
    </w:pPr>
  </w:p>
  <w:p w14:paraId="73FFF87C" w14:textId="77777777" w:rsidR="00F164A7" w:rsidRDefault="00F1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B0A26" w14:textId="77777777" w:rsidR="00F164A7" w:rsidRDefault="00F164A7" w:rsidP="00A03CC1">
      <w:r>
        <w:separator/>
      </w:r>
    </w:p>
  </w:footnote>
  <w:footnote w:type="continuationSeparator" w:id="0">
    <w:p w14:paraId="246497E3" w14:textId="77777777" w:rsidR="00F164A7" w:rsidRDefault="00F164A7" w:rsidP="00A03CC1">
      <w:r>
        <w:continuationSeparator/>
      </w:r>
    </w:p>
  </w:footnote>
  <w:footnote w:type="continuationNotice" w:id="1">
    <w:p w14:paraId="69C0599C" w14:textId="77777777" w:rsidR="00F164A7" w:rsidRDefault="00F164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80631" w14:textId="77777777" w:rsidR="00F164A7" w:rsidRDefault="00F164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205F" w14:textId="70532958" w:rsidR="00F164A7" w:rsidRDefault="00F164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9294" w14:textId="4166024A" w:rsidR="00F164A7" w:rsidRDefault="00F164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800B3" w14:textId="6B6DDA0E" w:rsidR="00F164A7" w:rsidRDefault="00F16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7B63" w14:textId="77777777" w:rsidR="00F164A7" w:rsidRDefault="00F16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6809B" w14:textId="77777777" w:rsidR="00F164A7" w:rsidRDefault="00F164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F99" w14:textId="4C6F1511" w:rsidR="00F164A7" w:rsidRDefault="00F164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E1E2" w14:textId="5C880C1C" w:rsidR="00F164A7" w:rsidRDefault="00F164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61EE8" w14:textId="3C1D55BD" w:rsidR="00F164A7" w:rsidRDefault="00F164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1F57" w14:textId="04802395" w:rsidR="00F164A7" w:rsidRDefault="00F164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D0E0" w14:textId="42E1CC77" w:rsidR="00F164A7" w:rsidRDefault="00F164A7" w:rsidP="00BA58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B410" w14:textId="6A456D54" w:rsidR="00F164A7" w:rsidRDefault="00F16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7BD"/>
    <w:multiLevelType w:val="hybridMultilevel"/>
    <w:tmpl w:val="6E7A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4C6462"/>
    <w:multiLevelType w:val="hybridMultilevel"/>
    <w:tmpl w:val="84B4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44D6B"/>
    <w:multiLevelType w:val="hybridMultilevel"/>
    <w:tmpl w:val="74AEB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D6A46"/>
    <w:multiLevelType w:val="hybridMultilevel"/>
    <w:tmpl w:val="B3903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103427"/>
    <w:multiLevelType w:val="hybridMultilevel"/>
    <w:tmpl w:val="D9FAC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225F06"/>
    <w:multiLevelType w:val="hybridMultilevel"/>
    <w:tmpl w:val="8A822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875B27"/>
    <w:multiLevelType w:val="hybridMultilevel"/>
    <w:tmpl w:val="77EC1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7A4C9A"/>
    <w:multiLevelType w:val="hybridMultilevel"/>
    <w:tmpl w:val="063EC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E46457"/>
    <w:multiLevelType w:val="hybridMultilevel"/>
    <w:tmpl w:val="36E2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251D76"/>
    <w:multiLevelType w:val="hybridMultilevel"/>
    <w:tmpl w:val="F61C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994284"/>
    <w:multiLevelType w:val="hybridMultilevel"/>
    <w:tmpl w:val="2D7A1638"/>
    <w:lvl w:ilvl="0" w:tplc="759E9B44">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B4D4A"/>
    <w:multiLevelType w:val="hybridMultilevel"/>
    <w:tmpl w:val="910C2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59035C"/>
    <w:multiLevelType w:val="hybridMultilevel"/>
    <w:tmpl w:val="3438C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0D2364"/>
    <w:multiLevelType w:val="hybridMultilevel"/>
    <w:tmpl w:val="EAB24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45D87"/>
    <w:multiLevelType w:val="hybridMultilevel"/>
    <w:tmpl w:val="77DED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CD62E7"/>
    <w:multiLevelType w:val="hybridMultilevel"/>
    <w:tmpl w:val="1074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9471F"/>
    <w:multiLevelType w:val="hybridMultilevel"/>
    <w:tmpl w:val="5CE8B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BA0168"/>
    <w:multiLevelType w:val="hybridMultilevel"/>
    <w:tmpl w:val="33606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441BE"/>
    <w:multiLevelType w:val="hybridMultilevel"/>
    <w:tmpl w:val="C3F2CB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0B766F9"/>
    <w:multiLevelType w:val="hybridMultilevel"/>
    <w:tmpl w:val="483EF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265C1A"/>
    <w:multiLevelType w:val="hybridMultilevel"/>
    <w:tmpl w:val="1706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20F7E"/>
    <w:multiLevelType w:val="hybridMultilevel"/>
    <w:tmpl w:val="11D2226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8B46320"/>
    <w:multiLevelType w:val="hybridMultilevel"/>
    <w:tmpl w:val="26F2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90F62"/>
    <w:multiLevelType w:val="hybridMultilevel"/>
    <w:tmpl w:val="CC7AF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231DB"/>
    <w:multiLevelType w:val="multilevel"/>
    <w:tmpl w:val="ADCCF0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6B2A73"/>
    <w:multiLevelType w:val="hybridMultilevel"/>
    <w:tmpl w:val="8878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9E57CB4"/>
    <w:multiLevelType w:val="hybridMultilevel"/>
    <w:tmpl w:val="A0BA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8370D"/>
    <w:multiLevelType w:val="hybridMultilevel"/>
    <w:tmpl w:val="69C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F384C"/>
    <w:multiLevelType w:val="hybridMultilevel"/>
    <w:tmpl w:val="04FA5CDE"/>
    <w:lvl w:ilvl="0" w:tplc="2364F9A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A6823C4"/>
    <w:multiLevelType w:val="hybridMultilevel"/>
    <w:tmpl w:val="86A29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25579"/>
    <w:multiLevelType w:val="hybridMultilevel"/>
    <w:tmpl w:val="73D6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A5577"/>
    <w:multiLevelType w:val="hybridMultilevel"/>
    <w:tmpl w:val="21B22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8F5793"/>
    <w:multiLevelType w:val="hybridMultilevel"/>
    <w:tmpl w:val="7966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2232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F501B5"/>
    <w:multiLevelType w:val="hybridMultilevel"/>
    <w:tmpl w:val="3244A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F42F30"/>
    <w:multiLevelType w:val="hybridMultilevel"/>
    <w:tmpl w:val="1C18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806B0"/>
    <w:multiLevelType w:val="hybridMultilevel"/>
    <w:tmpl w:val="912CEC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F0711B"/>
    <w:multiLevelType w:val="hybridMultilevel"/>
    <w:tmpl w:val="D0222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29C216B"/>
    <w:multiLevelType w:val="hybridMultilevel"/>
    <w:tmpl w:val="7CA2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F6814"/>
    <w:multiLevelType w:val="hybridMultilevel"/>
    <w:tmpl w:val="4C64F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E3639E"/>
    <w:multiLevelType w:val="hybridMultilevel"/>
    <w:tmpl w:val="C5944D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2"/>
  </w:num>
  <w:num w:numId="3">
    <w:abstractNumId w:val="4"/>
  </w:num>
  <w:num w:numId="4">
    <w:abstractNumId w:val="16"/>
  </w:num>
  <w:num w:numId="5">
    <w:abstractNumId w:val="3"/>
  </w:num>
  <w:num w:numId="6">
    <w:abstractNumId w:val="19"/>
  </w:num>
  <w:num w:numId="7">
    <w:abstractNumId w:val="23"/>
  </w:num>
  <w:num w:numId="8">
    <w:abstractNumId w:val="25"/>
  </w:num>
  <w:num w:numId="9">
    <w:abstractNumId w:val="21"/>
  </w:num>
  <w:num w:numId="10">
    <w:abstractNumId w:val="31"/>
  </w:num>
  <w:num w:numId="11">
    <w:abstractNumId w:val="0"/>
  </w:num>
  <w:num w:numId="12">
    <w:abstractNumId w:val="9"/>
  </w:num>
  <w:num w:numId="13">
    <w:abstractNumId w:val="33"/>
  </w:num>
  <w:num w:numId="14">
    <w:abstractNumId w:val="28"/>
  </w:num>
  <w:num w:numId="15">
    <w:abstractNumId w:val="39"/>
  </w:num>
  <w:num w:numId="16">
    <w:abstractNumId w:val="11"/>
  </w:num>
  <w:num w:numId="17">
    <w:abstractNumId w:val="19"/>
  </w:num>
  <w:num w:numId="18">
    <w:abstractNumId w:val="29"/>
  </w:num>
  <w:num w:numId="19">
    <w:abstractNumId w:val="40"/>
  </w:num>
  <w:num w:numId="20">
    <w:abstractNumId w:val="36"/>
  </w:num>
  <w:num w:numId="21">
    <w:abstractNumId w:val="2"/>
  </w:num>
  <w:num w:numId="22">
    <w:abstractNumId w:val="30"/>
  </w:num>
  <w:num w:numId="23">
    <w:abstractNumId w:val="18"/>
  </w:num>
  <w:num w:numId="24">
    <w:abstractNumId w:val="37"/>
  </w:num>
  <w:num w:numId="25">
    <w:abstractNumId w:val="34"/>
  </w:num>
  <w:num w:numId="26">
    <w:abstractNumId w:val="22"/>
  </w:num>
  <w:num w:numId="27">
    <w:abstractNumId w:val="13"/>
  </w:num>
  <w:num w:numId="28">
    <w:abstractNumId w:val="38"/>
  </w:num>
  <w:num w:numId="29">
    <w:abstractNumId w:val="1"/>
  </w:num>
  <w:num w:numId="30">
    <w:abstractNumId w:val="12"/>
  </w:num>
  <w:num w:numId="31">
    <w:abstractNumId w:val="15"/>
  </w:num>
  <w:num w:numId="32">
    <w:abstractNumId w:val="6"/>
  </w:num>
  <w:num w:numId="33">
    <w:abstractNumId w:val="27"/>
  </w:num>
  <w:num w:numId="34">
    <w:abstractNumId w:val="5"/>
  </w:num>
  <w:num w:numId="35">
    <w:abstractNumId w:val="14"/>
  </w:num>
  <w:num w:numId="36">
    <w:abstractNumId w:val="20"/>
  </w:num>
  <w:num w:numId="37">
    <w:abstractNumId w:val="35"/>
  </w:num>
  <w:num w:numId="38">
    <w:abstractNumId w:val="26"/>
  </w:num>
  <w:num w:numId="39">
    <w:abstractNumId w:val="7"/>
  </w:num>
  <w:num w:numId="40">
    <w:abstractNumId w:val="17"/>
  </w:num>
  <w:num w:numId="41">
    <w:abstractNumId w:val="1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3D"/>
    <w:rsid w:val="0000160E"/>
    <w:rsid w:val="000046EF"/>
    <w:rsid w:val="00005840"/>
    <w:rsid w:val="000070AE"/>
    <w:rsid w:val="00007556"/>
    <w:rsid w:val="0001110C"/>
    <w:rsid w:val="0001149D"/>
    <w:rsid w:val="00012966"/>
    <w:rsid w:val="00014F79"/>
    <w:rsid w:val="00024828"/>
    <w:rsid w:val="0002573D"/>
    <w:rsid w:val="000258D5"/>
    <w:rsid w:val="00025F76"/>
    <w:rsid w:val="00027AD6"/>
    <w:rsid w:val="00027D99"/>
    <w:rsid w:val="000311B8"/>
    <w:rsid w:val="000315AA"/>
    <w:rsid w:val="00032706"/>
    <w:rsid w:val="00032B52"/>
    <w:rsid w:val="00033035"/>
    <w:rsid w:val="00034221"/>
    <w:rsid w:val="0003688A"/>
    <w:rsid w:val="00040B8E"/>
    <w:rsid w:val="0004186D"/>
    <w:rsid w:val="0004375C"/>
    <w:rsid w:val="00043BA5"/>
    <w:rsid w:val="000442AE"/>
    <w:rsid w:val="000457BE"/>
    <w:rsid w:val="00045B39"/>
    <w:rsid w:val="00046820"/>
    <w:rsid w:val="000510CD"/>
    <w:rsid w:val="0005130E"/>
    <w:rsid w:val="00052F76"/>
    <w:rsid w:val="00053798"/>
    <w:rsid w:val="00057F21"/>
    <w:rsid w:val="00061500"/>
    <w:rsid w:val="00061B1B"/>
    <w:rsid w:val="00063B7F"/>
    <w:rsid w:val="00064F13"/>
    <w:rsid w:val="0006712A"/>
    <w:rsid w:val="0006724B"/>
    <w:rsid w:val="000722F3"/>
    <w:rsid w:val="00073A80"/>
    <w:rsid w:val="00073E97"/>
    <w:rsid w:val="000758A6"/>
    <w:rsid w:val="00076567"/>
    <w:rsid w:val="0008010F"/>
    <w:rsid w:val="00080C0C"/>
    <w:rsid w:val="00083429"/>
    <w:rsid w:val="0008392F"/>
    <w:rsid w:val="0008420D"/>
    <w:rsid w:val="00087268"/>
    <w:rsid w:val="00097FA0"/>
    <w:rsid w:val="000A514B"/>
    <w:rsid w:val="000B0A22"/>
    <w:rsid w:val="000B26C9"/>
    <w:rsid w:val="000B302B"/>
    <w:rsid w:val="000B5E7B"/>
    <w:rsid w:val="000B6B47"/>
    <w:rsid w:val="000B7728"/>
    <w:rsid w:val="000C16A2"/>
    <w:rsid w:val="000C6348"/>
    <w:rsid w:val="000C673F"/>
    <w:rsid w:val="000D1684"/>
    <w:rsid w:val="000D1DE9"/>
    <w:rsid w:val="000D3447"/>
    <w:rsid w:val="000D3647"/>
    <w:rsid w:val="000D4E88"/>
    <w:rsid w:val="000D576B"/>
    <w:rsid w:val="000D5EC6"/>
    <w:rsid w:val="000D69E9"/>
    <w:rsid w:val="000E187C"/>
    <w:rsid w:val="000E32E4"/>
    <w:rsid w:val="000E396D"/>
    <w:rsid w:val="000E39A6"/>
    <w:rsid w:val="000E5E1F"/>
    <w:rsid w:val="000E5F27"/>
    <w:rsid w:val="000E6F14"/>
    <w:rsid w:val="000F1180"/>
    <w:rsid w:val="000F2F25"/>
    <w:rsid w:val="000F4DFF"/>
    <w:rsid w:val="000F601E"/>
    <w:rsid w:val="000F655D"/>
    <w:rsid w:val="00100DE4"/>
    <w:rsid w:val="00102015"/>
    <w:rsid w:val="0010490B"/>
    <w:rsid w:val="0010690F"/>
    <w:rsid w:val="00110736"/>
    <w:rsid w:val="00112ABF"/>
    <w:rsid w:val="00113F76"/>
    <w:rsid w:val="00116053"/>
    <w:rsid w:val="00116387"/>
    <w:rsid w:val="00117CE0"/>
    <w:rsid w:val="001200C5"/>
    <w:rsid w:val="0012055E"/>
    <w:rsid w:val="001229E9"/>
    <w:rsid w:val="00124211"/>
    <w:rsid w:val="00124A27"/>
    <w:rsid w:val="00125408"/>
    <w:rsid w:val="001257FE"/>
    <w:rsid w:val="0012587E"/>
    <w:rsid w:val="001300A2"/>
    <w:rsid w:val="001318E0"/>
    <w:rsid w:val="00131AD1"/>
    <w:rsid w:val="00132A3A"/>
    <w:rsid w:val="00133B12"/>
    <w:rsid w:val="00133F1E"/>
    <w:rsid w:val="00134DD4"/>
    <w:rsid w:val="00136490"/>
    <w:rsid w:val="00136F57"/>
    <w:rsid w:val="00137E09"/>
    <w:rsid w:val="00144869"/>
    <w:rsid w:val="00144D01"/>
    <w:rsid w:val="00145CB9"/>
    <w:rsid w:val="0014618D"/>
    <w:rsid w:val="001526AA"/>
    <w:rsid w:val="001538D2"/>
    <w:rsid w:val="0015516A"/>
    <w:rsid w:val="001568BA"/>
    <w:rsid w:val="00157A91"/>
    <w:rsid w:val="00160204"/>
    <w:rsid w:val="00160973"/>
    <w:rsid w:val="0016168A"/>
    <w:rsid w:val="00161EC6"/>
    <w:rsid w:val="0016252C"/>
    <w:rsid w:val="00164108"/>
    <w:rsid w:val="0016446F"/>
    <w:rsid w:val="001663CB"/>
    <w:rsid w:val="00166FE2"/>
    <w:rsid w:val="001723B4"/>
    <w:rsid w:val="00172C12"/>
    <w:rsid w:val="0017658A"/>
    <w:rsid w:val="0017726D"/>
    <w:rsid w:val="00177443"/>
    <w:rsid w:val="0018648D"/>
    <w:rsid w:val="001870B1"/>
    <w:rsid w:val="00187307"/>
    <w:rsid w:val="0019238F"/>
    <w:rsid w:val="00193B4D"/>
    <w:rsid w:val="00196231"/>
    <w:rsid w:val="001969A4"/>
    <w:rsid w:val="001A4666"/>
    <w:rsid w:val="001A726F"/>
    <w:rsid w:val="001B020F"/>
    <w:rsid w:val="001B26B8"/>
    <w:rsid w:val="001B5B40"/>
    <w:rsid w:val="001B6AEB"/>
    <w:rsid w:val="001B7374"/>
    <w:rsid w:val="001B7703"/>
    <w:rsid w:val="001C1631"/>
    <w:rsid w:val="001C2B70"/>
    <w:rsid w:val="001C2EB3"/>
    <w:rsid w:val="001C7183"/>
    <w:rsid w:val="001D03A3"/>
    <w:rsid w:val="001D1AB2"/>
    <w:rsid w:val="001D34A6"/>
    <w:rsid w:val="001D4F18"/>
    <w:rsid w:val="001D60F9"/>
    <w:rsid w:val="001D6C71"/>
    <w:rsid w:val="001E1E67"/>
    <w:rsid w:val="001E39EC"/>
    <w:rsid w:val="001E774B"/>
    <w:rsid w:val="001E787A"/>
    <w:rsid w:val="001E78EA"/>
    <w:rsid w:val="001F4C9E"/>
    <w:rsid w:val="001F4CF1"/>
    <w:rsid w:val="001F5C23"/>
    <w:rsid w:val="001F6D13"/>
    <w:rsid w:val="00201439"/>
    <w:rsid w:val="002016BF"/>
    <w:rsid w:val="00201977"/>
    <w:rsid w:val="00201D37"/>
    <w:rsid w:val="00202332"/>
    <w:rsid w:val="00203CD4"/>
    <w:rsid w:val="002058AD"/>
    <w:rsid w:val="002103F6"/>
    <w:rsid w:val="00211F5D"/>
    <w:rsid w:val="002139C2"/>
    <w:rsid w:val="002140F4"/>
    <w:rsid w:val="00215586"/>
    <w:rsid w:val="00223609"/>
    <w:rsid w:val="00224247"/>
    <w:rsid w:val="0022476D"/>
    <w:rsid w:val="00232193"/>
    <w:rsid w:val="00232624"/>
    <w:rsid w:val="002343F3"/>
    <w:rsid w:val="00240994"/>
    <w:rsid w:val="00240B18"/>
    <w:rsid w:val="0024111E"/>
    <w:rsid w:val="002451E8"/>
    <w:rsid w:val="002452C5"/>
    <w:rsid w:val="0024656E"/>
    <w:rsid w:val="00247F36"/>
    <w:rsid w:val="002528B8"/>
    <w:rsid w:val="00262F58"/>
    <w:rsid w:val="00265730"/>
    <w:rsid w:val="00266807"/>
    <w:rsid w:val="00267AC9"/>
    <w:rsid w:val="00270D09"/>
    <w:rsid w:val="00271929"/>
    <w:rsid w:val="002723B1"/>
    <w:rsid w:val="002738D1"/>
    <w:rsid w:val="00277C91"/>
    <w:rsid w:val="0028106F"/>
    <w:rsid w:val="00282619"/>
    <w:rsid w:val="00284643"/>
    <w:rsid w:val="00287E94"/>
    <w:rsid w:val="0029198A"/>
    <w:rsid w:val="00295F1D"/>
    <w:rsid w:val="002A1D75"/>
    <w:rsid w:val="002A2527"/>
    <w:rsid w:val="002A4ABE"/>
    <w:rsid w:val="002A5FF2"/>
    <w:rsid w:val="002A752D"/>
    <w:rsid w:val="002B0355"/>
    <w:rsid w:val="002B221C"/>
    <w:rsid w:val="002B5184"/>
    <w:rsid w:val="002C6F25"/>
    <w:rsid w:val="002D0DB7"/>
    <w:rsid w:val="002D0E31"/>
    <w:rsid w:val="002D15C3"/>
    <w:rsid w:val="002D2B43"/>
    <w:rsid w:val="002D316B"/>
    <w:rsid w:val="002D75ED"/>
    <w:rsid w:val="002E0448"/>
    <w:rsid w:val="002E0B17"/>
    <w:rsid w:val="002E325D"/>
    <w:rsid w:val="002E4FC8"/>
    <w:rsid w:val="002E5459"/>
    <w:rsid w:val="002E62AF"/>
    <w:rsid w:val="002E7EEB"/>
    <w:rsid w:val="002F1018"/>
    <w:rsid w:val="002F1EC3"/>
    <w:rsid w:val="002F23F2"/>
    <w:rsid w:val="002F64D6"/>
    <w:rsid w:val="002F7F3E"/>
    <w:rsid w:val="00300158"/>
    <w:rsid w:val="00302B2F"/>
    <w:rsid w:val="00303712"/>
    <w:rsid w:val="00305C6A"/>
    <w:rsid w:val="00310415"/>
    <w:rsid w:val="003105A1"/>
    <w:rsid w:val="0031161E"/>
    <w:rsid w:val="00311880"/>
    <w:rsid w:val="00312E36"/>
    <w:rsid w:val="003138B6"/>
    <w:rsid w:val="0031476D"/>
    <w:rsid w:val="0031507F"/>
    <w:rsid w:val="003229E7"/>
    <w:rsid w:val="003237EE"/>
    <w:rsid w:val="00330B4D"/>
    <w:rsid w:val="0033201A"/>
    <w:rsid w:val="003338C2"/>
    <w:rsid w:val="0033561B"/>
    <w:rsid w:val="00337D08"/>
    <w:rsid w:val="00342182"/>
    <w:rsid w:val="00343B06"/>
    <w:rsid w:val="003515CF"/>
    <w:rsid w:val="00352CE9"/>
    <w:rsid w:val="00352D5A"/>
    <w:rsid w:val="00353D11"/>
    <w:rsid w:val="00354552"/>
    <w:rsid w:val="003608D0"/>
    <w:rsid w:val="003608D9"/>
    <w:rsid w:val="003613AC"/>
    <w:rsid w:val="00361422"/>
    <w:rsid w:val="00367A9E"/>
    <w:rsid w:val="00370C32"/>
    <w:rsid w:val="003750FB"/>
    <w:rsid w:val="00375840"/>
    <w:rsid w:val="00380D5D"/>
    <w:rsid w:val="00390ECB"/>
    <w:rsid w:val="00394EF3"/>
    <w:rsid w:val="00395FDF"/>
    <w:rsid w:val="00396077"/>
    <w:rsid w:val="00396A86"/>
    <w:rsid w:val="003A004D"/>
    <w:rsid w:val="003A02D2"/>
    <w:rsid w:val="003A0DDA"/>
    <w:rsid w:val="003A5803"/>
    <w:rsid w:val="003A5866"/>
    <w:rsid w:val="003B015F"/>
    <w:rsid w:val="003B2849"/>
    <w:rsid w:val="003B6562"/>
    <w:rsid w:val="003B75B6"/>
    <w:rsid w:val="003C054E"/>
    <w:rsid w:val="003C0AB6"/>
    <w:rsid w:val="003C0E7B"/>
    <w:rsid w:val="003C3992"/>
    <w:rsid w:val="003C4EF3"/>
    <w:rsid w:val="003C5B80"/>
    <w:rsid w:val="003C6EA7"/>
    <w:rsid w:val="003C7323"/>
    <w:rsid w:val="003C7931"/>
    <w:rsid w:val="003C7D36"/>
    <w:rsid w:val="003D241C"/>
    <w:rsid w:val="003D3013"/>
    <w:rsid w:val="003D31E2"/>
    <w:rsid w:val="003D6DBC"/>
    <w:rsid w:val="003E28DC"/>
    <w:rsid w:val="003E3AE3"/>
    <w:rsid w:val="003E7F22"/>
    <w:rsid w:val="003F05DE"/>
    <w:rsid w:val="003F0B95"/>
    <w:rsid w:val="003F10C0"/>
    <w:rsid w:val="003F1B4B"/>
    <w:rsid w:val="003F2D27"/>
    <w:rsid w:val="003F5A31"/>
    <w:rsid w:val="003F5FA9"/>
    <w:rsid w:val="004004F3"/>
    <w:rsid w:val="0040473E"/>
    <w:rsid w:val="00404CFB"/>
    <w:rsid w:val="00405245"/>
    <w:rsid w:val="004073BD"/>
    <w:rsid w:val="004111C6"/>
    <w:rsid w:val="00412048"/>
    <w:rsid w:val="0041307B"/>
    <w:rsid w:val="00413739"/>
    <w:rsid w:val="00414340"/>
    <w:rsid w:val="0041509F"/>
    <w:rsid w:val="00416FCC"/>
    <w:rsid w:val="00425ADB"/>
    <w:rsid w:val="004276FD"/>
    <w:rsid w:val="0043094A"/>
    <w:rsid w:val="0043150E"/>
    <w:rsid w:val="00431B06"/>
    <w:rsid w:val="0043355C"/>
    <w:rsid w:val="00442183"/>
    <w:rsid w:val="0044396E"/>
    <w:rsid w:val="00446CD4"/>
    <w:rsid w:val="00446EF4"/>
    <w:rsid w:val="00452A26"/>
    <w:rsid w:val="00452E26"/>
    <w:rsid w:val="00453131"/>
    <w:rsid w:val="00455F98"/>
    <w:rsid w:val="00457C2B"/>
    <w:rsid w:val="0046074D"/>
    <w:rsid w:val="0046729D"/>
    <w:rsid w:val="00467D13"/>
    <w:rsid w:val="004720A2"/>
    <w:rsid w:val="00476D0A"/>
    <w:rsid w:val="00480215"/>
    <w:rsid w:val="00480E7A"/>
    <w:rsid w:val="00481518"/>
    <w:rsid w:val="00481AC2"/>
    <w:rsid w:val="00482C33"/>
    <w:rsid w:val="00484BCF"/>
    <w:rsid w:val="00484BDA"/>
    <w:rsid w:val="004925D6"/>
    <w:rsid w:val="004950C6"/>
    <w:rsid w:val="0049590F"/>
    <w:rsid w:val="00496CCB"/>
    <w:rsid w:val="00497C2C"/>
    <w:rsid w:val="004A14E6"/>
    <w:rsid w:val="004A173C"/>
    <w:rsid w:val="004A1798"/>
    <w:rsid w:val="004A2E15"/>
    <w:rsid w:val="004A3D54"/>
    <w:rsid w:val="004A52B6"/>
    <w:rsid w:val="004A5898"/>
    <w:rsid w:val="004A5DDA"/>
    <w:rsid w:val="004A6082"/>
    <w:rsid w:val="004B1BC7"/>
    <w:rsid w:val="004B25D0"/>
    <w:rsid w:val="004B2DFC"/>
    <w:rsid w:val="004B6820"/>
    <w:rsid w:val="004B7C0A"/>
    <w:rsid w:val="004D1009"/>
    <w:rsid w:val="004D1A94"/>
    <w:rsid w:val="004D23BD"/>
    <w:rsid w:val="004D4EEC"/>
    <w:rsid w:val="004D7CD8"/>
    <w:rsid w:val="004E7FE9"/>
    <w:rsid w:val="004F0587"/>
    <w:rsid w:val="004F1F6C"/>
    <w:rsid w:val="004F2665"/>
    <w:rsid w:val="00501761"/>
    <w:rsid w:val="00502664"/>
    <w:rsid w:val="005053FF"/>
    <w:rsid w:val="00512E81"/>
    <w:rsid w:val="005130E3"/>
    <w:rsid w:val="0051319F"/>
    <w:rsid w:val="005147B4"/>
    <w:rsid w:val="005171E8"/>
    <w:rsid w:val="00520AA9"/>
    <w:rsid w:val="00523EF2"/>
    <w:rsid w:val="005249B0"/>
    <w:rsid w:val="00530CE6"/>
    <w:rsid w:val="00531C74"/>
    <w:rsid w:val="00535FFC"/>
    <w:rsid w:val="00540284"/>
    <w:rsid w:val="00541B2C"/>
    <w:rsid w:val="00544013"/>
    <w:rsid w:val="00544212"/>
    <w:rsid w:val="00544DC4"/>
    <w:rsid w:val="00544F1B"/>
    <w:rsid w:val="0054512B"/>
    <w:rsid w:val="00546CC7"/>
    <w:rsid w:val="00547DAB"/>
    <w:rsid w:val="005562C7"/>
    <w:rsid w:val="00556C36"/>
    <w:rsid w:val="005572A7"/>
    <w:rsid w:val="0056125F"/>
    <w:rsid w:val="00562815"/>
    <w:rsid w:val="00563537"/>
    <w:rsid w:val="00563BA0"/>
    <w:rsid w:val="0056585E"/>
    <w:rsid w:val="00565EF2"/>
    <w:rsid w:val="00567D59"/>
    <w:rsid w:val="005759FC"/>
    <w:rsid w:val="005834AE"/>
    <w:rsid w:val="00583DDB"/>
    <w:rsid w:val="0058493F"/>
    <w:rsid w:val="00584D55"/>
    <w:rsid w:val="005852B1"/>
    <w:rsid w:val="00585302"/>
    <w:rsid w:val="00590180"/>
    <w:rsid w:val="00594D43"/>
    <w:rsid w:val="00594DBE"/>
    <w:rsid w:val="005965E6"/>
    <w:rsid w:val="00596CA7"/>
    <w:rsid w:val="005A02E8"/>
    <w:rsid w:val="005A1AD5"/>
    <w:rsid w:val="005A1C9E"/>
    <w:rsid w:val="005A3053"/>
    <w:rsid w:val="005A3C4C"/>
    <w:rsid w:val="005A41C7"/>
    <w:rsid w:val="005A5961"/>
    <w:rsid w:val="005A5F55"/>
    <w:rsid w:val="005B0365"/>
    <w:rsid w:val="005B0B03"/>
    <w:rsid w:val="005B3CCA"/>
    <w:rsid w:val="005B53E8"/>
    <w:rsid w:val="005B61FB"/>
    <w:rsid w:val="005C0F28"/>
    <w:rsid w:val="005C1910"/>
    <w:rsid w:val="005C2118"/>
    <w:rsid w:val="005C2B5F"/>
    <w:rsid w:val="005C2CDA"/>
    <w:rsid w:val="005C2DF8"/>
    <w:rsid w:val="005C458B"/>
    <w:rsid w:val="005C501F"/>
    <w:rsid w:val="005C5B85"/>
    <w:rsid w:val="005C6E3F"/>
    <w:rsid w:val="005C737D"/>
    <w:rsid w:val="005D3062"/>
    <w:rsid w:val="005D44E1"/>
    <w:rsid w:val="005D5CAF"/>
    <w:rsid w:val="005D5D9B"/>
    <w:rsid w:val="005D660D"/>
    <w:rsid w:val="005D7E3A"/>
    <w:rsid w:val="005E38AF"/>
    <w:rsid w:val="005E5361"/>
    <w:rsid w:val="005E672C"/>
    <w:rsid w:val="005F27B6"/>
    <w:rsid w:val="005F3C2E"/>
    <w:rsid w:val="005F4080"/>
    <w:rsid w:val="005F509F"/>
    <w:rsid w:val="005F756E"/>
    <w:rsid w:val="00601D74"/>
    <w:rsid w:val="006074DB"/>
    <w:rsid w:val="0061232D"/>
    <w:rsid w:val="00612D6A"/>
    <w:rsid w:val="006130F7"/>
    <w:rsid w:val="00613E06"/>
    <w:rsid w:val="00614E28"/>
    <w:rsid w:val="00614E50"/>
    <w:rsid w:val="00616583"/>
    <w:rsid w:val="006208CE"/>
    <w:rsid w:val="006221C6"/>
    <w:rsid w:val="0062414E"/>
    <w:rsid w:val="00627F4A"/>
    <w:rsid w:val="00630291"/>
    <w:rsid w:val="006326B2"/>
    <w:rsid w:val="006326D1"/>
    <w:rsid w:val="006342A6"/>
    <w:rsid w:val="006344A3"/>
    <w:rsid w:val="006377E4"/>
    <w:rsid w:val="006400E4"/>
    <w:rsid w:val="00640FE6"/>
    <w:rsid w:val="0064103E"/>
    <w:rsid w:val="00641C58"/>
    <w:rsid w:val="0064447F"/>
    <w:rsid w:val="00647968"/>
    <w:rsid w:val="00652D05"/>
    <w:rsid w:val="00653B10"/>
    <w:rsid w:val="006540CE"/>
    <w:rsid w:val="0066294E"/>
    <w:rsid w:val="006637B0"/>
    <w:rsid w:val="00666586"/>
    <w:rsid w:val="0067086C"/>
    <w:rsid w:val="00670F74"/>
    <w:rsid w:val="00672EB9"/>
    <w:rsid w:val="00674560"/>
    <w:rsid w:val="00674AA7"/>
    <w:rsid w:val="006770CB"/>
    <w:rsid w:val="00677593"/>
    <w:rsid w:val="0068294B"/>
    <w:rsid w:val="006869FC"/>
    <w:rsid w:val="00686D8A"/>
    <w:rsid w:val="00687336"/>
    <w:rsid w:val="00690000"/>
    <w:rsid w:val="00691463"/>
    <w:rsid w:val="00691AD4"/>
    <w:rsid w:val="00694397"/>
    <w:rsid w:val="00695347"/>
    <w:rsid w:val="006976B4"/>
    <w:rsid w:val="006A18B2"/>
    <w:rsid w:val="006A4478"/>
    <w:rsid w:val="006A4DA7"/>
    <w:rsid w:val="006B26D7"/>
    <w:rsid w:val="006B47AE"/>
    <w:rsid w:val="006C02E8"/>
    <w:rsid w:val="006C04C3"/>
    <w:rsid w:val="006C231C"/>
    <w:rsid w:val="006C561B"/>
    <w:rsid w:val="006C5E79"/>
    <w:rsid w:val="006C7BB0"/>
    <w:rsid w:val="006C7DC0"/>
    <w:rsid w:val="006D0833"/>
    <w:rsid w:val="006D43F6"/>
    <w:rsid w:val="006D5C2B"/>
    <w:rsid w:val="006D6766"/>
    <w:rsid w:val="006E03D3"/>
    <w:rsid w:val="006E1E82"/>
    <w:rsid w:val="006E5985"/>
    <w:rsid w:val="006F0A07"/>
    <w:rsid w:val="006F1A20"/>
    <w:rsid w:val="006F255A"/>
    <w:rsid w:val="006F320C"/>
    <w:rsid w:val="006F32AC"/>
    <w:rsid w:val="006F39A5"/>
    <w:rsid w:val="006F39BB"/>
    <w:rsid w:val="006F4C5E"/>
    <w:rsid w:val="006F607B"/>
    <w:rsid w:val="006F6E1B"/>
    <w:rsid w:val="006F6E37"/>
    <w:rsid w:val="006F6F9F"/>
    <w:rsid w:val="006F6FFF"/>
    <w:rsid w:val="006F788F"/>
    <w:rsid w:val="006F7FEC"/>
    <w:rsid w:val="0070065C"/>
    <w:rsid w:val="00700D65"/>
    <w:rsid w:val="00702003"/>
    <w:rsid w:val="00704C8B"/>
    <w:rsid w:val="007058CB"/>
    <w:rsid w:val="00712337"/>
    <w:rsid w:val="0071416A"/>
    <w:rsid w:val="0071543C"/>
    <w:rsid w:val="00715A5B"/>
    <w:rsid w:val="00716425"/>
    <w:rsid w:val="00717810"/>
    <w:rsid w:val="00717D34"/>
    <w:rsid w:val="0072032A"/>
    <w:rsid w:val="007208D5"/>
    <w:rsid w:val="0072113F"/>
    <w:rsid w:val="00722147"/>
    <w:rsid w:val="00722A3F"/>
    <w:rsid w:val="00722F06"/>
    <w:rsid w:val="00723058"/>
    <w:rsid w:val="00723178"/>
    <w:rsid w:val="00723BA0"/>
    <w:rsid w:val="00724D20"/>
    <w:rsid w:val="00726399"/>
    <w:rsid w:val="007305B3"/>
    <w:rsid w:val="0073119A"/>
    <w:rsid w:val="00733CA4"/>
    <w:rsid w:val="00734253"/>
    <w:rsid w:val="00735449"/>
    <w:rsid w:val="007379CA"/>
    <w:rsid w:val="0074131A"/>
    <w:rsid w:val="00742C9D"/>
    <w:rsid w:val="00745181"/>
    <w:rsid w:val="00746A68"/>
    <w:rsid w:val="00747F21"/>
    <w:rsid w:val="00750751"/>
    <w:rsid w:val="00751988"/>
    <w:rsid w:val="00752036"/>
    <w:rsid w:val="007521E9"/>
    <w:rsid w:val="007561E6"/>
    <w:rsid w:val="007601A4"/>
    <w:rsid w:val="00760303"/>
    <w:rsid w:val="00761267"/>
    <w:rsid w:val="00762567"/>
    <w:rsid w:val="00764FE6"/>
    <w:rsid w:val="00766CFC"/>
    <w:rsid w:val="00767A6F"/>
    <w:rsid w:val="00767B06"/>
    <w:rsid w:val="00770456"/>
    <w:rsid w:val="00772F2B"/>
    <w:rsid w:val="00774148"/>
    <w:rsid w:val="00777AE3"/>
    <w:rsid w:val="00777D8C"/>
    <w:rsid w:val="00780095"/>
    <w:rsid w:val="00780ACD"/>
    <w:rsid w:val="0078157D"/>
    <w:rsid w:val="00787F9D"/>
    <w:rsid w:val="0079088E"/>
    <w:rsid w:val="00791B9A"/>
    <w:rsid w:val="00795768"/>
    <w:rsid w:val="007978AF"/>
    <w:rsid w:val="007A00DA"/>
    <w:rsid w:val="007A20BF"/>
    <w:rsid w:val="007A6E51"/>
    <w:rsid w:val="007B2360"/>
    <w:rsid w:val="007B39EE"/>
    <w:rsid w:val="007B644E"/>
    <w:rsid w:val="007B7CD4"/>
    <w:rsid w:val="007B7EA8"/>
    <w:rsid w:val="007C13A4"/>
    <w:rsid w:val="007C4481"/>
    <w:rsid w:val="007C5903"/>
    <w:rsid w:val="007C72ED"/>
    <w:rsid w:val="007D0A52"/>
    <w:rsid w:val="007D30B0"/>
    <w:rsid w:val="007D3862"/>
    <w:rsid w:val="007D790D"/>
    <w:rsid w:val="007E108B"/>
    <w:rsid w:val="007E134A"/>
    <w:rsid w:val="007E16FB"/>
    <w:rsid w:val="007E29BC"/>
    <w:rsid w:val="007E3108"/>
    <w:rsid w:val="007E41C9"/>
    <w:rsid w:val="007E73B7"/>
    <w:rsid w:val="007F601F"/>
    <w:rsid w:val="007F6618"/>
    <w:rsid w:val="00802C73"/>
    <w:rsid w:val="00813D04"/>
    <w:rsid w:val="00820C22"/>
    <w:rsid w:val="00820FE2"/>
    <w:rsid w:val="008264B7"/>
    <w:rsid w:val="00827EBE"/>
    <w:rsid w:val="0083079C"/>
    <w:rsid w:val="00832414"/>
    <w:rsid w:val="00834AD0"/>
    <w:rsid w:val="00834C58"/>
    <w:rsid w:val="008352BF"/>
    <w:rsid w:val="00840202"/>
    <w:rsid w:val="0084255A"/>
    <w:rsid w:val="0084416B"/>
    <w:rsid w:val="008476EA"/>
    <w:rsid w:val="00847C20"/>
    <w:rsid w:val="00850010"/>
    <w:rsid w:val="008519C5"/>
    <w:rsid w:val="00851A04"/>
    <w:rsid w:val="00852E2E"/>
    <w:rsid w:val="0085405C"/>
    <w:rsid w:val="00854170"/>
    <w:rsid w:val="0085479B"/>
    <w:rsid w:val="00855A4B"/>
    <w:rsid w:val="00856015"/>
    <w:rsid w:val="00861F7C"/>
    <w:rsid w:val="00862158"/>
    <w:rsid w:val="0086231A"/>
    <w:rsid w:val="00862A6F"/>
    <w:rsid w:val="00862E6E"/>
    <w:rsid w:val="008661A4"/>
    <w:rsid w:val="008670E7"/>
    <w:rsid w:val="00870F35"/>
    <w:rsid w:val="0087156A"/>
    <w:rsid w:val="00874648"/>
    <w:rsid w:val="00874E0E"/>
    <w:rsid w:val="008755BA"/>
    <w:rsid w:val="00877C43"/>
    <w:rsid w:val="008803B1"/>
    <w:rsid w:val="00881A00"/>
    <w:rsid w:val="008848E8"/>
    <w:rsid w:val="008851ED"/>
    <w:rsid w:val="00886C8E"/>
    <w:rsid w:val="00886CC8"/>
    <w:rsid w:val="00886DC4"/>
    <w:rsid w:val="008923A3"/>
    <w:rsid w:val="00895FE2"/>
    <w:rsid w:val="0089672F"/>
    <w:rsid w:val="008A183B"/>
    <w:rsid w:val="008A361F"/>
    <w:rsid w:val="008B0916"/>
    <w:rsid w:val="008B12FD"/>
    <w:rsid w:val="008B51D2"/>
    <w:rsid w:val="008B64C0"/>
    <w:rsid w:val="008C02B6"/>
    <w:rsid w:val="008C2A65"/>
    <w:rsid w:val="008D69D5"/>
    <w:rsid w:val="008E14CA"/>
    <w:rsid w:val="008E3517"/>
    <w:rsid w:val="008E5AF1"/>
    <w:rsid w:val="008E72C9"/>
    <w:rsid w:val="008F1C16"/>
    <w:rsid w:val="008F341B"/>
    <w:rsid w:val="008F4CB3"/>
    <w:rsid w:val="00905150"/>
    <w:rsid w:val="00905BE7"/>
    <w:rsid w:val="009074BB"/>
    <w:rsid w:val="00907B89"/>
    <w:rsid w:val="0091000D"/>
    <w:rsid w:val="0092037B"/>
    <w:rsid w:val="009223B2"/>
    <w:rsid w:val="00922A6B"/>
    <w:rsid w:val="0092436F"/>
    <w:rsid w:val="0092736A"/>
    <w:rsid w:val="00933A5A"/>
    <w:rsid w:val="00934F2E"/>
    <w:rsid w:val="0093697F"/>
    <w:rsid w:val="00944AB2"/>
    <w:rsid w:val="00946D8F"/>
    <w:rsid w:val="00950497"/>
    <w:rsid w:val="00950DDD"/>
    <w:rsid w:val="00952C0C"/>
    <w:rsid w:val="0095367F"/>
    <w:rsid w:val="0095548F"/>
    <w:rsid w:val="00965670"/>
    <w:rsid w:val="00971193"/>
    <w:rsid w:val="0097165B"/>
    <w:rsid w:val="00973AB5"/>
    <w:rsid w:val="00983E65"/>
    <w:rsid w:val="00986A1B"/>
    <w:rsid w:val="00987EC7"/>
    <w:rsid w:val="00994FD2"/>
    <w:rsid w:val="0099672C"/>
    <w:rsid w:val="00996A92"/>
    <w:rsid w:val="009A16EB"/>
    <w:rsid w:val="009A25ED"/>
    <w:rsid w:val="009A3680"/>
    <w:rsid w:val="009A64DC"/>
    <w:rsid w:val="009B0C02"/>
    <w:rsid w:val="009B0DAF"/>
    <w:rsid w:val="009B1EDD"/>
    <w:rsid w:val="009B3AB1"/>
    <w:rsid w:val="009B7812"/>
    <w:rsid w:val="009B78BC"/>
    <w:rsid w:val="009C0D72"/>
    <w:rsid w:val="009C4A05"/>
    <w:rsid w:val="009C5477"/>
    <w:rsid w:val="009C6989"/>
    <w:rsid w:val="009D29C4"/>
    <w:rsid w:val="009D5F34"/>
    <w:rsid w:val="009E01F9"/>
    <w:rsid w:val="009E70C9"/>
    <w:rsid w:val="009E7654"/>
    <w:rsid w:val="009E76B7"/>
    <w:rsid w:val="009F094D"/>
    <w:rsid w:val="009F0ED4"/>
    <w:rsid w:val="009F29EF"/>
    <w:rsid w:val="009F3033"/>
    <w:rsid w:val="009F39DE"/>
    <w:rsid w:val="009F41BF"/>
    <w:rsid w:val="009F4E35"/>
    <w:rsid w:val="009F5AE9"/>
    <w:rsid w:val="009F6534"/>
    <w:rsid w:val="00A01B37"/>
    <w:rsid w:val="00A01D70"/>
    <w:rsid w:val="00A03CC1"/>
    <w:rsid w:val="00A05A5F"/>
    <w:rsid w:val="00A103F8"/>
    <w:rsid w:val="00A106BC"/>
    <w:rsid w:val="00A12962"/>
    <w:rsid w:val="00A1341B"/>
    <w:rsid w:val="00A13EDA"/>
    <w:rsid w:val="00A1758F"/>
    <w:rsid w:val="00A20F81"/>
    <w:rsid w:val="00A22E4D"/>
    <w:rsid w:val="00A30CE0"/>
    <w:rsid w:val="00A31AE4"/>
    <w:rsid w:val="00A32163"/>
    <w:rsid w:val="00A32894"/>
    <w:rsid w:val="00A3404A"/>
    <w:rsid w:val="00A34D25"/>
    <w:rsid w:val="00A3692B"/>
    <w:rsid w:val="00A37BA3"/>
    <w:rsid w:val="00A40144"/>
    <w:rsid w:val="00A4016E"/>
    <w:rsid w:val="00A4026C"/>
    <w:rsid w:val="00A40519"/>
    <w:rsid w:val="00A4099C"/>
    <w:rsid w:val="00A40C8F"/>
    <w:rsid w:val="00A44201"/>
    <w:rsid w:val="00A44436"/>
    <w:rsid w:val="00A5489E"/>
    <w:rsid w:val="00A5659C"/>
    <w:rsid w:val="00A568D6"/>
    <w:rsid w:val="00A56D72"/>
    <w:rsid w:val="00A6084A"/>
    <w:rsid w:val="00A629CE"/>
    <w:rsid w:val="00A656B9"/>
    <w:rsid w:val="00A70CDF"/>
    <w:rsid w:val="00A70E37"/>
    <w:rsid w:val="00A7211C"/>
    <w:rsid w:val="00A7262C"/>
    <w:rsid w:val="00A73720"/>
    <w:rsid w:val="00A76EAD"/>
    <w:rsid w:val="00A8242A"/>
    <w:rsid w:val="00A829DB"/>
    <w:rsid w:val="00A8310C"/>
    <w:rsid w:val="00A86F2E"/>
    <w:rsid w:val="00A92B71"/>
    <w:rsid w:val="00AA088E"/>
    <w:rsid w:val="00AA0BC0"/>
    <w:rsid w:val="00AA3688"/>
    <w:rsid w:val="00AA5A0E"/>
    <w:rsid w:val="00AA749A"/>
    <w:rsid w:val="00AB001F"/>
    <w:rsid w:val="00AB0332"/>
    <w:rsid w:val="00AB11B8"/>
    <w:rsid w:val="00AB45B4"/>
    <w:rsid w:val="00AB798A"/>
    <w:rsid w:val="00AC0B1C"/>
    <w:rsid w:val="00AC670A"/>
    <w:rsid w:val="00AC70FF"/>
    <w:rsid w:val="00AD0732"/>
    <w:rsid w:val="00AD200F"/>
    <w:rsid w:val="00AD31F0"/>
    <w:rsid w:val="00AD68BD"/>
    <w:rsid w:val="00AE137F"/>
    <w:rsid w:val="00AE1F9E"/>
    <w:rsid w:val="00AE4ABC"/>
    <w:rsid w:val="00AE6A88"/>
    <w:rsid w:val="00AE7062"/>
    <w:rsid w:val="00AF08DB"/>
    <w:rsid w:val="00AF1E37"/>
    <w:rsid w:val="00AF3260"/>
    <w:rsid w:val="00AF4C96"/>
    <w:rsid w:val="00AF6D8E"/>
    <w:rsid w:val="00AF7207"/>
    <w:rsid w:val="00B00F88"/>
    <w:rsid w:val="00B02FD6"/>
    <w:rsid w:val="00B05211"/>
    <w:rsid w:val="00B0623E"/>
    <w:rsid w:val="00B0797C"/>
    <w:rsid w:val="00B07ABA"/>
    <w:rsid w:val="00B113BB"/>
    <w:rsid w:val="00B236E9"/>
    <w:rsid w:val="00B30BC1"/>
    <w:rsid w:val="00B30BEB"/>
    <w:rsid w:val="00B33F13"/>
    <w:rsid w:val="00B36C24"/>
    <w:rsid w:val="00B36E83"/>
    <w:rsid w:val="00B37B9C"/>
    <w:rsid w:val="00B40E38"/>
    <w:rsid w:val="00B410CB"/>
    <w:rsid w:val="00B42FF8"/>
    <w:rsid w:val="00B43CD9"/>
    <w:rsid w:val="00B44116"/>
    <w:rsid w:val="00B443FB"/>
    <w:rsid w:val="00B472E0"/>
    <w:rsid w:val="00B522C2"/>
    <w:rsid w:val="00B5374E"/>
    <w:rsid w:val="00B57134"/>
    <w:rsid w:val="00B60800"/>
    <w:rsid w:val="00B62408"/>
    <w:rsid w:val="00B6340F"/>
    <w:rsid w:val="00B712FB"/>
    <w:rsid w:val="00B71942"/>
    <w:rsid w:val="00B71C1F"/>
    <w:rsid w:val="00B74A65"/>
    <w:rsid w:val="00B764B1"/>
    <w:rsid w:val="00B81162"/>
    <w:rsid w:val="00B86059"/>
    <w:rsid w:val="00B87654"/>
    <w:rsid w:val="00B87D5F"/>
    <w:rsid w:val="00B96375"/>
    <w:rsid w:val="00B96F57"/>
    <w:rsid w:val="00BA023D"/>
    <w:rsid w:val="00BA33B5"/>
    <w:rsid w:val="00BA58FB"/>
    <w:rsid w:val="00BB0592"/>
    <w:rsid w:val="00BB36C7"/>
    <w:rsid w:val="00BB38B9"/>
    <w:rsid w:val="00BB53CE"/>
    <w:rsid w:val="00BB5906"/>
    <w:rsid w:val="00BC48CF"/>
    <w:rsid w:val="00BC49FF"/>
    <w:rsid w:val="00BC68F1"/>
    <w:rsid w:val="00BC6D5E"/>
    <w:rsid w:val="00BC6EFB"/>
    <w:rsid w:val="00BD2B16"/>
    <w:rsid w:val="00BD7E8C"/>
    <w:rsid w:val="00BE0A29"/>
    <w:rsid w:val="00BE2B1B"/>
    <w:rsid w:val="00BE544B"/>
    <w:rsid w:val="00BF291B"/>
    <w:rsid w:val="00BF3F1B"/>
    <w:rsid w:val="00BF5001"/>
    <w:rsid w:val="00BF61ED"/>
    <w:rsid w:val="00C00B7E"/>
    <w:rsid w:val="00C019F7"/>
    <w:rsid w:val="00C034FA"/>
    <w:rsid w:val="00C044ED"/>
    <w:rsid w:val="00C0547F"/>
    <w:rsid w:val="00C0610F"/>
    <w:rsid w:val="00C13477"/>
    <w:rsid w:val="00C13A7E"/>
    <w:rsid w:val="00C1508E"/>
    <w:rsid w:val="00C150DD"/>
    <w:rsid w:val="00C17383"/>
    <w:rsid w:val="00C209D5"/>
    <w:rsid w:val="00C20E7A"/>
    <w:rsid w:val="00C240FF"/>
    <w:rsid w:val="00C24649"/>
    <w:rsid w:val="00C25164"/>
    <w:rsid w:val="00C26EB2"/>
    <w:rsid w:val="00C27AB8"/>
    <w:rsid w:val="00C31795"/>
    <w:rsid w:val="00C31EC3"/>
    <w:rsid w:val="00C33003"/>
    <w:rsid w:val="00C36307"/>
    <w:rsid w:val="00C408B6"/>
    <w:rsid w:val="00C4409A"/>
    <w:rsid w:val="00C46D03"/>
    <w:rsid w:val="00C504FD"/>
    <w:rsid w:val="00C53107"/>
    <w:rsid w:val="00C53DED"/>
    <w:rsid w:val="00C6165A"/>
    <w:rsid w:val="00C62DC1"/>
    <w:rsid w:val="00C66217"/>
    <w:rsid w:val="00C668BB"/>
    <w:rsid w:val="00C67215"/>
    <w:rsid w:val="00C672AE"/>
    <w:rsid w:val="00C67AD9"/>
    <w:rsid w:val="00C7122D"/>
    <w:rsid w:val="00C7395B"/>
    <w:rsid w:val="00C74F92"/>
    <w:rsid w:val="00C759B4"/>
    <w:rsid w:val="00C761BC"/>
    <w:rsid w:val="00C76E10"/>
    <w:rsid w:val="00C76F4A"/>
    <w:rsid w:val="00C773BC"/>
    <w:rsid w:val="00C80248"/>
    <w:rsid w:val="00C867ED"/>
    <w:rsid w:val="00C86FCF"/>
    <w:rsid w:val="00C915EA"/>
    <w:rsid w:val="00C92BE9"/>
    <w:rsid w:val="00C95F56"/>
    <w:rsid w:val="00CA10D3"/>
    <w:rsid w:val="00CA3D0E"/>
    <w:rsid w:val="00CA5108"/>
    <w:rsid w:val="00CA6D8F"/>
    <w:rsid w:val="00CB05C3"/>
    <w:rsid w:val="00CB198D"/>
    <w:rsid w:val="00CB4F29"/>
    <w:rsid w:val="00CB7129"/>
    <w:rsid w:val="00CC0DFB"/>
    <w:rsid w:val="00CC2216"/>
    <w:rsid w:val="00CC2BEA"/>
    <w:rsid w:val="00CC339E"/>
    <w:rsid w:val="00CC4A57"/>
    <w:rsid w:val="00CC56CC"/>
    <w:rsid w:val="00CD0920"/>
    <w:rsid w:val="00CD1029"/>
    <w:rsid w:val="00CD3216"/>
    <w:rsid w:val="00CD461D"/>
    <w:rsid w:val="00CD758E"/>
    <w:rsid w:val="00CE0ABC"/>
    <w:rsid w:val="00CE1534"/>
    <w:rsid w:val="00CE1920"/>
    <w:rsid w:val="00CE566D"/>
    <w:rsid w:val="00CE7637"/>
    <w:rsid w:val="00CE7757"/>
    <w:rsid w:val="00CF25CB"/>
    <w:rsid w:val="00CF3924"/>
    <w:rsid w:val="00CF5DA2"/>
    <w:rsid w:val="00D0161F"/>
    <w:rsid w:val="00D01798"/>
    <w:rsid w:val="00D02BEE"/>
    <w:rsid w:val="00D02C72"/>
    <w:rsid w:val="00D03A10"/>
    <w:rsid w:val="00D05638"/>
    <w:rsid w:val="00D117B5"/>
    <w:rsid w:val="00D1233A"/>
    <w:rsid w:val="00D125F7"/>
    <w:rsid w:val="00D17D0E"/>
    <w:rsid w:val="00D22D41"/>
    <w:rsid w:val="00D2320D"/>
    <w:rsid w:val="00D24142"/>
    <w:rsid w:val="00D245C3"/>
    <w:rsid w:val="00D24D99"/>
    <w:rsid w:val="00D27413"/>
    <w:rsid w:val="00D27855"/>
    <w:rsid w:val="00D32D30"/>
    <w:rsid w:val="00D3354F"/>
    <w:rsid w:val="00D33B08"/>
    <w:rsid w:val="00D34A01"/>
    <w:rsid w:val="00D35653"/>
    <w:rsid w:val="00D361C8"/>
    <w:rsid w:val="00D36515"/>
    <w:rsid w:val="00D36A50"/>
    <w:rsid w:val="00D36D7F"/>
    <w:rsid w:val="00D374FD"/>
    <w:rsid w:val="00D40986"/>
    <w:rsid w:val="00D442C2"/>
    <w:rsid w:val="00D444C9"/>
    <w:rsid w:val="00D44642"/>
    <w:rsid w:val="00D46BE6"/>
    <w:rsid w:val="00D46EC9"/>
    <w:rsid w:val="00D50F8D"/>
    <w:rsid w:val="00D5202F"/>
    <w:rsid w:val="00D52365"/>
    <w:rsid w:val="00D529DC"/>
    <w:rsid w:val="00D52E29"/>
    <w:rsid w:val="00D53C99"/>
    <w:rsid w:val="00D556A7"/>
    <w:rsid w:val="00D5668C"/>
    <w:rsid w:val="00D6293E"/>
    <w:rsid w:val="00D62BC5"/>
    <w:rsid w:val="00D65CF0"/>
    <w:rsid w:val="00D7046C"/>
    <w:rsid w:val="00D71069"/>
    <w:rsid w:val="00D7245C"/>
    <w:rsid w:val="00D7559B"/>
    <w:rsid w:val="00D75737"/>
    <w:rsid w:val="00D75C34"/>
    <w:rsid w:val="00D77DB5"/>
    <w:rsid w:val="00D8038F"/>
    <w:rsid w:val="00D80646"/>
    <w:rsid w:val="00D82A2C"/>
    <w:rsid w:val="00D83A8B"/>
    <w:rsid w:val="00D85652"/>
    <w:rsid w:val="00D94695"/>
    <w:rsid w:val="00DA0C25"/>
    <w:rsid w:val="00DA1636"/>
    <w:rsid w:val="00DA1D70"/>
    <w:rsid w:val="00DA2797"/>
    <w:rsid w:val="00DA2F86"/>
    <w:rsid w:val="00DA510B"/>
    <w:rsid w:val="00DA7189"/>
    <w:rsid w:val="00DB0F67"/>
    <w:rsid w:val="00DB3074"/>
    <w:rsid w:val="00DB330C"/>
    <w:rsid w:val="00DB4047"/>
    <w:rsid w:val="00DB489F"/>
    <w:rsid w:val="00DB4DCE"/>
    <w:rsid w:val="00DB6876"/>
    <w:rsid w:val="00DB7A7B"/>
    <w:rsid w:val="00DC0AB0"/>
    <w:rsid w:val="00DC4FAD"/>
    <w:rsid w:val="00DC50DE"/>
    <w:rsid w:val="00DC5178"/>
    <w:rsid w:val="00DD3620"/>
    <w:rsid w:val="00DD3EC0"/>
    <w:rsid w:val="00DD4F2B"/>
    <w:rsid w:val="00DD4F4D"/>
    <w:rsid w:val="00DE0546"/>
    <w:rsid w:val="00DE0B7B"/>
    <w:rsid w:val="00DE1CCB"/>
    <w:rsid w:val="00DE2192"/>
    <w:rsid w:val="00DE3485"/>
    <w:rsid w:val="00DE44DE"/>
    <w:rsid w:val="00DE4C32"/>
    <w:rsid w:val="00DE4F14"/>
    <w:rsid w:val="00DE595F"/>
    <w:rsid w:val="00DE665A"/>
    <w:rsid w:val="00DE7B57"/>
    <w:rsid w:val="00DE7E7A"/>
    <w:rsid w:val="00DF03F4"/>
    <w:rsid w:val="00DF11C6"/>
    <w:rsid w:val="00DF1DFB"/>
    <w:rsid w:val="00DF42B5"/>
    <w:rsid w:val="00DF53F5"/>
    <w:rsid w:val="00DF5D87"/>
    <w:rsid w:val="00DF5D90"/>
    <w:rsid w:val="00E00528"/>
    <w:rsid w:val="00E02903"/>
    <w:rsid w:val="00E03670"/>
    <w:rsid w:val="00E048A5"/>
    <w:rsid w:val="00E04C9F"/>
    <w:rsid w:val="00E0500E"/>
    <w:rsid w:val="00E05A91"/>
    <w:rsid w:val="00E1071E"/>
    <w:rsid w:val="00E10C8D"/>
    <w:rsid w:val="00E1342A"/>
    <w:rsid w:val="00E13746"/>
    <w:rsid w:val="00E14097"/>
    <w:rsid w:val="00E14570"/>
    <w:rsid w:val="00E155BB"/>
    <w:rsid w:val="00E16ADE"/>
    <w:rsid w:val="00E174A4"/>
    <w:rsid w:val="00E214EC"/>
    <w:rsid w:val="00E223B1"/>
    <w:rsid w:val="00E22976"/>
    <w:rsid w:val="00E22F02"/>
    <w:rsid w:val="00E23588"/>
    <w:rsid w:val="00E26B6B"/>
    <w:rsid w:val="00E27D40"/>
    <w:rsid w:val="00E322A2"/>
    <w:rsid w:val="00E33A88"/>
    <w:rsid w:val="00E41020"/>
    <w:rsid w:val="00E41B06"/>
    <w:rsid w:val="00E42E2B"/>
    <w:rsid w:val="00E43D14"/>
    <w:rsid w:val="00E506A4"/>
    <w:rsid w:val="00E50AE5"/>
    <w:rsid w:val="00E528FA"/>
    <w:rsid w:val="00E52D48"/>
    <w:rsid w:val="00E5655E"/>
    <w:rsid w:val="00E56C45"/>
    <w:rsid w:val="00E63FA0"/>
    <w:rsid w:val="00E65E1D"/>
    <w:rsid w:val="00E71DB9"/>
    <w:rsid w:val="00E74D38"/>
    <w:rsid w:val="00E75520"/>
    <w:rsid w:val="00E75D19"/>
    <w:rsid w:val="00E804A1"/>
    <w:rsid w:val="00E817CA"/>
    <w:rsid w:val="00E838D9"/>
    <w:rsid w:val="00E8446D"/>
    <w:rsid w:val="00E84BE8"/>
    <w:rsid w:val="00E90589"/>
    <w:rsid w:val="00E92C30"/>
    <w:rsid w:val="00E94273"/>
    <w:rsid w:val="00EA10CF"/>
    <w:rsid w:val="00EA1F40"/>
    <w:rsid w:val="00EA6A76"/>
    <w:rsid w:val="00EA6FAC"/>
    <w:rsid w:val="00EA77F9"/>
    <w:rsid w:val="00EB27E7"/>
    <w:rsid w:val="00EB5B41"/>
    <w:rsid w:val="00EB5BF2"/>
    <w:rsid w:val="00EB60A5"/>
    <w:rsid w:val="00EB7962"/>
    <w:rsid w:val="00EC023D"/>
    <w:rsid w:val="00EC0EFF"/>
    <w:rsid w:val="00EC12F0"/>
    <w:rsid w:val="00EC206B"/>
    <w:rsid w:val="00EC76E2"/>
    <w:rsid w:val="00ED00B5"/>
    <w:rsid w:val="00ED06AE"/>
    <w:rsid w:val="00ED5F31"/>
    <w:rsid w:val="00ED6864"/>
    <w:rsid w:val="00EE49C4"/>
    <w:rsid w:val="00EE501E"/>
    <w:rsid w:val="00EF0BBE"/>
    <w:rsid w:val="00EF32E6"/>
    <w:rsid w:val="00EF3C34"/>
    <w:rsid w:val="00F002E1"/>
    <w:rsid w:val="00F006D0"/>
    <w:rsid w:val="00F00BDE"/>
    <w:rsid w:val="00F03DB9"/>
    <w:rsid w:val="00F1173C"/>
    <w:rsid w:val="00F14481"/>
    <w:rsid w:val="00F15206"/>
    <w:rsid w:val="00F164A7"/>
    <w:rsid w:val="00F16AE3"/>
    <w:rsid w:val="00F20F6C"/>
    <w:rsid w:val="00F243F1"/>
    <w:rsid w:val="00F25511"/>
    <w:rsid w:val="00F25BFF"/>
    <w:rsid w:val="00F25DA7"/>
    <w:rsid w:val="00F30DB0"/>
    <w:rsid w:val="00F30DEF"/>
    <w:rsid w:val="00F350E6"/>
    <w:rsid w:val="00F35D09"/>
    <w:rsid w:val="00F40115"/>
    <w:rsid w:val="00F40738"/>
    <w:rsid w:val="00F408B1"/>
    <w:rsid w:val="00F45E7B"/>
    <w:rsid w:val="00F46285"/>
    <w:rsid w:val="00F50634"/>
    <w:rsid w:val="00F512B8"/>
    <w:rsid w:val="00F55A4D"/>
    <w:rsid w:val="00F55F7F"/>
    <w:rsid w:val="00F5720B"/>
    <w:rsid w:val="00F60EA1"/>
    <w:rsid w:val="00F63232"/>
    <w:rsid w:val="00F63C3D"/>
    <w:rsid w:val="00F645EB"/>
    <w:rsid w:val="00F64EC4"/>
    <w:rsid w:val="00F673D6"/>
    <w:rsid w:val="00F711CA"/>
    <w:rsid w:val="00F71EDB"/>
    <w:rsid w:val="00F7231A"/>
    <w:rsid w:val="00F72678"/>
    <w:rsid w:val="00F74D3D"/>
    <w:rsid w:val="00F75805"/>
    <w:rsid w:val="00F759CA"/>
    <w:rsid w:val="00F8145B"/>
    <w:rsid w:val="00F82E60"/>
    <w:rsid w:val="00F845C2"/>
    <w:rsid w:val="00F90CF6"/>
    <w:rsid w:val="00F956AA"/>
    <w:rsid w:val="00F978A1"/>
    <w:rsid w:val="00F97D28"/>
    <w:rsid w:val="00FA6BFA"/>
    <w:rsid w:val="00FA754A"/>
    <w:rsid w:val="00FB06A9"/>
    <w:rsid w:val="00FB0E73"/>
    <w:rsid w:val="00FC0C2D"/>
    <w:rsid w:val="00FC1505"/>
    <w:rsid w:val="00FC1B0E"/>
    <w:rsid w:val="00FC2351"/>
    <w:rsid w:val="00FC2F2A"/>
    <w:rsid w:val="00FC5212"/>
    <w:rsid w:val="00FD0993"/>
    <w:rsid w:val="00FD1899"/>
    <w:rsid w:val="00FD5ABC"/>
    <w:rsid w:val="00FD6F71"/>
    <w:rsid w:val="00FD7368"/>
    <w:rsid w:val="00FD7CFA"/>
    <w:rsid w:val="00FE056F"/>
    <w:rsid w:val="00FE141B"/>
    <w:rsid w:val="00FE2009"/>
    <w:rsid w:val="00FE3129"/>
    <w:rsid w:val="00FE42D4"/>
    <w:rsid w:val="00FE6BD3"/>
    <w:rsid w:val="00FF05AF"/>
    <w:rsid w:val="00FF15DC"/>
    <w:rsid w:val="00FF36DD"/>
    <w:rsid w:val="00FF4374"/>
    <w:rsid w:val="00FF49D7"/>
    <w:rsid w:val="00FF4BB5"/>
    <w:rsid w:val="00FF4E30"/>
    <w:rsid w:val="00FF5826"/>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C534E5"/>
  <w15:docId w15:val="{4B033C79-C926-40F9-AE3F-8E5B2621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36A"/>
    <w:rPr>
      <w:rFonts w:ascii="Times New Roman" w:hAnsi="Times New Roman"/>
      <w:sz w:val="24"/>
      <w:szCs w:val="24"/>
    </w:rPr>
  </w:style>
  <w:style w:type="paragraph" w:styleId="Heading1">
    <w:name w:val="heading 1"/>
    <w:basedOn w:val="Normal"/>
    <w:next w:val="Normal"/>
    <w:link w:val="Heading1Char"/>
    <w:uiPriority w:val="99"/>
    <w:qFormat/>
    <w:rsid w:val="00C150DD"/>
    <w:pPr>
      <w:keepNext/>
      <w:tabs>
        <w:tab w:val="left" w:pos="480"/>
        <w:tab w:val="left" w:pos="960"/>
        <w:tab w:val="left" w:pos="6840"/>
      </w:tabs>
      <w:jc w:val="both"/>
      <w:outlineLvl w:val="0"/>
    </w:pPr>
    <w:rPr>
      <w:rFonts w:ascii="Arial" w:hAnsi="Arial"/>
      <w:b/>
      <w:bCs/>
      <w:spacing w:val="-3"/>
      <w:sz w:val="20"/>
      <w:szCs w:val="20"/>
      <w:u w:val="single"/>
    </w:rPr>
  </w:style>
  <w:style w:type="paragraph" w:styleId="Heading2">
    <w:name w:val="heading 2"/>
    <w:basedOn w:val="Normal"/>
    <w:next w:val="Normal"/>
    <w:link w:val="Heading2Char"/>
    <w:uiPriority w:val="99"/>
    <w:qFormat/>
    <w:rsid w:val="00C150DD"/>
    <w:pPr>
      <w:keepNext/>
      <w:tabs>
        <w:tab w:val="left" w:pos="-1440"/>
        <w:tab w:val="left" w:leader="do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rFonts w:ascii="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150DD"/>
    <w:rPr>
      <w:rFonts w:ascii="Arial" w:hAnsi="Arial"/>
      <w:b/>
      <w:spacing w:val="-3"/>
      <w:sz w:val="20"/>
      <w:u w:val="single"/>
    </w:rPr>
  </w:style>
  <w:style w:type="character" w:customStyle="1" w:styleId="Heading2Char">
    <w:name w:val="Heading 2 Char"/>
    <w:link w:val="Heading2"/>
    <w:uiPriority w:val="99"/>
    <w:locked/>
    <w:rsid w:val="00C150DD"/>
    <w:rPr>
      <w:rFonts w:ascii="Arial" w:hAnsi="Arial"/>
      <w:b/>
      <w:sz w:val="20"/>
      <w:u w:val="single"/>
    </w:rPr>
  </w:style>
  <w:style w:type="paragraph" w:styleId="PlainText">
    <w:name w:val="Plain Text"/>
    <w:basedOn w:val="Normal"/>
    <w:link w:val="PlainTextChar"/>
    <w:uiPriority w:val="99"/>
    <w:rsid w:val="00E02903"/>
    <w:rPr>
      <w:rFonts w:ascii="Courier New" w:hAnsi="Courier New"/>
      <w:sz w:val="20"/>
      <w:szCs w:val="20"/>
    </w:rPr>
  </w:style>
  <w:style w:type="character" w:customStyle="1" w:styleId="PlainTextChar">
    <w:name w:val="Plain Text Char"/>
    <w:link w:val="PlainText"/>
    <w:uiPriority w:val="99"/>
    <w:locked/>
    <w:rsid w:val="00E02903"/>
    <w:rPr>
      <w:rFonts w:ascii="Courier New" w:hAnsi="Courier New"/>
      <w:sz w:val="20"/>
    </w:rPr>
  </w:style>
  <w:style w:type="paragraph" w:styleId="FootnoteText">
    <w:name w:val="footnote text"/>
    <w:basedOn w:val="Normal"/>
    <w:link w:val="FootnoteTextChar"/>
    <w:uiPriority w:val="99"/>
    <w:semiHidden/>
    <w:rsid w:val="00E02903"/>
    <w:rPr>
      <w:rFonts w:ascii="Univers Condensed" w:hAnsi="Univers Condensed"/>
      <w:sz w:val="20"/>
      <w:szCs w:val="20"/>
    </w:rPr>
  </w:style>
  <w:style w:type="character" w:customStyle="1" w:styleId="FootnoteTextChar">
    <w:name w:val="Footnote Text Char"/>
    <w:link w:val="FootnoteText"/>
    <w:uiPriority w:val="99"/>
    <w:locked/>
    <w:rsid w:val="00E02903"/>
    <w:rPr>
      <w:rFonts w:ascii="Univers Condensed" w:hAnsi="Univers Condensed"/>
      <w:sz w:val="20"/>
    </w:rPr>
  </w:style>
  <w:style w:type="paragraph" w:customStyle="1" w:styleId="QuickFormat1">
    <w:name w:val="QuickFormat1"/>
    <w:basedOn w:val="Normal"/>
    <w:link w:val="QuickFormat1Char"/>
    <w:uiPriority w:val="99"/>
    <w:rsid w:val="009A16EB"/>
    <w:pPr>
      <w:widowControl w:val="0"/>
      <w:jc w:val="center"/>
    </w:pPr>
    <w:rPr>
      <w:b/>
      <w:snapToGrid w:val="0"/>
      <w:color w:val="000000"/>
      <w:sz w:val="20"/>
      <w:szCs w:val="20"/>
      <w:lang w:val="x-none" w:eastAsia="x-none"/>
    </w:rPr>
  </w:style>
  <w:style w:type="character" w:customStyle="1" w:styleId="QuickFormat1Char">
    <w:name w:val="QuickFormat1 Char"/>
    <w:link w:val="QuickFormat1"/>
    <w:uiPriority w:val="99"/>
    <w:locked/>
    <w:rsid w:val="009A16EB"/>
    <w:rPr>
      <w:rFonts w:ascii="Times New Roman" w:hAnsi="Times New Roman"/>
      <w:b/>
      <w:snapToGrid w:val="0"/>
      <w:color w:val="000000"/>
      <w:sz w:val="20"/>
    </w:rPr>
  </w:style>
  <w:style w:type="character" w:styleId="CommentReference">
    <w:name w:val="annotation reference"/>
    <w:uiPriority w:val="99"/>
    <w:semiHidden/>
    <w:rsid w:val="009A16EB"/>
    <w:rPr>
      <w:sz w:val="16"/>
    </w:rPr>
  </w:style>
  <w:style w:type="paragraph" w:styleId="HTMLPreformatted">
    <w:name w:val="HTML Preformatted"/>
    <w:basedOn w:val="Normal"/>
    <w:link w:val="HTMLPreformattedChar"/>
    <w:uiPriority w:val="99"/>
    <w:rsid w:val="0041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41509F"/>
    <w:rPr>
      <w:rFonts w:ascii="Courier New" w:hAnsi="Courier New"/>
      <w:sz w:val="20"/>
    </w:rPr>
  </w:style>
  <w:style w:type="paragraph" w:styleId="BodyText">
    <w:name w:val="Body Text"/>
    <w:basedOn w:val="Normal"/>
    <w:link w:val="BodyTextChar"/>
    <w:uiPriority w:val="99"/>
    <w:rsid w:val="0041509F"/>
    <w:pPr>
      <w:widowControl w:val="0"/>
      <w:spacing w:after="120"/>
    </w:pPr>
    <w:rPr>
      <w:rFonts w:ascii="Courier" w:hAnsi="Courier"/>
      <w:sz w:val="20"/>
      <w:szCs w:val="20"/>
    </w:rPr>
  </w:style>
  <w:style w:type="character" w:customStyle="1" w:styleId="BodyTextChar">
    <w:name w:val="Body Text Char"/>
    <w:link w:val="BodyText"/>
    <w:uiPriority w:val="99"/>
    <w:locked/>
    <w:rsid w:val="0041509F"/>
    <w:rPr>
      <w:rFonts w:ascii="Courier" w:hAnsi="Courier"/>
      <w:sz w:val="20"/>
    </w:rPr>
  </w:style>
  <w:style w:type="paragraph" w:styleId="Header">
    <w:name w:val="header"/>
    <w:basedOn w:val="Normal"/>
    <w:link w:val="HeaderChar"/>
    <w:uiPriority w:val="99"/>
    <w:rsid w:val="00A03CC1"/>
    <w:pPr>
      <w:tabs>
        <w:tab w:val="center" w:pos="4680"/>
        <w:tab w:val="right" w:pos="9360"/>
      </w:tabs>
    </w:pPr>
    <w:rPr>
      <w:sz w:val="20"/>
      <w:szCs w:val="20"/>
    </w:rPr>
  </w:style>
  <w:style w:type="character" w:customStyle="1" w:styleId="HeaderChar">
    <w:name w:val="Header Char"/>
    <w:link w:val="Header"/>
    <w:uiPriority w:val="99"/>
    <w:locked/>
    <w:rsid w:val="00A03CC1"/>
    <w:rPr>
      <w:rFonts w:ascii="Times New Roman" w:hAnsi="Times New Roman"/>
      <w:sz w:val="20"/>
    </w:rPr>
  </w:style>
  <w:style w:type="paragraph" w:styleId="Footer">
    <w:name w:val="footer"/>
    <w:basedOn w:val="Normal"/>
    <w:link w:val="FooterChar"/>
    <w:uiPriority w:val="99"/>
    <w:rsid w:val="00A03CC1"/>
    <w:pPr>
      <w:tabs>
        <w:tab w:val="center" w:pos="4680"/>
        <w:tab w:val="right" w:pos="9360"/>
      </w:tabs>
    </w:pPr>
    <w:rPr>
      <w:sz w:val="20"/>
      <w:szCs w:val="20"/>
    </w:rPr>
  </w:style>
  <w:style w:type="character" w:customStyle="1" w:styleId="FooterChar">
    <w:name w:val="Footer Char"/>
    <w:link w:val="Footer"/>
    <w:uiPriority w:val="99"/>
    <w:locked/>
    <w:rsid w:val="00A03CC1"/>
    <w:rPr>
      <w:rFonts w:ascii="Times New Roman" w:hAnsi="Times New Roman"/>
      <w:sz w:val="20"/>
    </w:rPr>
  </w:style>
  <w:style w:type="paragraph" w:styleId="ListParagraph">
    <w:name w:val="List Paragraph"/>
    <w:basedOn w:val="Normal"/>
    <w:uiPriority w:val="34"/>
    <w:qFormat/>
    <w:rsid w:val="00412048"/>
    <w:pPr>
      <w:widowControl w:val="0"/>
      <w:ind w:left="720"/>
    </w:pPr>
    <w:rPr>
      <w:rFonts w:ascii="Courier" w:hAnsi="Courier" w:cs="Courier"/>
    </w:rPr>
  </w:style>
  <w:style w:type="table" w:styleId="TableGrid">
    <w:name w:val="Table Grid"/>
    <w:basedOn w:val="TableNormal"/>
    <w:rsid w:val="006C231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1EDB"/>
    <w:rPr>
      <w:rFonts w:ascii="Tahoma" w:hAnsi="Tahoma"/>
      <w:sz w:val="16"/>
      <w:szCs w:val="16"/>
    </w:rPr>
  </w:style>
  <w:style w:type="character" w:customStyle="1" w:styleId="BalloonTextChar">
    <w:name w:val="Balloon Text Char"/>
    <w:link w:val="BalloonText"/>
    <w:uiPriority w:val="99"/>
    <w:semiHidden/>
    <w:locked/>
    <w:rsid w:val="00F71EDB"/>
    <w:rPr>
      <w:rFonts w:ascii="Tahoma" w:hAnsi="Tahoma"/>
      <w:sz w:val="16"/>
    </w:rPr>
  </w:style>
  <w:style w:type="paragraph" w:styleId="CommentText">
    <w:name w:val="annotation text"/>
    <w:basedOn w:val="Normal"/>
    <w:link w:val="CommentTextChar"/>
    <w:uiPriority w:val="99"/>
    <w:semiHidden/>
    <w:rsid w:val="00061B1B"/>
    <w:rPr>
      <w:sz w:val="20"/>
      <w:szCs w:val="20"/>
    </w:rPr>
  </w:style>
  <w:style w:type="character" w:customStyle="1" w:styleId="CommentTextChar">
    <w:name w:val="Comment Text Char"/>
    <w:link w:val="CommentText"/>
    <w:uiPriority w:val="99"/>
    <w:semiHidden/>
    <w:locked/>
    <w:rsid w:val="00061B1B"/>
    <w:rPr>
      <w:rFonts w:ascii="Times New Roman" w:hAnsi="Times New Roman"/>
      <w:sz w:val="20"/>
    </w:rPr>
  </w:style>
  <w:style w:type="paragraph" w:styleId="CommentSubject">
    <w:name w:val="annotation subject"/>
    <w:basedOn w:val="CommentText"/>
    <w:next w:val="CommentText"/>
    <w:link w:val="CommentSubjectChar"/>
    <w:uiPriority w:val="99"/>
    <w:semiHidden/>
    <w:rsid w:val="00061B1B"/>
    <w:rPr>
      <w:b/>
      <w:bCs/>
    </w:rPr>
  </w:style>
  <w:style w:type="character" w:customStyle="1" w:styleId="CommentSubjectChar">
    <w:name w:val="Comment Subject Char"/>
    <w:link w:val="CommentSubject"/>
    <w:uiPriority w:val="99"/>
    <w:semiHidden/>
    <w:locked/>
    <w:rsid w:val="00061B1B"/>
    <w:rPr>
      <w:rFonts w:ascii="Times New Roman" w:hAnsi="Times New Roman"/>
      <w:b/>
      <w:sz w:val="20"/>
    </w:rPr>
  </w:style>
  <w:style w:type="paragraph" w:styleId="Revision">
    <w:name w:val="Revision"/>
    <w:hidden/>
    <w:uiPriority w:val="99"/>
    <w:semiHidden/>
    <w:rsid w:val="00986A1B"/>
    <w:rPr>
      <w:rFonts w:ascii="Times New Roman" w:hAnsi="Times New Roman"/>
      <w:sz w:val="24"/>
      <w:szCs w:val="24"/>
    </w:rPr>
  </w:style>
  <w:style w:type="paragraph" w:styleId="NormalWeb">
    <w:name w:val="Normal (Web)"/>
    <w:basedOn w:val="Normal"/>
    <w:uiPriority w:val="99"/>
    <w:rsid w:val="00D3354F"/>
    <w:pPr>
      <w:spacing w:before="100" w:beforeAutospacing="1" w:after="100" w:afterAutospacing="1"/>
    </w:pPr>
  </w:style>
  <w:style w:type="character" w:styleId="Hyperlink">
    <w:name w:val="Hyperlink"/>
    <w:uiPriority w:val="99"/>
    <w:semiHidden/>
    <w:rsid w:val="00BE0A29"/>
    <w:rPr>
      <w:color w:val="0000FF"/>
      <w:u w:val="single"/>
    </w:rPr>
  </w:style>
  <w:style w:type="table" w:customStyle="1" w:styleId="TableGrid1">
    <w:name w:val="Table Grid1"/>
    <w:basedOn w:val="TableNormal"/>
    <w:next w:val="TableGrid"/>
    <w:rsid w:val="0046729D"/>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Default">
    <w:name w:val="Default"/>
    <w:rsid w:val="006A18B2"/>
    <w:pPr>
      <w:autoSpaceDE w:val="0"/>
      <w:autoSpaceDN w:val="0"/>
      <w:adjustRightInd w:val="0"/>
    </w:pPr>
    <w:rPr>
      <w:rFonts w:ascii="Times New Roman" w:hAnsi="Times New Roman"/>
      <w:color w:val="000000"/>
      <w:sz w:val="24"/>
      <w:szCs w:val="24"/>
    </w:rPr>
  </w:style>
  <w:style w:type="table" w:customStyle="1" w:styleId="TableGrid2">
    <w:name w:val="Table Grid2"/>
    <w:basedOn w:val="TableNormal"/>
    <w:next w:val="TableGrid"/>
    <w:rsid w:val="005965E6"/>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customStyle="1" w:styleId="Style1">
    <w:name w:val="Style1"/>
    <w:uiPriority w:val="1"/>
    <w:rsid w:val="009E01F9"/>
    <w:rPr>
      <w:rFonts w:ascii="Times New Roman" w:hAnsi="Times New Roman"/>
      <w:b/>
      <w:sz w:val="24"/>
      <w:u w:val="single"/>
    </w:rPr>
  </w:style>
  <w:style w:type="table" w:customStyle="1" w:styleId="TableGrid3">
    <w:name w:val="Table Grid3"/>
    <w:basedOn w:val="TableNormal"/>
    <w:next w:val="TableGrid"/>
    <w:rsid w:val="00747F2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996A92"/>
    <w:rPr>
      <w:i/>
      <w:iCs/>
    </w:rPr>
  </w:style>
  <w:style w:type="paragraph" w:customStyle="1" w:styleId="EmptyLayoutCell">
    <w:name w:val="EmptyLayoutCell"/>
    <w:basedOn w:val="Normal"/>
    <w:rsid w:val="005C458B"/>
    <w:rPr>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866974">
      <w:bodyDiv w:val="1"/>
      <w:marLeft w:val="0"/>
      <w:marRight w:val="0"/>
      <w:marTop w:val="0"/>
      <w:marBottom w:val="0"/>
      <w:divBdr>
        <w:top w:val="none" w:sz="0" w:space="0" w:color="auto"/>
        <w:left w:val="none" w:sz="0" w:space="0" w:color="auto"/>
        <w:bottom w:val="none" w:sz="0" w:space="0" w:color="auto"/>
        <w:right w:val="none" w:sz="0" w:space="0" w:color="auto"/>
      </w:divBdr>
    </w:div>
    <w:div w:id="941306654">
      <w:marLeft w:val="0"/>
      <w:marRight w:val="0"/>
      <w:marTop w:val="0"/>
      <w:marBottom w:val="0"/>
      <w:divBdr>
        <w:top w:val="none" w:sz="0" w:space="0" w:color="auto"/>
        <w:left w:val="none" w:sz="0" w:space="0" w:color="auto"/>
        <w:bottom w:val="none" w:sz="0" w:space="0" w:color="auto"/>
        <w:right w:val="none" w:sz="0" w:space="0" w:color="auto"/>
      </w:divBdr>
    </w:div>
    <w:div w:id="941306655">
      <w:marLeft w:val="0"/>
      <w:marRight w:val="0"/>
      <w:marTop w:val="0"/>
      <w:marBottom w:val="0"/>
      <w:divBdr>
        <w:top w:val="none" w:sz="0" w:space="0" w:color="auto"/>
        <w:left w:val="none" w:sz="0" w:space="0" w:color="auto"/>
        <w:bottom w:val="none" w:sz="0" w:space="0" w:color="auto"/>
        <w:right w:val="none" w:sz="0" w:space="0" w:color="auto"/>
      </w:divBdr>
    </w:div>
    <w:div w:id="941306656">
      <w:marLeft w:val="0"/>
      <w:marRight w:val="0"/>
      <w:marTop w:val="0"/>
      <w:marBottom w:val="0"/>
      <w:divBdr>
        <w:top w:val="none" w:sz="0" w:space="0" w:color="auto"/>
        <w:left w:val="none" w:sz="0" w:space="0" w:color="auto"/>
        <w:bottom w:val="none" w:sz="0" w:space="0" w:color="auto"/>
        <w:right w:val="none" w:sz="0" w:space="0" w:color="auto"/>
      </w:divBdr>
    </w:div>
    <w:div w:id="941306657">
      <w:marLeft w:val="0"/>
      <w:marRight w:val="0"/>
      <w:marTop w:val="0"/>
      <w:marBottom w:val="0"/>
      <w:divBdr>
        <w:top w:val="none" w:sz="0" w:space="0" w:color="auto"/>
        <w:left w:val="none" w:sz="0" w:space="0" w:color="auto"/>
        <w:bottom w:val="none" w:sz="0" w:space="0" w:color="auto"/>
        <w:right w:val="none" w:sz="0" w:space="0" w:color="auto"/>
      </w:divBdr>
    </w:div>
    <w:div w:id="941306658">
      <w:marLeft w:val="0"/>
      <w:marRight w:val="0"/>
      <w:marTop w:val="0"/>
      <w:marBottom w:val="0"/>
      <w:divBdr>
        <w:top w:val="none" w:sz="0" w:space="0" w:color="auto"/>
        <w:left w:val="none" w:sz="0" w:space="0" w:color="auto"/>
        <w:bottom w:val="none" w:sz="0" w:space="0" w:color="auto"/>
        <w:right w:val="none" w:sz="0" w:space="0" w:color="auto"/>
      </w:divBdr>
    </w:div>
    <w:div w:id="11643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C21B90F810E4EBEFFA8B66AC93441001BE67FA2D2B5474EBDE6AF8653B8450D" ma:contentTypeVersion="9" ma:contentTypeDescription="Create a new document." ma:contentTypeScope="" ma:versionID="82a151ec94adc6e839340e18090c6d0f">
  <xsd:schema xmlns:xsd="http://www.w3.org/2001/XMLSchema" xmlns:xs="http://www.w3.org/2001/XMLSchema" xmlns:p="http://schemas.microsoft.com/office/2006/metadata/properties" xmlns:ns2="65221C3B-B72B-4234-A86E-35604EA52325" xmlns:ns4="5a955f72-1b78-42c2-bbd0-1e57cb0420e7" xmlns:ns5="65221c3b-b72b-4234-a86e-35604ea52325" targetNamespace="http://schemas.microsoft.com/office/2006/metadata/properties" ma:root="true" ma:fieldsID="747d0c125de68e40215a00beff50b466" ns2:_="" ns4:_="" ns5:_="">
    <xsd:import namespace="65221C3B-B72B-4234-A86E-35604EA52325"/>
    <xsd:import namespace="5a955f72-1b78-42c2-bbd0-1e57cb0420e7"/>
    <xsd:import namespace="65221c3b-b72b-4234-a86e-35604ea52325"/>
    <xsd:element name="properties">
      <xsd:complexType>
        <xsd:sequence>
          <xsd:element name="documentManagement">
            <xsd:complexType>
              <xsd:all>
                <xsd:element ref="ns2:Sensitivity"/>
                <xsd:element ref="ns4:t2yl" minOccurs="0"/>
                <xsd:element ref="ns5:Topic" minOccurs="0"/>
                <xsd:element ref="ns5:Link" minOccurs="0"/>
                <xsd:element ref="ns5:Date" minOccurs="0"/>
                <xsd:element ref="ns5:Order0" minOccurs="0"/>
                <xsd:element ref="ns5:RO_x002d_INDEX" minOccurs="0"/>
                <xsd:element ref="ns5:Description0" minOccurs="0"/>
                <xsd:element ref="ns5: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1C3B-B72B-4234-A86E-35604EA52325" elementFormDefault="qualified">
    <xsd:import namespace="http://schemas.microsoft.com/office/2006/documentManagement/types"/>
    <xsd:import namespace="http://schemas.microsoft.com/office/infopath/2007/PartnerControls"/>
    <xsd:element name="Sensitivity" ma:index="8" ma:displayName="Sensitivity" ma:description="&#10;Sensitive Data = Any data that, if lost, stolen or misused, could adversely impact FDIC, insured institutions or individuals.&#10;    http://fdic01/division/doa/adminservices/records/directives/1000/1360-9.doc&#10;&#10;Sensitive PII = SSN alone and/or an individual’s full name plus 1 or more additional items of personal data.&#10;    http://fdic01/division/dit/ITGovernance/PrivacyProgram/PersonallyIdentifiableInformation/index.html&#10;&#10;Non-Sensitive Data = Data that can be shared or viewed with no restrictions internal or external to FDIC.&#10;    http://www.fdic.gov/regulations/laws/rules/2000-3800.html&#10;    " ma:format="Dropdown" ma:internalName="Sensitivity">
      <xsd:simpleType>
        <xsd:restriction base="dms:Choice">
          <xsd:enumeration value="Sensitive Data"/>
          <xsd:enumeration value="Sensitive PII"/>
          <xsd:enumeration value="Non-Sensitive Data"/>
        </xsd:restriction>
      </xsd:simpleType>
    </xsd:element>
  </xsd:schema>
  <xsd:schema xmlns:xsd="http://www.w3.org/2001/XMLSchema" xmlns:xs="http://www.w3.org/2001/XMLSchema" xmlns:dms="http://schemas.microsoft.com/office/2006/documentManagement/types" xmlns:pc="http://schemas.microsoft.com/office/infopath/2007/PartnerControls" targetNamespace="5a955f72-1b78-42c2-bbd0-1e57cb0420e7" elementFormDefault="qualified">
    <xsd:import namespace="http://schemas.microsoft.com/office/2006/documentManagement/types"/>
    <xsd:import namespace="http://schemas.microsoft.com/office/infopath/2007/PartnerControls"/>
    <xsd:element name="t2yl" ma:index="10" nillable="true" ma:displayName="Assigned" ma:internalName="t2y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21c3b-b72b-4234-a86e-35604ea52325" elementFormDefault="qualified">
    <xsd:import namespace="http://schemas.microsoft.com/office/2006/documentManagement/types"/>
    <xsd:import namespace="http://schemas.microsoft.com/office/infopath/2007/PartnerControls"/>
    <xsd:element name="Topic" ma:index="11" nillable="true" ma:displayName="Subject" ma:internalName="Topic">
      <xsd:simpleType>
        <xsd:restriction base="dms:Text">
          <xsd:maxLength value="255"/>
        </xsd:restriction>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3" nillable="true" ma:displayName="Date" ma:format="DateOnly" ma:internalName="Date">
      <xsd:simpleType>
        <xsd:restriction base="dms:DateTime"/>
      </xsd:simpleType>
    </xsd:element>
    <xsd:element name="Order0" ma:index="14" nillable="true" ma:displayName="Order" ma:decimals="1" ma:internalName="Order0">
      <xsd:simpleType>
        <xsd:restriction base="dms:Number"/>
      </xsd:simpleType>
    </xsd:element>
    <xsd:element name="RO_x002d_INDEX" ma:index="15" nillable="true" ma:displayName="RO-INDEX" ma:internalName="RO_x002d_INDEX">
      <xsd:simpleType>
        <xsd:restriction base="dms:Text">
          <xsd:maxLength value="12"/>
        </xsd:restriction>
      </xsd:simpleType>
    </xsd:element>
    <xsd:element name="Description0" ma:index="16" nillable="true" ma:displayName="Description" ma:internalName="Description0">
      <xsd:simpleType>
        <xsd:restriction base="dms:Text">
          <xsd:maxLength value="255"/>
        </xsd:restriction>
      </xsd:simpleType>
    </xsd:element>
    <xsd:element name="Active" ma:index="17" nillable="true" ma:displayName="Visable" ma:default="1" ma:internalName="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rder0 xmlns="65221c3b-b72b-4234-a86e-35604ea52325" xsi:nil="true"/>
    <t2yl xmlns="5a955f72-1b78-42c2-bbd0-1e57cb0420e7" xsi:nil="true"/>
    <Description0 xmlns="65221c3b-b72b-4234-a86e-35604ea52325" xsi:nil="true"/>
    <Date xmlns="65221c3b-b72b-4234-a86e-35604ea52325" xsi:nil="true"/>
    <Sensitivity xmlns="65221C3B-B72B-4234-A86E-35604EA52325">Sensitive Data</Sensitivity>
    <Link xmlns="65221c3b-b72b-4234-a86e-35604ea52325">
      <Url xsi:nil="true"/>
      <Description xsi:nil="true"/>
    </Link>
    <Topic xmlns="65221c3b-b72b-4234-a86e-35604ea52325" xsi:nil="true"/>
    <RO_x002d_INDEX xmlns="65221c3b-b72b-4234-a86e-35604ea52325" xsi:nil="true"/>
    <Active xmlns="65221c3b-b72b-4234-a86e-35604ea52325">true</Acti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D07E-941B-4D22-8FB1-8C69759E9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1C3B-B72B-4234-A86E-35604EA52325"/>
    <ds:schemaRef ds:uri="5a955f72-1b78-42c2-bbd0-1e57cb0420e7"/>
    <ds:schemaRef ds:uri="65221c3b-b72b-4234-a86e-35604ea5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1E1A1-3413-478B-A1D5-EC5DE33628A3}">
  <ds:schemaRefs>
    <ds:schemaRef ds:uri="http://schemas.microsoft.com/office/2006/metadata/longProperties"/>
  </ds:schemaRefs>
</ds:datastoreItem>
</file>

<file path=customXml/itemProps3.xml><?xml version="1.0" encoding="utf-8"?>
<ds:datastoreItem xmlns:ds="http://schemas.openxmlformats.org/officeDocument/2006/customXml" ds:itemID="{139716E1-B172-4FE8-85E9-C18BA1061897}">
  <ds:schemaRefs>
    <ds:schemaRef ds:uri="65221c3b-b72b-4234-a86e-35604ea52325"/>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5a955f72-1b78-42c2-bbd0-1e57cb0420e7"/>
    <ds:schemaRef ds:uri="65221C3B-B72B-4234-A86E-35604EA52325"/>
    <ds:schemaRef ds:uri="http://purl.org/dc/dcmitype/"/>
  </ds:schemaRefs>
</ds:datastoreItem>
</file>

<file path=customXml/itemProps4.xml><?xml version="1.0" encoding="utf-8"?>
<ds:datastoreItem xmlns:ds="http://schemas.openxmlformats.org/officeDocument/2006/customXml" ds:itemID="{050F12AA-8F6D-4F9E-8387-679AB55A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8659</Words>
  <Characters>49070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DRAFT BofA CRA PE</vt:lpstr>
    </vt:vector>
  </TitlesOfParts>
  <Company>FDIC</Company>
  <LinksUpToDate>false</LinksUpToDate>
  <CharactersWithSpaces>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BofA CRA PE</dc:title>
  <dc:subject>DCP Examiner</dc:subject>
  <dc:creator>tbressette@fdic.gov</dc:creator>
  <cp:lastModifiedBy>Wojnarowski, Kara A.</cp:lastModifiedBy>
  <cp:revision>2</cp:revision>
  <cp:lastPrinted>2020-12-09T13:28:00Z</cp:lastPrinted>
  <dcterms:created xsi:type="dcterms:W3CDTF">2021-03-04T12:44:00Z</dcterms:created>
  <dcterms:modified xsi:type="dcterms:W3CDTF">2021-03-04T12:44:00Z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0x0101007825520D38458B42A467308E16F6A6F7</vt:lpwstr>
  </property>
</Properties>
</file>