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51B7" w14:textId="5CD4E043" w:rsidR="00A041B5" w:rsidRDefault="00A041B5" w:rsidP="00A041B5">
      <w:pPr>
        <w:pStyle w:val="Default"/>
      </w:pPr>
    </w:p>
    <w:p w14:paraId="2EEA9127" w14:textId="013A5606" w:rsidR="00A041B5" w:rsidRDefault="00A041B5" w:rsidP="00BF2879">
      <w:pPr>
        <w:pStyle w:val="Heading1"/>
      </w:pPr>
      <w:r>
        <w:br/>
      </w:r>
      <w:r>
        <w:br/>
        <w:t>NOTICE</w:t>
      </w:r>
      <w:r w:rsidR="00290B59">
        <w:t xml:space="preserve"> </w:t>
      </w:r>
      <w:r>
        <w:t>OF AGENCY ACTION</w:t>
      </w:r>
    </w:p>
    <w:p w14:paraId="77CF5D6E" w14:textId="17E37176" w:rsidR="00A041B5" w:rsidRPr="00526CE9" w:rsidRDefault="00A041B5" w:rsidP="00A041B5">
      <w:pPr>
        <w:pStyle w:val="Default"/>
        <w:rPr>
          <w:rFonts w:ascii="Georgia" w:hAnsi="Georgia"/>
          <w:sz w:val="22"/>
          <w:szCs w:val="22"/>
        </w:rPr>
      </w:pPr>
      <w:r>
        <w:rPr>
          <w:b/>
          <w:bCs/>
          <w:sz w:val="22"/>
          <w:szCs w:val="22"/>
        </w:rPr>
        <w:br/>
      </w:r>
      <w:r w:rsidRPr="00526CE9">
        <w:rPr>
          <w:rFonts w:ascii="Georgia" w:hAnsi="Georgia"/>
          <w:b/>
          <w:sz w:val="22"/>
          <w:szCs w:val="22"/>
        </w:rPr>
        <w:t xml:space="preserve">SUBJECT: </w:t>
      </w:r>
      <w:r w:rsidR="00B63B16" w:rsidRPr="00526CE9">
        <w:rPr>
          <w:rFonts w:ascii="Georgia" w:hAnsi="Georgia"/>
          <w:sz w:val="22"/>
          <w:szCs w:val="22"/>
        </w:rPr>
        <w:t xml:space="preserve">Notification of </w:t>
      </w:r>
      <w:r w:rsidR="00AB21E9">
        <w:rPr>
          <w:rFonts w:ascii="Georgia" w:hAnsi="Georgia"/>
          <w:sz w:val="22"/>
          <w:szCs w:val="22"/>
        </w:rPr>
        <w:t>Expiration</w:t>
      </w:r>
      <w:r w:rsidR="00290B59" w:rsidRPr="00526CE9">
        <w:rPr>
          <w:rFonts w:ascii="Georgia" w:hAnsi="Georgia"/>
          <w:sz w:val="22"/>
          <w:szCs w:val="22"/>
        </w:rPr>
        <w:t xml:space="preserve"> of Section 1135 </w:t>
      </w:r>
      <w:r w:rsidR="00AB21E9">
        <w:rPr>
          <w:rFonts w:ascii="Georgia" w:hAnsi="Georgia"/>
          <w:sz w:val="22"/>
          <w:szCs w:val="22"/>
        </w:rPr>
        <w:t>W</w:t>
      </w:r>
      <w:r w:rsidR="00290B59" w:rsidRPr="00526CE9">
        <w:rPr>
          <w:rFonts w:ascii="Georgia" w:hAnsi="Georgia"/>
          <w:sz w:val="22"/>
          <w:szCs w:val="22"/>
        </w:rPr>
        <w:t>aivers and Disaster</w:t>
      </w:r>
      <w:r w:rsidR="00AB21E9">
        <w:rPr>
          <w:rFonts w:ascii="Georgia" w:hAnsi="Georgia"/>
          <w:sz w:val="22"/>
          <w:szCs w:val="22"/>
        </w:rPr>
        <w:t xml:space="preserve"> Relief</w:t>
      </w:r>
      <w:r w:rsidR="00290B59" w:rsidRPr="00526CE9">
        <w:rPr>
          <w:rFonts w:ascii="Georgia" w:hAnsi="Georgia"/>
          <w:sz w:val="22"/>
          <w:szCs w:val="22"/>
        </w:rPr>
        <w:t xml:space="preserve"> State Plan Authorities</w:t>
      </w:r>
      <w:r w:rsidR="00290B59" w:rsidRPr="00526CE9">
        <w:rPr>
          <w:rFonts w:ascii="Georgia" w:hAnsi="Georgia"/>
          <w:sz w:val="22"/>
          <w:szCs w:val="22"/>
        </w:rPr>
        <w:br/>
      </w:r>
    </w:p>
    <w:p w14:paraId="6940441D" w14:textId="5DC259E9" w:rsidR="00A041B5" w:rsidRPr="00526CE9" w:rsidRDefault="00A041B5" w:rsidP="00A041B5">
      <w:pPr>
        <w:pStyle w:val="Default"/>
        <w:rPr>
          <w:rFonts w:ascii="Georgia" w:hAnsi="Georgia"/>
          <w:sz w:val="22"/>
          <w:szCs w:val="22"/>
        </w:rPr>
      </w:pPr>
      <w:r w:rsidRPr="00526CE9">
        <w:rPr>
          <w:rFonts w:ascii="Georgia" w:hAnsi="Georgia"/>
          <w:b/>
          <w:sz w:val="22"/>
          <w:szCs w:val="22"/>
        </w:rPr>
        <w:t>AGENCY</w:t>
      </w:r>
      <w:r w:rsidRPr="00526CE9">
        <w:rPr>
          <w:rFonts w:ascii="Georgia" w:hAnsi="Georgia"/>
          <w:sz w:val="22"/>
          <w:szCs w:val="22"/>
        </w:rPr>
        <w:t>:</w:t>
      </w:r>
      <w:r w:rsidR="0062200B" w:rsidRPr="00526CE9">
        <w:rPr>
          <w:rFonts w:ascii="Georgia" w:hAnsi="Georgia"/>
          <w:sz w:val="22"/>
          <w:szCs w:val="22"/>
        </w:rPr>
        <w:t xml:space="preserve"> </w:t>
      </w:r>
      <w:r w:rsidRPr="00526CE9">
        <w:rPr>
          <w:rFonts w:ascii="Georgia" w:hAnsi="Georgia"/>
          <w:sz w:val="22"/>
          <w:szCs w:val="22"/>
        </w:rPr>
        <w:t>Massachusetts</w:t>
      </w:r>
      <w:r w:rsidR="00290B59" w:rsidRPr="00526CE9">
        <w:rPr>
          <w:rFonts w:ascii="Georgia" w:hAnsi="Georgia"/>
          <w:sz w:val="22"/>
          <w:szCs w:val="22"/>
        </w:rPr>
        <w:t xml:space="preserve"> </w:t>
      </w:r>
      <w:r w:rsidRPr="00526CE9">
        <w:rPr>
          <w:rFonts w:ascii="Georgia" w:hAnsi="Georgia"/>
          <w:sz w:val="22"/>
          <w:szCs w:val="22"/>
        </w:rPr>
        <w:t>Executive</w:t>
      </w:r>
      <w:r w:rsidR="00290B59" w:rsidRPr="00526CE9">
        <w:rPr>
          <w:rFonts w:ascii="Georgia" w:hAnsi="Georgia"/>
          <w:sz w:val="22"/>
          <w:szCs w:val="22"/>
        </w:rPr>
        <w:t xml:space="preserve"> </w:t>
      </w:r>
      <w:r w:rsidRPr="00526CE9">
        <w:rPr>
          <w:rFonts w:ascii="Georgia" w:hAnsi="Georgia"/>
          <w:sz w:val="22"/>
          <w:szCs w:val="22"/>
        </w:rPr>
        <w:t>Office</w:t>
      </w:r>
      <w:r w:rsidR="00387E29" w:rsidRPr="00526CE9">
        <w:rPr>
          <w:rFonts w:ascii="Georgia" w:hAnsi="Georgia"/>
          <w:sz w:val="22"/>
          <w:szCs w:val="22"/>
        </w:rPr>
        <w:t xml:space="preserve"> </w:t>
      </w:r>
      <w:r w:rsidRPr="00526CE9">
        <w:rPr>
          <w:rFonts w:ascii="Georgia" w:hAnsi="Georgia"/>
          <w:sz w:val="22"/>
          <w:szCs w:val="22"/>
        </w:rPr>
        <w:t>of</w:t>
      </w:r>
      <w:r w:rsidR="00387E29" w:rsidRPr="00526CE9">
        <w:rPr>
          <w:rFonts w:ascii="Georgia" w:hAnsi="Georgia"/>
          <w:sz w:val="22"/>
          <w:szCs w:val="22"/>
        </w:rPr>
        <w:t xml:space="preserve"> </w:t>
      </w:r>
      <w:r w:rsidRPr="00526CE9">
        <w:rPr>
          <w:rFonts w:ascii="Georgia" w:hAnsi="Georgia"/>
          <w:sz w:val="22"/>
          <w:szCs w:val="22"/>
        </w:rPr>
        <w:t>Health</w:t>
      </w:r>
      <w:r w:rsidR="00387E29" w:rsidRPr="00526CE9">
        <w:rPr>
          <w:rFonts w:ascii="Georgia" w:hAnsi="Georgia"/>
          <w:sz w:val="22"/>
          <w:szCs w:val="22"/>
        </w:rPr>
        <w:t xml:space="preserve"> </w:t>
      </w:r>
      <w:r w:rsidRPr="00526CE9">
        <w:rPr>
          <w:rFonts w:ascii="Georgia" w:hAnsi="Georgia"/>
          <w:sz w:val="22"/>
          <w:szCs w:val="22"/>
        </w:rPr>
        <w:t>and</w:t>
      </w:r>
      <w:r w:rsidR="00387E29" w:rsidRPr="00526CE9">
        <w:rPr>
          <w:rFonts w:ascii="Georgia" w:hAnsi="Georgia"/>
          <w:sz w:val="22"/>
          <w:szCs w:val="22"/>
        </w:rPr>
        <w:t xml:space="preserve"> </w:t>
      </w:r>
      <w:r w:rsidRPr="00526CE9">
        <w:rPr>
          <w:rFonts w:ascii="Georgia" w:hAnsi="Georgia"/>
          <w:sz w:val="22"/>
          <w:szCs w:val="22"/>
        </w:rPr>
        <w:t>Human</w:t>
      </w:r>
      <w:r w:rsidR="00F114BB" w:rsidRPr="00526CE9">
        <w:rPr>
          <w:rFonts w:ascii="Georgia" w:hAnsi="Georgia"/>
          <w:sz w:val="22"/>
          <w:szCs w:val="22"/>
        </w:rPr>
        <w:t xml:space="preserve"> </w:t>
      </w:r>
      <w:r w:rsidRPr="00526CE9">
        <w:rPr>
          <w:rFonts w:ascii="Georgia" w:hAnsi="Georgia"/>
          <w:sz w:val="22"/>
          <w:szCs w:val="22"/>
        </w:rPr>
        <w:t>Services</w:t>
      </w:r>
      <w:r w:rsidR="00F114BB" w:rsidRPr="00526CE9">
        <w:rPr>
          <w:rFonts w:ascii="Georgia" w:hAnsi="Georgia"/>
          <w:sz w:val="22"/>
          <w:szCs w:val="22"/>
        </w:rPr>
        <w:br/>
      </w:r>
      <w:r w:rsidR="00F114BB" w:rsidRPr="00526CE9">
        <w:rPr>
          <w:rFonts w:ascii="Georgia" w:hAnsi="Georgia"/>
          <w:sz w:val="22"/>
          <w:szCs w:val="22"/>
        </w:rPr>
        <w:br/>
      </w:r>
      <w:r w:rsidR="00F114BB" w:rsidRPr="00526CE9">
        <w:rPr>
          <w:rFonts w:ascii="Georgia" w:hAnsi="Georgia"/>
          <w:b/>
          <w:sz w:val="22"/>
          <w:szCs w:val="22"/>
        </w:rPr>
        <w:t>SUMMARY OF A</w:t>
      </w:r>
      <w:r w:rsidR="0062200B" w:rsidRPr="00526CE9">
        <w:rPr>
          <w:rFonts w:ascii="Georgia" w:hAnsi="Georgia"/>
          <w:b/>
          <w:sz w:val="22"/>
          <w:szCs w:val="22"/>
        </w:rPr>
        <w:t>CTION:</w:t>
      </w:r>
      <w:r w:rsidR="00387E29" w:rsidRPr="00526CE9">
        <w:rPr>
          <w:rFonts w:ascii="Georgia" w:hAnsi="Georgia"/>
          <w:b/>
          <w:sz w:val="22"/>
          <w:szCs w:val="22"/>
        </w:rPr>
        <w:br/>
      </w:r>
    </w:p>
    <w:p w14:paraId="6593F679" w14:textId="2B839A8A" w:rsidR="00515D39" w:rsidRPr="001E4951" w:rsidRDefault="00AB21E9" w:rsidP="32ACBFCE">
      <w:pPr>
        <w:rPr>
          <w:b/>
          <w:bCs/>
        </w:rPr>
      </w:pPr>
      <w:r>
        <w:t>EOHHS</w:t>
      </w:r>
      <w:r w:rsidR="00D41F60">
        <w:t xml:space="preserve"> </w:t>
      </w:r>
      <w:r w:rsidR="00FB419C">
        <w:t>put in place</w:t>
      </w:r>
      <w:r w:rsidR="00D41F60">
        <w:t xml:space="preserve"> </w:t>
      </w:r>
      <w:r w:rsidR="00C7155C">
        <w:t>many</w:t>
      </w:r>
      <w:r w:rsidR="00D41F60">
        <w:t xml:space="preserve"> flexibilities during the federal Public Health Emergency (PHE) </w:t>
      </w:r>
      <w:r w:rsidR="00C7155C">
        <w:t xml:space="preserve">relating </w:t>
      </w:r>
      <w:r w:rsidR="00D41F60">
        <w:t>to COVID-19</w:t>
      </w:r>
      <w:r w:rsidR="00FB419C">
        <w:t>. T</w:t>
      </w:r>
      <w:r w:rsidR="004A44F3">
        <w:t xml:space="preserve">he Biden administration recently announced that the federal PHE will end on May 11, 2023.  As a result, </w:t>
      </w:r>
      <w:r w:rsidR="002B1BB6">
        <w:t xml:space="preserve">the authority for </w:t>
      </w:r>
      <w:r w:rsidR="00E5026F">
        <w:t xml:space="preserve">flexibilities granted under Section </w:t>
      </w:r>
      <w:r w:rsidR="002B1BB6">
        <w:t xml:space="preserve">1135 waivers and Disaster </w:t>
      </w:r>
      <w:r>
        <w:t xml:space="preserve">Relief </w:t>
      </w:r>
      <w:r w:rsidR="002B1BB6">
        <w:t>S</w:t>
      </w:r>
      <w:r w:rsidR="00E5026F">
        <w:t>tate Plan Amendments</w:t>
      </w:r>
      <w:r w:rsidR="002B1BB6">
        <w:t xml:space="preserve"> </w:t>
      </w:r>
      <w:r w:rsidR="00C01250">
        <w:t>(</w:t>
      </w:r>
      <w:r>
        <w:t>DR-</w:t>
      </w:r>
      <w:r w:rsidR="00C01250">
        <w:t xml:space="preserve">SPAs) </w:t>
      </w:r>
      <w:r w:rsidR="002B1BB6">
        <w:t>will end on that date.</w:t>
      </w:r>
      <w:r w:rsidR="008E22FC">
        <w:t xml:space="preserve"> </w:t>
      </w:r>
      <w:r w:rsidR="002F7245">
        <w:br/>
      </w:r>
      <w:r w:rsidR="002F7245">
        <w:br/>
      </w:r>
      <w:r w:rsidR="006A5731">
        <w:t xml:space="preserve">This </w:t>
      </w:r>
      <w:r w:rsidR="006854A6">
        <w:t>Notice of Agency Action</w:t>
      </w:r>
      <w:r w:rsidR="006A5731">
        <w:t xml:space="preserve"> serves as notification to providers of the end of </w:t>
      </w:r>
      <w:r w:rsidR="009E620B">
        <w:t>Section</w:t>
      </w:r>
      <w:r w:rsidR="00D5235B">
        <w:t xml:space="preserve"> 1135 waivers and D</w:t>
      </w:r>
      <w:r>
        <w:t>R-</w:t>
      </w:r>
      <w:r w:rsidR="00D5235B">
        <w:t xml:space="preserve">SPA authorities </w:t>
      </w:r>
      <w:r w:rsidR="006A5731">
        <w:t>as required by federal guidance</w:t>
      </w:r>
      <w:r w:rsidR="001E5629">
        <w:t>.</w:t>
      </w:r>
      <w:r w:rsidR="00D5235B">
        <w:t xml:space="preserve"> </w:t>
      </w:r>
      <w:r w:rsidR="008651EB">
        <w:br/>
      </w:r>
      <w:r w:rsidR="008651EB">
        <w:br/>
      </w:r>
      <w:r w:rsidR="00C9094C">
        <w:t xml:space="preserve">Note that this </w:t>
      </w:r>
      <w:r w:rsidR="001E5629">
        <w:t xml:space="preserve">Notice of Agency Action </w:t>
      </w:r>
      <w:r w:rsidR="00C9094C">
        <w:t>does not address flexibilities related to Home and Community Based Services waivers under Appendix K authority as th</w:t>
      </w:r>
      <w:r>
        <w:t>ose</w:t>
      </w:r>
      <w:r w:rsidR="00C9094C">
        <w:t xml:space="preserve"> authorit</w:t>
      </w:r>
      <w:r>
        <w:t>ies</w:t>
      </w:r>
      <w:r w:rsidR="00C9094C">
        <w:t xml:space="preserve"> do not expire until November 11, 2023.</w:t>
      </w:r>
      <w:r w:rsidR="00B3558F">
        <w:t xml:space="preserve"> </w:t>
      </w:r>
    </w:p>
    <w:p w14:paraId="3238EF55" w14:textId="72CC7D1E" w:rsidR="00515D39" w:rsidRPr="001E4951" w:rsidRDefault="1E60B9A7" w:rsidP="00BF2879">
      <w:pPr>
        <w:pStyle w:val="Heading2"/>
        <w:rPr>
          <w:color w:val="FF0000"/>
        </w:rPr>
      </w:pPr>
      <w:r w:rsidRPr="7683BF74">
        <w:t xml:space="preserve">Flexibilities </w:t>
      </w:r>
      <w:r w:rsidR="00F32B22">
        <w:t>a</w:t>
      </w:r>
      <w:r w:rsidR="00F32B22" w:rsidRPr="7683BF74">
        <w:t xml:space="preserve">pproved </w:t>
      </w:r>
      <w:r w:rsidR="1ED5511D" w:rsidRPr="7683BF74">
        <w:t xml:space="preserve">through </w:t>
      </w:r>
      <w:r w:rsidR="003E1053">
        <w:t xml:space="preserve">Section </w:t>
      </w:r>
      <w:r w:rsidR="1ED5511D" w:rsidRPr="7683BF74">
        <w:t xml:space="preserve">1135 waivers or </w:t>
      </w:r>
      <w:r w:rsidR="001C3E0D" w:rsidRPr="7683BF74">
        <w:t>D</w:t>
      </w:r>
      <w:r w:rsidR="001C3E0D">
        <w:t>R-</w:t>
      </w:r>
      <w:r w:rsidR="1ED5511D" w:rsidRPr="7683BF74">
        <w:t>SPAs</w:t>
      </w:r>
      <w:r w:rsidR="7DC61E5C" w:rsidRPr="2104B6CB">
        <w:t xml:space="preserve"> </w:t>
      </w:r>
      <w:r w:rsidR="1ED5511D" w:rsidRPr="7683BF74">
        <w:t xml:space="preserve">that are </w:t>
      </w:r>
      <w:r w:rsidR="00F32B22">
        <w:t>n</w:t>
      </w:r>
      <w:r w:rsidR="00F32B22" w:rsidRPr="7683BF74">
        <w:t xml:space="preserve">o </w:t>
      </w:r>
      <w:r w:rsidR="00F32B22">
        <w:t>l</w:t>
      </w:r>
      <w:r w:rsidR="00F32B22" w:rsidRPr="7683BF74">
        <w:t xml:space="preserve">onger </w:t>
      </w:r>
      <w:r w:rsidRPr="7683BF74">
        <w:t xml:space="preserve">in </w:t>
      </w:r>
      <w:r w:rsidR="00F32B22">
        <w:t>u</w:t>
      </w:r>
      <w:r w:rsidR="00F32B22" w:rsidRPr="7683BF74">
        <w:t xml:space="preserve">se </w:t>
      </w:r>
    </w:p>
    <w:tbl>
      <w:tblPr>
        <w:tblStyle w:val="TableGrid"/>
        <w:tblW w:w="0" w:type="auto"/>
        <w:tblInd w:w="360" w:type="dxa"/>
        <w:tblLook w:val="04A0" w:firstRow="1" w:lastRow="0" w:firstColumn="1" w:lastColumn="0" w:noHBand="0" w:noVBand="1"/>
      </w:tblPr>
      <w:tblGrid>
        <w:gridCol w:w="6115"/>
        <w:gridCol w:w="3595"/>
      </w:tblGrid>
      <w:tr w:rsidR="00515D39" w14:paraId="094EDA80" w14:textId="77777777" w:rsidTr="3F917A54">
        <w:trPr>
          <w:tblHeader/>
        </w:trPr>
        <w:tc>
          <w:tcPr>
            <w:tcW w:w="6115" w:type="dxa"/>
          </w:tcPr>
          <w:p w14:paraId="78CB01FF" w14:textId="06600105" w:rsidR="00515D39" w:rsidRDefault="00515D39" w:rsidP="00CC307B">
            <w:pPr>
              <w:ind w:left="0"/>
              <w:rPr>
                <w:b/>
                <w:bCs/>
              </w:rPr>
            </w:pPr>
            <w:r>
              <w:rPr>
                <w:b/>
                <w:bCs/>
              </w:rPr>
              <w:t>Flexibility</w:t>
            </w:r>
          </w:p>
        </w:tc>
        <w:tc>
          <w:tcPr>
            <w:tcW w:w="3595" w:type="dxa"/>
          </w:tcPr>
          <w:p w14:paraId="1F187BB7" w14:textId="4B7E328F" w:rsidR="00515D39" w:rsidRDefault="00515D39" w:rsidP="00CC307B">
            <w:pPr>
              <w:ind w:left="0"/>
              <w:rPr>
                <w:b/>
                <w:bCs/>
              </w:rPr>
            </w:pPr>
            <w:r>
              <w:rPr>
                <w:b/>
                <w:bCs/>
              </w:rPr>
              <w:t>Authority Vehicle</w:t>
            </w:r>
          </w:p>
        </w:tc>
      </w:tr>
      <w:tr w:rsidR="00515D39" w14:paraId="223DED9D" w14:textId="77777777" w:rsidTr="3F917A54">
        <w:tc>
          <w:tcPr>
            <w:tcW w:w="6115" w:type="dxa"/>
          </w:tcPr>
          <w:p w14:paraId="31210AC3" w14:textId="18B05602" w:rsidR="00515D39" w:rsidRDefault="00515D39" w:rsidP="00515D39">
            <w:pPr>
              <w:pStyle w:val="Default"/>
              <w:rPr>
                <w:b/>
                <w:bCs/>
              </w:rPr>
            </w:pPr>
            <w:r w:rsidRPr="006B1283">
              <w:rPr>
                <w:rFonts w:ascii="Georgia" w:hAnsi="Georgia"/>
                <w:sz w:val="22"/>
                <w:szCs w:val="22"/>
              </w:rPr>
              <w:t>Temporary suspension of fee-for-service prior authorization requirements</w:t>
            </w:r>
            <w:r>
              <w:t xml:space="preserve"> and e</w:t>
            </w:r>
            <w:r w:rsidRPr="006B1283">
              <w:rPr>
                <w:rFonts w:ascii="Georgia" w:hAnsi="Georgia"/>
                <w:sz w:val="22"/>
                <w:szCs w:val="22"/>
              </w:rPr>
              <w:t>xtension of preexisting fee-for-service prior authorizations</w:t>
            </w:r>
            <w:r w:rsidR="00601A8A">
              <w:rPr>
                <w:rFonts w:ascii="Georgia" w:hAnsi="Georgia"/>
                <w:sz w:val="22"/>
                <w:szCs w:val="22"/>
              </w:rPr>
              <w:t xml:space="preserve">  </w:t>
            </w:r>
          </w:p>
        </w:tc>
        <w:tc>
          <w:tcPr>
            <w:tcW w:w="3595" w:type="dxa"/>
          </w:tcPr>
          <w:p w14:paraId="5BA69F66" w14:textId="7518A537" w:rsidR="00515D39" w:rsidRPr="00515D39" w:rsidRDefault="00515D39" w:rsidP="00CC307B">
            <w:pPr>
              <w:ind w:left="0"/>
            </w:pPr>
            <w:r w:rsidRPr="00515D39">
              <w:t>Section 1135 waiver</w:t>
            </w:r>
          </w:p>
        </w:tc>
      </w:tr>
      <w:tr w:rsidR="00515D39" w14:paraId="6870E5F5" w14:textId="77777777" w:rsidTr="3F917A54">
        <w:tc>
          <w:tcPr>
            <w:tcW w:w="6115" w:type="dxa"/>
          </w:tcPr>
          <w:p w14:paraId="3CD1668B" w14:textId="3FE03C54" w:rsidR="00515D39" w:rsidRDefault="00515D39" w:rsidP="00515D39">
            <w:pPr>
              <w:pStyle w:val="Default"/>
              <w:rPr>
                <w:b/>
                <w:bCs/>
              </w:rPr>
            </w:pPr>
            <w:r w:rsidRPr="006B1283">
              <w:rPr>
                <w:rFonts w:ascii="Georgia" w:hAnsi="Georgia"/>
                <w:sz w:val="22"/>
                <w:szCs w:val="22"/>
              </w:rPr>
              <w:t>Temporary suspension of Pre</w:t>
            </w:r>
            <w:r w:rsidR="003E1053">
              <w:rPr>
                <w:rFonts w:ascii="Georgia" w:hAnsi="Georgia"/>
                <w:sz w:val="22"/>
                <w:szCs w:val="22"/>
              </w:rPr>
              <w:t>a</w:t>
            </w:r>
            <w:r w:rsidRPr="006B1283">
              <w:rPr>
                <w:rFonts w:ascii="Georgia" w:hAnsi="Georgia"/>
                <w:sz w:val="22"/>
                <w:szCs w:val="22"/>
              </w:rPr>
              <w:t>dmission Screening and Annual Resident Review (PASRR) Level I and Level II assessments</w:t>
            </w:r>
            <w:r w:rsidR="00601A8A">
              <w:rPr>
                <w:rFonts w:ascii="Georgia" w:hAnsi="Georgia"/>
                <w:sz w:val="22"/>
                <w:szCs w:val="22"/>
              </w:rPr>
              <w:t xml:space="preserve">   </w:t>
            </w:r>
          </w:p>
        </w:tc>
        <w:tc>
          <w:tcPr>
            <w:tcW w:w="3595" w:type="dxa"/>
          </w:tcPr>
          <w:p w14:paraId="4857B96A" w14:textId="3DE32E45" w:rsidR="00515D39" w:rsidRPr="00515D39" w:rsidRDefault="00515D39" w:rsidP="00CC307B">
            <w:pPr>
              <w:ind w:left="0"/>
            </w:pPr>
            <w:r w:rsidRPr="00515D39">
              <w:t>Section 1135 waiver</w:t>
            </w:r>
          </w:p>
        </w:tc>
      </w:tr>
      <w:tr w:rsidR="00515D39" w14:paraId="3FFADB85" w14:textId="77777777" w:rsidTr="3F917A54">
        <w:tc>
          <w:tcPr>
            <w:tcW w:w="6115" w:type="dxa"/>
          </w:tcPr>
          <w:p w14:paraId="4E32C8A9" w14:textId="0651EDA6" w:rsidR="00515D39" w:rsidRDefault="00515D39" w:rsidP="00515D39">
            <w:pPr>
              <w:pStyle w:val="Default"/>
              <w:rPr>
                <w:b/>
                <w:bCs/>
              </w:rPr>
            </w:pPr>
            <w:r w:rsidRPr="006B1283">
              <w:rPr>
                <w:rFonts w:ascii="Georgia" w:hAnsi="Georgia"/>
                <w:sz w:val="22"/>
                <w:szCs w:val="22"/>
              </w:rPr>
              <w:t>Waiver of certain provider enrollment requirements including application fees, criminal background checks associated with Fingerprint-based Criminal Background Checks, site visits</w:t>
            </w:r>
            <w:r w:rsidR="003E1053">
              <w:rPr>
                <w:rFonts w:ascii="Georgia" w:hAnsi="Georgia"/>
                <w:sz w:val="22"/>
                <w:szCs w:val="22"/>
              </w:rPr>
              <w:t>,</w:t>
            </w:r>
            <w:r w:rsidRPr="006B1283">
              <w:rPr>
                <w:rFonts w:ascii="Georgia" w:hAnsi="Georgia"/>
                <w:sz w:val="22"/>
                <w:szCs w:val="22"/>
              </w:rPr>
              <w:t xml:space="preserve"> and in-state/territory licensure requirements</w:t>
            </w:r>
          </w:p>
        </w:tc>
        <w:tc>
          <w:tcPr>
            <w:tcW w:w="3595" w:type="dxa"/>
          </w:tcPr>
          <w:p w14:paraId="0D48E160" w14:textId="0DD285EF" w:rsidR="00515D39" w:rsidRPr="00515D39" w:rsidRDefault="00515D39" w:rsidP="00CC307B">
            <w:pPr>
              <w:ind w:left="0"/>
            </w:pPr>
            <w:r w:rsidRPr="00515D39">
              <w:t>Section 1135 waiver</w:t>
            </w:r>
          </w:p>
        </w:tc>
      </w:tr>
      <w:tr w:rsidR="005050C0" w14:paraId="03CA9996" w14:textId="77777777" w:rsidTr="3F917A54">
        <w:trPr>
          <w:trHeight w:val="296"/>
        </w:trPr>
        <w:tc>
          <w:tcPr>
            <w:tcW w:w="6115" w:type="dxa"/>
          </w:tcPr>
          <w:p w14:paraId="20411CC4" w14:textId="1E82157B" w:rsidR="005050C0" w:rsidRPr="006B1283" w:rsidRDefault="009E2E24" w:rsidP="00515D39">
            <w:pPr>
              <w:pStyle w:val="Default"/>
              <w:rPr>
                <w:rFonts w:ascii="Georgia" w:hAnsi="Georgia"/>
                <w:sz w:val="22"/>
                <w:szCs w:val="22"/>
              </w:rPr>
            </w:pPr>
            <w:r>
              <w:rPr>
                <w:rFonts w:ascii="Georgia" w:hAnsi="Georgia"/>
                <w:sz w:val="22"/>
                <w:szCs w:val="22"/>
              </w:rPr>
              <w:t>Temporarily cease provider revalidation</w:t>
            </w:r>
          </w:p>
        </w:tc>
        <w:tc>
          <w:tcPr>
            <w:tcW w:w="3595" w:type="dxa"/>
          </w:tcPr>
          <w:p w14:paraId="7CF951F8" w14:textId="6FB4F1ED" w:rsidR="005050C0" w:rsidRPr="00515D39" w:rsidRDefault="009E2E24" w:rsidP="00CC307B">
            <w:pPr>
              <w:ind w:left="0"/>
            </w:pPr>
            <w:r>
              <w:t>Section 1135 waiver</w:t>
            </w:r>
          </w:p>
        </w:tc>
      </w:tr>
      <w:tr w:rsidR="00171E1B" w14:paraId="7D7C73F0" w14:textId="77777777" w:rsidTr="3F917A54">
        <w:trPr>
          <w:trHeight w:val="296"/>
        </w:trPr>
        <w:tc>
          <w:tcPr>
            <w:tcW w:w="6115" w:type="dxa"/>
          </w:tcPr>
          <w:p w14:paraId="1385DC53" w14:textId="187745CC" w:rsidR="00171E1B" w:rsidRPr="00EB243D" w:rsidRDefault="00171E1B" w:rsidP="00515D39">
            <w:pPr>
              <w:pStyle w:val="Default"/>
              <w:rPr>
                <w:rFonts w:ascii="Georgia" w:hAnsi="Georgia"/>
                <w:sz w:val="22"/>
                <w:szCs w:val="22"/>
              </w:rPr>
            </w:pPr>
            <w:r w:rsidRPr="004D4B1A">
              <w:rPr>
                <w:rFonts w:ascii="Georgia" w:hAnsi="Georgia"/>
                <w:sz w:val="22"/>
                <w:szCs w:val="22"/>
              </w:rPr>
              <w:t>Extension of timelines for state fair hearing requests to allow an additional 120 days to request a fair hearing when the initial 120th day deadline for an enrollee occurred during the period of this section 1135 waiver</w:t>
            </w:r>
          </w:p>
        </w:tc>
        <w:tc>
          <w:tcPr>
            <w:tcW w:w="3595" w:type="dxa"/>
          </w:tcPr>
          <w:p w14:paraId="116226F0" w14:textId="22A174BA" w:rsidR="00171E1B" w:rsidRDefault="00171E1B" w:rsidP="00CC307B">
            <w:pPr>
              <w:ind w:left="0"/>
            </w:pPr>
            <w:r w:rsidRPr="00A33A30">
              <w:t>Section 1135 waiver</w:t>
            </w:r>
            <w:r>
              <w:br/>
            </w:r>
            <w:r>
              <w:br/>
              <w:t>MassHealth changed the timeframe to 60 days, effective April 1, 2023</w:t>
            </w:r>
          </w:p>
        </w:tc>
      </w:tr>
      <w:tr w:rsidR="00515D39" w14:paraId="5DDDD275" w14:textId="77777777" w:rsidTr="3F917A54">
        <w:tc>
          <w:tcPr>
            <w:tcW w:w="6115" w:type="dxa"/>
          </w:tcPr>
          <w:p w14:paraId="15C44746" w14:textId="1F7F99CF" w:rsidR="001B1579" w:rsidRPr="00166FD8" w:rsidRDefault="00166FD8" w:rsidP="00580C6E">
            <w:pPr>
              <w:ind w:left="0"/>
            </w:pPr>
            <w:r w:rsidRPr="00166FD8">
              <w:t>Supplemental payments</w:t>
            </w:r>
            <w:r w:rsidR="00777972">
              <w:t xml:space="preserve"> or quality incentive payments</w:t>
            </w:r>
            <w:r w:rsidRPr="00166FD8">
              <w:t xml:space="preserve"> for</w:t>
            </w:r>
            <w:r w:rsidR="005F7A3F">
              <w:t xml:space="preserve"> the following provider types:</w:t>
            </w:r>
            <w:r w:rsidR="005F7A3F">
              <w:br/>
            </w:r>
            <w:r w:rsidR="005F7A3F" w:rsidRPr="78C04D72">
              <w:rPr>
                <w:color w:val="000000" w:themeColor="text1"/>
              </w:rPr>
              <w:t>Acute Inpatient Hospital</w:t>
            </w:r>
            <w:r w:rsidR="00025D97" w:rsidRPr="78C04D72">
              <w:rPr>
                <w:color w:val="000000" w:themeColor="text1"/>
              </w:rPr>
              <w:t>,</w:t>
            </w:r>
            <w:r w:rsidR="005F7A3F" w:rsidRPr="78C04D72">
              <w:rPr>
                <w:color w:val="000000" w:themeColor="text1"/>
              </w:rPr>
              <w:t xml:space="preserve"> </w:t>
            </w:r>
            <w:r w:rsidR="002B246F" w:rsidRPr="78C04D72">
              <w:rPr>
                <w:color w:val="000000" w:themeColor="text1"/>
              </w:rPr>
              <w:t>Chronic Disease and Rehabilitation Inpatient Hospital (including Boston Hope)</w:t>
            </w:r>
            <w:r w:rsidR="00422EBD" w:rsidRPr="78C04D72">
              <w:rPr>
                <w:color w:val="000000" w:themeColor="text1"/>
              </w:rPr>
              <w:t xml:space="preserve">, </w:t>
            </w:r>
            <w:r w:rsidR="004A5E4D" w:rsidRPr="78C04D72">
              <w:rPr>
                <w:color w:val="000000" w:themeColor="text1"/>
              </w:rPr>
              <w:t>Community Health Center/Federally Qualified Health Center</w:t>
            </w:r>
            <w:r w:rsidR="002B246F" w:rsidRPr="78C04D72">
              <w:rPr>
                <w:color w:val="000000" w:themeColor="text1"/>
              </w:rPr>
              <w:t>,</w:t>
            </w:r>
            <w:r w:rsidR="004A5E4D" w:rsidRPr="78C04D72">
              <w:rPr>
                <w:color w:val="000000" w:themeColor="text1"/>
              </w:rPr>
              <w:t xml:space="preserve"> </w:t>
            </w:r>
            <w:r w:rsidR="00422EBD" w:rsidRPr="78C04D72">
              <w:rPr>
                <w:color w:val="000000" w:themeColor="text1"/>
              </w:rPr>
              <w:t>Nursing Facility (including for COVID-19 dedicated wings, signing bonuses, testing requirements, biweekly supplies</w:t>
            </w:r>
            <w:r w:rsidR="00043ECD" w:rsidRPr="78C04D72">
              <w:rPr>
                <w:color w:val="000000" w:themeColor="text1"/>
              </w:rPr>
              <w:t xml:space="preserve">, and </w:t>
            </w:r>
            <w:r w:rsidR="00043ECD" w:rsidRPr="78C04D72">
              <w:rPr>
                <w:rFonts w:cs="Calibri"/>
                <w:color w:val="000000" w:themeColor="text1"/>
              </w:rPr>
              <w:t>surveillance testing requirements</w:t>
            </w:r>
            <w:r w:rsidR="00422EBD" w:rsidRPr="78C04D72">
              <w:rPr>
                <w:color w:val="000000" w:themeColor="text1"/>
              </w:rPr>
              <w:t xml:space="preserve">), </w:t>
            </w:r>
            <w:r w:rsidR="00C63147" w:rsidRPr="78C04D72">
              <w:rPr>
                <w:rFonts w:eastAsiaTheme="minorEastAsia" w:cs="Calibri"/>
              </w:rPr>
              <w:t>Pediatric Chronic Disease and Rehabilitation Inpatient Hospital</w:t>
            </w:r>
            <w:r w:rsidR="002458C9" w:rsidRPr="78C04D72">
              <w:rPr>
                <w:rFonts w:eastAsiaTheme="minorEastAsia" w:cs="Calibri"/>
              </w:rPr>
              <w:t>,</w:t>
            </w:r>
            <w:r w:rsidR="002458C9" w:rsidRPr="78C04D72">
              <w:rPr>
                <w:rFonts w:ascii="Calibri" w:eastAsiaTheme="minorEastAsia" w:hAnsi="Calibri" w:cs="Calibri"/>
              </w:rPr>
              <w:t xml:space="preserve"> </w:t>
            </w:r>
            <w:r w:rsidR="005F7A3F" w:rsidRPr="78C04D72">
              <w:rPr>
                <w:color w:val="000000" w:themeColor="text1"/>
              </w:rPr>
              <w:t>Psychiatric Inpatient Hospital</w:t>
            </w:r>
          </w:p>
        </w:tc>
        <w:tc>
          <w:tcPr>
            <w:tcW w:w="3595" w:type="dxa"/>
          </w:tcPr>
          <w:p w14:paraId="25EF069F" w14:textId="29E8D1B3" w:rsidR="00515D39" w:rsidRPr="00166FD8" w:rsidRDefault="00166FD8" w:rsidP="00CC307B">
            <w:pPr>
              <w:ind w:left="0"/>
            </w:pPr>
            <w:r w:rsidRPr="00166FD8">
              <w:t>D</w:t>
            </w:r>
            <w:r w:rsidR="00AB21E9">
              <w:t>R-</w:t>
            </w:r>
            <w:r w:rsidRPr="00166FD8">
              <w:t>SPA</w:t>
            </w:r>
            <w:r w:rsidR="00580C6E">
              <w:t xml:space="preserve"> </w:t>
            </w:r>
          </w:p>
        </w:tc>
      </w:tr>
      <w:tr w:rsidR="00515D39" w14:paraId="24A29CDF" w14:textId="77777777" w:rsidTr="3F917A54">
        <w:tc>
          <w:tcPr>
            <w:tcW w:w="6115" w:type="dxa"/>
          </w:tcPr>
          <w:p w14:paraId="21DFC466" w14:textId="435323AF" w:rsidR="0014779E" w:rsidRPr="00DB4D39" w:rsidRDefault="00166FD8" w:rsidP="00580C6E">
            <w:pPr>
              <w:ind w:left="0"/>
            </w:pPr>
            <w:r w:rsidRPr="00166FD8">
              <w:lastRenderedPageBreak/>
              <w:t xml:space="preserve">Temporary rate increases for </w:t>
            </w:r>
            <w:r w:rsidR="003D1E8B">
              <w:t>the following provider types:</w:t>
            </w:r>
            <w:r w:rsidR="003D1E8B">
              <w:br/>
            </w:r>
            <w:r w:rsidR="00237E01" w:rsidRPr="0091512B">
              <w:rPr>
                <w:rFonts w:cs="Calibri"/>
                <w:color w:val="000000"/>
              </w:rPr>
              <w:t>Ambulance/Wheelchair</w:t>
            </w:r>
            <w:r w:rsidR="008244F8">
              <w:rPr>
                <w:rFonts w:cs="Calibri"/>
                <w:color w:val="000000"/>
              </w:rPr>
              <w:t>,</w:t>
            </w:r>
            <w:r w:rsidR="00237E01">
              <w:rPr>
                <w:color w:val="000000"/>
              </w:rPr>
              <w:t xml:space="preserve"> </w:t>
            </w:r>
            <w:r w:rsidR="00633D63">
              <w:rPr>
                <w:color w:val="000000"/>
              </w:rPr>
              <w:t>Acute Inpatient Hospital</w:t>
            </w:r>
            <w:r w:rsidR="00633D63">
              <w:t xml:space="preserve">, </w:t>
            </w:r>
            <w:r w:rsidR="00237E01" w:rsidRPr="0091512B">
              <w:rPr>
                <w:rFonts w:cs="Calibri"/>
                <w:color w:val="000000"/>
              </w:rPr>
              <w:t>Acute Outpatient Hospital</w:t>
            </w:r>
            <w:r w:rsidR="00237E01">
              <w:rPr>
                <w:rFonts w:cs="Calibri"/>
                <w:color w:val="000000"/>
              </w:rPr>
              <w:t>,</w:t>
            </w:r>
            <w:r w:rsidR="00237E01">
              <w:t xml:space="preserve"> </w:t>
            </w:r>
            <w:r w:rsidR="00561EF7">
              <w:t xml:space="preserve">Adult Day Health, </w:t>
            </w:r>
            <w:r w:rsidR="00FB097F">
              <w:t xml:space="preserve">Adult Foster Care, </w:t>
            </w:r>
            <w:r w:rsidR="007D7B6E">
              <w:t>Applied Behavior</w:t>
            </w:r>
            <w:r w:rsidR="003E1053">
              <w:t>al</w:t>
            </w:r>
            <w:r w:rsidR="00464162">
              <w:t xml:space="preserve"> Analysis, </w:t>
            </w:r>
            <w:r w:rsidR="008244F8" w:rsidRPr="0091512B">
              <w:rPr>
                <w:rFonts w:cs="Calibri"/>
                <w:color w:val="000000"/>
              </w:rPr>
              <w:t>Certified Nurse-Midwife</w:t>
            </w:r>
            <w:r w:rsidR="008244F8">
              <w:rPr>
                <w:rFonts w:cs="Calibri"/>
                <w:color w:val="000000"/>
              </w:rPr>
              <w:t>,</w:t>
            </w:r>
            <w:r w:rsidR="008244F8">
              <w:t xml:space="preserve"> </w:t>
            </w:r>
            <w:r w:rsidR="008244F8" w:rsidRPr="0091512B">
              <w:rPr>
                <w:rFonts w:cs="Calibri"/>
                <w:color w:val="000000"/>
              </w:rPr>
              <w:t>Certified Pediatric and Family Nurse Practitioner</w:t>
            </w:r>
            <w:r w:rsidR="008244F8">
              <w:rPr>
                <w:rFonts w:cs="Calibri"/>
                <w:color w:val="000000"/>
              </w:rPr>
              <w:t>,</w:t>
            </w:r>
            <w:r w:rsidR="008244F8">
              <w:t xml:space="preserve"> </w:t>
            </w:r>
            <w:r w:rsidR="00EC1E9E">
              <w:t xml:space="preserve">Children’s Behavioral Health Initiative, </w:t>
            </w:r>
            <w:r w:rsidR="00561EF7">
              <w:t xml:space="preserve">Day Habilitation, </w:t>
            </w:r>
            <w:r w:rsidR="00C026B4">
              <w:t>Durable Medical Equipment</w:t>
            </w:r>
            <w:r w:rsidR="00B06054">
              <w:t>, including</w:t>
            </w:r>
            <w:r w:rsidR="00C026B4">
              <w:t xml:space="preserve"> rates for non-sterile gloves, </w:t>
            </w:r>
            <w:r w:rsidR="00EC1E9E">
              <w:t xml:space="preserve">Early Intervention, </w:t>
            </w:r>
            <w:r w:rsidR="008244F8">
              <w:rPr>
                <w:rFonts w:cs="Calibri"/>
                <w:color w:val="000000"/>
              </w:rPr>
              <w:t xml:space="preserve">Home Health, </w:t>
            </w:r>
            <w:r w:rsidR="000C07AE">
              <w:rPr>
                <w:rFonts w:cs="Calibri"/>
                <w:color w:val="000000"/>
              </w:rPr>
              <w:t xml:space="preserve">Home Health </w:t>
            </w:r>
            <w:proofErr w:type="spellStart"/>
            <w:r w:rsidR="000C07AE">
              <w:rPr>
                <w:rFonts w:cs="Calibri"/>
                <w:color w:val="000000"/>
              </w:rPr>
              <w:t>Aid</w:t>
            </w:r>
            <w:proofErr w:type="spellEnd"/>
            <w:r w:rsidR="000C07AE">
              <w:rPr>
                <w:rFonts w:cs="Calibri"/>
                <w:color w:val="000000"/>
              </w:rPr>
              <w:t xml:space="preserve">, </w:t>
            </w:r>
            <w:r w:rsidR="004557E9">
              <w:rPr>
                <w:rFonts w:cs="Calibri"/>
                <w:color w:val="000000"/>
              </w:rPr>
              <w:t xml:space="preserve">Nursing Facility, </w:t>
            </w:r>
            <w:r w:rsidR="008244F8">
              <w:rPr>
                <w:rFonts w:cs="Calibri"/>
                <w:color w:val="000000"/>
              </w:rPr>
              <w:t>O</w:t>
            </w:r>
            <w:r w:rsidR="008244F8" w:rsidRPr="0091512B">
              <w:rPr>
                <w:rFonts w:cs="Calibri"/>
                <w:color w:val="000000"/>
              </w:rPr>
              <w:t xml:space="preserve">ther </w:t>
            </w:r>
            <w:r w:rsidR="008244F8" w:rsidRPr="005E17A4">
              <w:rPr>
                <w:rFonts w:cs="Calibri"/>
                <w:color w:val="000000"/>
              </w:rPr>
              <w:t>Midlevel Practitioner,</w:t>
            </w:r>
            <w:r w:rsidR="008244F8" w:rsidRPr="005E17A4">
              <w:t xml:space="preserve"> </w:t>
            </w:r>
            <w:r w:rsidR="00E47D00" w:rsidRPr="00BF2879">
              <w:rPr>
                <w:rFonts w:eastAsiaTheme="minorHAnsi" w:cs="Calibri"/>
              </w:rPr>
              <w:t>Oxygen, and Respiratory Therapy Equipment</w:t>
            </w:r>
            <w:r w:rsidR="005E17A4" w:rsidRPr="005E17A4">
              <w:rPr>
                <w:rFonts w:eastAsiaTheme="minorHAnsi" w:cs="Calibri"/>
                <w:color w:val="002060"/>
              </w:rPr>
              <w:t>,</w:t>
            </w:r>
            <w:r w:rsidR="005E17A4">
              <w:rPr>
                <w:rFonts w:ascii="Calibri" w:eastAsiaTheme="minorHAnsi" w:hAnsi="Calibri" w:cs="Calibri"/>
                <w:color w:val="002060"/>
              </w:rPr>
              <w:t xml:space="preserve"> </w:t>
            </w:r>
            <w:r w:rsidR="008244F8">
              <w:rPr>
                <w:rFonts w:cs="Calibri"/>
                <w:color w:val="000000"/>
              </w:rPr>
              <w:t xml:space="preserve">Personal Care Attendant (PCA), </w:t>
            </w:r>
            <w:r w:rsidR="008244F8" w:rsidRPr="0091512B">
              <w:rPr>
                <w:rFonts w:cs="Calibri"/>
                <w:color w:val="000000"/>
              </w:rPr>
              <w:t xml:space="preserve">Physician, </w:t>
            </w:r>
            <w:r w:rsidR="00D31E45">
              <w:rPr>
                <w:rFonts w:cs="Calibri"/>
                <w:color w:val="000000"/>
              </w:rPr>
              <w:t>Private Duty Nursing</w:t>
            </w:r>
            <w:r w:rsidR="005E17A4">
              <w:rPr>
                <w:rFonts w:cs="Calibri"/>
                <w:color w:val="000000"/>
              </w:rPr>
              <w:t xml:space="preserve"> (Continuous Skilled Nursing)</w:t>
            </w:r>
            <w:r w:rsidR="00D31E45">
              <w:rPr>
                <w:rFonts w:cs="Calibri"/>
                <w:color w:val="000000"/>
              </w:rPr>
              <w:t xml:space="preserve">, </w:t>
            </w:r>
            <w:r w:rsidR="008244F8">
              <w:rPr>
                <w:rFonts w:cs="Calibri"/>
                <w:color w:val="000000"/>
              </w:rPr>
              <w:t xml:space="preserve">Psychiatric Inpatient Hospital, </w:t>
            </w:r>
            <w:r w:rsidR="00EC1E9E">
              <w:t>Psychologist, Substance Use Disorder</w:t>
            </w:r>
          </w:p>
        </w:tc>
        <w:tc>
          <w:tcPr>
            <w:tcW w:w="3595" w:type="dxa"/>
          </w:tcPr>
          <w:p w14:paraId="207E3421" w14:textId="63C185C9" w:rsidR="00515D39" w:rsidRPr="00166FD8" w:rsidRDefault="00166FD8" w:rsidP="00CC307B">
            <w:pPr>
              <w:ind w:left="0"/>
            </w:pPr>
            <w:r w:rsidRPr="00166FD8">
              <w:t>D</w:t>
            </w:r>
            <w:r w:rsidR="00AB21E9">
              <w:t>R-</w:t>
            </w:r>
            <w:r w:rsidRPr="00166FD8">
              <w:t>SPA</w:t>
            </w:r>
          </w:p>
        </w:tc>
      </w:tr>
      <w:tr w:rsidR="00207349" w14:paraId="1CF1BA2E" w14:textId="77777777" w:rsidTr="3F917A54">
        <w:tc>
          <w:tcPr>
            <w:tcW w:w="6115" w:type="dxa"/>
          </w:tcPr>
          <w:p w14:paraId="00971D5F" w14:textId="6EE2C73C" w:rsidR="00207349" w:rsidRPr="004B40C0" w:rsidRDefault="00207349" w:rsidP="004B40C0">
            <w:pPr>
              <w:spacing w:before="0" w:after="0" w:afterAutospacing="0"/>
              <w:ind w:left="0"/>
              <w:rPr>
                <w:rFonts w:cs="Calibri"/>
                <w:color w:val="000000"/>
              </w:rPr>
            </w:pPr>
            <w:r>
              <w:rPr>
                <w:rFonts w:cs="Calibri"/>
                <w:color w:val="000000"/>
              </w:rPr>
              <w:t xml:space="preserve">Add-on rates for </w:t>
            </w:r>
            <w:r w:rsidRPr="00DB4D39">
              <w:rPr>
                <w:rFonts w:cs="Calibri"/>
                <w:color w:val="000000"/>
              </w:rPr>
              <w:t>Private Duty Nursing (Continuous Skilled Nursing)</w:t>
            </w:r>
            <w:r>
              <w:rPr>
                <w:rFonts w:cs="Calibri"/>
                <w:color w:val="000000"/>
              </w:rPr>
              <w:t xml:space="preserve">, Nursing Facility, </w:t>
            </w:r>
            <w:r w:rsidR="0035263F">
              <w:rPr>
                <w:rFonts w:cs="Calibri"/>
                <w:color w:val="000000"/>
              </w:rPr>
              <w:t>COVID-19 Facility</w:t>
            </w:r>
          </w:p>
        </w:tc>
        <w:tc>
          <w:tcPr>
            <w:tcW w:w="3595" w:type="dxa"/>
          </w:tcPr>
          <w:p w14:paraId="404E752B" w14:textId="12364DFC" w:rsidR="00207349" w:rsidRPr="00166FD8" w:rsidRDefault="00E73C3A" w:rsidP="00CC307B">
            <w:pPr>
              <w:ind w:left="0"/>
            </w:pPr>
            <w:r>
              <w:t>DR-SPA</w:t>
            </w:r>
          </w:p>
        </w:tc>
      </w:tr>
      <w:tr w:rsidR="00E96046" w14:paraId="5A32900A" w14:textId="77777777" w:rsidTr="3F917A54">
        <w:tc>
          <w:tcPr>
            <w:tcW w:w="6115" w:type="dxa"/>
          </w:tcPr>
          <w:p w14:paraId="73021BF5" w14:textId="60CCA799" w:rsidR="00E96046" w:rsidRPr="00740066" w:rsidRDefault="00E96046" w:rsidP="00287620">
            <w:pPr>
              <w:spacing w:before="0" w:after="0" w:afterAutospacing="0"/>
              <w:ind w:left="0"/>
              <w:rPr>
                <w:rFonts w:cs="Calibri"/>
                <w:color w:val="000000"/>
              </w:rPr>
            </w:pPr>
            <w:r w:rsidRPr="00DA3073">
              <w:rPr>
                <w:rFonts w:cs="Calibri"/>
                <w:color w:val="000000"/>
              </w:rPr>
              <w:t>Prior Authorization for medications is expanded by automatic renewal without clinical review, or time/quantity extensions.</w:t>
            </w:r>
          </w:p>
        </w:tc>
        <w:tc>
          <w:tcPr>
            <w:tcW w:w="3595" w:type="dxa"/>
          </w:tcPr>
          <w:p w14:paraId="32F77439" w14:textId="4F40B698" w:rsidR="00E96046" w:rsidRPr="00287620" w:rsidRDefault="00E73C3A" w:rsidP="00CC307B">
            <w:pPr>
              <w:ind w:left="0"/>
            </w:pPr>
            <w:r>
              <w:t>DR-SPA</w:t>
            </w:r>
          </w:p>
        </w:tc>
      </w:tr>
      <w:tr w:rsidR="00D01189" w14:paraId="3ABB3D4E" w14:textId="77777777" w:rsidTr="3F917A54">
        <w:tc>
          <w:tcPr>
            <w:tcW w:w="6115" w:type="dxa"/>
          </w:tcPr>
          <w:p w14:paraId="304CA3D5" w14:textId="32BD7070" w:rsidR="00D01189" w:rsidRPr="0066456D" w:rsidRDefault="0066456D" w:rsidP="00287620">
            <w:pPr>
              <w:spacing w:before="0" w:after="0" w:afterAutospacing="0"/>
              <w:ind w:left="0"/>
              <w:rPr>
                <w:rFonts w:cs="Calibri"/>
                <w:color w:val="000000"/>
              </w:rPr>
            </w:pPr>
            <w:r w:rsidRPr="0066456D">
              <w:rPr>
                <w:rFonts w:cs="Calibri"/>
                <w:color w:val="000000"/>
              </w:rPr>
              <w:t xml:space="preserve">EOHHS will use Fiscal Year (FY) 2019 </w:t>
            </w:r>
            <w:r w:rsidR="003E1053" w:rsidRPr="0066456D">
              <w:rPr>
                <w:rFonts w:cs="Calibri"/>
                <w:color w:val="000000"/>
              </w:rPr>
              <w:t>time</w:t>
            </w:r>
            <w:r w:rsidR="003E1053">
              <w:rPr>
                <w:rFonts w:cs="Calibri"/>
                <w:color w:val="000000"/>
              </w:rPr>
              <w:t>-</w:t>
            </w:r>
            <w:r w:rsidRPr="0066456D">
              <w:rPr>
                <w:rFonts w:cs="Calibri"/>
                <w:color w:val="000000"/>
              </w:rPr>
              <w:t xml:space="preserve">study results when calculating FY 2020 final cost reimbursement rates for the Department of Children and Families (DCF) and the Department of Mental Health (DMH) rehabilitation programs due to the COVID-19 pandemic. </w:t>
            </w:r>
          </w:p>
        </w:tc>
        <w:tc>
          <w:tcPr>
            <w:tcW w:w="3595" w:type="dxa"/>
          </w:tcPr>
          <w:p w14:paraId="0735EC69" w14:textId="0C6C649B" w:rsidR="00D01189" w:rsidRDefault="00E73C3A" w:rsidP="00CC307B">
            <w:pPr>
              <w:ind w:left="0"/>
            </w:pPr>
            <w:r>
              <w:t>DR-SPA</w:t>
            </w:r>
          </w:p>
        </w:tc>
      </w:tr>
      <w:tr w:rsidR="00C82C95" w14:paraId="1F36C227" w14:textId="77777777" w:rsidTr="3F917A54">
        <w:tc>
          <w:tcPr>
            <w:tcW w:w="6115" w:type="dxa"/>
          </w:tcPr>
          <w:p w14:paraId="69A2BFBA" w14:textId="69968A54" w:rsidR="00C82C95" w:rsidRPr="0066456D" w:rsidRDefault="006B20C3" w:rsidP="5F1B7ADF">
            <w:pPr>
              <w:spacing w:before="0" w:after="0" w:afterAutospacing="0"/>
              <w:ind w:left="0"/>
              <w:rPr>
                <w:rFonts w:cs="Calibri"/>
                <w:color w:val="000000"/>
              </w:rPr>
            </w:pPr>
            <w:r>
              <w:rPr>
                <w:rFonts w:cstheme="minorBidi"/>
              </w:rPr>
              <w:t xml:space="preserve">Updates to </w:t>
            </w:r>
            <w:r w:rsidR="00253BBD">
              <w:rPr>
                <w:rFonts w:cstheme="minorBidi"/>
              </w:rPr>
              <w:t>base year for CDRI Hospitals</w:t>
            </w:r>
          </w:p>
        </w:tc>
        <w:tc>
          <w:tcPr>
            <w:tcW w:w="3595" w:type="dxa"/>
          </w:tcPr>
          <w:p w14:paraId="23A22A20" w14:textId="2FE452BA" w:rsidR="00C82C95" w:rsidRDefault="00E73C3A" w:rsidP="00CC307B">
            <w:pPr>
              <w:ind w:left="0"/>
            </w:pPr>
            <w:r>
              <w:t>DR-SPA</w:t>
            </w:r>
          </w:p>
        </w:tc>
      </w:tr>
      <w:tr w:rsidR="00823EEF" w14:paraId="2802DAC2" w14:textId="77777777" w:rsidTr="3F917A54">
        <w:tc>
          <w:tcPr>
            <w:tcW w:w="6115" w:type="dxa"/>
          </w:tcPr>
          <w:p w14:paraId="6EDE2DB9" w14:textId="288F3D8C" w:rsidR="00823EEF" w:rsidRPr="00F07374" w:rsidRDefault="00823EEF" w:rsidP="00287620">
            <w:pPr>
              <w:spacing w:before="0" w:after="0" w:afterAutospacing="0"/>
              <w:ind w:left="0"/>
              <w:rPr>
                <w:rFonts w:cs="Calibri"/>
              </w:rPr>
            </w:pPr>
            <w:r w:rsidRPr="002D365B">
              <w:rPr>
                <w:rFonts w:cs="Calibri"/>
                <w:color w:val="000000"/>
              </w:rPr>
              <w:t>Coverage for COVID-19 mobile testing services provided by EMTs and on-site specimen collection</w:t>
            </w:r>
            <w:r w:rsidRPr="002D365B" w:rsidDel="00A35D89">
              <w:rPr>
                <w:rFonts w:cs="Calibri"/>
                <w:color w:val="000000"/>
              </w:rPr>
              <w:t xml:space="preserve"> </w:t>
            </w:r>
            <w:r w:rsidR="00A00697">
              <w:rPr>
                <w:rFonts w:cs="Calibri"/>
                <w:color w:val="000000"/>
              </w:rPr>
              <w:t>as part of bundled payment</w:t>
            </w:r>
          </w:p>
        </w:tc>
        <w:tc>
          <w:tcPr>
            <w:tcW w:w="3595" w:type="dxa"/>
          </w:tcPr>
          <w:p w14:paraId="5C8CFE41" w14:textId="6546835F" w:rsidR="00823EEF" w:rsidRDefault="00E73C3A" w:rsidP="00CC307B">
            <w:pPr>
              <w:ind w:left="0"/>
            </w:pPr>
            <w:r>
              <w:t>DR-SPA</w:t>
            </w:r>
          </w:p>
        </w:tc>
      </w:tr>
      <w:tr w:rsidR="00DD517C" w14:paraId="0EBE51B9" w14:textId="77777777" w:rsidTr="3F917A54">
        <w:tc>
          <w:tcPr>
            <w:tcW w:w="6115" w:type="dxa"/>
          </w:tcPr>
          <w:p w14:paraId="73F5C27A" w14:textId="77777777" w:rsidR="00DD517C" w:rsidRDefault="00DD517C" w:rsidP="00DD517C">
            <w:pPr>
              <w:pStyle w:val="Default"/>
              <w:rPr>
                <w:rFonts w:ascii="Georgia" w:hAnsi="Georgia" w:cs="Calibri"/>
                <w:sz w:val="22"/>
                <w:szCs w:val="22"/>
              </w:rPr>
            </w:pPr>
            <w:r>
              <w:rPr>
                <w:rFonts w:ascii="Georgia" w:hAnsi="Georgia" w:cs="Calibri"/>
                <w:sz w:val="22"/>
                <w:szCs w:val="22"/>
              </w:rPr>
              <w:t xml:space="preserve">Authority for </w:t>
            </w:r>
            <w:r w:rsidRPr="004A473A">
              <w:rPr>
                <w:rFonts w:ascii="Georgia" w:hAnsi="Georgia" w:cs="Calibri"/>
                <w:sz w:val="22"/>
                <w:szCs w:val="22"/>
              </w:rPr>
              <w:t>A</w:t>
            </w:r>
            <w:r>
              <w:rPr>
                <w:rFonts w:ascii="Georgia" w:hAnsi="Georgia" w:cs="Calibri"/>
                <w:sz w:val="22"/>
                <w:szCs w:val="22"/>
              </w:rPr>
              <w:t>cute Outpatient Hospitals</w:t>
            </w:r>
            <w:r w:rsidRPr="004A473A">
              <w:rPr>
                <w:rFonts w:ascii="Georgia" w:hAnsi="Georgia" w:cs="Calibri"/>
                <w:sz w:val="22"/>
                <w:szCs w:val="22"/>
              </w:rPr>
              <w:t xml:space="preserve"> rendering Isolation and Recovery (I&amp;R) services</w:t>
            </w:r>
          </w:p>
          <w:p w14:paraId="3632BBB4" w14:textId="77777777" w:rsidR="00DD517C" w:rsidRDefault="00DD517C" w:rsidP="00DD517C">
            <w:pPr>
              <w:pStyle w:val="Default"/>
              <w:rPr>
                <w:rFonts w:ascii="Georgia" w:hAnsi="Georgia" w:cs="Calibri"/>
                <w:sz w:val="22"/>
                <w:szCs w:val="22"/>
              </w:rPr>
            </w:pPr>
          </w:p>
          <w:p w14:paraId="35D6D208" w14:textId="3CE36F8C" w:rsidR="00DD517C" w:rsidRPr="00F07374" w:rsidRDefault="00DD517C" w:rsidP="00DD517C">
            <w:pPr>
              <w:spacing w:before="0" w:after="0" w:afterAutospacing="0"/>
              <w:ind w:left="0"/>
              <w:rPr>
                <w:rFonts w:cs="Calibri"/>
              </w:rPr>
            </w:pPr>
            <w:r w:rsidRPr="007E0F71">
              <w:rPr>
                <w:rFonts w:cs="Calibri"/>
              </w:rPr>
              <w:t>CHC/FQHC and Outpatient Hospital Isolation and Recovery Rates</w:t>
            </w:r>
            <w:r>
              <w:rPr>
                <w:rFonts w:cs="Calibri"/>
              </w:rPr>
              <w:t xml:space="preserve">    </w:t>
            </w:r>
          </w:p>
        </w:tc>
        <w:tc>
          <w:tcPr>
            <w:tcW w:w="3595" w:type="dxa"/>
          </w:tcPr>
          <w:p w14:paraId="0D4442AB" w14:textId="1BE9372E" w:rsidR="00DD517C" w:rsidRDefault="352D8AF1" w:rsidP="00CC307B">
            <w:pPr>
              <w:ind w:left="0"/>
            </w:pPr>
            <w:r>
              <w:t>Disaster SPA</w:t>
            </w:r>
          </w:p>
        </w:tc>
      </w:tr>
      <w:tr w:rsidR="002854F9" w14:paraId="292D6EC7" w14:textId="77777777" w:rsidTr="3F917A54">
        <w:tc>
          <w:tcPr>
            <w:tcW w:w="6115" w:type="dxa"/>
          </w:tcPr>
          <w:p w14:paraId="460ED435" w14:textId="25E360B8" w:rsidR="002854F9" w:rsidRDefault="002854F9" w:rsidP="002854F9">
            <w:pPr>
              <w:pStyle w:val="Default"/>
              <w:rPr>
                <w:rFonts w:ascii="Georgia" w:hAnsi="Georgia" w:cs="Calibri"/>
                <w:sz w:val="22"/>
                <w:szCs w:val="22"/>
              </w:rPr>
            </w:pPr>
            <w:r w:rsidRPr="00E02899">
              <w:rPr>
                <w:rFonts w:ascii="Georgia" w:hAnsi="Georgia" w:cs="Calibri"/>
                <w:sz w:val="22"/>
                <w:szCs w:val="22"/>
              </w:rPr>
              <w:t xml:space="preserve">The agency will temporarily reimburse at a contracted rate for certain physician services via Telehealth when rendered by a Telehealth Network Provider, supporting member triage related to COVID-19.   </w:t>
            </w:r>
          </w:p>
        </w:tc>
        <w:tc>
          <w:tcPr>
            <w:tcW w:w="3595" w:type="dxa"/>
          </w:tcPr>
          <w:p w14:paraId="41EFD78F" w14:textId="5D2AB4E1" w:rsidR="002854F9" w:rsidRDefault="00E73C3A" w:rsidP="002854F9">
            <w:pPr>
              <w:ind w:left="0"/>
            </w:pPr>
            <w:r>
              <w:rPr>
                <w:rFonts w:cs="Calibri"/>
              </w:rPr>
              <w:t>DR-SPA</w:t>
            </w:r>
          </w:p>
        </w:tc>
      </w:tr>
      <w:tr w:rsidR="002854F9" w14:paraId="0022930C" w14:textId="77777777" w:rsidTr="3F917A54">
        <w:tc>
          <w:tcPr>
            <w:tcW w:w="6115" w:type="dxa"/>
          </w:tcPr>
          <w:p w14:paraId="0D6E19FE" w14:textId="1DD04627" w:rsidR="002854F9" w:rsidRDefault="002854F9" w:rsidP="002854F9">
            <w:pPr>
              <w:pStyle w:val="Default"/>
              <w:rPr>
                <w:rFonts w:ascii="Georgia" w:hAnsi="Georgia" w:cs="Calibri"/>
                <w:sz w:val="22"/>
                <w:szCs w:val="22"/>
              </w:rPr>
            </w:pPr>
            <w:r w:rsidRPr="3F917A54">
              <w:rPr>
                <w:rFonts w:cs="Calibri"/>
                <w:color w:val="000000" w:themeColor="text1"/>
              </w:rPr>
              <w:t>New transportation code for wheelchair van providers transporting persons under investigation for or known to have COVID-19</w:t>
            </w:r>
          </w:p>
        </w:tc>
        <w:tc>
          <w:tcPr>
            <w:tcW w:w="3595" w:type="dxa"/>
          </w:tcPr>
          <w:p w14:paraId="53E7D6A6" w14:textId="4A6A0A55" w:rsidR="002854F9" w:rsidRDefault="00E73C3A" w:rsidP="002854F9">
            <w:pPr>
              <w:ind w:left="0"/>
            </w:pPr>
            <w:r>
              <w:rPr>
                <w:rFonts w:cs="Calibri"/>
              </w:rPr>
              <w:t>DR-SPA</w:t>
            </w:r>
          </w:p>
        </w:tc>
      </w:tr>
      <w:tr w:rsidR="002854F9" w14:paraId="2BC5013B" w14:textId="77777777" w:rsidTr="3F917A54">
        <w:tc>
          <w:tcPr>
            <w:tcW w:w="6115" w:type="dxa"/>
          </w:tcPr>
          <w:p w14:paraId="7CFF5F91" w14:textId="417EAD3E" w:rsidR="002854F9" w:rsidRPr="00F07374" w:rsidRDefault="002854F9" w:rsidP="002854F9">
            <w:pPr>
              <w:spacing w:before="0" w:after="0" w:afterAutospacing="0"/>
              <w:ind w:left="0"/>
              <w:rPr>
                <w:rFonts w:cs="Calibri"/>
                <w:color w:val="000000"/>
              </w:rPr>
            </w:pPr>
            <w:r w:rsidRPr="00F07374">
              <w:rPr>
                <w:rFonts w:cs="Calibri"/>
              </w:rPr>
              <w:t>Allow continuous coverage for separate CHIP members who experience certain changes in circumstances</w:t>
            </w:r>
          </w:p>
        </w:tc>
        <w:tc>
          <w:tcPr>
            <w:tcW w:w="3595" w:type="dxa"/>
          </w:tcPr>
          <w:p w14:paraId="6C023555" w14:textId="611B3C9D" w:rsidR="002854F9" w:rsidRDefault="002854F9" w:rsidP="002854F9">
            <w:pPr>
              <w:ind w:left="0"/>
            </w:pPr>
            <w:r w:rsidRPr="00165A3F">
              <w:t>Children’s Health Insurance Program</w:t>
            </w:r>
            <w:r>
              <w:t xml:space="preserve"> (CHIP) </w:t>
            </w:r>
            <w:r w:rsidR="00E73C3A">
              <w:t>DR-SPA</w:t>
            </w:r>
          </w:p>
        </w:tc>
      </w:tr>
      <w:tr w:rsidR="002854F9" w14:paraId="4CA9119D" w14:textId="77777777" w:rsidTr="3F917A54">
        <w:tc>
          <w:tcPr>
            <w:tcW w:w="6115" w:type="dxa"/>
          </w:tcPr>
          <w:p w14:paraId="681CCC2E" w14:textId="14073B84" w:rsidR="002854F9" w:rsidRDefault="002854F9" w:rsidP="002854F9">
            <w:pPr>
              <w:spacing w:before="0" w:after="0" w:afterAutospacing="0"/>
              <w:ind w:left="0"/>
            </w:pPr>
            <w:r>
              <w:t>A</w:t>
            </w:r>
            <w:r w:rsidRPr="00165A3F">
              <w:t>t State discretion, premiums may be waived for CHIP applicants and/or beneficiaries who meet income and other eligibility requirements and who reside and/or work in a</w:t>
            </w:r>
            <w:r w:rsidR="00E73C3A">
              <w:t xml:space="preserve"> </w:t>
            </w:r>
            <w:r w:rsidRPr="00165A3F">
              <w:t xml:space="preserve">State or Federally declared disaster area and who request a hardship waiver. </w:t>
            </w:r>
          </w:p>
          <w:p w14:paraId="17A2A367" w14:textId="77777777" w:rsidR="002854F9" w:rsidRDefault="002854F9" w:rsidP="002854F9">
            <w:pPr>
              <w:spacing w:before="0" w:after="0" w:afterAutospacing="0"/>
              <w:ind w:left="0"/>
            </w:pPr>
          </w:p>
          <w:p w14:paraId="55636043" w14:textId="77777777" w:rsidR="002854F9" w:rsidRDefault="002854F9" w:rsidP="002854F9">
            <w:pPr>
              <w:spacing w:after="160" w:line="256" w:lineRule="auto"/>
              <w:ind w:left="0"/>
            </w:pPr>
            <w:r>
              <w:t>A</w:t>
            </w:r>
            <w:r w:rsidRPr="00165A3F">
              <w:t xml:space="preserve">t state discretion, CHIP coverage is available regardless of whether the family has paid their premium for existing </w:t>
            </w:r>
            <w:r w:rsidRPr="00165A3F">
              <w:lastRenderedPageBreak/>
              <w:t xml:space="preserve">beneficiaries who reside and/or work in a State or Federally declared disaster area. </w:t>
            </w:r>
          </w:p>
          <w:p w14:paraId="68830DDC" w14:textId="47BC1649" w:rsidR="002854F9" w:rsidRPr="00F07374" w:rsidRDefault="002854F9" w:rsidP="002854F9">
            <w:pPr>
              <w:spacing w:after="160" w:line="256" w:lineRule="auto"/>
              <w:ind w:left="0"/>
              <w:rPr>
                <w:rFonts w:cs="Calibri"/>
              </w:rPr>
            </w:pPr>
            <w:r>
              <w:t>A</w:t>
            </w:r>
            <w:r w:rsidRPr="00165A3F">
              <w:t>t state discretion, the state may waive premium balance to reactivate coverage following a termination due to non-payment of premiums for those who request a hardship waiver.</w:t>
            </w:r>
          </w:p>
        </w:tc>
        <w:tc>
          <w:tcPr>
            <w:tcW w:w="3595" w:type="dxa"/>
          </w:tcPr>
          <w:p w14:paraId="06B79A5A" w14:textId="7CA96FA7" w:rsidR="002854F9" w:rsidRDefault="002854F9" w:rsidP="002854F9">
            <w:pPr>
              <w:ind w:left="0"/>
            </w:pPr>
            <w:r w:rsidRPr="00165A3F">
              <w:lastRenderedPageBreak/>
              <w:t xml:space="preserve">CHIP </w:t>
            </w:r>
            <w:r w:rsidR="00E73C3A">
              <w:t>DR-SPA</w:t>
            </w:r>
            <w:r w:rsidRPr="00165A3F">
              <w:br/>
            </w:r>
            <w:r w:rsidRPr="00165A3F">
              <w:br/>
              <w:t xml:space="preserve">MassHealth </w:t>
            </w:r>
            <w:r>
              <w:t>submitted notification</w:t>
            </w:r>
            <w:r w:rsidRPr="00165A3F">
              <w:t xml:space="preserve"> to CMS to end this flexibility as of April 1, 2023</w:t>
            </w:r>
            <w:r w:rsidR="003E1053">
              <w:t>,</w:t>
            </w:r>
            <w:r w:rsidRPr="00165A3F">
              <w:t xml:space="preserve"> to coincide with the beginning of the eligibility unwinding period</w:t>
            </w:r>
            <w:r>
              <w:t xml:space="preserve">.  </w:t>
            </w:r>
            <w:r w:rsidRPr="00C37713">
              <w:t>MassHealth will provide notice to members and information about rights to appeal</w:t>
            </w:r>
            <w:r>
              <w:t>.</w:t>
            </w:r>
          </w:p>
        </w:tc>
      </w:tr>
    </w:tbl>
    <w:p w14:paraId="06FA0AAB" w14:textId="0B2D61D1" w:rsidR="00A33A30" w:rsidRPr="00456C5E" w:rsidRDefault="00EA71D1" w:rsidP="00BF2879">
      <w:pPr>
        <w:pStyle w:val="Heading2"/>
        <w:rPr>
          <w:sz w:val="22"/>
          <w:szCs w:val="22"/>
        </w:rPr>
      </w:pPr>
      <w:r>
        <w:t xml:space="preserve">Flexibilities </w:t>
      </w:r>
      <w:r w:rsidR="00F32B22">
        <w:t xml:space="preserve">approved </w:t>
      </w:r>
      <w:r w:rsidR="00EF224F">
        <w:t xml:space="preserve">through </w:t>
      </w:r>
      <w:r w:rsidR="003E1053">
        <w:t xml:space="preserve">Section </w:t>
      </w:r>
      <w:r w:rsidR="00EF224F">
        <w:t xml:space="preserve">1135 waivers or </w:t>
      </w:r>
      <w:r w:rsidR="001C3E0D">
        <w:t>DR-</w:t>
      </w:r>
      <w:r w:rsidR="00EF224F">
        <w:t xml:space="preserve">SPAs </w:t>
      </w:r>
      <w:r w:rsidR="00B57C2E" w:rsidRPr="00456C5E">
        <w:rPr>
          <w:sz w:val="22"/>
          <w:szCs w:val="22"/>
        </w:rPr>
        <w:t xml:space="preserve">that will </w:t>
      </w:r>
      <w:r w:rsidR="00EF224F" w:rsidRPr="183C5B2E">
        <w:rPr>
          <w:sz w:val="22"/>
          <w:szCs w:val="22"/>
        </w:rPr>
        <w:t xml:space="preserve">end </w:t>
      </w:r>
      <w:r w:rsidR="00734EEE">
        <w:rPr>
          <w:sz w:val="22"/>
          <w:szCs w:val="22"/>
        </w:rPr>
        <w:t xml:space="preserve">at the end of the </w:t>
      </w:r>
      <w:r w:rsidR="00F32B22">
        <w:rPr>
          <w:sz w:val="22"/>
          <w:szCs w:val="22"/>
        </w:rPr>
        <w:t xml:space="preserve">federal </w:t>
      </w:r>
      <w:r w:rsidR="00734EEE">
        <w:rPr>
          <w:sz w:val="22"/>
          <w:szCs w:val="22"/>
        </w:rPr>
        <w:t>PHE (</w:t>
      </w:r>
      <w:r w:rsidR="00B57C2E" w:rsidRPr="00456C5E">
        <w:rPr>
          <w:sz w:val="22"/>
          <w:szCs w:val="22"/>
        </w:rPr>
        <w:t>May 11</w:t>
      </w:r>
      <w:r w:rsidR="00CF4897" w:rsidRPr="00456C5E">
        <w:rPr>
          <w:sz w:val="22"/>
          <w:szCs w:val="22"/>
        </w:rPr>
        <w:t>, 2023</w:t>
      </w:r>
      <w:r w:rsidR="00734EEE">
        <w:rPr>
          <w:sz w:val="22"/>
          <w:szCs w:val="22"/>
        </w:rPr>
        <w:t>)</w:t>
      </w:r>
      <w:r w:rsidR="00CB6FFE">
        <w:rPr>
          <w:sz w:val="22"/>
          <w:szCs w:val="22"/>
        </w:rPr>
        <w:t xml:space="preserve"> </w:t>
      </w:r>
    </w:p>
    <w:tbl>
      <w:tblPr>
        <w:tblStyle w:val="TableGrid"/>
        <w:tblW w:w="9720" w:type="dxa"/>
        <w:tblInd w:w="355" w:type="dxa"/>
        <w:tblLook w:val="04A0" w:firstRow="1" w:lastRow="0" w:firstColumn="1" w:lastColumn="0" w:noHBand="0" w:noVBand="1"/>
      </w:tblPr>
      <w:tblGrid>
        <w:gridCol w:w="6120"/>
        <w:gridCol w:w="3600"/>
      </w:tblGrid>
      <w:tr w:rsidR="00A33A30" w14:paraId="3C66D9C0" w14:textId="77777777" w:rsidTr="00C7155C">
        <w:trPr>
          <w:tblHeader/>
        </w:trPr>
        <w:tc>
          <w:tcPr>
            <w:tcW w:w="6120" w:type="dxa"/>
          </w:tcPr>
          <w:p w14:paraId="5FFE2871" w14:textId="2B4CA66B" w:rsidR="00A33A30" w:rsidRDefault="00A33A30" w:rsidP="00B57C2E">
            <w:pPr>
              <w:pStyle w:val="Default"/>
              <w:rPr>
                <w:rFonts w:ascii="Georgia" w:hAnsi="Georgia"/>
                <w:b/>
                <w:bCs/>
                <w:sz w:val="22"/>
                <w:szCs w:val="22"/>
              </w:rPr>
            </w:pPr>
            <w:r>
              <w:rPr>
                <w:rFonts w:ascii="Georgia" w:hAnsi="Georgia"/>
                <w:b/>
                <w:bCs/>
                <w:sz w:val="22"/>
                <w:szCs w:val="22"/>
              </w:rPr>
              <w:t>Flexibility</w:t>
            </w:r>
          </w:p>
        </w:tc>
        <w:tc>
          <w:tcPr>
            <w:tcW w:w="3600" w:type="dxa"/>
          </w:tcPr>
          <w:p w14:paraId="34625BC1" w14:textId="0B30F640" w:rsidR="00A33A30" w:rsidRDefault="00A768E9" w:rsidP="00B57C2E">
            <w:pPr>
              <w:pStyle w:val="Default"/>
              <w:rPr>
                <w:rFonts w:ascii="Georgia" w:hAnsi="Georgia"/>
                <w:b/>
                <w:bCs/>
                <w:sz w:val="22"/>
                <w:szCs w:val="22"/>
              </w:rPr>
            </w:pPr>
            <w:r>
              <w:rPr>
                <w:rFonts w:ascii="Georgia" w:hAnsi="Georgia"/>
                <w:b/>
                <w:bCs/>
                <w:sz w:val="22"/>
                <w:szCs w:val="22"/>
              </w:rPr>
              <w:t xml:space="preserve">Federal </w:t>
            </w:r>
            <w:r w:rsidR="00A33A30">
              <w:rPr>
                <w:rFonts w:ascii="Georgia" w:hAnsi="Georgia"/>
                <w:b/>
                <w:bCs/>
                <w:sz w:val="22"/>
                <w:szCs w:val="22"/>
              </w:rPr>
              <w:t>Authority Vehicle</w:t>
            </w:r>
          </w:p>
        </w:tc>
      </w:tr>
      <w:tr w:rsidR="00A33A30" w14:paraId="76D81E1B" w14:textId="77777777" w:rsidTr="00C7155C">
        <w:tc>
          <w:tcPr>
            <w:tcW w:w="6120" w:type="dxa"/>
          </w:tcPr>
          <w:p w14:paraId="70AC2D84" w14:textId="5931B699" w:rsidR="00A33A30" w:rsidRDefault="00A33A30" w:rsidP="00A33A30">
            <w:pPr>
              <w:pStyle w:val="Default"/>
              <w:rPr>
                <w:rFonts w:ascii="Georgia" w:hAnsi="Georgia"/>
                <w:b/>
                <w:bCs/>
                <w:sz w:val="22"/>
                <w:szCs w:val="22"/>
              </w:rPr>
            </w:pPr>
            <w:r w:rsidRPr="00445D47">
              <w:rPr>
                <w:rFonts w:ascii="Georgia" w:hAnsi="Georgia"/>
                <w:sz w:val="22"/>
                <w:szCs w:val="22"/>
              </w:rPr>
              <w:t>Waiver of provider conditions to allow for provision of services in alternative settings</w:t>
            </w:r>
          </w:p>
        </w:tc>
        <w:tc>
          <w:tcPr>
            <w:tcW w:w="3600" w:type="dxa"/>
          </w:tcPr>
          <w:p w14:paraId="185B04E9" w14:textId="6D70EB57" w:rsidR="00A33A30" w:rsidRDefault="00A33A30" w:rsidP="00B57C2E">
            <w:pPr>
              <w:pStyle w:val="Default"/>
              <w:rPr>
                <w:rFonts w:ascii="Georgia" w:hAnsi="Georgia"/>
                <w:b/>
                <w:bCs/>
                <w:sz w:val="22"/>
                <w:szCs w:val="22"/>
              </w:rPr>
            </w:pPr>
            <w:r w:rsidRPr="00A33A30">
              <w:rPr>
                <w:rFonts w:ascii="Georgia" w:hAnsi="Georgia"/>
                <w:sz w:val="22"/>
                <w:szCs w:val="22"/>
              </w:rPr>
              <w:t>Section 1135 waiver</w:t>
            </w:r>
          </w:p>
        </w:tc>
      </w:tr>
      <w:tr w:rsidR="00A33A30" w14:paraId="457B7B77" w14:textId="77777777" w:rsidTr="00C7155C">
        <w:tc>
          <w:tcPr>
            <w:tcW w:w="6120" w:type="dxa"/>
          </w:tcPr>
          <w:p w14:paraId="4859D475" w14:textId="6547220C" w:rsidR="00A33A30" w:rsidRPr="00F202A1" w:rsidRDefault="00F202A1" w:rsidP="00B57C2E">
            <w:pPr>
              <w:pStyle w:val="Default"/>
              <w:rPr>
                <w:rFonts w:ascii="Georgia" w:hAnsi="Georgia"/>
                <w:b/>
                <w:bCs/>
                <w:sz w:val="22"/>
                <w:szCs w:val="22"/>
              </w:rPr>
            </w:pPr>
            <w:r w:rsidRPr="00F202A1">
              <w:rPr>
                <w:rFonts w:ascii="Georgia" w:hAnsi="Georgia" w:cstheme="minorHAnsi"/>
                <w:sz w:val="22"/>
                <w:szCs w:val="22"/>
                <w:shd w:val="clear" w:color="auto" w:fill="FFFFFF"/>
              </w:rPr>
              <w:t xml:space="preserve">Waive requirement for a face-to-face encounter with an authorized practitioner within the six months before the order is written for DME or oxygen and respiratory </w:t>
            </w:r>
            <w:r w:rsidR="00521DF9">
              <w:rPr>
                <w:rFonts w:ascii="Georgia" w:hAnsi="Georgia" w:cstheme="minorHAnsi"/>
                <w:sz w:val="22"/>
                <w:szCs w:val="22"/>
                <w:shd w:val="clear" w:color="auto" w:fill="FFFFFF"/>
              </w:rPr>
              <w:t>e</w:t>
            </w:r>
            <w:r w:rsidRPr="00F202A1">
              <w:rPr>
                <w:rFonts w:ascii="Georgia" w:hAnsi="Georgia" w:cstheme="minorHAnsi"/>
                <w:sz w:val="22"/>
                <w:szCs w:val="22"/>
                <w:shd w:val="clear" w:color="auto" w:fill="FFFFFF"/>
              </w:rPr>
              <w:t>quipment. </w:t>
            </w:r>
          </w:p>
        </w:tc>
        <w:tc>
          <w:tcPr>
            <w:tcW w:w="3600" w:type="dxa"/>
          </w:tcPr>
          <w:p w14:paraId="39387208" w14:textId="414CECF4" w:rsidR="00A33A30" w:rsidRPr="009B0759" w:rsidRDefault="00F202A1" w:rsidP="00B57C2E">
            <w:pPr>
              <w:pStyle w:val="Default"/>
              <w:rPr>
                <w:rFonts w:ascii="Georgia" w:hAnsi="Georgia"/>
                <w:sz w:val="22"/>
                <w:szCs w:val="22"/>
              </w:rPr>
            </w:pPr>
            <w:r w:rsidRPr="009B0759">
              <w:rPr>
                <w:rFonts w:ascii="Georgia" w:hAnsi="Georgia"/>
                <w:sz w:val="22"/>
                <w:szCs w:val="22"/>
              </w:rPr>
              <w:t>Section 1135</w:t>
            </w:r>
            <w:r w:rsidR="00B94238">
              <w:rPr>
                <w:rFonts w:ascii="Georgia" w:hAnsi="Georgia"/>
                <w:sz w:val="22"/>
                <w:szCs w:val="22"/>
              </w:rPr>
              <w:t xml:space="preserve"> (modifies the timeframe</w:t>
            </w:r>
            <w:r w:rsidR="000974C5">
              <w:rPr>
                <w:rFonts w:ascii="Georgia" w:hAnsi="Georgia"/>
                <w:sz w:val="22"/>
                <w:szCs w:val="22"/>
              </w:rPr>
              <w:t>)</w:t>
            </w:r>
            <w:r w:rsidR="000974C5">
              <w:rPr>
                <w:rFonts w:ascii="Georgia" w:hAnsi="Georgia"/>
                <w:sz w:val="22"/>
                <w:szCs w:val="22"/>
              </w:rPr>
              <w:br/>
            </w:r>
            <w:r w:rsidR="000974C5">
              <w:rPr>
                <w:rFonts w:ascii="Georgia" w:hAnsi="Georgia"/>
                <w:sz w:val="22"/>
                <w:szCs w:val="22"/>
              </w:rPr>
              <w:br/>
            </w:r>
            <w:r w:rsidR="000974C5" w:rsidRPr="00092788">
              <w:rPr>
                <w:rFonts w:ascii="Georgia" w:hAnsi="Georgia"/>
                <w:color w:val="auto"/>
                <w:sz w:val="22"/>
                <w:szCs w:val="22"/>
              </w:rPr>
              <w:t>Note that the use of telehealth for this encounter can extend beyond the PHE</w:t>
            </w:r>
            <w:r w:rsidR="00F32B22">
              <w:rPr>
                <w:rFonts w:ascii="Georgia" w:hAnsi="Georgia"/>
                <w:color w:val="auto"/>
                <w:sz w:val="22"/>
                <w:szCs w:val="22"/>
              </w:rPr>
              <w:t>.</w:t>
            </w:r>
          </w:p>
        </w:tc>
      </w:tr>
      <w:tr w:rsidR="00D149F6" w14:paraId="6591BCF5" w14:textId="77777777" w:rsidTr="00C7155C">
        <w:tc>
          <w:tcPr>
            <w:tcW w:w="6120" w:type="dxa"/>
          </w:tcPr>
          <w:p w14:paraId="1C7C9FCC" w14:textId="327F1181" w:rsidR="00D149F6" w:rsidRPr="002854F9" w:rsidRDefault="00D149F6" w:rsidP="00B57C2E">
            <w:pPr>
              <w:pStyle w:val="Default"/>
              <w:rPr>
                <w:rFonts w:ascii="Georgia" w:hAnsi="Georgia"/>
                <w:sz w:val="22"/>
                <w:szCs w:val="22"/>
              </w:rPr>
            </w:pPr>
            <w:r w:rsidRPr="002854F9">
              <w:rPr>
                <w:rFonts w:ascii="Georgia" w:hAnsi="Georgia"/>
                <w:sz w:val="22"/>
                <w:szCs w:val="22"/>
              </w:rPr>
              <w:t>Modification of the deadline for conducting annual monitoring and follow-up activities for targeted case management</w:t>
            </w:r>
          </w:p>
        </w:tc>
        <w:tc>
          <w:tcPr>
            <w:tcW w:w="3600" w:type="dxa"/>
          </w:tcPr>
          <w:p w14:paraId="740B037D" w14:textId="510F69F2" w:rsidR="00D149F6" w:rsidRPr="00D149F6" w:rsidRDefault="00D149F6" w:rsidP="00B57C2E">
            <w:pPr>
              <w:pStyle w:val="Default"/>
              <w:rPr>
                <w:rFonts w:ascii="Georgia" w:hAnsi="Georgia"/>
                <w:sz w:val="22"/>
                <w:szCs w:val="22"/>
              </w:rPr>
            </w:pPr>
            <w:r>
              <w:rPr>
                <w:rFonts w:ascii="Georgia" w:hAnsi="Georgia"/>
                <w:sz w:val="22"/>
                <w:szCs w:val="22"/>
              </w:rPr>
              <w:t>Section 1135 waiver</w:t>
            </w:r>
          </w:p>
        </w:tc>
      </w:tr>
      <w:tr w:rsidR="00D149F6" w14:paraId="0C077966" w14:textId="77777777" w:rsidTr="00C7155C">
        <w:tc>
          <w:tcPr>
            <w:tcW w:w="6120" w:type="dxa"/>
          </w:tcPr>
          <w:p w14:paraId="3856410D" w14:textId="0BB240E3" w:rsidR="00D149F6" w:rsidRDefault="00D149F6" w:rsidP="00D149F6">
            <w:pPr>
              <w:spacing w:before="0" w:after="0" w:afterAutospacing="0"/>
              <w:ind w:left="0"/>
            </w:pPr>
            <w:r w:rsidRPr="00D149F6">
              <w:rPr>
                <w:rFonts w:cs="Calibri"/>
                <w:color w:val="000000"/>
              </w:rPr>
              <w:t xml:space="preserve">Waiver of public notice for state plan amendments (SPAs) related to COVID-19 </w:t>
            </w:r>
          </w:p>
        </w:tc>
        <w:tc>
          <w:tcPr>
            <w:tcW w:w="3600" w:type="dxa"/>
          </w:tcPr>
          <w:p w14:paraId="600A73C0" w14:textId="2646513F" w:rsidR="00D149F6" w:rsidRDefault="00D149F6" w:rsidP="00B57C2E">
            <w:pPr>
              <w:pStyle w:val="Default"/>
              <w:rPr>
                <w:rFonts w:ascii="Georgia" w:hAnsi="Georgia"/>
                <w:sz w:val="22"/>
                <w:szCs w:val="22"/>
              </w:rPr>
            </w:pPr>
            <w:r>
              <w:rPr>
                <w:rFonts w:ascii="Georgia" w:hAnsi="Georgia"/>
                <w:sz w:val="22"/>
                <w:szCs w:val="22"/>
              </w:rPr>
              <w:t>Section 1135 waiver</w:t>
            </w:r>
          </w:p>
        </w:tc>
      </w:tr>
      <w:tr w:rsidR="00D149F6" w14:paraId="076FDEE8" w14:textId="77777777" w:rsidTr="00C7155C">
        <w:tc>
          <w:tcPr>
            <w:tcW w:w="6120" w:type="dxa"/>
          </w:tcPr>
          <w:p w14:paraId="38A12960" w14:textId="6A509C2E" w:rsidR="00D149F6" w:rsidRPr="00D149F6" w:rsidRDefault="00D149F6" w:rsidP="00D149F6">
            <w:pPr>
              <w:spacing w:before="0" w:after="0" w:afterAutospacing="0"/>
              <w:ind w:left="0"/>
              <w:rPr>
                <w:rFonts w:cs="Calibri"/>
                <w:color w:val="000000"/>
              </w:rPr>
            </w:pPr>
            <w:r w:rsidRPr="00D149F6">
              <w:rPr>
                <w:rFonts w:cs="Calibri"/>
                <w:color w:val="000000"/>
              </w:rPr>
              <w:t xml:space="preserve">Waiver to shorten the tribal consultation timeframe </w:t>
            </w:r>
            <w:r w:rsidR="00F32B22">
              <w:rPr>
                <w:rFonts w:cs="Calibri"/>
                <w:color w:val="000000"/>
              </w:rPr>
              <w:t xml:space="preserve">for </w:t>
            </w:r>
            <w:r w:rsidRPr="00D149F6">
              <w:rPr>
                <w:rFonts w:cs="Calibri"/>
                <w:color w:val="000000"/>
              </w:rPr>
              <w:t>SPAs related to COVID-19</w:t>
            </w:r>
            <w:r w:rsidRPr="000E0A06">
              <w:rPr>
                <w:rFonts w:cs="Calibri"/>
                <w:color w:val="FF0000"/>
              </w:rPr>
              <w:t xml:space="preserve"> </w:t>
            </w:r>
            <w:r w:rsidR="000E0A06" w:rsidRPr="000E0A06">
              <w:rPr>
                <w:rFonts w:cs="Calibri"/>
                <w:color w:val="FF0000"/>
              </w:rPr>
              <w:t xml:space="preserve"> </w:t>
            </w:r>
          </w:p>
        </w:tc>
        <w:tc>
          <w:tcPr>
            <w:tcW w:w="3600" w:type="dxa"/>
          </w:tcPr>
          <w:p w14:paraId="19BD1F8B" w14:textId="56208717" w:rsidR="00D149F6" w:rsidRDefault="00D149F6" w:rsidP="00B57C2E">
            <w:pPr>
              <w:pStyle w:val="Default"/>
              <w:rPr>
                <w:rFonts w:ascii="Georgia" w:hAnsi="Georgia"/>
                <w:sz w:val="22"/>
                <w:szCs w:val="22"/>
              </w:rPr>
            </w:pPr>
            <w:r>
              <w:rPr>
                <w:rFonts w:ascii="Georgia" w:hAnsi="Georgia"/>
                <w:sz w:val="22"/>
                <w:szCs w:val="22"/>
              </w:rPr>
              <w:t>Section 1135 waiver</w:t>
            </w:r>
          </w:p>
        </w:tc>
      </w:tr>
      <w:tr w:rsidR="001F683C" w14:paraId="2CFDC995" w14:textId="77777777" w:rsidTr="00C7155C">
        <w:tc>
          <w:tcPr>
            <w:tcW w:w="6120" w:type="dxa"/>
          </w:tcPr>
          <w:p w14:paraId="5772C957" w14:textId="0380273C" w:rsidR="001F683C" w:rsidRPr="001F7269" w:rsidRDefault="001F683C" w:rsidP="001F683C">
            <w:pPr>
              <w:pStyle w:val="Default"/>
              <w:rPr>
                <w:rFonts w:ascii="Georgia" w:hAnsi="Georgia"/>
                <w:sz w:val="22"/>
                <w:szCs w:val="22"/>
              </w:rPr>
            </w:pPr>
            <w:r w:rsidRPr="00445D47">
              <w:rPr>
                <w:rFonts w:ascii="Georgia" w:hAnsi="Georgia"/>
                <w:sz w:val="22"/>
                <w:szCs w:val="22"/>
              </w:rPr>
              <w:t>Waiver of the requirement to obtain beneficiary and provider written consent of new or amended HCBS person-centered service plan</w:t>
            </w:r>
          </w:p>
        </w:tc>
        <w:tc>
          <w:tcPr>
            <w:tcW w:w="3600" w:type="dxa"/>
          </w:tcPr>
          <w:p w14:paraId="678FEADB" w14:textId="31847903" w:rsidR="00F32B22" w:rsidRDefault="001F683C" w:rsidP="001F683C">
            <w:pPr>
              <w:pStyle w:val="Default"/>
              <w:rPr>
                <w:rFonts w:ascii="Georgia" w:hAnsi="Georgia"/>
                <w:sz w:val="22"/>
                <w:szCs w:val="22"/>
              </w:rPr>
            </w:pPr>
            <w:r w:rsidRPr="000F4C2E">
              <w:rPr>
                <w:rFonts w:ascii="Georgia" w:hAnsi="Georgia"/>
                <w:sz w:val="22"/>
                <w:szCs w:val="22"/>
              </w:rPr>
              <w:t>Section 1135 waiver</w:t>
            </w:r>
          </w:p>
          <w:p w14:paraId="081365DC" w14:textId="77777777" w:rsidR="00F32B22" w:rsidRDefault="00F32B22" w:rsidP="001F683C">
            <w:pPr>
              <w:pStyle w:val="Default"/>
              <w:rPr>
                <w:rFonts w:ascii="Georgia" w:hAnsi="Georgia"/>
                <w:sz w:val="22"/>
                <w:szCs w:val="22"/>
              </w:rPr>
            </w:pPr>
          </w:p>
          <w:p w14:paraId="69A2FE2C" w14:textId="42233BEF" w:rsidR="001F683C" w:rsidRDefault="008F43BA" w:rsidP="001F683C">
            <w:pPr>
              <w:pStyle w:val="Default"/>
              <w:rPr>
                <w:rFonts w:ascii="Georgia" w:hAnsi="Georgia"/>
                <w:sz w:val="22"/>
                <w:szCs w:val="22"/>
              </w:rPr>
            </w:pPr>
            <w:r w:rsidRPr="000F4C2E">
              <w:rPr>
                <w:rFonts w:ascii="Georgia" w:hAnsi="Georgia"/>
                <w:color w:val="auto"/>
                <w:sz w:val="22"/>
                <w:szCs w:val="22"/>
              </w:rPr>
              <w:t>On 2/21/23 MassHealth submitted a request to CMS to temporarily extend this waiver</w:t>
            </w:r>
            <w:r>
              <w:rPr>
                <w:rFonts w:ascii="Georgia" w:hAnsi="Georgia"/>
                <w:color w:val="auto"/>
                <w:sz w:val="22"/>
                <w:szCs w:val="22"/>
              </w:rPr>
              <w:t xml:space="preserve"> beyond </w:t>
            </w:r>
            <w:r w:rsidR="00F32B22">
              <w:rPr>
                <w:rFonts w:ascii="Georgia" w:hAnsi="Georgia"/>
                <w:color w:val="auto"/>
                <w:sz w:val="22"/>
                <w:szCs w:val="22"/>
              </w:rPr>
              <w:t xml:space="preserve">May 11, </w:t>
            </w:r>
            <w:r>
              <w:rPr>
                <w:rFonts w:ascii="Georgia" w:hAnsi="Georgia"/>
                <w:color w:val="auto"/>
                <w:sz w:val="22"/>
                <w:szCs w:val="22"/>
              </w:rPr>
              <w:t>23</w:t>
            </w:r>
            <w:r w:rsidR="00F32B22">
              <w:rPr>
                <w:rFonts w:ascii="Georgia" w:hAnsi="Georgia"/>
                <w:color w:val="auto"/>
                <w:sz w:val="22"/>
                <w:szCs w:val="22"/>
              </w:rPr>
              <w:t>,</w:t>
            </w:r>
            <w:r>
              <w:rPr>
                <w:rFonts w:ascii="Georgia" w:hAnsi="Georgia"/>
                <w:color w:val="auto"/>
                <w:sz w:val="22"/>
                <w:szCs w:val="22"/>
              </w:rPr>
              <w:t xml:space="preserve"> but CMS denied the request</w:t>
            </w:r>
            <w:r w:rsidRPr="000F4C2E">
              <w:rPr>
                <w:rFonts w:ascii="Georgia" w:hAnsi="Georgia"/>
                <w:color w:val="auto"/>
                <w:sz w:val="22"/>
                <w:szCs w:val="22"/>
              </w:rPr>
              <w:t>.</w:t>
            </w:r>
          </w:p>
        </w:tc>
      </w:tr>
      <w:tr w:rsidR="001F683C" w14:paraId="3D7EC87A" w14:textId="77777777" w:rsidTr="00C7155C">
        <w:tc>
          <w:tcPr>
            <w:tcW w:w="6120" w:type="dxa"/>
          </w:tcPr>
          <w:p w14:paraId="1E8C9820" w14:textId="176F2EF6" w:rsidR="001F683C" w:rsidRPr="00D149F6" w:rsidRDefault="001F683C" w:rsidP="001F683C">
            <w:pPr>
              <w:pStyle w:val="Default"/>
              <w:rPr>
                <w:rFonts w:cs="Calibri"/>
              </w:rPr>
            </w:pPr>
            <w:r w:rsidRPr="001F7269">
              <w:rPr>
                <w:rFonts w:ascii="Georgia" w:hAnsi="Georgia"/>
                <w:sz w:val="22"/>
                <w:szCs w:val="22"/>
              </w:rPr>
              <w:t>Allow two Hospital Presumptive Eligibility periods within a 12-month period</w:t>
            </w:r>
          </w:p>
        </w:tc>
        <w:tc>
          <w:tcPr>
            <w:tcW w:w="3600" w:type="dxa"/>
          </w:tcPr>
          <w:p w14:paraId="12B4CF3B" w14:textId="4EF2D457" w:rsidR="001F683C" w:rsidRDefault="00E73C3A" w:rsidP="001F683C">
            <w:pPr>
              <w:pStyle w:val="Default"/>
              <w:rPr>
                <w:rFonts w:ascii="Georgia" w:hAnsi="Georgia"/>
                <w:sz w:val="22"/>
                <w:szCs w:val="22"/>
              </w:rPr>
            </w:pPr>
            <w:r>
              <w:rPr>
                <w:rFonts w:ascii="Georgia" w:hAnsi="Georgia"/>
                <w:sz w:val="22"/>
                <w:szCs w:val="22"/>
              </w:rPr>
              <w:t xml:space="preserve">DR-SPA </w:t>
            </w:r>
            <w:r w:rsidR="001F683C">
              <w:rPr>
                <w:rFonts w:ascii="Georgia" w:hAnsi="Georgia"/>
                <w:sz w:val="22"/>
                <w:szCs w:val="22"/>
              </w:rPr>
              <w:t xml:space="preserve">and CHIP </w:t>
            </w:r>
            <w:r>
              <w:rPr>
                <w:rFonts w:ascii="Georgia" w:hAnsi="Georgia"/>
                <w:sz w:val="22"/>
                <w:szCs w:val="22"/>
              </w:rPr>
              <w:t>DR-SPA</w:t>
            </w:r>
          </w:p>
        </w:tc>
      </w:tr>
      <w:tr w:rsidR="001F683C" w14:paraId="1E076039" w14:textId="77777777" w:rsidTr="00C7155C">
        <w:tc>
          <w:tcPr>
            <w:tcW w:w="6120" w:type="dxa"/>
          </w:tcPr>
          <w:p w14:paraId="6811590F" w14:textId="5CBF237A" w:rsidR="001F683C" w:rsidRPr="00317543" w:rsidRDefault="3BD2AF74" w:rsidP="001F683C">
            <w:pPr>
              <w:pStyle w:val="Default"/>
              <w:rPr>
                <w:rFonts w:ascii="Georgia" w:hAnsi="Georgia"/>
                <w:sz w:val="22"/>
                <w:szCs w:val="22"/>
              </w:rPr>
            </w:pPr>
            <w:r w:rsidRPr="0DD619E5">
              <w:rPr>
                <w:rFonts w:ascii="Georgia" w:hAnsi="Georgia" w:cs="Calibri"/>
                <w:sz w:val="22"/>
                <w:szCs w:val="22"/>
              </w:rPr>
              <w:t>The agency makes exceptions to their published Preferred Drug List if drug shortages occur.  This would include options for covering a brand name drug product that is a multisource drug if a generic drug option is not available.</w:t>
            </w:r>
          </w:p>
        </w:tc>
        <w:tc>
          <w:tcPr>
            <w:tcW w:w="3600" w:type="dxa"/>
          </w:tcPr>
          <w:p w14:paraId="7C929266" w14:textId="39E277E8" w:rsidR="001F683C" w:rsidRDefault="00E73C3A" w:rsidP="001F683C">
            <w:pPr>
              <w:pStyle w:val="Default"/>
              <w:rPr>
                <w:rFonts w:ascii="Georgia" w:hAnsi="Georgia"/>
                <w:sz w:val="22"/>
                <w:szCs w:val="22"/>
              </w:rPr>
            </w:pPr>
            <w:r>
              <w:rPr>
                <w:rFonts w:ascii="Georgia" w:hAnsi="Georgia"/>
                <w:sz w:val="22"/>
                <w:szCs w:val="22"/>
              </w:rPr>
              <w:t>DR-SPA</w:t>
            </w:r>
          </w:p>
        </w:tc>
      </w:tr>
      <w:tr w:rsidR="001F683C" w14:paraId="7CB6EC4B" w14:textId="77777777" w:rsidTr="00C7155C">
        <w:tc>
          <w:tcPr>
            <w:tcW w:w="6120" w:type="dxa"/>
          </w:tcPr>
          <w:p w14:paraId="29526092" w14:textId="2BC0EF7D" w:rsidR="001F683C" w:rsidRPr="00410B36" w:rsidRDefault="001F683C" w:rsidP="001F683C">
            <w:pPr>
              <w:pStyle w:val="Default"/>
              <w:rPr>
                <w:rFonts w:ascii="Georgia" w:hAnsi="Georgia" w:cs="Calibri"/>
                <w:sz w:val="22"/>
                <w:szCs w:val="22"/>
              </w:rPr>
            </w:pPr>
            <w:r>
              <w:rPr>
                <w:rFonts w:ascii="Georgia" w:hAnsi="Georgia" w:cs="Calibri"/>
                <w:sz w:val="22"/>
                <w:szCs w:val="22"/>
              </w:rPr>
              <w:t xml:space="preserve">Supplemental Payments to: </w:t>
            </w:r>
            <w:r w:rsidRPr="00410B36">
              <w:rPr>
                <w:rFonts w:ascii="Georgia" w:hAnsi="Georgia" w:cs="Calibri"/>
                <w:sz w:val="22"/>
                <w:szCs w:val="22"/>
              </w:rPr>
              <w:t xml:space="preserve">Acute Inpatient </w:t>
            </w:r>
            <w:r>
              <w:rPr>
                <w:rFonts w:ascii="Georgia" w:hAnsi="Georgia" w:cs="Calibri"/>
                <w:sz w:val="22"/>
                <w:szCs w:val="22"/>
              </w:rPr>
              <w:t xml:space="preserve">Hospital, Acute </w:t>
            </w:r>
            <w:r w:rsidRPr="00410B36">
              <w:rPr>
                <w:rFonts w:ascii="Georgia" w:hAnsi="Georgia" w:cs="Calibri"/>
                <w:sz w:val="22"/>
                <w:szCs w:val="22"/>
              </w:rPr>
              <w:t>Outpatient Hospital</w:t>
            </w:r>
            <w:r>
              <w:rPr>
                <w:rFonts w:ascii="Georgia" w:hAnsi="Georgia" w:cs="Calibri"/>
                <w:sz w:val="22"/>
                <w:szCs w:val="22"/>
              </w:rPr>
              <w:t xml:space="preserve">, Chronic Disease and Rehabilitation Inpatient Hospital, Psychiatric Inpatient Hospital, Substance Abuse Treatment Hospital </w:t>
            </w:r>
            <w:r>
              <w:br/>
            </w:r>
            <w:r>
              <w:br/>
            </w:r>
            <w:r>
              <w:rPr>
                <w:rFonts w:ascii="Georgia" w:hAnsi="Georgia" w:cs="Calibri"/>
                <w:sz w:val="22"/>
                <w:szCs w:val="22"/>
              </w:rPr>
              <w:t>CHC/FQHC [pending with CMS]</w:t>
            </w:r>
            <w:r>
              <w:br/>
            </w:r>
          </w:p>
        </w:tc>
        <w:tc>
          <w:tcPr>
            <w:tcW w:w="3600" w:type="dxa"/>
          </w:tcPr>
          <w:p w14:paraId="584F7E8E" w14:textId="7976B7B3" w:rsidR="001F683C" w:rsidRDefault="00E73C3A" w:rsidP="001F683C">
            <w:pPr>
              <w:pStyle w:val="Default"/>
              <w:rPr>
                <w:rFonts w:ascii="Georgia" w:hAnsi="Georgia"/>
                <w:sz w:val="22"/>
                <w:szCs w:val="22"/>
              </w:rPr>
            </w:pPr>
            <w:r>
              <w:rPr>
                <w:rFonts w:ascii="Georgia" w:hAnsi="Georgia"/>
                <w:sz w:val="22"/>
                <w:szCs w:val="22"/>
              </w:rPr>
              <w:t>DR-SPA</w:t>
            </w:r>
          </w:p>
        </w:tc>
      </w:tr>
      <w:tr w:rsidR="001F683C" w14:paraId="001CE9D4" w14:textId="77777777" w:rsidTr="00C7155C">
        <w:tc>
          <w:tcPr>
            <w:tcW w:w="6120" w:type="dxa"/>
          </w:tcPr>
          <w:p w14:paraId="444AEC76" w14:textId="364F87B6" w:rsidR="005C341E" w:rsidRPr="008D65AF" w:rsidRDefault="001B7CCE" w:rsidP="001F683C">
            <w:pPr>
              <w:spacing w:before="0" w:after="0" w:afterAutospacing="0"/>
              <w:ind w:left="0"/>
              <w:rPr>
                <w:rFonts w:cs="Calibri"/>
              </w:rPr>
            </w:pPr>
            <w:r>
              <w:rPr>
                <w:rFonts w:cs="Calibri"/>
                <w:color w:val="000000"/>
              </w:rPr>
              <w:t>On-site specimen collection and s</w:t>
            </w:r>
            <w:r w:rsidR="001F683C">
              <w:rPr>
                <w:rFonts w:cs="Calibri"/>
                <w:color w:val="000000"/>
              </w:rPr>
              <w:t>eparate r</w:t>
            </w:r>
            <w:r w:rsidR="001F683C" w:rsidRPr="002D365B">
              <w:rPr>
                <w:rFonts w:cs="Calibri"/>
                <w:color w:val="000000"/>
              </w:rPr>
              <w:t>ates for specimen collection</w:t>
            </w:r>
          </w:p>
        </w:tc>
        <w:tc>
          <w:tcPr>
            <w:tcW w:w="3600" w:type="dxa"/>
          </w:tcPr>
          <w:p w14:paraId="095E422A" w14:textId="6172360F" w:rsidR="001F683C" w:rsidRDefault="001F683C" w:rsidP="001F683C">
            <w:pPr>
              <w:pStyle w:val="pf0"/>
              <w:rPr>
                <w:rFonts w:ascii="Georgia" w:hAnsi="Georgia" w:cs="Calibri"/>
                <w:sz w:val="22"/>
                <w:szCs w:val="22"/>
              </w:rPr>
            </w:pPr>
            <w:r>
              <w:rPr>
                <w:rFonts w:ascii="Georgia" w:hAnsi="Georgia" w:cs="Calibri"/>
                <w:sz w:val="22"/>
                <w:szCs w:val="22"/>
              </w:rPr>
              <w:t>Disaster SPA</w:t>
            </w:r>
          </w:p>
        </w:tc>
      </w:tr>
      <w:tr w:rsidR="004F534C" w14:paraId="22AD90B1" w14:textId="77777777" w:rsidTr="00C7155C">
        <w:tc>
          <w:tcPr>
            <w:tcW w:w="6120" w:type="dxa"/>
          </w:tcPr>
          <w:p w14:paraId="3F0B2D66" w14:textId="3608507D" w:rsidR="004F534C" w:rsidRPr="0024185D" w:rsidRDefault="1B8268DC" w:rsidP="3F917A54">
            <w:pPr>
              <w:pStyle w:val="xxxxxxxxmsonormal"/>
              <w:shd w:val="clear" w:color="auto" w:fill="FFFFFF" w:themeFill="background1"/>
              <w:spacing w:before="0" w:beforeAutospacing="0" w:after="0" w:afterAutospacing="0"/>
              <w:rPr>
                <w:rFonts w:ascii="Georgia" w:eastAsia="Times New Roman" w:hAnsi="Georgia" w:cs="Times New Roman"/>
                <w:color w:val="201F1E"/>
                <w:shd w:val="clear" w:color="auto" w:fill="FFFFFF"/>
              </w:rPr>
            </w:pPr>
            <w:r w:rsidRPr="0024185D">
              <w:rPr>
                <w:rStyle w:val="contentpasted0"/>
                <w:rFonts w:ascii="Georgia" w:eastAsia="Times New Roman" w:hAnsi="Georgia" w:cs="Times New Roman"/>
                <w:color w:val="201F1E"/>
                <w:shd w:val="clear" w:color="auto" w:fill="FFFFFF"/>
              </w:rPr>
              <w:t>W</w:t>
            </w:r>
            <w:r w:rsidR="69E0318D" w:rsidRPr="0024185D">
              <w:rPr>
                <w:rStyle w:val="contentpasted0"/>
                <w:rFonts w:ascii="Georgia" w:eastAsia="Times New Roman" w:hAnsi="Georgia" w:cs="Times New Roman"/>
                <w:color w:val="201F1E"/>
                <w:shd w:val="clear" w:color="auto" w:fill="FFFFFF"/>
              </w:rPr>
              <w:t>aive signature requirements for dispensing of drugs since the beginning of the public health emergency</w:t>
            </w:r>
            <w:r w:rsidR="00F32B22">
              <w:rPr>
                <w:rStyle w:val="contentpasted0"/>
                <w:rFonts w:ascii="Georgia" w:eastAsia="Times New Roman" w:hAnsi="Georgia" w:cs="Times New Roman"/>
                <w:color w:val="201F1E"/>
                <w:shd w:val="clear" w:color="auto" w:fill="FFFFFF"/>
              </w:rPr>
              <w:t>.</w:t>
            </w:r>
          </w:p>
          <w:p w14:paraId="0AB5595E" w14:textId="77777777" w:rsidR="004F534C" w:rsidRPr="00317543" w:rsidRDefault="004F534C" w:rsidP="001F683C">
            <w:pPr>
              <w:pStyle w:val="Default"/>
              <w:rPr>
                <w:rFonts w:ascii="Georgia" w:hAnsi="Georgia" w:cs="Calibri"/>
                <w:sz w:val="22"/>
                <w:szCs w:val="22"/>
              </w:rPr>
            </w:pPr>
          </w:p>
        </w:tc>
        <w:tc>
          <w:tcPr>
            <w:tcW w:w="3600" w:type="dxa"/>
          </w:tcPr>
          <w:p w14:paraId="6A3231CE" w14:textId="5A724529" w:rsidR="004F534C" w:rsidRDefault="00E73C3A" w:rsidP="44B71D11">
            <w:pPr>
              <w:pStyle w:val="Default"/>
              <w:rPr>
                <w:rFonts w:ascii="Georgia" w:hAnsi="Georgia"/>
                <w:color w:val="FF0000"/>
                <w:sz w:val="22"/>
                <w:szCs w:val="22"/>
              </w:rPr>
            </w:pPr>
            <w:r>
              <w:rPr>
                <w:rFonts w:ascii="Georgia" w:hAnsi="Georgia"/>
                <w:sz w:val="22"/>
                <w:szCs w:val="22"/>
              </w:rPr>
              <w:lastRenderedPageBreak/>
              <w:t xml:space="preserve">DR-SPA </w:t>
            </w:r>
            <w:r w:rsidR="00211451" w:rsidRPr="44B71D11">
              <w:rPr>
                <w:rFonts w:ascii="Georgia" w:hAnsi="Georgia"/>
                <w:sz w:val="22"/>
                <w:szCs w:val="22"/>
              </w:rPr>
              <w:t xml:space="preserve">(pending) </w:t>
            </w:r>
          </w:p>
        </w:tc>
      </w:tr>
      <w:tr w:rsidR="00811A28" w14:paraId="31396D4E" w14:textId="77777777" w:rsidTr="00C7155C">
        <w:tc>
          <w:tcPr>
            <w:tcW w:w="6120" w:type="dxa"/>
          </w:tcPr>
          <w:p w14:paraId="15CE33DD" w14:textId="6D75CEBA" w:rsidR="00811A28" w:rsidRPr="00317543" w:rsidRDefault="004557E9" w:rsidP="001F683C">
            <w:pPr>
              <w:pStyle w:val="Default"/>
              <w:rPr>
                <w:rFonts w:ascii="Georgia" w:hAnsi="Georgia" w:cs="Calibri"/>
                <w:sz w:val="22"/>
                <w:szCs w:val="22"/>
              </w:rPr>
            </w:pPr>
            <w:r>
              <w:rPr>
                <w:rFonts w:ascii="Georgia" w:hAnsi="Georgia" w:cs="Calibri"/>
                <w:sz w:val="22"/>
                <w:szCs w:val="22"/>
              </w:rPr>
              <w:t>Nursing Facility Supplemental Payments</w:t>
            </w:r>
          </w:p>
        </w:tc>
        <w:tc>
          <w:tcPr>
            <w:tcW w:w="3600" w:type="dxa"/>
          </w:tcPr>
          <w:p w14:paraId="22A8650D" w14:textId="23183B2C" w:rsidR="00811A28" w:rsidRDefault="00E73C3A" w:rsidP="001F683C">
            <w:pPr>
              <w:pStyle w:val="Default"/>
              <w:rPr>
                <w:rFonts w:ascii="Georgia" w:hAnsi="Georgia"/>
                <w:sz w:val="22"/>
                <w:szCs w:val="22"/>
              </w:rPr>
            </w:pPr>
            <w:r>
              <w:rPr>
                <w:rFonts w:ascii="Georgia" w:hAnsi="Georgia"/>
                <w:sz w:val="22"/>
                <w:szCs w:val="22"/>
              </w:rPr>
              <w:t xml:space="preserve">DR-SPA </w:t>
            </w:r>
            <w:r w:rsidR="00206708">
              <w:rPr>
                <w:rFonts w:ascii="Georgia" w:hAnsi="Georgia"/>
                <w:sz w:val="22"/>
                <w:szCs w:val="22"/>
              </w:rPr>
              <w:t>(pending)</w:t>
            </w:r>
            <w:r w:rsidR="00811A28">
              <w:rPr>
                <w:rFonts w:ascii="Georgia" w:hAnsi="Georgia"/>
                <w:sz w:val="22"/>
                <w:szCs w:val="22"/>
              </w:rPr>
              <w:t xml:space="preserve"> </w:t>
            </w:r>
          </w:p>
        </w:tc>
      </w:tr>
      <w:tr w:rsidR="001F683C" w14:paraId="2CA894AC" w14:textId="77777777" w:rsidTr="00C7155C">
        <w:tc>
          <w:tcPr>
            <w:tcW w:w="6120" w:type="dxa"/>
          </w:tcPr>
          <w:p w14:paraId="52AE7072" w14:textId="5A5C4CDF" w:rsidR="001F683C" w:rsidRPr="00317543" w:rsidRDefault="001F683C" w:rsidP="001F683C">
            <w:pPr>
              <w:pStyle w:val="Default"/>
              <w:rPr>
                <w:rFonts w:ascii="Georgia" w:hAnsi="Georgia" w:cs="Calibri"/>
                <w:sz w:val="22"/>
                <w:szCs w:val="22"/>
              </w:rPr>
            </w:pPr>
            <w:r w:rsidRPr="00317543">
              <w:rPr>
                <w:rFonts w:ascii="Georgia" w:hAnsi="Georgia" w:cs="Calibri"/>
                <w:sz w:val="22"/>
                <w:szCs w:val="22"/>
              </w:rPr>
              <w:t xml:space="preserve">The state will use the regulatory timeliness exception for timely processing of CHIP renewals under 42 CFR 457.340(d)(1) and follow CMS-issued guidance regarding resuming the timely processing of renewals. </w:t>
            </w:r>
            <w:r w:rsidRPr="00317543">
              <w:rPr>
                <w:rFonts w:ascii="Georgia" w:hAnsi="Georgia" w:cs="Calibri"/>
                <w:sz w:val="22"/>
                <w:szCs w:val="22"/>
              </w:rPr>
              <w:br/>
            </w:r>
          </w:p>
        </w:tc>
        <w:tc>
          <w:tcPr>
            <w:tcW w:w="3600" w:type="dxa"/>
          </w:tcPr>
          <w:p w14:paraId="091CB06A" w14:textId="46987E5D" w:rsidR="001F683C" w:rsidRDefault="001F683C" w:rsidP="001F683C">
            <w:pPr>
              <w:pStyle w:val="Default"/>
              <w:rPr>
                <w:rFonts w:ascii="Georgia" w:hAnsi="Georgia"/>
                <w:sz w:val="22"/>
                <w:szCs w:val="22"/>
              </w:rPr>
            </w:pPr>
            <w:r>
              <w:rPr>
                <w:rFonts w:ascii="Georgia" w:hAnsi="Georgia"/>
                <w:sz w:val="22"/>
                <w:szCs w:val="22"/>
              </w:rPr>
              <w:t xml:space="preserve">CHIP </w:t>
            </w:r>
            <w:r w:rsidR="00E73C3A">
              <w:rPr>
                <w:rFonts w:ascii="Georgia" w:hAnsi="Georgia"/>
                <w:sz w:val="22"/>
                <w:szCs w:val="22"/>
              </w:rPr>
              <w:t>DR-SPA</w:t>
            </w:r>
          </w:p>
        </w:tc>
      </w:tr>
    </w:tbl>
    <w:p w14:paraId="1329390F" w14:textId="6334989D" w:rsidR="000F4C2E" w:rsidRDefault="00F668C2" w:rsidP="00BF2879">
      <w:pPr>
        <w:pStyle w:val="Heading2"/>
      </w:pPr>
      <w:r w:rsidRPr="002F46B9">
        <w:t xml:space="preserve">Flexibilities </w:t>
      </w:r>
      <w:r w:rsidR="00F32B22">
        <w:t xml:space="preserve">approved </w:t>
      </w:r>
      <w:r>
        <w:t xml:space="preserve">through </w:t>
      </w:r>
      <w:r w:rsidR="001C3E0D">
        <w:t>DR-</w:t>
      </w:r>
      <w:r>
        <w:t>SPAs</w:t>
      </w:r>
      <w:r w:rsidR="00230B33" w:rsidRPr="00456C5E">
        <w:t xml:space="preserve"> that </w:t>
      </w:r>
      <w:r w:rsidR="00230B33">
        <w:t xml:space="preserve">are due to </w:t>
      </w:r>
      <w:r w:rsidR="00230B33" w:rsidRPr="00456C5E">
        <w:t>end on May 11, 2023</w:t>
      </w:r>
      <w:r w:rsidR="00F32B22">
        <w:t>,</w:t>
      </w:r>
      <w:r w:rsidR="00C7155C">
        <w:t xml:space="preserve"> and</w:t>
      </w:r>
      <w:r w:rsidR="00230B33">
        <w:t xml:space="preserve"> which MassHealth </w:t>
      </w:r>
      <w:r w:rsidR="00F37FAE">
        <w:t>will request t</w:t>
      </w:r>
      <w:r w:rsidR="00230B33">
        <w:t>o extend</w:t>
      </w:r>
      <w:r w:rsidR="00C6042F">
        <w:t xml:space="preserve"> </w:t>
      </w:r>
      <w:r w:rsidR="00F37FAE">
        <w:t>on a temporary basis</w:t>
      </w:r>
    </w:p>
    <w:tbl>
      <w:tblPr>
        <w:tblStyle w:val="TableGrid"/>
        <w:tblW w:w="0" w:type="auto"/>
        <w:tblInd w:w="355" w:type="dxa"/>
        <w:tblLook w:val="04A0" w:firstRow="1" w:lastRow="0" w:firstColumn="1" w:lastColumn="0" w:noHBand="0" w:noVBand="1"/>
      </w:tblPr>
      <w:tblGrid>
        <w:gridCol w:w="4098"/>
        <w:gridCol w:w="2453"/>
        <w:gridCol w:w="3164"/>
      </w:tblGrid>
      <w:tr w:rsidR="000F4C2E" w14:paraId="42E4E752" w14:textId="03DAA8EA" w:rsidTr="00C7155C">
        <w:trPr>
          <w:tblHeader/>
        </w:trPr>
        <w:tc>
          <w:tcPr>
            <w:tcW w:w="4098" w:type="dxa"/>
          </w:tcPr>
          <w:p w14:paraId="14AEEF37" w14:textId="61DA2797" w:rsidR="000F4C2E" w:rsidRDefault="000F4C2E" w:rsidP="001B07B9">
            <w:pPr>
              <w:pStyle w:val="Default"/>
              <w:rPr>
                <w:rFonts w:ascii="Georgia" w:hAnsi="Georgia"/>
                <w:b/>
                <w:bCs/>
                <w:sz w:val="22"/>
                <w:szCs w:val="22"/>
              </w:rPr>
            </w:pPr>
            <w:r>
              <w:rPr>
                <w:rFonts w:ascii="Georgia" w:hAnsi="Georgia"/>
                <w:b/>
                <w:bCs/>
                <w:sz w:val="22"/>
                <w:szCs w:val="22"/>
              </w:rPr>
              <w:t xml:space="preserve">Flexibility </w:t>
            </w:r>
          </w:p>
        </w:tc>
        <w:tc>
          <w:tcPr>
            <w:tcW w:w="2453" w:type="dxa"/>
          </w:tcPr>
          <w:p w14:paraId="161BC86E" w14:textId="3D8EEC2D" w:rsidR="000F4C2E" w:rsidRDefault="000F4C2E" w:rsidP="001B07B9">
            <w:pPr>
              <w:pStyle w:val="Default"/>
              <w:rPr>
                <w:rFonts w:ascii="Georgia" w:hAnsi="Georgia"/>
                <w:b/>
                <w:bCs/>
                <w:sz w:val="22"/>
                <w:szCs w:val="22"/>
              </w:rPr>
            </w:pPr>
            <w:r>
              <w:rPr>
                <w:rFonts w:ascii="Georgia" w:hAnsi="Georgia"/>
                <w:b/>
                <w:bCs/>
                <w:sz w:val="22"/>
                <w:szCs w:val="22"/>
              </w:rPr>
              <w:t>Authority Vehicle</w:t>
            </w:r>
          </w:p>
        </w:tc>
        <w:tc>
          <w:tcPr>
            <w:tcW w:w="3164" w:type="dxa"/>
          </w:tcPr>
          <w:p w14:paraId="768EBE18" w14:textId="67DE0C5A" w:rsidR="000F4C2E" w:rsidRDefault="000F4C2E" w:rsidP="001B07B9">
            <w:pPr>
              <w:pStyle w:val="Default"/>
              <w:rPr>
                <w:rFonts w:ascii="Georgia" w:hAnsi="Georgia"/>
                <w:b/>
                <w:bCs/>
                <w:sz w:val="22"/>
                <w:szCs w:val="22"/>
              </w:rPr>
            </w:pPr>
            <w:r>
              <w:rPr>
                <w:rFonts w:ascii="Georgia" w:hAnsi="Georgia"/>
                <w:b/>
                <w:bCs/>
                <w:sz w:val="22"/>
                <w:szCs w:val="22"/>
              </w:rPr>
              <w:t>Extension Request</w:t>
            </w:r>
          </w:p>
        </w:tc>
      </w:tr>
      <w:tr w:rsidR="00AD661D" w14:paraId="7FEFF4E4" w14:textId="77777777" w:rsidTr="00C7155C">
        <w:tc>
          <w:tcPr>
            <w:tcW w:w="4098" w:type="dxa"/>
          </w:tcPr>
          <w:p w14:paraId="6B4C463F" w14:textId="0C1770A8" w:rsidR="00AD661D" w:rsidRDefault="001A435C" w:rsidP="0060727B">
            <w:pPr>
              <w:pStyle w:val="Default"/>
            </w:pPr>
            <w:r>
              <w:t>Extend the use of Hospital</w:t>
            </w:r>
            <w:r w:rsidR="002140BC">
              <w:t>-Determined</w:t>
            </w:r>
            <w:r>
              <w:t xml:space="preserve"> Presumptive Eligibility </w:t>
            </w:r>
            <w:r w:rsidR="002140BC">
              <w:t>to non-MAGI individuals</w:t>
            </w:r>
          </w:p>
        </w:tc>
        <w:tc>
          <w:tcPr>
            <w:tcW w:w="2453" w:type="dxa"/>
          </w:tcPr>
          <w:p w14:paraId="682FD98B" w14:textId="01841462" w:rsidR="00AD661D" w:rsidRPr="000F4C2E" w:rsidRDefault="00E73C3A" w:rsidP="0060727B">
            <w:pPr>
              <w:pStyle w:val="Default"/>
              <w:rPr>
                <w:rFonts w:ascii="Georgia" w:hAnsi="Georgia"/>
                <w:sz w:val="22"/>
                <w:szCs w:val="22"/>
              </w:rPr>
            </w:pPr>
            <w:r>
              <w:rPr>
                <w:rFonts w:ascii="Georgia" w:hAnsi="Georgia"/>
                <w:sz w:val="22"/>
                <w:szCs w:val="22"/>
              </w:rPr>
              <w:t>DR-SPA</w:t>
            </w:r>
          </w:p>
        </w:tc>
        <w:tc>
          <w:tcPr>
            <w:tcW w:w="3164" w:type="dxa"/>
          </w:tcPr>
          <w:p w14:paraId="0EB990AD" w14:textId="13CD7B67" w:rsidR="00AD661D" w:rsidRPr="00F04A02" w:rsidRDefault="00697AE7" w:rsidP="0060727B">
            <w:pPr>
              <w:pStyle w:val="Default"/>
              <w:rPr>
                <w:rFonts w:ascii="Georgia" w:hAnsi="Georgia"/>
                <w:color w:val="auto"/>
                <w:sz w:val="22"/>
                <w:szCs w:val="22"/>
              </w:rPr>
            </w:pPr>
            <w:r w:rsidRPr="00F04A02">
              <w:rPr>
                <w:rFonts w:ascii="Georgia" w:hAnsi="Georgia"/>
                <w:sz w:val="22"/>
                <w:szCs w:val="22"/>
              </w:rPr>
              <w:t>MassHealth will request a temporary extension through the eligibility unwinding period (until March 31, 2024)</w:t>
            </w:r>
          </w:p>
        </w:tc>
      </w:tr>
      <w:tr w:rsidR="0088701B" w14:paraId="038B1AA4" w14:textId="77777777" w:rsidTr="00C7155C">
        <w:tc>
          <w:tcPr>
            <w:tcW w:w="4098" w:type="dxa"/>
          </w:tcPr>
          <w:p w14:paraId="667E06B9" w14:textId="1687846E" w:rsidR="0088701B" w:rsidRPr="001F7269" w:rsidRDefault="0088701B" w:rsidP="00697AE7">
            <w:pPr>
              <w:pStyle w:val="Default"/>
              <w:rPr>
                <w:rFonts w:ascii="Georgia" w:hAnsi="Georgia"/>
                <w:sz w:val="22"/>
                <w:szCs w:val="22"/>
              </w:rPr>
            </w:pPr>
            <w:r>
              <w:rPr>
                <w:rFonts w:ascii="Georgia" w:hAnsi="Georgia"/>
                <w:sz w:val="22"/>
                <w:szCs w:val="22"/>
              </w:rPr>
              <w:t xml:space="preserve">Disregard Holyoke Soldier’s Home settlement payments when </w:t>
            </w:r>
            <w:r w:rsidR="00A43526">
              <w:rPr>
                <w:rFonts w:ascii="Georgia" w:hAnsi="Georgia"/>
                <w:sz w:val="22"/>
                <w:szCs w:val="22"/>
              </w:rPr>
              <w:t xml:space="preserve">determining </w:t>
            </w:r>
            <w:r>
              <w:rPr>
                <w:rFonts w:ascii="Georgia" w:hAnsi="Georgia"/>
                <w:sz w:val="22"/>
                <w:szCs w:val="22"/>
              </w:rPr>
              <w:t xml:space="preserve">eligibility </w:t>
            </w:r>
          </w:p>
        </w:tc>
        <w:tc>
          <w:tcPr>
            <w:tcW w:w="2453" w:type="dxa"/>
          </w:tcPr>
          <w:p w14:paraId="0BD4D8CD" w14:textId="430EA222" w:rsidR="0088701B" w:rsidRPr="00F04A02" w:rsidRDefault="00E73C3A" w:rsidP="00697AE7">
            <w:pPr>
              <w:pStyle w:val="Default"/>
              <w:rPr>
                <w:rFonts w:ascii="Georgia" w:hAnsi="Georgia"/>
                <w:sz w:val="22"/>
                <w:szCs w:val="22"/>
              </w:rPr>
            </w:pPr>
            <w:r>
              <w:rPr>
                <w:rFonts w:ascii="Georgia" w:hAnsi="Georgia"/>
                <w:sz w:val="22"/>
                <w:szCs w:val="22"/>
              </w:rPr>
              <w:t xml:space="preserve">DR-SPA </w:t>
            </w:r>
            <w:r w:rsidR="0088701B">
              <w:rPr>
                <w:rFonts w:ascii="Georgia" w:hAnsi="Georgia"/>
                <w:sz w:val="22"/>
                <w:szCs w:val="22"/>
              </w:rPr>
              <w:t>(pending)</w:t>
            </w:r>
            <w:r w:rsidR="004663EA">
              <w:rPr>
                <w:rFonts w:ascii="Georgia" w:hAnsi="Georgia"/>
                <w:sz w:val="22"/>
                <w:szCs w:val="22"/>
              </w:rPr>
              <w:t xml:space="preserve"> </w:t>
            </w:r>
          </w:p>
        </w:tc>
        <w:tc>
          <w:tcPr>
            <w:tcW w:w="3164" w:type="dxa"/>
          </w:tcPr>
          <w:p w14:paraId="7F8DF208" w14:textId="6DACE2F8" w:rsidR="0088701B" w:rsidRPr="00F04A02" w:rsidRDefault="0088701B" w:rsidP="00697AE7">
            <w:pPr>
              <w:pStyle w:val="Default"/>
              <w:rPr>
                <w:rFonts w:ascii="Georgia" w:hAnsi="Georgia"/>
                <w:sz w:val="22"/>
                <w:szCs w:val="22"/>
              </w:rPr>
            </w:pPr>
            <w:r w:rsidRPr="00F04A02">
              <w:rPr>
                <w:rFonts w:ascii="Georgia" w:hAnsi="Georgia"/>
                <w:sz w:val="22"/>
                <w:szCs w:val="22"/>
              </w:rPr>
              <w:t>MassHealth will request a temporary extension through the eligibility unwinding period (until March 31, 2024)</w:t>
            </w:r>
          </w:p>
        </w:tc>
      </w:tr>
      <w:tr w:rsidR="00DC5998" w14:paraId="0E1E52D8" w14:textId="77777777" w:rsidTr="00C7155C">
        <w:tc>
          <w:tcPr>
            <w:tcW w:w="4098" w:type="dxa"/>
          </w:tcPr>
          <w:p w14:paraId="54CD2F5C" w14:textId="38FFCC22" w:rsidR="00DC5998" w:rsidRPr="001F7269" w:rsidRDefault="00DC5998" w:rsidP="00697AE7">
            <w:pPr>
              <w:pStyle w:val="Default"/>
              <w:rPr>
                <w:rFonts w:ascii="Georgia" w:hAnsi="Georgia"/>
                <w:sz w:val="22"/>
                <w:szCs w:val="22"/>
              </w:rPr>
            </w:pPr>
            <w:r>
              <w:rPr>
                <w:rFonts w:ascii="Georgia" w:hAnsi="Georgia"/>
                <w:sz w:val="22"/>
                <w:szCs w:val="22"/>
              </w:rPr>
              <w:t xml:space="preserve">Disregard </w:t>
            </w:r>
            <w:r w:rsidR="00331D84">
              <w:rPr>
                <w:rFonts w:ascii="Georgia" w:hAnsi="Georgia"/>
                <w:sz w:val="22"/>
                <w:szCs w:val="22"/>
              </w:rPr>
              <w:t>c</w:t>
            </w:r>
            <w:r w:rsidR="00331D84" w:rsidRPr="00331D84">
              <w:rPr>
                <w:rFonts w:ascii="Georgia" w:hAnsi="Georgia"/>
                <w:sz w:val="22"/>
                <w:szCs w:val="22"/>
              </w:rPr>
              <w:t xml:space="preserve">ountable assets accumulated since </w:t>
            </w:r>
            <w:r w:rsidR="00D23E6B">
              <w:rPr>
                <w:rFonts w:ascii="Georgia" w:hAnsi="Georgia"/>
                <w:sz w:val="22"/>
                <w:szCs w:val="22"/>
              </w:rPr>
              <w:t>March 18, 20</w:t>
            </w:r>
            <w:r w:rsidR="00331D84" w:rsidRPr="00331D84">
              <w:rPr>
                <w:rFonts w:ascii="Georgia" w:hAnsi="Georgia"/>
                <w:sz w:val="22"/>
                <w:szCs w:val="22"/>
              </w:rPr>
              <w:t>20</w:t>
            </w:r>
            <w:r w:rsidR="00D23E6B">
              <w:rPr>
                <w:rFonts w:ascii="Georgia" w:hAnsi="Georgia"/>
                <w:sz w:val="22"/>
                <w:szCs w:val="22"/>
              </w:rPr>
              <w:t>,</w:t>
            </w:r>
            <w:r w:rsidR="00331D84" w:rsidRPr="00331D84">
              <w:rPr>
                <w:rFonts w:ascii="Georgia" w:hAnsi="Georgia"/>
                <w:sz w:val="22"/>
                <w:szCs w:val="22"/>
              </w:rPr>
              <w:t xml:space="preserve"> for </w:t>
            </w:r>
            <w:r w:rsidR="00331D84">
              <w:rPr>
                <w:rFonts w:ascii="Georgia" w:hAnsi="Georgia"/>
                <w:sz w:val="22"/>
                <w:szCs w:val="22"/>
              </w:rPr>
              <w:t>PETI (Post Eligibility Treatment of Income)</w:t>
            </w:r>
          </w:p>
        </w:tc>
        <w:tc>
          <w:tcPr>
            <w:tcW w:w="2453" w:type="dxa"/>
          </w:tcPr>
          <w:p w14:paraId="5E9EB762" w14:textId="236EC47A" w:rsidR="00DC5998" w:rsidRPr="00F04A02" w:rsidRDefault="00E73C3A" w:rsidP="00697AE7">
            <w:pPr>
              <w:pStyle w:val="Default"/>
              <w:rPr>
                <w:rFonts w:ascii="Georgia" w:hAnsi="Georgia"/>
                <w:sz w:val="22"/>
                <w:szCs w:val="22"/>
              </w:rPr>
            </w:pPr>
            <w:r>
              <w:rPr>
                <w:rFonts w:ascii="Georgia" w:hAnsi="Georgia"/>
                <w:sz w:val="22"/>
                <w:szCs w:val="22"/>
              </w:rPr>
              <w:t xml:space="preserve">DR-SPA </w:t>
            </w:r>
            <w:r w:rsidR="00843C7B">
              <w:rPr>
                <w:rFonts w:ascii="Georgia" w:hAnsi="Georgia"/>
                <w:sz w:val="22"/>
                <w:szCs w:val="22"/>
              </w:rPr>
              <w:t xml:space="preserve">(pending) </w:t>
            </w:r>
          </w:p>
        </w:tc>
        <w:tc>
          <w:tcPr>
            <w:tcW w:w="3164" w:type="dxa"/>
          </w:tcPr>
          <w:p w14:paraId="09EE1813" w14:textId="0BE812E4" w:rsidR="00DC5998" w:rsidRPr="00F04A02" w:rsidRDefault="00331D84" w:rsidP="00697AE7">
            <w:pPr>
              <w:pStyle w:val="Default"/>
              <w:rPr>
                <w:rFonts w:ascii="Georgia" w:hAnsi="Georgia"/>
                <w:sz w:val="22"/>
                <w:szCs w:val="22"/>
              </w:rPr>
            </w:pPr>
            <w:r w:rsidRPr="00F04A02">
              <w:rPr>
                <w:rFonts w:ascii="Georgia" w:hAnsi="Georgia"/>
                <w:sz w:val="22"/>
                <w:szCs w:val="22"/>
              </w:rPr>
              <w:t>MassHealth will request a temporary extension through the eligibility unwinding period (until March 31, 2024)</w:t>
            </w:r>
          </w:p>
        </w:tc>
      </w:tr>
      <w:tr w:rsidR="00A43526" w14:paraId="32D13B63" w14:textId="77777777" w:rsidTr="00C7155C">
        <w:tc>
          <w:tcPr>
            <w:tcW w:w="4098" w:type="dxa"/>
          </w:tcPr>
          <w:p w14:paraId="2EC68952" w14:textId="02EE86C0" w:rsidR="00A43526" w:rsidRPr="001F7269" w:rsidRDefault="00A43526" w:rsidP="00697AE7">
            <w:pPr>
              <w:pStyle w:val="Default"/>
              <w:rPr>
                <w:rFonts w:ascii="Georgia" w:hAnsi="Georgia"/>
                <w:sz w:val="22"/>
                <w:szCs w:val="22"/>
              </w:rPr>
            </w:pPr>
            <w:r w:rsidRPr="00A43526">
              <w:rPr>
                <w:rFonts w:ascii="Georgia" w:hAnsi="Georgia"/>
                <w:sz w:val="22"/>
                <w:szCs w:val="22"/>
              </w:rPr>
              <w:t>Disregard ARPA</w:t>
            </w:r>
            <w:r w:rsidR="00561C57">
              <w:rPr>
                <w:rFonts w:ascii="Georgia" w:hAnsi="Georgia"/>
                <w:sz w:val="22"/>
                <w:szCs w:val="22"/>
              </w:rPr>
              <w:t xml:space="preserve"> and other COVID-19 related</w:t>
            </w:r>
            <w:r w:rsidRPr="00A43526">
              <w:rPr>
                <w:rFonts w:ascii="Georgia" w:hAnsi="Georgia"/>
                <w:sz w:val="22"/>
                <w:szCs w:val="22"/>
              </w:rPr>
              <w:t xml:space="preserve"> payments when determining eligibility</w:t>
            </w:r>
            <w:r w:rsidR="00561C57">
              <w:rPr>
                <w:rFonts w:ascii="Georgia" w:hAnsi="Georgia"/>
                <w:sz w:val="22"/>
                <w:szCs w:val="22"/>
              </w:rPr>
              <w:t xml:space="preserve"> and calculating Patient Paid Amounts</w:t>
            </w:r>
          </w:p>
        </w:tc>
        <w:tc>
          <w:tcPr>
            <w:tcW w:w="2453" w:type="dxa"/>
          </w:tcPr>
          <w:p w14:paraId="118EDA2C" w14:textId="65853DD2" w:rsidR="00A43526" w:rsidRPr="00F04A02" w:rsidRDefault="00E73C3A" w:rsidP="00697AE7">
            <w:pPr>
              <w:pStyle w:val="Default"/>
              <w:rPr>
                <w:rFonts w:ascii="Georgia" w:hAnsi="Georgia"/>
                <w:sz w:val="22"/>
                <w:szCs w:val="22"/>
              </w:rPr>
            </w:pPr>
            <w:r>
              <w:rPr>
                <w:rFonts w:ascii="Georgia" w:hAnsi="Georgia"/>
                <w:sz w:val="22"/>
                <w:szCs w:val="22"/>
              </w:rPr>
              <w:t>DR-SPA</w:t>
            </w:r>
          </w:p>
        </w:tc>
        <w:tc>
          <w:tcPr>
            <w:tcW w:w="3164" w:type="dxa"/>
          </w:tcPr>
          <w:p w14:paraId="3054731F" w14:textId="6F409DD1" w:rsidR="00A43526" w:rsidRPr="00F04A02" w:rsidRDefault="00A43526" w:rsidP="00697AE7">
            <w:pPr>
              <w:pStyle w:val="Default"/>
              <w:rPr>
                <w:rFonts w:ascii="Georgia" w:hAnsi="Georgia"/>
                <w:sz w:val="22"/>
                <w:szCs w:val="22"/>
              </w:rPr>
            </w:pPr>
            <w:r w:rsidRPr="00F04A02">
              <w:rPr>
                <w:rFonts w:ascii="Georgia" w:hAnsi="Georgia"/>
                <w:sz w:val="22"/>
                <w:szCs w:val="22"/>
              </w:rPr>
              <w:t>MassHealth will request a temporary extension through the eligibility unwinding period (until March 31, 2024)</w:t>
            </w:r>
          </w:p>
        </w:tc>
      </w:tr>
      <w:tr w:rsidR="00697AE7" w14:paraId="576BA44C" w14:textId="77777777" w:rsidTr="00C7155C">
        <w:tc>
          <w:tcPr>
            <w:tcW w:w="4098" w:type="dxa"/>
          </w:tcPr>
          <w:p w14:paraId="2A546366" w14:textId="54368131" w:rsidR="00544C66" w:rsidRPr="00380A41" w:rsidRDefault="00380A41" w:rsidP="00380A41">
            <w:pPr>
              <w:pStyle w:val="xxxxxxxxmsonormal"/>
              <w:shd w:val="clear" w:color="auto" w:fill="FFFFFF"/>
              <w:spacing w:before="0" w:beforeAutospacing="0" w:after="0" w:afterAutospacing="0"/>
              <w:rPr>
                <w:rFonts w:ascii="Georgia" w:eastAsia="Times New Roman" w:hAnsi="Georgia" w:cs="Times New Roman"/>
                <w:color w:val="000000"/>
                <w:shd w:val="clear" w:color="auto" w:fill="FFFFFF"/>
              </w:rPr>
            </w:pPr>
            <w:r w:rsidRPr="00380A41">
              <w:rPr>
                <w:rStyle w:val="contentpasted0"/>
                <w:rFonts w:ascii="Georgia" w:hAnsi="Georgia"/>
                <w:color w:val="000000"/>
                <w:shd w:val="clear" w:color="auto" w:fill="FFFFFF"/>
              </w:rPr>
              <w:t>S</w:t>
            </w:r>
            <w:r w:rsidR="00544C66" w:rsidRPr="00380A41">
              <w:rPr>
                <w:rStyle w:val="contentpasted0"/>
                <w:rFonts w:ascii="Georgia" w:hAnsi="Georgia"/>
                <w:color w:val="000000"/>
                <w:shd w:val="clear" w:color="auto" w:fill="FFFFFF"/>
              </w:rPr>
              <w:t>uspend all pharmacy copays for eligibility groups consistent with 42 CFR 435 Subparts B, C, and D</w:t>
            </w:r>
            <w:r w:rsidR="00A00697">
              <w:rPr>
                <w:rStyle w:val="contentpasted0"/>
                <w:rFonts w:ascii="Georgia" w:hAnsi="Georgia"/>
                <w:color w:val="000000"/>
                <w:shd w:val="clear" w:color="auto" w:fill="FFFFFF"/>
              </w:rPr>
              <w:t>, effective May 1, 2023</w:t>
            </w:r>
          </w:p>
          <w:p w14:paraId="027615DA" w14:textId="77777777" w:rsidR="00544C66" w:rsidRDefault="00544C66" w:rsidP="00544C66">
            <w:pPr>
              <w:pStyle w:val="xxxxxxxxmsonormal"/>
              <w:shd w:val="clear" w:color="auto" w:fill="FFFFFF"/>
              <w:spacing w:before="0" w:beforeAutospacing="0" w:after="0" w:afterAutospacing="0"/>
              <w:rPr>
                <w:color w:val="242424"/>
                <w:shd w:val="clear" w:color="auto" w:fill="FFFFFF"/>
              </w:rPr>
            </w:pPr>
            <w:r>
              <w:rPr>
                <w:rStyle w:val="xxcontentpasted0"/>
                <w:rFonts w:ascii="Times New Roman" w:hAnsi="Times New Roman" w:cs="Times New Roman"/>
                <w:color w:val="201F1E"/>
                <w:shd w:val="clear" w:color="auto" w:fill="FFFFFF"/>
              </w:rPr>
              <w:t> </w:t>
            </w:r>
          </w:p>
          <w:p w14:paraId="768DB407" w14:textId="77777777" w:rsidR="00697AE7" w:rsidRDefault="00697AE7" w:rsidP="00697AE7">
            <w:pPr>
              <w:pStyle w:val="Default"/>
            </w:pPr>
          </w:p>
        </w:tc>
        <w:tc>
          <w:tcPr>
            <w:tcW w:w="2453" w:type="dxa"/>
          </w:tcPr>
          <w:p w14:paraId="35406402" w14:textId="2678E197" w:rsidR="00697AE7" w:rsidRPr="000F4C2E" w:rsidRDefault="00E73C3A" w:rsidP="00697AE7">
            <w:pPr>
              <w:pStyle w:val="Default"/>
              <w:rPr>
                <w:rFonts w:ascii="Georgia" w:hAnsi="Georgia"/>
                <w:sz w:val="22"/>
                <w:szCs w:val="22"/>
              </w:rPr>
            </w:pPr>
            <w:r>
              <w:rPr>
                <w:rFonts w:ascii="Georgia" w:hAnsi="Georgia"/>
                <w:sz w:val="22"/>
                <w:szCs w:val="22"/>
              </w:rPr>
              <w:t xml:space="preserve">DR-SPA </w:t>
            </w:r>
            <w:r w:rsidR="00843C7B">
              <w:rPr>
                <w:rFonts w:ascii="Georgia" w:hAnsi="Georgia"/>
                <w:sz w:val="22"/>
                <w:szCs w:val="22"/>
              </w:rPr>
              <w:t>(pending)</w:t>
            </w:r>
            <w:r w:rsidR="0077547D">
              <w:rPr>
                <w:rFonts w:ascii="Georgia" w:hAnsi="Georgia"/>
                <w:sz w:val="22"/>
                <w:szCs w:val="22"/>
              </w:rPr>
              <w:t xml:space="preserve"> </w:t>
            </w:r>
          </w:p>
        </w:tc>
        <w:tc>
          <w:tcPr>
            <w:tcW w:w="3164" w:type="dxa"/>
          </w:tcPr>
          <w:p w14:paraId="0249771F" w14:textId="778D70E5" w:rsidR="00697AE7" w:rsidRPr="00F04A02" w:rsidRDefault="00697AE7" w:rsidP="00697AE7">
            <w:pPr>
              <w:pStyle w:val="Default"/>
              <w:rPr>
                <w:rFonts w:ascii="Georgia" w:hAnsi="Georgia"/>
                <w:color w:val="auto"/>
                <w:sz w:val="22"/>
                <w:szCs w:val="22"/>
              </w:rPr>
            </w:pPr>
            <w:r w:rsidRPr="00F04A02">
              <w:rPr>
                <w:rFonts w:ascii="Georgia" w:hAnsi="Georgia"/>
                <w:sz w:val="22"/>
                <w:szCs w:val="22"/>
              </w:rPr>
              <w:t>MassHealth will request a temporary extension through the eligibility unwinding period (until March 31, 2024)</w:t>
            </w:r>
          </w:p>
        </w:tc>
      </w:tr>
      <w:tr w:rsidR="00F77024" w14:paraId="665337D2" w14:textId="77777777" w:rsidTr="00C7155C">
        <w:tc>
          <w:tcPr>
            <w:tcW w:w="4098" w:type="dxa"/>
          </w:tcPr>
          <w:p w14:paraId="6C498F9D" w14:textId="4846FE15" w:rsidR="00F77024" w:rsidRPr="001F7269" w:rsidRDefault="00FA246B" w:rsidP="00697AE7">
            <w:pPr>
              <w:pStyle w:val="Default"/>
              <w:rPr>
                <w:rFonts w:ascii="Georgia" w:hAnsi="Georgia"/>
                <w:sz w:val="22"/>
                <w:szCs w:val="22"/>
              </w:rPr>
            </w:pPr>
            <w:r>
              <w:rPr>
                <w:rFonts w:ascii="Georgia" w:hAnsi="Georgia"/>
                <w:sz w:val="22"/>
                <w:szCs w:val="22"/>
              </w:rPr>
              <w:t xml:space="preserve">Update the payment methodology </w:t>
            </w:r>
            <w:r w:rsidR="00654890">
              <w:rPr>
                <w:rFonts w:ascii="Georgia" w:hAnsi="Georgia"/>
                <w:sz w:val="22"/>
                <w:szCs w:val="22"/>
              </w:rPr>
              <w:t>for</w:t>
            </w:r>
            <w:r w:rsidR="00B040B1">
              <w:rPr>
                <w:rFonts w:ascii="Georgia" w:hAnsi="Georgia"/>
                <w:sz w:val="22"/>
                <w:szCs w:val="22"/>
              </w:rPr>
              <w:t xml:space="preserve"> </w:t>
            </w:r>
            <w:r>
              <w:rPr>
                <w:rFonts w:ascii="Georgia" w:hAnsi="Georgia"/>
                <w:sz w:val="22"/>
                <w:szCs w:val="22"/>
              </w:rPr>
              <w:t>adult foster care</w:t>
            </w:r>
            <w:r w:rsidR="00777D00">
              <w:rPr>
                <w:rFonts w:ascii="Georgia" w:hAnsi="Georgia"/>
                <w:sz w:val="22"/>
                <w:szCs w:val="22"/>
              </w:rPr>
              <w:t xml:space="preserve"> and continuous skilled nursing services</w:t>
            </w:r>
          </w:p>
        </w:tc>
        <w:tc>
          <w:tcPr>
            <w:tcW w:w="2453" w:type="dxa"/>
          </w:tcPr>
          <w:p w14:paraId="5D176F26" w14:textId="0673305B" w:rsidR="00F77024" w:rsidRPr="00F04A02" w:rsidRDefault="00E73C3A" w:rsidP="00697AE7">
            <w:pPr>
              <w:pStyle w:val="Default"/>
              <w:rPr>
                <w:rFonts w:ascii="Georgia" w:hAnsi="Georgia"/>
                <w:sz w:val="22"/>
                <w:szCs w:val="22"/>
              </w:rPr>
            </w:pPr>
            <w:r>
              <w:rPr>
                <w:rFonts w:ascii="Georgia" w:hAnsi="Georgia"/>
                <w:sz w:val="22"/>
                <w:szCs w:val="22"/>
              </w:rPr>
              <w:t xml:space="preserve">DR-SPA </w:t>
            </w:r>
            <w:r w:rsidR="00843C7B">
              <w:rPr>
                <w:rFonts w:ascii="Georgia" w:hAnsi="Georgia"/>
                <w:sz w:val="22"/>
                <w:szCs w:val="22"/>
              </w:rPr>
              <w:t xml:space="preserve">(pending) </w:t>
            </w:r>
          </w:p>
        </w:tc>
        <w:tc>
          <w:tcPr>
            <w:tcW w:w="3164" w:type="dxa"/>
          </w:tcPr>
          <w:p w14:paraId="670FDB0C" w14:textId="51CA9113" w:rsidR="00F77024" w:rsidRPr="00F04A02" w:rsidRDefault="002A5545" w:rsidP="00697AE7">
            <w:pPr>
              <w:pStyle w:val="Default"/>
              <w:rPr>
                <w:rFonts w:ascii="Georgia" w:hAnsi="Georgia"/>
                <w:sz w:val="22"/>
                <w:szCs w:val="22"/>
              </w:rPr>
            </w:pPr>
            <w:r w:rsidRPr="00F04A02">
              <w:rPr>
                <w:rFonts w:ascii="Georgia" w:hAnsi="Georgia"/>
                <w:sz w:val="22"/>
                <w:szCs w:val="22"/>
              </w:rPr>
              <w:t xml:space="preserve">MassHealth will request a temporary extension through the eligibility unwinding period (until </w:t>
            </w:r>
            <w:r w:rsidR="00F76EAF">
              <w:rPr>
                <w:rFonts w:ascii="Georgia" w:hAnsi="Georgia"/>
                <w:sz w:val="22"/>
                <w:szCs w:val="22"/>
              </w:rPr>
              <w:t>June 30, 2023</w:t>
            </w:r>
            <w:r w:rsidRPr="00F04A02">
              <w:rPr>
                <w:rFonts w:ascii="Georgia" w:hAnsi="Georgia"/>
                <w:sz w:val="22"/>
                <w:szCs w:val="22"/>
              </w:rPr>
              <w:t>)</w:t>
            </w:r>
            <w:r w:rsidR="00B040B1">
              <w:rPr>
                <w:rFonts w:ascii="Georgia" w:hAnsi="Georgia"/>
                <w:sz w:val="22"/>
                <w:szCs w:val="22"/>
              </w:rPr>
              <w:t xml:space="preserve"> </w:t>
            </w:r>
          </w:p>
        </w:tc>
      </w:tr>
    </w:tbl>
    <w:p w14:paraId="2F6457FF" w14:textId="7BF26EF6" w:rsidR="00157192" w:rsidRDefault="00990045" w:rsidP="004D4B1A">
      <w:pPr>
        <w:pStyle w:val="Heading2"/>
        <w:spacing w:after="100"/>
        <w:rPr>
          <w:sz w:val="22"/>
          <w:szCs w:val="22"/>
        </w:rPr>
      </w:pPr>
      <w:r w:rsidRPr="002F46B9">
        <w:t xml:space="preserve">Flexibilities </w:t>
      </w:r>
      <w:r w:rsidR="00F32B22">
        <w:t xml:space="preserve">approved </w:t>
      </w:r>
      <w:r>
        <w:t xml:space="preserve">through </w:t>
      </w:r>
      <w:r w:rsidR="00F32B22">
        <w:t xml:space="preserve">Section </w:t>
      </w:r>
      <w:r>
        <w:t>1135 waivers or Disaster SPAs</w:t>
      </w:r>
      <w:r w:rsidRPr="00456C5E">
        <w:rPr>
          <w:sz w:val="22"/>
          <w:szCs w:val="22"/>
        </w:rPr>
        <w:t xml:space="preserve"> </w:t>
      </w:r>
      <w:r w:rsidR="009937E4">
        <w:rPr>
          <w:sz w:val="22"/>
          <w:szCs w:val="22"/>
        </w:rPr>
        <w:t>that will ex</w:t>
      </w:r>
      <w:r w:rsidR="0070625E">
        <w:rPr>
          <w:sz w:val="22"/>
          <w:szCs w:val="22"/>
        </w:rPr>
        <w:t>tend beyond May 11, 2023</w:t>
      </w:r>
      <w:r w:rsidR="00C6042F">
        <w:rPr>
          <w:sz w:val="22"/>
          <w:szCs w:val="22"/>
        </w:rPr>
        <w:t xml:space="preserve"> </w:t>
      </w:r>
    </w:p>
    <w:tbl>
      <w:tblPr>
        <w:tblStyle w:val="TableGrid"/>
        <w:tblW w:w="0" w:type="auto"/>
        <w:tblInd w:w="355" w:type="dxa"/>
        <w:tblLook w:val="04A0" w:firstRow="1" w:lastRow="0" w:firstColumn="1" w:lastColumn="0" w:noHBand="0" w:noVBand="1"/>
      </w:tblPr>
      <w:tblGrid>
        <w:gridCol w:w="3001"/>
        <w:gridCol w:w="3357"/>
        <w:gridCol w:w="3357"/>
      </w:tblGrid>
      <w:tr w:rsidR="00157192" w14:paraId="27E88556" w14:textId="77777777" w:rsidTr="00C7155C">
        <w:trPr>
          <w:tblHeader/>
        </w:trPr>
        <w:tc>
          <w:tcPr>
            <w:tcW w:w="3001" w:type="dxa"/>
          </w:tcPr>
          <w:p w14:paraId="2D3D4894" w14:textId="67B51185" w:rsidR="00157192" w:rsidRDefault="00157192" w:rsidP="001B07B9">
            <w:pPr>
              <w:pStyle w:val="Default"/>
              <w:rPr>
                <w:rFonts w:ascii="Georgia" w:hAnsi="Georgia"/>
                <w:b/>
                <w:bCs/>
                <w:sz w:val="22"/>
                <w:szCs w:val="22"/>
              </w:rPr>
            </w:pPr>
            <w:r>
              <w:rPr>
                <w:rFonts w:ascii="Georgia" w:hAnsi="Georgia"/>
                <w:b/>
                <w:bCs/>
                <w:sz w:val="22"/>
                <w:szCs w:val="22"/>
              </w:rPr>
              <w:t>Flexibility</w:t>
            </w:r>
          </w:p>
        </w:tc>
        <w:tc>
          <w:tcPr>
            <w:tcW w:w="3357" w:type="dxa"/>
          </w:tcPr>
          <w:p w14:paraId="2316257E" w14:textId="55E80DBB" w:rsidR="00157192" w:rsidRDefault="00157192" w:rsidP="001B07B9">
            <w:pPr>
              <w:pStyle w:val="Default"/>
              <w:rPr>
                <w:rFonts w:ascii="Georgia" w:hAnsi="Georgia"/>
                <w:b/>
                <w:bCs/>
                <w:sz w:val="22"/>
                <w:szCs w:val="22"/>
              </w:rPr>
            </w:pPr>
            <w:r>
              <w:rPr>
                <w:rFonts w:ascii="Georgia" w:hAnsi="Georgia"/>
                <w:b/>
                <w:bCs/>
                <w:sz w:val="22"/>
                <w:szCs w:val="22"/>
              </w:rPr>
              <w:t>Authority Vehicle</w:t>
            </w:r>
          </w:p>
        </w:tc>
        <w:tc>
          <w:tcPr>
            <w:tcW w:w="3357" w:type="dxa"/>
          </w:tcPr>
          <w:p w14:paraId="23A91071" w14:textId="2E11F716" w:rsidR="00157192" w:rsidRDefault="00DC1B11" w:rsidP="001B07B9">
            <w:pPr>
              <w:pStyle w:val="Default"/>
              <w:rPr>
                <w:rFonts w:ascii="Georgia" w:hAnsi="Georgia"/>
                <w:b/>
                <w:bCs/>
                <w:sz w:val="22"/>
                <w:szCs w:val="22"/>
              </w:rPr>
            </w:pPr>
            <w:r>
              <w:rPr>
                <w:rFonts w:ascii="Georgia" w:hAnsi="Georgia"/>
                <w:b/>
                <w:bCs/>
                <w:sz w:val="22"/>
                <w:szCs w:val="22"/>
              </w:rPr>
              <w:t>End date, if any</w:t>
            </w:r>
          </w:p>
        </w:tc>
      </w:tr>
      <w:tr w:rsidR="00157192" w14:paraId="7741499A" w14:textId="77777777" w:rsidTr="00C7155C">
        <w:tc>
          <w:tcPr>
            <w:tcW w:w="3001" w:type="dxa"/>
          </w:tcPr>
          <w:p w14:paraId="1E4FF642" w14:textId="0E0DF60E" w:rsidR="00157192" w:rsidRPr="00CB3AB5" w:rsidRDefault="003C43E9" w:rsidP="001B07B9">
            <w:pPr>
              <w:pStyle w:val="Default"/>
              <w:rPr>
                <w:rFonts w:ascii="Georgia" w:hAnsi="Georgia"/>
                <w:sz w:val="22"/>
                <w:szCs w:val="22"/>
              </w:rPr>
            </w:pPr>
            <w:r w:rsidRPr="00CB3AB5">
              <w:rPr>
                <w:rFonts w:ascii="Georgia" w:hAnsi="Georgia"/>
                <w:sz w:val="22"/>
                <w:szCs w:val="22"/>
              </w:rPr>
              <w:t xml:space="preserve">Confirming coverage of </w:t>
            </w:r>
            <w:r w:rsidR="001D6D12">
              <w:rPr>
                <w:rFonts w:ascii="Georgia" w:hAnsi="Georgia"/>
                <w:sz w:val="22"/>
                <w:szCs w:val="22"/>
              </w:rPr>
              <w:t xml:space="preserve">COVID-19 vaccines, testing, and treatment </w:t>
            </w:r>
            <w:r w:rsidRPr="00CB3AB5">
              <w:rPr>
                <w:rFonts w:ascii="Georgia" w:hAnsi="Georgia"/>
                <w:sz w:val="22"/>
                <w:szCs w:val="22"/>
              </w:rPr>
              <w:t xml:space="preserve"> </w:t>
            </w:r>
          </w:p>
        </w:tc>
        <w:tc>
          <w:tcPr>
            <w:tcW w:w="3357" w:type="dxa"/>
          </w:tcPr>
          <w:p w14:paraId="7CA6F66C" w14:textId="766FAE34" w:rsidR="00157192" w:rsidRPr="00EC38D3" w:rsidRDefault="00E73C3A" w:rsidP="001B07B9">
            <w:pPr>
              <w:pStyle w:val="Default"/>
              <w:rPr>
                <w:rFonts w:ascii="Georgia" w:hAnsi="Georgia"/>
                <w:sz w:val="22"/>
                <w:szCs w:val="22"/>
              </w:rPr>
            </w:pPr>
            <w:r>
              <w:rPr>
                <w:rFonts w:ascii="Georgia" w:hAnsi="Georgia"/>
                <w:sz w:val="22"/>
                <w:szCs w:val="22"/>
              </w:rPr>
              <w:t xml:space="preserve">DR-SPA </w:t>
            </w:r>
            <w:r w:rsidR="00220189">
              <w:rPr>
                <w:rFonts w:ascii="Georgia" w:hAnsi="Georgia"/>
                <w:sz w:val="22"/>
                <w:szCs w:val="22"/>
              </w:rPr>
              <w:t xml:space="preserve">(pending) </w:t>
            </w:r>
          </w:p>
        </w:tc>
        <w:tc>
          <w:tcPr>
            <w:tcW w:w="3357" w:type="dxa"/>
          </w:tcPr>
          <w:p w14:paraId="2C489322" w14:textId="41307D94" w:rsidR="00157192" w:rsidRPr="00EC38D3" w:rsidRDefault="003B090E" w:rsidP="001B07B9">
            <w:pPr>
              <w:pStyle w:val="Default"/>
              <w:rPr>
                <w:rFonts w:ascii="Georgia" w:hAnsi="Georgia"/>
                <w:sz w:val="22"/>
                <w:szCs w:val="22"/>
              </w:rPr>
            </w:pPr>
            <w:r>
              <w:rPr>
                <w:rFonts w:ascii="Georgia" w:hAnsi="Georgia"/>
                <w:sz w:val="22"/>
                <w:szCs w:val="22"/>
              </w:rPr>
              <w:t>September 30, 2024</w:t>
            </w:r>
          </w:p>
        </w:tc>
      </w:tr>
      <w:tr w:rsidR="00145F49" w14:paraId="4CCDD868" w14:textId="77777777" w:rsidTr="00C7155C">
        <w:tc>
          <w:tcPr>
            <w:tcW w:w="3001" w:type="dxa"/>
          </w:tcPr>
          <w:p w14:paraId="6ED2D632" w14:textId="48A5325B" w:rsidR="00145F49" w:rsidRPr="005D5D19" w:rsidRDefault="00145F49" w:rsidP="00145F49">
            <w:pPr>
              <w:pStyle w:val="Default"/>
              <w:rPr>
                <w:rFonts w:ascii="Georgia" w:hAnsi="Georgia" w:cs="Calibri"/>
                <w:sz w:val="22"/>
                <w:szCs w:val="22"/>
              </w:rPr>
            </w:pPr>
            <w:r w:rsidRPr="004D4B1A">
              <w:rPr>
                <w:rFonts w:ascii="Georgia" w:hAnsi="Georgia"/>
                <w:sz w:val="22"/>
                <w:szCs w:val="22"/>
              </w:rPr>
              <w:t>Allowing PDN services to be directed by a nurse practitioner, clinical nurse specialist, and/or physician assistant</w:t>
            </w:r>
          </w:p>
        </w:tc>
        <w:tc>
          <w:tcPr>
            <w:tcW w:w="3357" w:type="dxa"/>
          </w:tcPr>
          <w:p w14:paraId="2970407D" w14:textId="09B09F21" w:rsidR="00145F49" w:rsidRDefault="00145F49" w:rsidP="00145F49">
            <w:pPr>
              <w:pStyle w:val="Default"/>
              <w:rPr>
                <w:rFonts w:ascii="Georgia" w:hAnsi="Georgia"/>
                <w:sz w:val="22"/>
                <w:szCs w:val="22"/>
              </w:rPr>
            </w:pPr>
            <w:r>
              <w:rPr>
                <w:rFonts w:ascii="Georgia" w:hAnsi="Georgia"/>
                <w:sz w:val="22"/>
                <w:szCs w:val="22"/>
              </w:rPr>
              <w:t>Section 1135</w:t>
            </w:r>
          </w:p>
        </w:tc>
        <w:tc>
          <w:tcPr>
            <w:tcW w:w="3357" w:type="dxa"/>
          </w:tcPr>
          <w:p w14:paraId="5266CCDB" w14:textId="4C5A757B" w:rsidR="00145F49" w:rsidRDefault="00145F49" w:rsidP="00145F49">
            <w:pPr>
              <w:pStyle w:val="Default"/>
              <w:rPr>
                <w:rFonts w:ascii="Georgia" w:hAnsi="Georgia"/>
                <w:sz w:val="22"/>
                <w:szCs w:val="22"/>
              </w:rPr>
            </w:pPr>
            <w:r>
              <w:t>Collaborative practice arrangements between the non-physician practitioner and the physician will allow this to continue permanently</w:t>
            </w:r>
            <w:r w:rsidR="00D23E6B">
              <w:t>.</w:t>
            </w:r>
          </w:p>
        </w:tc>
      </w:tr>
      <w:tr w:rsidR="00145F49" w14:paraId="2AA09CCB" w14:textId="77777777" w:rsidTr="00C7155C">
        <w:tc>
          <w:tcPr>
            <w:tcW w:w="3001" w:type="dxa"/>
          </w:tcPr>
          <w:p w14:paraId="4F836324" w14:textId="63068FB6" w:rsidR="00145F49" w:rsidRPr="00CB3AB5" w:rsidRDefault="00145F49" w:rsidP="00145F49">
            <w:pPr>
              <w:pStyle w:val="Default"/>
              <w:rPr>
                <w:rFonts w:ascii="Georgia" w:hAnsi="Georgia" w:cs="Calibri"/>
                <w:sz w:val="22"/>
                <w:szCs w:val="22"/>
              </w:rPr>
            </w:pPr>
            <w:r>
              <w:rPr>
                <w:rFonts w:ascii="Georgia" w:hAnsi="Georgia"/>
                <w:sz w:val="22"/>
                <w:szCs w:val="22"/>
              </w:rPr>
              <w:lastRenderedPageBreak/>
              <w:t>Supplemental and quality incentive payments to CDRI Hospitals</w:t>
            </w:r>
          </w:p>
        </w:tc>
        <w:tc>
          <w:tcPr>
            <w:tcW w:w="3357" w:type="dxa"/>
          </w:tcPr>
          <w:p w14:paraId="7E7F3A7C" w14:textId="357AF2DC" w:rsidR="00145F49" w:rsidRDefault="00E73C3A" w:rsidP="00145F49">
            <w:pPr>
              <w:pStyle w:val="Default"/>
              <w:rPr>
                <w:rFonts w:ascii="Georgia" w:hAnsi="Georgia"/>
                <w:sz w:val="22"/>
                <w:szCs w:val="22"/>
              </w:rPr>
            </w:pPr>
            <w:r>
              <w:rPr>
                <w:rFonts w:ascii="Georgia" w:hAnsi="Georgia"/>
                <w:sz w:val="22"/>
                <w:szCs w:val="22"/>
              </w:rPr>
              <w:t xml:space="preserve">DR-SPA </w:t>
            </w:r>
            <w:r w:rsidR="00145F49">
              <w:rPr>
                <w:rFonts w:ascii="Georgia" w:hAnsi="Georgia"/>
                <w:sz w:val="22"/>
                <w:szCs w:val="22"/>
              </w:rPr>
              <w:t>[various]</w:t>
            </w:r>
          </w:p>
        </w:tc>
        <w:tc>
          <w:tcPr>
            <w:tcW w:w="3357" w:type="dxa"/>
          </w:tcPr>
          <w:p w14:paraId="71F3A227" w14:textId="04899A8A" w:rsidR="00145F49" w:rsidRDefault="00145F49" w:rsidP="00145F49">
            <w:pPr>
              <w:pStyle w:val="Default"/>
              <w:rPr>
                <w:rFonts w:ascii="Georgia" w:hAnsi="Georgia"/>
                <w:sz w:val="22"/>
                <w:szCs w:val="22"/>
              </w:rPr>
            </w:pPr>
            <w:r w:rsidRPr="00F04A02">
              <w:rPr>
                <w:rFonts w:ascii="Georgia" w:hAnsi="Georgia"/>
                <w:color w:val="auto"/>
                <w:sz w:val="22"/>
                <w:szCs w:val="22"/>
              </w:rPr>
              <w:t xml:space="preserve">MassHealth </w:t>
            </w:r>
            <w:r>
              <w:rPr>
                <w:rFonts w:ascii="Georgia" w:hAnsi="Georgia"/>
                <w:color w:val="auto"/>
                <w:sz w:val="22"/>
                <w:szCs w:val="22"/>
              </w:rPr>
              <w:t>has</w:t>
            </w:r>
            <w:r w:rsidRPr="00F04A02">
              <w:rPr>
                <w:rFonts w:ascii="Georgia" w:hAnsi="Georgia"/>
                <w:color w:val="auto"/>
                <w:sz w:val="22"/>
                <w:szCs w:val="22"/>
              </w:rPr>
              <w:t xml:space="preserve"> </w:t>
            </w:r>
            <w:r>
              <w:rPr>
                <w:rFonts w:ascii="Georgia" w:hAnsi="Georgia"/>
                <w:color w:val="auto"/>
                <w:sz w:val="22"/>
                <w:szCs w:val="22"/>
              </w:rPr>
              <w:t xml:space="preserve">requested permanent authority through a regular State Plan Amendment </w:t>
            </w:r>
            <w:r w:rsidR="00D23E6B">
              <w:rPr>
                <w:rFonts w:ascii="Georgia" w:hAnsi="Georgia"/>
                <w:color w:val="auto"/>
                <w:sz w:val="22"/>
                <w:szCs w:val="22"/>
              </w:rPr>
              <w:t>(currently pending).</w:t>
            </w:r>
          </w:p>
        </w:tc>
      </w:tr>
      <w:tr w:rsidR="00145F49" w14:paraId="24921721" w14:textId="77777777" w:rsidTr="00C7155C">
        <w:tc>
          <w:tcPr>
            <w:tcW w:w="3001" w:type="dxa"/>
          </w:tcPr>
          <w:p w14:paraId="770A73C0" w14:textId="77A20E8A" w:rsidR="00145F49" w:rsidRPr="00CB3AB5" w:rsidRDefault="00145F49" w:rsidP="00145F49">
            <w:pPr>
              <w:pStyle w:val="Default"/>
              <w:rPr>
                <w:rFonts w:ascii="Georgia" w:hAnsi="Georgia"/>
                <w:sz w:val="22"/>
                <w:szCs w:val="22"/>
              </w:rPr>
            </w:pPr>
            <w:r w:rsidRPr="00CB3AB5">
              <w:rPr>
                <w:rFonts w:ascii="Georgia" w:hAnsi="Georgia" w:cs="Calibri"/>
                <w:sz w:val="22"/>
                <w:szCs w:val="22"/>
              </w:rPr>
              <w:t>Eliminate copayments for individuals with income less than 50% of the Federal Poverty Limit on preventive services and certain Substance Use Disorder services</w:t>
            </w:r>
          </w:p>
        </w:tc>
        <w:tc>
          <w:tcPr>
            <w:tcW w:w="3357" w:type="dxa"/>
          </w:tcPr>
          <w:p w14:paraId="67078010" w14:textId="48C3A00A" w:rsidR="00145F49" w:rsidRPr="0078064C" w:rsidRDefault="00E73C3A" w:rsidP="00145F49">
            <w:pPr>
              <w:pStyle w:val="Default"/>
              <w:rPr>
                <w:rFonts w:ascii="Georgia" w:hAnsi="Georgia"/>
                <w:sz w:val="22"/>
                <w:szCs w:val="22"/>
              </w:rPr>
            </w:pPr>
            <w:r>
              <w:rPr>
                <w:rFonts w:ascii="Georgia" w:hAnsi="Georgia"/>
                <w:sz w:val="22"/>
                <w:szCs w:val="22"/>
              </w:rPr>
              <w:t>DR-SPA</w:t>
            </w:r>
          </w:p>
        </w:tc>
        <w:tc>
          <w:tcPr>
            <w:tcW w:w="3357" w:type="dxa"/>
          </w:tcPr>
          <w:p w14:paraId="25C8D4A2" w14:textId="2DFA4C91" w:rsidR="00145F49" w:rsidRDefault="00145F49" w:rsidP="00145F49">
            <w:pPr>
              <w:pStyle w:val="Default"/>
              <w:rPr>
                <w:rFonts w:ascii="Georgia" w:hAnsi="Georgia"/>
                <w:sz w:val="22"/>
                <w:szCs w:val="22"/>
              </w:rPr>
            </w:pPr>
            <w:r>
              <w:rPr>
                <w:rFonts w:ascii="Georgia" w:hAnsi="Georgia"/>
                <w:sz w:val="22"/>
                <w:szCs w:val="22"/>
              </w:rPr>
              <w:t>Permanently approved through a regular State Plan Amendment</w:t>
            </w:r>
            <w:r w:rsidR="00D23E6B">
              <w:rPr>
                <w:rFonts w:ascii="Georgia" w:hAnsi="Georgia"/>
                <w:sz w:val="22"/>
                <w:szCs w:val="22"/>
              </w:rPr>
              <w:t>,</w:t>
            </w:r>
            <w:r>
              <w:rPr>
                <w:rFonts w:ascii="Georgia" w:hAnsi="Georgia"/>
                <w:sz w:val="22"/>
                <w:szCs w:val="22"/>
              </w:rPr>
              <w:t xml:space="preserve"> effective </w:t>
            </w:r>
            <w:r w:rsidR="00D23E6B">
              <w:rPr>
                <w:rFonts w:ascii="Georgia" w:hAnsi="Georgia"/>
                <w:sz w:val="22"/>
                <w:szCs w:val="22"/>
              </w:rPr>
              <w:t>July 1, 2021</w:t>
            </w:r>
          </w:p>
        </w:tc>
      </w:tr>
      <w:tr w:rsidR="00145F49" w14:paraId="08DE324C" w14:textId="77777777" w:rsidTr="00C7155C">
        <w:tc>
          <w:tcPr>
            <w:tcW w:w="3001" w:type="dxa"/>
          </w:tcPr>
          <w:p w14:paraId="0D7A76FA" w14:textId="50F14AA9" w:rsidR="00145F49" w:rsidRDefault="00145F49" w:rsidP="00BF2879">
            <w:pPr>
              <w:autoSpaceDE w:val="0"/>
              <w:autoSpaceDN w:val="0"/>
              <w:adjustRightInd w:val="0"/>
              <w:spacing w:before="0" w:after="0" w:afterAutospacing="0"/>
              <w:ind w:left="0"/>
            </w:pPr>
            <w:r w:rsidRPr="001A69C5">
              <w:rPr>
                <w:rFonts w:eastAsiaTheme="minorHAnsi" w:cs="Calibri"/>
              </w:rPr>
              <w:t>Rates for clinical lab services</w:t>
            </w:r>
            <w:r w:rsidR="00D23E6B">
              <w:rPr>
                <w:rFonts w:eastAsiaTheme="minorHAnsi" w:cs="Calibri"/>
              </w:rPr>
              <w:t>,</w:t>
            </w:r>
            <w:r w:rsidRPr="001A69C5">
              <w:rPr>
                <w:rFonts w:eastAsiaTheme="minorHAnsi" w:cs="Calibri"/>
              </w:rPr>
              <w:t xml:space="preserve"> including COVID-19 antibody and PCR testing</w:t>
            </w:r>
            <w:r w:rsidR="00D23E6B">
              <w:rPr>
                <w:rFonts w:eastAsiaTheme="minorHAnsi" w:cs="Calibri"/>
              </w:rPr>
              <w:t>,</w:t>
            </w:r>
            <w:r w:rsidRPr="001A69C5">
              <w:rPr>
                <w:rFonts w:eastAsiaTheme="minorHAnsi" w:cs="Calibri"/>
              </w:rPr>
              <w:t xml:space="preserve"> </w:t>
            </w:r>
            <w:r w:rsidRPr="001A69C5">
              <w:t>COVID-19 specimen collection</w:t>
            </w:r>
            <w:r w:rsidR="00D23E6B">
              <w:t>,</w:t>
            </w:r>
            <w:r w:rsidRPr="001A69C5">
              <w:t xml:space="preserve"> and related services in various settings </w:t>
            </w:r>
          </w:p>
        </w:tc>
        <w:tc>
          <w:tcPr>
            <w:tcW w:w="3357" w:type="dxa"/>
          </w:tcPr>
          <w:p w14:paraId="2E331E67" w14:textId="13DF695E" w:rsidR="00145F49" w:rsidRDefault="00E73C3A" w:rsidP="00145F49">
            <w:pPr>
              <w:pStyle w:val="Default"/>
              <w:rPr>
                <w:rFonts w:ascii="Georgia" w:hAnsi="Georgia"/>
                <w:sz w:val="22"/>
                <w:szCs w:val="22"/>
              </w:rPr>
            </w:pPr>
            <w:r>
              <w:rPr>
                <w:rFonts w:ascii="Georgia" w:hAnsi="Georgia"/>
                <w:sz w:val="22"/>
                <w:szCs w:val="22"/>
              </w:rPr>
              <w:t>DR-SPA</w:t>
            </w:r>
          </w:p>
        </w:tc>
        <w:tc>
          <w:tcPr>
            <w:tcW w:w="3357" w:type="dxa"/>
          </w:tcPr>
          <w:p w14:paraId="7A221720" w14:textId="0C43C51D" w:rsidR="00145F49" w:rsidRDefault="00145F49" w:rsidP="00145F49">
            <w:pPr>
              <w:pStyle w:val="Default"/>
              <w:rPr>
                <w:rFonts w:ascii="Georgia" w:hAnsi="Georgia"/>
                <w:sz w:val="22"/>
                <w:szCs w:val="22"/>
              </w:rPr>
            </w:pPr>
            <w:r>
              <w:rPr>
                <w:rFonts w:ascii="Georgia" w:hAnsi="Georgia"/>
                <w:sz w:val="22"/>
                <w:szCs w:val="22"/>
              </w:rPr>
              <w:t>Permanently approved through a regular State Plan Amendment</w:t>
            </w:r>
            <w:r w:rsidR="000234ED">
              <w:rPr>
                <w:rFonts w:ascii="Georgia" w:hAnsi="Georgia"/>
                <w:sz w:val="22"/>
                <w:szCs w:val="22"/>
              </w:rPr>
              <w:t>,</w:t>
            </w:r>
            <w:r>
              <w:rPr>
                <w:rFonts w:ascii="Georgia" w:hAnsi="Georgia"/>
                <w:sz w:val="22"/>
                <w:szCs w:val="22"/>
              </w:rPr>
              <w:t xml:space="preserve"> </w:t>
            </w:r>
            <w:r w:rsidRPr="00C37E7D">
              <w:rPr>
                <w:rFonts w:ascii="Georgia" w:hAnsi="Georgia"/>
                <w:sz w:val="22"/>
                <w:szCs w:val="22"/>
              </w:rPr>
              <w:t xml:space="preserve">effective </w:t>
            </w:r>
            <w:r w:rsidR="00D23E6B">
              <w:rPr>
                <w:rFonts w:ascii="Georgia" w:hAnsi="Georgia"/>
                <w:sz w:val="22"/>
                <w:szCs w:val="22"/>
              </w:rPr>
              <w:t xml:space="preserve">January 1, </w:t>
            </w:r>
            <w:r>
              <w:rPr>
                <w:rFonts w:ascii="Georgia" w:hAnsi="Georgia"/>
                <w:sz w:val="22"/>
                <w:szCs w:val="22"/>
              </w:rPr>
              <w:t>2021</w:t>
            </w:r>
          </w:p>
        </w:tc>
      </w:tr>
      <w:tr w:rsidR="00145F49" w14:paraId="1A9DE200" w14:textId="77777777" w:rsidTr="00C7155C">
        <w:tc>
          <w:tcPr>
            <w:tcW w:w="3001" w:type="dxa"/>
          </w:tcPr>
          <w:p w14:paraId="1ECD1DE4" w14:textId="4BE896E4" w:rsidR="00145F49" w:rsidRPr="00B8379D" w:rsidRDefault="00145F49" w:rsidP="00145F49">
            <w:pPr>
              <w:autoSpaceDE w:val="0"/>
              <w:autoSpaceDN w:val="0"/>
              <w:adjustRightInd w:val="0"/>
              <w:spacing w:before="0" w:after="0" w:afterAutospacing="0"/>
              <w:ind w:left="0"/>
              <w:rPr>
                <w:rFonts w:eastAsiaTheme="minorHAnsi" w:cs="Calibri"/>
              </w:rPr>
            </w:pPr>
            <w:r>
              <w:rPr>
                <w:rFonts w:eastAsiaTheme="minorHAnsi" w:cs="Calibri"/>
              </w:rPr>
              <w:t>Rate increases to Adult Day Health and Day Habilitation</w:t>
            </w:r>
          </w:p>
        </w:tc>
        <w:tc>
          <w:tcPr>
            <w:tcW w:w="3357" w:type="dxa"/>
          </w:tcPr>
          <w:p w14:paraId="3E00704C" w14:textId="7CD9E46E" w:rsidR="00145F49" w:rsidRDefault="00E73C3A" w:rsidP="00AB21E9">
            <w:pPr>
              <w:pStyle w:val="Default"/>
              <w:rPr>
                <w:rFonts w:ascii="Georgia" w:hAnsi="Georgia"/>
                <w:sz w:val="22"/>
                <w:szCs w:val="22"/>
              </w:rPr>
            </w:pPr>
            <w:r>
              <w:rPr>
                <w:rFonts w:ascii="Georgia" w:hAnsi="Georgia"/>
                <w:sz w:val="22"/>
                <w:szCs w:val="22"/>
              </w:rPr>
              <w:t>DR-SPA</w:t>
            </w:r>
          </w:p>
        </w:tc>
        <w:tc>
          <w:tcPr>
            <w:tcW w:w="3357" w:type="dxa"/>
          </w:tcPr>
          <w:p w14:paraId="31E0DD7D" w14:textId="4734BD44" w:rsidR="00145F49" w:rsidRDefault="00145F49" w:rsidP="00145F49">
            <w:pPr>
              <w:pStyle w:val="Default"/>
              <w:rPr>
                <w:rFonts w:ascii="Georgia" w:hAnsi="Georgia"/>
                <w:sz w:val="22"/>
                <w:szCs w:val="22"/>
              </w:rPr>
            </w:pPr>
            <w:r>
              <w:rPr>
                <w:rFonts w:ascii="Georgia" w:hAnsi="Georgia"/>
                <w:sz w:val="22"/>
                <w:szCs w:val="22"/>
              </w:rPr>
              <w:t>Permanently approved through regular State Plan Amendments</w:t>
            </w:r>
            <w:r w:rsidR="00D23E6B">
              <w:rPr>
                <w:rFonts w:ascii="Georgia" w:hAnsi="Georgia"/>
                <w:sz w:val="22"/>
                <w:szCs w:val="22"/>
              </w:rPr>
              <w:t>.</w:t>
            </w:r>
            <w:r>
              <w:rPr>
                <w:rFonts w:ascii="Georgia" w:hAnsi="Georgia"/>
                <w:sz w:val="22"/>
                <w:szCs w:val="22"/>
              </w:rPr>
              <w:t xml:space="preserve"> </w:t>
            </w:r>
            <w:r w:rsidR="00D23E6B">
              <w:rPr>
                <w:rFonts w:ascii="Georgia" w:hAnsi="Georgia"/>
                <w:color w:val="auto"/>
                <w:sz w:val="22"/>
                <w:szCs w:val="22"/>
              </w:rPr>
              <w:t>One</w:t>
            </w:r>
            <w:r w:rsidRPr="00CF3E6A">
              <w:rPr>
                <w:rFonts w:ascii="Georgia" w:hAnsi="Georgia"/>
                <w:color w:val="auto"/>
                <w:sz w:val="22"/>
                <w:szCs w:val="22"/>
              </w:rPr>
              <w:t xml:space="preserve"> </w:t>
            </w:r>
            <w:r>
              <w:rPr>
                <w:rFonts w:ascii="Georgia" w:hAnsi="Georgia"/>
                <w:sz w:val="22"/>
                <w:szCs w:val="22"/>
              </w:rPr>
              <w:t xml:space="preserve">continues the Adult Day Health rates effective </w:t>
            </w:r>
            <w:r w:rsidR="00D23E6B">
              <w:rPr>
                <w:rFonts w:ascii="Georgia" w:hAnsi="Georgia"/>
                <w:sz w:val="22"/>
                <w:szCs w:val="22"/>
              </w:rPr>
              <w:t>October 1, 20</w:t>
            </w:r>
            <w:r>
              <w:rPr>
                <w:rFonts w:ascii="Georgia" w:hAnsi="Georgia"/>
                <w:sz w:val="22"/>
                <w:szCs w:val="22"/>
              </w:rPr>
              <w:t xml:space="preserve">22; one continues the Day Habilitation Rates effective </w:t>
            </w:r>
            <w:r w:rsidR="00D23E6B">
              <w:rPr>
                <w:rFonts w:ascii="Georgia" w:hAnsi="Georgia"/>
                <w:sz w:val="22"/>
                <w:szCs w:val="22"/>
              </w:rPr>
              <w:t>November 17, 20</w:t>
            </w:r>
            <w:r>
              <w:rPr>
                <w:rFonts w:ascii="Georgia" w:hAnsi="Georgia"/>
                <w:sz w:val="22"/>
                <w:szCs w:val="22"/>
              </w:rPr>
              <w:t>22</w:t>
            </w:r>
            <w:r w:rsidR="00D23E6B">
              <w:rPr>
                <w:rFonts w:ascii="Georgia" w:hAnsi="Georgia"/>
                <w:sz w:val="22"/>
                <w:szCs w:val="22"/>
              </w:rPr>
              <w:t>.</w:t>
            </w:r>
          </w:p>
        </w:tc>
      </w:tr>
      <w:tr w:rsidR="00145F49" w14:paraId="625CDE1C" w14:textId="77777777" w:rsidTr="00C7155C">
        <w:tc>
          <w:tcPr>
            <w:tcW w:w="3001" w:type="dxa"/>
          </w:tcPr>
          <w:p w14:paraId="7AE2A126" w14:textId="385CE8EC" w:rsidR="006B6CE9" w:rsidRDefault="00145F49">
            <w:pPr>
              <w:autoSpaceDE w:val="0"/>
              <w:autoSpaceDN w:val="0"/>
              <w:adjustRightInd w:val="0"/>
              <w:spacing w:before="0" w:after="0" w:afterAutospacing="0"/>
              <w:ind w:left="0"/>
              <w:rPr>
                <w:rFonts w:cs="Calibri"/>
              </w:rPr>
            </w:pPr>
            <w:r w:rsidRPr="008D65AF">
              <w:rPr>
                <w:rFonts w:cs="Calibri"/>
              </w:rPr>
              <w:t xml:space="preserve">Acute Outpatient Hospitals (AOH) rendering </w:t>
            </w:r>
            <w:r w:rsidR="006B6CE9">
              <w:rPr>
                <w:rFonts w:cs="Calibri"/>
              </w:rPr>
              <w:t>behavioral health crisis evaluation services (a.k.a.</w:t>
            </w:r>
            <w:r w:rsidR="00BF2879">
              <w:rPr>
                <w:rFonts w:cs="Calibri"/>
              </w:rPr>
              <w:t xml:space="preserve"> </w:t>
            </w:r>
            <w:r w:rsidRPr="008D65AF">
              <w:rPr>
                <w:rFonts w:cs="Calibri"/>
              </w:rPr>
              <w:t>Emergency Service Program (ESP) services</w:t>
            </w:r>
            <w:r w:rsidR="006B6CE9">
              <w:rPr>
                <w:rFonts w:cs="Calibri"/>
              </w:rPr>
              <w:t>)</w:t>
            </w:r>
            <w:r w:rsidRPr="008D65AF">
              <w:rPr>
                <w:rFonts w:cs="Calibri"/>
              </w:rPr>
              <w:t>, a type of AOH service, to members presenting to AOH emergency departments during behavioral health crises.</w:t>
            </w:r>
            <w:r w:rsidR="000702E0">
              <w:rPr>
                <w:rFonts w:cs="Calibri"/>
              </w:rPr>
              <w:t xml:space="preserve"> </w:t>
            </w:r>
          </w:p>
          <w:p w14:paraId="0D8DBB2E" w14:textId="0FA4E2AD" w:rsidR="004415EA" w:rsidRDefault="004415EA" w:rsidP="00BF2879">
            <w:pPr>
              <w:autoSpaceDE w:val="0"/>
              <w:autoSpaceDN w:val="0"/>
              <w:adjustRightInd w:val="0"/>
              <w:spacing w:before="0" w:after="0" w:afterAutospacing="0"/>
              <w:ind w:left="0"/>
              <w:rPr>
                <w:rFonts w:cs="Calibri"/>
              </w:rPr>
            </w:pPr>
          </w:p>
          <w:p w14:paraId="127C813E" w14:textId="769889B1" w:rsidR="006B6CE9" w:rsidRDefault="006B6CE9" w:rsidP="00076CB3">
            <w:pPr>
              <w:autoSpaceDE w:val="0"/>
              <w:autoSpaceDN w:val="0"/>
              <w:adjustRightInd w:val="0"/>
              <w:spacing w:before="0" w:after="0" w:afterAutospacing="0"/>
              <w:ind w:left="0"/>
            </w:pPr>
          </w:p>
        </w:tc>
        <w:tc>
          <w:tcPr>
            <w:tcW w:w="3357" w:type="dxa"/>
          </w:tcPr>
          <w:p w14:paraId="4D76E052" w14:textId="5F607455" w:rsidR="00145F49" w:rsidRPr="000F4C2E" w:rsidRDefault="00E73C3A" w:rsidP="00145F49">
            <w:pPr>
              <w:pStyle w:val="Default"/>
              <w:rPr>
                <w:rFonts w:ascii="Georgia" w:hAnsi="Georgia"/>
                <w:sz w:val="22"/>
                <w:szCs w:val="22"/>
              </w:rPr>
            </w:pPr>
            <w:r>
              <w:rPr>
                <w:rFonts w:ascii="Georgia" w:hAnsi="Georgia" w:cs="Calibri"/>
                <w:sz w:val="22"/>
                <w:szCs w:val="22"/>
              </w:rPr>
              <w:t>DR-SPA</w:t>
            </w:r>
            <w:r w:rsidR="00145F49">
              <w:rPr>
                <w:rStyle w:val="cf01"/>
              </w:rPr>
              <w:br/>
            </w:r>
          </w:p>
        </w:tc>
        <w:tc>
          <w:tcPr>
            <w:tcW w:w="3357" w:type="dxa"/>
          </w:tcPr>
          <w:p w14:paraId="6488777D" w14:textId="47E4F8F7" w:rsidR="00145F49" w:rsidRPr="00F04A02" w:rsidRDefault="00145F49" w:rsidP="00145F49">
            <w:pPr>
              <w:pStyle w:val="Default"/>
              <w:rPr>
                <w:rFonts w:ascii="Georgia" w:hAnsi="Georgia"/>
                <w:color w:val="auto"/>
                <w:sz w:val="22"/>
                <w:szCs w:val="22"/>
              </w:rPr>
            </w:pPr>
            <w:r w:rsidRPr="00F04A02">
              <w:rPr>
                <w:rFonts w:ascii="Georgia" w:hAnsi="Georgia"/>
                <w:color w:val="auto"/>
                <w:sz w:val="22"/>
                <w:szCs w:val="22"/>
              </w:rPr>
              <w:t xml:space="preserve">MassHealth </w:t>
            </w:r>
            <w:r>
              <w:rPr>
                <w:rFonts w:ascii="Georgia" w:hAnsi="Georgia"/>
                <w:color w:val="auto"/>
                <w:sz w:val="22"/>
                <w:szCs w:val="22"/>
              </w:rPr>
              <w:t>has</w:t>
            </w:r>
            <w:r w:rsidRPr="00F04A02">
              <w:rPr>
                <w:rFonts w:ascii="Georgia" w:hAnsi="Georgia"/>
                <w:color w:val="auto"/>
                <w:sz w:val="22"/>
                <w:szCs w:val="22"/>
              </w:rPr>
              <w:t xml:space="preserve"> </w:t>
            </w:r>
            <w:r>
              <w:rPr>
                <w:rFonts w:ascii="Georgia" w:hAnsi="Georgia"/>
                <w:color w:val="auto"/>
                <w:sz w:val="22"/>
                <w:szCs w:val="22"/>
              </w:rPr>
              <w:t xml:space="preserve">requested permanent authority through a regular State Plan Amendment, effective </w:t>
            </w:r>
            <w:r w:rsidR="00D23E6B">
              <w:rPr>
                <w:rFonts w:ascii="Georgia" w:hAnsi="Georgia"/>
                <w:color w:val="auto"/>
                <w:sz w:val="22"/>
                <w:szCs w:val="22"/>
              </w:rPr>
              <w:t>January 1, 20</w:t>
            </w:r>
            <w:r>
              <w:rPr>
                <w:rFonts w:ascii="Georgia" w:hAnsi="Georgia"/>
                <w:color w:val="auto"/>
                <w:sz w:val="22"/>
                <w:szCs w:val="22"/>
              </w:rPr>
              <w:t>23</w:t>
            </w:r>
            <w:r w:rsidR="00D23E6B">
              <w:rPr>
                <w:rFonts w:ascii="Georgia" w:hAnsi="Georgia"/>
                <w:color w:val="auto"/>
                <w:sz w:val="22"/>
                <w:szCs w:val="22"/>
              </w:rPr>
              <w:t xml:space="preserve"> (currently pending).</w:t>
            </w:r>
          </w:p>
        </w:tc>
      </w:tr>
      <w:tr w:rsidR="00145F49" w14:paraId="36A8C7AE" w14:textId="77777777" w:rsidTr="00C7155C">
        <w:tc>
          <w:tcPr>
            <w:tcW w:w="3001" w:type="dxa"/>
          </w:tcPr>
          <w:p w14:paraId="3EDFFE41" w14:textId="755C9A7A" w:rsidR="00145F49" w:rsidRDefault="00145F49" w:rsidP="00145F49">
            <w:pPr>
              <w:autoSpaceDE w:val="0"/>
              <w:autoSpaceDN w:val="0"/>
              <w:adjustRightInd w:val="0"/>
              <w:spacing w:before="0" w:after="0" w:afterAutospacing="0"/>
              <w:ind w:left="0"/>
              <w:rPr>
                <w:rFonts w:eastAsiaTheme="minorHAnsi" w:cs="Calibri"/>
              </w:rPr>
            </w:pPr>
            <w:r w:rsidRPr="00180B3C">
              <w:t xml:space="preserve">Expansion of medical practitioners that may order home health services and establish a member’s plan of care </w:t>
            </w:r>
            <w:r>
              <w:t xml:space="preserve">under </w:t>
            </w:r>
            <w:r w:rsidRPr="00180B3C">
              <w:t>42 CFR 440.70, so that MassHealth members may be under the care of a nurse practitioner, clinical nurse specialist, or a physician assistant who is working within their scope of practice in accordance with state law.</w:t>
            </w:r>
          </w:p>
        </w:tc>
        <w:tc>
          <w:tcPr>
            <w:tcW w:w="3357" w:type="dxa"/>
          </w:tcPr>
          <w:p w14:paraId="3229D1FD" w14:textId="125BCF7A" w:rsidR="00145F49" w:rsidRDefault="00E73C3A" w:rsidP="00145F49">
            <w:pPr>
              <w:pStyle w:val="Default"/>
              <w:rPr>
                <w:rFonts w:ascii="Georgia" w:hAnsi="Georgia"/>
                <w:sz w:val="22"/>
                <w:szCs w:val="22"/>
              </w:rPr>
            </w:pPr>
            <w:r>
              <w:rPr>
                <w:rFonts w:ascii="Georgia" w:hAnsi="Georgia"/>
                <w:sz w:val="22"/>
                <w:szCs w:val="22"/>
              </w:rPr>
              <w:t>DR-SPA</w:t>
            </w:r>
          </w:p>
        </w:tc>
        <w:tc>
          <w:tcPr>
            <w:tcW w:w="3357" w:type="dxa"/>
          </w:tcPr>
          <w:p w14:paraId="0969B09A" w14:textId="362FF4D2" w:rsidR="00145F49" w:rsidRDefault="00145F49" w:rsidP="00145F49">
            <w:pPr>
              <w:pStyle w:val="Default"/>
              <w:rPr>
                <w:rFonts w:ascii="Georgia" w:hAnsi="Georgia"/>
                <w:sz w:val="22"/>
                <w:szCs w:val="22"/>
              </w:rPr>
            </w:pPr>
            <w:r w:rsidRPr="00F04A02">
              <w:rPr>
                <w:rFonts w:ascii="Georgia" w:hAnsi="Georgia"/>
                <w:sz w:val="22"/>
                <w:szCs w:val="22"/>
              </w:rPr>
              <w:t xml:space="preserve">MassHealth </w:t>
            </w:r>
            <w:r>
              <w:rPr>
                <w:rFonts w:ascii="Georgia" w:hAnsi="Georgia"/>
                <w:sz w:val="22"/>
                <w:szCs w:val="22"/>
              </w:rPr>
              <w:t>received</w:t>
            </w:r>
            <w:r w:rsidRPr="00F04A02">
              <w:rPr>
                <w:rFonts w:ascii="Georgia" w:hAnsi="Georgia"/>
                <w:sz w:val="22"/>
                <w:szCs w:val="22"/>
              </w:rPr>
              <w:t xml:space="preserve"> </w:t>
            </w:r>
            <w:r>
              <w:rPr>
                <w:rFonts w:ascii="Georgia" w:hAnsi="Georgia"/>
                <w:sz w:val="22"/>
                <w:szCs w:val="22"/>
              </w:rPr>
              <w:t xml:space="preserve">permanent authority through a regular State Plan Amendment, effective </w:t>
            </w:r>
            <w:r w:rsidR="00D23E6B">
              <w:rPr>
                <w:rFonts w:ascii="Georgia" w:hAnsi="Georgia"/>
                <w:sz w:val="22"/>
                <w:szCs w:val="22"/>
              </w:rPr>
              <w:t>August 8, 20</w:t>
            </w:r>
            <w:r>
              <w:rPr>
                <w:rFonts w:ascii="Georgia" w:hAnsi="Georgia"/>
                <w:sz w:val="22"/>
                <w:szCs w:val="22"/>
              </w:rPr>
              <w:t>21</w:t>
            </w:r>
            <w:r w:rsidR="00D23E6B">
              <w:rPr>
                <w:rFonts w:ascii="Georgia" w:hAnsi="Georgia"/>
                <w:sz w:val="22"/>
                <w:szCs w:val="22"/>
              </w:rPr>
              <w:t>.</w:t>
            </w:r>
            <w:r>
              <w:rPr>
                <w:rFonts w:ascii="Georgia" w:hAnsi="Georgia"/>
                <w:sz w:val="22"/>
                <w:szCs w:val="22"/>
              </w:rPr>
              <w:t xml:space="preserve"> </w:t>
            </w:r>
          </w:p>
        </w:tc>
      </w:tr>
      <w:tr w:rsidR="00145F49" w14:paraId="34866859" w14:textId="77777777" w:rsidTr="00C7155C">
        <w:tc>
          <w:tcPr>
            <w:tcW w:w="3001" w:type="dxa"/>
          </w:tcPr>
          <w:p w14:paraId="351DFE37" w14:textId="45B891BB" w:rsidR="00145F49" w:rsidRPr="00180B3C" w:rsidRDefault="00145F49" w:rsidP="00145F49">
            <w:pPr>
              <w:autoSpaceDE w:val="0"/>
              <w:autoSpaceDN w:val="0"/>
              <w:adjustRightInd w:val="0"/>
              <w:spacing w:before="0" w:after="0" w:afterAutospacing="0"/>
              <w:ind w:left="0"/>
            </w:pPr>
            <w:r w:rsidRPr="001F7269">
              <w:t>Coverage of Remote Patient Monitoring</w:t>
            </w:r>
            <w:r>
              <w:t xml:space="preserve"> </w:t>
            </w:r>
          </w:p>
        </w:tc>
        <w:tc>
          <w:tcPr>
            <w:tcW w:w="3357" w:type="dxa"/>
          </w:tcPr>
          <w:p w14:paraId="5AAE55E0" w14:textId="322C930F" w:rsidR="00145F49" w:rsidRDefault="00E73C3A" w:rsidP="00145F49">
            <w:pPr>
              <w:pStyle w:val="Default"/>
              <w:rPr>
                <w:rFonts w:ascii="Georgia" w:hAnsi="Georgia"/>
                <w:sz w:val="22"/>
                <w:szCs w:val="22"/>
              </w:rPr>
            </w:pPr>
            <w:r>
              <w:rPr>
                <w:rFonts w:ascii="Georgia" w:hAnsi="Georgia"/>
                <w:sz w:val="22"/>
                <w:szCs w:val="22"/>
              </w:rPr>
              <w:t>DR-SPA</w:t>
            </w:r>
          </w:p>
        </w:tc>
        <w:tc>
          <w:tcPr>
            <w:tcW w:w="3357" w:type="dxa"/>
          </w:tcPr>
          <w:p w14:paraId="6D2160AB" w14:textId="68CFF501" w:rsidR="00145F49" w:rsidRPr="00F04A02" w:rsidRDefault="00145F49" w:rsidP="00145F49">
            <w:pPr>
              <w:pStyle w:val="Default"/>
              <w:rPr>
                <w:rFonts w:ascii="Georgia" w:hAnsi="Georgia"/>
                <w:sz w:val="22"/>
                <w:szCs w:val="22"/>
              </w:rPr>
            </w:pPr>
            <w:r w:rsidRPr="00F04A02">
              <w:rPr>
                <w:rFonts w:ascii="Georgia" w:hAnsi="Georgia"/>
                <w:sz w:val="22"/>
                <w:szCs w:val="22"/>
              </w:rPr>
              <w:t xml:space="preserve">MassHealth will request </w:t>
            </w:r>
            <w:r>
              <w:rPr>
                <w:rFonts w:ascii="Georgia" w:hAnsi="Georgia"/>
                <w:sz w:val="22"/>
                <w:szCs w:val="22"/>
              </w:rPr>
              <w:t xml:space="preserve">permanent authority through a </w:t>
            </w:r>
            <w:r>
              <w:rPr>
                <w:rFonts w:ascii="Georgia" w:hAnsi="Georgia"/>
                <w:sz w:val="22"/>
                <w:szCs w:val="22"/>
              </w:rPr>
              <w:lastRenderedPageBreak/>
              <w:t xml:space="preserve">regular State Plan Amendment, effective </w:t>
            </w:r>
            <w:r w:rsidR="00ED43A9">
              <w:rPr>
                <w:rFonts w:ascii="Georgia" w:hAnsi="Georgia"/>
                <w:sz w:val="22"/>
                <w:szCs w:val="22"/>
              </w:rPr>
              <w:t>May 12, 20</w:t>
            </w:r>
            <w:r>
              <w:rPr>
                <w:rFonts w:ascii="Georgia" w:hAnsi="Georgia"/>
                <w:sz w:val="22"/>
                <w:szCs w:val="22"/>
              </w:rPr>
              <w:t>23</w:t>
            </w:r>
            <w:r w:rsidR="00ED43A9">
              <w:rPr>
                <w:rFonts w:ascii="Georgia" w:hAnsi="Georgia"/>
                <w:sz w:val="22"/>
                <w:szCs w:val="22"/>
              </w:rPr>
              <w:t>.</w:t>
            </w:r>
            <w:r>
              <w:rPr>
                <w:rFonts w:ascii="Georgia" w:hAnsi="Georgia"/>
                <w:sz w:val="22"/>
                <w:szCs w:val="22"/>
              </w:rPr>
              <w:t xml:space="preserve">  </w:t>
            </w:r>
            <w:r>
              <w:rPr>
                <w:rFonts w:ascii="Georgia" w:hAnsi="Georgia"/>
                <w:sz w:val="22"/>
                <w:szCs w:val="22"/>
              </w:rPr>
              <w:br/>
            </w:r>
            <w:r>
              <w:rPr>
                <w:rFonts w:ascii="Georgia" w:hAnsi="Georgia"/>
                <w:sz w:val="22"/>
                <w:szCs w:val="22"/>
              </w:rPr>
              <w:br/>
            </w:r>
          </w:p>
        </w:tc>
      </w:tr>
      <w:tr w:rsidR="00145F49" w14:paraId="1AC6DD62" w14:textId="77777777" w:rsidTr="00C7155C">
        <w:tc>
          <w:tcPr>
            <w:tcW w:w="3001" w:type="dxa"/>
          </w:tcPr>
          <w:p w14:paraId="7E7426D9" w14:textId="5A1A2FDE" w:rsidR="00145F49" w:rsidRPr="001F7269" w:rsidRDefault="00145F49" w:rsidP="00145F49">
            <w:pPr>
              <w:autoSpaceDE w:val="0"/>
              <w:autoSpaceDN w:val="0"/>
              <w:adjustRightInd w:val="0"/>
              <w:spacing w:before="0" w:after="0" w:afterAutospacing="0"/>
              <w:ind w:left="0"/>
            </w:pPr>
            <w:r w:rsidRPr="001F7269">
              <w:lastRenderedPageBreak/>
              <w:t>Adjustment of professional dispensing fees</w:t>
            </w:r>
            <w:r>
              <w:t xml:space="preserve"> when medications are delivered</w:t>
            </w:r>
          </w:p>
        </w:tc>
        <w:tc>
          <w:tcPr>
            <w:tcW w:w="3357" w:type="dxa"/>
          </w:tcPr>
          <w:p w14:paraId="49035CED" w14:textId="2460D021" w:rsidR="00145F49" w:rsidRPr="00F04A02" w:rsidRDefault="00E73C3A" w:rsidP="00145F49">
            <w:pPr>
              <w:pStyle w:val="Default"/>
              <w:rPr>
                <w:rFonts w:ascii="Georgia" w:hAnsi="Georgia"/>
                <w:sz w:val="22"/>
                <w:szCs w:val="22"/>
              </w:rPr>
            </w:pPr>
            <w:r>
              <w:rPr>
                <w:rFonts w:ascii="Georgia" w:hAnsi="Georgia"/>
                <w:sz w:val="22"/>
                <w:szCs w:val="22"/>
              </w:rPr>
              <w:t>DR-SPA</w:t>
            </w:r>
          </w:p>
        </w:tc>
        <w:tc>
          <w:tcPr>
            <w:tcW w:w="3357" w:type="dxa"/>
          </w:tcPr>
          <w:p w14:paraId="2110C0F3" w14:textId="0CF7039A" w:rsidR="00145F49" w:rsidRPr="00F04A02" w:rsidRDefault="00145F49" w:rsidP="00145F49">
            <w:pPr>
              <w:pStyle w:val="Default"/>
              <w:rPr>
                <w:rFonts w:ascii="Georgia" w:hAnsi="Georgia"/>
                <w:sz w:val="22"/>
                <w:szCs w:val="22"/>
              </w:rPr>
            </w:pPr>
            <w:r w:rsidRPr="00F04A02">
              <w:rPr>
                <w:rFonts w:ascii="Georgia" w:hAnsi="Georgia"/>
                <w:sz w:val="22"/>
                <w:szCs w:val="22"/>
              </w:rPr>
              <w:t xml:space="preserve">MassHealth will request </w:t>
            </w:r>
            <w:r>
              <w:rPr>
                <w:rFonts w:ascii="Georgia" w:hAnsi="Georgia"/>
                <w:sz w:val="22"/>
                <w:szCs w:val="22"/>
              </w:rPr>
              <w:t xml:space="preserve">permanent authority through a regular State Plan Amendment, effective </w:t>
            </w:r>
            <w:r w:rsidR="00ED43A9">
              <w:rPr>
                <w:rFonts w:ascii="Georgia" w:hAnsi="Georgia"/>
                <w:sz w:val="22"/>
                <w:szCs w:val="22"/>
              </w:rPr>
              <w:t>May 12, 2023.</w:t>
            </w:r>
          </w:p>
        </w:tc>
      </w:tr>
      <w:tr w:rsidR="00145F49" w14:paraId="4F0D758F" w14:textId="77777777" w:rsidTr="00C7155C">
        <w:tc>
          <w:tcPr>
            <w:tcW w:w="3001" w:type="dxa"/>
          </w:tcPr>
          <w:p w14:paraId="6A69FFAE" w14:textId="7B51F56C" w:rsidR="00145F49" w:rsidRPr="001F7269" w:rsidRDefault="00145F49" w:rsidP="00145F49">
            <w:pPr>
              <w:autoSpaceDE w:val="0"/>
              <w:autoSpaceDN w:val="0"/>
              <w:adjustRightInd w:val="0"/>
              <w:spacing w:before="0" w:after="0" w:afterAutospacing="0"/>
              <w:ind w:left="0"/>
            </w:pPr>
            <w:r w:rsidRPr="001F7269">
              <w:t>Coverage for COVID-19 vaccination services provided by EMTs, pharmacists, pharmacy interns, pharmacy technicians, dentists, public health dental hygienists, dental hygienists, mental health centers</w:t>
            </w:r>
            <w:r w:rsidR="00ED43A9">
              <w:t>,</w:t>
            </w:r>
            <w:r w:rsidRPr="001F7269">
              <w:t xml:space="preserve"> and substance use disorder treatment clinics</w:t>
            </w:r>
          </w:p>
        </w:tc>
        <w:tc>
          <w:tcPr>
            <w:tcW w:w="3357" w:type="dxa"/>
          </w:tcPr>
          <w:p w14:paraId="7F829F7B" w14:textId="4D89AF00" w:rsidR="00145F49" w:rsidRPr="00F04A02" w:rsidRDefault="00E73C3A" w:rsidP="00145F49">
            <w:pPr>
              <w:pStyle w:val="Default"/>
              <w:rPr>
                <w:rFonts w:ascii="Georgia" w:hAnsi="Georgia"/>
                <w:sz w:val="22"/>
                <w:szCs w:val="22"/>
              </w:rPr>
            </w:pPr>
            <w:r>
              <w:rPr>
                <w:rFonts w:ascii="Georgia" w:hAnsi="Georgia"/>
                <w:sz w:val="22"/>
                <w:szCs w:val="22"/>
              </w:rPr>
              <w:t>DR-SPA</w:t>
            </w:r>
          </w:p>
        </w:tc>
        <w:tc>
          <w:tcPr>
            <w:tcW w:w="3357" w:type="dxa"/>
          </w:tcPr>
          <w:p w14:paraId="512D39C1" w14:textId="71B36F9C" w:rsidR="00145F49" w:rsidRPr="00F04A02" w:rsidRDefault="00145F49" w:rsidP="00145F49">
            <w:pPr>
              <w:pStyle w:val="Default"/>
              <w:rPr>
                <w:rFonts w:ascii="Georgia" w:hAnsi="Georgia"/>
                <w:sz w:val="22"/>
                <w:szCs w:val="22"/>
              </w:rPr>
            </w:pPr>
            <w:r w:rsidRPr="00F04A02">
              <w:rPr>
                <w:rFonts w:ascii="Georgia" w:hAnsi="Georgia"/>
                <w:sz w:val="22"/>
                <w:szCs w:val="22"/>
              </w:rPr>
              <w:t xml:space="preserve">MassHealth will request </w:t>
            </w:r>
            <w:r>
              <w:rPr>
                <w:rFonts w:ascii="Georgia" w:hAnsi="Georgia"/>
                <w:sz w:val="22"/>
                <w:szCs w:val="22"/>
              </w:rPr>
              <w:t>permanent authority through a regular State Plan Amendment,</w:t>
            </w:r>
            <w:r w:rsidR="00F93060">
              <w:rPr>
                <w:rFonts w:ascii="Georgia" w:hAnsi="Georgia"/>
                <w:sz w:val="22"/>
                <w:szCs w:val="22"/>
              </w:rPr>
              <w:t xml:space="preserve"> if necessary,</w:t>
            </w:r>
            <w:r>
              <w:rPr>
                <w:rFonts w:ascii="Georgia" w:hAnsi="Georgia"/>
                <w:sz w:val="22"/>
                <w:szCs w:val="22"/>
              </w:rPr>
              <w:t xml:space="preserve"> effective </w:t>
            </w:r>
            <w:r w:rsidR="00ED43A9">
              <w:rPr>
                <w:rFonts w:ascii="Georgia" w:hAnsi="Georgia"/>
                <w:sz w:val="22"/>
                <w:szCs w:val="22"/>
              </w:rPr>
              <w:t>May 12, 2023.</w:t>
            </w:r>
          </w:p>
        </w:tc>
      </w:tr>
      <w:tr w:rsidR="00145F49" w14:paraId="649B537B" w14:textId="77777777" w:rsidTr="00C7155C">
        <w:tc>
          <w:tcPr>
            <w:tcW w:w="3001" w:type="dxa"/>
          </w:tcPr>
          <w:p w14:paraId="3E2264C3" w14:textId="6756E82D" w:rsidR="00145F49" w:rsidRPr="001F7269" w:rsidRDefault="00145F49" w:rsidP="00145F49">
            <w:pPr>
              <w:autoSpaceDE w:val="0"/>
              <w:autoSpaceDN w:val="0"/>
              <w:adjustRightInd w:val="0"/>
              <w:spacing w:before="0" w:after="0" w:afterAutospacing="0"/>
              <w:ind w:left="0"/>
            </w:pPr>
            <w:r>
              <w:t>Permitting the state and clinic to temporarily designate a clinic practitioner’s location as part of the clinic facility so that clinic services may be provided via telehealth when neither the patient nor practitioner is physically on</w:t>
            </w:r>
            <w:r w:rsidR="00ED43A9">
              <w:t>-</w:t>
            </w:r>
            <w:r>
              <w:t>site at the clinic</w:t>
            </w:r>
          </w:p>
        </w:tc>
        <w:tc>
          <w:tcPr>
            <w:tcW w:w="3357" w:type="dxa"/>
          </w:tcPr>
          <w:p w14:paraId="48807464" w14:textId="7B034091" w:rsidR="00145F49" w:rsidRPr="00F04A02" w:rsidRDefault="00145F49" w:rsidP="00145F49">
            <w:pPr>
              <w:pStyle w:val="Default"/>
              <w:rPr>
                <w:rFonts w:ascii="Georgia" w:hAnsi="Georgia"/>
                <w:sz w:val="22"/>
                <w:szCs w:val="22"/>
              </w:rPr>
            </w:pPr>
            <w:r w:rsidRPr="000F4C2E">
              <w:rPr>
                <w:rFonts w:ascii="Georgia" w:hAnsi="Georgia"/>
                <w:sz w:val="22"/>
                <w:szCs w:val="22"/>
              </w:rPr>
              <w:t>Section 1135 waiver</w:t>
            </w:r>
          </w:p>
        </w:tc>
        <w:tc>
          <w:tcPr>
            <w:tcW w:w="3357" w:type="dxa"/>
          </w:tcPr>
          <w:p w14:paraId="02FDFB38" w14:textId="5A46ACA4" w:rsidR="00145F49" w:rsidRPr="00F04A02" w:rsidRDefault="00145F49" w:rsidP="00145F49">
            <w:pPr>
              <w:pStyle w:val="Default"/>
              <w:rPr>
                <w:rFonts w:ascii="Georgia" w:hAnsi="Georgia"/>
                <w:sz w:val="22"/>
                <w:szCs w:val="22"/>
              </w:rPr>
            </w:pPr>
            <w:r w:rsidRPr="00F04A02">
              <w:rPr>
                <w:rFonts w:ascii="Georgia" w:hAnsi="Georgia"/>
                <w:color w:val="auto"/>
                <w:sz w:val="22"/>
                <w:szCs w:val="22"/>
              </w:rPr>
              <w:t xml:space="preserve">MassHealth </w:t>
            </w:r>
            <w:r>
              <w:rPr>
                <w:rFonts w:ascii="Georgia" w:hAnsi="Georgia"/>
                <w:color w:val="auto"/>
                <w:sz w:val="22"/>
                <w:szCs w:val="22"/>
              </w:rPr>
              <w:t>has requested permanent authority through</w:t>
            </w:r>
            <w:r w:rsidRPr="00F04A02">
              <w:rPr>
                <w:rFonts w:ascii="Georgia" w:hAnsi="Georgia"/>
                <w:color w:val="auto"/>
                <w:sz w:val="22"/>
                <w:szCs w:val="22"/>
              </w:rPr>
              <w:t xml:space="preserve"> </w:t>
            </w:r>
            <w:r>
              <w:rPr>
                <w:rFonts w:ascii="Georgia" w:hAnsi="Georgia"/>
                <w:color w:val="auto"/>
                <w:sz w:val="22"/>
                <w:szCs w:val="22"/>
              </w:rPr>
              <w:t xml:space="preserve">a (currently pending) regular </w:t>
            </w:r>
            <w:r w:rsidRPr="00F04A02">
              <w:rPr>
                <w:rFonts w:ascii="Georgia" w:hAnsi="Georgia"/>
                <w:color w:val="auto"/>
                <w:sz w:val="22"/>
                <w:szCs w:val="22"/>
              </w:rPr>
              <w:t xml:space="preserve">State Plan Amendment, effective </w:t>
            </w:r>
            <w:r>
              <w:rPr>
                <w:rFonts w:ascii="Georgia" w:hAnsi="Georgia"/>
                <w:color w:val="auto"/>
                <w:sz w:val="22"/>
                <w:szCs w:val="22"/>
              </w:rPr>
              <w:t>1/1/23</w:t>
            </w:r>
          </w:p>
        </w:tc>
      </w:tr>
      <w:tr w:rsidR="00145F49" w14:paraId="45294CFF" w14:textId="77777777" w:rsidTr="00C7155C">
        <w:tc>
          <w:tcPr>
            <w:tcW w:w="3001" w:type="dxa"/>
          </w:tcPr>
          <w:p w14:paraId="47A8B3DF" w14:textId="795266BE" w:rsidR="00145F49" w:rsidRPr="00293E4B" w:rsidRDefault="00145F49" w:rsidP="00145F49">
            <w:pPr>
              <w:autoSpaceDE w:val="0"/>
              <w:autoSpaceDN w:val="0"/>
              <w:adjustRightInd w:val="0"/>
              <w:spacing w:before="0" w:after="0" w:afterAutospacing="0"/>
              <w:ind w:left="0"/>
            </w:pPr>
            <w:r w:rsidRPr="00293E4B">
              <w:t>Waiver of the community-based settings requirements for Home and Community Based Services waivers</w:t>
            </w:r>
          </w:p>
        </w:tc>
        <w:tc>
          <w:tcPr>
            <w:tcW w:w="3357" w:type="dxa"/>
          </w:tcPr>
          <w:p w14:paraId="2E095837" w14:textId="4F664736" w:rsidR="00145F49" w:rsidRPr="000F4C2E" w:rsidRDefault="00145F49" w:rsidP="00145F49">
            <w:pPr>
              <w:pStyle w:val="Default"/>
              <w:rPr>
                <w:rFonts w:ascii="Georgia" w:hAnsi="Georgia"/>
                <w:sz w:val="22"/>
                <w:szCs w:val="22"/>
              </w:rPr>
            </w:pPr>
            <w:r>
              <w:rPr>
                <w:rFonts w:ascii="Georgia" w:hAnsi="Georgia"/>
                <w:sz w:val="22"/>
                <w:szCs w:val="22"/>
              </w:rPr>
              <w:t>Section 1135 waiver</w:t>
            </w:r>
          </w:p>
        </w:tc>
        <w:tc>
          <w:tcPr>
            <w:tcW w:w="3357" w:type="dxa"/>
          </w:tcPr>
          <w:p w14:paraId="378A0687" w14:textId="0C1601D5" w:rsidR="00145F49" w:rsidRPr="00F04A02" w:rsidRDefault="00145F49" w:rsidP="00145F49">
            <w:pPr>
              <w:pStyle w:val="Default"/>
              <w:rPr>
                <w:rFonts w:ascii="Georgia" w:hAnsi="Georgia"/>
                <w:color w:val="auto"/>
                <w:sz w:val="22"/>
                <w:szCs w:val="22"/>
              </w:rPr>
            </w:pPr>
            <w:r>
              <w:rPr>
                <w:rFonts w:ascii="Georgia" w:hAnsi="Georgia"/>
                <w:color w:val="auto"/>
                <w:sz w:val="22"/>
                <w:szCs w:val="22"/>
              </w:rPr>
              <w:t>For this flexibility</w:t>
            </w:r>
            <w:r w:rsidR="00ED43A9">
              <w:rPr>
                <w:rFonts w:ascii="Georgia" w:hAnsi="Georgia"/>
                <w:color w:val="auto"/>
                <w:sz w:val="22"/>
                <w:szCs w:val="22"/>
              </w:rPr>
              <w:t>,</w:t>
            </w:r>
            <w:r>
              <w:rPr>
                <w:rFonts w:ascii="Georgia" w:hAnsi="Georgia"/>
                <w:color w:val="auto"/>
                <w:sz w:val="22"/>
                <w:szCs w:val="22"/>
              </w:rPr>
              <w:t xml:space="preserve"> MassHealth is using Appendix K authority</w:t>
            </w:r>
            <w:r w:rsidR="00ED43A9">
              <w:rPr>
                <w:rFonts w:ascii="Georgia" w:hAnsi="Georgia"/>
                <w:color w:val="auto"/>
                <w:sz w:val="22"/>
                <w:szCs w:val="22"/>
              </w:rPr>
              <w:t>,</w:t>
            </w:r>
            <w:r>
              <w:rPr>
                <w:rFonts w:ascii="Georgia" w:hAnsi="Georgia"/>
                <w:color w:val="auto"/>
                <w:sz w:val="22"/>
                <w:szCs w:val="22"/>
              </w:rPr>
              <w:t xml:space="preserve"> which does not expire until </w:t>
            </w:r>
            <w:r w:rsidR="00ED43A9">
              <w:rPr>
                <w:rFonts w:ascii="Georgia" w:hAnsi="Georgia"/>
                <w:color w:val="auto"/>
                <w:sz w:val="22"/>
                <w:szCs w:val="22"/>
              </w:rPr>
              <w:t>November 11, 2023.</w:t>
            </w:r>
            <w:r>
              <w:rPr>
                <w:rFonts w:ascii="Georgia" w:hAnsi="Georgia"/>
                <w:color w:val="auto"/>
                <w:sz w:val="22"/>
                <w:szCs w:val="22"/>
              </w:rPr>
              <w:t xml:space="preserve"> </w:t>
            </w:r>
          </w:p>
        </w:tc>
      </w:tr>
    </w:tbl>
    <w:p w14:paraId="5A1EB46D" w14:textId="39693822" w:rsidR="009937E4" w:rsidRDefault="009937E4" w:rsidP="001B07B9">
      <w:pPr>
        <w:pStyle w:val="Default"/>
        <w:rPr>
          <w:rFonts w:ascii="Georgia" w:hAnsi="Georgia"/>
          <w:b/>
          <w:bCs/>
          <w:sz w:val="22"/>
          <w:szCs w:val="22"/>
        </w:rPr>
      </w:pPr>
    </w:p>
    <w:p w14:paraId="7AAE1965" w14:textId="77777777" w:rsidR="00EF5AEF" w:rsidRDefault="00EF5AEF" w:rsidP="001B07B9">
      <w:pPr>
        <w:pStyle w:val="Default"/>
        <w:rPr>
          <w:rFonts w:ascii="Georgia" w:hAnsi="Georgia"/>
          <w:b/>
          <w:bCs/>
          <w:sz w:val="22"/>
          <w:szCs w:val="22"/>
        </w:rPr>
      </w:pPr>
    </w:p>
    <w:p w14:paraId="1FD72931" w14:textId="77777777" w:rsidR="00EF5AEF" w:rsidRDefault="00EF5AEF" w:rsidP="001B07B9">
      <w:pPr>
        <w:pStyle w:val="Default"/>
        <w:rPr>
          <w:rFonts w:ascii="Georgia" w:hAnsi="Georgia"/>
          <w:b/>
          <w:bCs/>
          <w:sz w:val="22"/>
          <w:szCs w:val="22"/>
        </w:rPr>
      </w:pPr>
    </w:p>
    <w:p w14:paraId="4ADB8634" w14:textId="77777777" w:rsidR="007D78EE" w:rsidRDefault="007D78EE" w:rsidP="001B07B9">
      <w:pPr>
        <w:pStyle w:val="Default"/>
        <w:rPr>
          <w:rFonts w:ascii="Georgia" w:hAnsi="Georgia"/>
          <w:b/>
          <w:bCs/>
          <w:sz w:val="22"/>
          <w:szCs w:val="22"/>
        </w:rPr>
      </w:pPr>
    </w:p>
    <w:p w14:paraId="195815C9" w14:textId="77777777" w:rsidR="00CC1E11" w:rsidRPr="00F664CC" w:rsidRDefault="00CC1E11" w:rsidP="00E27CD8"/>
    <w:sectPr w:rsidR="00CC1E11" w:rsidRPr="00F664CC" w:rsidSect="0059142C">
      <w:headerReference w:type="default" r:id="rId8"/>
      <w:footerReference w:type="default" r:id="rId9"/>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B227" w14:textId="77777777" w:rsidR="00A01B0E" w:rsidRDefault="00A01B0E" w:rsidP="00E27CD8">
      <w:r>
        <w:separator/>
      </w:r>
    </w:p>
  </w:endnote>
  <w:endnote w:type="continuationSeparator" w:id="0">
    <w:p w14:paraId="12CA8635" w14:textId="77777777" w:rsidR="00A01B0E" w:rsidRDefault="00A01B0E" w:rsidP="00E27CD8">
      <w:r>
        <w:continuationSeparator/>
      </w:r>
    </w:p>
  </w:endnote>
  <w:endnote w:type="continuationNotice" w:id="1">
    <w:p w14:paraId="426D3C0B" w14:textId="77777777" w:rsidR="00A01B0E" w:rsidRDefault="00A01B0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A610" w14:textId="12400E92" w:rsidR="00CC1E11" w:rsidRPr="00CC1E11" w:rsidRDefault="00CC1E11" w:rsidP="008B04CE">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1CEBD" w14:textId="77777777" w:rsidR="00A01B0E" w:rsidRDefault="00A01B0E" w:rsidP="00E27CD8">
      <w:r>
        <w:separator/>
      </w:r>
    </w:p>
  </w:footnote>
  <w:footnote w:type="continuationSeparator" w:id="0">
    <w:p w14:paraId="71F68B71" w14:textId="77777777" w:rsidR="00A01B0E" w:rsidRDefault="00A01B0E" w:rsidP="00E27CD8">
      <w:r>
        <w:continuationSeparator/>
      </w:r>
    </w:p>
  </w:footnote>
  <w:footnote w:type="continuationNotice" w:id="1">
    <w:p w14:paraId="1A26EAD9" w14:textId="77777777" w:rsidR="00A01B0E" w:rsidRDefault="00A01B0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2704" w14:textId="5070CB9C" w:rsidR="00AD204A" w:rsidRDefault="00AD204A" w:rsidP="003E2878">
    <w:pPr>
      <w:pStyle w:val="BullsHeading"/>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3EA7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E832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BC25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201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8623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CAC8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AE607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925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0F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7C3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0503B"/>
    <w:multiLevelType w:val="hybridMultilevel"/>
    <w:tmpl w:val="5214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F1167"/>
    <w:multiLevelType w:val="hybridMultilevel"/>
    <w:tmpl w:val="7172B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77384F"/>
    <w:multiLevelType w:val="hybridMultilevel"/>
    <w:tmpl w:val="C748A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3104A8"/>
    <w:multiLevelType w:val="hybridMultilevel"/>
    <w:tmpl w:val="9FC0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2486C"/>
    <w:multiLevelType w:val="multilevel"/>
    <w:tmpl w:val="4BD82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EC4585"/>
    <w:multiLevelType w:val="multilevel"/>
    <w:tmpl w:val="65A00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F45A0C"/>
    <w:multiLevelType w:val="hybridMultilevel"/>
    <w:tmpl w:val="ADCE3298"/>
    <w:lvl w:ilvl="0" w:tplc="62F85F3A">
      <w:start w:val="5"/>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98820BF"/>
    <w:multiLevelType w:val="hybridMultilevel"/>
    <w:tmpl w:val="0388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1428533">
    <w:abstractNumId w:val="9"/>
  </w:num>
  <w:num w:numId="2" w16cid:durableId="163667840">
    <w:abstractNumId w:val="7"/>
  </w:num>
  <w:num w:numId="3" w16cid:durableId="2045130233">
    <w:abstractNumId w:val="6"/>
  </w:num>
  <w:num w:numId="4" w16cid:durableId="1151171963">
    <w:abstractNumId w:val="5"/>
  </w:num>
  <w:num w:numId="5" w16cid:durableId="450704467">
    <w:abstractNumId w:val="4"/>
  </w:num>
  <w:num w:numId="6" w16cid:durableId="571551497">
    <w:abstractNumId w:val="8"/>
  </w:num>
  <w:num w:numId="7" w16cid:durableId="892276043">
    <w:abstractNumId w:val="3"/>
  </w:num>
  <w:num w:numId="8" w16cid:durableId="60367578">
    <w:abstractNumId w:val="2"/>
  </w:num>
  <w:num w:numId="9" w16cid:durableId="1224218087">
    <w:abstractNumId w:val="1"/>
  </w:num>
  <w:num w:numId="10" w16cid:durableId="1771774475">
    <w:abstractNumId w:val="0"/>
  </w:num>
  <w:num w:numId="11" w16cid:durableId="1875578581">
    <w:abstractNumId w:val="12"/>
  </w:num>
  <w:num w:numId="12" w16cid:durableId="94980574">
    <w:abstractNumId w:val="16"/>
  </w:num>
  <w:num w:numId="13" w16cid:durableId="1912151455">
    <w:abstractNumId w:val="11"/>
  </w:num>
  <w:num w:numId="14" w16cid:durableId="1314915291">
    <w:abstractNumId w:val="10"/>
  </w:num>
  <w:num w:numId="15" w16cid:durableId="2027636897">
    <w:abstractNumId w:val="17"/>
  </w:num>
  <w:num w:numId="16" w16cid:durableId="659187907">
    <w:abstractNumId w:val="13"/>
  </w:num>
  <w:num w:numId="17" w16cid:durableId="2031028268">
    <w:abstractNumId w:val="14"/>
  </w:num>
  <w:num w:numId="18" w16cid:durableId="1329989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71D"/>
    <w:rsid w:val="000049D1"/>
    <w:rsid w:val="00007D46"/>
    <w:rsid w:val="00010A58"/>
    <w:rsid w:val="00010EB0"/>
    <w:rsid w:val="000200A8"/>
    <w:rsid w:val="00021CFA"/>
    <w:rsid w:val="000234ED"/>
    <w:rsid w:val="000244B8"/>
    <w:rsid w:val="00024B8C"/>
    <w:rsid w:val="00025D97"/>
    <w:rsid w:val="00027F5D"/>
    <w:rsid w:val="000339F3"/>
    <w:rsid w:val="00043ECD"/>
    <w:rsid w:val="00044981"/>
    <w:rsid w:val="00044BE0"/>
    <w:rsid w:val="0004535D"/>
    <w:rsid w:val="00047895"/>
    <w:rsid w:val="000502C2"/>
    <w:rsid w:val="00050C61"/>
    <w:rsid w:val="00052479"/>
    <w:rsid w:val="00053295"/>
    <w:rsid w:val="00060487"/>
    <w:rsid w:val="00063A29"/>
    <w:rsid w:val="00064E04"/>
    <w:rsid w:val="000702E0"/>
    <w:rsid w:val="0007077B"/>
    <w:rsid w:val="00074558"/>
    <w:rsid w:val="00075550"/>
    <w:rsid w:val="00076919"/>
    <w:rsid w:val="00076CB3"/>
    <w:rsid w:val="000848EB"/>
    <w:rsid w:val="00085F21"/>
    <w:rsid w:val="00087B0B"/>
    <w:rsid w:val="00087CC0"/>
    <w:rsid w:val="00092788"/>
    <w:rsid w:val="000938C8"/>
    <w:rsid w:val="00093D45"/>
    <w:rsid w:val="000974C5"/>
    <w:rsid w:val="000979A3"/>
    <w:rsid w:val="000A1B85"/>
    <w:rsid w:val="000A3A5C"/>
    <w:rsid w:val="000A45CA"/>
    <w:rsid w:val="000A4952"/>
    <w:rsid w:val="000B1B87"/>
    <w:rsid w:val="000B2BE6"/>
    <w:rsid w:val="000B613A"/>
    <w:rsid w:val="000C07AE"/>
    <w:rsid w:val="000C0952"/>
    <w:rsid w:val="000C14B6"/>
    <w:rsid w:val="000C3467"/>
    <w:rsid w:val="000C3B91"/>
    <w:rsid w:val="000D17A1"/>
    <w:rsid w:val="000D3DB5"/>
    <w:rsid w:val="000E0854"/>
    <w:rsid w:val="000E0A06"/>
    <w:rsid w:val="000E159E"/>
    <w:rsid w:val="000E205C"/>
    <w:rsid w:val="000E6E21"/>
    <w:rsid w:val="000F0A3B"/>
    <w:rsid w:val="000F1E55"/>
    <w:rsid w:val="000F3987"/>
    <w:rsid w:val="000F4C2E"/>
    <w:rsid w:val="000F4C4F"/>
    <w:rsid w:val="000F51EA"/>
    <w:rsid w:val="000F5236"/>
    <w:rsid w:val="000F585E"/>
    <w:rsid w:val="000F5B44"/>
    <w:rsid w:val="000F6875"/>
    <w:rsid w:val="00100483"/>
    <w:rsid w:val="001005E6"/>
    <w:rsid w:val="0011143E"/>
    <w:rsid w:val="001128D0"/>
    <w:rsid w:val="00113351"/>
    <w:rsid w:val="00115DBD"/>
    <w:rsid w:val="00124650"/>
    <w:rsid w:val="00124C80"/>
    <w:rsid w:val="001271B5"/>
    <w:rsid w:val="00130362"/>
    <w:rsid w:val="00131000"/>
    <w:rsid w:val="0013381A"/>
    <w:rsid w:val="00135F6D"/>
    <w:rsid w:val="00145F49"/>
    <w:rsid w:val="00146E9E"/>
    <w:rsid w:val="0014779E"/>
    <w:rsid w:val="00150BCC"/>
    <w:rsid w:val="0015230D"/>
    <w:rsid w:val="00153628"/>
    <w:rsid w:val="00154D62"/>
    <w:rsid w:val="001554E7"/>
    <w:rsid w:val="00157192"/>
    <w:rsid w:val="001611A7"/>
    <w:rsid w:val="001634DD"/>
    <w:rsid w:val="001638F0"/>
    <w:rsid w:val="00165A3F"/>
    <w:rsid w:val="00166FB9"/>
    <w:rsid w:val="00166FD8"/>
    <w:rsid w:val="00167C17"/>
    <w:rsid w:val="00171E1B"/>
    <w:rsid w:val="00174DBB"/>
    <w:rsid w:val="00180B3C"/>
    <w:rsid w:val="00183390"/>
    <w:rsid w:val="00184084"/>
    <w:rsid w:val="001867E0"/>
    <w:rsid w:val="00187AF0"/>
    <w:rsid w:val="00197F70"/>
    <w:rsid w:val="001A136C"/>
    <w:rsid w:val="001A23B3"/>
    <w:rsid w:val="001A435C"/>
    <w:rsid w:val="001A69C5"/>
    <w:rsid w:val="001A6F57"/>
    <w:rsid w:val="001B07B9"/>
    <w:rsid w:val="001B1579"/>
    <w:rsid w:val="001B7B65"/>
    <w:rsid w:val="001B7CCE"/>
    <w:rsid w:val="001C087F"/>
    <w:rsid w:val="001C1163"/>
    <w:rsid w:val="001C12B2"/>
    <w:rsid w:val="001C3BE0"/>
    <w:rsid w:val="001C3E0D"/>
    <w:rsid w:val="001C4B12"/>
    <w:rsid w:val="001C57EC"/>
    <w:rsid w:val="001C68CC"/>
    <w:rsid w:val="001D5148"/>
    <w:rsid w:val="001D5AB5"/>
    <w:rsid w:val="001D6D12"/>
    <w:rsid w:val="001E181A"/>
    <w:rsid w:val="001E1A62"/>
    <w:rsid w:val="001E4951"/>
    <w:rsid w:val="001E5629"/>
    <w:rsid w:val="001E5FB8"/>
    <w:rsid w:val="001E65FB"/>
    <w:rsid w:val="001E667A"/>
    <w:rsid w:val="001E7943"/>
    <w:rsid w:val="001F0E91"/>
    <w:rsid w:val="001F1E34"/>
    <w:rsid w:val="001F4010"/>
    <w:rsid w:val="001F683C"/>
    <w:rsid w:val="001F7269"/>
    <w:rsid w:val="001F7A14"/>
    <w:rsid w:val="001F7EC7"/>
    <w:rsid w:val="00200A97"/>
    <w:rsid w:val="002010FF"/>
    <w:rsid w:val="00201340"/>
    <w:rsid w:val="00203CC9"/>
    <w:rsid w:val="002053FE"/>
    <w:rsid w:val="00205FEC"/>
    <w:rsid w:val="00206708"/>
    <w:rsid w:val="002067A7"/>
    <w:rsid w:val="00207349"/>
    <w:rsid w:val="00211451"/>
    <w:rsid w:val="002140BC"/>
    <w:rsid w:val="002143FC"/>
    <w:rsid w:val="002157AC"/>
    <w:rsid w:val="00220189"/>
    <w:rsid w:val="002201BD"/>
    <w:rsid w:val="00221556"/>
    <w:rsid w:val="0022266E"/>
    <w:rsid w:val="00226D24"/>
    <w:rsid w:val="00230B33"/>
    <w:rsid w:val="00237E01"/>
    <w:rsid w:val="00240228"/>
    <w:rsid w:val="0024185D"/>
    <w:rsid w:val="002418DC"/>
    <w:rsid w:val="00243025"/>
    <w:rsid w:val="00245512"/>
    <w:rsid w:val="002458C9"/>
    <w:rsid w:val="002479B4"/>
    <w:rsid w:val="00247ABA"/>
    <w:rsid w:val="002501CF"/>
    <w:rsid w:val="0025022F"/>
    <w:rsid w:val="002535EB"/>
    <w:rsid w:val="00253BBD"/>
    <w:rsid w:val="002605D5"/>
    <w:rsid w:val="00260669"/>
    <w:rsid w:val="00261562"/>
    <w:rsid w:val="002666C6"/>
    <w:rsid w:val="00274279"/>
    <w:rsid w:val="00276F47"/>
    <w:rsid w:val="002819E5"/>
    <w:rsid w:val="00284044"/>
    <w:rsid w:val="002854F9"/>
    <w:rsid w:val="0028720F"/>
    <w:rsid w:val="00287620"/>
    <w:rsid w:val="00290B59"/>
    <w:rsid w:val="00292BF5"/>
    <w:rsid w:val="00293E4B"/>
    <w:rsid w:val="00295EE4"/>
    <w:rsid w:val="00297E26"/>
    <w:rsid w:val="002A1E0A"/>
    <w:rsid w:val="002A338B"/>
    <w:rsid w:val="002A5545"/>
    <w:rsid w:val="002A7D46"/>
    <w:rsid w:val="002B19F3"/>
    <w:rsid w:val="002B1BB6"/>
    <w:rsid w:val="002B246F"/>
    <w:rsid w:val="002B40BC"/>
    <w:rsid w:val="002C222E"/>
    <w:rsid w:val="002C288B"/>
    <w:rsid w:val="002D1BEA"/>
    <w:rsid w:val="002D1C93"/>
    <w:rsid w:val="002D2181"/>
    <w:rsid w:val="002D2659"/>
    <w:rsid w:val="002D365B"/>
    <w:rsid w:val="002D39D9"/>
    <w:rsid w:val="002D77D1"/>
    <w:rsid w:val="002E001D"/>
    <w:rsid w:val="002E3391"/>
    <w:rsid w:val="002E400B"/>
    <w:rsid w:val="002E4CBE"/>
    <w:rsid w:val="002F1975"/>
    <w:rsid w:val="002F2993"/>
    <w:rsid w:val="002F46B9"/>
    <w:rsid w:val="002F48AE"/>
    <w:rsid w:val="002F4B0D"/>
    <w:rsid w:val="002F4FC0"/>
    <w:rsid w:val="002F5A07"/>
    <w:rsid w:val="002F7245"/>
    <w:rsid w:val="00302397"/>
    <w:rsid w:val="003025C3"/>
    <w:rsid w:val="00302E76"/>
    <w:rsid w:val="003044DC"/>
    <w:rsid w:val="0030510B"/>
    <w:rsid w:val="00306581"/>
    <w:rsid w:val="00307746"/>
    <w:rsid w:val="00311873"/>
    <w:rsid w:val="0031483A"/>
    <w:rsid w:val="00317543"/>
    <w:rsid w:val="00322C8E"/>
    <w:rsid w:val="00324E91"/>
    <w:rsid w:val="00331BC7"/>
    <w:rsid w:val="00331D84"/>
    <w:rsid w:val="00332524"/>
    <w:rsid w:val="003341C2"/>
    <w:rsid w:val="0033543B"/>
    <w:rsid w:val="00337229"/>
    <w:rsid w:val="00340E70"/>
    <w:rsid w:val="00342876"/>
    <w:rsid w:val="00343530"/>
    <w:rsid w:val="003438B7"/>
    <w:rsid w:val="00346329"/>
    <w:rsid w:val="003470A1"/>
    <w:rsid w:val="0035263F"/>
    <w:rsid w:val="0035528A"/>
    <w:rsid w:val="0036390C"/>
    <w:rsid w:val="0036726A"/>
    <w:rsid w:val="0037565C"/>
    <w:rsid w:val="003760EE"/>
    <w:rsid w:val="0037669F"/>
    <w:rsid w:val="00380A41"/>
    <w:rsid w:val="00382DA5"/>
    <w:rsid w:val="003836D1"/>
    <w:rsid w:val="003844B2"/>
    <w:rsid w:val="003848B4"/>
    <w:rsid w:val="003862A9"/>
    <w:rsid w:val="00387E29"/>
    <w:rsid w:val="0039141A"/>
    <w:rsid w:val="0039202C"/>
    <w:rsid w:val="00392FAB"/>
    <w:rsid w:val="003A517E"/>
    <w:rsid w:val="003A7588"/>
    <w:rsid w:val="003B090E"/>
    <w:rsid w:val="003B2AFB"/>
    <w:rsid w:val="003B6CF6"/>
    <w:rsid w:val="003B7588"/>
    <w:rsid w:val="003B7F5F"/>
    <w:rsid w:val="003C0F29"/>
    <w:rsid w:val="003C388B"/>
    <w:rsid w:val="003C43E9"/>
    <w:rsid w:val="003C57A1"/>
    <w:rsid w:val="003D1E8B"/>
    <w:rsid w:val="003D2F23"/>
    <w:rsid w:val="003E1053"/>
    <w:rsid w:val="003E1BE6"/>
    <w:rsid w:val="003E267C"/>
    <w:rsid w:val="003E2878"/>
    <w:rsid w:val="003E28F5"/>
    <w:rsid w:val="003E2C10"/>
    <w:rsid w:val="003F36A8"/>
    <w:rsid w:val="004013C5"/>
    <w:rsid w:val="0040353E"/>
    <w:rsid w:val="004045E8"/>
    <w:rsid w:val="0040725C"/>
    <w:rsid w:val="00410B36"/>
    <w:rsid w:val="00410E03"/>
    <w:rsid w:val="00414195"/>
    <w:rsid w:val="004145B3"/>
    <w:rsid w:val="00417C49"/>
    <w:rsid w:val="0042014F"/>
    <w:rsid w:val="00422EBD"/>
    <w:rsid w:val="004313B5"/>
    <w:rsid w:val="0043181D"/>
    <w:rsid w:val="00432756"/>
    <w:rsid w:val="004415EA"/>
    <w:rsid w:val="0044345A"/>
    <w:rsid w:val="00443AA5"/>
    <w:rsid w:val="00445D47"/>
    <w:rsid w:val="004461E3"/>
    <w:rsid w:val="0044742C"/>
    <w:rsid w:val="004479CF"/>
    <w:rsid w:val="00451C0F"/>
    <w:rsid w:val="0045503E"/>
    <w:rsid w:val="004557E9"/>
    <w:rsid w:val="00456C5E"/>
    <w:rsid w:val="00456E0A"/>
    <w:rsid w:val="00457972"/>
    <w:rsid w:val="0046113F"/>
    <w:rsid w:val="00461C54"/>
    <w:rsid w:val="00464059"/>
    <w:rsid w:val="00464162"/>
    <w:rsid w:val="004663EA"/>
    <w:rsid w:val="00466E48"/>
    <w:rsid w:val="00467C76"/>
    <w:rsid w:val="00467D50"/>
    <w:rsid w:val="00470E4D"/>
    <w:rsid w:val="00473A46"/>
    <w:rsid w:val="00473DEF"/>
    <w:rsid w:val="00475F20"/>
    <w:rsid w:val="00476493"/>
    <w:rsid w:val="00476959"/>
    <w:rsid w:val="00480BD2"/>
    <w:rsid w:val="004835DD"/>
    <w:rsid w:val="0048601F"/>
    <w:rsid w:val="0048667E"/>
    <w:rsid w:val="00486FE2"/>
    <w:rsid w:val="00487C24"/>
    <w:rsid w:val="00497241"/>
    <w:rsid w:val="00497F67"/>
    <w:rsid w:val="004A0422"/>
    <w:rsid w:val="004A44F3"/>
    <w:rsid w:val="004A473A"/>
    <w:rsid w:val="004A4D6A"/>
    <w:rsid w:val="004A5E4D"/>
    <w:rsid w:val="004A6C49"/>
    <w:rsid w:val="004A7718"/>
    <w:rsid w:val="004B03A9"/>
    <w:rsid w:val="004B2772"/>
    <w:rsid w:val="004B3190"/>
    <w:rsid w:val="004B39B9"/>
    <w:rsid w:val="004B40C0"/>
    <w:rsid w:val="004B5157"/>
    <w:rsid w:val="004B53B5"/>
    <w:rsid w:val="004B583C"/>
    <w:rsid w:val="004B7A98"/>
    <w:rsid w:val="004C0790"/>
    <w:rsid w:val="004D12EC"/>
    <w:rsid w:val="004D4B1A"/>
    <w:rsid w:val="004D6424"/>
    <w:rsid w:val="004D64A6"/>
    <w:rsid w:val="004D76DB"/>
    <w:rsid w:val="004E2D32"/>
    <w:rsid w:val="004E3209"/>
    <w:rsid w:val="004E3D5B"/>
    <w:rsid w:val="004E526F"/>
    <w:rsid w:val="004E540A"/>
    <w:rsid w:val="004E5FE0"/>
    <w:rsid w:val="004E7A87"/>
    <w:rsid w:val="004F02C1"/>
    <w:rsid w:val="004F0D36"/>
    <w:rsid w:val="004F1496"/>
    <w:rsid w:val="004F4A7F"/>
    <w:rsid w:val="004F4B9A"/>
    <w:rsid w:val="004F4F44"/>
    <w:rsid w:val="004F534C"/>
    <w:rsid w:val="00501A58"/>
    <w:rsid w:val="00502C6A"/>
    <w:rsid w:val="00504844"/>
    <w:rsid w:val="005050C0"/>
    <w:rsid w:val="005068BD"/>
    <w:rsid w:val="005073F2"/>
    <w:rsid w:val="005074CB"/>
    <w:rsid w:val="00507CFF"/>
    <w:rsid w:val="005125BC"/>
    <w:rsid w:val="00515D39"/>
    <w:rsid w:val="00516666"/>
    <w:rsid w:val="00521DF9"/>
    <w:rsid w:val="00525866"/>
    <w:rsid w:val="00526CE9"/>
    <w:rsid w:val="00527AB9"/>
    <w:rsid w:val="00535165"/>
    <w:rsid w:val="00541D38"/>
    <w:rsid w:val="00541D40"/>
    <w:rsid w:val="00544C4A"/>
    <w:rsid w:val="00544C66"/>
    <w:rsid w:val="00552DAB"/>
    <w:rsid w:val="00560ABD"/>
    <w:rsid w:val="00561C57"/>
    <w:rsid w:val="00561EF7"/>
    <w:rsid w:val="0056612C"/>
    <w:rsid w:val="005704D1"/>
    <w:rsid w:val="00570D7C"/>
    <w:rsid w:val="0057159F"/>
    <w:rsid w:val="00572944"/>
    <w:rsid w:val="00575574"/>
    <w:rsid w:val="00577C57"/>
    <w:rsid w:val="00580C6E"/>
    <w:rsid w:val="00580DEB"/>
    <w:rsid w:val="005823A8"/>
    <w:rsid w:val="005844E2"/>
    <w:rsid w:val="00584970"/>
    <w:rsid w:val="0058634E"/>
    <w:rsid w:val="0058652F"/>
    <w:rsid w:val="0059142C"/>
    <w:rsid w:val="00595B37"/>
    <w:rsid w:val="00596276"/>
    <w:rsid w:val="005964D8"/>
    <w:rsid w:val="005A0DCC"/>
    <w:rsid w:val="005A2800"/>
    <w:rsid w:val="005A46ED"/>
    <w:rsid w:val="005A56E3"/>
    <w:rsid w:val="005A5ADF"/>
    <w:rsid w:val="005A7E99"/>
    <w:rsid w:val="005B27F1"/>
    <w:rsid w:val="005B44C4"/>
    <w:rsid w:val="005B49BD"/>
    <w:rsid w:val="005B73DD"/>
    <w:rsid w:val="005C341E"/>
    <w:rsid w:val="005D01E0"/>
    <w:rsid w:val="005D08D7"/>
    <w:rsid w:val="005D1469"/>
    <w:rsid w:val="005D1A61"/>
    <w:rsid w:val="005D3980"/>
    <w:rsid w:val="005D5D19"/>
    <w:rsid w:val="005D6891"/>
    <w:rsid w:val="005E01B0"/>
    <w:rsid w:val="005E17A4"/>
    <w:rsid w:val="005E1C09"/>
    <w:rsid w:val="005E1DCC"/>
    <w:rsid w:val="005E28FD"/>
    <w:rsid w:val="005E4B62"/>
    <w:rsid w:val="005E510A"/>
    <w:rsid w:val="005E71AF"/>
    <w:rsid w:val="005E7E45"/>
    <w:rsid w:val="005F2B69"/>
    <w:rsid w:val="005F32A6"/>
    <w:rsid w:val="005F7A3F"/>
    <w:rsid w:val="00601A8A"/>
    <w:rsid w:val="00602153"/>
    <w:rsid w:val="0060711F"/>
    <w:rsid w:val="0060727B"/>
    <w:rsid w:val="006073A4"/>
    <w:rsid w:val="00611AC5"/>
    <w:rsid w:val="00613269"/>
    <w:rsid w:val="00615FC5"/>
    <w:rsid w:val="0062200B"/>
    <w:rsid w:val="006264AC"/>
    <w:rsid w:val="006268C1"/>
    <w:rsid w:val="00626E77"/>
    <w:rsid w:val="00627585"/>
    <w:rsid w:val="00633A1A"/>
    <w:rsid w:val="00633D63"/>
    <w:rsid w:val="0063608D"/>
    <w:rsid w:val="006375C5"/>
    <w:rsid w:val="006376A4"/>
    <w:rsid w:val="00637C81"/>
    <w:rsid w:val="00644FF3"/>
    <w:rsid w:val="0064796E"/>
    <w:rsid w:val="00647D18"/>
    <w:rsid w:val="00652AE7"/>
    <w:rsid w:val="00654890"/>
    <w:rsid w:val="006550EC"/>
    <w:rsid w:val="006562F4"/>
    <w:rsid w:val="00661CAC"/>
    <w:rsid w:val="0066456D"/>
    <w:rsid w:val="00667A36"/>
    <w:rsid w:val="00671454"/>
    <w:rsid w:val="00674659"/>
    <w:rsid w:val="00680EC2"/>
    <w:rsid w:val="00681260"/>
    <w:rsid w:val="006849DB"/>
    <w:rsid w:val="006854A6"/>
    <w:rsid w:val="006875F6"/>
    <w:rsid w:val="006908D4"/>
    <w:rsid w:val="006918AF"/>
    <w:rsid w:val="006939D4"/>
    <w:rsid w:val="006941BF"/>
    <w:rsid w:val="00694805"/>
    <w:rsid w:val="00695D33"/>
    <w:rsid w:val="00696EA9"/>
    <w:rsid w:val="00697AE7"/>
    <w:rsid w:val="006A000B"/>
    <w:rsid w:val="006A3E8E"/>
    <w:rsid w:val="006A4F43"/>
    <w:rsid w:val="006A552E"/>
    <w:rsid w:val="006A5731"/>
    <w:rsid w:val="006A5D33"/>
    <w:rsid w:val="006A673E"/>
    <w:rsid w:val="006A7F56"/>
    <w:rsid w:val="006A7FE4"/>
    <w:rsid w:val="006B1283"/>
    <w:rsid w:val="006B14EB"/>
    <w:rsid w:val="006B20C3"/>
    <w:rsid w:val="006B4F4D"/>
    <w:rsid w:val="006B6CE9"/>
    <w:rsid w:val="006C23F3"/>
    <w:rsid w:val="006C30CE"/>
    <w:rsid w:val="006C361C"/>
    <w:rsid w:val="006C49F7"/>
    <w:rsid w:val="006C70F9"/>
    <w:rsid w:val="006D0AE4"/>
    <w:rsid w:val="006D23E3"/>
    <w:rsid w:val="006D325E"/>
    <w:rsid w:val="006D3F15"/>
    <w:rsid w:val="006D48DE"/>
    <w:rsid w:val="006D5B0D"/>
    <w:rsid w:val="006D61BB"/>
    <w:rsid w:val="006D7C76"/>
    <w:rsid w:val="006E012E"/>
    <w:rsid w:val="006E1EDF"/>
    <w:rsid w:val="006E336C"/>
    <w:rsid w:val="006E6029"/>
    <w:rsid w:val="006F34E9"/>
    <w:rsid w:val="006F4781"/>
    <w:rsid w:val="006F481B"/>
    <w:rsid w:val="006F7C2A"/>
    <w:rsid w:val="0070083F"/>
    <w:rsid w:val="00701FE9"/>
    <w:rsid w:val="00702855"/>
    <w:rsid w:val="007032CA"/>
    <w:rsid w:val="00703472"/>
    <w:rsid w:val="0070625E"/>
    <w:rsid w:val="00706438"/>
    <w:rsid w:val="007064BE"/>
    <w:rsid w:val="00707465"/>
    <w:rsid w:val="00707ED1"/>
    <w:rsid w:val="00712162"/>
    <w:rsid w:val="00715625"/>
    <w:rsid w:val="00716219"/>
    <w:rsid w:val="00717EA1"/>
    <w:rsid w:val="007222C6"/>
    <w:rsid w:val="00722FF0"/>
    <w:rsid w:val="007242ED"/>
    <w:rsid w:val="007276BD"/>
    <w:rsid w:val="00727ADE"/>
    <w:rsid w:val="00730529"/>
    <w:rsid w:val="00734EEE"/>
    <w:rsid w:val="00735A02"/>
    <w:rsid w:val="00736038"/>
    <w:rsid w:val="00740066"/>
    <w:rsid w:val="00740106"/>
    <w:rsid w:val="00745320"/>
    <w:rsid w:val="00750512"/>
    <w:rsid w:val="007543EC"/>
    <w:rsid w:val="00756DE1"/>
    <w:rsid w:val="00765F97"/>
    <w:rsid w:val="00767028"/>
    <w:rsid w:val="00772D28"/>
    <w:rsid w:val="0077547D"/>
    <w:rsid w:val="0077759E"/>
    <w:rsid w:val="00777972"/>
    <w:rsid w:val="00777A22"/>
    <w:rsid w:val="00777A44"/>
    <w:rsid w:val="00777D00"/>
    <w:rsid w:val="0078064C"/>
    <w:rsid w:val="0078162B"/>
    <w:rsid w:val="0078281E"/>
    <w:rsid w:val="00786911"/>
    <w:rsid w:val="00795E06"/>
    <w:rsid w:val="00796014"/>
    <w:rsid w:val="007A0CAE"/>
    <w:rsid w:val="007A0F8B"/>
    <w:rsid w:val="007A4914"/>
    <w:rsid w:val="007A561D"/>
    <w:rsid w:val="007A5900"/>
    <w:rsid w:val="007A6B02"/>
    <w:rsid w:val="007C39F6"/>
    <w:rsid w:val="007D1ABB"/>
    <w:rsid w:val="007D78EE"/>
    <w:rsid w:val="007D7B6E"/>
    <w:rsid w:val="007E00DB"/>
    <w:rsid w:val="007E0F71"/>
    <w:rsid w:val="007E1463"/>
    <w:rsid w:val="007E3723"/>
    <w:rsid w:val="007F4D74"/>
    <w:rsid w:val="007F7DBF"/>
    <w:rsid w:val="0080196D"/>
    <w:rsid w:val="00803F9E"/>
    <w:rsid w:val="008048DB"/>
    <w:rsid w:val="008051FC"/>
    <w:rsid w:val="0080769A"/>
    <w:rsid w:val="008105C0"/>
    <w:rsid w:val="00810ED6"/>
    <w:rsid w:val="00811976"/>
    <w:rsid w:val="00811A28"/>
    <w:rsid w:val="008201CC"/>
    <w:rsid w:val="00820473"/>
    <w:rsid w:val="00823EEF"/>
    <w:rsid w:val="008244F8"/>
    <w:rsid w:val="008253C8"/>
    <w:rsid w:val="00825BAB"/>
    <w:rsid w:val="00843C7B"/>
    <w:rsid w:val="008442EF"/>
    <w:rsid w:val="00844ADF"/>
    <w:rsid w:val="008476E6"/>
    <w:rsid w:val="00847CDF"/>
    <w:rsid w:val="00847E39"/>
    <w:rsid w:val="00851630"/>
    <w:rsid w:val="00860C01"/>
    <w:rsid w:val="00861785"/>
    <w:rsid w:val="00863041"/>
    <w:rsid w:val="00864CC2"/>
    <w:rsid w:val="008651EB"/>
    <w:rsid w:val="0086569E"/>
    <w:rsid w:val="00866CAD"/>
    <w:rsid w:val="0087280F"/>
    <w:rsid w:val="00872CB2"/>
    <w:rsid w:val="00874ACE"/>
    <w:rsid w:val="00876D18"/>
    <w:rsid w:val="00882574"/>
    <w:rsid w:val="00883A4F"/>
    <w:rsid w:val="0088701B"/>
    <w:rsid w:val="00894669"/>
    <w:rsid w:val="008950AA"/>
    <w:rsid w:val="008950B2"/>
    <w:rsid w:val="008951BE"/>
    <w:rsid w:val="008A00A4"/>
    <w:rsid w:val="008A270C"/>
    <w:rsid w:val="008A3929"/>
    <w:rsid w:val="008A3B97"/>
    <w:rsid w:val="008A4986"/>
    <w:rsid w:val="008B04CE"/>
    <w:rsid w:val="008B387D"/>
    <w:rsid w:val="008B6E51"/>
    <w:rsid w:val="008B7C97"/>
    <w:rsid w:val="008C5B15"/>
    <w:rsid w:val="008C73A4"/>
    <w:rsid w:val="008D0546"/>
    <w:rsid w:val="008D06AD"/>
    <w:rsid w:val="008D1241"/>
    <w:rsid w:val="008D3BD8"/>
    <w:rsid w:val="008D60BB"/>
    <w:rsid w:val="008D641E"/>
    <w:rsid w:val="008D65AF"/>
    <w:rsid w:val="008D7B60"/>
    <w:rsid w:val="008E0518"/>
    <w:rsid w:val="008E0540"/>
    <w:rsid w:val="008E0752"/>
    <w:rsid w:val="008E0D99"/>
    <w:rsid w:val="008E22FC"/>
    <w:rsid w:val="008E3638"/>
    <w:rsid w:val="008E4307"/>
    <w:rsid w:val="008E7A87"/>
    <w:rsid w:val="008F1637"/>
    <w:rsid w:val="008F3214"/>
    <w:rsid w:val="008F43BA"/>
    <w:rsid w:val="00901E23"/>
    <w:rsid w:val="0090239A"/>
    <w:rsid w:val="009027DB"/>
    <w:rsid w:val="00906BD4"/>
    <w:rsid w:val="00907E87"/>
    <w:rsid w:val="0091020E"/>
    <w:rsid w:val="0091037B"/>
    <w:rsid w:val="00911B40"/>
    <w:rsid w:val="0091408C"/>
    <w:rsid w:val="00914142"/>
    <w:rsid w:val="00914588"/>
    <w:rsid w:val="0091512B"/>
    <w:rsid w:val="009173B0"/>
    <w:rsid w:val="00917EAF"/>
    <w:rsid w:val="00921973"/>
    <w:rsid w:val="00922F04"/>
    <w:rsid w:val="00923FC8"/>
    <w:rsid w:val="00924AA8"/>
    <w:rsid w:val="00924CAA"/>
    <w:rsid w:val="009250ED"/>
    <w:rsid w:val="0092741B"/>
    <w:rsid w:val="00933154"/>
    <w:rsid w:val="0093627C"/>
    <w:rsid w:val="009415F4"/>
    <w:rsid w:val="0094290F"/>
    <w:rsid w:val="00950BD7"/>
    <w:rsid w:val="00954167"/>
    <w:rsid w:val="009552BB"/>
    <w:rsid w:val="00960B62"/>
    <w:rsid w:val="009611A3"/>
    <w:rsid w:val="00963D9E"/>
    <w:rsid w:val="00964504"/>
    <w:rsid w:val="00966025"/>
    <w:rsid w:val="00967D9A"/>
    <w:rsid w:val="00970026"/>
    <w:rsid w:val="009742CB"/>
    <w:rsid w:val="0097589D"/>
    <w:rsid w:val="009811A1"/>
    <w:rsid w:val="00981754"/>
    <w:rsid w:val="00982839"/>
    <w:rsid w:val="00982E32"/>
    <w:rsid w:val="00985D24"/>
    <w:rsid w:val="00990045"/>
    <w:rsid w:val="009937E4"/>
    <w:rsid w:val="009950EA"/>
    <w:rsid w:val="00995B0F"/>
    <w:rsid w:val="00997FC2"/>
    <w:rsid w:val="009A086A"/>
    <w:rsid w:val="009A422D"/>
    <w:rsid w:val="009B01C5"/>
    <w:rsid w:val="009B06C8"/>
    <w:rsid w:val="009B0759"/>
    <w:rsid w:val="009C2ADC"/>
    <w:rsid w:val="009C6583"/>
    <w:rsid w:val="009D0100"/>
    <w:rsid w:val="009D1772"/>
    <w:rsid w:val="009D3D31"/>
    <w:rsid w:val="009D46B4"/>
    <w:rsid w:val="009D51EA"/>
    <w:rsid w:val="009D7F60"/>
    <w:rsid w:val="009E2E24"/>
    <w:rsid w:val="009E53F2"/>
    <w:rsid w:val="009E5993"/>
    <w:rsid w:val="009E620B"/>
    <w:rsid w:val="009F1E89"/>
    <w:rsid w:val="009F33CE"/>
    <w:rsid w:val="009F5F55"/>
    <w:rsid w:val="00A00697"/>
    <w:rsid w:val="00A01876"/>
    <w:rsid w:val="00A01B0E"/>
    <w:rsid w:val="00A02E77"/>
    <w:rsid w:val="00A041B5"/>
    <w:rsid w:val="00A04D4F"/>
    <w:rsid w:val="00A1290C"/>
    <w:rsid w:val="00A13E5F"/>
    <w:rsid w:val="00A166F1"/>
    <w:rsid w:val="00A209E5"/>
    <w:rsid w:val="00A221CB"/>
    <w:rsid w:val="00A265BE"/>
    <w:rsid w:val="00A30477"/>
    <w:rsid w:val="00A30AD3"/>
    <w:rsid w:val="00A30FEC"/>
    <w:rsid w:val="00A31547"/>
    <w:rsid w:val="00A317D2"/>
    <w:rsid w:val="00A333D5"/>
    <w:rsid w:val="00A33A30"/>
    <w:rsid w:val="00A35D89"/>
    <w:rsid w:val="00A42C36"/>
    <w:rsid w:val="00A43526"/>
    <w:rsid w:val="00A458AD"/>
    <w:rsid w:val="00A474C9"/>
    <w:rsid w:val="00A518FB"/>
    <w:rsid w:val="00A52732"/>
    <w:rsid w:val="00A56D44"/>
    <w:rsid w:val="00A61889"/>
    <w:rsid w:val="00A63C5F"/>
    <w:rsid w:val="00A66D0A"/>
    <w:rsid w:val="00A71291"/>
    <w:rsid w:val="00A731C7"/>
    <w:rsid w:val="00A73650"/>
    <w:rsid w:val="00A73F83"/>
    <w:rsid w:val="00A741E4"/>
    <w:rsid w:val="00A74A1C"/>
    <w:rsid w:val="00A74E71"/>
    <w:rsid w:val="00A76018"/>
    <w:rsid w:val="00A768E9"/>
    <w:rsid w:val="00A772C1"/>
    <w:rsid w:val="00A774F1"/>
    <w:rsid w:val="00A8154D"/>
    <w:rsid w:val="00A82B72"/>
    <w:rsid w:val="00A83B87"/>
    <w:rsid w:val="00A83CC4"/>
    <w:rsid w:val="00A8421F"/>
    <w:rsid w:val="00A8631A"/>
    <w:rsid w:val="00A87CC5"/>
    <w:rsid w:val="00A87F9C"/>
    <w:rsid w:val="00A9371D"/>
    <w:rsid w:val="00A95FC1"/>
    <w:rsid w:val="00A96D2F"/>
    <w:rsid w:val="00AA29B6"/>
    <w:rsid w:val="00AA4682"/>
    <w:rsid w:val="00AA5A14"/>
    <w:rsid w:val="00AA5E16"/>
    <w:rsid w:val="00AA6085"/>
    <w:rsid w:val="00AB121C"/>
    <w:rsid w:val="00AB21E9"/>
    <w:rsid w:val="00AB68B9"/>
    <w:rsid w:val="00AC0195"/>
    <w:rsid w:val="00AC2B92"/>
    <w:rsid w:val="00AC3297"/>
    <w:rsid w:val="00AC6201"/>
    <w:rsid w:val="00AD1014"/>
    <w:rsid w:val="00AD1625"/>
    <w:rsid w:val="00AD204A"/>
    <w:rsid w:val="00AD4780"/>
    <w:rsid w:val="00AD661D"/>
    <w:rsid w:val="00AD6899"/>
    <w:rsid w:val="00AE09E3"/>
    <w:rsid w:val="00AE1D29"/>
    <w:rsid w:val="00AF0CE7"/>
    <w:rsid w:val="00AF6D3E"/>
    <w:rsid w:val="00B0249E"/>
    <w:rsid w:val="00B040B1"/>
    <w:rsid w:val="00B0461B"/>
    <w:rsid w:val="00B049CF"/>
    <w:rsid w:val="00B0561A"/>
    <w:rsid w:val="00B06054"/>
    <w:rsid w:val="00B120D2"/>
    <w:rsid w:val="00B12C31"/>
    <w:rsid w:val="00B13323"/>
    <w:rsid w:val="00B133F9"/>
    <w:rsid w:val="00B21F1C"/>
    <w:rsid w:val="00B269FF"/>
    <w:rsid w:val="00B27658"/>
    <w:rsid w:val="00B30634"/>
    <w:rsid w:val="00B311C2"/>
    <w:rsid w:val="00B3342A"/>
    <w:rsid w:val="00B34CFF"/>
    <w:rsid w:val="00B3558F"/>
    <w:rsid w:val="00B36DC2"/>
    <w:rsid w:val="00B4162C"/>
    <w:rsid w:val="00B41D9A"/>
    <w:rsid w:val="00B43245"/>
    <w:rsid w:val="00B57C2E"/>
    <w:rsid w:val="00B603C6"/>
    <w:rsid w:val="00B60E99"/>
    <w:rsid w:val="00B63B16"/>
    <w:rsid w:val="00B66CE9"/>
    <w:rsid w:val="00B66FA4"/>
    <w:rsid w:val="00B70E2D"/>
    <w:rsid w:val="00B73653"/>
    <w:rsid w:val="00B736B3"/>
    <w:rsid w:val="00B7621E"/>
    <w:rsid w:val="00B777DA"/>
    <w:rsid w:val="00B80236"/>
    <w:rsid w:val="00B80CE3"/>
    <w:rsid w:val="00B81395"/>
    <w:rsid w:val="00B8379D"/>
    <w:rsid w:val="00B85CA7"/>
    <w:rsid w:val="00B94238"/>
    <w:rsid w:val="00B964D6"/>
    <w:rsid w:val="00B974C7"/>
    <w:rsid w:val="00BA31E6"/>
    <w:rsid w:val="00BA715E"/>
    <w:rsid w:val="00BA7C8C"/>
    <w:rsid w:val="00BB373C"/>
    <w:rsid w:val="00BB4AD8"/>
    <w:rsid w:val="00BB6EED"/>
    <w:rsid w:val="00BB7FA1"/>
    <w:rsid w:val="00BC1E87"/>
    <w:rsid w:val="00BC2649"/>
    <w:rsid w:val="00BC2BBC"/>
    <w:rsid w:val="00BC3609"/>
    <w:rsid w:val="00BC3755"/>
    <w:rsid w:val="00BC594C"/>
    <w:rsid w:val="00BC6C7A"/>
    <w:rsid w:val="00BD1C5A"/>
    <w:rsid w:val="00BD2DAF"/>
    <w:rsid w:val="00BD3DCF"/>
    <w:rsid w:val="00BD65B1"/>
    <w:rsid w:val="00BF2879"/>
    <w:rsid w:val="00BF7A19"/>
    <w:rsid w:val="00C01250"/>
    <w:rsid w:val="00C024A2"/>
    <w:rsid w:val="00C026B4"/>
    <w:rsid w:val="00C076F1"/>
    <w:rsid w:val="00C1162E"/>
    <w:rsid w:val="00C167DD"/>
    <w:rsid w:val="00C1692B"/>
    <w:rsid w:val="00C172D1"/>
    <w:rsid w:val="00C2237F"/>
    <w:rsid w:val="00C25396"/>
    <w:rsid w:val="00C37713"/>
    <w:rsid w:val="00C37E7D"/>
    <w:rsid w:val="00C41682"/>
    <w:rsid w:val="00C45659"/>
    <w:rsid w:val="00C46972"/>
    <w:rsid w:val="00C52389"/>
    <w:rsid w:val="00C52D68"/>
    <w:rsid w:val="00C55264"/>
    <w:rsid w:val="00C55AC2"/>
    <w:rsid w:val="00C569FF"/>
    <w:rsid w:val="00C6042F"/>
    <w:rsid w:val="00C63147"/>
    <w:rsid w:val="00C668F6"/>
    <w:rsid w:val="00C67758"/>
    <w:rsid w:val="00C70CA0"/>
    <w:rsid w:val="00C7155C"/>
    <w:rsid w:val="00C7270C"/>
    <w:rsid w:val="00C762FA"/>
    <w:rsid w:val="00C82C95"/>
    <w:rsid w:val="00C83255"/>
    <w:rsid w:val="00C83FDB"/>
    <w:rsid w:val="00C850A3"/>
    <w:rsid w:val="00C9018A"/>
    <w:rsid w:val="00C9094C"/>
    <w:rsid w:val="00C94A1A"/>
    <w:rsid w:val="00C95775"/>
    <w:rsid w:val="00CA0156"/>
    <w:rsid w:val="00CA35BB"/>
    <w:rsid w:val="00CA363D"/>
    <w:rsid w:val="00CA5043"/>
    <w:rsid w:val="00CA688D"/>
    <w:rsid w:val="00CB3AB5"/>
    <w:rsid w:val="00CB6FFE"/>
    <w:rsid w:val="00CC1C3F"/>
    <w:rsid w:val="00CC1E11"/>
    <w:rsid w:val="00CC307B"/>
    <w:rsid w:val="00CC6161"/>
    <w:rsid w:val="00CD3129"/>
    <w:rsid w:val="00CD456D"/>
    <w:rsid w:val="00CD4A2D"/>
    <w:rsid w:val="00CD4EC8"/>
    <w:rsid w:val="00CE0A3F"/>
    <w:rsid w:val="00CE37C8"/>
    <w:rsid w:val="00CE4497"/>
    <w:rsid w:val="00CF06B3"/>
    <w:rsid w:val="00CF297D"/>
    <w:rsid w:val="00CF33AC"/>
    <w:rsid w:val="00CF37BE"/>
    <w:rsid w:val="00CF3E6A"/>
    <w:rsid w:val="00CF4897"/>
    <w:rsid w:val="00CF7F1F"/>
    <w:rsid w:val="00D01189"/>
    <w:rsid w:val="00D01C56"/>
    <w:rsid w:val="00D02DB3"/>
    <w:rsid w:val="00D045C2"/>
    <w:rsid w:val="00D04AB3"/>
    <w:rsid w:val="00D07054"/>
    <w:rsid w:val="00D07B5D"/>
    <w:rsid w:val="00D124DF"/>
    <w:rsid w:val="00D149F6"/>
    <w:rsid w:val="00D204CA"/>
    <w:rsid w:val="00D23E6B"/>
    <w:rsid w:val="00D251FF"/>
    <w:rsid w:val="00D256F0"/>
    <w:rsid w:val="00D276AF"/>
    <w:rsid w:val="00D314B2"/>
    <w:rsid w:val="00D314D3"/>
    <w:rsid w:val="00D31E45"/>
    <w:rsid w:val="00D33476"/>
    <w:rsid w:val="00D349A8"/>
    <w:rsid w:val="00D37B97"/>
    <w:rsid w:val="00D37F2E"/>
    <w:rsid w:val="00D40AF4"/>
    <w:rsid w:val="00D41F60"/>
    <w:rsid w:val="00D46048"/>
    <w:rsid w:val="00D51516"/>
    <w:rsid w:val="00D51C14"/>
    <w:rsid w:val="00D5235B"/>
    <w:rsid w:val="00D525DA"/>
    <w:rsid w:val="00D57A58"/>
    <w:rsid w:val="00D604DF"/>
    <w:rsid w:val="00D607CA"/>
    <w:rsid w:val="00D6156C"/>
    <w:rsid w:val="00D677B6"/>
    <w:rsid w:val="00D67DAF"/>
    <w:rsid w:val="00D71E54"/>
    <w:rsid w:val="00D81CB3"/>
    <w:rsid w:val="00D82D4B"/>
    <w:rsid w:val="00D872D4"/>
    <w:rsid w:val="00D90BBD"/>
    <w:rsid w:val="00D92E52"/>
    <w:rsid w:val="00D94AAB"/>
    <w:rsid w:val="00D94CFF"/>
    <w:rsid w:val="00D961C6"/>
    <w:rsid w:val="00D967B5"/>
    <w:rsid w:val="00DA3073"/>
    <w:rsid w:val="00DA6D7D"/>
    <w:rsid w:val="00DB1AC6"/>
    <w:rsid w:val="00DB4D39"/>
    <w:rsid w:val="00DB5DCB"/>
    <w:rsid w:val="00DC1A1C"/>
    <w:rsid w:val="00DC1B11"/>
    <w:rsid w:val="00DC5998"/>
    <w:rsid w:val="00DC7376"/>
    <w:rsid w:val="00DC7A9C"/>
    <w:rsid w:val="00DD1022"/>
    <w:rsid w:val="00DD145C"/>
    <w:rsid w:val="00DD517C"/>
    <w:rsid w:val="00DD6027"/>
    <w:rsid w:val="00DD6C5F"/>
    <w:rsid w:val="00DE1456"/>
    <w:rsid w:val="00DE1BBD"/>
    <w:rsid w:val="00DE6939"/>
    <w:rsid w:val="00DF100B"/>
    <w:rsid w:val="00DF275E"/>
    <w:rsid w:val="00DF7A44"/>
    <w:rsid w:val="00DF7C6E"/>
    <w:rsid w:val="00E013E4"/>
    <w:rsid w:val="00E01D80"/>
    <w:rsid w:val="00E02899"/>
    <w:rsid w:val="00E101ED"/>
    <w:rsid w:val="00E12150"/>
    <w:rsid w:val="00E13A3E"/>
    <w:rsid w:val="00E13ACD"/>
    <w:rsid w:val="00E255F2"/>
    <w:rsid w:val="00E27BF2"/>
    <w:rsid w:val="00E27CD8"/>
    <w:rsid w:val="00E30D59"/>
    <w:rsid w:val="00E334B1"/>
    <w:rsid w:val="00E34DE6"/>
    <w:rsid w:val="00E42A0C"/>
    <w:rsid w:val="00E42C36"/>
    <w:rsid w:val="00E4369D"/>
    <w:rsid w:val="00E443C5"/>
    <w:rsid w:val="00E448CA"/>
    <w:rsid w:val="00E47671"/>
    <w:rsid w:val="00E47D00"/>
    <w:rsid w:val="00E50230"/>
    <w:rsid w:val="00E5026F"/>
    <w:rsid w:val="00E506D0"/>
    <w:rsid w:val="00E52C3A"/>
    <w:rsid w:val="00E558AE"/>
    <w:rsid w:val="00E5745F"/>
    <w:rsid w:val="00E63BF0"/>
    <w:rsid w:val="00E6488B"/>
    <w:rsid w:val="00E709DE"/>
    <w:rsid w:val="00E710EB"/>
    <w:rsid w:val="00E71BE2"/>
    <w:rsid w:val="00E73C3A"/>
    <w:rsid w:val="00E834D9"/>
    <w:rsid w:val="00E85881"/>
    <w:rsid w:val="00E85ACE"/>
    <w:rsid w:val="00E93C55"/>
    <w:rsid w:val="00E93EB8"/>
    <w:rsid w:val="00E96046"/>
    <w:rsid w:val="00E963A1"/>
    <w:rsid w:val="00EA15D7"/>
    <w:rsid w:val="00EA71D1"/>
    <w:rsid w:val="00EA7E33"/>
    <w:rsid w:val="00EB1343"/>
    <w:rsid w:val="00EB243D"/>
    <w:rsid w:val="00EB4195"/>
    <w:rsid w:val="00EC1E9E"/>
    <w:rsid w:val="00EC2507"/>
    <w:rsid w:val="00EC3545"/>
    <w:rsid w:val="00EC38D3"/>
    <w:rsid w:val="00EC3B09"/>
    <w:rsid w:val="00ED117E"/>
    <w:rsid w:val="00ED3585"/>
    <w:rsid w:val="00ED43A9"/>
    <w:rsid w:val="00ED497C"/>
    <w:rsid w:val="00ED639F"/>
    <w:rsid w:val="00EE2DB9"/>
    <w:rsid w:val="00EF002A"/>
    <w:rsid w:val="00EF224F"/>
    <w:rsid w:val="00EF2EDD"/>
    <w:rsid w:val="00EF5295"/>
    <w:rsid w:val="00EF5AEF"/>
    <w:rsid w:val="00EF7343"/>
    <w:rsid w:val="00F0125C"/>
    <w:rsid w:val="00F02357"/>
    <w:rsid w:val="00F04A02"/>
    <w:rsid w:val="00F06267"/>
    <w:rsid w:val="00F0693E"/>
    <w:rsid w:val="00F07374"/>
    <w:rsid w:val="00F114BB"/>
    <w:rsid w:val="00F130E1"/>
    <w:rsid w:val="00F156A0"/>
    <w:rsid w:val="00F166C9"/>
    <w:rsid w:val="00F202A1"/>
    <w:rsid w:val="00F2075C"/>
    <w:rsid w:val="00F30B4C"/>
    <w:rsid w:val="00F318BD"/>
    <w:rsid w:val="00F32B22"/>
    <w:rsid w:val="00F3475B"/>
    <w:rsid w:val="00F37FAE"/>
    <w:rsid w:val="00F4063F"/>
    <w:rsid w:val="00F41C77"/>
    <w:rsid w:val="00F41F06"/>
    <w:rsid w:val="00F43971"/>
    <w:rsid w:val="00F444AF"/>
    <w:rsid w:val="00F45E6F"/>
    <w:rsid w:val="00F4615E"/>
    <w:rsid w:val="00F52211"/>
    <w:rsid w:val="00F54D87"/>
    <w:rsid w:val="00F552BF"/>
    <w:rsid w:val="00F562D9"/>
    <w:rsid w:val="00F5631D"/>
    <w:rsid w:val="00F60574"/>
    <w:rsid w:val="00F6196C"/>
    <w:rsid w:val="00F6413E"/>
    <w:rsid w:val="00F664CC"/>
    <w:rsid w:val="00F668C2"/>
    <w:rsid w:val="00F716A2"/>
    <w:rsid w:val="00F71D59"/>
    <w:rsid w:val="00F72CAD"/>
    <w:rsid w:val="00F73A6D"/>
    <w:rsid w:val="00F73D6F"/>
    <w:rsid w:val="00F745AD"/>
    <w:rsid w:val="00F74F30"/>
    <w:rsid w:val="00F75469"/>
    <w:rsid w:val="00F75CA7"/>
    <w:rsid w:val="00F76078"/>
    <w:rsid w:val="00F76EAF"/>
    <w:rsid w:val="00F77024"/>
    <w:rsid w:val="00F77512"/>
    <w:rsid w:val="00F81071"/>
    <w:rsid w:val="00F87E7A"/>
    <w:rsid w:val="00F92AD1"/>
    <w:rsid w:val="00F93060"/>
    <w:rsid w:val="00F96297"/>
    <w:rsid w:val="00F97DF9"/>
    <w:rsid w:val="00FA246B"/>
    <w:rsid w:val="00FA433B"/>
    <w:rsid w:val="00FA5F54"/>
    <w:rsid w:val="00FA6230"/>
    <w:rsid w:val="00FA6BEA"/>
    <w:rsid w:val="00FB0770"/>
    <w:rsid w:val="00FB097F"/>
    <w:rsid w:val="00FB0E8B"/>
    <w:rsid w:val="00FB1AC2"/>
    <w:rsid w:val="00FB22C3"/>
    <w:rsid w:val="00FB3736"/>
    <w:rsid w:val="00FB419C"/>
    <w:rsid w:val="00FB5EDD"/>
    <w:rsid w:val="00FB72C2"/>
    <w:rsid w:val="00FC2018"/>
    <w:rsid w:val="00FC2ACF"/>
    <w:rsid w:val="00FC2EB2"/>
    <w:rsid w:val="00FC3C3B"/>
    <w:rsid w:val="00FC4CD0"/>
    <w:rsid w:val="00FD03B7"/>
    <w:rsid w:val="00FD049F"/>
    <w:rsid w:val="00FD521E"/>
    <w:rsid w:val="00FD5E79"/>
    <w:rsid w:val="00FE03CD"/>
    <w:rsid w:val="00FE0404"/>
    <w:rsid w:val="00FE156F"/>
    <w:rsid w:val="00FE420C"/>
    <w:rsid w:val="00FE48D7"/>
    <w:rsid w:val="00FE4BC5"/>
    <w:rsid w:val="00FF035A"/>
    <w:rsid w:val="00FF7238"/>
    <w:rsid w:val="00FF770A"/>
    <w:rsid w:val="011A158D"/>
    <w:rsid w:val="015098EC"/>
    <w:rsid w:val="02FD5090"/>
    <w:rsid w:val="0332E1C2"/>
    <w:rsid w:val="06AF4B2C"/>
    <w:rsid w:val="099D33AC"/>
    <w:rsid w:val="0A496F67"/>
    <w:rsid w:val="0B6C97A3"/>
    <w:rsid w:val="0CEA9E9E"/>
    <w:rsid w:val="0DD619E5"/>
    <w:rsid w:val="0E35125F"/>
    <w:rsid w:val="0E46888F"/>
    <w:rsid w:val="0EE4CD6D"/>
    <w:rsid w:val="119B274F"/>
    <w:rsid w:val="11AC9E6B"/>
    <w:rsid w:val="11D39F85"/>
    <w:rsid w:val="122EA9A1"/>
    <w:rsid w:val="12CA29ED"/>
    <w:rsid w:val="12EDB45D"/>
    <w:rsid w:val="14756504"/>
    <w:rsid w:val="14DD7E66"/>
    <w:rsid w:val="14FB86B2"/>
    <w:rsid w:val="151BE732"/>
    <w:rsid w:val="1528E031"/>
    <w:rsid w:val="17A393FC"/>
    <w:rsid w:val="183C5B2E"/>
    <w:rsid w:val="1889FBD9"/>
    <w:rsid w:val="1916885D"/>
    <w:rsid w:val="1B8268DC"/>
    <w:rsid w:val="1B9DF10C"/>
    <w:rsid w:val="1BF7FF94"/>
    <w:rsid w:val="1C24A8FC"/>
    <w:rsid w:val="1D020C5F"/>
    <w:rsid w:val="1E60B9A7"/>
    <w:rsid w:val="1ED5511D"/>
    <w:rsid w:val="2037E737"/>
    <w:rsid w:val="207ACA11"/>
    <w:rsid w:val="20E676BA"/>
    <w:rsid w:val="2104B6CB"/>
    <w:rsid w:val="2167B3F2"/>
    <w:rsid w:val="21B2793A"/>
    <w:rsid w:val="237359D9"/>
    <w:rsid w:val="23BDD621"/>
    <w:rsid w:val="23C7FAA3"/>
    <w:rsid w:val="29ECE768"/>
    <w:rsid w:val="2A510074"/>
    <w:rsid w:val="2A580492"/>
    <w:rsid w:val="2D182DAC"/>
    <w:rsid w:val="2ED0C5AD"/>
    <w:rsid w:val="2EDD3A5E"/>
    <w:rsid w:val="315D16A8"/>
    <w:rsid w:val="31FCFBA7"/>
    <w:rsid w:val="32ACBFCE"/>
    <w:rsid w:val="352D8AF1"/>
    <w:rsid w:val="363FCA64"/>
    <w:rsid w:val="37DF1AA9"/>
    <w:rsid w:val="39216B36"/>
    <w:rsid w:val="39AA4E99"/>
    <w:rsid w:val="39B31E00"/>
    <w:rsid w:val="39C7974C"/>
    <w:rsid w:val="3BD2AF74"/>
    <w:rsid w:val="3CCCE592"/>
    <w:rsid w:val="3D61249B"/>
    <w:rsid w:val="3F917A54"/>
    <w:rsid w:val="403186A1"/>
    <w:rsid w:val="43367FE5"/>
    <w:rsid w:val="43B6F609"/>
    <w:rsid w:val="44B71D11"/>
    <w:rsid w:val="44C9EACF"/>
    <w:rsid w:val="46B10B13"/>
    <w:rsid w:val="4734DA69"/>
    <w:rsid w:val="499BA88E"/>
    <w:rsid w:val="4B7213F2"/>
    <w:rsid w:val="4C8E83AF"/>
    <w:rsid w:val="4CA72595"/>
    <w:rsid w:val="4D2B5F17"/>
    <w:rsid w:val="4E1BE4F8"/>
    <w:rsid w:val="4E837059"/>
    <w:rsid w:val="4F2F5EE8"/>
    <w:rsid w:val="4F7A903C"/>
    <w:rsid w:val="505D1A5A"/>
    <w:rsid w:val="50E8DB00"/>
    <w:rsid w:val="5135B9B7"/>
    <w:rsid w:val="51D57A6E"/>
    <w:rsid w:val="53F7A194"/>
    <w:rsid w:val="5569934A"/>
    <w:rsid w:val="55BA4879"/>
    <w:rsid w:val="55E97E25"/>
    <w:rsid w:val="5681FED3"/>
    <w:rsid w:val="56FA9B3B"/>
    <w:rsid w:val="5928108A"/>
    <w:rsid w:val="5ACE536B"/>
    <w:rsid w:val="5BC1117B"/>
    <w:rsid w:val="5CFCB330"/>
    <w:rsid w:val="5DA271F2"/>
    <w:rsid w:val="5DDBEFD8"/>
    <w:rsid w:val="5E474CE9"/>
    <w:rsid w:val="5E8B1EC4"/>
    <w:rsid w:val="5EAF0C50"/>
    <w:rsid w:val="5F1B7ADF"/>
    <w:rsid w:val="5F44662C"/>
    <w:rsid w:val="5FD1A819"/>
    <w:rsid w:val="5FF8C2B3"/>
    <w:rsid w:val="61E07A6F"/>
    <w:rsid w:val="63776666"/>
    <w:rsid w:val="65C8AD9D"/>
    <w:rsid w:val="668D4674"/>
    <w:rsid w:val="66F26A9F"/>
    <w:rsid w:val="67786032"/>
    <w:rsid w:val="68932C5A"/>
    <w:rsid w:val="689E65C3"/>
    <w:rsid w:val="68B93C1F"/>
    <w:rsid w:val="68D4DE29"/>
    <w:rsid w:val="68EBCFC7"/>
    <w:rsid w:val="69E0318D"/>
    <w:rsid w:val="69FE01F9"/>
    <w:rsid w:val="6A8FCDE3"/>
    <w:rsid w:val="6AACB3AC"/>
    <w:rsid w:val="6B92B03C"/>
    <w:rsid w:val="6CCDF76F"/>
    <w:rsid w:val="6D480B3C"/>
    <w:rsid w:val="6DA90BFE"/>
    <w:rsid w:val="70035FE9"/>
    <w:rsid w:val="717468B2"/>
    <w:rsid w:val="71F5E1FA"/>
    <w:rsid w:val="736B039C"/>
    <w:rsid w:val="7571A253"/>
    <w:rsid w:val="7603D29B"/>
    <w:rsid w:val="7683BF74"/>
    <w:rsid w:val="777126CF"/>
    <w:rsid w:val="77AE5008"/>
    <w:rsid w:val="78C04D72"/>
    <w:rsid w:val="79A36C0B"/>
    <w:rsid w:val="79A3D67F"/>
    <w:rsid w:val="79BBF023"/>
    <w:rsid w:val="7B479E7F"/>
    <w:rsid w:val="7C1AF497"/>
    <w:rsid w:val="7C5D42CA"/>
    <w:rsid w:val="7CD6CF0C"/>
    <w:rsid w:val="7CF482CF"/>
    <w:rsid w:val="7D0E2E9A"/>
    <w:rsid w:val="7D3B6795"/>
    <w:rsid w:val="7D6BD4B8"/>
    <w:rsid w:val="7DC61E5C"/>
    <w:rsid w:val="7EBAD799"/>
    <w:rsid w:val="7F46820C"/>
    <w:rsid w:val="7F8F9D89"/>
    <w:rsid w:val="7FF3C3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125F2E"/>
  <w15:docId w15:val="{2D99291D-E2A1-4685-B3EC-FA5AEB49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Default"/>
    <w:next w:val="Normal"/>
    <w:link w:val="Heading1Char"/>
    <w:uiPriority w:val="9"/>
    <w:qFormat/>
    <w:rsid w:val="00C7155C"/>
    <w:pPr>
      <w:jc w:val="center"/>
      <w:outlineLvl w:val="0"/>
    </w:pPr>
    <w:rPr>
      <w:b/>
      <w:bCs/>
      <w:sz w:val="22"/>
      <w:szCs w:val="22"/>
    </w:r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C7155C"/>
    <w:rPr>
      <w:rFonts w:ascii="Times New Roman" w:hAnsi="Times New Roman" w:cs="Times New Roman"/>
      <w:b/>
      <w:bCs/>
      <w:color w:val="000000"/>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FF770A"/>
    <w:rPr>
      <w:color w:val="605E5C"/>
      <w:shd w:val="clear" w:color="auto" w:fill="E1DFDD"/>
    </w:rPr>
  </w:style>
  <w:style w:type="character" w:styleId="FollowedHyperlink">
    <w:name w:val="FollowedHyperlink"/>
    <w:basedOn w:val="DefaultParagraphFont"/>
    <w:uiPriority w:val="99"/>
    <w:semiHidden/>
    <w:unhideWhenUsed/>
    <w:qFormat/>
    <w:rsid w:val="00FF770A"/>
    <w:rPr>
      <w:color w:val="800080" w:themeColor="followedHyperlink"/>
      <w:u w:val="single"/>
    </w:rPr>
  </w:style>
  <w:style w:type="paragraph" w:styleId="ListParagraph">
    <w:name w:val="List Paragraph"/>
    <w:basedOn w:val="Normal"/>
    <w:uiPriority w:val="34"/>
    <w:qFormat/>
    <w:rsid w:val="00D677B6"/>
    <w:pPr>
      <w:ind w:left="720"/>
      <w:contextualSpacing/>
    </w:pPr>
  </w:style>
  <w:style w:type="character" w:styleId="CommentReference">
    <w:name w:val="annotation reference"/>
    <w:basedOn w:val="DefaultParagraphFont"/>
    <w:uiPriority w:val="99"/>
    <w:semiHidden/>
    <w:unhideWhenUsed/>
    <w:rsid w:val="00A73F83"/>
    <w:rPr>
      <w:sz w:val="16"/>
      <w:szCs w:val="16"/>
    </w:rPr>
  </w:style>
  <w:style w:type="paragraph" w:styleId="CommentText">
    <w:name w:val="annotation text"/>
    <w:basedOn w:val="Normal"/>
    <w:link w:val="CommentTextChar"/>
    <w:uiPriority w:val="99"/>
    <w:unhideWhenUsed/>
    <w:rsid w:val="00A73F83"/>
    <w:rPr>
      <w:sz w:val="20"/>
      <w:szCs w:val="20"/>
    </w:rPr>
  </w:style>
  <w:style w:type="character" w:customStyle="1" w:styleId="CommentTextChar">
    <w:name w:val="Comment Text Char"/>
    <w:basedOn w:val="DefaultParagraphFont"/>
    <w:link w:val="CommentText"/>
    <w:uiPriority w:val="99"/>
    <w:rsid w:val="00A73F8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A73F83"/>
    <w:rPr>
      <w:b/>
      <w:bCs/>
    </w:rPr>
  </w:style>
  <w:style w:type="character" w:customStyle="1" w:styleId="CommentSubjectChar">
    <w:name w:val="Comment Subject Char"/>
    <w:basedOn w:val="CommentTextChar"/>
    <w:link w:val="CommentSubject"/>
    <w:uiPriority w:val="99"/>
    <w:semiHidden/>
    <w:rsid w:val="00A73F83"/>
    <w:rPr>
      <w:rFonts w:ascii="Georgia" w:eastAsia="Times New Roman" w:hAnsi="Georgia" w:cs="Times New Roman"/>
      <w:b/>
      <w:bCs/>
      <w:sz w:val="20"/>
      <w:szCs w:val="20"/>
    </w:rPr>
  </w:style>
  <w:style w:type="paragraph" w:styleId="Revision">
    <w:name w:val="Revision"/>
    <w:hidden/>
    <w:uiPriority w:val="99"/>
    <w:semiHidden/>
    <w:rsid w:val="00767028"/>
    <w:pPr>
      <w:spacing w:after="0" w:line="240" w:lineRule="auto"/>
    </w:pPr>
    <w:rPr>
      <w:rFonts w:ascii="Georgia" w:eastAsia="Times New Roman" w:hAnsi="Georgia" w:cs="Times New Roman"/>
    </w:rPr>
  </w:style>
  <w:style w:type="paragraph" w:customStyle="1" w:styleId="Default">
    <w:name w:val="Default"/>
    <w:rsid w:val="0097589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15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D872D4"/>
    <w:pPr>
      <w:spacing w:before="100" w:beforeAutospacing="1"/>
      <w:ind w:left="0"/>
    </w:pPr>
    <w:rPr>
      <w:rFonts w:ascii="Times New Roman" w:hAnsi="Times New Roman"/>
      <w:sz w:val="24"/>
      <w:szCs w:val="24"/>
    </w:rPr>
  </w:style>
  <w:style w:type="character" w:customStyle="1" w:styleId="cf01">
    <w:name w:val="cf01"/>
    <w:basedOn w:val="DefaultParagraphFont"/>
    <w:rsid w:val="00D872D4"/>
    <w:rPr>
      <w:rFonts w:ascii="Segoe UI" w:hAnsi="Segoe UI" w:cs="Segoe UI" w:hint="default"/>
      <w:sz w:val="18"/>
      <w:szCs w:val="18"/>
    </w:rPr>
  </w:style>
  <w:style w:type="paragraph" w:customStyle="1" w:styleId="xxxxxxxxmsonormal">
    <w:name w:val="x_x_x_xxxxxmsonormal"/>
    <w:basedOn w:val="Normal"/>
    <w:rsid w:val="004F534C"/>
    <w:pPr>
      <w:spacing w:before="100" w:beforeAutospacing="1"/>
      <w:ind w:left="0"/>
    </w:pPr>
    <w:rPr>
      <w:rFonts w:ascii="Calibri" w:eastAsiaTheme="minorHAnsi" w:hAnsi="Calibri" w:cs="Calibri"/>
    </w:rPr>
  </w:style>
  <w:style w:type="character" w:customStyle="1" w:styleId="contentpasted0">
    <w:name w:val="contentpasted0"/>
    <w:basedOn w:val="DefaultParagraphFont"/>
    <w:rsid w:val="004F534C"/>
  </w:style>
  <w:style w:type="character" w:customStyle="1" w:styleId="xxcontentpasted0">
    <w:name w:val="x_x_contentpasted0"/>
    <w:basedOn w:val="DefaultParagraphFont"/>
    <w:rsid w:val="00544C66"/>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6329">
      <w:bodyDiv w:val="1"/>
      <w:marLeft w:val="0"/>
      <w:marRight w:val="0"/>
      <w:marTop w:val="0"/>
      <w:marBottom w:val="0"/>
      <w:divBdr>
        <w:top w:val="none" w:sz="0" w:space="0" w:color="auto"/>
        <w:left w:val="none" w:sz="0" w:space="0" w:color="auto"/>
        <w:bottom w:val="none" w:sz="0" w:space="0" w:color="auto"/>
        <w:right w:val="none" w:sz="0" w:space="0" w:color="auto"/>
      </w:divBdr>
    </w:div>
    <w:div w:id="61954709">
      <w:bodyDiv w:val="1"/>
      <w:marLeft w:val="0"/>
      <w:marRight w:val="0"/>
      <w:marTop w:val="0"/>
      <w:marBottom w:val="0"/>
      <w:divBdr>
        <w:top w:val="none" w:sz="0" w:space="0" w:color="auto"/>
        <w:left w:val="none" w:sz="0" w:space="0" w:color="auto"/>
        <w:bottom w:val="none" w:sz="0" w:space="0" w:color="auto"/>
        <w:right w:val="none" w:sz="0" w:space="0" w:color="auto"/>
      </w:divBdr>
    </w:div>
    <w:div w:id="81490512">
      <w:bodyDiv w:val="1"/>
      <w:marLeft w:val="0"/>
      <w:marRight w:val="0"/>
      <w:marTop w:val="0"/>
      <w:marBottom w:val="0"/>
      <w:divBdr>
        <w:top w:val="none" w:sz="0" w:space="0" w:color="auto"/>
        <w:left w:val="none" w:sz="0" w:space="0" w:color="auto"/>
        <w:bottom w:val="none" w:sz="0" w:space="0" w:color="auto"/>
        <w:right w:val="none" w:sz="0" w:space="0" w:color="auto"/>
      </w:divBdr>
    </w:div>
    <w:div w:id="615215563">
      <w:bodyDiv w:val="1"/>
      <w:marLeft w:val="0"/>
      <w:marRight w:val="0"/>
      <w:marTop w:val="0"/>
      <w:marBottom w:val="0"/>
      <w:divBdr>
        <w:top w:val="none" w:sz="0" w:space="0" w:color="auto"/>
        <w:left w:val="none" w:sz="0" w:space="0" w:color="auto"/>
        <w:bottom w:val="none" w:sz="0" w:space="0" w:color="auto"/>
        <w:right w:val="none" w:sz="0" w:space="0" w:color="auto"/>
      </w:divBdr>
    </w:div>
    <w:div w:id="787823563">
      <w:bodyDiv w:val="1"/>
      <w:marLeft w:val="0"/>
      <w:marRight w:val="0"/>
      <w:marTop w:val="0"/>
      <w:marBottom w:val="0"/>
      <w:divBdr>
        <w:top w:val="none" w:sz="0" w:space="0" w:color="auto"/>
        <w:left w:val="none" w:sz="0" w:space="0" w:color="auto"/>
        <w:bottom w:val="none" w:sz="0" w:space="0" w:color="auto"/>
        <w:right w:val="none" w:sz="0" w:space="0" w:color="auto"/>
      </w:divBdr>
    </w:div>
    <w:div w:id="908609688">
      <w:bodyDiv w:val="1"/>
      <w:marLeft w:val="0"/>
      <w:marRight w:val="0"/>
      <w:marTop w:val="0"/>
      <w:marBottom w:val="0"/>
      <w:divBdr>
        <w:top w:val="none" w:sz="0" w:space="0" w:color="auto"/>
        <w:left w:val="none" w:sz="0" w:space="0" w:color="auto"/>
        <w:bottom w:val="none" w:sz="0" w:space="0" w:color="auto"/>
        <w:right w:val="none" w:sz="0" w:space="0" w:color="auto"/>
      </w:divBdr>
    </w:div>
    <w:div w:id="1126969233">
      <w:bodyDiv w:val="1"/>
      <w:marLeft w:val="0"/>
      <w:marRight w:val="0"/>
      <w:marTop w:val="0"/>
      <w:marBottom w:val="0"/>
      <w:divBdr>
        <w:top w:val="none" w:sz="0" w:space="0" w:color="auto"/>
        <w:left w:val="none" w:sz="0" w:space="0" w:color="auto"/>
        <w:bottom w:val="none" w:sz="0" w:space="0" w:color="auto"/>
        <w:right w:val="none" w:sz="0" w:space="0" w:color="auto"/>
      </w:divBdr>
    </w:div>
    <w:div w:id="1357000269">
      <w:bodyDiv w:val="1"/>
      <w:marLeft w:val="0"/>
      <w:marRight w:val="0"/>
      <w:marTop w:val="0"/>
      <w:marBottom w:val="0"/>
      <w:divBdr>
        <w:top w:val="none" w:sz="0" w:space="0" w:color="auto"/>
        <w:left w:val="none" w:sz="0" w:space="0" w:color="auto"/>
        <w:bottom w:val="none" w:sz="0" w:space="0" w:color="auto"/>
        <w:right w:val="none" w:sz="0" w:space="0" w:color="auto"/>
      </w:divBdr>
    </w:div>
    <w:div w:id="1688097446">
      <w:bodyDiv w:val="1"/>
      <w:marLeft w:val="0"/>
      <w:marRight w:val="0"/>
      <w:marTop w:val="0"/>
      <w:marBottom w:val="0"/>
      <w:divBdr>
        <w:top w:val="none" w:sz="0" w:space="0" w:color="auto"/>
        <w:left w:val="none" w:sz="0" w:space="0" w:color="auto"/>
        <w:bottom w:val="none" w:sz="0" w:space="0" w:color="auto"/>
        <w:right w:val="none" w:sz="0" w:space="0" w:color="auto"/>
      </w:divBdr>
    </w:div>
    <w:div w:id="1794397131">
      <w:bodyDiv w:val="1"/>
      <w:marLeft w:val="0"/>
      <w:marRight w:val="0"/>
      <w:marTop w:val="0"/>
      <w:marBottom w:val="0"/>
      <w:divBdr>
        <w:top w:val="none" w:sz="0" w:space="0" w:color="auto"/>
        <w:left w:val="none" w:sz="0" w:space="0" w:color="auto"/>
        <w:bottom w:val="none" w:sz="0" w:space="0" w:color="auto"/>
        <w:right w:val="none" w:sz="0" w:space="0" w:color="auto"/>
      </w:divBdr>
    </w:div>
    <w:div w:id="1940678546">
      <w:bodyDiv w:val="1"/>
      <w:marLeft w:val="0"/>
      <w:marRight w:val="0"/>
      <w:marTop w:val="0"/>
      <w:marBottom w:val="0"/>
      <w:divBdr>
        <w:top w:val="none" w:sz="0" w:space="0" w:color="auto"/>
        <w:left w:val="none" w:sz="0" w:space="0" w:color="auto"/>
        <w:bottom w:val="none" w:sz="0" w:space="0" w:color="auto"/>
        <w:right w:val="none" w:sz="0" w:space="0" w:color="auto"/>
      </w:divBdr>
    </w:div>
    <w:div w:id="198430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DF37C-1E98-44E9-A66A-D3E312E4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1775</Words>
  <Characters>11134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cp:lastModifiedBy>Kovach, Karen E (EHS)</cp:lastModifiedBy>
  <cp:revision>3</cp:revision>
  <cp:lastPrinted>2023-05-10T14:21:00Z</cp:lastPrinted>
  <dcterms:created xsi:type="dcterms:W3CDTF">2023-05-10T14:18:00Z</dcterms:created>
  <dcterms:modified xsi:type="dcterms:W3CDTF">2023-05-10T14:22:00Z</dcterms:modified>
</cp:coreProperties>
</file>