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47E1" w14:textId="77777777" w:rsidR="003E5180"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bookmarkStart w:id="6" w:name="_GoBack"/>
      <w:bookmarkEnd w:id="6"/>
    </w:p>
    <w:p w14:paraId="6DE04C51" w14:textId="5BE034F4" w:rsidR="00496B1C" w:rsidRPr="005818AE" w:rsidRDefault="0065460E" w:rsidP="00812E3E">
      <w:pPr>
        <w:pStyle w:val="Title"/>
        <w:rPr>
          <w:rFonts w:eastAsia="Calibri"/>
        </w:rPr>
      </w:pPr>
      <w:r w:rsidRPr="005818AE">
        <w:rPr>
          <w:rFonts w:eastAsia="Calibri"/>
        </w:rPr>
        <w:t xml:space="preserve">Notice of </w:t>
      </w:r>
      <w:r w:rsidR="009D63B2">
        <w:rPr>
          <w:rFonts w:eastAsia="Calibri"/>
        </w:rPr>
        <w:t>Final</w:t>
      </w:r>
      <w:r w:rsidRPr="005818AE">
        <w:rPr>
          <w:rFonts w:eastAsia="Calibri"/>
        </w:rPr>
        <w:t xml:space="preserve"> Agency Action</w:t>
      </w:r>
      <w:r w:rsidR="005D44B9">
        <w:rPr>
          <w:rFonts w:eastAsia="Calibri"/>
        </w:rPr>
        <w:t xml:space="preserve"> </w:t>
      </w:r>
    </w:p>
    <w:p w14:paraId="50DCA780" w14:textId="77777777" w:rsidR="00261C56" w:rsidRPr="005818AE" w:rsidRDefault="00261C56" w:rsidP="008B3E36">
      <w:pPr>
        <w:spacing w:line="276" w:lineRule="auto"/>
        <w:jc w:val="center"/>
        <w:rPr>
          <w:rFonts w:ascii="Times New Roman" w:eastAsia="Calibri" w:hAnsi="Times New Roman"/>
          <w:b/>
          <w:spacing w:val="0"/>
          <w:sz w:val="22"/>
          <w:szCs w:val="22"/>
          <w:u w:val="single"/>
        </w:rPr>
      </w:pPr>
    </w:p>
    <w:p w14:paraId="3C12BEE1" w14:textId="29732371"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MassHealth:</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 xml:space="preserve">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181DC5" w:rsidRPr="005818AE">
        <w:rPr>
          <w:rFonts w:ascii="Times New Roman" w:eastAsia="Calibri" w:hAnsi="Times New Roman"/>
          <w:spacing w:val="0"/>
          <w:sz w:val="22"/>
          <w:szCs w:val="22"/>
        </w:rPr>
        <w:t>20</w:t>
      </w:r>
      <w:r w:rsidR="00181DC5">
        <w:rPr>
          <w:rFonts w:ascii="Times New Roman" w:eastAsia="Calibri" w:hAnsi="Times New Roman"/>
          <w:spacing w:val="0"/>
          <w:sz w:val="22"/>
          <w:szCs w:val="22"/>
        </w:rPr>
        <w:t>20</w:t>
      </w:r>
    </w:p>
    <w:p w14:paraId="36318E5D" w14:textId="77777777"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14:paraId="262F4A59" w14:textId="77777777" w:rsidR="0065460E" w:rsidRPr="00DB632B" w:rsidRDefault="0065460E" w:rsidP="00DB632B">
      <w:pPr>
        <w:pStyle w:val="Heading1"/>
      </w:pPr>
      <w:r w:rsidRPr="00DB632B">
        <w:t>Introduction</w:t>
      </w:r>
    </w:p>
    <w:p w14:paraId="7F43F386" w14:textId="4FB9BDE4" w:rsidR="0060747F" w:rsidRPr="00232246" w:rsidRDefault="0065460E" w:rsidP="00C01411">
      <w:pPr>
        <w:spacing w:line="276" w:lineRule="auto"/>
        <w:rPr>
          <w:rFonts w:ascii="Times New Roman" w:eastAsia="Calibri" w:hAnsi="Times New Roman"/>
          <w:b/>
          <w:spacing w:val="0"/>
          <w:sz w:val="22"/>
          <w:szCs w:val="22"/>
        </w:rPr>
      </w:pPr>
      <w:r w:rsidRPr="00DB632B">
        <w:rPr>
          <w:rFonts w:ascii="Times New Roman" w:eastAsia="Calibri" w:hAnsi="Times New Roman"/>
          <w:b/>
          <w:spacing w:val="0"/>
          <w:sz w:val="22"/>
          <w:szCs w:val="22"/>
        </w:rPr>
        <w:t>Part I</w:t>
      </w:r>
      <w:r w:rsidRPr="00A7787D">
        <w:rPr>
          <w:rFonts w:ascii="Times New Roman" w:eastAsia="Calibri" w:hAnsi="Times New Roman"/>
          <w:b/>
          <w:i/>
          <w:spacing w:val="0"/>
          <w:sz w:val="22"/>
          <w:szCs w:val="22"/>
        </w:rPr>
        <w:t xml:space="preserve"> </w:t>
      </w:r>
      <w:r w:rsidRPr="00A7787D">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A7787D">
        <w:rPr>
          <w:rFonts w:ascii="Times New Roman" w:eastAsia="Calibri" w:hAnsi="Times New Roman"/>
          <w:spacing w:val="0"/>
          <w:sz w:val="22"/>
          <w:szCs w:val="22"/>
        </w:rPr>
        <w:t xml:space="preserve">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004A5ED2" w:rsidRPr="00232246">
        <w:rPr>
          <w:rFonts w:ascii="Times New Roman" w:eastAsia="Calibri" w:hAnsi="Times New Roman"/>
          <w:spacing w:val="0"/>
          <w:sz w:val="22"/>
          <w:szCs w:val="22"/>
        </w:rPr>
        <w:t>(</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1,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20</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(see </w:t>
      </w:r>
      <w:r w:rsidRPr="00DB632B">
        <w:rPr>
          <w:rFonts w:ascii="Times New Roman" w:eastAsia="Calibri" w:hAnsi="Times New Roman"/>
          <w:spacing w:val="0"/>
          <w:sz w:val="22"/>
          <w:szCs w:val="22"/>
        </w:rPr>
        <w:t>Attachment A</w:t>
      </w:r>
      <w:r w:rsidRPr="00232246">
        <w:rPr>
          <w:rFonts w:ascii="Times New Roman" w:eastAsia="Calibri" w:hAnsi="Times New Roman"/>
          <w:spacing w:val="0"/>
          <w:sz w:val="22"/>
          <w:szCs w:val="22"/>
        </w:rPr>
        <w:t xml:space="preserve"> to Part I).</w:t>
      </w:r>
      <w:r w:rsidR="005D44B9">
        <w:rPr>
          <w:rFonts w:ascii="Times New Roman" w:eastAsia="Calibri" w:hAnsi="Times New Roman"/>
          <w:spacing w:val="0"/>
          <w:sz w:val="22"/>
          <w:szCs w:val="22"/>
        </w:rPr>
        <w:t xml:space="preserve"> </w:t>
      </w:r>
      <w:r w:rsidRPr="00DB632B">
        <w:rPr>
          <w:rFonts w:ascii="Times New Roman" w:eastAsia="Calibri" w:hAnsi="Times New Roman"/>
          <w:b/>
          <w:spacing w:val="0"/>
          <w:sz w:val="22"/>
          <w:szCs w:val="22"/>
        </w:rPr>
        <w:t>Part II</w:t>
      </w:r>
      <w:r w:rsidRPr="00232246">
        <w:rPr>
          <w:rFonts w:ascii="Times New Roman" w:eastAsia="Calibri" w:hAnsi="Times New Roman"/>
          <w:b/>
          <w:i/>
          <w:spacing w:val="0"/>
          <w:sz w:val="22"/>
          <w:szCs w:val="22"/>
        </w:rPr>
        <w:t xml:space="preserve"> </w:t>
      </w:r>
      <w:r w:rsidRPr="00232246">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232246">
        <w:rPr>
          <w:rFonts w:ascii="Times New Roman" w:eastAsia="Calibri" w:hAnsi="Times New Roman"/>
          <w:spacing w:val="0"/>
          <w:sz w:val="22"/>
          <w:szCs w:val="22"/>
        </w:rPr>
        <w:t xml:space="preserve">otice describes and summarizes changes in MassHealth payment for services provided by in-state acute hospitals, effective for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181DC5" w:rsidRPr="00232246">
        <w:rPr>
          <w:rFonts w:ascii="Times New Roman" w:eastAsia="Calibri" w:hAnsi="Times New Roman"/>
          <w:spacing w:val="0"/>
          <w:sz w:val="22"/>
          <w:szCs w:val="22"/>
        </w:rPr>
        <w:t>20</w:t>
      </w:r>
      <w:r w:rsidR="00181DC5">
        <w:rPr>
          <w:rFonts w:ascii="Times New Roman" w:eastAsia="Calibri" w:hAnsi="Times New Roman"/>
          <w:spacing w:val="0"/>
          <w:sz w:val="22"/>
          <w:szCs w:val="22"/>
        </w:rPr>
        <w:t>20</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2021</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A complete description of the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14690D">
        <w:rPr>
          <w:rFonts w:ascii="Times New Roman" w:eastAsia="Calibri" w:hAnsi="Times New Roman"/>
          <w:spacing w:val="0"/>
          <w:sz w:val="22"/>
          <w:szCs w:val="22"/>
        </w:rPr>
        <w:t>Attachment B</w:t>
      </w:r>
      <w:r w:rsidRPr="00232246">
        <w:rPr>
          <w:rFonts w:ascii="Times New Roman" w:eastAsia="Calibri" w:hAnsi="Times New Roman"/>
          <w:spacing w:val="0"/>
          <w:sz w:val="22"/>
          <w:szCs w:val="22"/>
        </w:rPr>
        <w:t xml:space="preserve"> for </w:t>
      </w:r>
      <w:r w:rsidR="00181DC5" w:rsidRPr="00232246">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00181DC5"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For further information regarding </w:t>
      </w:r>
      <w:r w:rsidR="004E2B3C" w:rsidRPr="00232246">
        <w:rPr>
          <w:rFonts w:ascii="Times New Roman" w:eastAsia="Calibri" w:hAnsi="Times New Roman"/>
          <w:spacing w:val="0"/>
          <w:sz w:val="22"/>
          <w:szCs w:val="22"/>
        </w:rPr>
        <w:t>RY</w:t>
      </w:r>
      <w:r w:rsidR="004E2B3C">
        <w:rPr>
          <w:rFonts w:ascii="Times New Roman" w:eastAsia="Calibri" w:hAnsi="Times New Roman"/>
          <w:spacing w:val="0"/>
          <w:sz w:val="22"/>
          <w:szCs w:val="22"/>
        </w:rPr>
        <w:t>21</w:t>
      </w:r>
      <w:r w:rsidR="004E2B3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acute hospital payment methods and rates</w:t>
      </w:r>
      <w:r w:rsidR="009A1C1B" w:rsidRPr="00A7787D">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you may contact Steven Sauter at the Executive Office of Health and Human Services, </w:t>
      </w:r>
      <w:r w:rsidR="00232246" w:rsidRPr="00232246">
        <w:rPr>
          <w:rFonts w:ascii="Times New Roman" w:hAnsi="Times New Roman"/>
          <w:sz w:val="22"/>
          <w:szCs w:val="22"/>
        </w:rPr>
        <w:t xml:space="preserve">MassHealth Office of </w:t>
      </w:r>
      <w:r w:rsidR="00FC5A4F" w:rsidRPr="00FC5A4F">
        <w:rPr>
          <w:rFonts w:ascii="Times New Roman" w:hAnsi="Times New Roman"/>
          <w:sz w:val="22"/>
          <w:szCs w:val="22"/>
        </w:rPr>
        <w:t>Providers and Pharmacy Programs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9" w:history="1">
        <w:r w:rsidRPr="00232246">
          <w:rPr>
            <w:rFonts w:ascii="Times New Roman" w:eastAsia="Calibri" w:hAnsi="Times New Roman"/>
            <w:color w:val="0000FF"/>
            <w:spacing w:val="0"/>
            <w:sz w:val="22"/>
            <w:szCs w:val="22"/>
            <w:u w:val="single"/>
          </w:rPr>
          <w:t>steven.sauter@state.ma.us</w:t>
        </w:r>
      </w:hyperlink>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A7286A" w:rsidRPr="00A7787D">
        <w:rPr>
          <w:rFonts w:ascii="Times New Roman" w:eastAsia="Calibri" w:hAnsi="Times New Roman"/>
          <w:spacing w:val="0"/>
          <w:sz w:val="22"/>
          <w:szCs w:val="22"/>
        </w:rPr>
        <w:t xml:space="preserve"> </w:t>
      </w:r>
    </w:p>
    <w:p w14:paraId="6CE2488C" w14:textId="77777777" w:rsidR="00C0141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DD10EB" w:rsidRDefault="0065460E" w:rsidP="00DD10EB">
      <w:pPr>
        <w:pStyle w:val="Heading1"/>
      </w:pPr>
      <w:r w:rsidRPr="00DD10EB">
        <w:t>PART I:</w:t>
      </w:r>
      <w:r w:rsidR="005D44B9" w:rsidRPr="00DD10EB">
        <w:t xml:space="preserve"> </w:t>
      </w:r>
      <w:r w:rsidRPr="00DD10EB">
        <w:t>Out-of-State Acute Hospital Payment Methods</w:t>
      </w:r>
    </w:p>
    <w:p w14:paraId="460EB379" w14:textId="77777777" w:rsidR="0065460E" w:rsidRPr="00DB632B" w:rsidRDefault="0065460E" w:rsidP="00DB632B">
      <w:pPr>
        <w:pStyle w:val="Heading2"/>
      </w:pPr>
      <w:r w:rsidRPr="00DB632B">
        <w:t xml:space="preserve">Out-of-State Acute </w:t>
      </w:r>
      <w:r w:rsidR="00C17939" w:rsidRPr="00DB632B">
        <w:t xml:space="preserve">Inpatient </w:t>
      </w:r>
      <w:r w:rsidRPr="00DB632B">
        <w:t>Hospital Services</w:t>
      </w:r>
    </w:p>
    <w:p w14:paraId="3D080C76" w14:textId="77777777" w:rsidR="00923397" w:rsidRPr="005B3AFB" w:rsidRDefault="00923397" w:rsidP="0065460E">
      <w:pPr>
        <w:spacing w:after="200" w:line="276" w:lineRule="auto"/>
        <w:contextualSpacing/>
        <w:rPr>
          <w:rFonts w:ascii="Times New Roman" w:eastAsia="Calibri" w:hAnsi="Times New Roman"/>
          <w:b/>
          <w:spacing w:val="0"/>
          <w:sz w:val="22"/>
          <w:szCs w:val="22"/>
        </w:rPr>
      </w:pPr>
    </w:p>
    <w:p w14:paraId="78D2ED18" w14:textId="41261349" w:rsidR="00801D75" w:rsidRPr="00A7787D" w:rsidRDefault="00652660"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692B09">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C17939">
        <w:rPr>
          <w:rFonts w:ascii="Times New Roman" w:eastAsia="Calibri" w:hAnsi="Times New Roman"/>
          <w:spacing w:val="0"/>
          <w:sz w:val="22"/>
          <w:szCs w:val="22"/>
        </w:rPr>
        <w:t xml:space="preserve">, </w:t>
      </w:r>
      <w:r w:rsidR="007E4767">
        <w:rPr>
          <w:rFonts w:ascii="Times New Roman" w:eastAsia="Calibri" w:hAnsi="Times New Roman"/>
          <w:spacing w:val="0"/>
          <w:sz w:val="22"/>
          <w:szCs w:val="22"/>
        </w:rPr>
        <w:t>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sidR="007E4767">
        <w:rPr>
          <w:rFonts w:ascii="Times New Roman" w:eastAsia="Calibri" w:hAnsi="Times New Roman"/>
          <w:spacing w:val="0"/>
          <w:sz w:val="22"/>
          <w:szCs w:val="22"/>
        </w:rPr>
        <w:t xml:space="preserve">s are </w:t>
      </w:r>
      <w:r w:rsidR="00C17939">
        <w:rPr>
          <w:rFonts w:ascii="Times New Roman" w:eastAsia="Calibri" w:hAnsi="Times New Roman"/>
          <w:spacing w:val="0"/>
          <w:sz w:val="22"/>
          <w:szCs w:val="22"/>
        </w:rPr>
        <w:t xml:space="preserve">generally </w:t>
      </w:r>
      <w:r w:rsidR="007E4767">
        <w:rPr>
          <w:rFonts w:ascii="Times New Roman" w:eastAsia="Calibri" w:hAnsi="Times New Roman"/>
          <w:spacing w:val="0"/>
          <w:sz w:val="22"/>
          <w:szCs w:val="22"/>
        </w:rPr>
        <w:t>unchanged</w:t>
      </w:r>
      <w:r>
        <w:rPr>
          <w:rFonts w:ascii="Times New Roman" w:eastAsia="Calibri" w:hAnsi="Times New Roman"/>
          <w:spacing w:val="0"/>
          <w:sz w:val="22"/>
          <w:szCs w:val="22"/>
        </w:rPr>
        <w:t xml:space="preserve"> from </w:t>
      </w:r>
      <w:r w:rsidR="00181DC5">
        <w:rPr>
          <w:rFonts w:ascii="Times New Roman" w:eastAsia="Calibri" w:hAnsi="Times New Roman"/>
          <w:spacing w:val="0"/>
          <w:sz w:val="22"/>
          <w:szCs w:val="22"/>
        </w:rPr>
        <w:t>RY20</w:t>
      </w:r>
      <w:r w:rsidR="007E476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 xml:space="preserve">of this </w:t>
      </w:r>
      <w:r w:rsidR="00C07DD2">
        <w:rPr>
          <w:rFonts w:ascii="Times New Roman" w:eastAsia="Calibri" w:hAnsi="Times New Roman"/>
          <w:spacing w:val="0"/>
          <w:sz w:val="22"/>
          <w:szCs w:val="22"/>
        </w:rPr>
        <w:t>n</w:t>
      </w:r>
      <w:r w:rsidR="009F7481">
        <w:rPr>
          <w:rFonts w:ascii="Times New Roman" w:eastAsia="Calibri" w:hAnsi="Times New Roman"/>
          <w:spacing w:val="0"/>
          <w:sz w:val="22"/>
          <w:szCs w:val="22"/>
        </w:rPr>
        <w:t>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t>
      </w:r>
      <w:r w:rsidR="009D63B2">
        <w:rPr>
          <w:rFonts w:ascii="Times New Roman" w:eastAsia="Calibri" w:hAnsi="Times New Roman"/>
          <w:spacing w:val="0"/>
          <w:sz w:val="22"/>
          <w:szCs w:val="22"/>
        </w:rPr>
        <w:t>are</w:t>
      </w:r>
      <w:r w:rsidR="00B80CDF">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w:t>
      </w:r>
      <w:r w:rsidR="00181DC5">
        <w:rPr>
          <w:rFonts w:ascii="Times New Roman" w:eastAsia="Calibri" w:hAnsi="Times New Roman"/>
          <w:spacing w:val="0"/>
          <w:sz w:val="22"/>
          <w:szCs w:val="22"/>
        </w:rPr>
        <w:t xml:space="preserve">RY21 </w:t>
      </w:r>
      <w:r w:rsidR="00BD4289" w:rsidRPr="00A7787D">
        <w:rPr>
          <w:rFonts w:ascii="Times New Roman" w:eastAsia="Calibri" w:hAnsi="Times New Roman"/>
          <w:spacing w:val="0"/>
          <w:sz w:val="22"/>
          <w:szCs w:val="22"/>
        </w:rPr>
        <w:t xml:space="preserve">(see </w:t>
      </w:r>
      <w:r w:rsidR="00BD4289" w:rsidRPr="0014690D">
        <w:rPr>
          <w:rFonts w:ascii="Times New Roman" w:eastAsia="Calibri" w:hAnsi="Times New Roman"/>
          <w:spacing w:val="0"/>
          <w:sz w:val="22"/>
          <w:szCs w:val="22"/>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w:t>
      </w:r>
      <w:r w:rsidR="00C07DD2">
        <w:rPr>
          <w:rFonts w:ascii="Times New Roman" w:eastAsia="Calibri" w:hAnsi="Times New Roman"/>
          <w:spacing w:val="0"/>
          <w:sz w:val="22"/>
          <w:szCs w:val="22"/>
        </w:rPr>
        <w:t>n</w:t>
      </w:r>
      <w:r w:rsidR="00BD4289" w:rsidRPr="00A7787D">
        <w:rPr>
          <w:rFonts w:ascii="Times New Roman" w:eastAsia="Calibri" w:hAnsi="Times New Roman"/>
          <w:spacing w:val="0"/>
          <w:sz w:val="22"/>
          <w:szCs w:val="22"/>
        </w:rPr>
        <w:t>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4EDEB6F1" w14:textId="77777777" w:rsidR="00997C3C" w:rsidRPr="004C35B7" w:rsidRDefault="00997C3C" w:rsidP="004C35B7">
      <w:pPr>
        <w:ind w:left="360"/>
        <w:rPr>
          <w:rFonts w:ascii="Times New Roman" w:hAnsi="Times New Roman"/>
          <w:b/>
          <w:sz w:val="22"/>
          <w:szCs w:val="22"/>
        </w:rPr>
      </w:pPr>
      <w:r w:rsidRPr="004C35B7">
        <w:rPr>
          <w:rFonts w:ascii="Times New Roman" w:hAnsi="Times New Roman"/>
          <w:b/>
          <w:sz w:val="22"/>
          <w:szCs w:val="22"/>
        </w:rPr>
        <w:t>Out-of-State Acute Inpatient Hospital Payment Methods</w:t>
      </w:r>
    </w:p>
    <w:p w14:paraId="511D13E4" w14:textId="52ED7DED"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w:t>
      </w:r>
      <w:r w:rsidR="00181DC5">
        <w:rPr>
          <w:rFonts w:ascii="Times New Roman" w:eastAsia="Calibri" w:hAnsi="Times New Roman"/>
          <w:spacing w:val="0"/>
          <w:sz w:val="22"/>
          <w:szCs w:val="22"/>
        </w:rPr>
        <w:t xml:space="preserve">RY21 </w:t>
      </w:r>
      <w:r w:rsidRPr="00A7787D">
        <w:rPr>
          <w:rFonts w:ascii="Times New Roman" w:eastAsia="Calibri" w:hAnsi="Times New Roman"/>
          <w:spacing w:val="0"/>
          <w:sz w:val="22"/>
          <w:szCs w:val="22"/>
        </w:rPr>
        <w:t>are as follows.</w:t>
      </w:r>
    </w:p>
    <w:p w14:paraId="6390F196" w14:textId="77777777" w:rsidR="00A42F6B" w:rsidRPr="00A7787D" w:rsidRDefault="00A42F6B" w:rsidP="00A42F6B">
      <w:pPr>
        <w:spacing w:line="276" w:lineRule="auto"/>
        <w:ind w:left="360"/>
        <w:rPr>
          <w:rFonts w:ascii="Times New Roman" w:eastAsia="Calibri" w:hAnsi="Times New Roman"/>
          <w:spacing w:val="0"/>
          <w:sz w:val="22"/>
          <w:szCs w:val="22"/>
        </w:rPr>
      </w:pPr>
    </w:p>
    <w:p w14:paraId="4A90E693"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 xml:space="preserve">acute hospitals will continue to be paid an adjudicated payment amount per discharge (“Out-of-State APAD”), which will cover the MassHealth member’s entire acute </w:t>
      </w:r>
      <w:r w:rsidR="0065460E" w:rsidRPr="0014690D">
        <w:rPr>
          <w:rFonts w:ascii="Times New Roman" w:eastAsia="Calibri" w:hAnsi="Times New Roman"/>
          <w:spacing w:val="0"/>
          <w:sz w:val="22"/>
          <w:szCs w:val="22"/>
        </w:rPr>
        <w:t>inpatient stay from admission through discharge</w:t>
      </w:r>
      <w:r w:rsidR="0014690D" w:rsidRPr="0014690D">
        <w:rPr>
          <w:rFonts w:ascii="Times New Roman" w:eastAsia="Calibri" w:hAnsi="Times New Roman"/>
          <w:spacing w:val="0"/>
          <w:sz w:val="22"/>
          <w:szCs w:val="22"/>
        </w:rPr>
        <w:t xml:space="preserve"> </w:t>
      </w:r>
      <w:r w:rsidR="00E45DF1" w:rsidRPr="0014690D">
        <w:rPr>
          <w:rFonts w:ascii="Times New Roman" w:eastAsia="Calibri" w:hAnsi="Times New Roman"/>
          <w:spacing w:val="0"/>
          <w:sz w:val="22"/>
          <w:szCs w:val="22"/>
        </w:rPr>
        <w:t xml:space="preserve">with the exception </w:t>
      </w:r>
      <w:r w:rsidR="00FA6139" w:rsidRPr="0014690D">
        <w:rPr>
          <w:rFonts w:ascii="Times New Roman" w:eastAsia="Calibri" w:hAnsi="Times New Roman"/>
          <w:spacing w:val="0"/>
          <w:sz w:val="22"/>
          <w:szCs w:val="22"/>
        </w:rPr>
        <w:t xml:space="preserve">of </w:t>
      </w:r>
      <w:r w:rsidR="0014690D" w:rsidRPr="0014690D">
        <w:rPr>
          <w:rFonts w:ascii="Times New Roman" w:eastAsiaTheme="minorHAnsi" w:hAnsi="Times New Roman"/>
          <w:spacing w:val="0"/>
          <w:sz w:val="22"/>
          <w:szCs w:val="22"/>
        </w:rPr>
        <w:t xml:space="preserve">long-acting reversible contraception (LARC) </w:t>
      </w:r>
      <w:r w:rsidR="00937852" w:rsidRPr="0014690D">
        <w:rPr>
          <w:rFonts w:ascii="Times New Roman" w:eastAsia="Calibri" w:hAnsi="Times New Roman"/>
          <w:spacing w:val="0"/>
          <w:sz w:val="22"/>
          <w:szCs w:val="22"/>
        </w:rPr>
        <w:t>Device</w:t>
      </w:r>
      <w:r w:rsidR="00124F2C" w:rsidRPr="0014690D">
        <w:rPr>
          <w:rFonts w:ascii="Times New Roman" w:eastAsia="Calibri" w:hAnsi="Times New Roman"/>
          <w:spacing w:val="0"/>
          <w:sz w:val="22"/>
          <w:szCs w:val="22"/>
        </w:rPr>
        <w:t>s</w:t>
      </w:r>
      <w:r w:rsidR="00937852" w:rsidRPr="0014690D">
        <w:rPr>
          <w:rFonts w:ascii="Times New Roman" w:eastAsia="Calibri" w:hAnsi="Times New Roman"/>
          <w:spacing w:val="0"/>
          <w:sz w:val="22"/>
          <w:szCs w:val="22"/>
        </w:rPr>
        <w:t xml:space="preserve">, </w:t>
      </w:r>
      <w:r w:rsidR="007F4E08" w:rsidRPr="0014690D">
        <w:rPr>
          <w:rFonts w:ascii="Times New Roman" w:eastAsia="Calibri" w:hAnsi="Times New Roman"/>
          <w:spacing w:val="0"/>
          <w:sz w:val="22"/>
          <w:szCs w:val="22"/>
        </w:rPr>
        <w:t>and APAD Carve-Out Drugs, as furt</w:t>
      </w:r>
      <w:r w:rsidR="00937852" w:rsidRPr="0014690D">
        <w:rPr>
          <w:rFonts w:ascii="Times New Roman" w:eastAsia="Calibri" w:hAnsi="Times New Roman"/>
          <w:spacing w:val="0"/>
          <w:sz w:val="22"/>
          <w:szCs w:val="22"/>
        </w:rPr>
        <w:t xml:space="preserve">her </w:t>
      </w:r>
      <w:r w:rsidR="00282686" w:rsidRPr="0014690D">
        <w:rPr>
          <w:rFonts w:ascii="Times New Roman" w:eastAsia="Calibri" w:hAnsi="Times New Roman"/>
          <w:spacing w:val="0"/>
          <w:sz w:val="22"/>
          <w:szCs w:val="22"/>
        </w:rPr>
        <w:t xml:space="preserve">described </w:t>
      </w:r>
      <w:r w:rsidR="0053120B" w:rsidRPr="0014690D">
        <w:rPr>
          <w:rFonts w:ascii="Times New Roman" w:eastAsia="Calibri" w:hAnsi="Times New Roman"/>
          <w:spacing w:val="0"/>
          <w:sz w:val="22"/>
          <w:szCs w:val="22"/>
        </w:rPr>
        <w:t>later in the document</w:t>
      </w:r>
      <w:r w:rsidR="0065460E" w:rsidRPr="0014690D">
        <w:rPr>
          <w:rFonts w:ascii="Times New Roman" w:eastAsia="Calibri" w:hAnsi="Times New Roman"/>
          <w:spacing w:val="0"/>
          <w:sz w:val="22"/>
          <w:szCs w:val="22"/>
        </w:rPr>
        <w:t>.</w:t>
      </w:r>
      <w:r w:rsidR="005D44B9" w:rsidRPr="0014690D">
        <w:rPr>
          <w:rFonts w:ascii="Times New Roman" w:eastAsia="Calibri" w:hAnsi="Times New Roman"/>
          <w:spacing w:val="0"/>
          <w:sz w:val="22"/>
          <w:szCs w:val="22"/>
        </w:rPr>
        <w:t xml:space="preserve"> </w:t>
      </w:r>
      <w:r w:rsidR="0065460E" w:rsidRPr="0014690D">
        <w:rPr>
          <w:rFonts w:ascii="Times New Roman" w:eastAsia="Calibri" w:hAnsi="Times New Roman"/>
          <w:spacing w:val="0"/>
          <w:sz w:val="22"/>
          <w:szCs w:val="22"/>
        </w:rPr>
        <w:t>The discharge-specific</w:t>
      </w:r>
      <w:r w:rsidR="0065460E" w:rsidRPr="005B3AFB">
        <w:rPr>
          <w:rFonts w:ascii="Times New Roman" w:eastAsia="Calibri" w:hAnsi="Times New Roman"/>
          <w:spacing w:val="0"/>
          <w:sz w:val="22"/>
          <w:szCs w:val="22"/>
        </w:rPr>
        <w:t xml:space="preserve"> Out-of-State APAD equals the sum of the statewide operating standard per discharge and the statewide capital standard per discharge both as in effect for in-state acute hospitals, multiplied by the MassHealth </w:t>
      </w:r>
      <w:r w:rsidR="0014690D" w:rsidRPr="0014690D">
        <w:rPr>
          <w:rFonts w:ascii="Times New Roman" w:hAnsi="Times New Roman"/>
          <w:sz w:val="22"/>
          <w:szCs w:val="22"/>
        </w:rPr>
        <w:t xml:space="preserve">Diagnostic Related Group </w:t>
      </w:r>
      <w:r w:rsidR="007C654E">
        <w:rPr>
          <w:rFonts w:ascii="Times New Roman" w:hAnsi="Times New Roman"/>
          <w:sz w:val="22"/>
          <w:szCs w:val="22"/>
        </w:rPr>
        <w:t>(</w:t>
      </w:r>
      <w:r w:rsidR="0065460E" w:rsidRPr="0014690D">
        <w:rPr>
          <w:rFonts w:ascii="Times New Roman" w:eastAsia="Calibri" w:hAnsi="Times New Roman"/>
          <w:spacing w:val="0"/>
          <w:sz w:val="22"/>
          <w:szCs w:val="22"/>
        </w:rPr>
        <w:t>DRG</w:t>
      </w:r>
      <w:r w:rsidR="007C654E">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xml:space="preserve">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w:t>
      </w:r>
    </w:p>
    <w:p w14:paraId="33EA8280"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lastRenderedPageBreak/>
        <w:t>Out-of-State Outlier Payment.</w:t>
      </w:r>
      <w:r w:rsidR="005D44B9">
        <w:rPr>
          <w:rFonts w:ascii="Times New Roman" w:eastAsia="Calibri" w:hAnsi="Times New Roman"/>
          <w:b/>
          <w:spacing w:val="0"/>
          <w:sz w:val="22"/>
          <w:szCs w:val="22"/>
        </w:rPr>
        <w:t xml:space="preserve">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Outlier Payment will equal the marginal cost factor in effect for in-state acute hospitals</w:t>
      </w:r>
      <w:r w:rsidR="0053120B">
        <w:rPr>
          <w:rFonts w:ascii="Times New Roman" w:eastAsia="Calibri" w:hAnsi="Times New Roman"/>
          <w:spacing w:val="0"/>
          <w:sz w:val="22"/>
          <w:szCs w:val="22"/>
        </w:rPr>
        <w:t>,</w:t>
      </w:r>
      <w:r w:rsidR="0065460E" w:rsidRPr="00A7787D">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“calculated cost of the discharge” equals the out-of-state acute hospital’s allowed charges for the discharge,</w:t>
      </w:r>
      <w:r w:rsidR="00EE6EB5" w:rsidRPr="00CF5300">
        <w:rPr>
          <w:rFonts w:ascii="Times New Roman" w:eastAsia="Calibri" w:hAnsi="Times New Roman"/>
          <w:spacing w:val="0"/>
          <w:sz w:val="22"/>
          <w:szCs w:val="22"/>
          <w:vertAlign w:val="superscript"/>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For High MassHealth Volume Hospitals,</w:t>
      </w:r>
      <w:r w:rsidR="00054F72" w:rsidRPr="00CF5300">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Payments made on an Out-of-State Transfer Per Diem basis are capped</w:t>
      </w:r>
      <w:r w:rsidR="0015757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in-state method.</w:t>
      </w:r>
      <w:r w:rsidR="008840DB" w:rsidRPr="00A7787D">
        <w:rPr>
          <w:rFonts w:ascii="Times New Roman" w:eastAsia="Calibri" w:hAnsi="Times New Roman"/>
          <w:spacing w:val="0"/>
          <w:sz w:val="22"/>
          <w:szCs w:val="22"/>
        </w:rPr>
        <w:t xml:space="preserve"> </w:t>
      </w:r>
    </w:p>
    <w:p w14:paraId="7BA785C9" w14:textId="77777777" w:rsidR="008840DB" w:rsidRPr="00A7787D"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14:paraId="7B252CFE" w14:textId="77777777" w:rsidR="00157571" w:rsidRPr="004046C4" w:rsidRDefault="00157571" w:rsidP="004046C4">
      <w:pPr>
        <w:spacing w:after="200" w:line="276" w:lineRule="auto"/>
        <w:contextualSpacing/>
        <w:rPr>
          <w:rFonts w:ascii="Times New Roman" w:eastAsia="Calibri" w:hAnsi="Times New Roman"/>
          <w:spacing w:val="0"/>
          <w:sz w:val="22"/>
          <w:szCs w:val="22"/>
        </w:rPr>
      </w:pPr>
    </w:p>
    <w:p w14:paraId="5C3C08BA" w14:textId="77777777" w:rsidR="0000724F"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005D44B9">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w:t>
      </w:r>
      <w:r w:rsidR="005D44B9">
        <w:rPr>
          <w:rFonts w:ascii="Times New Roman" w:eastAsia="Calibri" w:hAnsi="Times New Roman"/>
          <w:spacing w:val="0"/>
          <w:sz w:val="22"/>
          <w:szCs w:val="22"/>
        </w:rPr>
        <w:t xml:space="preserve"> </w:t>
      </w:r>
      <w:r w:rsidR="00E416A8" w:rsidRPr="00F15C5B">
        <w:rPr>
          <w:rFonts w:ascii="Times New Roman" w:eastAsia="Calibri" w:hAnsi="Times New Roman"/>
          <w:spacing w:val="0"/>
          <w:sz w:val="22"/>
          <w:szCs w:val="22"/>
        </w:rPr>
        <w:t xml:space="preserve">Instead payment is as described </w:t>
      </w:r>
      <w:r w:rsidR="0014690D">
        <w:rPr>
          <w:rFonts w:ascii="Times New Roman" w:eastAsia="Calibri" w:hAnsi="Times New Roman"/>
          <w:spacing w:val="0"/>
          <w:sz w:val="22"/>
          <w:szCs w:val="22"/>
        </w:rPr>
        <w:t>next</w:t>
      </w:r>
      <w:r w:rsidR="00E416A8" w:rsidRPr="00F15C5B">
        <w:rPr>
          <w:rFonts w:ascii="Times New Roman" w:eastAsia="Calibri" w:hAnsi="Times New Roman"/>
          <w:spacing w:val="0"/>
          <w:sz w:val="22"/>
          <w:szCs w:val="22"/>
        </w:rPr>
        <w:t>.</w:t>
      </w:r>
    </w:p>
    <w:p w14:paraId="0627BC8A" w14:textId="77777777" w:rsidR="0000724F" w:rsidRPr="0000724F"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Default="00157571" w:rsidP="00A32039">
      <w:pPr>
        <w:numPr>
          <w:ilvl w:val="1"/>
          <w:numId w:val="5"/>
        </w:numPr>
        <w:spacing w:after="200" w:line="276" w:lineRule="auto"/>
        <w:contextualSpacing/>
        <w:rPr>
          <w:rFonts w:ascii="Times New Roman" w:eastAsia="Calibri" w:hAnsi="Times New Roman"/>
          <w:spacing w:val="0"/>
          <w:sz w:val="22"/>
          <w:szCs w:val="22"/>
        </w:rPr>
      </w:pPr>
      <w:r w:rsidRPr="0073172C">
        <w:rPr>
          <w:rFonts w:ascii="Times New Roman" w:eastAsia="Calibri" w:hAnsi="Times New Roman"/>
          <w:b/>
          <w:i/>
          <w:spacing w:val="0"/>
          <w:sz w:val="22"/>
          <w:szCs w:val="22"/>
        </w:rPr>
        <w:t>L</w:t>
      </w:r>
      <w:r w:rsidR="000308FC" w:rsidRPr="0073172C">
        <w:rPr>
          <w:rFonts w:ascii="Times New Roman" w:eastAsia="Calibri" w:hAnsi="Times New Roman"/>
          <w:b/>
          <w:i/>
          <w:spacing w:val="0"/>
          <w:sz w:val="22"/>
          <w:szCs w:val="22"/>
        </w:rPr>
        <w:t xml:space="preserve">ong-Acting </w:t>
      </w:r>
      <w:r w:rsidRPr="0073172C">
        <w:rPr>
          <w:rFonts w:ascii="Times New Roman" w:eastAsia="Calibri" w:hAnsi="Times New Roman"/>
          <w:b/>
          <w:i/>
          <w:spacing w:val="0"/>
          <w:sz w:val="22"/>
          <w:szCs w:val="22"/>
        </w:rPr>
        <w:t>R</w:t>
      </w:r>
      <w:r w:rsidR="000308FC" w:rsidRPr="0073172C">
        <w:rPr>
          <w:rFonts w:ascii="Times New Roman" w:eastAsia="Calibri" w:hAnsi="Times New Roman"/>
          <w:b/>
          <w:i/>
          <w:spacing w:val="0"/>
          <w:sz w:val="22"/>
          <w:szCs w:val="22"/>
        </w:rPr>
        <w:t xml:space="preserve">eversible </w:t>
      </w:r>
      <w:r w:rsidRPr="0073172C">
        <w:rPr>
          <w:rFonts w:ascii="Times New Roman" w:eastAsia="Calibri" w:hAnsi="Times New Roman"/>
          <w:b/>
          <w:i/>
          <w:spacing w:val="0"/>
          <w:sz w:val="22"/>
          <w:szCs w:val="22"/>
        </w:rPr>
        <w:t>C</w:t>
      </w:r>
      <w:r w:rsidR="000308FC" w:rsidRPr="0073172C">
        <w:rPr>
          <w:rFonts w:ascii="Times New Roman" w:eastAsia="Calibri" w:hAnsi="Times New Roman"/>
          <w:b/>
          <w:i/>
          <w:spacing w:val="0"/>
          <w:sz w:val="22"/>
          <w:szCs w:val="22"/>
        </w:rPr>
        <w:t>ontraception (LARC</w:t>
      </w:r>
      <w:r w:rsidR="00D6592B" w:rsidRPr="0073172C">
        <w:rPr>
          <w:rFonts w:ascii="Times New Roman" w:eastAsia="Calibri" w:hAnsi="Times New Roman"/>
          <w:b/>
          <w:i/>
          <w:spacing w:val="0"/>
          <w:sz w:val="22"/>
          <w:szCs w:val="22"/>
        </w:rPr>
        <w:t>) d</w:t>
      </w:r>
      <w:r w:rsidRPr="0073172C">
        <w:rPr>
          <w:rFonts w:ascii="Times New Roman" w:eastAsia="Calibri" w:hAnsi="Times New Roman"/>
          <w:b/>
          <w:i/>
          <w:spacing w:val="0"/>
          <w:sz w:val="22"/>
          <w:szCs w:val="22"/>
        </w:rPr>
        <w:t>evice</w:t>
      </w:r>
      <w:r w:rsidR="00D6592B" w:rsidRPr="0073172C">
        <w:rPr>
          <w:rFonts w:ascii="Times New Roman" w:eastAsia="Calibri" w:hAnsi="Times New Roman"/>
          <w:b/>
          <w:i/>
          <w:spacing w:val="0"/>
          <w:sz w:val="22"/>
          <w:szCs w:val="22"/>
        </w:rPr>
        <w:t>s (LARC Device</w:t>
      </w:r>
      <w:r w:rsidR="00FA6139" w:rsidRPr="0073172C">
        <w:rPr>
          <w:rFonts w:ascii="Times New Roman" w:eastAsia="Calibri" w:hAnsi="Times New Roman"/>
          <w:b/>
          <w:i/>
          <w:spacing w:val="0"/>
          <w:sz w:val="22"/>
          <w:szCs w:val="22"/>
        </w:rPr>
        <w:t>s</w:t>
      </w:r>
      <w:r w:rsidR="000308FC" w:rsidRPr="0073172C">
        <w:rPr>
          <w:rFonts w:ascii="Times New Roman" w:eastAsia="Calibri" w:hAnsi="Times New Roman"/>
          <w:b/>
          <w:i/>
          <w:spacing w:val="0"/>
          <w:sz w:val="22"/>
          <w:szCs w:val="22"/>
        </w:rPr>
        <w:t>)</w:t>
      </w:r>
      <w:r w:rsidRPr="0073172C">
        <w:rPr>
          <w:rFonts w:ascii="Times New Roman" w:eastAsia="Calibri" w:hAnsi="Times New Roman"/>
          <w:b/>
          <w:spacing w:val="0"/>
          <w:sz w:val="22"/>
          <w:szCs w:val="22"/>
        </w:rPr>
        <w:t>.</w:t>
      </w:r>
      <w:r w:rsidR="005D44B9" w:rsidRPr="0073172C">
        <w:rPr>
          <w:rFonts w:ascii="Times New Roman" w:eastAsia="Calibri" w:hAnsi="Times New Roman"/>
          <w:b/>
          <w:spacing w:val="0"/>
          <w:sz w:val="22"/>
          <w:szCs w:val="22"/>
        </w:rPr>
        <w:t xml:space="preserve"> </w:t>
      </w:r>
      <w:r w:rsidRPr="0073172C">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Payment will be in accordance with the fee schedule rates for such devices set forth in EOHHS regulations at 101 CMR 317.00 (Medicine).</w:t>
      </w:r>
      <w:r w:rsidR="005D44B9">
        <w:rPr>
          <w:rFonts w:ascii="Times New Roman" w:eastAsia="Calibri" w:hAnsi="Times New Roman"/>
          <w:spacing w:val="0"/>
          <w:sz w:val="22"/>
          <w:szCs w:val="22"/>
        </w:rPr>
        <w:t xml:space="preserve"> </w:t>
      </w:r>
      <w:r w:rsidR="00B55C02" w:rsidRPr="00916344">
        <w:rPr>
          <w:rFonts w:ascii="Times New Roman" w:eastAsia="Calibri" w:hAnsi="Times New Roman"/>
          <w:spacing w:val="0"/>
          <w:sz w:val="22"/>
          <w:szCs w:val="22"/>
        </w:rPr>
        <w:t>LARC Devices are defined specifically as intrauterine devices and contraceptive implants; they do not refer to the procedure itself.</w:t>
      </w:r>
      <w:r w:rsidR="005D44B9">
        <w:rPr>
          <w:rFonts w:ascii="Times New Roman" w:eastAsia="Calibri" w:hAnsi="Times New Roman"/>
          <w:spacing w:val="0"/>
          <w:sz w:val="22"/>
          <w:szCs w:val="22"/>
        </w:rPr>
        <w:t xml:space="preserve"> </w:t>
      </w:r>
    </w:p>
    <w:p w14:paraId="570589BC" w14:textId="77777777" w:rsidR="00916344"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916344" w:rsidRDefault="00582079" w:rsidP="00A32039">
      <w:pPr>
        <w:numPr>
          <w:ilvl w:val="1"/>
          <w:numId w:val="5"/>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APAD Carve-Out Drugs.</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if all MassHealth requirements are met.</w:t>
      </w:r>
      <w:r w:rsidR="005D44B9">
        <w:rPr>
          <w:rFonts w:ascii="Times New Roman" w:eastAsia="Calibri" w:hAnsi="Times New Roman"/>
          <w:spacing w:val="0"/>
          <w:sz w:val="22"/>
          <w:szCs w:val="22"/>
        </w:rPr>
        <w:t xml:space="preserve">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s on the date of service.</w:t>
      </w:r>
    </w:p>
    <w:p w14:paraId="31B0E000" w14:textId="77777777"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916344" w:rsidRDefault="0065460E" w:rsidP="00DB632B">
      <w:pPr>
        <w:pStyle w:val="Heading2"/>
      </w:pPr>
      <w:r w:rsidRPr="00916344">
        <w:t xml:space="preserve">Out-of-State Acute </w:t>
      </w:r>
      <w:r w:rsidR="00C17939">
        <w:t xml:space="preserve">Outpatient </w:t>
      </w:r>
      <w:r w:rsidRPr="00916344">
        <w:t>Hospital Services</w:t>
      </w:r>
    </w:p>
    <w:p w14:paraId="0BBBD36B" w14:textId="77777777" w:rsidR="00E862E7" w:rsidRPr="00A7787D" w:rsidRDefault="00E862E7" w:rsidP="00791D2F">
      <w:pPr>
        <w:spacing w:after="200" w:line="276" w:lineRule="auto"/>
        <w:ind w:left="360"/>
        <w:contextualSpacing/>
        <w:rPr>
          <w:rFonts w:ascii="Times New Roman" w:eastAsia="Calibri" w:hAnsi="Times New Roman"/>
          <w:b/>
          <w:spacing w:val="0"/>
          <w:sz w:val="22"/>
          <w:szCs w:val="22"/>
        </w:rPr>
      </w:pPr>
    </w:p>
    <w:p w14:paraId="3FAA582F" w14:textId="193A8640" w:rsidR="008D7202" w:rsidRPr="00A7787D" w:rsidRDefault="00C17939"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755234">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3800CB">
        <w:rPr>
          <w:rFonts w:ascii="Times New Roman" w:eastAsia="Calibri" w:hAnsi="Times New Roman"/>
          <w:spacing w:val="0"/>
          <w:sz w:val="22"/>
          <w:szCs w:val="22"/>
        </w:rPr>
        <w:t>,</w:t>
      </w:r>
      <w:r w:rsidR="00054DA7">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sidR="00054DA7">
        <w:rPr>
          <w:rFonts w:ascii="Times New Roman" w:eastAsia="Calibri" w:hAnsi="Times New Roman"/>
          <w:spacing w:val="0"/>
          <w:sz w:val="22"/>
          <w:szCs w:val="22"/>
        </w:rPr>
        <w:t xml:space="preserve">s are </w:t>
      </w:r>
      <w:r>
        <w:rPr>
          <w:rFonts w:ascii="Times New Roman" w:eastAsia="Calibri" w:hAnsi="Times New Roman"/>
          <w:spacing w:val="0"/>
          <w:sz w:val="22"/>
          <w:szCs w:val="22"/>
        </w:rPr>
        <w:t xml:space="preserve">generally </w:t>
      </w:r>
      <w:r w:rsidR="00054DA7">
        <w:rPr>
          <w:rFonts w:ascii="Times New Roman" w:eastAsia="Calibri" w:hAnsi="Times New Roman"/>
          <w:spacing w:val="0"/>
          <w:sz w:val="22"/>
          <w:szCs w:val="22"/>
        </w:rPr>
        <w:t>unchanged</w:t>
      </w:r>
      <w:r w:rsidR="00652660">
        <w:rPr>
          <w:rFonts w:ascii="Times New Roman" w:eastAsia="Calibri" w:hAnsi="Times New Roman"/>
          <w:spacing w:val="0"/>
          <w:sz w:val="22"/>
          <w:szCs w:val="22"/>
        </w:rPr>
        <w:t xml:space="preserve"> from </w:t>
      </w:r>
      <w:r w:rsidR="00181DC5">
        <w:rPr>
          <w:rFonts w:ascii="Times New Roman" w:eastAsia="Calibri" w:hAnsi="Times New Roman"/>
          <w:spacing w:val="0"/>
          <w:sz w:val="22"/>
          <w:szCs w:val="22"/>
        </w:rPr>
        <w:t>RY20</w:t>
      </w:r>
      <w:r w:rsidR="00054DA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E862E7">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However, </w:t>
      </w:r>
      <w:r w:rsidR="00B032F0">
        <w:rPr>
          <w:rFonts w:ascii="Times New Roman" w:eastAsia="Calibri" w:hAnsi="Times New Roman"/>
          <w:spacing w:val="0"/>
          <w:sz w:val="22"/>
          <w:szCs w:val="22"/>
        </w:rPr>
        <w:t>as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CF5300">
        <w:rPr>
          <w:rFonts w:ascii="Times New Roman" w:eastAsia="Calibri" w:hAnsi="Times New Roman"/>
          <w:spacing w:val="0"/>
          <w:sz w:val="22"/>
          <w:szCs w:val="22"/>
        </w:rPr>
        <w:t>of this n</w:t>
      </w:r>
      <w:r w:rsidR="008D7202" w:rsidRPr="00A7787D">
        <w:rPr>
          <w:rFonts w:ascii="Times New Roman" w:eastAsia="Calibri" w:hAnsi="Times New Roman"/>
          <w:spacing w:val="0"/>
          <w:sz w:val="22"/>
          <w:szCs w:val="22"/>
        </w:rPr>
        <w:t>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t>
      </w:r>
      <w:r w:rsidR="009D63B2">
        <w:rPr>
          <w:rFonts w:ascii="Times New Roman" w:eastAsia="Calibri" w:hAnsi="Times New Roman"/>
          <w:spacing w:val="0"/>
          <w:sz w:val="22"/>
          <w:szCs w:val="22"/>
        </w:rPr>
        <w:t>are</w:t>
      </w:r>
      <w:r w:rsidR="008D7202" w:rsidRPr="00A7787D">
        <w:rPr>
          <w:rFonts w:ascii="Times New Roman" w:eastAsia="Calibri" w:hAnsi="Times New Roman"/>
          <w:spacing w:val="0"/>
          <w:sz w:val="22"/>
          <w:szCs w:val="22"/>
        </w:rPr>
        <w:t xml:space="preserve"> changing </w:t>
      </w:r>
      <w:r w:rsidR="00EC0ABE">
        <w:rPr>
          <w:rFonts w:ascii="Times New Roman" w:eastAsia="Calibri" w:hAnsi="Times New Roman"/>
          <w:spacing w:val="0"/>
          <w:sz w:val="22"/>
          <w:szCs w:val="22"/>
        </w:rPr>
        <w:t xml:space="preserve">effective with </w:t>
      </w:r>
      <w:r w:rsidR="00181DC5">
        <w:rPr>
          <w:rFonts w:ascii="Times New Roman" w:eastAsia="Calibri" w:hAnsi="Times New Roman"/>
          <w:spacing w:val="0"/>
          <w:sz w:val="22"/>
          <w:szCs w:val="22"/>
        </w:rPr>
        <w:t xml:space="preserve">RY21 </w:t>
      </w:r>
      <w:r w:rsidR="008D7202" w:rsidRPr="00A7787D">
        <w:rPr>
          <w:rFonts w:ascii="Times New Roman" w:eastAsia="Calibri" w:hAnsi="Times New Roman"/>
          <w:spacing w:val="0"/>
          <w:sz w:val="22"/>
          <w:szCs w:val="22"/>
        </w:rPr>
        <w:t xml:space="preserve">(see </w:t>
      </w:r>
      <w:r w:rsidR="008D7202" w:rsidRPr="00CF5300">
        <w:rPr>
          <w:rFonts w:ascii="Times New Roman" w:eastAsia="Calibri" w:hAnsi="Times New Roman"/>
          <w:spacing w:val="0"/>
          <w:sz w:val="22"/>
          <w:szCs w:val="22"/>
        </w:rPr>
        <w:t>Attachment A</w:t>
      </w:r>
      <w:r w:rsidR="008D7202" w:rsidRPr="00A7787D">
        <w:rPr>
          <w:rFonts w:ascii="Times New Roman" w:eastAsia="Calibri" w:hAnsi="Times New Roman"/>
          <w:spacing w:val="0"/>
          <w:sz w:val="22"/>
          <w:szCs w:val="22"/>
        </w:rPr>
        <w:t xml:space="preserve"> to Part I</w:t>
      </w:r>
      <w:r w:rsidR="00CF5300">
        <w:rPr>
          <w:rFonts w:ascii="Times New Roman" w:eastAsia="Calibri" w:hAnsi="Times New Roman"/>
          <w:spacing w:val="0"/>
          <w:sz w:val="22"/>
          <w:szCs w:val="22"/>
        </w:rPr>
        <w:t xml:space="preserve"> of this n</w:t>
      </w:r>
      <w:r w:rsidR="00BD4289" w:rsidRPr="00A7787D">
        <w:rPr>
          <w:rFonts w:ascii="Times New Roman" w:eastAsia="Calibri" w:hAnsi="Times New Roman"/>
          <w:spacing w:val="0"/>
          <w:sz w:val="22"/>
          <w:szCs w:val="22"/>
        </w:rPr>
        <w:t>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14:paraId="0505D247" w14:textId="77777777"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005D44B9">
        <w:rPr>
          <w:rFonts w:ascii="Times New Roman" w:eastAsia="Calibri" w:hAnsi="Times New Roman"/>
          <w:b/>
          <w:spacing w:val="0"/>
          <w:sz w:val="22"/>
          <w:szCs w:val="22"/>
        </w:rPr>
        <w:t xml:space="preserve"> </w:t>
      </w:r>
    </w:p>
    <w:p w14:paraId="4B60A10B" w14:textId="77777777"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w:t>
      </w:r>
      <w:r w:rsidR="00CF5300">
        <w:rPr>
          <w:rFonts w:ascii="Times New Roman" w:eastAsia="Calibri" w:hAnsi="Times New Roman"/>
          <w:spacing w:val="0"/>
          <w:sz w:val="22"/>
          <w:szCs w:val="22"/>
        </w:rPr>
        <w:t>rovided in Section 3 of Part I</w:t>
      </w:r>
      <w:r w:rsidRPr="00A7787D">
        <w:rPr>
          <w:rFonts w:ascii="Times New Roman" w:eastAsia="Calibri" w:hAnsi="Times New Roman"/>
          <w:spacing w:val="0"/>
          <w:sz w:val="22"/>
          <w:szCs w:val="22"/>
        </w:rPr>
        <w:t xml:space="preserve">, </w:t>
      </w:r>
      <w:r w:rsidR="00333E56">
        <w:rPr>
          <w:rFonts w:ascii="Times New Roman" w:eastAsia="Calibri" w:hAnsi="Times New Roman"/>
          <w:spacing w:val="0"/>
          <w:sz w:val="22"/>
          <w:szCs w:val="22"/>
        </w:rPr>
        <w:t xml:space="preserve">and except for APEC-Carve-Out Drugs (as further described </w:t>
      </w:r>
      <w:r w:rsidR="00CF5300">
        <w:rPr>
          <w:rFonts w:ascii="Times New Roman" w:eastAsia="Calibri" w:hAnsi="Times New Roman"/>
          <w:spacing w:val="0"/>
          <w:sz w:val="22"/>
          <w:szCs w:val="22"/>
        </w:rPr>
        <w:t>later in this document</w:t>
      </w:r>
      <w:r w:rsidR="00333E56">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services”), or according to the applicable fee schedules in regulations adopted by EOHHS for services for which in-state acute hospitals are not paid the APEC.</w:t>
      </w:r>
    </w:p>
    <w:p w14:paraId="550F0620" w14:textId="77777777" w:rsidR="00F15C5B" w:rsidRPr="004046C4"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916344"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The Out-of-State APEC is an episode-specific all-inclusive facility payment for all APEC-covered services provided in the episode.</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for each payable episode will </w:t>
      </w:r>
      <w:r w:rsidR="0065460E" w:rsidRPr="00A75594">
        <w:rPr>
          <w:rFonts w:ascii="Times New Roman" w:eastAsia="Calibri" w:hAnsi="Times New Roman"/>
          <w:spacing w:val="0"/>
          <w:sz w:val="22"/>
          <w:szCs w:val="22"/>
        </w:rPr>
        <w:t xml:space="preserve">equal the sum of the episode-specific total </w:t>
      </w:r>
      <w:r w:rsidR="00A75594" w:rsidRPr="00A75594">
        <w:rPr>
          <w:rFonts w:ascii="Times New Roman" w:hAnsi="Times New Roman"/>
          <w:sz w:val="22"/>
          <w:szCs w:val="22"/>
        </w:rPr>
        <w:t>Enhanced Ambulatory Patient Group</w:t>
      </w:r>
      <w:r w:rsidR="00A75594" w:rsidRPr="00916344">
        <w:rPr>
          <w:rFonts w:ascii="Times New Roman" w:eastAsia="Calibri" w:hAnsi="Times New Roman"/>
          <w:spacing w:val="0"/>
          <w:sz w:val="22"/>
          <w:szCs w:val="22"/>
        </w:rPr>
        <w:t xml:space="preserve"> </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EAPG</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 xml:space="preserve"> payment and the APEC outlier component (if applicable).</w:t>
      </w:r>
      <w:r w:rsidR="005D44B9">
        <w:rPr>
          <w:rFonts w:ascii="Times New Roman" w:eastAsia="Calibri" w:hAnsi="Times New Roman"/>
          <w:spacing w:val="0"/>
          <w:sz w:val="22"/>
          <w:szCs w:val="22"/>
        </w:rPr>
        <w:t xml:space="preserve"> </w:t>
      </w:r>
    </w:p>
    <w:p w14:paraId="6B085956" w14:textId="77777777" w:rsidR="0065460E" w:rsidRPr="00A7787D"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5"/>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“MassHealth EAPG weight” is the MassHealth relative weight developed by MassHealth for each unique EAPG.</w:t>
      </w:r>
      <w:r w:rsidR="005D44B9">
        <w:rPr>
          <w:rFonts w:ascii="Times New Roman" w:eastAsia="Calibri" w:hAnsi="Times New Roman"/>
          <w:spacing w:val="0"/>
          <w:sz w:val="22"/>
          <w:szCs w:val="22"/>
        </w:rPr>
        <w:t xml:space="preserve"> </w:t>
      </w:r>
    </w:p>
    <w:p w14:paraId="3A5834EC" w14:textId="77777777" w:rsidR="003B26FD" w:rsidRPr="00D34803" w:rsidRDefault="0065460E" w:rsidP="00A32039">
      <w:pPr>
        <w:numPr>
          <w:ilvl w:val="0"/>
          <w:numId w:val="6"/>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High MassHealth Volume Hospitals,</w:t>
      </w:r>
      <w:r w:rsidR="00054F72" w:rsidRPr="009762B2">
        <w:rPr>
          <w:rFonts w:ascii="Times New Roman" w:eastAsia="Calibri" w:hAnsi="Times New Roman"/>
          <w:spacing w:val="0"/>
          <w:sz w:val="22"/>
          <w:szCs w:val="22"/>
          <w:vertAlign w:val="superscript"/>
        </w:rPr>
        <w:footnoteReference w:id="6"/>
      </w:r>
      <w:r w:rsidRPr="009762B2">
        <w:rPr>
          <w:rFonts w:ascii="Times New Roman" w:eastAsia="Calibri" w:hAnsi="Times New Roman"/>
          <w:spacing w:val="0"/>
          <w:sz w:val="22"/>
          <w:szCs w:val="22"/>
          <w:vertAlign w:val="superscript"/>
        </w:rPr>
        <w:t xml:space="preserve"> </w:t>
      </w:r>
      <w:r w:rsidRPr="00A7787D">
        <w:rPr>
          <w:rFonts w:ascii="Times New Roman" w:eastAsia="Calibri" w:hAnsi="Times New Roman"/>
          <w:spacing w:val="0"/>
          <w:sz w:val="22"/>
          <w:szCs w:val="22"/>
        </w:rPr>
        <w:t>the cost-to-charge ratio is hospital-specific; for all other out-of-</w:t>
      </w:r>
      <w:r w:rsidRPr="00A7787D">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Pr>
          <w:rFonts w:ascii="Times New Roman" w:eastAsia="Calibri" w:hAnsi="Times New Roman"/>
          <w:spacing w:val="0"/>
          <w:sz w:val="22"/>
          <w:szCs w:val="22"/>
        </w:rPr>
        <w:t xml:space="preserve"> </w:t>
      </w:r>
    </w:p>
    <w:p w14:paraId="64F3252A" w14:textId="77777777" w:rsidR="00F15C5B"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086347" w:rsidRDefault="00E841B2" w:rsidP="00A32039">
      <w:pPr>
        <w:numPr>
          <w:ilvl w:val="0"/>
          <w:numId w:val="14"/>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sidRPr="009762B2">
        <w:rPr>
          <w:rFonts w:ascii="Times New Roman" w:eastAsia="Calibri" w:hAnsi="Times New Roman"/>
          <w:spacing w:val="0"/>
          <w:sz w:val="22"/>
          <w:szCs w:val="22"/>
          <w:vertAlign w:val="superscript"/>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Pr>
          <w:rFonts w:ascii="Times New Roman" w:eastAsia="Calibri" w:hAnsi="Times New Roman"/>
          <w:spacing w:val="0"/>
          <w:sz w:val="22"/>
          <w:szCs w:val="22"/>
        </w:rPr>
        <w:t xml:space="preserve"> </w:t>
      </w:r>
      <w:r w:rsidRPr="00916344">
        <w:rPr>
          <w:rFonts w:ascii="Times New Roman" w:eastAsia="Calibri" w:hAnsi="Times New Roman"/>
          <w:spacing w:val="0"/>
          <w:sz w:val="22"/>
          <w:szCs w:val="22"/>
        </w:rPr>
        <w:t xml:space="preserve">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14:paraId="28F2AC4C" w14:textId="77777777"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086347" w:rsidRDefault="0065460E" w:rsidP="00DB632B">
      <w:pPr>
        <w:pStyle w:val="Heading2"/>
      </w:pPr>
      <w:r w:rsidRPr="00086347">
        <w:t>Services Not Available In-State</w:t>
      </w:r>
    </w:p>
    <w:p w14:paraId="2F31A5F1" w14:textId="77777777" w:rsidR="0065460E" w:rsidRPr="00A7787D" w:rsidRDefault="0065460E" w:rsidP="0065460E">
      <w:pPr>
        <w:spacing w:line="276" w:lineRule="auto"/>
        <w:rPr>
          <w:rFonts w:ascii="Times New Roman" w:eastAsia="Calibri" w:hAnsi="Times New Roman"/>
          <w:b/>
          <w:spacing w:val="0"/>
          <w:sz w:val="22"/>
          <w:szCs w:val="22"/>
        </w:rPr>
      </w:pPr>
    </w:p>
    <w:p w14:paraId="1EB7E41F" w14:textId="77777777"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Default="00597757" w:rsidP="00B05A41">
      <w:pPr>
        <w:spacing w:after="200" w:line="276" w:lineRule="auto"/>
        <w:jc w:val="center"/>
        <w:rPr>
          <w:rFonts w:ascii="Times New Roman" w:eastAsia="Calibri" w:hAnsi="Times New Roman"/>
          <w:spacing w:val="0"/>
          <w:sz w:val="22"/>
          <w:szCs w:val="22"/>
        </w:rPr>
        <w:sectPr w:rsidR="00597757" w:rsidSect="004E22C7">
          <w:headerReference w:type="default" r:id="rId10"/>
          <w:footerReference w:type="default" r:id="rId11"/>
          <w:footerReference w:type="first" r:id="rId12"/>
          <w:pgSz w:w="12240" w:h="15840"/>
          <w:pgMar w:top="1152" w:right="1152" w:bottom="1008" w:left="1008" w:header="720" w:footer="432" w:gutter="0"/>
          <w:cols w:space="720"/>
          <w:titlePg/>
          <w:docGrid w:linePitch="360"/>
        </w:sectPr>
      </w:pPr>
    </w:p>
    <w:p w14:paraId="05737FC6" w14:textId="77777777" w:rsidR="00B05A41"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u w:val="single"/>
        </w:rPr>
        <w:lastRenderedPageBreak/>
        <w:t>ATTACHMENT A</w:t>
      </w:r>
    </w:p>
    <w:p w14:paraId="3AF98837" w14:textId="77777777"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14:paraId="11EB676F" w14:textId="11E07788"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005D44B9">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w:t>
      </w:r>
      <w:r w:rsidR="00181DC5">
        <w:rPr>
          <w:rFonts w:ascii="Arial" w:eastAsia="Calibri" w:hAnsi="Arial" w:cs="Arial"/>
          <w:b/>
          <w:color w:val="FF0000"/>
          <w:spacing w:val="0"/>
          <w:sz w:val="20"/>
        </w:rPr>
        <w:t>20</w:t>
      </w:r>
    </w:p>
    <w:p w14:paraId="0EEBC706" w14:textId="77777777" w:rsidR="0065460E" w:rsidRPr="005818AE"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7F8D1A5" w:rsidR="00F574C2" w:rsidRPr="009F3B46" w:rsidRDefault="00390417" w:rsidP="00E60FB6">
            <w:pPr>
              <w:rPr>
                <w:rFonts w:ascii="Arial" w:hAnsi="Arial" w:cs="Arial"/>
                <w:b/>
                <w:spacing w:val="0"/>
                <w:sz w:val="18"/>
                <w:szCs w:val="18"/>
              </w:rPr>
            </w:pPr>
            <w:r>
              <w:rPr>
                <w:rFonts w:ascii="Arial" w:eastAsia="Calibri" w:hAnsi="Arial" w:cs="Arial"/>
                <w:spacing w:val="0"/>
                <w:sz w:val="20"/>
                <w:szCs w:val="22"/>
              </w:rPr>
              <w:t>Here</w:t>
            </w:r>
            <w:r w:rsidR="001B37E7">
              <w:rPr>
                <w:rFonts w:ascii="Arial" w:eastAsia="Calibri" w:hAnsi="Arial" w:cs="Arial"/>
                <w:spacing w:val="0"/>
                <w:sz w:val="20"/>
                <w:szCs w:val="22"/>
              </w:rPr>
              <w:t xml:space="preserve"> are the </w:t>
            </w:r>
            <w:r w:rsidR="001B37E7" w:rsidRPr="000D13E8">
              <w:rPr>
                <w:rFonts w:ascii="Arial" w:eastAsia="Calibri" w:hAnsi="Arial" w:cs="Arial"/>
                <w:spacing w:val="0"/>
                <w:sz w:val="20"/>
                <w:szCs w:val="22"/>
              </w:rPr>
              <w:t xml:space="preserve">out-of-state acute </w:t>
            </w:r>
            <w:r w:rsidR="00C17939">
              <w:rPr>
                <w:rFonts w:ascii="Arial" w:eastAsia="Calibri" w:hAnsi="Arial" w:cs="Arial"/>
                <w:spacing w:val="0"/>
                <w:sz w:val="20"/>
                <w:szCs w:val="22"/>
              </w:rPr>
              <w:t xml:space="preserve">inpatient </w:t>
            </w:r>
            <w:r w:rsidR="001B37E7" w:rsidRPr="000D13E8">
              <w:rPr>
                <w:rFonts w:ascii="Arial" w:eastAsia="Calibri" w:hAnsi="Arial" w:cs="Arial"/>
                <w:spacing w:val="0"/>
                <w:sz w:val="20"/>
                <w:szCs w:val="22"/>
              </w:rPr>
              <w:t xml:space="preserve">hospital rates/rate components </w:t>
            </w:r>
            <w:r w:rsidR="001B37E7">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 xml:space="preserve">for </w:t>
            </w:r>
            <w:r w:rsidR="00181DC5">
              <w:rPr>
                <w:rFonts w:ascii="Arial" w:eastAsia="Calibri" w:hAnsi="Arial" w:cs="Arial"/>
                <w:spacing w:val="0"/>
                <w:sz w:val="20"/>
                <w:szCs w:val="22"/>
              </w:rPr>
              <w:t>RY21</w:t>
            </w:r>
            <w:r w:rsidR="00074257">
              <w:rPr>
                <w:rFonts w:ascii="Arial" w:eastAsia="Calibri" w:hAnsi="Arial" w:cs="Arial"/>
                <w:spacing w:val="0"/>
                <w:sz w:val="20"/>
                <w:szCs w:val="22"/>
              </w:rPr>
              <w:t>.</w:t>
            </w:r>
            <w:r w:rsidR="005D44B9">
              <w:rPr>
                <w:rFonts w:ascii="Arial" w:eastAsia="Calibri" w:hAnsi="Arial" w:cs="Arial"/>
                <w:spacing w:val="0"/>
                <w:sz w:val="20"/>
                <w:szCs w:val="22"/>
              </w:rPr>
              <w:t xml:space="preserve"> </w:t>
            </w:r>
            <w:r w:rsidR="001B37E7"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001B37E7" w:rsidRPr="000D13E8">
              <w:rPr>
                <w:rFonts w:ascii="Arial" w:eastAsia="Calibri" w:hAnsi="Arial" w:cs="Arial"/>
                <w:spacing w:val="0"/>
                <w:sz w:val="20"/>
                <w:szCs w:val="22"/>
              </w:rPr>
              <w:t xml:space="preser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r w:rsidR="006D0863">
              <w:rPr>
                <w:rFonts w:ascii="Arial" w:eastAsia="Calibri" w:hAnsi="Arial" w:cs="Arial"/>
                <w:spacing w:val="0"/>
                <w:sz w:val="20"/>
              </w:rPr>
              <w:t xml:space="preserve"> </w:t>
            </w:r>
            <w:r w:rsidR="0065460E"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14:paraId="350D9BC2" w14:textId="0D351EAA" w:rsidR="0065460E" w:rsidRPr="009F3B46" w:rsidRDefault="00F574C2" w:rsidP="00E60FB6">
            <w:pP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 xml:space="preserve">Rate Year </w:t>
            </w:r>
            <w:r w:rsidR="00181DC5" w:rsidRPr="009F3B46">
              <w:rPr>
                <w:rFonts w:ascii="Arial" w:hAnsi="Arial" w:cs="Arial"/>
                <w:b/>
                <w:spacing w:val="0"/>
                <w:sz w:val="18"/>
                <w:szCs w:val="18"/>
              </w:rPr>
              <w:t>20</w:t>
            </w:r>
            <w:r w:rsidR="00181DC5">
              <w:rPr>
                <w:rFonts w:ascii="Arial" w:hAnsi="Arial" w:cs="Arial"/>
                <w:b/>
                <w:spacing w:val="0"/>
                <w:sz w:val="18"/>
                <w:szCs w:val="18"/>
              </w:rPr>
              <w:t>21</w:t>
            </w:r>
            <w:r w:rsidR="0025314F" w:rsidRPr="009F3B46">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9F3B46" w:rsidRDefault="002208E1">
            <w:pPr>
              <w:rPr>
                <w:rFonts w:ascii="Arial" w:hAnsi="Arial" w:cs="Arial"/>
                <w:b/>
                <w:spacing w:val="0"/>
                <w:sz w:val="18"/>
                <w:szCs w:val="18"/>
              </w:rPr>
            </w:pPr>
          </w:p>
          <w:p w14:paraId="07A504B1" w14:textId="77777777" w:rsidR="00DD7BC2" w:rsidRPr="009F3B46" w:rsidRDefault="0065460E">
            <w:pPr>
              <w:rPr>
                <w:rFonts w:ascii="Arial" w:hAnsi="Arial" w:cs="Arial"/>
                <w:b/>
                <w:spacing w:val="0"/>
                <w:sz w:val="18"/>
                <w:szCs w:val="18"/>
              </w:rPr>
            </w:pPr>
            <w:r w:rsidRPr="009F3B46">
              <w:rPr>
                <w:rFonts w:ascii="Arial" w:hAnsi="Arial" w:cs="Arial"/>
                <w:b/>
                <w:spacing w:val="0"/>
                <w:sz w:val="18"/>
                <w:szCs w:val="18"/>
              </w:rPr>
              <w:t>Other</w:t>
            </w:r>
          </w:p>
          <w:p w14:paraId="60B1B006" w14:textId="77777777" w:rsidR="00D60D6C" w:rsidRPr="009F3B46" w:rsidRDefault="00D60D6C">
            <w:pPr>
              <w:rPr>
                <w:rFonts w:ascii="Arial" w:hAnsi="Arial" w:cs="Arial"/>
                <w:b/>
                <w:spacing w:val="0"/>
                <w:sz w:val="18"/>
                <w:szCs w:val="18"/>
              </w:rPr>
            </w:pPr>
          </w:p>
          <w:p w14:paraId="1BBAB916" w14:textId="49E62331" w:rsidR="0065460E" w:rsidRPr="009F3B46" w:rsidRDefault="006C4033" w:rsidP="00DD5883">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w:t>
            </w:r>
            <w:r w:rsidR="00181DC5">
              <w:rPr>
                <w:rFonts w:ascii="Arial" w:hAnsi="Arial" w:cs="Arial"/>
                <w:b/>
                <w:spacing w:val="0"/>
                <w:sz w:val="16"/>
                <w:szCs w:val="16"/>
              </w:rPr>
              <w:t>RY21</w:t>
            </w:r>
            <w:r w:rsidR="00717055" w:rsidRPr="009F3B46">
              <w:rPr>
                <w:rFonts w:ascii="Arial" w:hAnsi="Arial" w:cs="Arial"/>
                <w:b/>
                <w:spacing w:val="0"/>
                <w:sz w:val="16"/>
                <w:szCs w:val="16"/>
              </w:rPr>
              <w:t>)</w:t>
            </w:r>
          </w:p>
        </w:tc>
      </w:tr>
      <w:tr w:rsidR="00E038EE" w:rsidRPr="00FF17CA" w14:paraId="36A00BD8" w14:textId="77777777" w:rsidTr="002811F2">
        <w:tc>
          <w:tcPr>
            <w:tcW w:w="1170" w:type="dxa"/>
            <w:tcBorders>
              <w:bottom w:val="thinThickLargeGap" w:sz="24" w:space="0" w:color="auto"/>
            </w:tcBorders>
            <w:shd w:val="clear" w:color="auto" w:fill="BFBFBF"/>
          </w:tcPr>
          <w:p w14:paraId="7B5F7E91" w14:textId="77777777" w:rsidR="0065460E" w:rsidRPr="00B05A41"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1.</w:t>
            </w:r>
          </w:p>
          <w:p w14:paraId="7DB5D180"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2.</w:t>
            </w:r>
          </w:p>
          <w:p w14:paraId="19C08551"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C45FC0" w:rsidRDefault="0065460E" w:rsidP="00E60FB6">
            <w:pPr>
              <w:rPr>
                <w:rFonts w:ascii="Arial" w:hAnsi="Arial" w:cs="Arial"/>
                <w:spacing w:val="0"/>
                <w:sz w:val="16"/>
                <w:szCs w:val="16"/>
              </w:rPr>
            </w:pPr>
          </w:p>
          <w:p w14:paraId="3A3E247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C45FC0" w:rsidRDefault="0065460E" w:rsidP="00E60FB6">
            <w:pPr>
              <w:rPr>
                <w:rFonts w:ascii="Arial" w:hAnsi="Arial" w:cs="Arial"/>
                <w:spacing w:val="0"/>
                <w:sz w:val="16"/>
                <w:szCs w:val="16"/>
              </w:rPr>
            </w:pPr>
          </w:p>
          <w:p w14:paraId="099C0DC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9F3B46" w:rsidRDefault="0065460E" w:rsidP="00E60FB6">
            <w:pPr>
              <w:rPr>
                <w:rFonts w:ascii="Arial" w:hAnsi="Arial" w:cs="Arial"/>
                <w:spacing w:val="0"/>
                <w:sz w:val="16"/>
                <w:szCs w:val="16"/>
              </w:rPr>
            </w:pPr>
          </w:p>
          <w:p w14:paraId="4E5D1ABB"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Marginal Cost Factor</w:t>
            </w:r>
          </w:p>
          <w:p w14:paraId="64D7621B" w14:textId="77777777" w:rsidR="0065460E" w:rsidRPr="009F3B46"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9F3B46" w:rsidRDefault="0065460E">
            <w:pPr>
              <w:rPr>
                <w:rFonts w:ascii="Arial" w:hAnsi="Arial" w:cs="Arial"/>
                <w:spacing w:val="0"/>
                <w:sz w:val="16"/>
                <w:szCs w:val="16"/>
              </w:rPr>
            </w:pPr>
          </w:p>
          <w:p w14:paraId="42F31B8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9F3B46" w:rsidRDefault="0065460E" w:rsidP="00E60FB6">
            <w:pPr>
              <w:rPr>
                <w:rFonts w:ascii="Arial" w:hAnsi="Arial" w:cs="Arial"/>
                <w:spacing w:val="0"/>
                <w:sz w:val="16"/>
                <w:szCs w:val="16"/>
              </w:rPr>
            </w:pPr>
          </w:p>
          <w:p w14:paraId="66BC21C9"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9F3B46" w:rsidRDefault="0065460E" w:rsidP="00E60FB6">
            <w:pPr>
              <w:rPr>
                <w:rFonts w:ascii="Arial" w:hAnsi="Arial" w:cs="Arial"/>
                <w:spacing w:val="0"/>
                <w:sz w:val="16"/>
                <w:szCs w:val="16"/>
              </w:rPr>
            </w:pPr>
          </w:p>
          <w:p w14:paraId="0AD48642" w14:textId="77777777" w:rsidR="0065460E" w:rsidRPr="009F3B46" w:rsidRDefault="0065460E" w:rsidP="00E60FB6">
            <w:pP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9F3B46" w:rsidRDefault="0065460E" w:rsidP="00E60FB6">
            <w:pPr>
              <w:rPr>
                <w:rFonts w:ascii="Arial" w:hAnsi="Arial" w:cs="Arial"/>
                <w:spacing w:val="0"/>
                <w:sz w:val="16"/>
                <w:szCs w:val="16"/>
              </w:rPr>
            </w:pPr>
          </w:p>
          <w:p w14:paraId="2D65F1E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Out-of-State Psych</w:t>
            </w:r>
          </w:p>
          <w:p w14:paraId="3AFCF1FF"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Per Diem</w:t>
            </w:r>
          </w:p>
          <w:p w14:paraId="14DC9264" w14:textId="77777777" w:rsidR="0065460E" w:rsidRPr="009F3B46" w:rsidRDefault="0065460E" w:rsidP="00E60FB6">
            <w:pPr>
              <w:rPr>
                <w:rFonts w:ascii="Arial" w:hAnsi="Arial" w:cs="Arial"/>
                <w:spacing w:val="0"/>
                <w:sz w:val="16"/>
                <w:szCs w:val="16"/>
                <w:u w:val="single"/>
              </w:rPr>
            </w:pPr>
          </w:p>
          <w:p w14:paraId="6CE8B621" w14:textId="77777777" w:rsidR="0065460E" w:rsidRPr="009F3B46" w:rsidRDefault="0065460E" w:rsidP="00E60FB6">
            <w:pPr>
              <w:rPr>
                <w:rFonts w:ascii="Arial" w:hAnsi="Arial" w:cs="Arial"/>
                <w:spacing w:val="0"/>
                <w:sz w:val="16"/>
                <w:szCs w:val="16"/>
              </w:rPr>
            </w:pPr>
          </w:p>
        </w:tc>
      </w:tr>
      <w:tr w:rsidR="00912589" w:rsidRPr="00FF17CA" w14:paraId="1D32A7B5" w14:textId="77777777" w:rsidTr="002811F2">
        <w:trPr>
          <w:trHeight w:val="2671"/>
        </w:trPr>
        <w:tc>
          <w:tcPr>
            <w:tcW w:w="1170" w:type="dxa"/>
            <w:tcBorders>
              <w:top w:val="thinThickLargeGap" w:sz="24" w:space="0" w:color="auto"/>
            </w:tcBorders>
            <w:shd w:val="clear" w:color="auto" w:fill="auto"/>
          </w:tcPr>
          <w:p w14:paraId="34F3410D" w14:textId="77777777" w:rsidR="00912589" w:rsidRPr="009F3B46" w:rsidRDefault="00912589">
            <w:pPr>
              <w:rPr>
                <w:rFonts w:ascii="Arial" w:hAnsi="Arial" w:cs="Arial"/>
                <w:spacing w:val="0"/>
                <w:sz w:val="16"/>
                <w:szCs w:val="16"/>
              </w:rPr>
            </w:pPr>
          </w:p>
          <w:p w14:paraId="7313528E" w14:textId="77777777" w:rsidR="00912589" w:rsidRPr="009F3B46" w:rsidRDefault="00912589">
            <w:pPr>
              <w:rPr>
                <w:rFonts w:ascii="Arial" w:hAnsi="Arial" w:cs="Arial"/>
                <w:spacing w:val="0"/>
                <w:sz w:val="16"/>
                <w:szCs w:val="16"/>
              </w:rPr>
            </w:pPr>
            <w:r w:rsidRPr="009F3B46">
              <w:rPr>
                <w:rFonts w:ascii="Arial" w:hAnsi="Arial" w:cs="Arial"/>
                <w:b/>
                <w:color w:val="FF0000"/>
                <w:spacing w:val="0"/>
                <w:sz w:val="16"/>
                <w:szCs w:val="16"/>
              </w:rPr>
              <w:t>High MassHealth Volume Hospitals:</w:t>
            </w:r>
          </w:p>
          <w:p w14:paraId="475312B0" w14:textId="77777777" w:rsidR="00912589" w:rsidRPr="009F3B46" w:rsidRDefault="00912589">
            <w:pPr>
              <w:rPr>
                <w:rFonts w:ascii="Arial" w:hAnsi="Arial" w:cs="Arial"/>
                <w:spacing w:val="0"/>
                <w:sz w:val="16"/>
                <w:szCs w:val="16"/>
              </w:rPr>
            </w:pPr>
          </w:p>
          <w:p w14:paraId="5900C294"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Rhode Island Hospital</w:t>
            </w:r>
          </w:p>
          <w:p w14:paraId="0D357D0A" w14:textId="77777777" w:rsidR="00912589" w:rsidRPr="009F3B46" w:rsidRDefault="00912589">
            <w:pPr>
              <w:rPr>
                <w:rFonts w:ascii="Arial" w:hAnsi="Arial" w:cs="Arial"/>
                <w:i/>
                <w:spacing w:val="0"/>
                <w:sz w:val="16"/>
                <w:szCs w:val="16"/>
              </w:rPr>
            </w:pPr>
          </w:p>
          <w:p w14:paraId="580A90DE" w14:textId="77777777" w:rsidR="00912589" w:rsidRPr="009F3B46" w:rsidRDefault="00912589">
            <w:pPr>
              <w:rPr>
                <w:rFonts w:ascii="Arial" w:hAnsi="Arial" w:cs="Arial"/>
                <w:i/>
                <w:spacing w:val="0"/>
                <w:sz w:val="16"/>
                <w:szCs w:val="16"/>
              </w:rPr>
            </w:pPr>
          </w:p>
          <w:p w14:paraId="2864833F"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14:paraId="330BBF43" w14:textId="77777777" w:rsidR="00912589" w:rsidRPr="009F3B46"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2487D50B" w14:textId="77777777" w:rsidR="00B535EE" w:rsidRDefault="00912589" w:rsidP="00B535EE">
            <w:pPr>
              <w:spacing w:before="108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11,411.23</w:t>
            </w:r>
          </w:p>
          <w:p w14:paraId="3A6B3E3D" w14:textId="0A04CCD5" w:rsidR="00912589" w:rsidRPr="000B3E67" w:rsidRDefault="00912589" w:rsidP="00B535EE">
            <w:pPr>
              <w:spacing w:before="76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11,411.23</w:t>
            </w:r>
          </w:p>
        </w:tc>
        <w:tc>
          <w:tcPr>
            <w:tcW w:w="1170" w:type="dxa"/>
            <w:tcBorders>
              <w:top w:val="thinThickLargeGap" w:sz="24" w:space="0" w:color="auto"/>
            </w:tcBorders>
            <w:shd w:val="clear" w:color="auto" w:fill="auto"/>
          </w:tcPr>
          <w:p w14:paraId="53ECB576" w14:textId="77777777" w:rsidR="00B549B8" w:rsidRDefault="00912589" w:rsidP="00B549B8">
            <w:pPr>
              <w:spacing w:before="1080"/>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p w14:paraId="5685A818" w14:textId="3AFA553F" w:rsidR="00912589" w:rsidRPr="000B3E67" w:rsidRDefault="00912589" w:rsidP="00B549B8">
            <w:pPr>
              <w:spacing w:before="760"/>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tc>
        <w:tc>
          <w:tcPr>
            <w:tcW w:w="1080" w:type="dxa"/>
            <w:tcBorders>
              <w:top w:val="thinThickLargeGap" w:sz="24" w:space="0" w:color="auto"/>
            </w:tcBorders>
            <w:shd w:val="clear" w:color="auto" w:fill="auto"/>
          </w:tcPr>
          <w:p w14:paraId="17F1249A" w14:textId="77777777" w:rsidR="009E640E" w:rsidRDefault="00912589" w:rsidP="009E640E">
            <w:pPr>
              <w:spacing w:before="108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p w14:paraId="5081F3A4" w14:textId="1915E670" w:rsidR="00912589" w:rsidRPr="000B3E67" w:rsidRDefault="00912589" w:rsidP="009E640E">
            <w:pPr>
              <w:spacing w:before="76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tc>
        <w:tc>
          <w:tcPr>
            <w:tcW w:w="1080" w:type="dxa"/>
            <w:tcBorders>
              <w:top w:val="thinThickLargeGap" w:sz="24" w:space="0" w:color="auto"/>
            </w:tcBorders>
            <w:shd w:val="clear" w:color="auto" w:fill="auto"/>
          </w:tcPr>
          <w:p w14:paraId="7E24E2EF" w14:textId="77777777" w:rsidR="00912589" w:rsidRPr="000B3E67" w:rsidRDefault="00912589" w:rsidP="00463492">
            <w:pPr>
              <w:spacing w:before="1080"/>
              <w:rPr>
                <w:rFonts w:ascii="Arial" w:hAnsi="Arial" w:cs="Arial"/>
                <w:spacing w:val="0"/>
                <w:sz w:val="16"/>
                <w:szCs w:val="16"/>
              </w:rPr>
            </w:pPr>
            <w:r w:rsidRPr="000B3E67">
              <w:rPr>
                <w:rFonts w:ascii="Arial" w:hAnsi="Arial" w:cs="Arial"/>
                <w:spacing w:val="0"/>
                <w:sz w:val="16"/>
                <w:szCs w:val="16"/>
              </w:rPr>
              <w:t xml:space="preserve">See </w:t>
            </w:r>
          </w:p>
          <w:p w14:paraId="2ABEB744" w14:textId="71897A4D" w:rsidR="00463492" w:rsidRDefault="00912589" w:rsidP="00463492">
            <w:pPr>
              <w:rPr>
                <w:rFonts w:ascii="Arial" w:hAnsi="Arial" w:cs="Arial"/>
                <w:spacing w:val="0"/>
                <w:sz w:val="16"/>
                <w:szCs w:val="16"/>
              </w:rPr>
            </w:pPr>
            <w:r w:rsidRPr="000B3E67">
              <w:rPr>
                <w:rFonts w:ascii="Arial" w:hAnsi="Arial" w:cs="Arial"/>
                <w:spacing w:val="0"/>
                <w:sz w:val="16"/>
                <w:szCs w:val="16"/>
              </w:rPr>
              <w:t>Chart C*</w:t>
            </w:r>
          </w:p>
          <w:p w14:paraId="3769C877" w14:textId="4AB110BD" w:rsidR="00912589" w:rsidRPr="000B3E67" w:rsidRDefault="00912589" w:rsidP="00463492">
            <w:pPr>
              <w:spacing w:before="560"/>
              <w:rPr>
                <w:rFonts w:ascii="Arial" w:hAnsi="Arial" w:cs="Arial"/>
                <w:spacing w:val="0"/>
                <w:sz w:val="16"/>
                <w:szCs w:val="16"/>
              </w:rPr>
            </w:pPr>
            <w:r w:rsidRPr="000B3E67">
              <w:rPr>
                <w:rFonts w:ascii="Arial" w:hAnsi="Arial" w:cs="Arial"/>
                <w:spacing w:val="0"/>
                <w:sz w:val="16"/>
                <w:szCs w:val="16"/>
              </w:rPr>
              <w:t>See</w:t>
            </w:r>
          </w:p>
          <w:p w14:paraId="703C3DE4"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0B3E67" w:rsidRDefault="006D0863" w:rsidP="00944206">
            <w:pPr>
              <w:spacing w:before="1080"/>
              <w:rPr>
                <w:rFonts w:ascii="Arial" w:hAnsi="Arial" w:cs="Arial"/>
                <w:spacing w:val="0"/>
                <w:sz w:val="16"/>
                <w:szCs w:val="16"/>
              </w:rPr>
            </w:pPr>
            <w:r w:rsidRPr="000B3E67">
              <w:rPr>
                <w:rFonts w:ascii="Arial" w:hAnsi="Arial" w:cs="Arial"/>
                <w:spacing w:val="0"/>
                <w:sz w:val="16"/>
                <w:szCs w:val="16"/>
              </w:rPr>
              <w:t>60</w:t>
            </w:r>
            <w:r w:rsidR="00912589" w:rsidRPr="000B3E67">
              <w:rPr>
                <w:rFonts w:ascii="Arial" w:hAnsi="Arial" w:cs="Arial"/>
                <w:spacing w:val="0"/>
                <w:sz w:val="16"/>
                <w:szCs w:val="16"/>
              </w:rPr>
              <w:t>%</w:t>
            </w:r>
          </w:p>
          <w:p w14:paraId="1AD47AC9" w14:textId="77777777" w:rsidR="00912589" w:rsidRPr="000B3E67" w:rsidRDefault="006D0863" w:rsidP="00944206">
            <w:pPr>
              <w:spacing w:before="760"/>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77777777" w:rsidR="00912589" w:rsidRPr="000B3E67" w:rsidRDefault="00D161BC" w:rsidP="009C0BBF">
            <w:pPr>
              <w:spacing w:before="1080"/>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6.20</w:t>
            </w:r>
            <w:r w:rsidR="00912589" w:rsidRPr="000B3E67">
              <w:rPr>
                <w:rFonts w:ascii="Arial" w:hAnsi="Arial" w:cs="Arial"/>
                <w:spacing w:val="0"/>
                <w:sz w:val="16"/>
                <w:szCs w:val="16"/>
              </w:rPr>
              <w:t>%</w:t>
            </w:r>
          </w:p>
          <w:p w14:paraId="1A0BE97B" w14:textId="77777777" w:rsidR="00912589" w:rsidRPr="000B3E67" w:rsidRDefault="00915333" w:rsidP="009C0BBF">
            <w:pPr>
              <w:spacing w:before="760"/>
              <w:rPr>
                <w:rFonts w:ascii="Arial" w:hAnsi="Arial" w:cs="Arial"/>
                <w:spacing w:val="0"/>
                <w:sz w:val="16"/>
                <w:szCs w:val="16"/>
              </w:rPr>
            </w:pPr>
            <w:r w:rsidRPr="000B3E67">
              <w:rPr>
                <w:rFonts w:ascii="Arial" w:hAnsi="Arial" w:cs="Arial"/>
                <w:spacing w:val="0"/>
                <w:sz w:val="16"/>
                <w:szCs w:val="16"/>
              </w:rPr>
              <w:t>4</w:t>
            </w:r>
            <w:r w:rsidR="006D0863" w:rsidRPr="000B3E67">
              <w:rPr>
                <w:rFonts w:ascii="Arial" w:hAnsi="Arial" w:cs="Arial"/>
                <w:spacing w:val="0"/>
                <w:sz w:val="16"/>
                <w:szCs w:val="16"/>
              </w:rPr>
              <w:t>2.49</w:t>
            </w:r>
            <w:r w:rsidR="00912589" w:rsidRPr="000B3E67">
              <w:rPr>
                <w:rFonts w:ascii="Arial" w:hAnsi="Arial" w:cs="Arial"/>
                <w:spacing w:val="0"/>
                <w:sz w:val="16"/>
                <w:szCs w:val="16"/>
              </w:rPr>
              <w:t>%</w:t>
            </w:r>
          </w:p>
          <w:p w14:paraId="5608E55B" w14:textId="77777777" w:rsidR="00912589" w:rsidRPr="000B3E67"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00195DBD" w14:textId="1810F0CE" w:rsidR="00912589" w:rsidRPr="000B3E67" w:rsidRDefault="00912589" w:rsidP="00077893">
            <w:pPr>
              <w:spacing w:before="108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617755EF" w14:textId="6837C72E" w:rsidR="00B77536" w:rsidRPr="000B3E67" w:rsidRDefault="00912589" w:rsidP="00077893">
            <w:pPr>
              <w:spacing w:before="76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15FB088F" w14:textId="3A28994D" w:rsidR="00912589" w:rsidRPr="000B3E67" w:rsidRDefault="00912589">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14:paraId="37CE62AC" w14:textId="77777777" w:rsidR="00912589" w:rsidRPr="009F3B46" w:rsidRDefault="00912589" w:rsidP="00142AAB">
            <w:pPr>
              <w:spacing w:before="1080"/>
              <w:rPr>
                <w:rFonts w:ascii="Arial" w:hAnsi="Arial" w:cs="Arial"/>
                <w:spacing w:val="0"/>
                <w:sz w:val="16"/>
                <w:szCs w:val="16"/>
              </w:rPr>
            </w:pPr>
            <w:r w:rsidRPr="009F3B46">
              <w:rPr>
                <w:rFonts w:ascii="Arial" w:hAnsi="Arial" w:cs="Arial"/>
                <w:spacing w:val="0"/>
                <w:sz w:val="16"/>
                <w:szCs w:val="16"/>
              </w:rPr>
              <w:t xml:space="preserve">See </w:t>
            </w:r>
          </w:p>
          <w:p w14:paraId="4B99B222" w14:textId="77777777" w:rsidR="00142AAB" w:rsidRDefault="00912589" w:rsidP="00142AAB">
            <w:pPr>
              <w:rPr>
                <w:rFonts w:ascii="Arial" w:hAnsi="Arial" w:cs="Arial"/>
                <w:spacing w:val="0"/>
                <w:sz w:val="16"/>
                <w:szCs w:val="16"/>
                <w:u w:val="single"/>
              </w:rPr>
            </w:pPr>
            <w:r w:rsidRPr="009F3B46">
              <w:rPr>
                <w:rFonts w:ascii="Arial" w:hAnsi="Arial" w:cs="Arial"/>
                <w:spacing w:val="0"/>
                <w:sz w:val="16"/>
                <w:szCs w:val="16"/>
              </w:rPr>
              <w:t>Chart C*</w:t>
            </w:r>
          </w:p>
          <w:p w14:paraId="60DEEB4B" w14:textId="6253A40E" w:rsidR="00912589" w:rsidRPr="00142AAB" w:rsidRDefault="00912589" w:rsidP="00142AAB">
            <w:pPr>
              <w:spacing w:before="600"/>
              <w:rPr>
                <w:rFonts w:ascii="Arial" w:hAnsi="Arial" w:cs="Arial"/>
                <w:spacing w:val="0"/>
                <w:sz w:val="16"/>
                <w:szCs w:val="16"/>
                <w:u w:val="single"/>
              </w:rPr>
            </w:pPr>
            <w:r w:rsidRPr="009F3B46">
              <w:rPr>
                <w:rFonts w:ascii="Arial" w:hAnsi="Arial" w:cs="Arial"/>
                <w:spacing w:val="0"/>
                <w:sz w:val="16"/>
                <w:szCs w:val="16"/>
              </w:rPr>
              <w:t>See</w:t>
            </w:r>
          </w:p>
          <w:p w14:paraId="62F57569" w14:textId="77777777" w:rsidR="00912589"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77777777" w:rsidR="00912589" w:rsidRPr="009F3B46" w:rsidRDefault="00912589" w:rsidP="00E107BF">
            <w:pPr>
              <w:spacing w:before="1080"/>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p w14:paraId="497B6085" w14:textId="77777777" w:rsidR="00912589" w:rsidRPr="009F3B46" w:rsidRDefault="00912589" w:rsidP="00E107BF">
            <w:pPr>
              <w:spacing w:before="760"/>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r w:rsidR="00834D3A" w:rsidRPr="00FF1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9F3B46" w:rsidRDefault="00395D00">
            <w:pPr>
              <w:rPr>
                <w:rFonts w:ascii="Arial" w:hAnsi="Arial" w:cs="Arial"/>
                <w:b/>
                <w:spacing w:val="0"/>
                <w:sz w:val="16"/>
                <w:szCs w:val="16"/>
              </w:rPr>
            </w:pPr>
          </w:p>
          <w:p w14:paraId="50F1A0EF" w14:textId="77777777" w:rsidR="00395D00" w:rsidRPr="009F3B46" w:rsidRDefault="00395D00">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of-State Acute 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
          <w:p w14:paraId="60B7E32A" w14:textId="77777777" w:rsidR="00912589" w:rsidRPr="009F3B46" w:rsidRDefault="00912589">
            <w:pPr>
              <w:rPr>
                <w:rFonts w:ascii="Arial" w:hAnsi="Arial" w:cs="Arial"/>
                <w:b/>
                <w:spacing w:val="0"/>
                <w:sz w:val="16"/>
                <w:szCs w:val="16"/>
              </w:rPr>
            </w:pPr>
          </w:p>
          <w:p w14:paraId="0992A325" w14:textId="77777777" w:rsidR="00912589" w:rsidRPr="009F3B46" w:rsidRDefault="00912589">
            <w:pPr>
              <w:rPr>
                <w:rFonts w:ascii="Arial" w:hAnsi="Arial" w:cs="Arial"/>
                <w:b/>
                <w:spacing w:val="0"/>
                <w:sz w:val="16"/>
                <w:szCs w:val="16"/>
              </w:rPr>
            </w:pPr>
          </w:p>
          <w:p w14:paraId="59897099" w14:textId="77777777" w:rsidR="00912589" w:rsidRPr="009F3B46" w:rsidRDefault="00912589">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0B3E67" w:rsidRDefault="00395D00">
            <w:pPr>
              <w:rPr>
                <w:rFonts w:ascii="Arial" w:hAnsi="Arial" w:cs="Arial"/>
                <w:spacing w:val="0"/>
                <w:sz w:val="16"/>
                <w:szCs w:val="16"/>
              </w:rPr>
            </w:pPr>
          </w:p>
          <w:p w14:paraId="1A9E4327" w14:textId="77777777" w:rsidR="00395D00" w:rsidRPr="000B3E67" w:rsidRDefault="00395D00">
            <w:pPr>
              <w:rPr>
                <w:rFonts w:ascii="Arial" w:hAnsi="Arial" w:cs="Arial"/>
                <w:spacing w:val="0"/>
                <w:sz w:val="16"/>
                <w:szCs w:val="16"/>
              </w:rPr>
            </w:pPr>
          </w:p>
          <w:p w14:paraId="4482E2CB" w14:textId="77777777" w:rsidR="00395D00" w:rsidRPr="000B3E67" w:rsidRDefault="00395D00">
            <w:pPr>
              <w:rPr>
                <w:rFonts w:ascii="Arial" w:hAnsi="Arial" w:cs="Arial"/>
                <w:spacing w:val="0"/>
                <w:sz w:val="16"/>
                <w:szCs w:val="16"/>
              </w:rPr>
            </w:pPr>
          </w:p>
          <w:p w14:paraId="6C43655A" w14:textId="703D3A70" w:rsidR="00912589" w:rsidRPr="000B3E67" w:rsidRDefault="00912589">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11,411.23</w:t>
            </w:r>
          </w:p>
          <w:p w14:paraId="70942534" w14:textId="77777777" w:rsidR="00395D00" w:rsidRPr="000B3E67" w:rsidRDefault="00395D00">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14:paraId="7E64314D" w14:textId="77777777" w:rsidR="00395D00" w:rsidRPr="000B3E67" w:rsidRDefault="00395D00">
            <w:pPr>
              <w:rPr>
                <w:rFonts w:ascii="Arial" w:hAnsi="Arial" w:cs="Arial"/>
                <w:spacing w:val="0"/>
                <w:sz w:val="16"/>
                <w:szCs w:val="16"/>
              </w:rPr>
            </w:pPr>
          </w:p>
          <w:p w14:paraId="64C44916" w14:textId="77777777" w:rsidR="00912589" w:rsidRPr="000B3E67" w:rsidRDefault="00912589">
            <w:pPr>
              <w:rPr>
                <w:rFonts w:ascii="Arial" w:hAnsi="Arial" w:cs="Arial"/>
                <w:spacing w:val="0"/>
                <w:sz w:val="16"/>
                <w:szCs w:val="16"/>
              </w:rPr>
            </w:pPr>
          </w:p>
          <w:p w14:paraId="5934C368" w14:textId="77777777" w:rsidR="00912589" w:rsidRPr="000B3E67" w:rsidRDefault="00912589">
            <w:pPr>
              <w:rPr>
                <w:rFonts w:ascii="Arial" w:hAnsi="Arial" w:cs="Arial"/>
                <w:spacing w:val="0"/>
                <w:sz w:val="16"/>
                <w:szCs w:val="16"/>
              </w:rPr>
            </w:pPr>
          </w:p>
          <w:p w14:paraId="583954A1" w14:textId="6092A8DC"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775.34</w:t>
            </w:r>
          </w:p>
        </w:tc>
        <w:tc>
          <w:tcPr>
            <w:tcW w:w="1080" w:type="dxa"/>
            <w:tcBorders>
              <w:top w:val="thinThickLargeGap" w:sz="24" w:space="0" w:color="auto"/>
              <w:bottom w:val="thinThickLargeGap" w:sz="24" w:space="0" w:color="auto"/>
            </w:tcBorders>
            <w:shd w:val="clear" w:color="auto" w:fill="auto"/>
          </w:tcPr>
          <w:p w14:paraId="2A709B40" w14:textId="77777777" w:rsidR="00395D00" w:rsidRPr="000B3E67" w:rsidRDefault="00395D00">
            <w:pPr>
              <w:rPr>
                <w:rFonts w:ascii="Arial" w:hAnsi="Arial" w:cs="Arial"/>
                <w:spacing w:val="0"/>
                <w:sz w:val="16"/>
                <w:szCs w:val="16"/>
              </w:rPr>
            </w:pPr>
          </w:p>
          <w:p w14:paraId="3D00BC45" w14:textId="77777777" w:rsidR="00912589" w:rsidRPr="000B3E67" w:rsidRDefault="00912589">
            <w:pPr>
              <w:rPr>
                <w:rFonts w:ascii="Arial" w:hAnsi="Arial" w:cs="Arial"/>
                <w:spacing w:val="0"/>
                <w:sz w:val="16"/>
                <w:szCs w:val="16"/>
              </w:rPr>
            </w:pPr>
          </w:p>
          <w:p w14:paraId="60436A9F" w14:textId="77777777" w:rsidR="00912589" w:rsidRPr="000B3E67" w:rsidRDefault="00912589">
            <w:pPr>
              <w:rPr>
                <w:rFonts w:ascii="Arial" w:hAnsi="Arial" w:cs="Arial"/>
                <w:spacing w:val="0"/>
                <w:sz w:val="16"/>
                <w:szCs w:val="16"/>
              </w:rPr>
            </w:pPr>
          </w:p>
          <w:p w14:paraId="155E4183" w14:textId="4F6382B4"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12,186.57</w:t>
            </w:r>
          </w:p>
        </w:tc>
        <w:tc>
          <w:tcPr>
            <w:tcW w:w="1080" w:type="dxa"/>
            <w:tcBorders>
              <w:top w:val="thinThickLargeGap" w:sz="24" w:space="0" w:color="auto"/>
              <w:bottom w:val="thinThickLargeGap" w:sz="24" w:space="0" w:color="auto"/>
            </w:tcBorders>
            <w:shd w:val="clear" w:color="auto" w:fill="auto"/>
          </w:tcPr>
          <w:p w14:paraId="5C03F9B5" w14:textId="77777777" w:rsidR="00395D00" w:rsidRPr="000B3E67" w:rsidRDefault="00395D00" w:rsidP="00E60FB6">
            <w:pPr>
              <w:rPr>
                <w:rFonts w:ascii="Arial" w:hAnsi="Arial" w:cs="Arial"/>
                <w:spacing w:val="0"/>
                <w:sz w:val="16"/>
                <w:szCs w:val="16"/>
                <w:u w:val="single"/>
              </w:rPr>
            </w:pPr>
          </w:p>
          <w:p w14:paraId="1F8F7AA9" w14:textId="77777777" w:rsidR="00912589" w:rsidRPr="000B3E67" w:rsidRDefault="00912589" w:rsidP="00E60FB6">
            <w:pPr>
              <w:rPr>
                <w:rFonts w:ascii="Arial" w:hAnsi="Arial" w:cs="Arial"/>
                <w:spacing w:val="0"/>
                <w:sz w:val="16"/>
                <w:szCs w:val="16"/>
                <w:u w:val="single"/>
              </w:rPr>
            </w:pPr>
          </w:p>
          <w:p w14:paraId="5E615A11"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 xml:space="preserve">See </w:t>
            </w:r>
          </w:p>
          <w:p w14:paraId="57C9329D" w14:textId="77777777" w:rsidR="00395D00"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0B3E67" w:rsidRDefault="00395D00">
            <w:pPr>
              <w:rPr>
                <w:rFonts w:ascii="Arial" w:hAnsi="Arial" w:cs="Arial"/>
                <w:spacing w:val="0"/>
                <w:sz w:val="16"/>
                <w:szCs w:val="16"/>
              </w:rPr>
            </w:pPr>
          </w:p>
          <w:p w14:paraId="24143334" w14:textId="77777777" w:rsidR="00912589" w:rsidRPr="000B3E67" w:rsidRDefault="00912589">
            <w:pPr>
              <w:rPr>
                <w:rFonts w:ascii="Arial" w:hAnsi="Arial" w:cs="Arial"/>
                <w:spacing w:val="0"/>
                <w:sz w:val="16"/>
                <w:szCs w:val="16"/>
              </w:rPr>
            </w:pPr>
          </w:p>
          <w:p w14:paraId="35FD0BA9" w14:textId="77777777" w:rsidR="00912589" w:rsidRPr="000B3E67" w:rsidRDefault="00912589">
            <w:pPr>
              <w:rPr>
                <w:rFonts w:ascii="Arial" w:hAnsi="Arial" w:cs="Arial"/>
                <w:spacing w:val="0"/>
                <w:sz w:val="16"/>
                <w:szCs w:val="16"/>
              </w:rPr>
            </w:pPr>
          </w:p>
          <w:p w14:paraId="47B52DF5" w14:textId="77777777" w:rsidR="00395D00" w:rsidRPr="000B3E67" w:rsidRDefault="006D0863">
            <w:pPr>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0B3E67" w:rsidRDefault="00395D00" w:rsidP="00E60FB6">
            <w:pPr>
              <w:rPr>
                <w:rFonts w:ascii="Arial" w:hAnsi="Arial" w:cs="Arial"/>
                <w:spacing w:val="0"/>
                <w:sz w:val="16"/>
                <w:szCs w:val="16"/>
                <w:u w:val="single"/>
              </w:rPr>
            </w:pPr>
          </w:p>
          <w:p w14:paraId="79D41777" w14:textId="77777777" w:rsidR="00912589" w:rsidRPr="000B3E67" w:rsidRDefault="00912589" w:rsidP="00E60FB6">
            <w:pPr>
              <w:rPr>
                <w:rFonts w:ascii="Arial" w:hAnsi="Arial" w:cs="Arial"/>
                <w:spacing w:val="0"/>
                <w:sz w:val="16"/>
                <w:szCs w:val="16"/>
                <w:u w:val="single"/>
              </w:rPr>
            </w:pPr>
          </w:p>
          <w:p w14:paraId="58952D6F" w14:textId="77777777" w:rsidR="00912589" w:rsidRPr="000B3E67" w:rsidRDefault="00912589" w:rsidP="00E60FB6">
            <w:pPr>
              <w:rPr>
                <w:rFonts w:ascii="Arial" w:hAnsi="Arial" w:cs="Arial"/>
                <w:spacing w:val="0"/>
                <w:sz w:val="16"/>
                <w:szCs w:val="16"/>
              </w:rPr>
            </w:pPr>
          </w:p>
          <w:p w14:paraId="6DFCE93E" w14:textId="77777777" w:rsidR="00395D00" w:rsidRPr="000B3E67" w:rsidRDefault="00D161BC" w:rsidP="00E60FB6">
            <w:pPr>
              <w:rPr>
                <w:rFonts w:ascii="Arial" w:hAnsi="Arial" w:cs="Arial"/>
                <w:spacing w:val="0"/>
                <w:sz w:val="16"/>
                <w:szCs w:val="16"/>
              </w:rPr>
            </w:pPr>
            <w:r w:rsidRPr="000B3E67">
              <w:rPr>
                <w:rFonts w:ascii="Arial" w:hAnsi="Arial" w:cs="Arial"/>
                <w:spacing w:val="0"/>
                <w:sz w:val="16"/>
                <w:szCs w:val="16"/>
              </w:rPr>
              <w:t>4</w:t>
            </w:r>
            <w:r w:rsidR="006D0863" w:rsidRPr="000B3E67">
              <w:rPr>
                <w:rFonts w:ascii="Arial" w:hAnsi="Arial" w:cs="Arial"/>
                <w:spacing w:val="0"/>
                <w:sz w:val="16"/>
                <w:szCs w:val="16"/>
              </w:rPr>
              <w:t>7.74</w:t>
            </w:r>
            <w:r w:rsidR="00912589" w:rsidRPr="000B3E67">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0B3E67" w:rsidRDefault="00395D00">
            <w:pPr>
              <w:rPr>
                <w:rFonts w:ascii="Arial" w:hAnsi="Arial" w:cs="Arial"/>
                <w:spacing w:val="0"/>
                <w:sz w:val="16"/>
                <w:szCs w:val="16"/>
              </w:rPr>
            </w:pPr>
          </w:p>
          <w:p w14:paraId="28C4C7B3" w14:textId="77777777" w:rsidR="00912589" w:rsidRPr="000B3E67" w:rsidRDefault="00912589">
            <w:pPr>
              <w:rPr>
                <w:rFonts w:ascii="Arial" w:hAnsi="Arial" w:cs="Arial"/>
                <w:spacing w:val="0"/>
                <w:sz w:val="16"/>
                <w:szCs w:val="16"/>
              </w:rPr>
            </w:pPr>
          </w:p>
          <w:p w14:paraId="202DEB81" w14:textId="77777777" w:rsidR="00912589" w:rsidRPr="000B3E67" w:rsidRDefault="00912589">
            <w:pPr>
              <w:rPr>
                <w:rFonts w:ascii="Arial" w:hAnsi="Arial" w:cs="Arial"/>
                <w:spacing w:val="0"/>
                <w:sz w:val="16"/>
                <w:szCs w:val="16"/>
              </w:rPr>
            </w:pPr>
          </w:p>
          <w:p w14:paraId="5AABFF73" w14:textId="2D44F33C" w:rsidR="00B77536" w:rsidRPr="000B3E67" w:rsidRDefault="00912589" w:rsidP="00B77536">
            <w:pPr>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38,400.00</w:t>
            </w:r>
          </w:p>
          <w:p w14:paraId="1CB086A9" w14:textId="1373CAD4" w:rsidR="00395D00" w:rsidRPr="000B3E67" w:rsidRDefault="00395D00">
            <w:pPr>
              <w:rPr>
                <w:rFonts w:ascii="Arial" w:hAnsi="Arial" w:cs="Arial"/>
                <w:spacing w:val="0"/>
                <w:sz w:val="16"/>
                <w:szCs w:val="16"/>
                <w:u w:val="single"/>
              </w:rPr>
            </w:pP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9F3B46" w:rsidRDefault="00395D00">
            <w:pPr>
              <w:rPr>
                <w:rFonts w:ascii="Arial" w:hAnsi="Arial" w:cs="Arial"/>
                <w:spacing w:val="0"/>
                <w:sz w:val="16"/>
                <w:szCs w:val="16"/>
              </w:rPr>
            </w:pPr>
          </w:p>
          <w:p w14:paraId="7482D17A" w14:textId="77777777" w:rsidR="00912589" w:rsidRPr="009F3B46" w:rsidRDefault="00912589">
            <w:pPr>
              <w:rPr>
                <w:rFonts w:ascii="Arial" w:hAnsi="Arial" w:cs="Arial"/>
                <w:spacing w:val="0"/>
                <w:sz w:val="16"/>
                <w:szCs w:val="16"/>
              </w:rPr>
            </w:pPr>
          </w:p>
          <w:p w14:paraId="59AB2D0E" w14:textId="77777777" w:rsidR="00912589" w:rsidRPr="009F3B46" w:rsidRDefault="00912589">
            <w:pPr>
              <w:rPr>
                <w:rFonts w:ascii="Arial" w:hAnsi="Arial" w:cs="Arial"/>
                <w:spacing w:val="0"/>
                <w:sz w:val="16"/>
                <w:szCs w:val="16"/>
              </w:rPr>
            </w:pPr>
            <w:r w:rsidRPr="009F3B46">
              <w:rPr>
                <w:rFonts w:ascii="Arial" w:hAnsi="Arial" w:cs="Arial"/>
                <w:spacing w:val="0"/>
                <w:sz w:val="16"/>
                <w:szCs w:val="16"/>
              </w:rPr>
              <w:t xml:space="preserve">See </w:t>
            </w:r>
          </w:p>
          <w:p w14:paraId="16EC561E"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9F3B46" w:rsidRDefault="00395D00">
            <w:pPr>
              <w:rPr>
                <w:rFonts w:ascii="Arial" w:hAnsi="Arial" w:cs="Arial"/>
                <w:spacing w:val="0"/>
                <w:sz w:val="16"/>
                <w:szCs w:val="16"/>
                <w:u w:val="single"/>
              </w:rPr>
            </w:pPr>
          </w:p>
          <w:p w14:paraId="25A56417" w14:textId="77777777" w:rsidR="00912589" w:rsidRPr="009F3B46" w:rsidRDefault="00912589">
            <w:pPr>
              <w:rPr>
                <w:rFonts w:ascii="Arial" w:hAnsi="Arial" w:cs="Arial"/>
                <w:spacing w:val="0"/>
                <w:sz w:val="16"/>
                <w:szCs w:val="16"/>
                <w:u w:val="single"/>
              </w:rPr>
            </w:pPr>
          </w:p>
          <w:p w14:paraId="54FD7ACE" w14:textId="77777777" w:rsidR="00912589" w:rsidRPr="009F3B46" w:rsidRDefault="00912589">
            <w:pPr>
              <w:rPr>
                <w:rFonts w:ascii="Arial" w:hAnsi="Arial" w:cs="Arial"/>
                <w:spacing w:val="0"/>
                <w:sz w:val="16"/>
                <w:szCs w:val="16"/>
              </w:rPr>
            </w:pPr>
          </w:p>
          <w:p w14:paraId="1B5D105F"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bl>
    <w:p w14:paraId="17BE1766" w14:textId="77777777" w:rsidR="0065460E" w:rsidRDefault="0065460E">
      <w:pPr>
        <w:rPr>
          <w:rFonts w:ascii="Arial Narrow" w:eastAsia="Calibri" w:hAnsi="Arial Narrow" w:cs="Arial"/>
          <w:spacing w:val="0"/>
          <w:sz w:val="20"/>
        </w:rPr>
      </w:pPr>
    </w:p>
    <w:p w14:paraId="72946863" w14:textId="77777777" w:rsidR="008456F3" w:rsidRPr="000C4052" w:rsidRDefault="008456F3">
      <w:pPr>
        <w:rPr>
          <w:rFonts w:ascii="Arial Narrow" w:eastAsia="Calibri" w:hAnsi="Arial Narrow" w:cs="Arial"/>
          <w:spacing w:val="0"/>
          <w:sz w:val="20"/>
        </w:rPr>
      </w:pPr>
    </w:p>
    <w:p w14:paraId="427590FB" w14:textId="6D6E9D11"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181DC5">
        <w:rPr>
          <w:rFonts w:ascii="Arial Narrow" w:eastAsia="Calibri" w:hAnsi="Arial Narrow" w:cs="Arial"/>
          <w:b/>
          <w:spacing w:val="0"/>
          <w:sz w:val="20"/>
        </w:rPr>
        <w:t>RY21</w:t>
      </w:r>
      <w:r w:rsidR="00181DC5"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5D44B9">
        <w:rPr>
          <w:rFonts w:ascii="Arial Narrow" w:eastAsia="Calibri" w:hAnsi="Arial Narrow" w:cs="Arial"/>
          <w:b/>
          <w:spacing w:val="0"/>
          <w:sz w:val="20"/>
          <w:lang w:val="en"/>
        </w:rPr>
        <w:t xml:space="preserve"> </w:t>
      </w:r>
    </w:p>
    <w:p w14:paraId="3347C021" w14:textId="478C984D" w:rsidR="002164A0" w:rsidRPr="004E22C7" w:rsidRDefault="005341AF" w:rsidP="005527C5">
      <w:pPr>
        <w:ind w:left="-432"/>
        <w:rPr>
          <w:rFonts w:ascii="Arial Narrow" w:eastAsia="Calibri" w:hAnsi="Arial Narrow" w:cs="Arial"/>
          <w:b/>
          <w:spacing w:val="0"/>
          <w:sz w:val="20"/>
          <w:u w:val="single"/>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3" w:history="1">
        <w:r w:rsidR="00AC1745" w:rsidRPr="004E22C7">
          <w:rPr>
            <w:rFonts w:ascii="Arial Narrow" w:hAnsi="Arial Narrow"/>
            <w:sz w:val="20"/>
            <w:u w:val="single"/>
          </w:rPr>
          <w:t xml:space="preserve">Chart C- Acute Hospital </w:t>
        </w:r>
        <w:r w:rsidR="00181DC5" w:rsidRPr="004E22C7">
          <w:rPr>
            <w:rFonts w:ascii="Arial Narrow" w:hAnsi="Arial Narrow"/>
            <w:sz w:val="20"/>
            <w:u w:val="single"/>
          </w:rPr>
          <w:t>RY2</w:t>
        </w:r>
        <w:r w:rsidR="00181DC5">
          <w:rPr>
            <w:rFonts w:ascii="Arial Narrow" w:hAnsi="Arial Narrow"/>
            <w:sz w:val="20"/>
            <w:u w:val="single"/>
          </w:rPr>
          <w:t>1</w:t>
        </w:r>
        <w:r w:rsidR="00181DC5" w:rsidRPr="004E22C7">
          <w:rPr>
            <w:rFonts w:ascii="Arial Narrow" w:hAnsi="Arial Narrow"/>
            <w:sz w:val="20"/>
            <w:u w:val="single"/>
          </w:rPr>
          <w:t xml:space="preserve"> </w:t>
        </w:r>
        <w:r w:rsidR="00AC1745" w:rsidRPr="004E22C7">
          <w:rPr>
            <w:rFonts w:ascii="Arial Narrow" w:hAnsi="Arial Narrow"/>
            <w:sz w:val="20"/>
            <w:u w:val="single"/>
          </w:rPr>
          <w:t>MassHealth DRG Weights and Mean All Payer Lengths of Stay</w:t>
        </w:r>
      </w:hyperlink>
    </w:p>
    <w:p w14:paraId="62A28EBF" w14:textId="77777777" w:rsidR="005527C5" w:rsidRPr="000C4052" w:rsidRDefault="006B4C40" w:rsidP="005527C5">
      <w:pPr>
        <w:rPr>
          <w:sz w:val="20"/>
        </w:rPr>
      </w:pPr>
      <w:hyperlink r:id="rId14" w:history="1"/>
    </w:p>
    <w:p w14:paraId="114B30A6" w14:textId="77777777"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w:t>
      </w:r>
      <w:r w:rsidR="005D44B9">
        <w:rPr>
          <w:rFonts w:ascii="Arial Narrow" w:eastAsia="Calibri" w:hAnsi="Arial Narrow" w:cs="Arial"/>
          <w:b/>
          <w:spacing w:val="0"/>
          <w:sz w:val="20"/>
        </w:rPr>
        <w:t xml:space="preserve"> </w:t>
      </w:r>
      <w:r w:rsidRPr="000C4052">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Pr>
          <w:rFonts w:ascii="Arial Narrow" w:eastAsia="Calibri" w:hAnsi="Arial Narrow" w:cs="Arial"/>
          <w:spacing w:val="0"/>
          <w:sz w:val="20"/>
        </w:rPr>
        <w:t>in Section 3 of Part I of this notice</w:t>
      </w:r>
      <w:r w:rsidRPr="000C4052">
        <w:rPr>
          <w:rFonts w:ascii="Arial Narrow" w:eastAsia="Calibri" w:hAnsi="Arial Narrow" w:cs="Arial"/>
          <w:spacing w:val="0"/>
          <w:sz w:val="20"/>
        </w:rPr>
        <w:t>.</w:t>
      </w:r>
    </w:p>
    <w:p w14:paraId="0C95FC11" w14:textId="77777777" w:rsidR="004C35B7" w:rsidRDefault="004C35B7">
      <w:pPr>
        <w:rPr>
          <w:rFonts w:ascii="Arial" w:eastAsia="Calibri" w:hAnsi="Arial" w:cs="Arial"/>
          <w:b/>
          <w:spacing w:val="0"/>
          <w:sz w:val="20"/>
          <w:szCs w:val="22"/>
        </w:rPr>
      </w:pPr>
      <w:r>
        <w:rPr>
          <w:rFonts w:ascii="Arial" w:eastAsia="Calibri" w:hAnsi="Arial" w:cs="Arial"/>
          <w:b/>
          <w:spacing w:val="0"/>
          <w:sz w:val="20"/>
          <w:szCs w:val="22"/>
        </w:rPr>
        <w:br w:type="page"/>
      </w:r>
    </w:p>
    <w:p w14:paraId="70F3CEA5" w14:textId="77777777" w:rsidR="0065460E" w:rsidRPr="000D13E8" w:rsidRDefault="00A26C62" w:rsidP="003162D5">
      <w:pPr>
        <w:spacing w:after="200" w:line="276" w:lineRule="auto"/>
        <w:jc w:val="center"/>
        <w:rPr>
          <w:rFonts w:ascii="Arial" w:eastAsia="Calibri" w:hAnsi="Arial" w:cs="Arial"/>
          <w:b/>
          <w:spacing w:val="0"/>
          <w:sz w:val="20"/>
          <w:szCs w:val="22"/>
        </w:rPr>
      </w:pPr>
      <w:r>
        <w:rPr>
          <w:rFonts w:ascii="Arial" w:eastAsia="Calibri" w:hAnsi="Arial" w:cs="Arial"/>
          <w:b/>
          <w:spacing w:val="0"/>
          <w:sz w:val="20"/>
          <w:szCs w:val="22"/>
        </w:rPr>
        <w:lastRenderedPageBreak/>
        <w:t>Out-of-State Acute Hospital Rates (continued)</w:t>
      </w:r>
    </w:p>
    <w:p w14:paraId="544B922A" w14:textId="77BB9703"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r>
      <w:r w:rsidR="005D44B9">
        <w:rPr>
          <w:rFonts w:ascii="Arial" w:eastAsia="Calibri" w:hAnsi="Arial" w:cs="Arial"/>
          <w:b/>
          <w:spacing w:val="0"/>
          <w:sz w:val="20"/>
        </w:rPr>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w:t>
      </w:r>
      <w:r w:rsidR="00181DC5">
        <w:rPr>
          <w:rFonts w:ascii="Arial" w:eastAsia="Calibri" w:hAnsi="Arial" w:cs="Arial"/>
          <w:b/>
          <w:color w:val="FF0000"/>
          <w:spacing w:val="0"/>
          <w:sz w:val="20"/>
          <w:u w:val="single"/>
        </w:rPr>
        <w:t>20</w:t>
      </w:r>
    </w:p>
    <w:p w14:paraId="723349C5" w14:textId="77777777" w:rsidR="00BB0DA7"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14:paraId="3E20963F" w14:textId="77777777" w:rsidTr="008751F7">
        <w:trPr>
          <w:cantSplit/>
          <w:trHeight w:val="432"/>
        </w:trPr>
        <w:tc>
          <w:tcPr>
            <w:tcW w:w="8190" w:type="dxa"/>
            <w:gridSpan w:val="6"/>
            <w:shd w:val="clear" w:color="auto" w:fill="D9D9D9"/>
            <w:vAlign w:val="center"/>
          </w:tcPr>
          <w:p w14:paraId="34A1F5B7" w14:textId="729D5482" w:rsidR="008410A0" w:rsidRPr="00FF17CA" w:rsidRDefault="00BB0DA7" w:rsidP="00E60FB6">
            <w:pPr>
              <w:contextualSpacing/>
              <w:rPr>
                <w:rFonts w:ascii="Arial" w:hAnsi="Arial" w:cs="Arial"/>
                <w:b/>
                <w:spacing w:val="0"/>
                <w:sz w:val="18"/>
                <w:szCs w:val="18"/>
              </w:rPr>
            </w:pPr>
            <w:r w:rsidRPr="000D13E8">
              <w:rPr>
                <w:rFonts w:ascii="Arial" w:eastAsia="Calibri" w:hAnsi="Arial" w:cs="Arial"/>
                <w:spacing w:val="0"/>
                <w:sz w:val="20"/>
                <w:szCs w:val="22"/>
              </w:rPr>
              <w:t>Out-of-State Acute Hospitals will be paid an Out-of-State APEC for APEC-covered outpatient services, which is an episode-specific payment method.</w:t>
            </w:r>
            <w:r w:rsidR="005D44B9">
              <w:rPr>
                <w:rFonts w:ascii="Arial" w:eastAsia="Calibri" w:hAnsi="Arial" w:cs="Arial"/>
                <w:spacing w:val="0"/>
                <w:sz w:val="20"/>
                <w:szCs w:val="22"/>
              </w:rPr>
              <w:t xml:space="preserve">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181DC5">
              <w:rPr>
                <w:rFonts w:ascii="Arial" w:eastAsia="Calibri" w:hAnsi="Arial" w:cs="Arial"/>
                <w:spacing w:val="0"/>
                <w:sz w:val="20"/>
                <w:szCs w:val="22"/>
              </w:rPr>
              <w:t>RY21</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00390417">
              <w:rPr>
                <w:rFonts w:ascii="Arial" w:eastAsia="Calibri" w:hAnsi="Arial" w:cs="Arial"/>
                <w:spacing w:val="0"/>
                <w:sz w:val="20"/>
                <w:szCs w:val="22"/>
              </w:rPr>
              <w:t xml:space="preserve"> earlier in this document</w:t>
            </w:r>
            <w:r w:rsidRPr="000D13E8">
              <w:rPr>
                <w:rFonts w:ascii="Arial" w:eastAsia="Calibri" w:hAnsi="Arial" w:cs="Arial"/>
                <w:spacing w:val="0"/>
                <w:sz w:val="20"/>
                <w:szCs w:val="22"/>
              </w:rPr>
              <w:t>.)</w:t>
            </w:r>
            <w:r w:rsidR="005D44B9">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14:paraId="445C3DBB" w14:textId="77777777"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Components of Out-of-State APEC Rates</w:t>
            </w:r>
          </w:p>
          <w:p w14:paraId="21B8F704" w14:textId="18BFFA56"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181DC5">
              <w:rPr>
                <w:rFonts w:ascii="Arial" w:hAnsi="Arial" w:cs="Arial"/>
                <w:b/>
                <w:spacing w:val="0"/>
                <w:sz w:val="18"/>
                <w:szCs w:val="18"/>
              </w:rPr>
              <w:t>RY21</w:t>
            </w:r>
            <w:r w:rsidRPr="00FF17CA">
              <w:rPr>
                <w:rFonts w:ascii="Arial" w:hAnsi="Arial" w:cs="Arial"/>
                <w:b/>
                <w:spacing w:val="0"/>
                <w:sz w:val="18"/>
                <w:szCs w:val="18"/>
              </w:rPr>
              <w:t>)</w:t>
            </w:r>
          </w:p>
          <w:p w14:paraId="4FE92440" w14:textId="77777777" w:rsidR="008410A0" w:rsidRPr="00FF17CA" w:rsidRDefault="008410A0" w:rsidP="00E60FB6">
            <w:pPr>
              <w:contextualSpacing/>
              <w:rPr>
                <w:rFonts w:ascii="Arial" w:hAnsi="Arial" w:cs="Arial"/>
                <w:b/>
                <w:spacing w:val="0"/>
                <w:sz w:val="18"/>
                <w:szCs w:val="18"/>
              </w:rPr>
            </w:pPr>
          </w:p>
        </w:tc>
      </w:tr>
      <w:tr w:rsidR="002C61DE" w:rsidRPr="0065460E"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F03A9A"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0B3E67" w:rsidRDefault="002C61DE" w:rsidP="00E60FB6">
            <w:pPr>
              <w:contextualSpacing/>
              <w:rPr>
                <w:rFonts w:ascii="Arial" w:hAnsi="Arial" w:cs="Arial"/>
                <w:spacing w:val="0"/>
                <w:sz w:val="16"/>
                <w:szCs w:val="16"/>
              </w:rPr>
            </w:pPr>
          </w:p>
          <w:p w14:paraId="2E028B7D"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APEC Outpatient Statewide Standard</w:t>
            </w:r>
          </w:p>
          <w:p w14:paraId="32ADF5F8" w14:textId="77777777" w:rsidR="002C61DE" w:rsidRPr="000B3E67"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0B3E67" w:rsidRDefault="002C61DE" w:rsidP="00E60FB6">
            <w:pPr>
              <w:contextualSpacing/>
              <w:rPr>
                <w:rFonts w:ascii="Arial" w:hAnsi="Arial" w:cs="Arial"/>
                <w:spacing w:val="0"/>
                <w:sz w:val="16"/>
                <w:szCs w:val="16"/>
              </w:rPr>
            </w:pPr>
          </w:p>
          <w:p w14:paraId="6C4E260B" w14:textId="77777777" w:rsidR="00F42DB6"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 xml:space="preserve">MassHealth EAPG </w:t>
            </w:r>
          </w:p>
          <w:p w14:paraId="0D16521C" w14:textId="77777777" w:rsidR="002C61DE"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0B3E67" w:rsidRDefault="002C61DE" w:rsidP="00E60FB6">
            <w:pPr>
              <w:contextualSpacing/>
              <w:rPr>
                <w:rFonts w:ascii="Arial" w:hAnsi="Arial" w:cs="Arial"/>
                <w:spacing w:val="0"/>
                <w:sz w:val="16"/>
                <w:szCs w:val="16"/>
              </w:rPr>
            </w:pPr>
          </w:p>
          <w:p w14:paraId="62263BA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Marginal Cost Factor</w:t>
            </w:r>
          </w:p>
          <w:p w14:paraId="6FCBCC56" w14:textId="77777777" w:rsidR="002C61DE" w:rsidRPr="000B3E67"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0B3E67" w:rsidRDefault="002C61DE" w:rsidP="00E60FB6">
            <w:pPr>
              <w:contextualSpacing/>
              <w:rPr>
                <w:rFonts w:ascii="Arial" w:hAnsi="Arial" w:cs="Arial"/>
                <w:spacing w:val="0"/>
                <w:sz w:val="16"/>
                <w:szCs w:val="16"/>
              </w:rPr>
            </w:pPr>
          </w:p>
          <w:p w14:paraId="386411C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0B3E67" w:rsidRDefault="002C61DE" w:rsidP="00E60FB6">
            <w:pPr>
              <w:contextualSpacing/>
              <w:rPr>
                <w:rFonts w:ascii="Arial" w:hAnsi="Arial" w:cs="Arial"/>
                <w:spacing w:val="0"/>
                <w:sz w:val="16"/>
                <w:szCs w:val="16"/>
              </w:rPr>
            </w:pPr>
          </w:p>
          <w:p w14:paraId="3649FA73"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Fixed Outpatient Outlier Threshold</w:t>
            </w:r>
          </w:p>
        </w:tc>
      </w:tr>
      <w:tr w:rsidR="002C61DE" w:rsidRPr="0065460E"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742CBE" w:rsidRDefault="002C61DE" w:rsidP="00E60FB6">
            <w:pPr>
              <w:contextualSpacing/>
              <w:rPr>
                <w:rFonts w:ascii="Arial" w:hAnsi="Arial" w:cs="Arial"/>
                <w:spacing w:val="0"/>
                <w:sz w:val="16"/>
                <w:szCs w:val="16"/>
              </w:rPr>
            </w:pPr>
          </w:p>
          <w:p w14:paraId="3557D61D" w14:textId="77777777" w:rsidR="00742CBE" w:rsidRPr="00742CBE" w:rsidRDefault="002C61DE" w:rsidP="00E60FB6">
            <w:pPr>
              <w:contextualSpacing/>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14:paraId="05BDD3AE" w14:textId="77777777" w:rsidR="00742CBE" w:rsidRPr="00742CBE" w:rsidRDefault="00742CBE" w:rsidP="00E60FB6">
            <w:pPr>
              <w:contextualSpacing/>
              <w:rPr>
                <w:rFonts w:ascii="Arial" w:hAnsi="Arial" w:cs="Arial"/>
                <w:b/>
                <w:color w:val="FF0000"/>
                <w:spacing w:val="0"/>
                <w:sz w:val="16"/>
                <w:szCs w:val="16"/>
              </w:rPr>
            </w:pPr>
          </w:p>
          <w:p w14:paraId="5E6E7614" w14:textId="77777777" w:rsidR="002C61DE" w:rsidRDefault="00742CBE" w:rsidP="00E60FB6">
            <w:pPr>
              <w:contextualSpacing/>
              <w:rPr>
                <w:rFonts w:ascii="Arial" w:hAnsi="Arial" w:cs="Arial"/>
                <w:i/>
                <w:spacing w:val="0"/>
                <w:sz w:val="16"/>
                <w:szCs w:val="16"/>
              </w:rPr>
            </w:pPr>
            <w:r w:rsidRPr="00742CBE">
              <w:rPr>
                <w:rFonts w:ascii="Arial" w:hAnsi="Arial" w:cs="Arial"/>
                <w:i/>
                <w:spacing w:val="0"/>
                <w:sz w:val="16"/>
                <w:szCs w:val="16"/>
              </w:rPr>
              <w:t>Rhode Island Hospital</w:t>
            </w:r>
          </w:p>
          <w:p w14:paraId="4EB4BC20" w14:textId="77777777" w:rsidR="00F83CD1" w:rsidRDefault="00F83CD1" w:rsidP="00E60FB6">
            <w:pPr>
              <w:contextualSpacing/>
              <w:rPr>
                <w:rFonts w:ascii="Arial" w:hAnsi="Arial" w:cs="Arial"/>
                <w:i/>
                <w:spacing w:val="0"/>
                <w:sz w:val="16"/>
                <w:szCs w:val="16"/>
              </w:rPr>
            </w:pPr>
          </w:p>
          <w:p w14:paraId="06A1EFD2" w14:textId="77777777" w:rsidR="00250FA1" w:rsidRDefault="00250FA1" w:rsidP="00E60FB6">
            <w:pPr>
              <w:contextualSpacing/>
              <w:rPr>
                <w:rFonts w:ascii="Arial" w:hAnsi="Arial" w:cs="Arial"/>
                <w:i/>
                <w:spacing w:val="0"/>
                <w:sz w:val="16"/>
                <w:szCs w:val="16"/>
              </w:rPr>
            </w:pPr>
          </w:p>
          <w:p w14:paraId="0D79F6C0" w14:textId="77777777" w:rsidR="00F83CD1" w:rsidRPr="00F83CD1" w:rsidRDefault="00F83CD1" w:rsidP="00E60FB6">
            <w:pPr>
              <w:contextualSpacing/>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14:paraId="1AFBE4B7" w14:textId="77777777" w:rsidR="00742CBE" w:rsidRPr="00742CBE"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378222F6" w14:textId="77777777" w:rsidR="007A5EBC" w:rsidRDefault="00250FA1" w:rsidP="007A5EBC">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p w14:paraId="2C26E6E5" w14:textId="168414BB" w:rsidR="00250FA1" w:rsidRPr="000B3E67" w:rsidRDefault="00250FA1" w:rsidP="007A5EBC">
            <w:pPr>
              <w:spacing w:before="7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tc>
        <w:tc>
          <w:tcPr>
            <w:tcW w:w="1278" w:type="dxa"/>
            <w:tcBorders>
              <w:top w:val="thinThickLargeGap" w:sz="24" w:space="0" w:color="auto"/>
            </w:tcBorders>
            <w:shd w:val="clear" w:color="auto" w:fill="auto"/>
          </w:tcPr>
          <w:p w14:paraId="3CCAB413" w14:textId="795A87AE" w:rsidR="00AC4DF3" w:rsidRDefault="00250FA1" w:rsidP="002143B3">
            <w:pPr>
              <w:spacing w:before="920" w:after="760"/>
              <w:rPr>
                <w:rFonts w:ascii="Arial" w:hAnsi="Arial" w:cs="Arial"/>
                <w:spacing w:val="0"/>
                <w:sz w:val="16"/>
                <w:szCs w:val="16"/>
              </w:rPr>
            </w:pPr>
            <w:r w:rsidRPr="000B3E67">
              <w:rPr>
                <w:rFonts w:ascii="Arial" w:hAnsi="Arial" w:cs="Arial"/>
                <w:spacing w:val="0"/>
                <w:sz w:val="16"/>
                <w:szCs w:val="16"/>
              </w:rPr>
              <w:t>See Chart D*</w:t>
            </w:r>
          </w:p>
          <w:p w14:paraId="45B9C8E2" w14:textId="77777777" w:rsidR="00250FA1" w:rsidRPr="000B3E67" w:rsidRDefault="00250FA1" w:rsidP="00AC4DF3">
            <w:pPr>
              <w:spacing w:before="760"/>
              <w:contextualSpacing/>
              <w:rPr>
                <w:rFonts w:ascii="Arial" w:hAnsi="Arial" w:cs="Arial"/>
                <w:spacing w:val="0"/>
                <w:sz w:val="16"/>
                <w:szCs w:val="16"/>
              </w:rPr>
            </w:pPr>
            <w:r w:rsidRPr="000B3E67">
              <w:rPr>
                <w:rFonts w:ascii="Arial" w:hAnsi="Arial" w:cs="Arial"/>
                <w:spacing w:val="0"/>
                <w:sz w:val="16"/>
                <w:szCs w:val="16"/>
              </w:rPr>
              <w:t>See Chart D*</w:t>
            </w:r>
          </w:p>
          <w:p w14:paraId="035C5501" w14:textId="77777777" w:rsidR="00250FA1" w:rsidRPr="000B3E67"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Default="006D0863" w:rsidP="001C549A">
            <w:pPr>
              <w:spacing w:before="920" w:after="760"/>
              <w:rPr>
                <w:rFonts w:ascii="Arial" w:hAnsi="Arial" w:cs="Arial"/>
                <w:spacing w:val="0"/>
                <w:sz w:val="16"/>
                <w:szCs w:val="16"/>
              </w:rPr>
            </w:pPr>
            <w:r w:rsidRPr="000B3E67">
              <w:rPr>
                <w:rFonts w:ascii="Arial" w:hAnsi="Arial" w:cs="Arial"/>
                <w:spacing w:val="0"/>
                <w:sz w:val="16"/>
                <w:szCs w:val="16"/>
              </w:rPr>
              <w:t>60</w:t>
            </w:r>
            <w:r w:rsidR="00250FA1" w:rsidRPr="000B3E67">
              <w:rPr>
                <w:rFonts w:ascii="Arial" w:hAnsi="Arial" w:cs="Arial"/>
                <w:spacing w:val="0"/>
                <w:sz w:val="16"/>
                <w:szCs w:val="16"/>
              </w:rPr>
              <w:t>%</w:t>
            </w:r>
          </w:p>
          <w:p w14:paraId="5CCA7B3B" w14:textId="794EA6B9" w:rsidR="00250FA1" w:rsidRPr="000B3E67" w:rsidRDefault="006D0863" w:rsidP="001C549A">
            <w:pPr>
              <w:spacing w:before="920" w:after="760"/>
              <w:contextualSpacing/>
              <w:rPr>
                <w:rFonts w:ascii="Arial" w:hAnsi="Arial" w:cs="Arial"/>
                <w:spacing w:val="0"/>
                <w:sz w:val="16"/>
                <w:szCs w:val="16"/>
                <w:u w:val="single"/>
              </w:rPr>
            </w:pPr>
            <w:r w:rsidRPr="000B3E67">
              <w:rPr>
                <w:rFonts w:ascii="Arial" w:hAnsi="Arial" w:cs="Arial"/>
                <w:spacing w:val="0"/>
                <w:sz w:val="16"/>
                <w:szCs w:val="16"/>
              </w:rPr>
              <w:t>60</w:t>
            </w:r>
            <w:r w:rsidR="00250FA1" w:rsidRPr="000B3E67">
              <w:rPr>
                <w:rFonts w:ascii="Arial" w:hAnsi="Arial" w:cs="Arial"/>
                <w:spacing w:val="0"/>
                <w:sz w:val="16"/>
                <w:szCs w:val="16"/>
              </w:rPr>
              <w:t>%</w:t>
            </w:r>
          </w:p>
        </w:tc>
        <w:tc>
          <w:tcPr>
            <w:tcW w:w="1098" w:type="dxa"/>
            <w:tcBorders>
              <w:top w:val="thinThickLargeGap" w:sz="24" w:space="0" w:color="auto"/>
            </w:tcBorders>
            <w:shd w:val="clear" w:color="auto" w:fill="auto"/>
          </w:tcPr>
          <w:p w14:paraId="36497E2F" w14:textId="3D71CECC" w:rsidR="00250FA1" w:rsidRPr="000B3E67" w:rsidRDefault="005F17CA" w:rsidP="001C549A">
            <w:pPr>
              <w:spacing w:before="920" w:after="760"/>
              <w:rPr>
                <w:rFonts w:ascii="Arial" w:hAnsi="Arial" w:cs="Arial"/>
                <w:spacing w:val="0"/>
                <w:sz w:val="16"/>
                <w:szCs w:val="16"/>
              </w:rPr>
            </w:pPr>
            <w:r w:rsidRPr="000B3E67">
              <w:rPr>
                <w:rFonts w:ascii="Arial" w:hAnsi="Arial" w:cs="Arial"/>
                <w:spacing w:val="0"/>
                <w:sz w:val="16"/>
                <w:szCs w:val="16"/>
              </w:rPr>
              <w:t>27.</w:t>
            </w:r>
            <w:r w:rsidR="006D0863" w:rsidRPr="000B3E67">
              <w:rPr>
                <w:rFonts w:ascii="Arial" w:hAnsi="Arial" w:cs="Arial"/>
                <w:spacing w:val="0"/>
                <w:sz w:val="16"/>
                <w:szCs w:val="16"/>
              </w:rPr>
              <w:t>78</w:t>
            </w:r>
            <w:r w:rsidR="00250FA1" w:rsidRPr="000B3E67">
              <w:rPr>
                <w:rFonts w:ascii="Arial" w:hAnsi="Arial" w:cs="Arial"/>
                <w:spacing w:val="0"/>
                <w:sz w:val="16"/>
                <w:szCs w:val="16"/>
              </w:rPr>
              <w:t>%</w:t>
            </w:r>
          </w:p>
          <w:p w14:paraId="3C7AA897" w14:textId="77777777" w:rsidR="00250FA1" w:rsidRPr="000B3E67" w:rsidRDefault="0051015E" w:rsidP="00E60FB6">
            <w:pPr>
              <w:contextualSpacing/>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7.57%</w:t>
            </w:r>
          </w:p>
        </w:tc>
        <w:tc>
          <w:tcPr>
            <w:tcW w:w="1530" w:type="dxa"/>
            <w:tcBorders>
              <w:top w:val="thinThickLargeGap" w:sz="24" w:space="0" w:color="auto"/>
            </w:tcBorders>
            <w:shd w:val="clear" w:color="auto" w:fill="auto"/>
          </w:tcPr>
          <w:p w14:paraId="1CE7D2A1" w14:textId="457878F9" w:rsidR="00250FA1" w:rsidRPr="000B3E67" w:rsidRDefault="00250FA1" w:rsidP="005654E3">
            <w:pPr>
              <w:spacing w:before="920" w:after="760"/>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4,000.00</w:t>
            </w:r>
          </w:p>
          <w:p w14:paraId="048824A3" w14:textId="310B3F38" w:rsidR="00250FA1" w:rsidRPr="000B3E67" w:rsidRDefault="00250FA1" w:rsidP="00E60FB6">
            <w:pPr>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4,000.00</w:t>
            </w:r>
          </w:p>
          <w:p w14:paraId="75F232E4" w14:textId="77777777" w:rsidR="00250FA1" w:rsidRPr="000B3E67" w:rsidRDefault="00250FA1" w:rsidP="00E60FB6">
            <w:pPr>
              <w:rPr>
                <w:rFonts w:ascii="Arial" w:hAnsi="Arial" w:cs="Arial"/>
                <w:spacing w:val="0"/>
                <w:sz w:val="16"/>
                <w:szCs w:val="16"/>
              </w:rPr>
            </w:pPr>
          </w:p>
          <w:p w14:paraId="67973F13" w14:textId="77777777" w:rsidR="00250FA1" w:rsidRPr="000B3E67" w:rsidRDefault="00250FA1" w:rsidP="00E60FB6">
            <w:pPr>
              <w:contextualSpacing/>
              <w:rPr>
                <w:rFonts w:ascii="Arial" w:hAnsi="Arial" w:cs="Arial"/>
                <w:spacing w:val="0"/>
                <w:sz w:val="16"/>
                <w:szCs w:val="16"/>
                <w:u w:val="single"/>
              </w:rPr>
            </w:pPr>
          </w:p>
        </w:tc>
      </w:tr>
      <w:tr w:rsidR="002C61DE" w:rsidRPr="0065460E"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742CBE" w:rsidRDefault="002C61DE" w:rsidP="00E60FB6">
            <w:pPr>
              <w:contextualSpacing/>
              <w:rPr>
                <w:rFonts w:ascii="Arial" w:hAnsi="Arial" w:cs="Arial"/>
                <w:b/>
                <w:spacing w:val="0"/>
                <w:sz w:val="16"/>
                <w:szCs w:val="16"/>
              </w:rPr>
            </w:pPr>
          </w:p>
          <w:p w14:paraId="225D2D21" w14:textId="77777777" w:rsidR="00382010" w:rsidRDefault="00382010" w:rsidP="00E60FB6">
            <w:pPr>
              <w:contextualSpacing/>
              <w:rPr>
                <w:rFonts w:ascii="Arial" w:hAnsi="Arial" w:cs="Arial"/>
                <w:b/>
                <w:color w:val="FF0000"/>
                <w:spacing w:val="0"/>
                <w:sz w:val="16"/>
                <w:szCs w:val="16"/>
              </w:rPr>
            </w:pPr>
          </w:p>
          <w:p w14:paraId="6B991384" w14:textId="77777777" w:rsidR="00382010" w:rsidRDefault="00382010" w:rsidP="00E60FB6">
            <w:pPr>
              <w:contextualSpacing/>
              <w:rPr>
                <w:rFonts w:ascii="Arial" w:hAnsi="Arial" w:cs="Arial"/>
                <w:b/>
                <w:color w:val="FF0000"/>
                <w:spacing w:val="0"/>
                <w:sz w:val="16"/>
                <w:szCs w:val="16"/>
              </w:rPr>
            </w:pPr>
          </w:p>
          <w:p w14:paraId="6A8EA88F" w14:textId="77777777" w:rsidR="003D4627" w:rsidRPr="00742CBE" w:rsidRDefault="002C61DE" w:rsidP="00E60FB6">
            <w:pPr>
              <w:contextualSpacing/>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14:paraId="7DE56EA8" w14:textId="77777777" w:rsidR="003D4627" w:rsidRPr="00742CBE" w:rsidRDefault="003D4627" w:rsidP="00E60FB6">
            <w:pPr>
              <w:contextualSpacing/>
              <w:rPr>
                <w:rFonts w:ascii="Arial" w:hAnsi="Arial" w:cs="Arial"/>
                <w:b/>
                <w:spacing w:val="0"/>
                <w:sz w:val="16"/>
                <w:szCs w:val="16"/>
              </w:rPr>
            </w:pPr>
          </w:p>
          <w:p w14:paraId="65D314C5" w14:textId="77777777" w:rsidR="00382010" w:rsidRPr="00742CBE" w:rsidRDefault="00382010" w:rsidP="00E60FB6">
            <w:pPr>
              <w:contextualSpacing/>
              <w:rPr>
                <w:rFonts w:ascii="Arial" w:hAnsi="Arial" w:cs="Arial"/>
                <w:b/>
                <w:spacing w:val="0"/>
                <w:sz w:val="16"/>
                <w:szCs w:val="16"/>
              </w:rPr>
            </w:pPr>
          </w:p>
          <w:p w14:paraId="6DD0BF93" w14:textId="77777777" w:rsidR="002C61DE" w:rsidRPr="00742CBE"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713F45A2" w:rsidR="002C61DE" w:rsidRPr="000B3E67" w:rsidRDefault="00382010" w:rsidP="005654E3">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639.69</w:t>
            </w:r>
          </w:p>
        </w:tc>
        <w:tc>
          <w:tcPr>
            <w:tcW w:w="1278" w:type="dxa"/>
            <w:tcBorders>
              <w:top w:val="thinThickLargeGap" w:sz="24" w:space="0" w:color="auto"/>
              <w:bottom w:val="thinThickLargeGap" w:sz="24" w:space="0" w:color="auto"/>
            </w:tcBorders>
            <w:shd w:val="clear" w:color="auto" w:fill="auto"/>
          </w:tcPr>
          <w:p w14:paraId="475A444B" w14:textId="77777777" w:rsidR="002C61DE" w:rsidRPr="000B3E67" w:rsidRDefault="00382010" w:rsidP="00F80435">
            <w:pPr>
              <w:spacing w:before="920"/>
              <w:rPr>
                <w:rFonts w:ascii="Arial" w:hAnsi="Arial" w:cs="Arial"/>
                <w:spacing w:val="0"/>
                <w:sz w:val="16"/>
                <w:szCs w:val="16"/>
              </w:rPr>
            </w:pPr>
            <w:r w:rsidRPr="000B3E67">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0B3E67" w:rsidRDefault="006D0863" w:rsidP="00632929">
            <w:pPr>
              <w:spacing w:before="920"/>
              <w:rPr>
                <w:rFonts w:ascii="Arial" w:hAnsi="Arial" w:cs="Arial"/>
                <w:spacing w:val="0"/>
                <w:sz w:val="16"/>
                <w:szCs w:val="16"/>
                <w:u w:val="single"/>
              </w:rPr>
            </w:pPr>
            <w:r w:rsidRPr="000B3E67">
              <w:rPr>
                <w:rFonts w:ascii="Arial" w:hAnsi="Arial" w:cs="Arial"/>
                <w:spacing w:val="0"/>
                <w:sz w:val="16"/>
                <w:szCs w:val="16"/>
              </w:rPr>
              <w:t>60</w:t>
            </w:r>
            <w:r w:rsidR="00382010" w:rsidRPr="000B3E67">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77777777" w:rsidR="002C61DE" w:rsidRPr="000B3E67" w:rsidRDefault="005F17CA" w:rsidP="00F35869">
            <w:pPr>
              <w:spacing w:before="920"/>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5.97%</w:t>
            </w:r>
          </w:p>
        </w:tc>
        <w:tc>
          <w:tcPr>
            <w:tcW w:w="1530" w:type="dxa"/>
            <w:tcBorders>
              <w:top w:val="thinThickLargeGap" w:sz="24" w:space="0" w:color="auto"/>
              <w:bottom w:val="thinThickLargeGap" w:sz="24" w:space="0" w:color="auto"/>
            </w:tcBorders>
            <w:shd w:val="clear" w:color="auto" w:fill="auto"/>
          </w:tcPr>
          <w:p w14:paraId="7B2F68E8" w14:textId="161A1D1A" w:rsidR="00EA7AB2" w:rsidRPr="000B3E67" w:rsidRDefault="00382010" w:rsidP="00A57681">
            <w:pPr>
              <w:spacing w:before="920"/>
              <w:rPr>
                <w:rFonts w:ascii="Arial" w:hAnsi="Arial" w:cs="Arial"/>
                <w:spacing w:val="0"/>
                <w:sz w:val="16"/>
                <w:szCs w:val="16"/>
                <w:u w:val="single"/>
              </w:rPr>
            </w:pPr>
            <w:r w:rsidRPr="000B3E67">
              <w:rPr>
                <w:rFonts w:ascii="Arial" w:hAnsi="Arial" w:cs="Arial"/>
                <w:spacing w:val="0"/>
                <w:sz w:val="16"/>
                <w:szCs w:val="16"/>
              </w:rPr>
              <w:t>$</w:t>
            </w:r>
            <w:r w:rsidR="00EA7AB2" w:rsidRPr="000B3E67">
              <w:rPr>
                <w:rFonts w:ascii="Arial" w:hAnsi="Arial" w:cs="Arial"/>
                <w:spacing w:val="0"/>
                <w:sz w:val="16"/>
                <w:szCs w:val="16"/>
              </w:rPr>
              <w:t>4,000.00</w:t>
            </w:r>
          </w:p>
        </w:tc>
      </w:tr>
    </w:tbl>
    <w:p w14:paraId="60563C74" w14:textId="77777777" w:rsidR="002C61DE" w:rsidRDefault="002C61DE" w:rsidP="00E60FB6">
      <w:pPr>
        <w:contextualSpacing/>
        <w:rPr>
          <w:rFonts w:ascii="Arial Narrow" w:eastAsia="Calibri" w:hAnsi="Arial Narrow" w:cs="Arial"/>
          <w:spacing w:val="0"/>
          <w:sz w:val="22"/>
          <w:szCs w:val="22"/>
        </w:rPr>
      </w:pPr>
    </w:p>
    <w:p w14:paraId="675A15FD" w14:textId="77777777" w:rsidR="004E3F4A" w:rsidRPr="008C2D90" w:rsidRDefault="004E3F4A" w:rsidP="008751F7">
      <w:pPr>
        <w:rPr>
          <w:rFonts w:ascii="Arial Narrow" w:eastAsia="Calibri" w:hAnsi="Arial Narrow" w:cs="Arial"/>
          <w:spacing w:val="0"/>
          <w:sz w:val="22"/>
          <w:szCs w:val="22"/>
        </w:rPr>
      </w:pPr>
    </w:p>
    <w:p w14:paraId="060A81AD" w14:textId="02DB3BC6"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81DC5">
        <w:rPr>
          <w:rFonts w:ascii="Arial Narrow" w:eastAsia="Calibri" w:hAnsi="Arial Narrow" w:cs="Arial"/>
          <w:b/>
          <w:spacing w:val="0"/>
          <w:sz w:val="22"/>
          <w:szCs w:val="22"/>
        </w:rPr>
        <w:t xml:space="preserve">RY21 </w:t>
      </w:r>
      <w:r w:rsidRPr="008C2D90">
        <w:rPr>
          <w:rFonts w:ascii="Arial Narrow" w:eastAsia="Calibri" w:hAnsi="Arial Narrow" w:cs="Arial"/>
          <w:b/>
          <w:spacing w:val="0"/>
          <w:sz w:val="22"/>
          <w:szCs w:val="22"/>
        </w:rPr>
        <w:t>MassHealth EAPG Weights</w:t>
      </w:r>
      <w:r w:rsidR="00697313">
        <w:rPr>
          <w:rFonts w:ascii="Arial Narrow" w:eastAsia="Calibri" w:hAnsi="Arial Narrow" w:cs="Arial"/>
          <w:b/>
          <w:spacing w:val="0"/>
          <w:sz w:val="22"/>
          <w:szCs w:val="22"/>
        </w:rPr>
        <w:t>.</w:t>
      </w:r>
    </w:p>
    <w:p w14:paraId="5C1D7980" w14:textId="0E51722C"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5" w:history="1">
        <w:r w:rsidR="001A7C6B" w:rsidRPr="001A7C6B">
          <w:rPr>
            <w:rFonts w:asciiTheme="minorHAnsi" w:eastAsiaTheme="minorHAnsi" w:hAnsiTheme="minorHAnsi" w:cstheme="minorBidi"/>
            <w:color w:val="0000FF" w:themeColor="hyperlink"/>
            <w:spacing w:val="0"/>
            <w:sz w:val="22"/>
            <w:szCs w:val="22"/>
            <w:u w:val="single"/>
          </w:rPr>
          <w:t xml:space="preserve">Chart D-Acute Hospital </w:t>
        </w:r>
        <w:r w:rsidR="00181DC5" w:rsidRPr="001A7C6B">
          <w:rPr>
            <w:rFonts w:asciiTheme="minorHAnsi" w:eastAsiaTheme="minorHAnsi" w:hAnsiTheme="minorHAnsi" w:cstheme="minorBidi"/>
            <w:color w:val="0000FF" w:themeColor="hyperlink"/>
            <w:spacing w:val="0"/>
            <w:sz w:val="22"/>
            <w:szCs w:val="22"/>
            <w:u w:val="single"/>
          </w:rPr>
          <w:t>RY</w:t>
        </w:r>
        <w:r w:rsidR="00181DC5">
          <w:rPr>
            <w:rFonts w:asciiTheme="minorHAnsi" w:eastAsiaTheme="minorHAnsi" w:hAnsiTheme="minorHAnsi" w:cstheme="minorBidi"/>
            <w:color w:val="0000FF" w:themeColor="hyperlink"/>
            <w:spacing w:val="0"/>
            <w:sz w:val="22"/>
            <w:szCs w:val="22"/>
            <w:u w:val="single"/>
          </w:rPr>
          <w:t>21</w:t>
        </w:r>
        <w:r w:rsidR="00181DC5" w:rsidRPr="001A7C6B">
          <w:rPr>
            <w:rFonts w:asciiTheme="minorHAnsi" w:eastAsiaTheme="minorHAnsi" w:hAnsiTheme="minorHAnsi" w:cstheme="minorBidi"/>
            <w:color w:val="0000FF" w:themeColor="hyperlink"/>
            <w:spacing w:val="0"/>
            <w:sz w:val="22"/>
            <w:szCs w:val="22"/>
            <w:u w:val="single"/>
          </w:rPr>
          <w:t xml:space="preserve"> </w:t>
        </w:r>
        <w:r w:rsidR="001A7C6B" w:rsidRPr="001A7C6B">
          <w:rPr>
            <w:rFonts w:asciiTheme="minorHAnsi" w:eastAsiaTheme="minorHAnsi" w:hAnsiTheme="minorHAnsi" w:cstheme="minorBidi"/>
            <w:color w:val="0000FF" w:themeColor="hyperlink"/>
            <w:spacing w:val="0"/>
            <w:sz w:val="22"/>
            <w:szCs w:val="22"/>
            <w:u w:val="single"/>
          </w:rPr>
          <w:t>MassHealth EAPG Weights</w:t>
        </w:r>
      </w:hyperlink>
    </w:p>
    <w:p w14:paraId="71CB116B" w14:textId="77777777" w:rsidR="008C2D90" w:rsidRDefault="008C2D90" w:rsidP="002C61DE">
      <w:pPr>
        <w:rPr>
          <w:rFonts w:ascii="Arial Narrow" w:eastAsia="Calibri" w:hAnsi="Arial Narrow" w:cs="Arial"/>
          <w:b/>
          <w:spacing w:val="0"/>
          <w:sz w:val="20"/>
          <w:u w:val="single"/>
        </w:rPr>
      </w:pPr>
    </w:p>
    <w:p w14:paraId="1668219F" w14:textId="77777777"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rPr>
        <w:t>The 3M EAPG grouper’s discounting, consolidation</w:t>
      </w:r>
      <w:r w:rsidR="00697313">
        <w:rPr>
          <w:rFonts w:ascii="Arial Narrow" w:eastAsia="Calibri" w:hAnsi="Arial Narrow" w:cs="Arial"/>
          <w:spacing w:val="0"/>
          <w:sz w:val="22"/>
          <w:szCs w:val="22"/>
        </w:rPr>
        <w:t>,</w:t>
      </w:r>
      <w:r w:rsidRPr="008C2D90">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8C2D90" w:rsidRDefault="002C63CB" w:rsidP="002C61DE">
      <w:pPr>
        <w:rPr>
          <w:rFonts w:ascii="Arial Narrow" w:eastAsia="Calibri" w:hAnsi="Arial Narrow" w:cs="Arial"/>
          <w:b/>
          <w:spacing w:val="0"/>
          <w:sz w:val="22"/>
          <w:szCs w:val="22"/>
        </w:rPr>
      </w:pPr>
    </w:p>
    <w:p w14:paraId="7BAEDC61" w14:textId="77777777" w:rsidR="00597757" w:rsidRDefault="002C61DE" w:rsidP="002C61DE">
      <w:pPr>
        <w:rPr>
          <w:rFonts w:ascii="Arial Narrow" w:eastAsia="Calibri" w:hAnsi="Arial Narrow" w:cs="Arial"/>
          <w:spacing w:val="0"/>
          <w:sz w:val="22"/>
          <w:szCs w:val="22"/>
        </w:rPr>
        <w:sectPr w:rsidR="00597757" w:rsidSect="004E22C7">
          <w:pgSz w:w="12240" w:h="15840"/>
          <w:pgMar w:top="1152" w:right="1152" w:bottom="1008" w:left="1008" w:header="720" w:footer="432" w:gutter="0"/>
          <w:cols w:space="720"/>
          <w:titlePg/>
          <w:docGrid w:linePitch="360"/>
        </w:sectPr>
      </w:pPr>
      <w:r w:rsidRPr="008C2D90">
        <w:rPr>
          <w:rFonts w:ascii="Arial Narrow" w:eastAsia="Calibri" w:hAnsi="Arial Narrow" w:cs="Arial"/>
          <w:b/>
          <w:spacing w:val="0"/>
          <w:sz w:val="22"/>
          <w:szCs w:val="22"/>
        </w:rPr>
        <w:t>**</w:t>
      </w:r>
      <w:r w:rsidR="005D44B9">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Pr>
          <w:rFonts w:ascii="Arial Narrow" w:eastAsia="Calibri" w:hAnsi="Arial Narrow" w:cs="Arial"/>
          <w:spacing w:val="0"/>
          <w:sz w:val="22"/>
          <w:szCs w:val="22"/>
        </w:rPr>
        <w:t>f Part I of this notice</w:t>
      </w:r>
      <w:r w:rsidRPr="008C2D90">
        <w:rPr>
          <w:rFonts w:ascii="Arial Narrow" w:eastAsia="Calibri" w:hAnsi="Arial Narrow" w:cs="Arial"/>
          <w:spacing w:val="0"/>
          <w:sz w:val="22"/>
          <w:szCs w:val="22"/>
        </w:rPr>
        <w:t>.</w:t>
      </w:r>
    </w:p>
    <w:p w14:paraId="7E496E65" w14:textId="753D04B6" w:rsidR="0065460E" w:rsidRPr="005818AE" w:rsidRDefault="0065460E" w:rsidP="00D56316">
      <w:pPr>
        <w:pStyle w:val="Heading1"/>
      </w:pPr>
      <w:r w:rsidRPr="005818AE">
        <w:lastRenderedPageBreak/>
        <w:t>PART II:</w:t>
      </w:r>
      <w:r w:rsidR="005D44B9">
        <w:t xml:space="preserve"> </w:t>
      </w:r>
      <w:r w:rsidRPr="005818AE">
        <w:t xml:space="preserve">Changes </w:t>
      </w:r>
      <w:r w:rsidR="000352FC">
        <w:t xml:space="preserve">to </w:t>
      </w:r>
      <w:r w:rsidRPr="005818AE">
        <w:t>In-State Acute Hospital Payment Methods</w:t>
      </w:r>
    </w:p>
    <w:p w14:paraId="621D0DF4" w14:textId="40EAB48D" w:rsidR="00096B9A" w:rsidRPr="00086347" w:rsidRDefault="00096B9A" w:rsidP="00A32039">
      <w:pPr>
        <w:pStyle w:val="Heading2"/>
        <w:numPr>
          <w:ilvl w:val="0"/>
          <w:numId w:val="194"/>
        </w:numPr>
      </w:pPr>
      <w:r w:rsidRPr="00086347">
        <w:t xml:space="preserve">In-State Acute </w:t>
      </w:r>
      <w:r w:rsidR="004D715F">
        <w:t xml:space="preserve">Inpatient </w:t>
      </w:r>
      <w:r w:rsidRPr="00086347">
        <w:t>Hospital Services</w:t>
      </w:r>
    </w:p>
    <w:p w14:paraId="0FAD2DD3" w14:textId="77777777"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14:paraId="01C3A583" w14:textId="071D5793" w:rsidR="00083AE2" w:rsidRPr="004C35B7" w:rsidRDefault="00096B9A" w:rsidP="004C35B7">
      <w:pPr>
        <w:pStyle w:val="Heading3"/>
      </w:pPr>
      <w:r w:rsidRPr="004C35B7">
        <w:t xml:space="preserve">Summary of </w:t>
      </w:r>
      <w:r w:rsidR="00181DC5" w:rsidRPr="004C35B7">
        <w:t>RY2</w:t>
      </w:r>
      <w:r w:rsidR="00181DC5">
        <w:t>1</w:t>
      </w:r>
      <w:r w:rsidR="00181DC5" w:rsidRPr="004C35B7">
        <w:t xml:space="preserve"> </w:t>
      </w:r>
      <w:r w:rsidRPr="004C35B7">
        <w:t>In-State Methodology for Calculating the Adjudicated Payment Amount per Discharge (APAD) and other Inpatient Hospital Service Payments</w:t>
      </w:r>
    </w:p>
    <w:p w14:paraId="49B14C5C" w14:textId="77777777" w:rsidR="00083AE2" w:rsidRPr="00193BB2" w:rsidRDefault="00083AE2" w:rsidP="00677EFC">
      <w:pPr>
        <w:spacing w:before="240" w:line="276" w:lineRule="auto"/>
        <w:ind w:left="360"/>
        <w:contextualSpacing/>
        <w:rPr>
          <w:rFonts w:ascii="Times New Roman" w:eastAsia="Calibri" w:hAnsi="Times New Roman"/>
          <w:sz w:val="22"/>
          <w:szCs w:val="22"/>
        </w:rPr>
      </w:pPr>
    </w:p>
    <w:p w14:paraId="31CB40FD" w14:textId="77777777"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Except as otherwise indicated for Critical Access Hospitals (see separate section</w:t>
      </w:r>
      <w:r w:rsidR="00C7099B">
        <w:rPr>
          <w:rFonts w:ascii="Times New Roman" w:eastAsia="Calibri" w:hAnsi="Times New Roman"/>
          <w:sz w:val="22"/>
          <w:szCs w:val="22"/>
        </w:rPr>
        <w:t xml:space="preserve"> later in this document</w:t>
      </w:r>
      <w:r w:rsidRPr="000340E0">
        <w:rPr>
          <w:rFonts w:ascii="Times New Roman" w:eastAsia="Calibri" w:hAnsi="Times New Roman"/>
          <w:sz w:val="22"/>
          <w:szCs w:val="22"/>
        </w:rPr>
        <w:t xml:space="preserve">), </w:t>
      </w:r>
      <w:r w:rsidR="00083AE2" w:rsidRPr="000340E0">
        <w:rPr>
          <w:rFonts w:ascii="Times New Roman" w:eastAsia="Calibri" w:hAnsi="Times New Roman"/>
          <w:sz w:val="22"/>
          <w:szCs w:val="22"/>
        </w:rPr>
        <w:t>the following payment methods apply to in-state acute inpatient hospitals.</w:t>
      </w:r>
      <w:r w:rsidR="005D44B9">
        <w:rPr>
          <w:rFonts w:ascii="Times New Roman" w:eastAsia="Calibri" w:hAnsi="Times New Roman"/>
          <w:sz w:val="22"/>
          <w:szCs w:val="22"/>
        </w:rPr>
        <w:t xml:space="preserve"> </w:t>
      </w:r>
    </w:p>
    <w:p w14:paraId="5D88F30A" w14:textId="77777777"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14:paraId="69E0AB42" w14:textId="77777777" w:rsidR="00096B9A" w:rsidRPr="004C35B7" w:rsidRDefault="00096B9A" w:rsidP="004C35B7">
      <w:pPr>
        <w:pStyle w:val="Heading4"/>
      </w:pPr>
      <w:r w:rsidRPr="004C35B7">
        <w:t>Adjudicated Payment Amount per Discharge (APAD)</w:t>
      </w:r>
    </w:p>
    <w:p w14:paraId="6C8E7121" w14:textId="463EA340" w:rsidR="00004475" w:rsidRDefault="00677EFC" w:rsidP="00A517F6">
      <w:pPr>
        <w:spacing w:before="240" w:after="36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w:t>
      </w:r>
      <w:r w:rsidR="00C7099B">
        <w:rPr>
          <w:rFonts w:ascii="Times New Roman" w:eastAsia="Calibri" w:hAnsi="Times New Roman"/>
          <w:spacing w:val="0"/>
          <w:sz w:val="22"/>
          <w:szCs w:val="22"/>
        </w:rPr>
        <w:t>later</w:t>
      </w:r>
      <w:r w:rsidR="00096B9A" w:rsidRPr="00CA749E">
        <w:rPr>
          <w:rFonts w:ascii="Times New Roman" w:eastAsia="Calibri" w:hAnsi="Times New Roman"/>
          <w:spacing w:val="0"/>
          <w:sz w:val="22"/>
          <w:szCs w:val="22"/>
        </w:rPr>
        <w:t>).</w:t>
      </w:r>
      <w:r w:rsidR="005D44B9">
        <w:rPr>
          <w:rFonts w:ascii="Times New Roman" w:hAnsi="Times New Roman"/>
          <w:spacing w:val="0"/>
          <w:sz w:val="22"/>
          <w:szCs w:val="22"/>
        </w:rPr>
        <w:t xml:space="preserve"> </w:t>
      </w:r>
      <w:r w:rsidR="00096B9A" w:rsidRPr="00CA749E">
        <w:rPr>
          <w:rFonts w:ascii="Times New Roman" w:eastAsia="Calibri" w:hAnsi="Times New Roman"/>
          <w:spacing w:val="0"/>
          <w:sz w:val="22"/>
          <w:szCs w:val="22"/>
        </w:rPr>
        <w:t>The discharge-specific APAD is determined by the following steps:</w:t>
      </w:r>
      <w:r w:rsidR="005D44B9">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096B9A" w:rsidRPr="00F436C6">
        <w:rPr>
          <w:rFonts w:ascii="Times New Roman" w:eastAsia="Calibri" w:hAnsi="Times New Roman"/>
          <w:spacing w:val="0"/>
          <w:sz w:val="22"/>
          <w:szCs w:val="22"/>
        </w:rPr>
        <w:t>.</w:t>
      </w:r>
      <w:r w:rsidR="005D44B9" w:rsidRPr="00F436C6">
        <w:rPr>
          <w:rFonts w:ascii="Times New Roman" w:eastAsia="Calibri" w:hAnsi="Times New Roman"/>
          <w:spacing w:val="0"/>
          <w:sz w:val="22"/>
          <w:szCs w:val="22"/>
        </w:rPr>
        <w:t xml:space="preserve"> </w:t>
      </w:r>
      <w:r w:rsidR="0032548F" w:rsidRPr="00F436C6">
        <w:rPr>
          <w:rFonts w:ascii="Times New Roman" w:eastAsia="Calibri" w:hAnsi="Times New Roman"/>
          <w:spacing w:val="0"/>
          <w:sz w:val="22"/>
          <w:szCs w:val="22"/>
        </w:rPr>
        <w:t xml:space="preserve"> </w:t>
      </w:r>
      <w:r w:rsidR="004E2B3C" w:rsidRPr="00F436C6">
        <w:rPr>
          <w:rFonts w:ascii="Times New Roman" w:eastAsia="Calibri" w:hAnsi="Times New Roman"/>
          <w:spacing w:val="0"/>
          <w:sz w:val="22"/>
          <w:szCs w:val="22"/>
        </w:rPr>
        <w:t xml:space="preserve">For RY21, </w:t>
      </w:r>
      <w:r w:rsidR="00B27779" w:rsidRPr="005125FE">
        <w:rPr>
          <w:rFonts w:ascii="Times New Roman" w:eastAsia="Calibri" w:hAnsi="Times New Roman"/>
          <w:spacing w:val="0"/>
          <w:sz w:val="22"/>
          <w:szCs w:val="22"/>
        </w:rPr>
        <w:t xml:space="preserve">MassHealth is </w:t>
      </w:r>
      <w:r w:rsidR="004F77EE" w:rsidRPr="005125FE">
        <w:rPr>
          <w:rFonts w:ascii="Times New Roman" w:eastAsia="Calibri" w:hAnsi="Times New Roman"/>
          <w:spacing w:val="0"/>
          <w:sz w:val="22"/>
          <w:szCs w:val="22"/>
        </w:rPr>
        <w:t>dis</w:t>
      </w:r>
      <w:r w:rsidR="004D715F" w:rsidRPr="005125FE">
        <w:rPr>
          <w:rFonts w:ascii="Times New Roman" w:eastAsia="Calibri" w:hAnsi="Times New Roman"/>
          <w:spacing w:val="0"/>
          <w:sz w:val="22"/>
          <w:szCs w:val="22"/>
        </w:rPr>
        <w:t xml:space="preserve">continuing its </w:t>
      </w:r>
      <w:r w:rsidR="004F77EE" w:rsidRPr="005125FE">
        <w:rPr>
          <w:rFonts w:ascii="Times New Roman" w:eastAsia="Calibri" w:hAnsi="Times New Roman"/>
          <w:spacing w:val="0"/>
          <w:sz w:val="22"/>
          <w:szCs w:val="22"/>
        </w:rPr>
        <w:t xml:space="preserve">RY20 </w:t>
      </w:r>
      <w:r w:rsidRPr="005125FE">
        <w:rPr>
          <w:rFonts w:ascii="Times New Roman" w:eastAsia="Calibri" w:hAnsi="Times New Roman"/>
          <w:spacing w:val="0"/>
          <w:sz w:val="22"/>
          <w:szCs w:val="22"/>
        </w:rPr>
        <w:t>30-</w:t>
      </w:r>
      <w:r w:rsidR="00B27779" w:rsidRPr="005125FE">
        <w:rPr>
          <w:rFonts w:ascii="Times New Roman" w:eastAsia="Calibri" w:hAnsi="Times New Roman"/>
          <w:spacing w:val="0"/>
          <w:sz w:val="22"/>
          <w:szCs w:val="22"/>
        </w:rPr>
        <w:t>d</w:t>
      </w:r>
      <w:r w:rsidRPr="005125FE">
        <w:rPr>
          <w:rFonts w:ascii="Times New Roman" w:eastAsia="Calibri" w:hAnsi="Times New Roman"/>
          <w:spacing w:val="0"/>
          <w:sz w:val="22"/>
          <w:szCs w:val="22"/>
        </w:rPr>
        <w:t xml:space="preserve">ay </w:t>
      </w:r>
      <w:r w:rsidR="00B27779" w:rsidRPr="005125FE">
        <w:rPr>
          <w:rFonts w:ascii="Times New Roman" w:eastAsia="Calibri" w:hAnsi="Times New Roman"/>
          <w:spacing w:val="0"/>
          <w:sz w:val="22"/>
          <w:szCs w:val="22"/>
        </w:rPr>
        <w:t>r</w:t>
      </w:r>
      <w:r w:rsidRPr="005125FE">
        <w:rPr>
          <w:rFonts w:ascii="Times New Roman" w:eastAsia="Calibri" w:hAnsi="Times New Roman"/>
          <w:spacing w:val="0"/>
          <w:sz w:val="22"/>
          <w:szCs w:val="22"/>
        </w:rPr>
        <w:t>eadmission</w:t>
      </w:r>
      <w:r w:rsidR="004F77EE" w:rsidRPr="005125FE">
        <w:rPr>
          <w:rFonts w:ascii="Times New Roman" w:eastAsia="Calibri" w:hAnsi="Times New Roman"/>
          <w:spacing w:val="0"/>
          <w:sz w:val="22"/>
          <w:szCs w:val="22"/>
        </w:rPr>
        <w:t>s</w:t>
      </w:r>
      <w:r w:rsidRPr="005125FE">
        <w:rPr>
          <w:rFonts w:ascii="Times New Roman" w:eastAsia="Calibri" w:hAnsi="Times New Roman"/>
          <w:spacing w:val="0"/>
          <w:sz w:val="22"/>
          <w:szCs w:val="22"/>
        </w:rPr>
        <w:t xml:space="preserve"> </w:t>
      </w:r>
      <w:r w:rsidR="00B27779" w:rsidRPr="005125FE">
        <w:rPr>
          <w:rFonts w:ascii="Times New Roman" w:eastAsia="Calibri" w:hAnsi="Times New Roman"/>
          <w:spacing w:val="0"/>
          <w:sz w:val="22"/>
          <w:szCs w:val="22"/>
        </w:rPr>
        <w:t>policy</w:t>
      </w:r>
      <w:r w:rsidR="004D715F" w:rsidRPr="004F391A">
        <w:rPr>
          <w:rFonts w:ascii="Times New Roman" w:eastAsia="Calibri" w:hAnsi="Times New Roman"/>
          <w:spacing w:val="0"/>
          <w:sz w:val="22"/>
          <w:szCs w:val="22"/>
        </w:rPr>
        <w:t xml:space="preserve"> </w:t>
      </w:r>
      <w:r w:rsidR="00FB2CD2" w:rsidRPr="004F391A">
        <w:rPr>
          <w:rFonts w:ascii="Times New Roman" w:eastAsia="Calibri" w:hAnsi="Times New Roman"/>
          <w:spacing w:val="0"/>
          <w:sz w:val="22"/>
          <w:szCs w:val="22"/>
        </w:rPr>
        <w:t xml:space="preserve">(see </w:t>
      </w:r>
      <w:r w:rsidR="00842D42" w:rsidRPr="004F391A">
        <w:rPr>
          <w:rFonts w:ascii="Times New Roman" w:eastAsia="Calibri" w:hAnsi="Times New Roman"/>
          <w:spacing w:val="0"/>
          <w:sz w:val="22"/>
          <w:szCs w:val="22"/>
        </w:rPr>
        <w:t>Part II, Section 5</w:t>
      </w:r>
      <w:r w:rsidR="00FB2CD2" w:rsidRPr="004F391A">
        <w:rPr>
          <w:rFonts w:ascii="Times New Roman" w:eastAsia="Calibri" w:hAnsi="Times New Roman"/>
          <w:spacing w:val="0"/>
          <w:sz w:val="22"/>
          <w:szCs w:val="22"/>
        </w:rPr>
        <w:t>)</w:t>
      </w:r>
      <w:r w:rsidR="00B27779" w:rsidRPr="004F391A">
        <w:rPr>
          <w:rFonts w:ascii="Times New Roman" w:eastAsia="Calibri" w:hAnsi="Times New Roman"/>
          <w:spacing w:val="0"/>
          <w:sz w:val="22"/>
          <w:szCs w:val="22"/>
        </w:rPr>
        <w:t>.</w:t>
      </w:r>
      <w:r w:rsidR="00A517F6">
        <w:rPr>
          <w:rFonts w:ascii="Times New Roman" w:eastAsia="Calibri" w:hAnsi="Times New Roman"/>
          <w:spacing w:val="0"/>
          <w:sz w:val="22"/>
          <w:szCs w:val="22"/>
        </w:rPr>
        <w:t xml:space="preserve"> </w:t>
      </w:r>
    </w:p>
    <w:p w14:paraId="2F97033D" w14:textId="3D490371"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The APAD Base Year is federal fiscal year (FY) 2</w:t>
      </w:r>
      <w:r w:rsidR="00004475">
        <w:rPr>
          <w:rFonts w:ascii="Times New Roman" w:eastAsia="Calibri" w:hAnsi="Times New Roman"/>
          <w:spacing w:val="0"/>
          <w:sz w:val="22"/>
          <w:szCs w:val="22"/>
        </w:rPr>
        <w:t>017</w:t>
      </w:r>
      <w:r w:rsidRPr="00F5637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The components of the APAD applicable to admissions in </w:t>
      </w:r>
      <w:r w:rsidR="00181DC5">
        <w:rPr>
          <w:rFonts w:ascii="Times New Roman" w:eastAsia="Calibri" w:hAnsi="Times New Roman"/>
          <w:spacing w:val="0"/>
          <w:sz w:val="22"/>
          <w:szCs w:val="22"/>
        </w:rPr>
        <w:t xml:space="preserve">RY21 </w:t>
      </w:r>
      <w:r w:rsidR="0041012A">
        <w:rPr>
          <w:rFonts w:ascii="Times New Roman" w:eastAsia="Calibri" w:hAnsi="Times New Roman"/>
          <w:spacing w:val="0"/>
          <w:sz w:val="22"/>
          <w:szCs w:val="22"/>
        </w:rPr>
        <w:t>are described here</w:t>
      </w:r>
      <w:r w:rsidRPr="00F56372">
        <w:rPr>
          <w:rFonts w:ascii="Times New Roman" w:eastAsia="Calibri" w:hAnsi="Times New Roman"/>
          <w:spacing w:val="0"/>
          <w:sz w:val="22"/>
          <w:szCs w:val="22"/>
        </w:rPr>
        <w:t xml:space="preserve">. </w:t>
      </w:r>
    </w:p>
    <w:p w14:paraId="4F640590" w14:textId="77777777" w:rsidR="00096B9A" w:rsidRPr="00F56372" w:rsidRDefault="00096B9A" w:rsidP="00CF443C">
      <w:pPr>
        <w:spacing w:before="240" w:line="276" w:lineRule="auto"/>
        <w:contextualSpacing/>
        <w:rPr>
          <w:rFonts w:ascii="Times New Roman" w:eastAsia="Calibri" w:hAnsi="Times New Roman"/>
          <w:spacing w:val="0"/>
          <w:sz w:val="22"/>
          <w:szCs w:val="22"/>
        </w:rPr>
      </w:pPr>
    </w:p>
    <w:p w14:paraId="4B364D50" w14:textId="3515E549"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operating standard per discharge is derived from the statewide average hospital all payer cost per discharge using APAD Base Year data, standardized for casemix differences and area wage variation.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costs, weighted </w:t>
      </w:r>
      <w:r w:rsidRPr="005125FE">
        <w:rPr>
          <w:rFonts w:ascii="Times New Roman" w:eastAsia="Calibri" w:hAnsi="Times New Roman"/>
          <w:spacing w:val="0"/>
          <w:sz w:val="22"/>
          <w:szCs w:val="22"/>
        </w:rPr>
        <w:t>by FY</w:t>
      </w:r>
      <w:r w:rsidR="00A61E94" w:rsidRPr="005125FE">
        <w:rPr>
          <w:rFonts w:ascii="Times New Roman" w:eastAsia="Calibri" w:hAnsi="Times New Roman"/>
          <w:spacing w:val="0"/>
          <w:sz w:val="22"/>
          <w:szCs w:val="22"/>
        </w:rPr>
        <w:t>19</w:t>
      </w:r>
      <w:r w:rsidRPr="005125FE">
        <w:rPr>
          <w:rFonts w:ascii="Times New Roman" w:eastAsia="Calibri" w:hAnsi="Times New Roman"/>
          <w:spacing w:val="0"/>
          <w:sz w:val="22"/>
          <w:szCs w:val="22"/>
        </w:rPr>
        <w:t xml:space="preserve"> MassHealth</w:t>
      </w:r>
      <w:r w:rsidRPr="00FE7944">
        <w:rPr>
          <w:rFonts w:ascii="Times New Roman" w:eastAsia="Calibri" w:hAnsi="Times New Roman"/>
          <w:spacing w:val="0"/>
          <w:sz w:val="22"/>
          <w:szCs w:val="22"/>
        </w:rPr>
        <w:t xml:space="preserve">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costs of LARC Devices).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Malpractice and organ acquisition costs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wage area index.</w:t>
      </w:r>
      <w:r w:rsidR="005D44B9">
        <w:rPr>
          <w:rFonts w:ascii="Times New Roman" w:eastAsia="Calibri" w:hAnsi="Times New Roman"/>
          <w:spacing w:val="0"/>
          <w:sz w:val="22"/>
          <w:szCs w:val="22"/>
        </w:rPr>
        <w:t xml:space="preserve"> </w:t>
      </w:r>
    </w:p>
    <w:p w14:paraId="7D40D465" w14:textId="2409F631"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casemix-adjusted capital costs, weighted </w:t>
      </w:r>
      <w:r w:rsidRPr="005125FE">
        <w:rPr>
          <w:rFonts w:ascii="Times New Roman" w:eastAsia="Calibri" w:hAnsi="Times New Roman"/>
          <w:spacing w:val="0"/>
          <w:sz w:val="22"/>
          <w:szCs w:val="22"/>
        </w:rPr>
        <w:t xml:space="preserve">by </w:t>
      </w:r>
      <w:r w:rsidR="00E42D5E" w:rsidRPr="005125FE">
        <w:rPr>
          <w:rFonts w:ascii="Times New Roman" w:eastAsia="Calibri" w:hAnsi="Times New Roman"/>
          <w:spacing w:val="0"/>
          <w:sz w:val="22"/>
          <w:szCs w:val="22"/>
        </w:rPr>
        <w:t>FY1</w:t>
      </w:r>
      <w:r w:rsidR="00181DC5" w:rsidRPr="005125FE">
        <w:rPr>
          <w:rFonts w:ascii="Times New Roman" w:eastAsia="Calibri" w:hAnsi="Times New Roman"/>
          <w:spacing w:val="0"/>
          <w:sz w:val="22"/>
          <w:szCs w:val="22"/>
        </w:rPr>
        <w:t>9</w:t>
      </w:r>
      <w:r w:rsidR="00E42D5E"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3B211AD5" w14:textId="77777777" w:rsidR="00096B9A" w:rsidRPr="00FE7944"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4D715F" w:rsidRPr="0021273C">
        <w:rPr>
          <w:rFonts w:ascii="Times New Roman" w:eastAsia="Calibri" w:hAnsi="Times New Roman"/>
          <w:spacing w:val="0"/>
          <w:sz w:val="22"/>
          <w:szCs w:val="22"/>
        </w:rPr>
        <w:t>3</w:t>
      </w:r>
      <w:r w:rsidR="004D715F">
        <w:rPr>
          <w:rFonts w:ascii="Times New Roman" w:eastAsia="Calibri" w:hAnsi="Times New Roman"/>
          <w:spacing w:val="0"/>
          <w:sz w:val="22"/>
          <w:szCs w:val="22"/>
        </w:rPr>
        <w:t>6</w:t>
      </w:r>
      <w:r w:rsidR="004D715F"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and Massachusetts weights.</w:t>
      </w:r>
      <w:r w:rsidR="005D44B9">
        <w:rPr>
          <w:rFonts w:ascii="Times New Roman" w:eastAsia="Calibri" w:hAnsi="Times New Roman"/>
          <w:spacing w:val="0"/>
          <w:sz w:val="22"/>
          <w:szCs w:val="22"/>
        </w:rPr>
        <w:t xml:space="preserve"> </w:t>
      </w:r>
    </w:p>
    <w:p w14:paraId="000F25D7" w14:textId="77777777" w:rsidR="00096B9A" w:rsidRPr="00EF79B1"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 xml:space="preserve">assigned a MassHealth DRG Weight of 3.5 or greater </w:t>
      </w:r>
      <w:r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w:t>
      </w:r>
      <w:r w:rsidRPr="00EF79B1">
        <w:rPr>
          <w:rFonts w:ascii="Times New Roman" w:eastAsia="Calibri" w:hAnsi="Times New Roman"/>
          <w:spacing w:val="0"/>
          <w:sz w:val="22"/>
          <w:szCs w:val="22"/>
        </w:rPr>
        <w:t xml:space="preserve">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sidRPr="0041012A">
        <w:rPr>
          <w:rFonts w:ascii="Times New Roman" w:eastAsia="Calibri" w:hAnsi="Times New Roman"/>
          <w:spacing w:val="0"/>
          <w:sz w:val="22"/>
          <w:szCs w:val="22"/>
          <w:vertAlign w:val="superscript"/>
        </w:rPr>
        <w:footnoteReference w:id="9"/>
      </w:r>
      <w:r w:rsidRPr="0041012A">
        <w:rPr>
          <w:rFonts w:ascii="Times New Roman" w:eastAsia="Calibri" w:hAnsi="Times New Roman"/>
          <w:spacing w:val="0"/>
          <w:sz w:val="22"/>
          <w:szCs w:val="22"/>
          <w:vertAlign w:val="superscript"/>
        </w:rPr>
        <w:t xml:space="preserve"> </w:t>
      </w:r>
      <w:r>
        <w:rPr>
          <w:rFonts w:ascii="Times New Roman" w:eastAsia="Calibri" w:hAnsi="Times New Roman"/>
          <w:spacing w:val="0"/>
          <w:sz w:val="22"/>
          <w:szCs w:val="22"/>
        </w:rPr>
        <w:t xml:space="preserve">for members under the age of 21 at the time of admission, </w:t>
      </w:r>
      <w:r w:rsidR="00E42D5E">
        <w:rPr>
          <w:rFonts w:ascii="Times New Roman" w:eastAsia="Calibri" w:hAnsi="Times New Roman"/>
          <w:spacing w:val="0"/>
          <w:sz w:val="22"/>
          <w:szCs w:val="22"/>
        </w:rPr>
        <w:t xml:space="preserve">or </w:t>
      </w:r>
      <w:r>
        <w:rPr>
          <w:rFonts w:ascii="Times New Roman" w:eastAsia="Calibri" w:hAnsi="Times New Roman"/>
          <w:spacing w:val="0"/>
          <w:sz w:val="22"/>
          <w:szCs w:val="22"/>
        </w:rPr>
        <w:t xml:space="preserve">(ii)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0"/>
      </w:r>
      <w:r w:rsidRPr="00EF79B1">
        <w:rPr>
          <w:rFonts w:ascii="Times New Roman" w:eastAsia="Calibri" w:hAnsi="Times New Roman"/>
          <w:spacing w:val="0"/>
          <w:sz w:val="22"/>
          <w:szCs w:val="22"/>
        </w:rPr>
        <w:t xml:space="preserve"> the APAD Base Payment will be adjusted to include an additional </w:t>
      </w:r>
      <w:r w:rsidR="004D715F">
        <w:rPr>
          <w:rFonts w:ascii="Times New Roman" w:eastAsia="Calibri" w:hAnsi="Times New Roman"/>
          <w:spacing w:val="0"/>
          <w:sz w:val="22"/>
          <w:szCs w:val="22"/>
        </w:rPr>
        <w:t>57</w:t>
      </w:r>
      <w:r w:rsidRPr="00EF79B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02B4F04" w14:textId="77777777"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FE7944" w:rsidRDefault="00096B9A" w:rsidP="004C35B7">
      <w:pPr>
        <w:pStyle w:val="Heading4"/>
      </w:pPr>
      <w:r w:rsidRPr="00FE7944">
        <w:t>Outlier Payment</w:t>
      </w:r>
    </w:p>
    <w:p w14:paraId="5F9C6E4A" w14:textId="1CE749A8"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181DC5">
        <w:rPr>
          <w:rFonts w:ascii="Times New Roman" w:eastAsia="Calibri" w:hAnsi="Times New Roman"/>
          <w:spacing w:val="0"/>
          <w:sz w:val="22"/>
          <w:szCs w:val="22"/>
        </w:rPr>
        <w:t>RY21</w:t>
      </w:r>
      <w:r w:rsidR="00E5226D">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outlier payment is calculated by multiplying the marginal cost factor of </w:t>
      </w:r>
      <w:r w:rsidR="004D715F">
        <w:rPr>
          <w:rFonts w:ascii="Times New Roman" w:eastAsia="Calibri" w:hAnsi="Times New Roman"/>
          <w:spacing w:val="0"/>
          <w:sz w:val="22"/>
          <w:szCs w:val="22"/>
        </w:rPr>
        <w:t>60</w:t>
      </w:r>
      <w:r w:rsidRPr="00FE7944">
        <w:rPr>
          <w:rFonts w:ascii="Times New Roman" w:eastAsia="Calibri" w:hAnsi="Times New Roman"/>
          <w:spacing w:val="0"/>
          <w:sz w:val="22"/>
          <w:szCs w:val="22"/>
        </w:rPr>
        <w:t>%, by the difference between the discharge-specific case cost and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discharge-specific case cost equals the hospital’s allowed charges for the discharge, as determined by MassHealth, multiplied by the </w:t>
      </w:r>
      <w:r w:rsidRPr="005125FE">
        <w:rPr>
          <w:rFonts w:ascii="Times New Roman" w:eastAsia="Calibri" w:hAnsi="Times New Roman"/>
          <w:spacing w:val="0"/>
          <w:sz w:val="22"/>
          <w:szCs w:val="22"/>
        </w:rPr>
        <w:t xml:space="preserve">hospital’s </w:t>
      </w:r>
      <w:r w:rsidR="00597757" w:rsidRPr="005125FE">
        <w:rPr>
          <w:rFonts w:ascii="Times New Roman" w:eastAsia="Calibri" w:hAnsi="Times New Roman"/>
          <w:spacing w:val="0"/>
          <w:sz w:val="22"/>
          <w:szCs w:val="22"/>
        </w:rPr>
        <w:t xml:space="preserve">FY18 </w:t>
      </w:r>
      <w:r w:rsidRPr="005125FE">
        <w:rPr>
          <w:rFonts w:ascii="Times New Roman" w:eastAsia="Calibri" w:hAnsi="Times New Roman"/>
          <w:spacing w:val="0"/>
          <w:sz w:val="22"/>
          <w:szCs w:val="22"/>
        </w:rPr>
        <w:t>inpatient</w:t>
      </w:r>
      <w:r w:rsidRPr="00FE7944">
        <w:rPr>
          <w:rFonts w:ascii="Times New Roman" w:eastAsia="Calibri" w:hAnsi="Times New Roman"/>
          <w:spacing w:val="0"/>
          <w:sz w:val="22"/>
          <w:szCs w:val="22"/>
        </w:rPr>
        <w:t xml:space="preserve"> cost-to-charge ratio.</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4D715F">
        <w:rPr>
          <w:rFonts w:ascii="Times New Roman" w:eastAsia="Calibri" w:hAnsi="Times New Roman"/>
          <w:spacing w:val="0"/>
          <w:sz w:val="22"/>
          <w:szCs w:val="22"/>
        </w:rPr>
        <w:t>38,</w:t>
      </w:r>
      <w:r w:rsidR="00181DC5">
        <w:rPr>
          <w:rFonts w:ascii="Times New Roman" w:eastAsia="Calibri" w:hAnsi="Times New Roman"/>
          <w:spacing w:val="0"/>
          <w:sz w:val="22"/>
          <w:szCs w:val="22"/>
        </w:rPr>
        <w:t>400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 xml:space="preserve">defined </w:t>
      </w:r>
      <w:r w:rsidR="0041012A">
        <w:rPr>
          <w:rFonts w:ascii="Times New Roman" w:eastAsia="Calibri" w:hAnsi="Times New Roman"/>
          <w:spacing w:val="0"/>
          <w:sz w:val="22"/>
          <w:szCs w:val="22"/>
        </w:rPr>
        <w:t>later</w:t>
      </w:r>
      <w:r w:rsidRPr="00FE7944">
        <w:rPr>
          <w:rFonts w:ascii="Times New Roman" w:eastAsia="Calibri" w:hAnsi="Times New Roman"/>
          <w:spacing w:val="0"/>
          <w:sz w:val="22"/>
          <w:szCs w:val="22"/>
        </w:rPr>
        <w:t>) are excluded during these calculations.</w:t>
      </w:r>
      <w:r w:rsidR="005D44B9">
        <w:rPr>
          <w:rFonts w:ascii="Times New Roman" w:eastAsia="Calibri" w:hAnsi="Times New Roman"/>
          <w:spacing w:val="0"/>
          <w:sz w:val="22"/>
          <w:szCs w:val="22"/>
        </w:rPr>
        <w:t xml:space="preserve"> </w:t>
      </w:r>
    </w:p>
    <w:p w14:paraId="0F3FE66D" w14:textId="77777777"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14:paraId="21779966" w14:textId="77777777" w:rsidR="00096B9A" w:rsidRPr="00FE7944" w:rsidRDefault="00096B9A" w:rsidP="004C35B7">
      <w:pPr>
        <w:pStyle w:val="Heading4"/>
      </w:pPr>
      <w:r w:rsidRPr="00FE7944">
        <w:t>Transfer Per Diem</w:t>
      </w:r>
    </w:p>
    <w:p w14:paraId="57F70467" w14:textId="1279046D" w:rsidR="00096B9A" w:rsidRPr="00FE7944" w:rsidRDefault="00096B9A" w:rsidP="000F528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are paid on a transfer per diem basis.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Transfer per diem payments are subject to a total transfer case payment cap.</w:t>
      </w:r>
      <w:r w:rsidR="005D44B9">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FE7944">
        <w:rPr>
          <w:rFonts w:ascii="Times New Roman" w:eastAsia="Calibri" w:hAnsi="Times New Roman"/>
          <w:b/>
          <w:spacing w:val="0"/>
          <w:sz w:val="22"/>
          <w:szCs w:val="22"/>
        </w:rPr>
        <w:t xml:space="preserve"> </w:t>
      </w:r>
    </w:p>
    <w:p w14:paraId="3A70BD42" w14:textId="77777777" w:rsidR="00096B9A" w:rsidRPr="00FE7944" w:rsidRDefault="00096B9A" w:rsidP="004C35B7">
      <w:pPr>
        <w:pStyle w:val="Heading4"/>
      </w:pPr>
      <w:r w:rsidRPr="00FE7944">
        <w:t>Other Per Diems</w:t>
      </w:r>
    </w:p>
    <w:p w14:paraId="12195EA7" w14:textId="77777777"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Pr>
          <w:rFonts w:ascii="Times New Roman" w:eastAsia="Calibri" w:hAnsi="Times New Roman"/>
          <w:spacing w:val="0"/>
          <w:sz w:val="22"/>
          <w:szCs w:val="22"/>
        </w:rPr>
        <w:t>,</w:t>
      </w:r>
      <w:r w:rsidR="00096B9A" w:rsidRPr="00FE7944">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Administrative days are also paid a per diem rate.</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All per diems are all-inclusive.</w:t>
      </w:r>
      <w:r w:rsidR="005D44B9">
        <w:rPr>
          <w:rFonts w:ascii="Times New Roman" w:eastAsia="Calibri" w:hAnsi="Times New Roman"/>
          <w:spacing w:val="0"/>
          <w:sz w:val="22"/>
          <w:szCs w:val="22"/>
        </w:rPr>
        <w:t xml:space="preserve"> </w:t>
      </w:r>
    </w:p>
    <w:p w14:paraId="7250DFB1" w14:textId="1DDB58A9" w:rsidR="00096B9A" w:rsidRPr="00FE7944" w:rsidRDefault="00096B9A" w:rsidP="00CF443C">
      <w:pPr>
        <w:spacing w:line="276" w:lineRule="auto"/>
        <w:ind w:left="360"/>
        <w:contextualSpacing/>
        <w:rPr>
          <w:rFonts w:ascii="Times New Roman" w:eastAsia="Calibri" w:hAnsi="Times New Roman"/>
          <w:spacing w:val="0"/>
          <w:sz w:val="22"/>
          <w:szCs w:val="22"/>
        </w:rPr>
      </w:pPr>
    </w:p>
    <w:p w14:paraId="23A27DE4" w14:textId="77777777" w:rsidR="00096B9A" w:rsidRPr="00FE7944" w:rsidRDefault="00096B9A" w:rsidP="004C35B7">
      <w:pPr>
        <w:pStyle w:val="Heading4"/>
      </w:pPr>
      <w:r w:rsidRPr="00FE7944">
        <w:t xml:space="preserve">LARC Device </w:t>
      </w:r>
    </w:p>
    <w:p w14:paraId="2BC45F95" w14:textId="77777777"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w:t>
      </w:r>
      <w:r w:rsidR="007D073C">
        <w:rPr>
          <w:rFonts w:ascii="Times New Roman" w:eastAsia="Calibri" w:hAnsi="Times New Roman"/>
          <w:spacing w:val="0"/>
          <w:sz w:val="22"/>
          <w:szCs w:val="22"/>
        </w:rPr>
        <w:t xml:space="preserve">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will be in accordance with the fee schedule rates for such devices set forth in EOHHS regulations at 101 CMR 317.00 (Medicine).</w:t>
      </w:r>
    </w:p>
    <w:p w14:paraId="2793A31C" w14:textId="77777777" w:rsidR="00C629CC" w:rsidRDefault="00C629CC" w:rsidP="00C629CC">
      <w:pPr>
        <w:spacing w:line="276" w:lineRule="auto"/>
        <w:ind w:left="360"/>
        <w:contextualSpacing/>
        <w:rPr>
          <w:rFonts w:ascii="Times New Roman" w:eastAsia="Calibri" w:hAnsi="Times New Roman"/>
          <w:spacing w:val="0"/>
          <w:sz w:val="22"/>
          <w:szCs w:val="22"/>
        </w:rPr>
      </w:pPr>
    </w:p>
    <w:p w14:paraId="65E523B0" w14:textId="77777777" w:rsidR="00C629CC" w:rsidRDefault="007D073C" w:rsidP="004C35B7">
      <w:pPr>
        <w:pStyle w:val="Heading4"/>
      </w:pPr>
      <w:r>
        <w:lastRenderedPageBreak/>
        <w:t>APAD Carve-Out Drugs</w:t>
      </w:r>
    </w:p>
    <w:p w14:paraId="229711D2" w14:textId="4D498BE1" w:rsidR="00A74525" w:rsidRPr="00C629CC" w:rsidRDefault="00322F6F" w:rsidP="00C629CC">
      <w:pPr>
        <w:spacing w:line="276" w:lineRule="auto"/>
        <w:ind w:left="360"/>
        <w:contextualSpacing/>
        <w:rPr>
          <w:rFonts w:ascii="Times New Roman" w:eastAsia="Calibri" w:hAnsi="Times New Roman"/>
          <w:b/>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sidRPr="00466E69">
        <w:rPr>
          <w:rFonts w:ascii="Times New Roman" w:eastAsia="Calibri" w:hAnsi="Times New Roman"/>
          <w:spacing w:val="0"/>
          <w:sz w:val="22"/>
          <w:szCs w:val="22"/>
          <w:vertAlign w:val="superscript"/>
        </w:rPr>
        <w:footnoteReference w:id="11"/>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t>M</w:t>
      </w:r>
      <w:r w:rsidR="00A74525" w:rsidRPr="00A74525">
        <w:rPr>
          <w:rFonts w:ascii="Times New Roman" w:eastAsia="Calibri" w:hAnsi="Times New Roman"/>
          <w:spacing w:val="0"/>
          <w:sz w:val="22"/>
          <w:szCs w:val="22"/>
        </w:rPr>
        <w:t xml:space="preserve">assHealth payment for APAD Carve-Out Drugs will be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181DC5">
        <w:rPr>
          <w:rFonts w:ascii="Times New Roman" w:eastAsia="Calibri" w:hAnsi="Times New Roman"/>
          <w:spacing w:val="0"/>
          <w:sz w:val="22"/>
          <w:szCs w:val="22"/>
        </w:rPr>
        <w:t>.</w:t>
      </w:r>
      <w:r w:rsidR="00A74525" w:rsidRPr="00322F6F">
        <w:rPr>
          <w:rFonts w:ascii="Times New Roman" w:eastAsia="Calibri" w:hAnsi="Times New Roman"/>
          <w:spacing w:val="0"/>
          <w:sz w:val="22"/>
          <w:szCs w:val="22"/>
          <w:vertAlign w:val="superscript"/>
        </w:rPr>
        <w:footnoteReference w:id="12"/>
      </w:r>
      <w:r w:rsidR="005D44B9">
        <w:rPr>
          <w:rFonts w:ascii="Times New Roman" w:eastAsia="Calibri" w:hAnsi="Times New Roman"/>
          <w:spacing w:val="0"/>
          <w:sz w:val="22"/>
          <w:szCs w:val="22"/>
        </w:rPr>
        <w:t xml:space="preserve"> </w:t>
      </w:r>
    </w:p>
    <w:p w14:paraId="18937AEF" w14:textId="77777777" w:rsidR="00096B9A" w:rsidRPr="00634C02" w:rsidRDefault="00096B9A" w:rsidP="004C35B7">
      <w:pPr>
        <w:pStyle w:val="Heading4"/>
      </w:pPr>
      <w:r w:rsidRPr="00634C02">
        <w:t>Critical Access Hospitals</w:t>
      </w:r>
    </w:p>
    <w:p w14:paraId="6CDFEDE6" w14:textId="2F5AF643"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181DC5">
        <w:rPr>
          <w:rFonts w:ascii="Times New Roman" w:eastAsia="Calibri" w:hAnsi="Times New Roman"/>
          <w:spacing w:val="0"/>
          <w:sz w:val="22"/>
          <w:szCs w:val="22"/>
        </w:rPr>
        <w:t>FY21</w:t>
      </w:r>
      <w:r w:rsidR="00181DC5"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Pr>
          <w:rFonts w:ascii="Times New Roman" w:eastAsia="Calibri" w:hAnsi="Times New Roman"/>
          <w:spacing w:val="0"/>
          <w:sz w:val="22"/>
          <w:szCs w:val="22"/>
        </w:rPr>
        <w:t xml:space="preserve">effective as of </w:t>
      </w:r>
      <w:r w:rsidR="00181DC5">
        <w:rPr>
          <w:rFonts w:ascii="Times New Roman" w:eastAsia="Calibri" w:hAnsi="Times New Roman"/>
          <w:spacing w:val="0"/>
          <w:sz w:val="22"/>
          <w:szCs w:val="22"/>
        </w:rPr>
        <w:t xml:space="preserve">RY21 </w:t>
      </w:r>
      <w:r w:rsidRPr="00FE7944">
        <w:rPr>
          <w:rFonts w:ascii="Times New Roman" w:eastAsia="Calibri" w:hAnsi="Times New Roman"/>
          <w:spacing w:val="0"/>
          <w:sz w:val="22"/>
          <w:szCs w:val="22"/>
        </w:rPr>
        <w:t xml:space="preserve">have been updated utilizing more recent data (based </w:t>
      </w:r>
      <w:r w:rsidRPr="00A61E94">
        <w:rPr>
          <w:rFonts w:ascii="Times New Roman" w:eastAsia="Calibri" w:hAnsi="Times New Roman"/>
          <w:spacing w:val="0"/>
          <w:sz w:val="22"/>
          <w:szCs w:val="22"/>
        </w:rPr>
        <w:t xml:space="preserve">on </w:t>
      </w:r>
      <w:r w:rsidR="00181DC5" w:rsidRPr="00A61E94">
        <w:rPr>
          <w:rFonts w:ascii="Times New Roman" w:eastAsia="Calibri" w:hAnsi="Times New Roman"/>
          <w:spacing w:val="0"/>
          <w:sz w:val="22"/>
          <w:szCs w:val="22"/>
        </w:rPr>
        <w:t xml:space="preserve">FY19 </w:t>
      </w:r>
      <w:r w:rsidRPr="00A61E94">
        <w:rPr>
          <w:rFonts w:ascii="Times New Roman" w:eastAsia="Calibri" w:hAnsi="Times New Roman"/>
          <w:spacing w:val="0"/>
          <w:sz w:val="22"/>
          <w:szCs w:val="22"/>
        </w:rPr>
        <w:t>CMS 2552-10 cost reports</w:t>
      </w:r>
      <w:r w:rsidRPr="00FE7944">
        <w:rPr>
          <w:rFonts w:ascii="Times New Roman" w:eastAsia="Calibri" w:hAnsi="Times New Roman"/>
          <w:spacing w:val="0"/>
          <w:sz w:val="22"/>
          <w:szCs w:val="22"/>
        </w:rPr>
        <w:t>),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FE7944" w:rsidRDefault="009D6EEF" w:rsidP="00096B9A">
      <w:pPr>
        <w:spacing w:line="276" w:lineRule="auto"/>
        <w:ind w:left="360"/>
        <w:rPr>
          <w:rFonts w:ascii="Times New Roman" w:eastAsia="Calibri" w:hAnsi="Times New Roman"/>
          <w:spacing w:val="0"/>
          <w:sz w:val="22"/>
          <w:szCs w:val="22"/>
        </w:rPr>
      </w:pPr>
    </w:p>
    <w:p w14:paraId="27E1F3F7" w14:textId="4FA6384A" w:rsidR="00096B9A" w:rsidRPr="004C35B7" w:rsidRDefault="00C11D3E" w:rsidP="00096B9A">
      <w:pPr>
        <w:spacing w:line="276" w:lineRule="auto"/>
        <w:ind w:left="360"/>
        <w:rPr>
          <w:rFonts w:ascii="Times New Roman" w:eastAsia="Calibri" w:hAnsi="Times New Roman"/>
          <w:b/>
          <w:sz w:val="22"/>
          <w:szCs w:val="22"/>
        </w:rPr>
      </w:pPr>
      <w:r w:rsidRPr="004F391A">
        <w:rPr>
          <w:rFonts w:ascii="Times New Roman" w:eastAsia="Calibri" w:hAnsi="Times New Roman"/>
          <w:b/>
          <w:sz w:val="22"/>
          <w:szCs w:val="22"/>
        </w:rPr>
        <w:t>RY2</w:t>
      </w:r>
      <w:r w:rsidR="00283FE1" w:rsidRPr="0095313A">
        <w:rPr>
          <w:rFonts w:ascii="Times New Roman" w:eastAsia="Calibri" w:hAnsi="Times New Roman"/>
          <w:b/>
          <w:sz w:val="22"/>
          <w:szCs w:val="22"/>
        </w:rPr>
        <w:t>1</w:t>
      </w:r>
      <w:r w:rsidRPr="004F391A">
        <w:rPr>
          <w:rFonts w:ascii="Times New Roman" w:eastAsia="Calibri" w:hAnsi="Times New Roman"/>
          <w:b/>
          <w:sz w:val="22"/>
          <w:szCs w:val="22"/>
        </w:rPr>
        <w:t xml:space="preserve"> </w:t>
      </w:r>
      <w:r w:rsidR="00096B9A" w:rsidRPr="004F391A">
        <w:rPr>
          <w:rFonts w:ascii="Times New Roman" w:eastAsia="Calibri" w:hAnsi="Times New Roman"/>
          <w:b/>
          <w:sz w:val="22"/>
          <w:szCs w:val="22"/>
        </w:rPr>
        <w:t>In-S</w:t>
      </w:r>
      <w:r w:rsidR="00096B9A" w:rsidRPr="004C35B7">
        <w:rPr>
          <w:rFonts w:ascii="Times New Roman" w:eastAsia="Calibri" w:hAnsi="Times New Roman"/>
          <w:b/>
          <w:sz w:val="22"/>
          <w:szCs w:val="22"/>
        </w:rPr>
        <w:t>tate Acute Inpatient Hospital Rates and Rate Components</w:t>
      </w:r>
    </w:p>
    <w:p w14:paraId="225922D9" w14:textId="083DDF6D"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181DC5" w:rsidRPr="004F391A">
        <w:rPr>
          <w:rFonts w:ascii="Times New Roman" w:eastAsia="Calibri" w:hAnsi="Times New Roman"/>
          <w:sz w:val="22"/>
          <w:szCs w:val="22"/>
        </w:rPr>
        <w:t>RY2</w:t>
      </w:r>
      <w:r w:rsidR="00283FE1" w:rsidRPr="0095313A">
        <w:rPr>
          <w:rFonts w:ascii="Times New Roman" w:eastAsia="Calibri" w:hAnsi="Times New Roman"/>
          <w:sz w:val="22"/>
          <w:szCs w:val="22"/>
        </w:rPr>
        <w:t>1</w:t>
      </w:r>
      <w:r w:rsidR="00181DC5" w:rsidRPr="004F391A">
        <w:rPr>
          <w:rFonts w:ascii="Times New Roman" w:eastAsia="Calibri" w:hAnsi="Times New Roman"/>
          <w:sz w:val="22"/>
          <w:szCs w:val="22"/>
        </w:rPr>
        <w:t xml:space="preserve"> </w:t>
      </w:r>
      <w:r w:rsidRPr="004F391A">
        <w:rPr>
          <w:rFonts w:ascii="Times New Roman" w:eastAsia="Calibri" w:hAnsi="Times New Roman"/>
          <w:sz w:val="22"/>
          <w:szCs w:val="22"/>
        </w:rPr>
        <w:t>are set</w:t>
      </w:r>
      <w:r w:rsidRPr="00FE7944">
        <w:rPr>
          <w:rFonts w:ascii="Times New Roman" w:eastAsia="Calibri" w:hAnsi="Times New Roman"/>
          <w:sz w:val="22"/>
          <w:szCs w:val="22"/>
        </w:rPr>
        <w:t xml:space="preserve"> forth in </w:t>
      </w:r>
      <w:r w:rsidRPr="00466E69">
        <w:rPr>
          <w:rFonts w:ascii="Times New Roman" w:eastAsia="Calibri" w:hAnsi="Times New Roman"/>
          <w:sz w:val="22"/>
          <w:szCs w:val="22"/>
        </w:rPr>
        <w:t>Attachment B</w:t>
      </w:r>
      <w:r w:rsidRPr="00FE7944">
        <w:rPr>
          <w:rFonts w:ascii="Times New Roman" w:eastAsia="Calibri" w:hAnsi="Times New Roman"/>
          <w:sz w:val="22"/>
          <w:szCs w:val="22"/>
        </w:rPr>
        <w:t>.</w:t>
      </w:r>
    </w:p>
    <w:p w14:paraId="509AA9AF" w14:textId="0BB5476C" w:rsidR="00096B9A" w:rsidRPr="00FE7944" w:rsidRDefault="00096B9A" w:rsidP="004C35B7">
      <w:pPr>
        <w:pStyle w:val="Heading3"/>
      </w:pPr>
      <w:r w:rsidRPr="00FE7944">
        <w:t>Summary of Changes</w:t>
      </w:r>
    </w:p>
    <w:p w14:paraId="586C8A05" w14:textId="5188B60A" w:rsidR="00096B9A" w:rsidRDefault="00181DC5" w:rsidP="00096B9A">
      <w:pPr>
        <w:ind w:left="720"/>
        <w:rPr>
          <w:rFonts w:ascii="Times New Roman" w:eastAsia="Calibri" w:hAnsi="Times New Roman"/>
          <w:spacing w:val="0"/>
          <w:sz w:val="22"/>
          <w:szCs w:val="22"/>
        </w:rPr>
      </w:pPr>
      <w:r w:rsidRPr="004F391A">
        <w:rPr>
          <w:rFonts w:ascii="Times New Roman" w:eastAsia="Calibri" w:hAnsi="Times New Roman"/>
          <w:spacing w:val="0"/>
          <w:sz w:val="22"/>
          <w:szCs w:val="22"/>
        </w:rPr>
        <w:t>RY2</w:t>
      </w:r>
      <w:r w:rsidR="00283FE1" w:rsidRPr="0095313A">
        <w:rPr>
          <w:rFonts w:ascii="Times New Roman" w:eastAsia="Calibri" w:hAnsi="Times New Roman"/>
          <w:spacing w:val="0"/>
          <w:sz w:val="22"/>
          <w:szCs w:val="22"/>
        </w:rPr>
        <w:t>1</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 methods for in-state acute inpatien</w:t>
      </w:r>
      <w:r w:rsidR="00C93D74" w:rsidRPr="004F391A">
        <w:rPr>
          <w:rFonts w:ascii="Times New Roman" w:eastAsia="Calibri" w:hAnsi="Times New Roman"/>
          <w:spacing w:val="0"/>
          <w:sz w:val="22"/>
          <w:szCs w:val="22"/>
        </w:rPr>
        <w:t xml:space="preserve">t hospital services include </w:t>
      </w:r>
      <w:r w:rsidR="00096B9A" w:rsidRPr="004F391A">
        <w:rPr>
          <w:rFonts w:ascii="Times New Roman" w:eastAsia="Calibri" w:hAnsi="Times New Roman"/>
          <w:spacing w:val="0"/>
          <w:sz w:val="22"/>
          <w:szCs w:val="22"/>
        </w:rPr>
        <w:t xml:space="preserve">changes from the </w:t>
      </w:r>
      <w:r w:rsidRPr="004F391A">
        <w:rPr>
          <w:rFonts w:ascii="Times New Roman" w:eastAsia="Calibri" w:hAnsi="Times New Roman"/>
          <w:spacing w:val="0"/>
          <w:sz w:val="22"/>
          <w:szCs w:val="22"/>
        </w:rPr>
        <w:t>RY</w:t>
      </w:r>
      <w:r w:rsidR="00283FE1" w:rsidRPr="0095313A">
        <w:rPr>
          <w:rFonts w:ascii="Times New Roman" w:eastAsia="Calibri" w:hAnsi="Times New Roman"/>
          <w:spacing w:val="0"/>
          <w:sz w:val="22"/>
          <w:szCs w:val="22"/>
        </w:rPr>
        <w:t>20</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w:t>
      </w:r>
      <w:r w:rsidR="00096B9A" w:rsidRPr="00FE7944">
        <w:rPr>
          <w:rFonts w:ascii="Times New Roman" w:eastAsia="Calibri" w:hAnsi="Times New Roman"/>
          <w:spacing w:val="0"/>
          <w:sz w:val="22"/>
          <w:szCs w:val="22"/>
        </w:rPr>
        <w:t xml:space="preserve"> methods</w:t>
      </w:r>
      <w:r w:rsidR="00F56263">
        <w:rPr>
          <w:rFonts w:ascii="Times New Roman" w:eastAsia="Calibri" w:hAnsi="Times New Roman"/>
          <w:spacing w:val="0"/>
          <w:sz w:val="22"/>
          <w:szCs w:val="22"/>
        </w:rPr>
        <w:t>, including the following</w:t>
      </w:r>
      <w:r w:rsidR="00466E69">
        <w:rPr>
          <w:rFonts w:ascii="Times New Roman" w:eastAsia="Calibri" w:hAnsi="Times New Roman"/>
          <w:spacing w:val="0"/>
          <w:sz w:val="22"/>
          <w:szCs w:val="22"/>
        </w:rPr>
        <w:t>.</w:t>
      </w:r>
    </w:p>
    <w:p w14:paraId="56F7CDC9" w14:textId="77777777" w:rsidR="00F56263" w:rsidRPr="00FE7944" w:rsidRDefault="00F56263" w:rsidP="00096B9A">
      <w:pPr>
        <w:ind w:left="720"/>
        <w:rPr>
          <w:rFonts w:ascii="Times New Roman" w:eastAsia="Calibri" w:hAnsi="Times New Roman"/>
          <w:spacing w:val="0"/>
          <w:sz w:val="22"/>
          <w:szCs w:val="22"/>
        </w:rPr>
      </w:pPr>
    </w:p>
    <w:p w14:paraId="7B9E8E67" w14:textId="77777777" w:rsidR="00096B9A" w:rsidRPr="00FE7944"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14:paraId="0CCA0553" w14:textId="77777777" w:rsidR="00096B9A" w:rsidRPr="005C07C0"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t>
      </w:r>
      <w:r w:rsidR="004D715F">
        <w:rPr>
          <w:rFonts w:ascii="Times New Roman" w:eastAsia="Calibri" w:hAnsi="Times New Roman"/>
          <w:spacing w:val="0"/>
          <w:sz w:val="22"/>
          <w:szCs w:val="22"/>
        </w:rPr>
        <w:t>remains</w:t>
      </w:r>
      <w:r w:rsidRPr="005C07C0">
        <w:rPr>
          <w:rFonts w:ascii="Times New Roman" w:eastAsia="Calibri" w:hAnsi="Times New Roman"/>
          <w:spacing w:val="0"/>
          <w:sz w:val="22"/>
          <w:szCs w:val="22"/>
        </w:rPr>
        <w:t xml:space="preserve"> </w:t>
      </w:r>
      <w:r w:rsidR="00BF5E52" w:rsidRPr="005C07C0">
        <w:rPr>
          <w:rFonts w:ascii="Times New Roman" w:eastAsia="Calibri" w:hAnsi="Times New Roman"/>
          <w:spacing w:val="0"/>
          <w:sz w:val="22"/>
          <w:szCs w:val="22"/>
        </w:rPr>
        <w:t>FY17</w:t>
      </w:r>
      <w:r w:rsidR="007F5AC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D3AF707" w14:textId="77777777" w:rsidR="00096B9A" w:rsidRPr="00FE7944"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14:paraId="1A239206" w14:textId="594C6A02" w:rsidR="009030FA"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 xml:space="preserve">CMS updates, and the method used to calculate the hospital’s Massachusetts-specific wage area index </w:t>
      </w:r>
      <w:r w:rsidR="00597757">
        <w:rPr>
          <w:rFonts w:ascii="Times New Roman" w:eastAsia="Calibri" w:hAnsi="Times New Roman"/>
          <w:spacing w:val="0"/>
          <w:sz w:val="22"/>
          <w:szCs w:val="22"/>
        </w:rPr>
        <w:t>remains the same</w:t>
      </w:r>
      <w:r w:rsidR="007921A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1A5B8C9" w14:textId="038BC949" w:rsidR="000979DD"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181DC5">
        <w:rPr>
          <w:rFonts w:ascii="Times New Roman" w:eastAsia="Calibri" w:hAnsi="Times New Roman"/>
          <w:spacing w:val="0"/>
          <w:sz w:val="22"/>
          <w:szCs w:val="22"/>
        </w:rPr>
        <w:t>90.78</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AED13C" w14:textId="424DAFB2" w:rsidR="00096B9A"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For price changes between </w:t>
      </w:r>
      <w:r w:rsidR="00181DC5" w:rsidRPr="000979DD">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00181DC5" w:rsidRPr="000979DD">
        <w:rPr>
          <w:rFonts w:ascii="Times New Roman" w:eastAsia="Calibri" w:hAnsi="Times New Roman"/>
          <w:spacing w:val="0"/>
          <w:sz w:val="22"/>
          <w:szCs w:val="22"/>
        </w:rPr>
        <w:t xml:space="preserve"> </w:t>
      </w:r>
      <w:r w:rsidRPr="000979DD">
        <w:rPr>
          <w:rFonts w:ascii="Times New Roman" w:eastAsia="Calibri" w:hAnsi="Times New Roman"/>
          <w:spacing w:val="0"/>
          <w:sz w:val="22"/>
          <w:szCs w:val="22"/>
        </w:rPr>
        <w:t xml:space="preserve">and </w:t>
      </w:r>
      <w:r w:rsidR="00181DC5" w:rsidRPr="000979DD">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Pr="000979DD">
        <w:rPr>
          <w:rFonts w:ascii="Times New Roman" w:eastAsia="Calibri" w:hAnsi="Times New Roman"/>
          <w:spacing w:val="0"/>
          <w:sz w:val="22"/>
          <w:szCs w:val="22"/>
        </w:rPr>
        <w:t xml:space="preserve">, an inflation update of </w:t>
      </w:r>
      <w:r w:rsidR="00181DC5">
        <w:rPr>
          <w:rFonts w:ascii="Times New Roman" w:eastAsia="Calibri" w:hAnsi="Times New Roman"/>
          <w:spacing w:val="0"/>
          <w:sz w:val="22"/>
          <w:szCs w:val="22"/>
        </w:rPr>
        <w:t>1.854</w:t>
      </w:r>
      <w:r w:rsidRPr="000979DD">
        <w:rPr>
          <w:rFonts w:ascii="Times New Roman" w:eastAsia="Calibri" w:hAnsi="Times New Roman"/>
          <w:spacing w:val="0"/>
          <w:sz w:val="22"/>
          <w:szCs w:val="22"/>
        </w:rPr>
        <w:t xml:space="preserve">% was applied to the statewide operating standard and </w:t>
      </w:r>
      <w:r w:rsidR="0058189B">
        <w:rPr>
          <w:rFonts w:ascii="Times New Roman" w:eastAsia="Calibri" w:hAnsi="Times New Roman"/>
          <w:spacing w:val="0"/>
          <w:sz w:val="22"/>
          <w:szCs w:val="22"/>
        </w:rPr>
        <w:t>1.5</w:t>
      </w:r>
      <w:r w:rsidRPr="000979DD">
        <w:rPr>
          <w:rFonts w:ascii="Times New Roman" w:eastAsia="Calibri" w:hAnsi="Times New Roman"/>
          <w:spacing w:val="0"/>
          <w:sz w:val="22"/>
          <w:szCs w:val="22"/>
        </w:rPr>
        <w:t>% to the statewide capital standard per discharge.</w:t>
      </w:r>
    </w:p>
    <w:p w14:paraId="269DB8F3" w14:textId="4E49B5CA" w:rsidR="00096B9A"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096B9A" w:rsidRPr="00F56372">
        <w:rPr>
          <w:rFonts w:ascii="Times New Roman" w:eastAsia="Calibri" w:hAnsi="Times New Roman"/>
          <w:spacing w:val="0"/>
          <w:sz w:val="22"/>
          <w:szCs w:val="22"/>
        </w:rPr>
        <w:t>or discharges</w:t>
      </w:r>
      <w:r w:rsidR="00E42D5E">
        <w:rPr>
          <w:rFonts w:ascii="Times New Roman" w:eastAsia="Calibri" w:hAnsi="Times New Roman"/>
          <w:spacing w:val="0"/>
          <w:sz w:val="22"/>
          <w:szCs w:val="22"/>
        </w:rPr>
        <w:t xml:space="preserve"> assigned</w:t>
      </w:r>
      <w:r w:rsidR="00096B9A" w:rsidRPr="00F56372">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a MassHealth DRG Weight of 3.5 or greater </w:t>
      </w:r>
      <w:r w:rsidR="00E42D5E"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 (i) a </w:t>
      </w:r>
      <w:r w:rsidR="00096B9A" w:rsidRPr="00F56372">
        <w:rPr>
          <w:rFonts w:ascii="Times New Roman" w:eastAsia="Calibri" w:hAnsi="Times New Roman"/>
          <w:spacing w:val="0"/>
          <w:sz w:val="22"/>
          <w:szCs w:val="22"/>
        </w:rPr>
        <w:t xml:space="preserve">Freestanding Pediatric Acute Hospital </w:t>
      </w:r>
      <w:r w:rsidR="0058189B">
        <w:rPr>
          <w:rFonts w:ascii="Times New Roman" w:eastAsia="Calibri" w:hAnsi="Times New Roman"/>
          <w:spacing w:val="0"/>
          <w:sz w:val="22"/>
          <w:szCs w:val="22"/>
        </w:rPr>
        <w:t>or</w:t>
      </w:r>
      <w:r w:rsidR="00E42D5E">
        <w:rPr>
          <w:rFonts w:ascii="Times New Roman" w:eastAsia="Calibri" w:hAnsi="Times New Roman"/>
          <w:spacing w:val="0"/>
          <w:sz w:val="22"/>
          <w:szCs w:val="22"/>
        </w:rPr>
        <w:t xml:space="preserve"> (ii) a</w:t>
      </w:r>
      <w:r w:rsidR="0058189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Hospital with a </w:t>
      </w:r>
      <w:r>
        <w:rPr>
          <w:rFonts w:ascii="Times New Roman" w:eastAsia="Calibri" w:hAnsi="Times New Roman"/>
          <w:spacing w:val="0"/>
          <w:sz w:val="22"/>
          <w:szCs w:val="22"/>
        </w:rPr>
        <w:t xml:space="preserve">Pediatric Specialty Unit </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 xml:space="preserve">, </w:t>
      </w:r>
      <w:r w:rsidR="00597757">
        <w:rPr>
          <w:rFonts w:ascii="Times New Roman" w:eastAsia="Calibri" w:hAnsi="Times New Roman"/>
          <w:spacing w:val="0"/>
          <w:sz w:val="22"/>
          <w:szCs w:val="22"/>
        </w:rPr>
        <w:t xml:space="preserve">the APAD Base Payment </w:t>
      </w:r>
      <w:r w:rsidR="00181DC5">
        <w:rPr>
          <w:rFonts w:ascii="Times New Roman" w:eastAsia="Calibri" w:hAnsi="Times New Roman"/>
          <w:spacing w:val="0"/>
          <w:sz w:val="22"/>
          <w:szCs w:val="22"/>
        </w:rPr>
        <w:t xml:space="preserve">continues to </w:t>
      </w:r>
      <w:r w:rsidR="00597757">
        <w:rPr>
          <w:rFonts w:ascii="Times New Roman" w:eastAsia="Calibri" w:hAnsi="Times New Roman"/>
          <w:spacing w:val="0"/>
          <w:sz w:val="22"/>
          <w:szCs w:val="22"/>
        </w:rPr>
        <w:t>be adjusted to include an additional 57%</w:t>
      </w:r>
      <w:r w:rsidR="0058189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0BCD0711" w14:textId="4CABE9F5" w:rsidR="00096B9A" w:rsidRPr="00CC3A7C"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lastRenderedPageBreak/>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58189B">
        <w:rPr>
          <w:rFonts w:ascii="Times New Roman" w:eastAsia="Calibri" w:hAnsi="Times New Roman"/>
          <w:spacing w:val="0"/>
          <w:sz w:val="22"/>
          <w:szCs w:val="22"/>
        </w:rPr>
        <w:t>38,</w:t>
      </w:r>
      <w:r w:rsidR="00181DC5">
        <w:rPr>
          <w:rFonts w:ascii="Times New Roman" w:eastAsia="Calibri" w:hAnsi="Times New Roman"/>
          <w:spacing w:val="0"/>
          <w:sz w:val="22"/>
          <w:szCs w:val="22"/>
        </w:rPr>
        <w:t>400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181DC5">
        <w:rPr>
          <w:rFonts w:ascii="Times New Roman" w:eastAsia="Calibri" w:hAnsi="Times New Roman"/>
          <w:spacing w:val="0"/>
          <w:sz w:val="22"/>
          <w:szCs w:val="22"/>
        </w:rPr>
        <w:t xml:space="preserve">remains at </w:t>
      </w:r>
      <w:r w:rsidR="0058189B">
        <w:rPr>
          <w:rFonts w:ascii="Times New Roman" w:eastAsia="Calibri" w:hAnsi="Times New Roman"/>
          <w:spacing w:val="0"/>
          <w:sz w:val="22"/>
          <w:szCs w:val="22"/>
        </w:rPr>
        <w:t>6</w:t>
      </w:r>
      <w:r w:rsidR="0058189B" w:rsidRPr="00CC3A7C">
        <w:rPr>
          <w:rFonts w:ascii="Times New Roman" w:eastAsia="Calibri" w:hAnsi="Times New Roman"/>
          <w:spacing w:val="0"/>
          <w:sz w:val="22"/>
          <w:szCs w:val="22"/>
        </w:rPr>
        <w:t>0</w:t>
      </w:r>
      <w:r w:rsidR="00D83612"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w:t>
      </w:r>
      <w:r w:rsidRPr="005125FE">
        <w:rPr>
          <w:rFonts w:ascii="Times New Roman" w:eastAsia="Calibri" w:hAnsi="Times New Roman"/>
          <w:spacing w:val="0"/>
          <w:sz w:val="22"/>
          <w:szCs w:val="22"/>
        </w:rPr>
        <w:t xml:space="preserve">hospital’s </w:t>
      </w:r>
      <w:r w:rsidR="0058189B" w:rsidRPr="005125FE">
        <w:rPr>
          <w:rFonts w:ascii="Times New Roman" w:eastAsia="Calibri" w:hAnsi="Times New Roman"/>
          <w:spacing w:val="0"/>
          <w:sz w:val="22"/>
          <w:szCs w:val="22"/>
        </w:rPr>
        <w:t>FY18</w:t>
      </w:r>
      <w:r w:rsidR="0058189B"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Massachusetts Hospital cost report.</w:t>
      </w:r>
      <w:r w:rsidR="005D44B9">
        <w:rPr>
          <w:rFonts w:ascii="Times New Roman" w:eastAsia="Calibri" w:hAnsi="Times New Roman"/>
          <w:spacing w:val="0"/>
          <w:sz w:val="22"/>
          <w:szCs w:val="22"/>
        </w:rPr>
        <w:t xml:space="preserve">  </w:t>
      </w:r>
    </w:p>
    <w:p w14:paraId="5394C0E9" w14:textId="5B2F6061" w:rsidR="00096B9A"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EOHHS utilized </w:t>
      </w:r>
      <w:r w:rsidR="00181DC5">
        <w:rPr>
          <w:rFonts w:ascii="Times New Roman" w:eastAsia="Calibri" w:hAnsi="Times New Roman"/>
          <w:spacing w:val="0"/>
          <w:sz w:val="22"/>
          <w:szCs w:val="22"/>
        </w:rPr>
        <w:t xml:space="preserve">FY21 </w:t>
      </w:r>
      <w:r>
        <w:rPr>
          <w:rFonts w:ascii="Times New Roman" w:eastAsia="Calibri" w:hAnsi="Times New Roman"/>
          <w:spacing w:val="0"/>
          <w:sz w:val="22"/>
          <w:szCs w:val="22"/>
        </w:rPr>
        <w:t xml:space="preserve">base median nursing facility rates when </w:t>
      </w:r>
      <w:r w:rsidR="00FC6367" w:rsidRPr="00CC3A7C">
        <w:rPr>
          <w:rFonts w:ascii="Times New Roman" w:eastAsia="Calibri" w:hAnsi="Times New Roman"/>
          <w:spacing w:val="0"/>
          <w:sz w:val="22"/>
          <w:szCs w:val="22"/>
        </w:rPr>
        <w:t xml:space="preserve">calculating the </w:t>
      </w:r>
      <w:r w:rsidR="00096B9A" w:rsidRPr="00CC3A7C">
        <w:rPr>
          <w:rFonts w:ascii="Times New Roman" w:eastAsia="Calibri" w:hAnsi="Times New Roman"/>
          <w:spacing w:val="0"/>
          <w:sz w:val="22"/>
          <w:szCs w:val="22"/>
        </w:rPr>
        <w:t>administrative day (AD) per diem</w:t>
      </w:r>
      <w:r w:rsidR="00096B9A" w:rsidRPr="00FC6367">
        <w:rPr>
          <w:rFonts w:ascii="Times New Roman" w:eastAsia="Calibri" w:hAnsi="Times New Roman"/>
          <w:spacing w:val="0"/>
          <w:sz w:val="22"/>
          <w:szCs w:val="22"/>
        </w:rPr>
        <w:t xml:space="preserve"> rate</w:t>
      </w:r>
      <w:r w:rsidR="00FC6367">
        <w:rPr>
          <w:rFonts w:ascii="Times New Roman" w:eastAsia="Calibri" w:hAnsi="Times New Roman"/>
          <w:spacing w:val="0"/>
          <w:sz w:val="22"/>
          <w:szCs w:val="22"/>
        </w:rPr>
        <w:t xml:space="preserve"> </w:t>
      </w:r>
      <w:r>
        <w:rPr>
          <w:rFonts w:ascii="Times New Roman" w:eastAsia="Calibri" w:hAnsi="Times New Roman"/>
          <w:spacing w:val="0"/>
          <w:sz w:val="22"/>
          <w:szCs w:val="22"/>
        </w:rPr>
        <w:t>for</w:t>
      </w:r>
      <w:r w:rsidR="00FC6367">
        <w:rPr>
          <w:rFonts w:ascii="Times New Roman" w:eastAsia="Calibri" w:hAnsi="Times New Roman"/>
          <w:spacing w:val="0"/>
          <w:sz w:val="22"/>
          <w:szCs w:val="22"/>
        </w:rPr>
        <w:t xml:space="preserve"> </w:t>
      </w:r>
      <w:r w:rsidR="00181DC5">
        <w:rPr>
          <w:rFonts w:ascii="Times New Roman" w:eastAsia="Calibri" w:hAnsi="Times New Roman"/>
          <w:spacing w:val="0"/>
          <w:sz w:val="22"/>
          <w:szCs w:val="22"/>
        </w:rPr>
        <w:t>RY21</w:t>
      </w:r>
      <w:r w:rsidR="00FC6367">
        <w:rPr>
          <w:rFonts w:ascii="Times New Roman" w:eastAsia="Calibri" w:hAnsi="Times New Roman"/>
          <w:spacing w:val="0"/>
          <w:sz w:val="22"/>
          <w:szCs w:val="22"/>
        </w:rPr>
        <w:t>.</w:t>
      </w:r>
    </w:p>
    <w:p w14:paraId="0CB98B28" w14:textId="79A77F0F" w:rsidR="00096B9A" w:rsidRPr="005818AE"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w:t>
      </w:r>
      <w:r w:rsidR="00181DC5">
        <w:rPr>
          <w:rFonts w:ascii="Times New Roman" w:eastAsia="Calibri" w:hAnsi="Times New Roman"/>
          <w:spacing w:val="0"/>
          <w:sz w:val="22"/>
          <w:szCs w:val="22"/>
        </w:rPr>
        <w:t xml:space="preserve">RY21 </w:t>
      </w:r>
      <w:r w:rsidRPr="005818AE">
        <w:rPr>
          <w:rFonts w:ascii="Times New Roman" w:eastAsia="Calibri" w:hAnsi="Times New Roman"/>
          <w:spacing w:val="0"/>
          <w:sz w:val="22"/>
          <w:szCs w:val="22"/>
        </w:rPr>
        <w:t xml:space="preserve">were derived utilizing cost data from the hospital’s </w:t>
      </w:r>
      <w:r w:rsidR="00181DC5" w:rsidRPr="004E2B3C">
        <w:rPr>
          <w:rFonts w:ascii="Times New Roman" w:eastAsia="Calibri" w:hAnsi="Times New Roman"/>
          <w:spacing w:val="0"/>
          <w:sz w:val="22"/>
          <w:szCs w:val="22"/>
        </w:rPr>
        <w:t xml:space="preserve">FY19 </w:t>
      </w:r>
      <w:r w:rsidRPr="004E2B3C">
        <w:rPr>
          <w:rFonts w:ascii="Times New Roman" w:eastAsia="Calibri" w:hAnsi="Times New Roman"/>
          <w:spacing w:val="0"/>
          <w:sz w:val="22"/>
          <w:szCs w:val="22"/>
        </w:rPr>
        <w:t>CMS 2552</w:t>
      </w:r>
      <w:r w:rsidRPr="005818AE">
        <w:rPr>
          <w:rFonts w:ascii="Times New Roman" w:eastAsia="Calibri" w:hAnsi="Times New Roman"/>
          <w:spacing w:val="0"/>
          <w:sz w:val="22"/>
          <w:szCs w:val="22"/>
        </w:rPr>
        <w:t xml:space="preserve">-10 cost report. Final payment </w:t>
      </w:r>
      <w:r w:rsidR="000C2039">
        <w:rPr>
          <w:rFonts w:ascii="Times New Roman" w:eastAsia="Calibri" w:hAnsi="Times New Roman"/>
          <w:spacing w:val="0"/>
          <w:sz w:val="22"/>
          <w:szCs w:val="22"/>
        </w:rPr>
        <w:t xml:space="preserve">for the </w:t>
      </w:r>
      <w:r w:rsidR="00181DC5">
        <w:rPr>
          <w:rFonts w:ascii="Times New Roman" w:eastAsia="Calibri" w:hAnsi="Times New Roman"/>
          <w:spacing w:val="0"/>
          <w:sz w:val="22"/>
          <w:szCs w:val="22"/>
        </w:rPr>
        <w:t xml:space="preserve">FY21 </w:t>
      </w:r>
      <w:r w:rsidR="000C2039">
        <w:rPr>
          <w:rFonts w:ascii="Times New Roman" w:eastAsia="Calibri" w:hAnsi="Times New Roman"/>
          <w:spacing w:val="0"/>
          <w:sz w:val="22"/>
          <w:szCs w:val="22"/>
        </w:rPr>
        <w:t xml:space="preserve">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00DE1B92">
        <w:rPr>
          <w:rFonts w:ascii="Times New Roman" w:eastAsia="Calibri" w:hAnsi="Times New Roman"/>
          <w:spacing w:val="0"/>
          <w:sz w:val="22"/>
          <w:szCs w:val="22"/>
        </w:rPr>
        <w:t>Section 1.A</w:t>
      </w:r>
      <w:r w:rsidRPr="005818AE">
        <w:rPr>
          <w:rFonts w:ascii="Times New Roman" w:eastAsia="Calibri" w:hAnsi="Times New Roman"/>
          <w:spacing w:val="0"/>
          <w:sz w:val="22"/>
          <w:szCs w:val="22"/>
        </w:rPr>
        <w:t>.</w:t>
      </w:r>
    </w:p>
    <w:p w14:paraId="451C2F35" w14:textId="77777777"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14:paraId="654BEE80" w14:textId="77777777" w:rsidR="00096B9A" w:rsidRPr="005818AE" w:rsidRDefault="00096B9A" w:rsidP="00A32039">
      <w:pPr>
        <w:pStyle w:val="Heading2"/>
        <w:numPr>
          <w:ilvl w:val="0"/>
          <w:numId w:val="193"/>
        </w:numPr>
      </w:pPr>
      <w:r w:rsidRPr="005818AE">
        <w:t>In-State Acute Hospital Outpatient Services</w:t>
      </w:r>
    </w:p>
    <w:p w14:paraId="2D099412" w14:textId="77777777"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14:paraId="63823BC5" w14:textId="4481A35F" w:rsidR="00096B9A" w:rsidRPr="005818AE" w:rsidRDefault="00096B9A" w:rsidP="00A32039">
      <w:pPr>
        <w:pStyle w:val="Heading3"/>
        <w:numPr>
          <w:ilvl w:val="0"/>
          <w:numId w:val="192"/>
        </w:numPr>
      </w:pPr>
      <w:r w:rsidRPr="005818AE">
        <w:t xml:space="preserve">Summary of </w:t>
      </w:r>
      <w:r w:rsidR="00181DC5" w:rsidRPr="005818AE">
        <w:t>RY</w:t>
      </w:r>
      <w:r w:rsidR="00181DC5">
        <w:t>21</w:t>
      </w:r>
      <w:r w:rsidR="00181DC5" w:rsidRPr="005818AE">
        <w:t xml:space="preserve"> </w:t>
      </w:r>
      <w:r w:rsidRPr="005818AE">
        <w:t>In-State Methodology for Calculating the Adjudicated Payment per Episode of Care (APEC), and other Outpatient Hospital Service Payments</w:t>
      </w:r>
    </w:p>
    <w:p w14:paraId="163BEE7A" w14:textId="77777777"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14:paraId="1438861B" w14:textId="77777777"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w:t>
      </w:r>
      <w:r w:rsidR="00087C78">
        <w:rPr>
          <w:rFonts w:ascii="Times New Roman" w:eastAsia="Calibri" w:hAnsi="Times New Roman"/>
          <w:spacing w:val="0"/>
          <w:sz w:val="22"/>
          <w:szCs w:val="22"/>
        </w:rPr>
        <w:t>later in this document</w:t>
      </w:r>
      <w:r>
        <w:rPr>
          <w:rFonts w:ascii="Times New Roman" w:eastAsia="Calibri" w:hAnsi="Times New Roman"/>
          <w:spacing w:val="0"/>
          <w:sz w:val="22"/>
          <w:szCs w:val="22"/>
        </w:rPr>
        <w:t>), the following payment methods apply to in-state acute outpatient hospitals.</w:t>
      </w:r>
      <w:r w:rsidR="005D44B9">
        <w:rPr>
          <w:rFonts w:ascii="Times New Roman" w:eastAsia="Calibri" w:hAnsi="Times New Roman"/>
          <w:spacing w:val="0"/>
          <w:sz w:val="22"/>
          <w:szCs w:val="22"/>
        </w:rPr>
        <w:t xml:space="preserve"> </w:t>
      </w:r>
    </w:p>
    <w:p w14:paraId="577D6DBC" w14:textId="77777777" w:rsidR="00D07DBC" w:rsidRDefault="00D07DBC" w:rsidP="00096B9A">
      <w:pPr>
        <w:spacing w:before="240" w:after="200" w:line="276" w:lineRule="auto"/>
        <w:ind w:left="720"/>
        <w:contextualSpacing/>
        <w:rPr>
          <w:rFonts w:ascii="Times New Roman" w:eastAsia="Calibri" w:hAnsi="Times New Roman"/>
          <w:spacing w:val="0"/>
          <w:sz w:val="22"/>
          <w:szCs w:val="22"/>
        </w:rPr>
      </w:pPr>
    </w:p>
    <w:p w14:paraId="01E79A6B" w14:textId="3842B37B"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w:t>
      </w:r>
      <w:r w:rsidR="00181DC5" w:rsidRPr="005818AE">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3"/>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Outpatient services paid for by the APEC are referred to as “APEC-covered services.”</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Certain services, including laboratory services, are carved out of the APEC calculation and payment.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5D44B9">
        <w:rPr>
          <w:rFonts w:ascii="Times New Roman" w:eastAsia="Calibri" w:hAnsi="Times New Roman"/>
          <w:spacing w:val="0"/>
          <w:sz w:val="22"/>
          <w:szCs w:val="22"/>
        </w:rPr>
        <w:t xml:space="preserve"> </w:t>
      </w:r>
      <w:r w:rsidR="00D07DBC">
        <w:rPr>
          <w:rFonts w:ascii="Times New Roman" w:eastAsia="Calibri" w:hAnsi="Times New Roman"/>
          <w:spacing w:val="0"/>
          <w:sz w:val="22"/>
          <w:szCs w:val="22"/>
        </w:rPr>
        <w:t>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w:t>
      </w:r>
      <w:r w:rsidR="00087C78">
        <w:rPr>
          <w:rFonts w:ascii="Times New Roman" w:eastAsia="Calibri" w:hAnsi="Times New Roman"/>
          <w:spacing w:val="0"/>
          <w:sz w:val="22"/>
          <w:szCs w:val="22"/>
        </w:rPr>
        <w:t>later</w:t>
      </w:r>
      <w:r w:rsidR="00D07DBC">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1BBB89" w14:textId="77777777" w:rsidR="00462DBD" w:rsidRDefault="00462DBD" w:rsidP="00462DBD">
      <w:pPr>
        <w:spacing w:before="240" w:after="200" w:line="276" w:lineRule="auto"/>
        <w:ind w:left="720"/>
        <w:contextualSpacing/>
        <w:rPr>
          <w:rFonts w:ascii="Times New Roman" w:eastAsia="Calibri" w:hAnsi="Times New Roman"/>
          <w:spacing w:val="0"/>
          <w:sz w:val="22"/>
          <w:szCs w:val="22"/>
        </w:rPr>
      </w:pPr>
    </w:p>
    <w:p w14:paraId="1BF6473F" w14:textId="77777777" w:rsidR="00462DBD" w:rsidRDefault="006937FE" w:rsidP="004C35B7">
      <w:pPr>
        <w:pStyle w:val="Heading4"/>
      </w:pPr>
      <w:r>
        <w:t>Adjudicated Payment per Episode of Care (APEC)</w:t>
      </w:r>
    </w:p>
    <w:p w14:paraId="52180983" w14:textId="71EC50B8"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181DC5">
        <w:rPr>
          <w:rFonts w:ascii="Times New Roman" w:eastAsia="Calibri" w:hAnsi="Times New Roman"/>
          <w:spacing w:val="0"/>
          <w:sz w:val="22"/>
          <w:szCs w:val="22"/>
        </w:rPr>
        <w:t xml:space="preserve">RY21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xml:space="preserve">, each as further described </w:t>
      </w:r>
      <w:r w:rsidR="006523C7">
        <w:rPr>
          <w:rFonts w:ascii="Times New Roman" w:eastAsia="Calibri" w:hAnsi="Times New Roman"/>
          <w:spacing w:val="0"/>
          <w:sz w:val="22"/>
          <w:szCs w:val="22"/>
        </w:rPr>
        <w:t>later</w:t>
      </w:r>
      <w:r w:rsidR="00096B9A" w:rsidRPr="00CA714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The APEC Base Year is FY14.</w:t>
      </w:r>
      <w:r w:rsidR="005D44B9">
        <w:rPr>
          <w:rFonts w:ascii="Times New Roman" w:eastAsia="Calibri" w:hAnsi="Times New Roman"/>
          <w:spacing w:val="0"/>
          <w:sz w:val="22"/>
          <w:szCs w:val="22"/>
        </w:rPr>
        <w:t xml:space="preserve"> </w:t>
      </w:r>
    </w:p>
    <w:p w14:paraId="7F31C752" w14:textId="77777777"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4"/>
      </w:r>
      <w:r w:rsidRPr="00EF6B73">
        <w:rPr>
          <w:rFonts w:ascii="Times New Roman" w:eastAsia="Calibri" w:hAnsi="Times New Roman"/>
          <w:spacing w:val="0"/>
          <w:sz w:val="22"/>
          <w:szCs w:val="22"/>
        </w:rPr>
        <w:t xml:space="preserve"> payment amounts, where each claim detail line EAPG payment amount is equal to the product of 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APEC Outpatient Standard and the claim detail line’s Adjusted EAPG Weight.</w:t>
      </w:r>
      <w:r w:rsidR="005D44B9">
        <w:rPr>
          <w:rFonts w:ascii="Times New Roman" w:eastAsia="Calibri" w:hAnsi="Times New Roman"/>
          <w:spacing w:val="0"/>
          <w:sz w:val="22"/>
          <w:szCs w:val="22"/>
        </w:rPr>
        <w:t xml:space="preserve"> </w:t>
      </w:r>
    </w:p>
    <w:p w14:paraId="4855E755" w14:textId="77777777" w:rsidR="005C79F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Default="00BD7093" w:rsidP="00A32039">
      <w:pPr>
        <w:numPr>
          <w:ilvl w:val="0"/>
          <w:numId w:val="1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sidRPr="002D0C0C">
        <w:rPr>
          <w:rFonts w:ascii="Times New Roman" w:eastAsia="Calibri" w:hAnsi="Times New Roman"/>
          <w:spacing w:val="0"/>
          <w:sz w:val="22"/>
          <w:szCs w:val="22"/>
          <w:vertAlign w:val="superscript"/>
        </w:rPr>
        <w:footnoteReference w:id="15"/>
      </w:r>
      <w:r>
        <w:rPr>
          <w:rFonts w:ascii="Times New Roman" w:eastAsia="Calibri" w:hAnsi="Times New Roman"/>
          <w:spacing w:val="0"/>
          <w:sz w:val="22"/>
          <w:szCs w:val="22"/>
        </w:rPr>
        <w:t xml:space="preserve"> </w:t>
      </w:r>
    </w:p>
    <w:p w14:paraId="4F78E43B" w14:textId="11E19749" w:rsidR="00715810" w:rsidRDefault="00BD7093"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FY14 outpatient casemix index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standardized cost per episode.</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 costs, weighted by </w:t>
      </w:r>
      <w:r w:rsidR="00096B9A" w:rsidRPr="004E2B3C">
        <w:rPr>
          <w:rFonts w:ascii="Times New Roman" w:eastAsia="Calibri" w:hAnsi="Times New Roman"/>
          <w:spacing w:val="0"/>
          <w:sz w:val="22"/>
          <w:szCs w:val="22"/>
        </w:rPr>
        <w:t xml:space="preserve">total </w:t>
      </w:r>
      <w:r w:rsidR="00096B9A" w:rsidRPr="005125FE">
        <w:rPr>
          <w:rFonts w:ascii="Times New Roman" w:eastAsia="Calibri" w:hAnsi="Times New Roman"/>
          <w:spacing w:val="0"/>
          <w:sz w:val="22"/>
          <w:szCs w:val="22"/>
        </w:rPr>
        <w:t xml:space="preserve">statewide </w:t>
      </w:r>
      <w:r w:rsidR="00181DC5" w:rsidRPr="005125FE">
        <w:rPr>
          <w:rFonts w:ascii="Times New Roman" w:eastAsia="Calibri" w:hAnsi="Times New Roman"/>
          <w:spacing w:val="0"/>
          <w:sz w:val="22"/>
          <w:szCs w:val="22"/>
        </w:rPr>
        <w:t xml:space="preserve">FY19 </w:t>
      </w:r>
      <w:r w:rsidR="00096B9A" w:rsidRPr="005125FE">
        <w:rPr>
          <w:rFonts w:ascii="Times New Roman" w:eastAsia="Calibri" w:hAnsi="Times New Roman"/>
          <w:spacing w:val="0"/>
          <w:sz w:val="22"/>
          <w:szCs w:val="22"/>
        </w:rPr>
        <w:t>episodes</w:t>
      </w:r>
      <w:r w:rsidR="00096B9A" w:rsidRPr="004E2B3C">
        <w:rPr>
          <w:rFonts w:ascii="Times New Roman" w:eastAsia="Calibri" w:hAnsi="Times New Roman"/>
          <w:spacing w:val="0"/>
          <w:sz w:val="22"/>
          <w:szCs w:val="22"/>
        </w:rPr>
        <w:t xml:space="preserve">, at the </w:t>
      </w:r>
      <w:r w:rsidR="00882C14" w:rsidRPr="00F866A3">
        <w:rPr>
          <w:rFonts w:ascii="Times New Roman" w:eastAsia="Calibri" w:hAnsi="Times New Roman"/>
          <w:spacing w:val="0"/>
          <w:sz w:val="22"/>
          <w:szCs w:val="22"/>
        </w:rPr>
        <w:t>60%</w:t>
      </w:r>
      <w:r w:rsidR="00096B9A" w:rsidRPr="00F866A3">
        <w:rPr>
          <w:rFonts w:ascii="Times New Roman" w:eastAsia="Calibri" w:hAnsi="Times New Roman"/>
          <w:spacing w:val="0"/>
          <w:sz w:val="22"/>
          <w:szCs w:val="22"/>
        </w:rPr>
        <w:t xml:space="preserve"> level of costs.</w:t>
      </w:r>
      <w:r w:rsidR="005D44B9" w:rsidRPr="00F866A3">
        <w:rPr>
          <w:rFonts w:ascii="Times New Roman" w:eastAsia="Calibri" w:hAnsi="Times New Roman"/>
          <w:spacing w:val="0"/>
          <w:sz w:val="22"/>
          <w:szCs w:val="22"/>
        </w:rPr>
        <w:t xml:space="preserve"> </w:t>
      </w:r>
      <w:r w:rsidR="00096B9A" w:rsidRPr="00F866A3">
        <w:rPr>
          <w:rFonts w:ascii="Times New Roman" w:eastAsia="Calibri" w:hAnsi="Times New Roman"/>
          <w:spacing w:val="0"/>
          <w:sz w:val="22"/>
          <w:szCs w:val="22"/>
        </w:rPr>
        <w:t xml:space="preserve">The weighted mean of the </w:t>
      </w:r>
      <w:r w:rsidR="00497598" w:rsidRPr="00F866A3">
        <w:rPr>
          <w:rFonts w:ascii="Times New Roman" w:eastAsia="Calibri" w:hAnsi="Times New Roman"/>
          <w:spacing w:val="0"/>
          <w:sz w:val="22"/>
          <w:szCs w:val="22"/>
        </w:rPr>
        <w:t>h</w:t>
      </w:r>
      <w:r w:rsidR="00096B9A" w:rsidRPr="00F866A3">
        <w:rPr>
          <w:rFonts w:ascii="Times New Roman" w:eastAsia="Calibri" w:hAnsi="Times New Roman"/>
          <w:spacing w:val="0"/>
          <w:sz w:val="22"/>
          <w:szCs w:val="22"/>
        </w:rPr>
        <w:t>ospitals’ capped costs per episode is adjusted by an outlier adjustment factor and inflation is applied, which</w:t>
      </w:r>
      <w:r w:rsidR="00096B9A" w:rsidRPr="009F5D71">
        <w:rPr>
          <w:rFonts w:ascii="Times New Roman" w:eastAsia="Calibri" w:hAnsi="Times New Roman"/>
          <w:spacing w:val="0"/>
          <w:sz w:val="22"/>
          <w:szCs w:val="22"/>
        </w:rPr>
        <w:t xml:space="preserve"> result is then divided by a conversion factor to result in the APEC Outpatient Statewide Standard</w:t>
      </w:r>
      <w:r w:rsidR="00096B9A" w:rsidRPr="00E12CD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w:t>
      </w:r>
    </w:p>
    <w:p w14:paraId="6BD88EA3" w14:textId="77777777" w:rsidR="005C79F5" w:rsidRPr="00E12CDB" w:rsidRDefault="00471E5F"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for certain hospitals identified </w:t>
      </w:r>
      <w:r w:rsidR="002D0C0C">
        <w:rPr>
          <w:rFonts w:ascii="Times New Roman" w:eastAsia="Calibri" w:hAnsi="Times New Roman"/>
          <w:spacing w:val="0"/>
          <w:sz w:val="22"/>
          <w:szCs w:val="22"/>
        </w:rPr>
        <w:t>later in this document</w:t>
      </w:r>
      <w:r>
        <w:rPr>
          <w:rFonts w:ascii="Times New Roman" w:eastAsia="Calibri" w:hAnsi="Times New Roman"/>
          <w:spacing w:val="0"/>
          <w:sz w:val="22"/>
          <w:szCs w:val="22"/>
        </w:rPr>
        <w:t>, f</w:t>
      </w:r>
      <w:r w:rsidR="00984DA9" w:rsidRPr="00FE7944">
        <w:rPr>
          <w:rFonts w:ascii="Times New Roman" w:eastAsia="Calibri" w:hAnsi="Times New Roman"/>
          <w:spacing w:val="0"/>
          <w:sz w:val="22"/>
          <w:szCs w:val="22"/>
        </w:rPr>
        <w:t xml:space="preserve">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12CDB">
        <w:rPr>
          <w:rFonts w:ascii="Times New Roman" w:eastAsia="Calibri" w:hAnsi="Times New Roman"/>
          <w:spacing w:val="0"/>
          <w:sz w:val="22"/>
          <w:szCs w:val="22"/>
        </w:rPr>
        <w:t xml:space="preserve">In calculating the APEC for </w:t>
      </w:r>
      <w:r w:rsidR="004E34F8">
        <w:rPr>
          <w:rFonts w:ascii="Times New Roman" w:eastAsia="Calibri" w:hAnsi="Times New Roman"/>
          <w:spacing w:val="0"/>
          <w:sz w:val="22"/>
          <w:szCs w:val="22"/>
        </w:rPr>
        <w:t>a</w:t>
      </w:r>
      <w:r w:rsidRPr="00E12CDB">
        <w:rPr>
          <w:rFonts w:ascii="Times New Roman" w:eastAsia="Calibri" w:hAnsi="Times New Roman"/>
          <w:spacing w:val="0"/>
          <w:sz w:val="22"/>
          <w:szCs w:val="22"/>
        </w:rPr>
        <w:t xml:space="preserve"> hospital that is </w:t>
      </w:r>
      <w:r>
        <w:rPr>
          <w:rFonts w:ascii="Times New Roman" w:eastAsia="Calibri" w:hAnsi="Times New Roman"/>
          <w:spacing w:val="0"/>
          <w:sz w:val="22"/>
          <w:szCs w:val="22"/>
        </w:rPr>
        <w:t xml:space="preserve">(1) </w:t>
      </w:r>
      <w:r w:rsidRPr="00E12CDB">
        <w:rPr>
          <w:rFonts w:ascii="Times New Roman" w:eastAsia="Calibri" w:hAnsi="Times New Roman"/>
          <w:spacing w:val="0"/>
          <w:sz w:val="22"/>
          <w:szCs w:val="22"/>
        </w:rPr>
        <w:t>a PPS-exempt cancer hospital under 42 CFR 412.23(f)</w:t>
      </w:r>
      <w:r>
        <w:rPr>
          <w:rFonts w:ascii="Times New Roman" w:eastAsia="Calibri" w:hAnsi="Times New Roman"/>
          <w:spacing w:val="0"/>
          <w:sz w:val="22"/>
          <w:szCs w:val="22"/>
        </w:rPr>
        <w:t xml:space="preserve"> or (2) a Group 1 safety net hospital in Appendix N to the MassHealth 1115 waiver</w:t>
      </w:r>
      <w:r w:rsidRPr="00E12CD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EOHHS applied </w:t>
      </w:r>
      <w:r>
        <w:rPr>
          <w:rFonts w:ascii="Times New Roman" w:eastAsia="Calibri" w:hAnsi="Times New Roman"/>
          <w:spacing w:val="0"/>
          <w:sz w:val="22"/>
          <w:szCs w:val="22"/>
        </w:rPr>
        <w:t xml:space="preserve">different </w:t>
      </w:r>
      <w:r w:rsidR="00E42D5E">
        <w:rPr>
          <w:rFonts w:ascii="Times New Roman" w:eastAsia="Calibri" w:hAnsi="Times New Roman"/>
          <w:spacing w:val="0"/>
          <w:sz w:val="22"/>
          <w:szCs w:val="22"/>
        </w:rPr>
        <w:t>W</w:t>
      </w:r>
      <w:r>
        <w:rPr>
          <w:rFonts w:ascii="Times New Roman" w:eastAsia="Calibri" w:hAnsi="Times New Roman"/>
          <w:spacing w:val="0"/>
          <w:sz w:val="22"/>
          <w:szCs w:val="22"/>
        </w:rPr>
        <w:t xml:space="preserve">age </w:t>
      </w:r>
      <w:r w:rsidR="00E42D5E">
        <w:rPr>
          <w:rFonts w:ascii="Times New Roman" w:eastAsia="Calibri" w:hAnsi="Times New Roman"/>
          <w:spacing w:val="0"/>
          <w:sz w:val="22"/>
          <w:szCs w:val="22"/>
        </w:rPr>
        <w:t>A</w:t>
      </w:r>
      <w:r>
        <w:rPr>
          <w:rFonts w:ascii="Times New Roman" w:eastAsia="Calibri" w:hAnsi="Times New Roman"/>
          <w:spacing w:val="0"/>
          <w:sz w:val="22"/>
          <w:szCs w:val="22"/>
        </w:rPr>
        <w:t>djusted APEC Outpatient Standard</w:t>
      </w:r>
      <w:r w:rsidR="00E42D5E">
        <w:rPr>
          <w:rFonts w:ascii="Times New Roman" w:eastAsia="Calibri" w:hAnsi="Times New Roman"/>
          <w:spacing w:val="0"/>
          <w:sz w:val="22"/>
          <w:szCs w:val="22"/>
        </w:rPr>
        <w:t>s</w:t>
      </w:r>
      <w:r>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DE4EFEF" w14:textId="77777777" w:rsidR="00096B9A" w:rsidRPr="009F5D71" w:rsidRDefault="00096B9A" w:rsidP="005C79F5">
      <w:pPr>
        <w:spacing w:before="240" w:after="200" w:line="276" w:lineRule="auto"/>
        <w:contextualSpacing/>
        <w:rPr>
          <w:rFonts w:ascii="Times New Roman" w:eastAsia="Calibri" w:hAnsi="Times New Roman"/>
          <w:spacing w:val="0"/>
          <w:sz w:val="22"/>
          <w:szCs w:val="22"/>
        </w:rPr>
      </w:pPr>
    </w:p>
    <w:p w14:paraId="02D5933F" w14:textId="77777777" w:rsidR="00096B9A" w:rsidRPr="00EF6B73" w:rsidRDefault="00096B9A" w:rsidP="00A32039">
      <w:pPr>
        <w:numPr>
          <w:ilvl w:val="0"/>
          <w:numId w:val="11"/>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471E5F">
        <w:rPr>
          <w:rFonts w:ascii="Times New Roman" w:eastAsia="Calibri" w:hAnsi="Times New Roman"/>
          <w:spacing w:val="0"/>
          <w:sz w:val="22"/>
          <w:szCs w:val="22"/>
        </w:rPr>
        <w:t>14</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Pr>
          <w:rFonts w:ascii="Times New Roman" w:eastAsia="Calibri" w:hAnsi="Times New Roman"/>
          <w:spacing w:val="0"/>
          <w:sz w:val="22"/>
          <w:szCs w:val="22"/>
        </w:rPr>
        <w:t xml:space="preserve"> </w:t>
      </w:r>
    </w:p>
    <w:p w14:paraId="567E8F42" w14:textId="36283C34"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471E5F">
        <w:rPr>
          <w:rFonts w:ascii="Times New Roman" w:eastAsia="Calibri" w:hAnsi="Times New Roman"/>
          <w:spacing w:val="0"/>
          <w:sz w:val="22"/>
          <w:szCs w:val="22"/>
        </w:rPr>
        <w:t>60</w:t>
      </w:r>
      <w:r w:rsidRPr="00EF6B73">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w:t>
      </w:r>
      <w:r w:rsidR="00471E5F" w:rsidRPr="00EF6B73">
        <w:rPr>
          <w:rFonts w:ascii="Times New Roman" w:eastAsia="Calibri" w:hAnsi="Times New Roman"/>
          <w:spacing w:val="0"/>
          <w:sz w:val="22"/>
          <w:szCs w:val="22"/>
        </w:rPr>
        <w:t>FY</w:t>
      </w:r>
      <w:r w:rsidR="00471E5F">
        <w:rPr>
          <w:rFonts w:ascii="Times New Roman" w:eastAsia="Calibri" w:hAnsi="Times New Roman"/>
          <w:spacing w:val="0"/>
          <w:sz w:val="22"/>
          <w:szCs w:val="22"/>
        </w:rPr>
        <w:t>18</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outpatient cost-to-charge ratio (based on the </w:t>
      </w:r>
      <w:r w:rsidRPr="000B3E67">
        <w:rPr>
          <w:rFonts w:ascii="Times New Roman" w:eastAsia="Calibri" w:hAnsi="Times New Roman"/>
          <w:spacing w:val="0"/>
          <w:sz w:val="22"/>
          <w:szCs w:val="22"/>
        </w:rPr>
        <w:t xml:space="preserve">hospital’s </w:t>
      </w:r>
      <w:r w:rsidR="00471E5F" w:rsidRPr="000B3E67">
        <w:rPr>
          <w:rFonts w:ascii="Times New Roman" w:eastAsia="Calibri" w:hAnsi="Times New Roman"/>
          <w:spacing w:val="0"/>
          <w:sz w:val="22"/>
          <w:szCs w:val="22"/>
        </w:rPr>
        <w:t xml:space="preserve">FY18 </w:t>
      </w:r>
      <w:r w:rsidRPr="000B3E67">
        <w:rPr>
          <w:rFonts w:ascii="Times New Roman" w:eastAsia="Calibri" w:hAnsi="Times New Roman"/>
          <w:spacing w:val="0"/>
          <w:sz w:val="22"/>
          <w:szCs w:val="22"/>
        </w:rPr>
        <w:t>Massachusetts Hospital cost report</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The episode-specific outlier threshold is the sum of (1) the Episode-Specific Total EAPG Payment and (2) </w:t>
      </w:r>
      <w:r w:rsidRPr="004F391A">
        <w:rPr>
          <w:rFonts w:ascii="Times New Roman" w:eastAsia="Calibri" w:hAnsi="Times New Roman"/>
          <w:spacing w:val="0"/>
          <w:sz w:val="22"/>
          <w:szCs w:val="22"/>
        </w:rPr>
        <w:t xml:space="preserve">the </w:t>
      </w:r>
      <w:r w:rsidR="00471E5F" w:rsidRPr="004F391A">
        <w:rPr>
          <w:rFonts w:ascii="Times New Roman" w:eastAsia="Calibri" w:hAnsi="Times New Roman"/>
          <w:spacing w:val="0"/>
          <w:sz w:val="22"/>
          <w:szCs w:val="22"/>
        </w:rPr>
        <w:t>RY</w:t>
      </w:r>
      <w:r w:rsidR="00283FE1" w:rsidRPr="004F391A">
        <w:rPr>
          <w:rFonts w:ascii="Times New Roman" w:eastAsia="Calibri" w:hAnsi="Times New Roman"/>
          <w:spacing w:val="0"/>
          <w:sz w:val="22"/>
          <w:szCs w:val="22"/>
        </w:rPr>
        <w:t>21</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fixed outpatient outlier threshold of </w:t>
      </w:r>
      <w:r w:rsidR="00882C14"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4,000</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In no case is an APEC Outlier Component payable if the Episode-Specific Total EAPG Payment is $0.</w:t>
      </w:r>
    </w:p>
    <w:p w14:paraId="504AB9BC" w14:textId="77777777" w:rsidR="00096B9A" w:rsidRPr="00EF6B73" w:rsidRDefault="00096B9A" w:rsidP="00096B9A">
      <w:pPr>
        <w:spacing w:line="276" w:lineRule="auto"/>
        <w:ind w:left="720"/>
        <w:rPr>
          <w:rFonts w:ascii="Times New Roman" w:eastAsia="Calibri" w:hAnsi="Times New Roman"/>
          <w:spacing w:val="0"/>
          <w:sz w:val="22"/>
          <w:szCs w:val="22"/>
        </w:rPr>
      </w:pPr>
    </w:p>
    <w:p w14:paraId="5DC43B36" w14:textId="77777777" w:rsidR="006C023C" w:rsidRDefault="006C023C" w:rsidP="004C35B7">
      <w:pPr>
        <w:pStyle w:val="Heading4"/>
      </w:pPr>
      <w:r>
        <w:t>A</w:t>
      </w:r>
      <w:r w:rsidR="003564AD">
        <w:t>PEC-</w:t>
      </w:r>
      <w:r>
        <w:t>Carve-Out Drugs</w:t>
      </w:r>
    </w:p>
    <w:p w14:paraId="4C205F42" w14:textId="03435E32"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sidRPr="00E673CF">
        <w:rPr>
          <w:rFonts w:ascii="Times New Roman" w:eastAsia="Calibri" w:hAnsi="Times New Roman"/>
          <w:spacing w:val="0"/>
          <w:sz w:val="22"/>
          <w:szCs w:val="22"/>
          <w:vertAlign w:val="superscript"/>
        </w:rPr>
        <w:footnoteReference w:id="16"/>
      </w:r>
      <w:r w:rsidR="005D44B9">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w:t>
      </w:r>
      <w:r w:rsidRPr="00322F6F">
        <w:rPr>
          <w:rFonts w:ascii="Times New Roman" w:eastAsia="Calibri" w:hAnsi="Times New Roman"/>
          <w:spacing w:val="0"/>
          <w:sz w:val="22"/>
          <w:szCs w:val="22"/>
        </w:rPr>
        <w:lastRenderedPageBreak/>
        <w:t>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w:t>
      </w:r>
    </w:p>
    <w:p w14:paraId="10F33C40" w14:textId="77777777" w:rsidR="006C023C" w:rsidRDefault="006C023C" w:rsidP="00096B9A">
      <w:pPr>
        <w:spacing w:before="240" w:after="200" w:line="276" w:lineRule="auto"/>
        <w:ind w:left="720"/>
        <w:contextualSpacing/>
        <w:rPr>
          <w:rFonts w:ascii="Times New Roman" w:eastAsia="Calibri" w:hAnsi="Times New Roman"/>
          <w:i/>
          <w:spacing w:val="0"/>
          <w:sz w:val="22"/>
          <w:szCs w:val="22"/>
        </w:rPr>
      </w:pPr>
    </w:p>
    <w:p w14:paraId="5E5B0B7C" w14:textId="77777777" w:rsidR="00096B9A" w:rsidRPr="00FD4551" w:rsidRDefault="00096B9A" w:rsidP="00A32039">
      <w:pPr>
        <w:pStyle w:val="Heading4"/>
      </w:pPr>
      <w:r w:rsidRPr="00FD4551">
        <w:t>Critical Access Hospitals</w:t>
      </w:r>
    </w:p>
    <w:p w14:paraId="18AD104E" w14:textId="745F3421" w:rsidR="00F866A3" w:rsidRDefault="00096B9A" w:rsidP="000F528A">
      <w:pPr>
        <w:spacing w:before="240" w:after="360" w:line="276" w:lineRule="auto"/>
        <w:ind w:left="720"/>
        <w:rPr>
          <w:rFonts w:ascii="Times New Roman" w:eastAsia="Calibri" w:hAnsi="Times New Roman"/>
          <w:b/>
          <w:bCs/>
          <w:i/>
          <w:iCs/>
          <w:spacing w:val="0"/>
          <w:sz w:val="22"/>
          <w:szCs w:val="22"/>
        </w:rPr>
      </w:pPr>
      <w:r w:rsidRPr="00EF6B73">
        <w:rPr>
          <w:rFonts w:ascii="Times New Roman" w:eastAsia="Calibri" w:hAnsi="Times New Roman"/>
          <w:spacing w:val="0"/>
          <w:sz w:val="22"/>
          <w:szCs w:val="22"/>
        </w:rPr>
        <w:t>The payment methodology for in-state Critical Access Hospitals is des</w:t>
      </w:r>
      <w:r w:rsidR="00E673CF">
        <w:rPr>
          <w:rFonts w:ascii="Times New Roman" w:eastAsia="Calibri" w:hAnsi="Times New Roman"/>
          <w:spacing w:val="0"/>
          <w:sz w:val="22"/>
          <w:szCs w:val="22"/>
        </w:rPr>
        <w:t>cribed in Part II, Section 1.A</w:t>
      </w:r>
      <w:r w:rsidRPr="00EF6B73">
        <w:rPr>
          <w:rFonts w:ascii="Times New Roman" w:eastAsia="Calibri" w:hAnsi="Times New Roman"/>
          <w:spacing w:val="0"/>
          <w:sz w:val="22"/>
          <w:szCs w:val="22"/>
        </w:rPr>
        <w:t>.</w:t>
      </w:r>
      <w:r w:rsidR="000F528A">
        <w:rPr>
          <w:rFonts w:ascii="Times New Roman" w:eastAsia="Calibri" w:hAnsi="Times New Roman"/>
          <w:b/>
          <w:bCs/>
          <w:i/>
          <w:iCs/>
          <w:spacing w:val="0"/>
          <w:sz w:val="22"/>
          <w:szCs w:val="22"/>
        </w:rPr>
        <w:t xml:space="preserve"> </w:t>
      </w:r>
    </w:p>
    <w:p w14:paraId="5C4CFED1" w14:textId="4A8163C7" w:rsidR="00096B9A" w:rsidRPr="00A32039" w:rsidRDefault="00181DC5" w:rsidP="00096B9A">
      <w:pPr>
        <w:spacing w:line="276" w:lineRule="auto"/>
        <w:ind w:left="720"/>
        <w:rPr>
          <w:rFonts w:ascii="Times New Roman" w:eastAsia="Calibri" w:hAnsi="Times New Roman"/>
          <w:b/>
          <w:sz w:val="22"/>
          <w:szCs w:val="22"/>
        </w:rPr>
      </w:pPr>
      <w:r w:rsidRPr="00A32039">
        <w:rPr>
          <w:rFonts w:ascii="Times New Roman" w:eastAsia="Calibri" w:hAnsi="Times New Roman"/>
          <w:b/>
          <w:sz w:val="22"/>
          <w:szCs w:val="22"/>
        </w:rPr>
        <w:t>RY2</w:t>
      </w:r>
      <w:r>
        <w:rPr>
          <w:rFonts w:ascii="Times New Roman" w:eastAsia="Calibri" w:hAnsi="Times New Roman"/>
          <w:b/>
          <w:sz w:val="22"/>
          <w:szCs w:val="22"/>
        </w:rPr>
        <w:t>1</w:t>
      </w:r>
      <w:r w:rsidRPr="00A32039">
        <w:rPr>
          <w:rFonts w:ascii="Times New Roman" w:eastAsia="Calibri" w:hAnsi="Times New Roman"/>
          <w:b/>
          <w:sz w:val="22"/>
          <w:szCs w:val="22"/>
        </w:rPr>
        <w:t xml:space="preserve"> </w:t>
      </w:r>
      <w:r w:rsidR="00096B9A" w:rsidRPr="00A32039">
        <w:rPr>
          <w:rFonts w:ascii="Times New Roman" w:eastAsia="Calibri" w:hAnsi="Times New Roman"/>
          <w:b/>
          <w:sz w:val="22"/>
          <w:szCs w:val="22"/>
        </w:rPr>
        <w:t>In-State Acute Outpatient Hospital APEC Rate Components</w:t>
      </w:r>
    </w:p>
    <w:p w14:paraId="10D88134" w14:textId="60DDAB4D" w:rsidR="00665356" w:rsidRPr="00E673CF" w:rsidRDefault="00096B9A" w:rsidP="00BF793A">
      <w:pPr>
        <w:spacing w:line="276" w:lineRule="auto"/>
        <w:ind w:left="720"/>
        <w:rPr>
          <w:rFonts w:ascii="Times New Roman" w:eastAsia="Calibri" w:hAnsi="Times New Roman"/>
          <w:sz w:val="22"/>
          <w:szCs w:val="22"/>
        </w:rPr>
      </w:pPr>
      <w:r w:rsidRPr="00E673CF">
        <w:rPr>
          <w:rFonts w:ascii="Times New Roman" w:eastAsia="Calibri" w:hAnsi="Times New Roman"/>
          <w:sz w:val="22"/>
          <w:szCs w:val="22"/>
        </w:rPr>
        <w:t xml:space="preserve">The in-state acute outpatient hospital APEC rate components applicable to </w:t>
      </w:r>
      <w:r w:rsidR="00181DC5" w:rsidRPr="00E673CF">
        <w:rPr>
          <w:rFonts w:ascii="Times New Roman" w:eastAsia="Calibri" w:hAnsi="Times New Roman"/>
          <w:sz w:val="22"/>
          <w:szCs w:val="22"/>
        </w:rPr>
        <w:t>RY2</w:t>
      </w:r>
      <w:r w:rsidR="00181DC5">
        <w:rPr>
          <w:rFonts w:ascii="Times New Roman" w:eastAsia="Calibri" w:hAnsi="Times New Roman"/>
          <w:sz w:val="22"/>
          <w:szCs w:val="22"/>
        </w:rPr>
        <w:t>1</w:t>
      </w:r>
      <w:r w:rsidR="00181DC5" w:rsidRPr="00E673CF">
        <w:rPr>
          <w:rFonts w:ascii="Times New Roman" w:eastAsia="Calibri" w:hAnsi="Times New Roman"/>
          <w:sz w:val="22"/>
          <w:szCs w:val="22"/>
        </w:rPr>
        <w:t xml:space="preserve"> </w:t>
      </w:r>
      <w:r w:rsidRPr="00E673CF">
        <w:rPr>
          <w:rFonts w:ascii="Times New Roman" w:eastAsia="Calibri" w:hAnsi="Times New Roman"/>
          <w:sz w:val="22"/>
          <w:szCs w:val="22"/>
        </w:rPr>
        <w:t xml:space="preserve">are set forth in Attachment B. </w:t>
      </w:r>
    </w:p>
    <w:p w14:paraId="5CE1633B" w14:textId="77777777" w:rsidR="00734FE5" w:rsidRPr="00EF6B73" w:rsidRDefault="00734FE5" w:rsidP="00BF793A">
      <w:pPr>
        <w:spacing w:line="276" w:lineRule="auto"/>
        <w:ind w:left="720"/>
        <w:rPr>
          <w:rFonts w:eastAsia="Calibri"/>
          <w:sz w:val="22"/>
          <w:szCs w:val="22"/>
        </w:rPr>
      </w:pPr>
    </w:p>
    <w:p w14:paraId="4DA8C93E" w14:textId="3C6542A3" w:rsidR="00096B9A" w:rsidRPr="00EF6B73" w:rsidRDefault="00096B9A" w:rsidP="00A32039">
      <w:pPr>
        <w:pStyle w:val="Heading3"/>
      </w:pPr>
      <w:r w:rsidRPr="00EF6B73">
        <w:t>Summary of Changes</w:t>
      </w:r>
    </w:p>
    <w:p w14:paraId="5F3D1E32" w14:textId="77777777"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14:paraId="46BC59BA" w14:textId="70D98E69" w:rsidR="00096B9A" w:rsidRPr="00EF6B73" w:rsidRDefault="00181DC5"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Pr>
          <w:rFonts w:ascii="Times New Roman" w:eastAsia="Calibri" w:hAnsi="Times New Roman"/>
          <w:spacing w:val="0"/>
          <w:sz w:val="22"/>
          <w:szCs w:val="22"/>
        </w:rPr>
        <w:t>21</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 for in-state acute outpatient hospital</w:t>
      </w:r>
      <w:r w:rsidR="0000724F">
        <w:rPr>
          <w:rFonts w:ascii="Times New Roman" w:eastAsia="Calibri" w:hAnsi="Times New Roman"/>
          <w:spacing w:val="0"/>
          <w:sz w:val="22"/>
          <w:szCs w:val="22"/>
        </w:rPr>
        <w:t xml:space="preserve"> services include </w:t>
      </w:r>
      <w:r w:rsidR="00096B9A" w:rsidRPr="00EF6B73">
        <w:rPr>
          <w:rFonts w:ascii="Times New Roman" w:eastAsia="Calibri" w:hAnsi="Times New Roman"/>
          <w:spacing w:val="0"/>
          <w:sz w:val="22"/>
          <w:szCs w:val="22"/>
        </w:rPr>
        <w:t xml:space="preserve">changes from the </w:t>
      </w:r>
      <w:r w:rsidR="007375B3" w:rsidRPr="00EF6B73">
        <w:rPr>
          <w:rFonts w:ascii="Times New Roman" w:eastAsia="Calibri" w:hAnsi="Times New Roman"/>
          <w:spacing w:val="0"/>
          <w:sz w:val="22"/>
          <w:szCs w:val="22"/>
        </w:rPr>
        <w:t>RY</w:t>
      </w:r>
      <w:r w:rsidR="007375B3">
        <w:rPr>
          <w:rFonts w:ascii="Times New Roman" w:eastAsia="Calibri" w:hAnsi="Times New Roman"/>
          <w:spacing w:val="0"/>
          <w:sz w:val="22"/>
          <w:szCs w:val="22"/>
        </w:rPr>
        <w:t>20</w:t>
      </w:r>
      <w:r w:rsidR="007375B3"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w:t>
      </w:r>
      <w:r w:rsidR="006D30AC">
        <w:rPr>
          <w:rFonts w:ascii="Times New Roman" w:eastAsia="Calibri" w:hAnsi="Times New Roman"/>
          <w:spacing w:val="0"/>
          <w:sz w:val="22"/>
          <w:szCs w:val="22"/>
        </w:rPr>
        <w:t>, including the following.</w:t>
      </w:r>
    </w:p>
    <w:p w14:paraId="42CB0E2F" w14:textId="77777777"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EF6B73" w:rsidRDefault="00986758" w:rsidP="00A32039">
      <w:pPr>
        <w:numPr>
          <w:ilvl w:val="0"/>
          <w:numId w:val="13"/>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36A24A5" w14:textId="1EFB69CF"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 xml:space="preserve">The 3M EAPG Grouper </w:t>
      </w:r>
      <w:r w:rsidR="00283FE1" w:rsidRPr="0095313A">
        <w:rPr>
          <w:rFonts w:ascii="Times New Roman" w:eastAsia="Calibri" w:hAnsi="Times New Roman"/>
          <w:spacing w:val="0"/>
          <w:sz w:val="22"/>
          <w:szCs w:val="22"/>
        </w:rPr>
        <w:t>remains</w:t>
      </w:r>
      <w:r w:rsidRPr="004F391A">
        <w:rPr>
          <w:rFonts w:ascii="Times New Roman" w:eastAsia="Calibri" w:hAnsi="Times New Roman"/>
          <w:spacing w:val="0"/>
          <w:sz w:val="22"/>
          <w:szCs w:val="22"/>
        </w:rPr>
        <w:t xml:space="preserve"> version 3.</w:t>
      </w:r>
      <w:r w:rsidR="00471E5F" w:rsidRPr="004F391A">
        <w:rPr>
          <w:rFonts w:ascii="Times New Roman" w:eastAsia="Calibri" w:hAnsi="Times New Roman"/>
          <w:spacing w:val="0"/>
          <w:sz w:val="22"/>
          <w:szCs w:val="22"/>
        </w:rPr>
        <w:t>14</w:t>
      </w:r>
      <w:r w:rsidRPr="004F391A">
        <w:rPr>
          <w:rFonts w:ascii="Times New Roman" w:eastAsia="Calibri" w:hAnsi="Times New Roman"/>
          <w:spacing w:val="0"/>
          <w:sz w:val="22"/>
          <w:szCs w:val="22"/>
        </w:rPr>
        <w:t xml:space="preserve">, </w:t>
      </w:r>
      <w:r w:rsidR="00283FE1" w:rsidRPr="004F391A">
        <w:rPr>
          <w:rFonts w:ascii="Times New Roman" w:eastAsia="Calibri" w:hAnsi="Times New Roman"/>
          <w:spacing w:val="0"/>
          <w:sz w:val="22"/>
          <w:szCs w:val="22"/>
        </w:rPr>
        <w:t>but</w:t>
      </w:r>
      <w:r w:rsidRPr="004F391A">
        <w:rPr>
          <w:rFonts w:ascii="Times New Roman" w:eastAsia="Calibri" w:hAnsi="Times New Roman"/>
          <w:spacing w:val="0"/>
          <w:sz w:val="22"/>
          <w:szCs w:val="22"/>
        </w:rPr>
        <w:t xml:space="preserve"> MassHealth EAPG Weights </w:t>
      </w:r>
      <w:r w:rsidR="00283FE1" w:rsidRPr="004F391A">
        <w:rPr>
          <w:rFonts w:ascii="Times New Roman" w:eastAsia="Calibri" w:hAnsi="Times New Roman"/>
          <w:spacing w:val="0"/>
          <w:sz w:val="22"/>
          <w:szCs w:val="22"/>
        </w:rPr>
        <w:t>were revised</w:t>
      </w:r>
      <w:r w:rsidR="001878D9">
        <w:rPr>
          <w:rFonts w:ascii="Times New Roman" w:eastAsia="Calibri" w:hAnsi="Times New Roman"/>
          <w:spacing w:val="0"/>
          <w:sz w:val="22"/>
          <w:szCs w:val="22"/>
        </w:rPr>
        <w:t>.</w:t>
      </w:r>
      <w:r w:rsidR="00A61E94" w:rsidRPr="004F391A">
        <w:rPr>
          <w:rFonts w:ascii="Times New Roman" w:eastAsia="Calibri" w:hAnsi="Times New Roman"/>
          <w:spacing w:val="0"/>
          <w:sz w:val="22"/>
          <w:szCs w:val="22"/>
        </w:rPr>
        <w:t xml:space="preserve">  </w:t>
      </w:r>
    </w:p>
    <w:p w14:paraId="0A0C9B0C"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In determining the APEC Outpatient Statewide Standard:</w:t>
      </w:r>
    </w:p>
    <w:p w14:paraId="708B17C9" w14:textId="2E16F86D" w:rsidR="00FC29B5" w:rsidRPr="00D83612" w:rsidRDefault="00B7261B" w:rsidP="00A32039">
      <w:pPr>
        <w:numPr>
          <w:ilvl w:val="0"/>
          <w:numId w:val="15"/>
        </w:numPr>
        <w:spacing w:before="240" w:after="200" w:line="276" w:lineRule="auto"/>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To produce each hospital’s standardized costs per episode, an adjustment for each</w:t>
      </w:r>
      <w:r w:rsidR="00FC29B5" w:rsidRPr="004F391A">
        <w:rPr>
          <w:rFonts w:ascii="Times New Roman" w:eastAsia="Calibri" w:hAnsi="Times New Roman"/>
          <w:spacing w:val="0"/>
          <w:sz w:val="22"/>
          <w:szCs w:val="22"/>
        </w:rPr>
        <w:t xml:space="preserve"> hospital’s Massachusetts-specific wage area index was also applied</w:t>
      </w:r>
      <w:r w:rsidRPr="004F391A">
        <w:rPr>
          <w:rFonts w:ascii="Times New Roman" w:eastAsia="Calibri" w:hAnsi="Times New Roman"/>
          <w:spacing w:val="0"/>
          <w:sz w:val="22"/>
          <w:szCs w:val="22"/>
        </w:rPr>
        <w:t xml:space="preserve">, and the hospital’s APEC Base Year outpatient casemix index was calculated utilizing the grouper and </w:t>
      </w:r>
      <w:r w:rsidR="00A61E94" w:rsidRPr="004F391A">
        <w:rPr>
          <w:rFonts w:ascii="Times New Roman" w:eastAsia="Calibri" w:hAnsi="Times New Roman"/>
          <w:spacing w:val="0"/>
          <w:sz w:val="22"/>
          <w:szCs w:val="22"/>
        </w:rPr>
        <w:t xml:space="preserve">updated </w:t>
      </w:r>
      <w:r w:rsidRPr="004F391A">
        <w:rPr>
          <w:rFonts w:ascii="Times New Roman" w:eastAsia="Calibri" w:hAnsi="Times New Roman"/>
          <w:spacing w:val="0"/>
          <w:sz w:val="22"/>
          <w:szCs w:val="22"/>
        </w:rPr>
        <w:t>weights,</w:t>
      </w:r>
      <w:r>
        <w:rPr>
          <w:rFonts w:ascii="Times New Roman" w:eastAsia="Calibri" w:hAnsi="Times New Roman"/>
          <w:spacing w:val="0"/>
          <w:sz w:val="22"/>
          <w:szCs w:val="22"/>
        </w:rPr>
        <w:t xml:space="preserve"> as adjusted by EOHHS</w:t>
      </w:r>
      <w:r w:rsidR="00FC29B5">
        <w:rPr>
          <w:rFonts w:ascii="Times New Roman" w:eastAsia="Calibri" w:hAnsi="Times New Roman"/>
          <w:spacing w:val="0"/>
          <w:sz w:val="22"/>
          <w:szCs w:val="22"/>
        </w:rPr>
        <w:t>.</w:t>
      </w:r>
    </w:p>
    <w:p w14:paraId="231C7C79" w14:textId="04D1905F" w:rsidR="00FC29B5" w:rsidRDefault="00181DC5" w:rsidP="00A32039">
      <w:pPr>
        <w:numPr>
          <w:ilvl w:val="0"/>
          <w:numId w:val="15"/>
        </w:numPr>
        <w:spacing w:before="240" w:after="200" w:line="276" w:lineRule="auto"/>
        <w:contextualSpacing/>
        <w:rPr>
          <w:rFonts w:ascii="Times New Roman" w:eastAsia="Calibri" w:hAnsi="Times New Roman"/>
          <w:spacing w:val="0"/>
          <w:sz w:val="22"/>
          <w:szCs w:val="22"/>
        </w:rPr>
      </w:pPr>
      <w:r w:rsidRPr="007C5A41">
        <w:rPr>
          <w:rFonts w:ascii="Times New Roman" w:eastAsia="Calibri" w:hAnsi="Times New Roman"/>
          <w:spacing w:val="0"/>
          <w:sz w:val="22"/>
          <w:szCs w:val="22"/>
        </w:rPr>
        <w:t>FY1</w:t>
      </w:r>
      <w:r>
        <w:rPr>
          <w:rFonts w:ascii="Times New Roman" w:eastAsia="Calibri" w:hAnsi="Times New Roman"/>
          <w:spacing w:val="0"/>
          <w:sz w:val="22"/>
          <w:szCs w:val="22"/>
        </w:rPr>
        <w:t>9</w:t>
      </w:r>
      <w:r w:rsidRPr="007C5A41">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MassHealth episodes from MMIS </w:t>
      </w:r>
      <w:r w:rsidR="00FC29B5">
        <w:rPr>
          <w:rFonts w:ascii="Times New Roman" w:eastAsia="Calibri" w:hAnsi="Times New Roman"/>
          <w:spacing w:val="0"/>
          <w:sz w:val="22"/>
          <w:szCs w:val="22"/>
        </w:rPr>
        <w:t xml:space="preserve">were </w:t>
      </w:r>
      <w:r w:rsidR="00FC29B5"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00FC29B5" w:rsidRPr="007C5A41">
        <w:rPr>
          <w:rFonts w:ascii="Times New Roman" w:eastAsia="Calibri" w:hAnsi="Times New Roman"/>
          <w:spacing w:val="0"/>
          <w:sz w:val="22"/>
          <w:szCs w:val="22"/>
        </w:rPr>
        <w:t xml:space="preserve">costs for determining the efficiency standard, which </w:t>
      </w:r>
      <w:r w:rsidR="00FC29B5">
        <w:rPr>
          <w:rFonts w:ascii="Times New Roman" w:eastAsia="Calibri" w:hAnsi="Times New Roman"/>
          <w:spacing w:val="0"/>
          <w:sz w:val="22"/>
          <w:szCs w:val="22"/>
        </w:rPr>
        <w:t>was</w:t>
      </w:r>
      <w:r w:rsidR="00FC29B5" w:rsidRPr="007C5A41">
        <w:rPr>
          <w:rFonts w:ascii="Times New Roman" w:eastAsia="Calibri" w:hAnsi="Times New Roman"/>
          <w:spacing w:val="0"/>
          <w:sz w:val="22"/>
          <w:szCs w:val="22"/>
        </w:rPr>
        <w:t xml:space="preserve"> set at the 60% level of costs.</w:t>
      </w:r>
      <w:r w:rsidR="005D44B9">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 </w:t>
      </w:r>
    </w:p>
    <w:p w14:paraId="16DFEA94" w14:textId="769C3ABD"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181DC5">
        <w:rPr>
          <w:rFonts w:ascii="Times New Roman" w:eastAsia="Calibri" w:hAnsi="Times New Roman"/>
          <w:spacing w:val="0"/>
          <w:sz w:val="22"/>
          <w:szCs w:val="22"/>
        </w:rPr>
        <w:t>94</w:t>
      </w:r>
      <w:r>
        <w:rPr>
          <w:rFonts w:ascii="Times New Roman" w:eastAsia="Calibri" w:hAnsi="Times New Roman"/>
          <w:spacing w:val="0"/>
          <w:sz w:val="22"/>
          <w:szCs w:val="22"/>
        </w:rPr>
        <w:t>%.</w:t>
      </w:r>
    </w:p>
    <w:p w14:paraId="2736E138" w14:textId="37FDA16F"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update of </w:t>
      </w:r>
      <w:r w:rsidR="00181DC5">
        <w:rPr>
          <w:rFonts w:ascii="Times New Roman" w:eastAsia="Calibri" w:hAnsi="Times New Roman"/>
          <w:spacing w:val="0"/>
          <w:sz w:val="22"/>
          <w:szCs w:val="22"/>
        </w:rPr>
        <w:t>1.854</w:t>
      </w:r>
      <w:r w:rsidRPr="00D83612">
        <w:rPr>
          <w:rFonts w:ascii="Times New Roman" w:eastAsia="Calibri" w:hAnsi="Times New Roman"/>
          <w:spacing w:val="0"/>
          <w:sz w:val="22"/>
          <w:szCs w:val="22"/>
        </w:rPr>
        <w:t xml:space="preserve">%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w:t>
      </w:r>
      <w:r w:rsidR="00181DC5" w:rsidRPr="00D83612">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00181DC5" w:rsidRPr="00D83612">
        <w:rPr>
          <w:rFonts w:ascii="Times New Roman" w:eastAsia="Calibri" w:hAnsi="Times New Roman"/>
          <w:spacing w:val="0"/>
          <w:sz w:val="22"/>
          <w:szCs w:val="22"/>
        </w:rPr>
        <w:t xml:space="preserve"> </w:t>
      </w:r>
      <w:r w:rsidRPr="00D83612">
        <w:rPr>
          <w:rFonts w:ascii="Times New Roman" w:eastAsia="Calibri" w:hAnsi="Times New Roman"/>
          <w:spacing w:val="0"/>
          <w:sz w:val="22"/>
          <w:szCs w:val="22"/>
        </w:rPr>
        <w:t xml:space="preserve">and </w:t>
      </w:r>
      <w:r w:rsidR="00181DC5" w:rsidRPr="00D83612">
        <w:rPr>
          <w:rFonts w:ascii="Times New Roman" w:eastAsia="Calibri" w:hAnsi="Times New Roman"/>
          <w:spacing w:val="0"/>
          <w:sz w:val="22"/>
          <w:szCs w:val="22"/>
        </w:rPr>
        <w:t>RY</w:t>
      </w:r>
      <w:r w:rsidR="00181DC5">
        <w:rPr>
          <w:rFonts w:ascii="Times New Roman" w:eastAsia="Calibri" w:hAnsi="Times New Roman"/>
          <w:spacing w:val="0"/>
          <w:sz w:val="22"/>
          <w:szCs w:val="22"/>
        </w:rPr>
        <w:t>21</w:t>
      </w:r>
      <w:r>
        <w:rPr>
          <w:rFonts w:ascii="Times New Roman" w:eastAsia="Calibri" w:hAnsi="Times New Roman"/>
          <w:spacing w:val="0"/>
          <w:sz w:val="22"/>
          <w:szCs w:val="22"/>
        </w:rPr>
        <w:t>;</w:t>
      </w:r>
    </w:p>
    <w:p w14:paraId="7F6AF6AF" w14:textId="0644EECA" w:rsidR="00FC29B5" w:rsidRPr="00D83612"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The conversion factor applied was 1.</w:t>
      </w:r>
      <w:r w:rsidR="00471E5F">
        <w:rPr>
          <w:rFonts w:ascii="Times New Roman" w:eastAsia="Calibri" w:hAnsi="Times New Roman"/>
          <w:spacing w:val="0"/>
          <w:sz w:val="22"/>
          <w:szCs w:val="22"/>
        </w:rPr>
        <w:t>1</w:t>
      </w:r>
      <w:r w:rsidR="00181DC5">
        <w:rPr>
          <w:rFonts w:ascii="Times New Roman" w:eastAsia="Calibri" w:hAnsi="Times New Roman"/>
          <w:spacing w:val="0"/>
          <w:sz w:val="22"/>
          <w:szCs w:val="22"/>
        </w:rPr>
        <w:t>1</w:t>
      </w:r>
      <w:r w:rsidR="00471E5F">
        <w:rPr>
          <w:rFonts w:ascii="Times New Roman" w:eastAsia="Calibri" w:hAnsi="Times New Roman"/>
          <w:spacing w:val="0"/>
          <w:sz w:val="22"/>
          <w:szCs w:val="22"/>
        </w:rPr>
        <w:t>1</w:t>
      </w:r>
      <w:r w:rsidRPr="00D83612">
        <w:rPr>
          <w:rFonts w:ascii="Times New Roman" w:eastAsia="Calibri" w:hAnsi="Times New Roman"/>
          <w:spacing w:val="0"/>
          <w:sz w:val="22"/>
          <w:szCs w:val="22"/>
        </w:rPr>
        <w:t>.</w:t>
      </w:r>
    </w:p>
    <w:p w14:paraId="45869381" w14:textId="298DB94E" w:rsidR="00FC29B5" w:rsidRPr="00EF6B73" w:rsidRDefault="00FC29B5" w:rsidP="00A32039">
      <w:pPr>
        <w:numPr>
          <w:ilvl w:val="1"/>
          <w:numId w:val="12"/>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4,000</w:t>
      </w:r>
      <w:r>
        <w:rPr>
          <w:rFonts w:ascii="Times New Roman" w:eastAsia="Calibri" w:hAnsi="Times New Roman"/>
          <w:spacing w:val="0"/>
          <w:sz w:val="22"/>
          <w:szCs w:val="22"/>
        </w:rPr>
        <w:t xml:space="preserve">,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w:t>
      </w:r>
      <w:r w:rsidR="00471E5F">
        <w:rPr>
          <w:rFonts w:ascii="Times New Roman" w:eastAsia="Calibri" w:hAnsi="Times New Roman"/>
          <w:spacing w:val="0"/>
          <w:sz w:val="22"/>
          <w:szCs w:val="22"/>
        </w:rPr>
        <w:t>60</w:t>
      </w:r>
      <w:r>
        <w:rPr>
          <w:rFonts w:ascii="Times New Roman" w:eastAsia="Calibri" w:hAnsi="Times New Roman"/>
          <w:spacing w:val="0"/>
          <w:sz w:val="22"/>
          <w:szCs w:val="22"/>
        </w:rPr>
        <w:t xml:space="preserve">%,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 xml:space="preserve">ted based on the Hospital’s </w:t>
      </w:r>
      <w:r w:rsidR="00471E5F">
        <w:rPr>
          <w:rFonts w:ascii="Times New Roman" w:eastAsia="Calibri" w:hAnsi="Times New Roman"/>
          <w:spacing w:val="0"/>
          <w:sz w:val="22"/>
          <w:szCs w:val="22"/>
        </w:rPr>
        <w:t>FY18</w:t>
      </w:r>
      <w:r w:rsidR="00471E5F"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14:paraId="56D5A67C" w14:textId="3546B48B" w:rsidR="00096B9A" w:rsidRPr="00EF6B73" w:rsidRDefault="00096B9A" w:rsidP="00A32039">
      <w:pPr>
        <w:numPr>
          <w:ilvl w:val="0"/>
          <w:numId w:val="1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181DC5">
        <w:rPr>
          <w:rFonts w:ascii="Times New Roman" w:eastAsia="Calibri" w:hAnsi="Times New Roman"/>
          <w:spacing w:val="0"/>
          <w:sz w:val="22"/>
          <w:szCs w:val="22"/>
        </w:rPr>
        <w:t xml:space="preserve">RY21 </w:t>
      </w:r>
      <w:r w:rsidRPr="00EF6B73">
        <w:rPr>
          <w:rFonts w:ascii="Times New Roman" w:eastAsia="Calibri" w:hAnsi="Times New Roman"/>
          <w:spacing w:val="0"/>
          <w:sz w:val="22"/>
          <w:szCs w:val="22"/>
        </w:rPr>
        <w:t xml:space="preserve">were derived utilizing cost data from the hospital’s </w:t>
      </w:r>
      <w:r w:rsidR="00181DC5" w:rsidRPr="00EF6B73">
        <w:rPr>
          <w:rFonts w:ascii="Times New Roman" w:eastAsia="Calibri" w:hAnsi="Times New Roman"/>
          <w:spacing w:val="0"/>
          <w:sz w:val="22"/>
          <w:szCs w:val="22"/>
        </w:rPr>
        <w:t>FY1</w:t>
      </w:r>
      <w:r w:rsidR="00181DC5">
        <w:rPr>
          <w:rFonts w:ascii="Times New Roman" w:eastAsia="Calibri" w:hAnsi="Times New Roman"/>
          <w:spacing w:val="0"/>
          <w:sz w:val="22"/>
          <w:szCs w:val="22"/>
        </w:rPr>
        <w:t>9</w:t>
      </w:r>
      <w:r w:rsidR="00181DC5"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CMS 2552-10 cost report.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Final payment </w:t>
      </w:r>
      <w:r w:rsidR="00225460">
        <w:rPr>
          <w:rFonts w:ascii="Times New Roman" w:eastAsia="Calibri" w:hAnsi="Times New Roman"/>
          <w:spacing w:val="0"/>
          <w:sz w:val="22"/>
          <w:szCs w:val="22"/>
        </w:rPr>
        <w:t xml:space="preserve">for the </w:t>
      </w:r>
      <w:r w:rsidR="00181DC5">
        <w:rPr>
          <w:rFonts w:ascii="Times New Roman" w:eastAsia="Calibri" w:hAnsi="Times New Roman"/>
          <w:spacing w:val="0"/>
          <w:sz w:val="22"/>
          <w:szCs w:val="22"/>
        </w:rPr>
        <w:t xml:space="preserve">FY21 </w:t>
      </w:r>
      <w:r w:rsidR="00BC0651">
        <w:rPr>
          <w:rFonts w:ascii="Times New Roman" w:eastAsia="Calibri" w:hAnsi="Times New Roman"/>
          <w:spacing w:val="0"/>
          <w:sz w:val="22"/>
          <w:szCs w:val="22"/>
        </w:rPr>
        <w:t xml:space="preserve">period </w:t>
      </w:r>
      <w:r w:rsidRPr="00EF6B73">
        <w:rPr>
          <w:rFonts w:ascii="Times New Roman" w:eastAsia="Calibri" w:hAnsi="Times New Roman"/>
          <w:spacing w:val="0"/>
          <w:sz w:val="22"/>
          <w:szCs w:val="22"/>
        </w:rPr>
        <w:t>will be made</w:t>
      </w:r>
      <w:r w:rsidR="00313BAD">
        <w:rPr>
          <w:rFonts w:ascii="Times New Roman" w:eastAsia="Calibri" w:hAnsi="Times New Roman"/>
          <w:spacing w:val="0"/>
          <w:sz w:val="22"/>
          <w:szCs w:val="22"/>
        </w:rPr>
        <w:t xml:space="preserve"> as set forth in Section II.1.A</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5D60CF18" w14:textId="77777777"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EF6B73" w:rsidRDefault="00096B9A" w:rsidP="00A32039">
      <w:pPr>
        <w:pStyle w:val="Heading2"/>
      </w:pPr>
      <w:r w:rsidRPr="00EF6B73">
        <w:t>In-State Acute Hospital Supplemental Payments</w:t>
      </w:r>
    </w:p>
    <w:p w14:paraId="1B6FF58A" w14:textId="77777777"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14:paraId="312B654F" w14:textId="4E2833F6" w:rsidR="00226194" w:rsidRDefault="00096B9A" w:rsidP="00226194">
      <w:pPr>
        <w:spacing w:after="200" w:line="276" w:lineRule="auto"/>
        <w:ind w:left="360"/>
        <w:contextualSpacing/>
        <w:rPr>
          <w:rFonts w:ascii="Times New Roman" w:hAnsi="Times New Roman"/>
          <w:spacing w:val="0"/>
          <w:sz w:val="22"/>
          <w:szCs w:val="22"/>
        </w:rPr>
      </w:pPr>
      <w:r w:rsidRPr="00EF6B73">
        <w:rPr>
          <w:rFonts w:ascii="Times New Roman" w:eastAsia="Calibri" w:hAnsi="Times New Roman"/>
          <w:spacing w:val="0"/>
          <w:sz w:val="22"/>
          <w:szCs w:val="22"/>
        </w:rPr>
        <w:lastRenderedPageBreak/>
        <w:t xml:space="preserve">In addition to the payments specified </w:t>
      </w:r>
      <w:r w:rsidR="00313BAD">
        <w:rPr>
          <w:rFonts w:ascii="Times New Roman" w:eastAsia="Calibri" w:hAnsi="Times New Roman"/>
          <w:spacing w:val="0"/>
          <w:sz w:val="22"/>
          <w:szCs w:val="22"/>
        </w:rPr>
        <w:t>earlier</w:t>
      </w:r>
      <w:r w:rsidRPr="00EF6B73">
        <w:rPr>
          <w:rFonts w:ascii="Times New Roman" w:eastAsia="Calibri" w:hAnsi="Times New Roman"/>
          <w:spacing w:val="0"/>
          <w:sz w:val="22"/>
          <w:szCs w:val="22"/>
        </w:rPr>
        <w:t xml:space="preser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w:t>
      </w:r>
      <w:r w:rsidR="00181DC5">
        <w:rPr>
          <w:rFonts w:ascii="Times New Roman" w:eastAsia="Calibri" w:hAnsi="Times New Roman"/>
          <w:spacing w:val="0"/>
          <w:sz w:val="22"/>
          <w:szCs w:val="22"/>
        </w:rPr>
        <w:t xml:space="preserve">FY21 </w:t>
      </w:r>
      <w:r w:rsidR="007019DD">
        <w:rPr>
          <w:rFonts w:ascii="Times New Roman" w:eastAsia="Calibri" w:hAnsi="Times New Roman"/>
          <w:spacing w:val="0"/>
          <w:sz w:val="22"/>
          <w:szCs w:val="22"/>
        </w:rPr>
        <w:t xml:space="preserve">state plan methods </w:t>
      </w:r>
      <w:r w:rsidR="00181DC5">
        <w:rPr>
          <w:rFonts w:ascii="Times New Roman" w:eastAsia="Calibri" w:hAnsi="Times New Roman"/>
          <w:spacing w:val="0"/>
          <w:sz w:val="22"/>
          <w:szCs w:val="22"/>
        </w:rPr>
        <w:t xml:space="preserve">for the following supplemental payments remain substantially similar to the FY20 methods for those payments, except utilizing more recent data:  </w:t>
      </w:r>
      <w:r w:rsidR="00181DC5" w:rsidRPr="00181DC5">
        <w:rPr>
          <w:rFonts w:ascii="Times New Roman" w:eastAsia="Calibri" w:hAnsi="Times New Roman"/>
          <w:spacing w:val="0"/>
          <w:sz w:val="22"/>
          <w:szCs w:val="22"/>
        </w:rPr>
        <w:t>the supplemental payment for hospitals that qualify as Essential MassHealth Hospitals, the supplemental payment for Acute Hospitals with High Medicaid Discharges, the High Medicaid Volume Freestanding Pediatric Acute Hospital supplemental payment, the High Medicaid Volume Safety Net Hospital supplemental payment, the High Medicaid Volume Safety Net Hospital HLHC supplemental payment, and the supplemental payment for hospitals that qualify as Specialized Pediatric Service Hospitals.</w:t>
      </w:r>
      <w:r w:rsidR="00330A9B" w:rsidRPr="00313BAD">
        <w:rPr>
          <w:rFonts w:ascii="Times New Roman" w:hAnsi="Times New Roman"/>
          <w:spacing w:val="0"/>
          <w:sz w:val="22"/>
          <w:szCs w:val="22"/>
          <w:vertAlign w:val="superscript"/>
        </w:rPr>
        <w:footnoteReference w:id="17"/>
      </w:r>
      <w:r w:rsidR="005D44B9">
        <w:rPr>
          <w:rFonts w:ascii="Times New Roman" w:hAnsi="Times New Roman"/>
          <w:spacing w:val="0"/>
          <w:sz w:val="22"/>
          <w:szCs w:val="22"/>
        </w:rPr>
        <w:t xml:space="preserve"> </w:t>
      </w:r>
      <w:r w:rsidR="00181DC5" w:rsidRPr="00181DC5">
        <w:rPr>
          <w:rFonts w:ascii="Times New Roman" w:hAnsi="Times New Roman"/>
          <w:spacing w:val="0"/>
          <w:sz w:val="22"/>
          <w:szCs w:val="22"/>
        </w:rPr>
        <w:t xml:space="preserve">The eligibility criteria and aggregate payment amount for the supplemental payment for High Public Payer Hospitals has remained unchanged, but the methodology for that payment was revised to </w:t>
      </w:r>
      <w:r w:rsidR="00181DC5">
        <w:rPr>
          <w:rFonts w:ascii="Times New Roman" w:hAnsi="Times New Roman"/>
          <w:spacing w:val="0"/>
          <w:sz w:val="22"/>
          <w:szCs w:val="22"/>
        </w:rPr>
        <w:t xml:space="preserve">(1) </w:t>
      </w:r>
      <w:r w:rsidR="00181DC5" w:rsidRPr="00181DC5">
        <w:rPr>
          <w:rFonts w:ascii="Times New Roman" w:hAnsi="Times New Roman"/>
          <w:spacing w:val="0"/>
          <w:sz w:val="22"/>
          <w:szCs w:val="22"/>
        </w:rPr>
        <w:t>allocate a greater share of the total payment to eligible hospitals with a relatively higher reliance on public payers</w:t>
      </w:r>
      <w:r w:rsidR="00181DC5">
        <w:rPr>
          <w:rFonts w:ascii="Times New Roman" w:hAnsi="Times New Roman"/>
          <w:spacing w:val="0"/>
          <w:sz w:val="22"/>
          <w:szCs w:val="22"/>
        </w:rPr>
        <w:t xml:space="preserve"> and (2) utilize more recent data</w:t>
      </w:r>
      <w:r w:rsidR="00181DC5" w:rsidRPr="00181DC5">
        <w:rPr>
          <w:rFonts w:ascii="Times New Roman" w:hAnsi="Times New Roman"/>
          <w:spacing w:val="0"/>
          <w:sz w:val="22"/>
          <w:szCs w:val="22"/>
        </w:rPr>
        <w:t>. The High Public Payer Behavioral Health Service Supplemental Payment is largely unchanged, except</w:t>
      </w:r>
      <w:r w:rsidR="00F866A3">
        <w:rPr>
          <w:rFonts w:ascii="Times New Roman" w:hAnsi="Times New Roman"/>
          <w:spacing w:val="0"/>
          <w:sz w:val="22"/>
          <w:szCs w:val="22"/>
        </w:rPr>
        <w:t xml:space="preserve"> that</w:t>
      </w:r>
      <w:r w:rsidR="003A1EAF">
        <w:rPr>
          <w:rFonts w:ascii="Times New Roman" w:hAnsi="Times New Roman"/>
          <w:spacing w:val="0"/>
          <w:sz w:val="22"/>
          <w:szCs w:val="22"/>
        </w:rPr>
        <w:t xml:space="preserve"> EOHHS has</w:t>
      </w:r>
      <w:r w:rsidR="00181DC5" w:rsidRPr="00181DC5">
        <w:rPr>
          <w:rFonts w:ascii="Times New Roman" w:hAnsi="Times New Roman"/>
          <w:spacing w:val="0"/>
          <w:sz w:val="22"/>
          <w:szCs w:val="22"/>
        </w:rPr>
        <w:t xml:space="preserve"> </w:t>
      </w:r>
      <w:r w:rsidR="00B4310C">
        <w:rPr>
          <w:rFonts w:ascii="Times New Roman" w:hAnsi="Times New Roman"/>
          <w:spacing w:val="0"/>
          <w:sz w:val="22"/>
          <w:szCs w:val="22"/>
        </w:rPr>
        <w:t xml:space="preserve">(1) </w:t>
      </w:r>
      <w:r w:rsidR="00F866A3">
        <w:rPr>
          <w:rFonts w:ascii="Times New Roman" w:hAnsi="Times New Roman"/>
          <w:spacing w:val="0"/>
          <w:sz w:val="22"/>
          <w:szCs w:val="22"/>
        </w:rPr>
        <w:t>added an additional eligibility criterion</w:t>
      </w:r>
      <w:r w:rsidR="007E30D1">
        <w:rPr>
          <w:rFonts w:ascii="Times New Roman" w:hAnsi="Times New Roman"/>
          <w:spacing w:val="0"/>
          <w:sz w:val="22"/>
          <w:szCs w:val="22"/>
        </w:rPr>
        <w:t>,</w:t>
      </w:r>
      <w:r w:rsidR="00F866A3">
        <w:rPr>
          <w:rFonts w:ascii="Times New Roman" w:hAnsi="Times New Roman"/>
          <w:spacing w:val="0"/>
          <w:sz w:val="22"/>
          <w:szCs w:val="22"/>
        </w:rPr>
        <w:t xml:space="preserve"> specifically, that the </w:t>
      </w:r>
      <w:r w:rsidR="00181DC5" w:rsidRPr="00181DC5">
        <w:rPr>
          <w:rFonts w:ascii="Times New Roman" w:hAnsi="Times New Roman"/>
          <w:spacing w:val="0"/>
          <w:sz w:val="22"/>
          <w:szCs w:val="22"/>
        </w:rPr>
        <w:t>that the hospital must maintain at least one DMH-licensed bed throughout RY21</w:t>
      </w:r>
      <w:r w:rsidR="00403238">
        <w:rPr>
          <w:rFonts w:ascii="Times New Roman" w:hAnsi="Times New Roman"/>
          <w:spacing w:val="0"/>
          <w:sz w:val="22"/>
          <w:szCs w:val="22"/>
        </w:rPr>
        <w:t xml:space="preserve">, (2) </w:t>
      </w:r>
      <w:r w:rsidR="003A1EAF">
        <w:rPr>
          <w:rFonts w:ascii="Times New Roman" w:hAnsi="Times New Roman"/>
          <w:spacing w:val="0"/>
          <w:sz w:val="22"/>
          <w:szCs w:val="22"/>
        </w:rPr>
        <w:t xml:space="preserve">revised </w:t>
      </w:r>
      <w:r w:rsidR="00403238">
        <w:rPr>
          <w:rFonts w:ascii="Times New Roman" w:hAnsi="Times New Roman"/>
          <w:spacing w:val="0"/>
          <w:sz w:val="22"/>
          <w:szCs w:val="22"/>
        </w:rPr>
        <w:t>the methodology for the payment to utilize more recent data</w:t>
      </w:r>
      <w:r w:rsidR="003A1EAF">
        <w:rPr>
          <w:rFonts w:ascii="Times New Roman" w:hAnsi="Times New Roman"/>
          <w:spacing w:val="0"/>
          <w:sz w:val="22"/>
          <w:szCs w:val="22"/>
        </w:rPr>
        <w:t xml:space="preserve">, and (3) </w:t>
      </w:r>
      <w:r w:rsidR="003A2AA9">
        <w:rPr>
          <w:rFonts w:ascii="Times New Roman" w:hAnsi="Times New Roman"/>
          <w:spacing w:val="0"/>
          <w:sz w:val="22"/>
          <w:szCs w:val="22"/>
        </w:rPr>
        <w:t xml:space="preserve">revised the definitions of </w:t>
      </w:r>
      <w:r w:rsidR="00743A34">
        <w:rPr>
          <w:rFonts w:ascii="Times New Roman" w:hAnsi="Times New Roman"/>
          <w:spacing w:val="0"/>
          <w:sz w:val="22"/>
          <w:szCs w:val="22"/>
        </w:rPr>
        <w:t xml:space="preserve">“Adult” and “Pedi Adol” </w:t>
      </w:r>
      <w:r w:rsidR="00302732">
        <w:rPr>
          <w:rFonts w:ascii="Times New Roman" w:hAnsi="Times New Roman"/>
          <w:spacing w:val="0"/>
          <w:sz w:val="22"/>
          <w:szCs w:val="22"/>
        </w:rPr>
        <w:t>from “</w:t>
      </w:r>
      <w:r w:rsidR="00B76A4A">
        <w:rPr>
          <w:rFonts w:ascii="Times New Roman" w:hAnsi="Times New Roman"/>
          <w:spacing w:val="0"/>
          <w:sz w:val="22"/>
          <w:szCs w:val="22"/>
        </w:rPr>
        <w:t xml:space="preserve">MassHealth members age </w:t>
      </w:r>
      <w:r w:rsidR="006E2217">
        <w:rPr>
          <w:rFonts w:ascii="Times New Roman" w:hAnsi="Times New Roman"/>
          <w:spacing w:val="0"/>
          <w:sz w:val="22"/>
          <w:szCs w:val="22"/>
        </w:rPr>
        <w:t xml:space="preserve">19 and older” and “MassHealth members </w:t>
      </w:r>
      <w:r w:rsidR="00C37496">
        <w:rPr>
          <w:rFonts w:ascii="Times New Roman" w:hAnsi="Times New Roman"/>
          <w:spacing w:val="0"/>
          <w:sz w:val="22"/>
          <w:szCs w:val="22"/>
        </w:rPr>
        <w:t>under age 19,” respectively, to “MassHealth members age 18 and older” and “MassHealth members under age 18</w:t>
      </w:r>
      <w:r w:rsidR="001B4F92">
        <w:rPr>
          <w:rFonts w:ascii="Times New Roman" w:hAnsi="Times New Roman"/>
          <w:spacing w:val="0"/>
          <w:sz w:val="22"/>
          <w:szCs w:val="22"/>
        </w:rPr>
        <w:t>,” respectively</w:t>
      </w:r>
      <w:r w:rsidR="00181DC5" w:rsidRPr="00181DC5">
        <w:rPr>
          <w:rFonts w:ascii="Times New Roman" w:hAnsi="Times New Roman"/>
          <w:spacing w:val="0"/>
          <w:sz w:val="22"/>
          <w:szCs w:val="22"/>
        </w:rPr>
        <w:t>.</w:t>
      </w:r>
      <w:r w:rsidR="00181DC5">
        <w:rPr>
          <w:rFonts w:ascii="Times New Roman" w:hAnsi="Times New Roman"/>
          <w:spacing w:val="0"/>
          <w:sz w:val="22"/>
          <w:szCs w:val="22"/>
        </w:rPr>
        <w:t xml:space="preserve">  </w:t>
      </w:r>
      <w:r w:rsidR="00226194">
        <w:rPr>
          <w:rFonts w:ascii="Times New Roman" w:hAnsi="Times New Roman"/>
          <w:spacing w:val="0"/>
          <w:sz w:val="22"/>
          <w:szCs w:val="22"/>
        </w:rPr>
        <w:t xml:space="preserve">EOHHS has also added </w:t>
      </w:r>
      <w:r w:rsidR="00181DC5">
        <w:rPr>
          <w:rFonts w:ascii="Times New Roman" w:hAnsi="Times New Roman"/>
          <w:spacing w:val="0"/>
          <w:sz w:val="22"/>
          <w:szCs w:val="22"/>
        </w:rPr>
        <w:t xml:space="preserve">two </w:t>
      </w:r>
      <w:r w:rsidR="00226194">
        <w:rPr>
          <w:rFonts w:ascii="Times New Roman" w:hAnsi="Times New Roman"/>
          <w:spacing w:val="0"/>
          <w:sz w:val="22"/>
          <w:szCs w:val="22"/>
        </w:rPr>
        <w:t>new</w:t>
      </w:r>
      <w:r w:rsidR="00313BAD">
        <w:rPr>
          <w:rFonts w:ascii="Times New Roman" w:hAnsi="Times New Roman"/>
          <w:spacing w:val="0"/>
          <w:sz w:val="22"/>
          <w:szCs w:val="22"/>
        </w:rPr>
        <w:t xml:space="preserve"> supplemental payments for </w:t>
      </w:r>
      <w:r w:rsidR="00181DC5">
        <w:rPr>
          <w:rFonts w:ascii="Times New Roman" w:hAnsi="Times New Roman"/>
          <w:spacing w:val="0"/>
          <w:sz w:val="22"/>
          <w:szCs w:val="22"/>
        </w:rPr>
        <w:t>FY21</w:t>
      </w:r>
      <w:r w:rsidR="00313BAD">
        <w:rPr>
          <w:rFonts w:ascii="Times New Roman" w:hAnsi="Times New Roman"/>
          <w:spacing w:val="0"/>
          <w:sz w:val="22"/>
          <w:szCs w:val="22"/>
        </w:rPr>
        <w:t>.</w:t>
      </w:r>
    </w:p>
    <w:p w14:paraId="32EE1F57" w14:textId="77777777" w:rsidR="00181DC5" w:rsidRDefault="00181DC5" w:rsidP="00181DC5">
      <w:pPr>
        <w:rPr>
          <w:sz w:val="22"/>
          <w:szCs w:val="22"/>
        </w:rPr>
      </w:pPr>
    </w:p>
    <w:p w14:paraId="55E1ACFA" w14:textId="5C9DF5DE" w:rsidR="00181DC5" w:rsidRPr="0095313A" w:rsidRDefault="00181DC5" w:rsidP="0095313A">
      <w:pPr>
        <w:pStyle w:val="ListParagraph"/>
        <w:numPr>
          <w:ilvl w:val="1"/>
          <w:numId w:val="12"/>
        </w:numPr>
        <w:rPr>
          <w:rFonts w:ascii="Times New Roman" w:hAnsi="Times New Roman"/>
          <w:sz w:val="22"/>
          <w:szCs w:val="22"/>
        </w:rPr>
      </w:pPr>
      <w:r w:rsidRPr="0095313A">
        <w:rPr>
          <w:rFonts w:ascii="Times New Roman" w:hAnsi="Times New Roman"/>
          <w:sz w:val="22"/>
          <w:szCs w:val="22"/>
        </w:rPr>
        <w:t>a new Adult Inpatient BH Per Diem Supplemental Payment for any hospital with DMH licensed beds which experiences an increase in MassHealth inpatient days in a defined period of RY21 compared to a baseline.  The payment is $250 per day in excess of the relevant baseline.</w:t>
      </w:r>
    </w:p>
    <w:p w14:paraId="68DA47B0" w14:textId="30967E74" w:rsidR="00226194" w:rsidRDefault="00181DC5" w:rsidP="00181DC5">
      <w:pPr>
        <w:numPr>
          <w:ilvl w:val="1"/>
          <w:numId w:val="12"/>
        </w:numPr>
        <w:spacing w:after="200" w:line="276" w:lineRule="auto"/>
        <w:rPr>
          <w:rFonts w:ascii="Times New Roman" w:hAnsi="Times New Roman"/>
          <w:spacing w:val="0"/>
          <w:sz w:val="22"/>
          <w:szCs w:val="22"/>
        </w:rPr>
      </w:pPr>
      <w:r w:rsidRPr="0095313A">
        <w:rPr>
          <w:rFonts w:ascii="Times New Roman" w:hAnsi="Times New Roman"/>
          <w:sz w:val="22"/>
          <w:szCs w:val="22"/>
        </w:rPr>
        <w:t>a new Pediatric Inpatient BH Per Diem Supplemental Payment, similar to the previously described supplemental payment.  The payment is $300 per day in excess of the relevant baseline.</w:t>
      </w:r>
    </w:p>
    <w:p w14:paraId="0F5A3810" w14:textId="77777777" w:rsidR="00096B9A" w:rsidRPr="00F102B4" w:rsidRDefault="00096B9A" w:rsidP="00A32039">
      <w:pPr>
        <w:pStyle w:val="Heading2"/>
      </w:pPr>
      <w:r w:rsidRPr="00F102B4">
        <w:t>In-State Pay for Performance (P4P)</w:t>
      </w:r>
    </w:p>
    <w:p w14:paraId="13256F0B" w14:textId="77777777" w:rsidR="00096B9A" w:rsidRPr="00F102B4" w:rsidRDefault="00096B9A" w:rsidP="00096B9A">
      <w:pPr>
        <w:spacing w:after="200"/>
        <w:ind w:left="360"/>
        <w:contextualSpacing/>
        <w:rPr>
          <w:rFonts w:ascii="Times New Roman" w:eastAsia="Calibri" w:hAnsi="Times New Roman"/>
          <w:b/>
          <w:spacing w:val="0"/>
          <w:sz w:val="22"/>
          <w:szCs w:val="22"/>
        </w:rPr>
      </w:pPr>
    </w:p>
    <w:p w14:paraId="1E21B970" w14:textId="7219B8BA" w:rsidR="006F5895" w:rsidRDefault="006F5895" w:rsidP="000F528A">
      <w:pPr>
        <w:spacing w:after="480" w:line="276" w:lineRule="auto"/>
        <w:ind w:left="360"/>
        <w:rPr>
          <w:rFonts w:ascii="Times New Roman" w:eastAsia="Calibri" w:hAnsi="Times New Roman"/>
          <w:spacing w:val="0"/>
          <w:sz w:val="22"/>
          <w:szCs w:val="22"/>
        </w:rPr>
      </w:pPr>
      <w:r w:rsidRPr="006F5895">
        <w:rPr>
          <w:rFonts w:ascii="Times New Roman" w:eastAsia="Calibri" w:hAnsi="Times New Roman"/>
          <w:spacing w:val="0"/>
          <w:sz w:val="22"/>
          <w:szCs w:val="22"/>
        </w:rPr>
        <w:t>The RY</w:t>
      </w:r>
      <w:r w:rsidR="004F77EE">
        <w:rPr>
          <w:rFonts w:ascii="Times New Roman" w:eastAsia="Calibri" w:hAnsi="Times New Roman"/>
          <w:spacing w:val="0"/>
          <w:sz w:val="22"/>
          <w:szCs w:val="22"/>
        </w:rPr>
        <w:t>21</w:t>
      </w:r>
      <w:r w:rsidRPr="006F5895">
        <w:rPr>
          <w:rFonts w:ascii="Times New Roman" w:eastAsia="Calibri" w:hAnsi="Times New Roman"/>
          <w:spacing w:val="0"/>
          <w:sz w:val="22"/>
          <w:szCs w:val="22"/>
        </w:rPr>
        <w:t xml:space="preserve"> RFA Pay-for-Performance (P4P) Program is generally unchanged from </w:t>
      </w:r>
      <w:r w:rsidR="00181DC5" w:rsidRPr="006F5895">
        <w:rPr>
          <w:rFonts w:ascii="Times New Roman" w:eastAsia="Calibri" w:hAnsi="Times New Roman"/>
          <w:spacing w:val="0"/>
          <w:sz w:val="22"/>
          <w:szCs w:val="22"/>
        </w:rPr>
        <w:t>RY</w:t>
      </w:r>
      <w:r w:rsidR="00181DC5">
        <w:rPr>
          <w:rFonts w:ascii="Times New Roman" w:eastAsia="Calibri" w:hAnsi="Times New Roman"/>
          <w:spacing w:val="0"/>
          <w:sz w:val="22"/>
          <w:szCs w:val="22"/>
        </w:rPr>
        <w:t>20</w:t>
      </w:r>
      <w:r w:rsidRPr="006F5895">
        <w:rPr>
          <w:rFonts w:ascii="Times New Roman" w:eastAsia="Calibri" w:hAnsi="Times New Roman"/>
          <w:spacing w:val="0"/>
          <w:sz w:val="22"/>
          <w:szCs w:val="22"/>
        </w:rPr>
        <w:t>, including the maximum allocation ($25M) and the slate of measures.</w:t>
      </w:r>
      <w:r w:rsidR="005D44B9">
        <w:rPr>
          <w:rFonts w:ascii="Times New Roman" w:eastAsia="Calibri" w:hAnsi="Times New Roman"/>
          <w:spacing w:val="0"/>
          <w:sz w:val="22"/>
          <w:szCs w:val="22"/>
        </w:rPr>
        <w:t xml:space="preserve"> </w:t>
      </w:r>
      <w:r w:rsidR="003D7649">
        <w:rPr>
          <w:rFonts w:ascii="Times New Roman" w:eastAsia="Calibri" w:hAnsi="Times New Roman"/>
          <w:spacing w:val="0"/>
          <w:sz w:val="22"/>
          <w:szCs w:val="22"/>
        </w:rPr>
        <w:t>Updates include the following</w:t>
      </w:r>
      <w:r w:rsidR="004F77EE">
        <w:rPr>
          <w:rFonts w:ascii="Times New Roman" w:eastAsia="Calibri" w:hAnsi="Times New Roman"/>
          <w:spacing w:val="0"/>
          <w:sz w:val="22"/>
          <w:szCs w:val="22"/>
        </w:rPr>
        <w:t>:</w:t>
      </w:r>
    </w:p>
    <w:p w14:paraId="66831F7E" w14:textId="1E6DB1A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Date</w:t>
      </w:r>
      <w:r w:rsidR="000B3E67">
        <w:rPr>
          <w:rFonts w:ascii="Times New Roman" w:hAnsi="Times New Roman"/>
          <w:sz w:val="22"/>
          <w:szCs w:val="22"/>
        </w:rPr>
        <w:t>s of service for data</w:t>
      </w:r>
      <w:r w:rsidRPr="0095313A">
        <w:rPr>
          <w:rFonts w:ascii="Times New Roman" w:hAnsi="Times New Roman"/>
          <w:sz w:val="22"/>
          <w:szCs w:val="22"/>
        </w:rPr>
        <w:t xml:space="preserve"> periods </w:t>
      </w:r>
      <w:r w:rsidR="000B3E67">
        <w:rPr>
          <w:rFonts w:ascii="Times New Roman" w:hAnsi="Times New Roman"/>
          <w:sz w:val="22"/>
          <w:szCs w:val="22"/>
        </w:rPr>
        <w:t>have been updated</w:t>
      </w:r>
      <w:r w:rsidRPr="0095313A">
        <w:rPr>
          <w:rFonts w:ascii="Times New Roman" w:hAnsi="Times New Roman"/>
          <w:sz w:val="22"/>
          <w:szCs w:val="22"/>
        </w:rPr>
        <w:t xml:space="preserve">.  </w:t>
      </w:r>
    </w:p>
    <w:p w14:paraId="4F5C1DA2" w14:textId="62AE8E8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 xml:space="preserve">One of the Care Coordination measures will require all eleven of the elements to be present.  </w:t>
      </w:r>
    </w:p>
    <w:p w14:paraId="1BE9A92B" w14:textId="77777777" w:rsidR="00181DC5" w:rsidRPr="0095313A" w:rsidRDefault="00181DC5" w:rsidP="000F528A">
      <w:pPr>
        <w:pStyle w:val="ListParagraph"/>
        <w:numPr>
          <w:ilvl w:val="0"/>
          <w:numId w:val="17"/>
        </w:numPr>
        <w:spacing w:after="720"/>
        <w:contextualSpacing w:val="0"/>
        <w:rPr>
          <w:rFonts w:ascii="Times New Roman" w:hAnsi="Times New Roman"/>
          <w:sz w:val="22"/>
          <w:szCs w:val="22"/>
        </w:rPr>
      </w:pPr>
      <w:r w:rsidRPr="0095313A">
        <w:rPr>
          <w:rFonts w:ascii="Times New Roman" w:hAnsi="Times New Roman"/>
          <w:sz w:val="22"/>
          <w:szCs w:val="22"/>
        </w:rPr>
        <w:t>Case minima for clinical process measures and the Health Disparity measure were eliminated in recognition of the reduction in data reporting periods due to the impact of the COVID-19 pandemic.</w:t>
      </w:r>
    </w:p>
    <w:p w14:paraId="653776EA" w14:textId="77777777" w:rsidR="00967DC0" w:rsidRPr="00842D42" w:rsidRDefault="00967DC0" w:rsidP="00A32039">
      <w:pPr>
        <w:pStyle w:val="Heading2"/>
      </w:pPr>
      <w:r>
        <w:t>In-State 30-day Readmissions Policy</w:t>
      </w:r>
    </w:p>
    <w:p w14:paraId="1BD9D4EA" w14:textId="170E7A17" w:rsidR="00842D42" w:rsidRPr="00842D42" w:rsidRDefault="006F5895" w:rsidP="00842D42">
      <w:pPr>
        <w:spacing w:line="276" w:lineRule="auto"/>
        <w:ind w:left="360"/>
        <w:rPr>
          <w:rFonts w:ascii="Times New Roman" w:eastAsia="Calibri" w:hAnsi="Times New Roman"/>
          <w:b/>
          <w:i/>
          <w:spacing w:val="0"/>
          <w:sz w:val="22"/>
          <w:szCs w:val="22"/>
        </w:rPr>
      </w:pPr>
      <w:r>
        <w:rPr>
          <w:rFonts w:ascii="Times New Roman" w:eastAsia="Calibri" w:hAnsi="Times New Roman"/>
          <w:spacing w:val="0"/>
          <w:sz w:val="22"/>
          <w:szCs w:val="22"/>
        </w:rPr>
        <w:t xml:space="preserve">In </w:t>
      </w:r>
      <w:r w:rsidR="00181DC5">
        <w:rPr>
          <w:rFonts w:ascii="Times New Roman" w:eastAsia="Calibri" w:hAnsi="Times New Roman"/>
          <w:spacing w:val="0"/>
          <w:sz w:val="22"/>
          <w:szCs w:val="22"/>
        </w:rPr>
        <w:t>RY21</w:t>
      </w:r>
      <w:r>
        <w:rPr>
          <w:rFonts w:ascii="Times New Roman" w:eastAsia="Calibri" w:hAnsi="Times New Roman"/>
          <w:spacing w:val="0"/>
          <w:sz w:val="22"/>
          <w:szCs w:val="22"/>
        </w:rPr>
        <w:t xml:space="preserve">, </w:t>
      </w:r>
      <w:r w:rsidR="00967DC0">
        <w:rPr>
          <w:rFonts w:ascii="Times New Roman" w:eastAsia="Calibri" w:hAnsi="Times New Roman"/>
          <w:spacing w:val="0"/>
          <w:sz w:val="22"/>
          <w:szCs w:val="22"/>
        </w:rPr>
        <w:t>EOHHS</w:t>
      </w:r>
      <w:r w:rsidR="00967DC0" w:rsidRPr="00842D42">
        <w:rPr>
          <w:rFonts w:ascii="Times New Roman" w:eastAsia="Calibri" w:hAnsi="Times New Roman"/>
          <w:sz w:val="22"/>
          <w:szCs w:val="22"/>
        </w:rPr>
        <w:t xml:space="preserve"> </w:t>
      </w:r>
      <w:r w:rsidR="00967DC0" w:rsidRPr="00842D42">
        <w:rPr>
          <w:rFonts w:ascii="Times New Roman" w:eastAsia="Calibri" w:hAnsi="Times New Roman"/>
          <w:spacing w:val="0"/>
          <w:sz w:val="22"/>
          <w:szCs w:val="22"/>
        </w:rPr>
        <w:t xml:space="preserve">is </w:t>
      </w:r>
      <w:r w:rsidR="00F866A3">
        <w:rPr>
          <w:rFonts w:ascii="Times New Roman" w:eastAsia="Calibri" w:hAnsi="Times New Roman"/>
          <w:spacing w:val="0"/>
          <w:sz w:val="22"/>
          <w:szCs w:val="22"/>
        </w:rPr>
        <w:t>discontinuing</w:t>
      </w:r>
      <w:r w:rsidR="00181DC5">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the </w:t>
      </w:r>
      <w:r w:rsidR="00181DC5">
        <w:rPr>
          <w:rFonts w:ascii="Times New Roman" w:eastAsia="Calibri" w:hAnsi="Times New Roman"/>
          <w:spacing w:val="0"/>
          <w:sz w:val="22"/>
          <w:szCs w:val="22"/>
        </w:rPr>
        <w:t xml:space="preserve">RY20 </w:t>
      </w:r>
      <w:r>
        <w:rPr>
          <w:rFonts w:ascii="Times New Roman" w:eastAsia="Calibri" w:hAnsi="Times New Roman"/>
          <w:spacing w:val="0"/>
          <w:sz w:val="22"/>
          <w:szCs w:val="22"/>
        </w:rPr>
        <w:t>30-day readmissions policy regarding certain hospital readmissions that occur within 30 days of discharge from the same inpatient hospital</w:t>
      </w:r>
      <w:r w:rsidR="00181DC5">
        <w:rPr>
          <w:rFonts w:ascii="Times New Roman" w:eastAsia="Calibri" w:hAnsi="Times New Roman"/>
          <w:spacing w:val="0"/>
          <w:sz w:val="22"/>
          <w:szCs w:val="22"/>
        </w:rPr>
        <w:t>.  During RY21, EOHHS may develop and release a new readmissions policy to replace the RY20 policy.</w:t>
      </w:r>
    </w:p>
    <w:p w14:paraId="0EC9C9B0"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lastRenderedPageBreak/>
        <w:t>Justification</w:t>
      </w:r>
      <w:r w:rsidRPr="00A32039">
        <w:rPr>
          <w:rFonts w:ascii="Times New Roman" w:eastAsia="Calibri" w:hAnsi="Times New Roman"/>
          <w:spacing w:val="0"/>
          <w:sz w:val="22"/>
          <w:szCs w:val="22"/>
        </w:rPr>
        <w:t xml:space="preserve"> </w:t>
      </w:r>
    </w:p>
    <w:p w14:paraId="6E4B0CA6" w14:textId="19F4AB64"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w:t>
      </w:r>
      <w:r w:rsidR="003D7649">
        <w:rPr>
          <w:rFonts w:ascii="Times New Roman" w:hAnsi="Times New Roman"/>
          <w:sz w:val="22"/>
          <w:szCs w:val="22"/>
        </w:rPr>
        <w:t>earlier</w:t>
      </w:r>
      <w:r w:rsidRPr="00D11107">
        <w:rPr>
          <w:rFonts w:ascii="Times New Roman" w:hAnsi="Times New Roman"/>
          <w:sz w:val="22"/>
          <w:szCs w:val="22"/>
        </w:rPr>
        <w:t xml:space="preser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 xml:space="preserve">l payment methods for </w:t>
      </w:r>
      <w:r w:rsidR="00181DC5">
        <w:rPr>
          <w:rFonts w:ascii="Times New Roman" w:hAnsi="Times New Roman"/>
          <w:sz w:val="22"/>
          <w:szCs w:val="22"/>
        </w:rPr>
        <w:t>RY21</w:t>
      </w:r>
      <w:r w:rsidR="00181DC5" w:rsidRPr="00D11107">
        <w:rPr>
          <w:rFonts w:ascii="Times New Roman" w:hAnsi="Times New Roman"/>
          <w:sz w:val="22"/>
          <w:szCs w:val="22"/>
        </w:rPr>
        <w:t xml:space="preserve"> </w:t>
      </w:r>
      <w:r w:rsidRPr="00D11107">
        <w:rPr>
          <w:rFonts w:ascii="Times New Roman" w:hAnsi="Times New Roman"/>
          <w:sz w:val="22"/>
          <w:szCs w:val="22"/>
        </w:rPr>
        <w:t>are substantially</w:t>
      </w:r>
      <w:r w:rsidR="00842D42">
        <w:rPr>
          <w:rFonts w:ascii="Times New Roman" w:hAnsi="Times New Roman"/>
          <w:sz w:val="22"/>
          <w:szCs w:val="22"/>
        </w:rPr>
        <w:t xml:space="preserve"> similar to those for </w:t>
      </w:r>
      <w:r w:rsidR="00181DC5">
        <w:rPr>
          <w:rFonts w:ascii="Times New Roman" w:hAnsi="Times New Roman"/>
          <w:sz w:val="22"/>
          <w:szCs w:val="22"/>
        </w:rPr>
        <w:t>RY20</w:t>
      </w:r>
      <w:r w:rsidRPr="00D11107">
        <w:rPr>
          <w:rFonts w:ascii="Times New Roman" w:hAnsi="Times New Roman"/>
          <w:sz w:val="22"/>
          <w:szCs w:val="22"/>
        </w:rPr>
        <w:t>.</w:t>
      </w:r>
      <w:r w:rsidR="005D44B9">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 xml:space="preserve">with </w:t>
      </w:r>
      <w:r w:rsidR="00181DC5">
        <w:rPr>
          <w:rFonts w:ascii="Times New Roman" w:hAnsi="Times New Roman"/>
          <w:sz w:val="22"/>
          <w:szCs w:val="22"/>
        </w:rPr>
        <w:t>RY21</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w:t>
      </w:r>
    </w:p>
    <w:p w14:paraId="5031207C"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Estimated Fiscal Effect</w:t>
      </w:r>
    </w:p>
    <w:p w14:paraId="07B80958" w14:textId="06690688" w:rsidR="00433E8F" w:rsidRDefault="005F796D" w:rsidP="00433E8F">
      <w:pPr>
        <w:spacing w:line="276" w:lineRule="auto"/>
        <w:rPr>
          <w:rFonts w:ascii="Times New Roman" w:eastAsia="Calibri" w:hAnsi="Times New Roman"/>
          <w:sz w:val="22"/>
          <w:szCs w:val="22"/>
        </w:rPr>
      </w:pPr>
      <w:r w:rsidRPr="005F796D">
        <w:rPr>
          <w:rFonts w:ascii="Times New Roman" w:eastAsia="Calibri" w:hAnsi="Times New Roman"/>
          <w:sz w:val="22"/>
          <w:szCs w:val="22"/>
        </w:rPr>
        <w:t xml:space="preserve">EOHHS estimates that annual aggregate acute hospital state plan expenditures resulting from the </w:t>
      </w:r>
      <w:r w:rsidR="00181DC5" w:rsidRPr="005F796D">
        <w:rPr>
          <w:rFonts w:ascii="Times New Roman" w:eastAsia="Calibri" w:hAnsi="Times New Roman"/>
          <w:sz w:val="22"/>
          <w:szCs w:val="22"/>
        </w:rPr>
        <w:t>FY2</w:t>
      </w:r>
      <w:r w:rsidR="00181DC5">
        <w:rPr>
          <w:rFonts w:ascii="Times New Roman" w:eastAsia="Calibri" w:hAnsi="Times New Roman"/>
          <w:sz w:val="22"/>
          <w:szCs w:val="22"/>
        </w:rPr>
        <w:t>1</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w:t>
      </w:r>
      <w:r w:rsidR="00181DC5">
        <w:rPr>
          <w:rFonts w:ascii="Times New Roman" w:eastAsia="Calibri" w:hAnsi="Times New Roman"/>
          <w:sz w:val="22"/>
          <w:szCs w:val="22"/>
        </w:rPr>
        <w:t>November</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1, </w:t>
      </w:r>
      <w:r w:rsidR="00510B89" w:rsidRPr="005F796D">
        <w:rPr>
          <w:rFonts w:ascii="Times New Roman" w:eastAsia="Calibri" w:hAnsi="Times New Roman"/>
          <w:sz w:val="22"/>
          <w:szCs w:val="22"/>
        </w:rPr>
        <w:t>20</w:t>
      </w:r>
      <w:r w:rsidR="00510B89">
        <w:rPr>
          <w:rFonts w:ascii="Times New Roman" w:eastAsia="Calibri" w:hAnsi="Times New Roman"/>
          <w:sz w:val="22"/>
          <w:szCs w:val="22"/>
        </w:rPr>
        <w:t>20</w:t>
      </w:r>
      <w:r w:rsidR="00510B89"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 </w:t>
      </w:r>
      <w:r w:rsidR="00181DC5">
        <w:rPr>
          <w:rFonts w:ascii="Times New Roman" w:eastAsia="Calibri" w:hAnsi="Times New Roman"/>
          <w:sz w:val="22"/>
          <w:szCs w:val="22"/>
        </w:rPr>
        <w:t>October</w:t>
      </w:r>
      <w:r w:rsidR="00181DC5" w:rsidRPr="005F796D">
        <w:rPr>
          <w:rFonts w:ascii="Times New Roman" w:eastAsia="Calibri" w:hAnsi="Times New Roman"/>
          <w:sz w:val="22"/>
          <w:szCs w:val="22"/>
        </w:rPr>
        <w:t xml:space="preserve"> 3</w:t>
      </w:r>
      <w:r w:rsidR="00181DC5">
        <w:rPr>
          <w:rFonts w:ascii="Times New Roman" w:eastAsia="Calibri" w:hAnsi="Times New Roman"/>
          <w:sz w:val="22"/>
          <w:szCs w:val="22"/>
        </w:rPr>
        <w:t>1</w:t>
      </w:r>
      <w:r w:rsidRPr="005F796D">
        <w:rPr>
          <w:rFonts w:ascii="Times New Roman" w:eastAsia="Calibri" w:hAnsi="Times New Roman"/>
          <w:sz w:val="22"/>
          <w:szCs w:val="22"/>
        </w:rPr>
        <w:t xml:space="preserve">, </w:t>
      </w:r>
      <w:r w:rsidR="00510B89" w:rsidRPr="005F796D">
        <w:rPr>
          <w:rFonts w:ascii="Times New Roman" w:eastAsia="Calibri" w:hAnsi="Times New Roman"/>
          <w:sz w:val="22"/>
          <w:szCs w:val="22"/>
        </w:rPr>
        <w:t>202</w:t>
      </w:r>
      <w:r w:rsidR="00510B89">
        <w:rPr>
          <w:rFonts w:ascii="Times New Roman" w:eastAsia="Calibri" w:hAnsi="Times New Roman"/>
          <w:sz w:val="22"/>
          <w:szCs w:val="22"/>
        </w:rPr>
        <w:t>1</w:t>
      </w:r>
      <w:r w:rsidRPr="005F796D">
        <w:rPr>
          <w:rFonts w:ascii="Times New Roman" w:eastAsia="Calibri" w:hAnsi="Times New Roman"/>
          <w:sz w:val="22"/>
          <w:szCs w:val="22"/>
        </w:rPr>
        <w:t xml:space="preserve">) payment methods will increase by approximately </w:t>
      </w:r>
      <w:r w:rsidR="00CB0869" w:rsidRPr="00CB0869">
        <w:rPr>
          <w:rFonts w:ascii="Times New Roman" w:eastAsia="Calibri" w:hAnsi="Times New Roman"/>
          <w:sz w:val="22"/>
          <w:szCs w:val="22"/>
        </w:rPr>
        <w:t>$</w:t>
      </w:r>
      <w:r w:rsidR="00CB0869" w:rsidRPr="00F436C6">
        <w:rPr>
          <w:rFonts w:ascii="Times New Roman" w:eastAsia="Calibri" w:hAnsi="Times New Roman"/>
          <w:sz w:val="22"/>
          <w:szCs w:val="22"/>
        </w:rPr>
        <w:t>47.4M overall</w:t>
      </w:r>
      <w:r w:rsidR="00CB0869" w:rsidRPr="00CB0869">
        <w:rPr>
          <w:rFonts w:ascii="Times New Roman" w:eastAsia="Calibri" w:hAnsi="Times New Roman"/>
          <w:b/>
          <w:bCs/>
          <w:sz w:val="22"/>
          <w:szCs w:val="22"/>
        </w:rPr>
        <w:t> </w:t>
      </w:r>
      <w:r w:rsidR="00CB0869" w:rsidRPr="00CB0869">
        <w:rPr>
          <w:rFonts w:ascii="Times New Roman" w:eastAsia="Calibri" w:hAnsi="Times New Roman"/>
          <w:sz w:val="22"/>
          <w:szCs w:val="22"/>
        </w:rPr>
        <w:t>(not including the temporary increase to certain APR-DRG weights identified in </w:t>
      </w:r>
      <w:hyperlink r:id="rId16" w:tgtFrame="_blank" w:history="1">
        <w:r w:rsidR="00CB0869" w:rsidRPr="00CB0869">
          <w:rPr>
            <w:rStyle w:val="Hyperlink"/>
            <w:rFonts w:ascii="Times New Roman" w:eastAsia="Calibri" w:hAnsi="Times New Roman"/>
            <w:sz w:val="22"/>
            <w:szCs w:val="22"/>
          </w:rPr>
          <w:t>Chart C</w:t>
        </w:r>
      </w:hyperlink>
      <w:r w:rsidR="00CB0869" w:rsidRPr="00CB0869">
        <w:rPr>
          <w:rFonts w:ascii="Times New Roman" w:eastAsia="Calibri" w:hAnsi="Times New Roman"/>
          <w:sz w:val="22"/>
          <w:szCs w:val="22"/>
        </w:rPr>
        <w:t>, RY21 MassHealth DRG Weights and Mean All Payer Lengths of Stay)</w:t>
      </w:r>
      <w:r w:rsidRPr="005F796D">
        <w:rPr>
          <w:rFonts w:ascii="Times New Roman" w:eastAsia="Calibri" w:hAnsi="Times New Roman"/>
          <w:sz w:val="22"/>
          <w:szCs w:val="22"/>
        </w:rPr>
        <w:t>, broken down as follows: an estimated $</w:t>
      </w:r>
      <w:r w:rsidR="008E3765" w:rsidRPr="00F436C6">
        <w:rPr>
          <w:rFonts w:ascii="Times New Roman" w:eastAsia="Calibri" w:hAnsi="Times New Roman"/>
          <w:sz w:val="22"/>
          <w:szCs w:val="22"/>
        </w:rPr>
        <w:t>46.9M</w:t>
      </w:r>
      <w:r w:rsidR="00654450">
        <w:rPr>
          <w:rFonts w:ascii="Times New Roman" w:eastAsia="Calibri" w:hAnsi="Times New Roman"/>
          <w:sz w:val="22"/>
          <w:szCs w:val="22"/>
        </w:rPr>
        <w:t xml:space="preserve"> </w:t>
      </w:r>
      <w:r w:rsidRPr="005F796D">
        <w:rPr>
          <w:rFonts w:ascii="Times New Roman" w:eastAsia="Calibri" w:hAnsi="Times New Roman"/>
          <w:sz w:val="22"/>
          <w:szCs w:val="22"/>
        </w:rPr>
        <w:t xml:space="preserve">increase in estimated annual aggregate in-state acute inpatient and outpatient hospital state plan expenditures; and </w:t>
      </w:r>
      <w:r w:rsidR="00387174" w:rsidRPr="00387174">
        <w:rPr>
          <w:rFonts w:ascii="Times New Roman" w:eastAsia="Calibri" w:hAnsi="Times New Roman"/>
          <w:sz w:val="22"/>
          <w:szCs w:val="22"/>
        </w:rPr>
        <w:t>a $</w:t>
      </w:r>
      <w:r w:rsidR="00387174" w:rsidRPr="00F436C6">
        <w:rPr>
          <w:rFonts w:ascii="Times New Roman" w:eastAsia="Calibri" w:hAnsi="Times New Roman"/>
          <w:sz w:val="22"/>
          <w:szCs w:val="22"/>
        </w:rPr>
        <w:t>0.5</w:t>
      </w:r>
      <w:r w:rsidR="00387174" w:rsidRPr="00387174">
        <w:rPr>
          <w:rFonts w:ascii="Times New Roman" w:eastAsia="Calibri" w:hAnsi="Times New Roman"/>
          <w:sz w:val="22"/>
          <w:szCs w:val="22"/>
        </w:rPr>
        <w:t>M</w:t>
      </w:r>
      <w:r w:rsidRPr="005F796D">
        <w:rPr>
          <w:rFonts w:ascii="Times New Roman" w:eastAsia="Calibri" w:hAnsi="Times New Roman"/>
          <w:sz w:val="22"/>
          <w:szCs w:val="22"/>
        </w:rPr>
        <w:t xml:space="preserve"> estimated annual aggregate impact to out-of-state acute inpatient and outpatient hospital state plan expenditures. Holding utilization constant, EOHHS estimates that the fiscal impact resulting from the changes in payment methods for rates to acute inpatient and outpatient hospitals applicable to </w:t>
      </w:r>
      <w:r w:rsidR="00181DC5" w:rsidRPr="005F796D">
        <w:rPr>
          <w:rFonts w:ascii="Times New Roman" w:eastAsia="Calibri" w:hAnsi="Times New Roman"/>
          <w:sz w:val="22"/>
          <w:szCs w:val="22"/>
        </w:rPr>
        <w:t>FY2</w:t>
      </w:r>
      <w:r w:rsidR="00181DC5">
        <w:rPr>
          <w:rFonts w:ascii="Times New Roman" w:eastAsia="Calibri" w:hAnsi="Times New Roman"/>
          <w:sz w:val="22"/>
          <w:szCs w:val="22"/>
        </w:rPr>
        <w:t>1</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will result in an increase, in the aggregate, of 2.4% to the rates on an annualized basis, compared to estimated annualized base year rate payments.</w:t>
      </w:r>
    </w:p>
    <w:p w14:paraId="3A4B35B5" w14:textId="1A4AC5F6"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Statutory Authority:</w:t>
      </w:r>
      <w:r w:rsidR="005D44B9">
        <w:rPr>
          <w:rFonts w:ascii="Times New Roman" w:eastAsia="Calibri" w:hAnsi="Times New Roman"/>
          <w:b/>
          <w:spacing w:val="0"/>
          <w:sz w:val="22"/>
          <w:szCs w:val="22"/>
        </w:rPr>
        <w:t xml:space="preserve"> </w:t>
      </w:r>
      <w:r w:rsidRPr="00AB5FFE">
        <w:rPr>
          <w:rFonts w:ascii="Times New Roman" w:eastAsia="Calibri" w:hAnsi="Times New Roman"/>
          <w:spacing w:val="0"/>
          <w:sz w:val="22"/>
          <w:szCs w:val="22"/>
        </w:rPr>
        <w:t xml:space="preserve">M.G.L. c. 118E; </w:t>
      </w:r>
      <w:r w:rsidR="00181DC5">
        <w:rPr>
          <w:rFonts w:ascii="Times New Roman" w:eastAsia="Calibri" w:hAnsi="Times New Roman"/>
          <w:spacing w:val="0"/>
          <w:sz w:val="22"/>
          <w:szCs w:val="22"/>
        </w:rPr>
        <w:t xml:space="preserve">St. 2020, c. 131; </w:t>
      </w:r>
      <w:r w:rsidRPr="00AB5FFE">
        <w:rPr>
          <w:rFonts w:ascii="Times New Roman" w:eastAsia="Calibri" w:hAnsi="Times New Roman"/>
          <w:spacing w:val="0"/>
          <w:sz w:val="22"/>
          <w:szCs w:val="22"/>
        </w:rPr>
        <w:t>St.</w:t>
      </w:r>
      <w:r w:rsidR="00C27BBB">
        <w:rPr>
          <w:rFonts w:ascii="Times New Roman" w:eastAsia="Calibri" w:hAnsi="Times New Roman"/>
          <w:spacing w:val="0"/>
          <w:sz w:val="22"/>
          <w:szCs w:val="22"/>
        </w:rPr>
        <w:t xml:space="preserve"> </w:t>
      </w:r>
      <w:r w:rsidR="004E34F8">
        <w:rPr>
          <w:rFonts w:ascii="Times New Roman" w:eastAsia="Calibri" w:hAnsi="Times New Roman"/>
          <w:spacing w:val="0"/>
          <w:sz w:val="22"/>
          <w:szCs w:val="22"/>
        </w:rPr>
        <w:t>2019</w:t>
      </w:r>
      <w:r w:rsidRPr="00AB5FFE">
        <w:rPr>
          <w:rFonts w:ascii="Times New Roman" w:eastAsia="Calibri" w:hAnsi="Times New Roman"/>
          <w:spacing w:val="0"/>
          <w:sz w:val="22"/>
          <w:szCs w:val="22"/>
        </w:rPr>
        <w:t xml:space="preserve">, c. </w:t>
      </w:r>
      <w:r w:rsidR="004E34F8">
        <w:rPr>
          <w:rFonts w:ascii="Times New Roman" w:eastAsia="Calibri" w:hAnsi="Times New Roman"/>
          <w:spacing w:val="0"/>
          <w:sz w:val="22"/>
          <w:szCs w:val="22"/>
        </w:rPr>
        <w:t>41</w:t>
      </w:r>
      <w:r w:rsidRPr="00AB5FFE">
        <w:rPr>
          <w:rFonts w:ascii="Times New Roman" w:eastAsia="Calibri" w:hAnsi="Times New Roman"/>
          <w:spacing w:val="0"/>
          <w:sz w:val="22"/>
          <w:szCs w:val="22"/>
        </w:rPr>
        <w:t>; St. 2012, c. 224; 42 USC 1396a; 42 USC 1396b.</w:t>
      </w:r>
    </w:p>
    <w:p w14:paraId="72583831" w14:textId="77777777"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0D13E8">
        <w:rPr>
          <w:rFonts w:ascii="Times New Roman" w:eastAsia="Calibri" w:hAnsi="Times New Roman"/>
          <w:spacing w:val="0"/>
          <w:sz w:val="22"/>
          <w:szCs w:val="22"/>
        </w:rPr>
        <w:t>130 CMR 410, 415, 450; 42 CFR Parts 431 and 447</w:t>
      </w:r>
      <w:r w:rsidR="0065460E" w:rsidRPr="000D13E8">
        <w:rPr>
          <w:rFonts w:ascii="Times New Roman" w:eastAsia="Calibri" w:hAnsi="Times New Roman"/>
          <w:spacing w:val="0"/>
          <w:sz w:val="22"/>
          <w:szCs w:val="22"/>
        </w:rPr>
        <w:t xml:space="preserve">. </w:t>
      </w:r>
    </w:p>
    <w:p w14:paraId="3D70AF08" w14:textId="77777777" w:rsidR="00462615" w:rsidRPr="00462615" w:rsidRDefault="00462615" w:rsidP="00462615">
      <w:pPr>
        <w:spacing w:line="276" w:lineRule="auto"/>
        <w:rPr>
          <w:rFonts w:ascii="Times New Roman" w:eastAsia="Calibri" w:hAnsi="Times New Roman"/>
          <w:sz w:val="22"/>
          <w:szCs w:val="22"/>
        </w:rPr>
      </w:pPr>
    </w:p>
    <w:p w14:paraId="26F789DE" w14:textId="77777777" w:rsidR="00462615" w:rsidRPr="000D13E8" w:rsidRDefault="00462615" w:rsidP="00096B9A">
      <w:pPr>
        <w:spacing w:before="200" w:line="276" w:lineRule="auto"/>
        <w:rPr>
          <w:rFonts w:ascii="Times New Roman" w:eastAsia="Calibri" w:hAnsi="Times New Roman"/>
          <w:spacing w:val="0"/>
          <w:szCs w:val="24"/>
        </w:rPr>
        <w:sectPr w:rsidR="00462615" w:rsidRPr="000D13E8" w:rsidSect="004E22C7">
          <w:pgSz w:w="12240" w:h="15840"/>
          <w:pgMar w:top="1152" w:right="1152" w:bottom="1008" w:left="1008" w:header="720" w:footer="432" w:gutter="0"/>
          <w:cols w:space="720"/>
          <w:titlePg/>
          <w:docGrid w:linePitch="360"/>
        </w:sectPr>
      </w:pPr>
    </w:p>
    <w:p w14:paraId="1CE03A72"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7" w:name="_Toc52374236"/>
      <w:bookmarkStart w:id="8" w:name="_Toc21081261"/>
      <w:bookmarkEnd w:id="0"/>
      <w:bookmarkEnd w:id="1"/>
      <w:bookmarkEnd w:id="2"/>
      <w:bookmarkEnd w:id="3"/>
      <w:bookmarkEnd w:id="4"/>
      <w:bookmarkEnd w:id="5"/>
      <w:r w:rsidRPr="00F418EC">
        <w:rPr>
          <w:rFonts w:ascii="Times New Roman Bold" w:eastAsiaTheme="minorHAnsi" w:hAnsi="Times New Roman Bold"/>
          <w:b/>
          <w:spacing w:val="5"/>
          <w:sz w:val="32"/>
          <w:szCs w:val="32"/>
        </w:rPr>
        <w:lastRenderedPageBreak/>
        <w:t>Section 2:  Definitions</w:t>
      </w:r>
      <w:bookmarkEnd w:id="7"/>
      <w:r w:rsidRPr="00F418EC">
        <w:rPr>
          <w:rFonts w:ascii="Times New Roman Bold" w:eastAsiaTheme="minorHAnsi" w:hAnsi="Times New Roman Bold"/>
          <w:b/>
          <w:spacing w:val="5"/>
          <w:sz w:val="32"/>
          <w:szCs w:val="32"/>
        </w:rPr>
        <w:t xml:space="preserve"> </w:t>
      </w:r>
    </w:p>
    <w:p w14:paraId="612EECA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terms appearing capitalized throughout this RFA and its appendices shall be defined as follows, unless the context clearly indicates otherwise. </w:t>
      </w:r>
    </w:p>
    <w:p w14:paraId="60396FD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30-day Readmissions Policy (30-Day RP) </w:t>
      </w:r>
      <w:r w:rsidRPr="00F418EC">
        <w:rPr>
          <w:rFonts w:ascii="Times New Roman" w:eastAsiaTheme="minorHAnsi" w:hAnsi="Times New Roman"/>
          <w:spacing w:val="0"/>
          <w:szCs w:val="24"/>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The terms of the MassHealth Acute Hospital 30-Day RP for RY21 are set forth in Section 8.1.</w:t>
      </w:r>
    </w:p>
    <w:p w14:paraId="1684C5F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3M EAPG Grouper </w:t>
      </w:r>
      <w:r w:rsidRPr="00F418EC">
        <w:rPr>
          <w:rFonts w:ascii="Times New Roman" w:eastAsiaTheme="minorHAnsi" w:hAnsi="Times New Roman"/>
          <w:spacing w:val="0"/>
          <w:szCs w:val="24"/>
        </w:rPr>
        <w:t>– the 3M Corporation’s EAPG Grouper Version 3.14, configured for the MassHealth APEC payment method.</w:t>
      </w:r>
    </w:p>
    <w:p w14:paraId="7EABE21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Accountable Care Organization (ACO)</w:t>
      </w:r>
      <w:r w:rsidRPr="00F418EC">
        <w:rPr>
          <w:rFonts w:ascii="Times New Roman" w:eastAsiaTheme="minorHAnsi" w:hAnsi="Times New Roman"/>
          <w:spacing w:val="0"/>
          <w:szCs w:val="24"/>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230E214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Accountable Care Partnership Plan (ACPP) </w:t>
      </w:r>
      <w:r w:rsidRPr="00F418EC">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701FFAE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Adjudicated Payment Amount Per Discharge (APAD)</w:t>
      </w:r>
      <w:r w:rsidRPr="00F418EC">
        <w:rPr>
          <w:rFonts w:ascii="Times New Roman" w:eastAsiaTheme="minorHAnsi" w:hAnsi="Times New Roman"/>
          <w:spacing w:val="0"/>
          <w:szCs w:val="24"/>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15E98D1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Adjudicated Payment per Episode of Care (APEC)</w:t>
      </w:r>
      <w:r w:rsidRPr="00F418EC">
        <w:rPr>
          <w:rFonts w:ascii="Times New Roman" w:eastAsiaTheme="minorHAnsi" w:hAnsi="Times New Roman"/>
          <w:spacing w:val="0"/>
          <w:szCs w:val="24"/>
        </w:rPr>
        <w:t xml:space="preserve"> – a Hospital-specific, Episode-specific all-inclusive facility payment for all APEC-Covered Services provided by a Hospital to a MassHealth Member on an outpatient basis in one Episode.  The APEC is not payment for those outpatient services described in Section 4.C and Sections 5.C.3 through 5.C.11, as such services are excluded from the definitions of “APEC-Covered Services” and “Episode” under this RFA.  The APEC is calculated as set forth in Section 5.C.1.</w:t>
      </w:r>
    </w:p>
    <w:p w14:paraId="3BD7950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Adjusted EAPG Weight</w:t>
      </w:r>
      <w:r w:rsidRPr="00F418EC">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F418EC">
        <w:rPr>
          <w:rFonts w:ascii="Times New Roman" w:eastAsiaTheme="minorHAnsi" w:hAnsi="Times New Roman"/>
          <w:spacing w:val="0"/>
          <w:szCs w:val="24"/>
        </w:rPr>
        <w:lastRenderedPageBreak/>
        <w:t>Episode’s claim detail line MassHealth EAPG Weights to produce the claim detail line’s Adjusted EAPG Weight.</w:t>
      </w:r>
    </w:p>
    <w:p w14:paraId="587D4BA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Administrative Day (AD)</w:t>
      </w:r>
      <w:r w:rsidRPr="00F418EC">
        <w:rPr>
          <w:rFonts w:ascii="Times New Roman" w:eastAsiaTheme="minorHAnsi" w:hAnsi="Times New Roman"/>
          <w:spacing w:val="0"/>
          <w:szCs w:val="24"/>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59CBB67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All Patient Refined–Diagnostic Related Group (APR-DRG or DRG)</w:t>
      </w:r>
      <w:r w:rsidRPr="00F418EC">
        <w:rPr>
          <w:rFonts w:ascii="Times New Roman" w:eastAsiaTheme="minorHAnsi" w:hAnsi="Times New Roman"/>
          <w:spacing w:val="0"/>
          <w:szCs w:val="24"/>
        </w:rPr>
        <w:t xml:space="preserve"> – the All Patient Refined Diagnosis Related Group and Severity of Illness (SOI) assigned using the 3M APR-DRG Grouper, Version 36, unless otherwise specified.</w:t>
      </w:r>
    </w:p>
    <w:p w14:paraId="7723853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Base Year</w:t>
      </w:r>
      <w:r w:rsidRPr="00F418EC">
        <w:rPr>
          <w:rFonts w:ascii="Times New Roman" w:eastAsiaTheme="minorHAnsi" w:hAnsi="Times New Roman"/>
          <w:spacing w:val="0"/>
          <w:szCs w:val="24"/>
        </w:rPr>
        <w:t xml:space="preserve"> – the hospital-specific base year for the APAD is FY17, using the FY17 Massachusetts Hospital cost reports as screened and updated as of July 24, 2018.</w:t>
      </w:r>
    </w:p>
    <w:p w14:paraId="28BA59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Carve-Out Drugs</w:t>
      </w:r>
      <w:r w:rsidRPr="00F418EC">
        <w:rPr>
          <w:rFonts w:ascii="Times New Roman" w:eastAsiaTheme="minorHAnsi" w:hAnsi="Times New Roman"/>
          <w:spacing w:val="0"/>
          <w:szCs w:val="24"/>
        </w:rPr>
        <w:t xml:space="preserve"> – Drugs designated by EOHHS that are carved out of the APAD payment and separately paid pursuant to Section 5.B.8.b.</w:t>
      </w:r>
    </w:p>
    <w:p w14:paraId="0FFE2CF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 Base Year</w:t>
      </w:r>
      <w:r w:rsidRPr="00F418EC">
        <w:rPr>
          <w:rFonts w:ascii="Times New Roman" w:eastAsiaTheme="minorHAnsi" w:hAnsi="Times New Roman"/>
          <w:spacing w:val="0"/>
          <w:szCs w:val="24"/>
        </w:rPr>
        <w:t xml:space="preserve"> – the APEC Base Year is FY14.</w:t>
      </w:r>
    </w:p>
    <w:p w14:paraId="250EBA5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 Carve-Out Drugs</w:t>
      </w:r>
      <w:r w:rsidRPr="00F418EC">
        <w:rPr>
          <w:rFonts w:ascii="Times New Roman" w:eastAsiaTheme="minorHAnsi" w:hAnsi="Times New Roman"/>
          <w:spacing w:val="0"/>
          <w:szCs w:val="24"/>
        </w:rPr>
        <w:t xml:space="preserve"> – Drugs designated by EOHHS that are carved out of the APEC payment and are separately paid pursuant to Section 5.C.9.</w:t>
      </w:r>
    </w:p>
    <w:p w14:paraId="4110976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APEC-Covered Services</w:t>
      </w:r>
      <w:r w:rsidRPr="00F418EC">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5.C.11.</w:t>
      </w:r>
    </w:p>
    <w:p w14:paraId="348DB39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APEC Outlier Component </w:t>
      </w:r>
      <w:r w:rsidRPr="00F418EC">
        <w:rPr>
          <w:rFonts w:ascii="Times New Roman" w:eastAsiaTheme="minorHAnsi" w:hAnsi="Times New Roman"/>
          <w:spacing w:val="0"/>
          <w:szCs w:val="24"/>
        </w:rPr>
        <w:t>– A Hospital-specific, Episode-specific component of the APEC which is calculated by EOHHS as described in Section 5.C.1.b.(2), and added to the Episode-Specific Total EAPG Payment to result in the APEC for that Episode.  The APEC Outlier Component may equal $0.</w:t>
      </w:r>
    </w:p>
    <w:p w14:paraId="3B2FB24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APEC Outpatient Statewide Standard </w:t>
      </w:r>
      <w:r w:rsidRPr="00F418EC">
        <w:rPr>
          <w:rFonts w:ascii="Times New Roman" w:eastAsiaTheme="minorHAnsi" w:hAnsi="Times New Roman"/>
          <w:spacing w:val="0"/>
          <w:szCs w:val="24"/>
        </w:rPr>
        <w:t xml:space="preserve">– the outpatient statewide standard determined by EOHHS as described in Section 5.C.1.b.(1)(a).1, that is utilized in the calculation of the APEC. </w:t>
      </w:r>
    </w:p>
    <w:p w14:paraId="2FD607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(BH) Contractor</w:t>
      </w:r>
      <w:r w:rsidRPr="00F418EC">
        <w:rPr>
          <w:rFonts w:ascii="Times New Roman" w:eastAsiaTheme="minorHAnsi" w:hAnsi="Times New Roman"/>
          <w:spacing w:val="0"/>
          <w:szCs w:val="24"/>
        </w:rPr>
        <w:t xml:space="preserve"> – the entity with which EOHHS contracts to provide, arrange for and coordinate Behavioral Health Services to enrolled Members on a capitated basis.</w:t>
      </w:r>
    </w:p>
    <w:p w14:paraId="40EBD4C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Diversionary Services</w:t>
      </w:r>
      <w:r w:rsidRPr="00F418EC">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324ED77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Behavioral Health Services (or Behavioral Health)</w:t>
      </w:r>
      <w:r w:rsidRPr="00F418EC">
        <w:rPr>
          <w:rFonts w:ascii="Times New Roman" w:eastAsiaTheme="minorHAnsi" w:hAnsi="Times New Roman"/>
          <w:spacing w:val="0"/>
          <w:szCs w:val="24"/>
        </w:rPr>
        <w:t xml:space="preserve"> – services provided to Members who are being treated for psychiatric disorders or substance use disorders.</w:t>
      </w:r>
    </w:p>
    <w:p w14:paraId="15ACF62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Casemix</w:t>
      </w:r>
      <w:r w:rsidRPr="00F418EC">
        <w:rPr>
          <w:rFonts w:ascii="Times New Roman" w:eastAsiaTheme="minorHAnsi" w:hAnsi="Times New Roman"/>
          <w:spacing w:val="0"/>
          <w:szCs w:val="24"/>
        </w:rPr>
        <w:t xml:space="preserve"> – he description and categorization of a hospital’s patient population according to criteria approved by EOHHS including, but not limited to, primary and secondary diagnoses, primary and secondary procedures, illness severity, patient age and source of payment.</w:t>
      </w:r>
    </w:p>
    <w:p w14:paraId="276B1A2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Center for Health Information and Analysis (CHIA)</w:t>
      </w:r>
      <w:r w:rsidRPr="00F418EC">
        <w:rPr>
          <w:rFonts w:ascii="Times New Roman" w:eastAsiaTheme="minorHAnsi" w:hAnsi="Times New Roman"/>
          <w:spacing w:val="0"/>
          <w:szCs w:val="24"/>
        </w:rPr>
        <w:t xml:space="preserve"> – The Center for Health Information and Analysis established under M.G.L. c. 12C.</w:t>
      </w:r>
    </w:p>
    <w:p w14:paraId="52D7B6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Centers for Medicare &amp; Medicaid Services (CMS)</w:t>
      </w:r>
      <w:r w:rsidRPr="00F418EC">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3889752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Charge</w:t>
      </w:r>
      <w:r w:rsidRPr="00F418EC">
        <w:rPr>
          <w:rFonts w:ascii="Times New Roman" w:eastAsiaTheme="minorHAnsi" w:hAnsi="Times New Roman"/>
          <w:spacing w:val="0"/>
          <w:szCs w:val="24"/>
        </w:rPr>
        <w:t xml:space="preserve"> – the uniform price for each specific service within a Revenue Center of an Acute Hospital. </w:t>
      </w:r>
    </w:p>
    <w:p w14:paraId="0C61325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Clinical Laboratory Service</w:t>
      </w:r>
      <w:r w:rsidRPr="00F418EC">
        <w:rPr>
          <w:rFonts w:ascii="Times New Roman" w:eastAsiaTheme="minorHAnsi" w:hAnsi="Times New Roman"/>
          <w:spacing w:val="0"/>
          <w:szCs w:val="24"/>
        </w:rPr>
        <w:t xml:space="preserve"> – Microbiological,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07D5ECA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Coinsurance</w:t>
      </w:r>
      <w:r w:rsidRPr="00F418EC">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34E4BED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Community-Based Physician</w:t>
      </w:r>
      <w:r w:rsidRPr="00F418EC">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46797DAB"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Community Partners – </w:t>
      </w:r>
      <w:r w:rsidRPr="00F418EC">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DD6DADE"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Community Partner Assigned Member – </w:t>
      </w:r>
      <w:r w:rsidRPr="00F418EC">
        <w:rPr>
          <w:rFonts w:ascii="Times New Roman" w:eastAsiaTheme="minorHAnsi" w:hAnsi="Times New Roman"/>
          <w:spacing w:val="0"/>
          <w:szCs w:val="24"/>
        </w:rPr>
        <w:t>An ACO-enrolled Member who is assigned to a BH or LTSS CP</w:t>
      </w:r>
    </w:p>
    <w:p w14:paraId="7697570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Contract (also Hospital Contract or Agreement)</w:t>
      </w:r>
      <w:r w:rsidRPr="00F418EC">
        <w:rPr>
          <w:rFonts w:ascii="Times New Roman" w:eastAsiaTheme="minorHAnsi" w:hAnsi="Times New Roman"/>
          <w:spacing w:val="0"/>
          <w:szCs w:val="24"/>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26F1B1D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Contractor</w:t>
      </w:r>
      <w:r w:rsidRPr="00F418EC">
        <w:rPr>
          <w:rFonts w:ascii="Times New Roman" w:eastAsiaTheme="minorHAnsi" w:hAnsi="Times New Roman"/>
          <w:spacing w:val="0"/>
          <w:szCs w:val="24"/>
        </w:rPr>
        <w:t xml:space="preserve"> – each Hospital that is selected by EOHHS after submitting a satisfactory application in response to this RFA and that enters into a Contract with EOHHS to meet the purposes specified in this RFA.</w:t>
      </w:r>
    </w:p>
    <w:p w14:paraId="2140049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Copayment</w:t>
      </w:r>
      <w:r w:rsidRPr="00F418EC">
        <w:rPr>
          <w:rFonts w:ascii="Times New Roman" w:eastAsiaTheme="minorHAnsi" w:hAnsi="Times New Roman"/>
          <w:spacing w:val="0"/>
          <w:szCs w:val="24"/>
        </w:rPr>
        <w:t xml:space="preserve"> – a predetermined fee that the Member is responsible for paying directly to the Provider for specific services.</w:t>
      </w:r>
    </w:p>
    <w:p w14:paraId="2FFC978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Critical Access Hospital (CAH)</w:t>
      </w:r>
      <w:r w:rsidRPr="00F418EC">
        <w:rPr>
          <w:rFonts w:ascii="Times New Roman" w:eastAsiaTheme="minorHAnsi" w:hAnsi="Times New Roman"/>
          <w:spacing w:val="0"/>
          <w:szCs w:val="24"/>
        </w:rPr>
        <w:t xml:space="preserve"> – an Acute Hospital that, prior to October 1, 2020, was certified by CMS and designated as a Critical Access Hospital under 42 U.S.C. 1395i-4, and that continues to maintain that status. </w:t>
      </w:r>
    </w:p>
    <w:p w14:paraId="084EEAB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Deductible</w:t>
      </w:r>
      <w:r w:rsidRPr="00F418EC">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569051C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Department of Mental Health (DMH) </w:t>
      </w:r>
      <w:r w:rsidRPr="00F418EC">
        <w:rPr>
          <w:rFonts w:ascii="Times New Roman" w:eastAsiaTheme="minorHAnsi" w:hAnsi="Times New Roman"/>
          <w:spacing w:val="0"/>
          <w:szCs w:val="24"/>
        </w:rPr>
        <w:t>– a department of the Commonwealth of Massachusetts, Executive Office of Health and Human Services.</w:t>
      </w:r>
    </w:p>
    <w:p w14:paraId="799E994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Department of Public Health (DPH) </w:t>
      </w:r>
      <w:r w:rsidRPr="00F418EC">
        <w:rPr>
          <w:rFonts w:ascii="Times New Roman" w:eastAsiaTheme="minorHAnsi" w:hAnsi="Times New Roman"/>
          <w:spacing w:val="0"/>
          <w:szCs w:val="24"/>
        </w:rPr>
        <w:t xml:space="preserve">– a department of the Commonwealth of Massachusetts, Executive Office of Health and Human Services. </w:t>
      </w:r>
    </w:p>
    <w:p w14:paraId="546A61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Discharge-Specific Case Cost</w:t>
      </w:r>
      <w:r w:rsidRPr="00F418EC">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FY18 Massachusetts Hospital Cost Report. For applicable discharges, a Hospital’s charges corresponding to LARC Devices or APAD Carve-Out Drugs are excluded in calculating the Discharge-Specific Case Cost.</w:t>
      </w:r>
    </w:p>
    <w:p w14:paraId="1039B39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Discharge-Specific Outlier Threshold</w:t>
      </w:r>
      <w:r w:rsidRPr="00F418EC">
        <w:rPr>
          <w:rFonts w:ascii="Times New Roman" w:eastAsiaTheme="minorHAnsi" w:hAnsi="Times New Roman"/>
          <w:spacing w:val="0"/>
          <w:szCs w:val="24"/>
        </w:rPr>
        <w:t xml:space="preserve"> – the sum of the APAD for a specific discharge, as determined by EOHHS, and the inpatient Fixed Outlier Threshold.</w:t>
      </w:r>
    </w:p>
    <w:p w14:paraId="10AC03F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DMH-Licensed Bed</w:t>
      </w:r>
      <w:r w:rsidRPr="00F418EC">
        <w:rPr>
          <w:rFonts w:ascii="Times New Roman" w:eastAsiaTheme="minorHAnsi" w:hAnsi="Times New Roman"/>
          <w:spacing w:val="0"/>
          <w:szCs w:val="24"/>
        </w:rPr>
        <w:t xml:space="preserve"> – a bed in a Hospital that is located in a unit licensed by the Department of Mental Health (DMH), pursuant to 104 CMR 27.00 et seq.</w:t>
      </w:r>
    </w:p>
    <w:p w14:paraId="32221A7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Drugs</w:t>
      </w:r>
      <w:r w:rsidRPr="00F418EC">
        <w:rPr>
          <w:rFonts w:ascii="Times New Roman" w:eastAsiaTheme="minorHAnsi" w:hAnsi="Times New Roman"/>
          <w:spacing w:val="0"/>
          <w:szCs w:val="24"/>
        </w:rPr>
        <w:t xml:space="preserve"> – Drugs and biologics (including, e.g., cell and gene therapies), or any other similar substance containing one or more active ingredients in a specified dosage form and strength. Each dosage form and strength is a separate Drug.</w:t>
      </w:r>
    </w:p>
    <w:p w14:paraId="615D1B7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Verification System (EVS</w:t>
      </w:r>
      <w:r w:rsidRPr="00F418EC">
        <w:rPr>
          <w:rFonts w:ascii="Times New Roman" w:eastAsiaTheme="minorHAnsi" w:hAnsi="Times New Roman"/>
          <w:spacing w:val="0"/>
          <w:szCs w:val="24"/>
        </w:rPr>
        <w:t>) [</w:t>
      </w:r>
      <w:r w:rsidRPr="00F418EC">
        <w:rPr>
          <w:rFonts w:ascii="Times New Roman" w:eastAsiaTheme="minorHAnsi" w:hAnsi="Times New Roman"/>
          <w:b/>
          <w:spacing w:val="0"/>
          <w:szCs w:val="24"/>
        </w:rPr>
        <w:t>formerly known as the Recipient Eligibility Verification System (REVS</w:t>
      </w:r>
      <w:r w:rsidRPr="00F418EC">
        <w:rPr>
          <w:rFonts w:ascii="Times New Roman" w:eastAsiaTheme="minorHAnsi" w:hAnsi="Times New Roman"/>
          <w:spacing w:val="0"/>
          <w:szCs w:val="24"/>
        </w:rPr>
        <w:t>)] – the online and telephonic system Hospitals must access to verify eligibility, managed care enrollment, and available third party liability information about Members.</w:t>
      </w:r>
    </w:p>
    <w:p w14:paraId="4BF4A4B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Aid to the Elderly, Disabled and Children (EAEDC) </w:t>
      </w:r>
      <w:r w:rsidRPr="00F418EC">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035ECDB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Emergency Department (ED)</w:t>
      </w:r>
      <w:r w:rsidRPr="00F418EC">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7063D1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Emergency Medical Condition</w:t>
      </w:r>
      <w:r w:rsidRPr="00F418EC">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w:t>
      </w:r>
      <w:r w:rsidRPr="00F418EC">
        <w:rPr>
          <w:rFonts w:ascii="Times New Roman" w:eastAsiaTheme="minorHAnsi" w:hAnsi="Times New Roman"/>
          <w:spacing w:val="0"/>
          <w:szCs w:val="24"/>
        </w:rPr>
        <w:lastRenderedPageBreak/>
        <w:t>organ or part, or, with respect to a pregnant woman, as further defined in section 1867(e)(1)(B) of the Social Security Act, 42 U.S.C. § 1395dd(e)(1)(B).</w:t>
      </w:r>
    </w:p>
    <w:p w14:paraId="75629F3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Services </w:t>
      </w:r>
      <w:r w:rsidRPr="00F418EC">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638368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Emergency Services Program (ESP) Services </w:t>
      </w:r>
      <w:r w:rsidRPr="00F418EC">
        <w:rPr>
          <w:rFonts w:ascii="Times New Roman" w:eastAsiaTheme="minorHAnsi" w:hAnsi="Times New Roman"/>
          <w:spacing w:val="0"/>
          <w:szCs w:val="24"/>
        </w:rPr>
        <w:t>– Medically necessary services provided through designated ESP providers, and which are available seven (7) days per week, twenty-four (24) hours per day to provide treatment of any individual who is experiencing a mental health or substance use disorder crisis, or both.  An ESP encounter includes, at a minimum, crisis assessment, intervention and stabilization.  ESP Services include Mobile Crisis Intervention for members under the age of 21.</w:t>
      </w:r>
    </w:p>
    <w:p w14:paraId="434487D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Enhanced Ambulatory Patient Group (EAPG) </w:t>
      </w:r>
      <w:r w:rsidRPr="00F418EC">
        <w:rPr>
          <w:rFonts w:ascii="Times New Roman" w:eastAsiaTheme="minorHAnsi" w:hAnsi="Times New Roman"/>
          <w:spacing w:val="0"/>
          <w:szCs w:val="24"/>
        </w:rPr>
        <w:t>– a group of Outpatient Services that have been bundled for purposes of categorizing and measuring casemix.  It is based on the 3M Corporation’s EAPG Grouper Version 3.14.</w:t>
      </w:r>
    </w:p>
    <w:p w14:paraId="371D373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w:t>
      </w:r>
      <w:r w:rsidRPr="00F418EC">
        <w:rPr>
          <w:rFonts w:ascii="Times New Roman" w:eastAsiaTheme="minorHAnsi" w:hAnsi="Times New Roman"/>
          <w:spacing w:val="0"/>
          <w:szCs w:val="24"/>
        </w:rPr>
        <w:t xml:space="preserve"> – all MassHealth-covered Outpatient Services, except those described in Section 4.C and Sections 5.C.3 through 5.C.11,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76DB7A6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 Total Allowed Charges</w:t>
      </w:r>
      <w:r w:rsidRPr="00F418EC">
        <w:rPr>
          <w:rFonts w:ascii="Times New Roman" w:eastAsiaTheme="minorHAnsi" w:hAnsi="Times New Roman"/>
          <w:spacing w:val="0"/>
          <w:szCs w:val="24"/>
        </w:rPr>
        <w:t xml:space="preserve"> – the sum of the MassHealth allowed charges for all of the claim detail lines with APEC-Covered Services in an Episode that adjudicate to pay, as determined by EOHHS based on a properly submitted APEC claim.</w:t>
      </w:r>
    </w:p>
    <w:p w14:paraId="5CF41B0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Episode-Specific Case Cost </w:t>
      </w:r>
      <w:r w:rsidRPr="00F418EC">
        <w:rPr>
          <w:rFonts w:ascii="Times New Roman" w:eastAsiaTheme="minorHAnsi" w:hAnsi="Times New Roman"/>
          <w:spacing w:val="0"/>
          <w:szCs w:val="24"/>
        </w:rPr>
        <w:t>– the product of (1) the Episode’s Total Allowed Charges, and (2) the Hospital’s FY18 outpatient cost-to-charge ratio, as calculated by EOHHS using the Hospital’s FY18 Massachusetts Hospital Cost Report.</w:t>
      </w:r>
    </w:p>
    <w:p w14:paraId="1BBD082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Episode-Specific Outlier Threshold</w:t>
      </w:r>
      <w:r w:rsidRPr="00F418EC">
        <w:rPr>
          <w:rFonts w:ascii="Times New Roman" w:eastAsiaTheme="minorHAnsi" w:hAnsi="Times New Roman"/>
          <w:spacing w:val="0"/>
          <w:szCs w:val="24"/>
        </w:rPr>
        <w:t xml:space="preserve"> – the sum of (1) the Episode-Specific Total EAPG Payment, as determined by EOHHS, and (2) the Fixed Outpatient Outlier Threshold.</w:t>
      </w:r>
    </w:p>
    <w:p w14:paraId="3DEE6D4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Episode-Specific Total EAPG Payment</w:t>
      </w:r>
      <w:r w:rsidRPr="00F418EC">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5.C.1.b.(1).</w:t>
      </w:r>
    </w:p>
    <w:p w14:paraId="7EE2FD9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Excluded Units</w:t>
      </w:r>
      <w:r w:rsidRPr="00F418EC">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52801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Executive Office of Health and Human Services (EOHHS)</w:t>
      </w:r>
      <w:r w:rsidRPr="00F418EC">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4AD6C49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Fiscal Year (FY)</w:t>
      </w:r>
      <w:r w:rsidRPr="00F418EC">
        <w:rPr>
          <w:rFonts w:ascii="Times New Roman" w:eastAsiaTheme="minorHAnsi" w:hAnsi="Times New Roman"/>
          <w:spacing w:val="0"/>
          <w:szCs w:val="24"/>
        </w:rPr>
        <w:t xml:space="preserve"> – The time period of 12 months beginning on October 1 of any calendar year and ending on September 30 of the immediately following calendar year. </w:t>
      </w:r>
    </w:p>
    <w:p w14:paraId="2C40990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Fixed Outlier Threshold (inpatient)</w:t>
      </w:r>
      <w:r w:rsidRPr="00F418EC">
        <w:rPr>
          <w:rFonts w:ascii="Times New Roman" w:eastAsiaTheme="minorHAnsi" w:hAnsi="Times New Roman"/>
          <w:spacing w:val="0"/>
          <w:szCs w:val="24"/>
        </w:rPr>
        <w:t xml:space="preserve"> – the Fixed Outlier Threshold for purposes of calculating any inpatient Hospital Outlier Payment is $38,400.</w:t>
      </w:r>
    </w:p>
    <w:p w14:paraId="453BF9B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Fixed Outpatient Outlier Threshold </w:t>
      </w:r>
      <w:r w:rsidRPr="00F418EC">
        <w:rPr>
          <w:rFonts w:ascii="Times New Roman" w:eastAsiaTheme="minorHAnsi" w:hAnsi="Times New Roman"/>
          <w:spacing w:val="0"/>
          <w:szCs w:val="24"/>
        </w:rPr>
        <w:t>– the Fixed Outpatient Outlier Threshold for purposes of calculating the APEC Outlier Component is $4,000.</w:t>
      </w:r>
    </w:p>
    <w:p w14:paraId="28E7963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Freestanding Pediatric Acute Hospital </w:t>
      </w:r>
      <w:r w:rsidRPr="00F418EC">
        <w:rPr>
          <w:rFonts w:ascii="Times New Roman" w:eastAsiaTheme="minorHAnsi" w:hAnsi="Times New Roman"/>
          <w:spacing w:val="0"/>
          <w:szCs w:val="24"/>
        </w:rPr>
        <w:t>– an Acute Hospital which limits admissions primarily to children and which qualifies as exempt from the Medicare prospective payment system regulations.</w:t>
      </w:r>
    </w:p>
    <w:p w14:paraId="577B2A7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Gross Patient Service Revenue </w:t>
      </w:r>
      <w:r w:rsidRPr="00F418EC">
        <w:rPr>
          <w:rFonts w:ascii="Times New Roman" w:eastAsiaTheme="minorHAnsi" w:hAnsi="Times New Roman"/>
          <w:spacing w:val="0"/>
          <w:szCs w:val="24"/>
        </w:rPr>
        <w:t>– the total dollar amount of a Hospital’s charges for services rendered in a fiscal year.</w:t>
      </w:r>
    </w:p>
    <w:p w14:paraId="2B196A6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High Medicaid Volume Freestanding Pediatric Acute Hospital </w:t>
      </w:r>
      <w:r w:rsidRPr="00F418EC">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912DFD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High Medicaid Volume Safety Net Hospital </w:t>
      </w:r>
      <w:r w:rsidRPr="00F418EC">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3421CAF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 (also Acute Hospital) </w:t>
      </w:r>
      <w:r w:rsidRPr="00F418EC">
        <w:rPr>
          <w:rFonts w:ascii="Times New Roman" w:eastAsiaTheme="minorHAnsi" w:hAnsi="Times New Roman"/>
          <w:spacing w:val="0"/>
          <w:szCs w:val="24"/>
        </w:rPr>
        <w:t xml:space="preserve">– any Hospital licensed under M.G.L. c. 111, § 51 and which meets the eligibility criteria set forth in Section 3 of this RFA. </w:t>
      </w:r>
    </w:p>
    <w:p w14:paraId="0F7539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Hospital at Home</w:t>
      </w:r>
      <w:r w:rsidRPr="00F418EC">
        <w:rPr>
          <w:rFonts w:ascii="Times New Roman" w:eastAsiaTheme="minorHAnsi" w:hAnsi="Times New Roman"/>
          <w:spacing w:val="0"/>
          <w:szCs w:val="24"/>
        </w:rPr>
        <w:t xml:space="preserve"> – Subject to CMS approval, Inpatient Hospital Services provided in a Member’s home or residence in accordance with subregulatory guidance to be published by EOHHS.   This subregulatory or guidance may, among other things, set forth limitations and rates of reimbursement for such Hospital at Home services.  Unless and until CMS approves a State Plan Amendment(s) or waiver(s) describing Hospital at Home Services and reimbursement therefore, and EOHHS publishes subregulatory guidance in accordance with such approved State Plan Amendment(s) or waiver(s), Acute Hospitals may not bill MassHealth for Hospital at Home services rendered to Members.</w:t>
      </w:r>
    </w:p>
    <w:p w14:paraId="1F2166C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Hospital-Based Physician </w:t>
      </w:r>
      <w:r w:rsidRPr="00F418EC">
        <w:rPr>
          <w:rFonts w:ascii="Times New Roman" w:eastAsiaTheme="minorHAnsi" w:hAnsi="Times New Roman"/>
          <w:spacing w:val="0"/>
          <w:szCs w:val="24"/>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5F717C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Hospital Discharge Data (HDD)</w:t>
      </w:r>
      <w:r w:rsidRPr="00F418EC">
        <w:rPr>
          <w:rFonts w:ascii="Times New Roman" w:eastAsiaTheme="minorHAnsi" w:hAnsi="Times New Roman"/>
          <w:spacing w:val="0"/>
          <w:szCs w:val="24"/>
        </w:rPr>
        <w:t xml:space="preserve"> – Hospital discharge filings for FY17 provided and verified by each hospital, submitted to CHIA and screened and updated by CHIA as of May 22, 2018.  HDD is used for determining casemix as part of the APAD rate development, as set forth in Section 5.B.1. </w:t>
      </w:r>
    </w:p>
    <w:p w14:paraId="1FB66D1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Hospital-Licensed Health Center (HLHC) </w:t>
      </w:r>
      <w:r w:rsidRPr="00F418EC">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34831C6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Inflation Factors for Capital Costs </w:t>
      </w:r>
      <w:r w:rsidRPr="00F418EC">
        <w:rPr>
          <w:rFonts w:ascii="Times New Roman" w:eastAsiaTheme="minorHAnsi" w:hAnsi="Times New Roman"/>
          <w:spacing w:val="0"/>
          <w:szCs w:val="24"/>
        </w:rPr>
        <w:t>– For price changes between RY04 and RY18 and between RY19 and RY21,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RY21 are as follows:</w:t>
      </w:r>
    </w:p>
    <w:p w14:paraId="24E4DB6E"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RY04 and RY05</w:t>
      </w:r>
    </w:p>
    <w:p w14:paraId="7AC2E02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RY05 and RY06</w:t>
      </w:r>
    </w:p>
    <w:p w14:paraId="211E262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0.8% reflects the price changes between RY06 and RY07</w:t>
      </w:r>
    </w:p>
    <w:p w14:paraId="1CAAE59D"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0.9% reflects the price changes between RY07 and RY08 </w:t>
      </w:r>
    </w:p>
    <w:p w14:paraId="63376F08"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 reflects the price changes between RY08 and RY09</w:t>
      </w:r>
    </w:p>
    <w:p w14:paraId="60AB6C2F"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 reflects the price changes between RY09 and RY10</w:t>
      </w:r>
    </w:p>
    <w:p w14:paraId="2B621E98"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RY10 and RY11</w:t>
      </w:r>
    </w:p>
    <w:p w14:paraId="6E3C66B0"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RY11 and RY12</w:t>
      </w:r>
    </w:p>
    <w:p w14:paraId="1E3C53FE"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1.2% reflects the price changes between RY12 and RY13</w:t>
      </w:r>
    </w:p>
    <w:p w14:paraId="0B6EFA0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1.4% reflects the price changes between RY13 and RY14 </w:t>
      </w:r>
    </w:p>
    <w:p w14:paraId="3B7AFF0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RY14 and RY15</w:t>
      </w:r>
    </w:p>
    <w:p w14:paraId="7896FF51"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1.3% reflects the price changes between RY15 and RY16</w:t>
      </w:r>
    </w:p>
    <w:p w14:paraId="53CDBAB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0.9% reflects the price changes between RY16 and RY17</w:t>
      </w:r>
    </w:p>
    <w:p w14:paraId="1680D4BA"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1.3% reflects the price changes between RY17 and RY18</w:t>
      </w:r>
    </w:p>
    <w:p w14:paraId="676D99AB"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2.1108% reflects the price changes between RY18 and RY19</w:t>
      </w:r>
    </w:p>
    <w:p w14:paraId="72AD1481"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RY19 and RY20</w:t>
      </w:r>
    </w:p>
    <w:p w14:paraId="74F87B77" w14:textId="77777777" w:rsidR="00F418EC" w:rsidRPr="00F418EC" w:rsidRDefault="00F418EC" w:rsidP="00F418EC">
      <w:pPr>
        <w:numPr>
          <w:ilvl w:val="0"/>
          <w:numId w:val="2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 reflects the price changes between RY20 and RY21</w:t>
      </w:r>
    </w:p>
    <w:p w14:paraId="7BA585E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Inflation Factors for Operating Costs </w:t>
      </w:r>
      <w:r w:rsidRPr="00F418EC">
        <w:rPr>
          <w:rFonts w:ascii="Times New Roman" w:eastAsiaTheme="minorHAnsi" w:hAnsi="Times New Roman"/>
          <w:spacing w:val="0"/>
          <w:szCs w:val="24"/>
        </w:rPr>
        <w:t>– For price changes between RY04 and RY07, and between RY08 and RY21,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RY21 are as follows:</w:t>
      </w:r>
    </w:p>
    <w:p w14:paraId="180FE57D"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1.186% reflects price changes between RY04 and RY05</w:t>
      </w:r>
    </w:p>
    <w:p w14:paraId="34E3A0C9"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1.846% reflects price changes between RY05 and RY06</w:t>
      </w:r>
    </w:p>
    <w:p w14:paraId="1B9C1796"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1.637% reflects price changes between RY06 and RY07</w:t>
      </w:r>
    </w:p>
    <w:p w14:paraId="4E41A3C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3.300% reflects price changes between RY07 and RY08</w:t>
      </w:r>
    </w:p>
    <w:p w14:paraId="47357578"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3.000% reflects price changes between RY08 and RY09 for the period October 1, 2008 through December 6, 2008</w:t>
      </w:r>
    </w:p>
    <w:p w14:paraId="68E84473"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1.424% reflects price changes between RY08 and RY09 for the period December 7, 2008 through September 30, 2009</w:t>
      </w:r>
    </w:p>
    <w:p w14:paraId="3196D109"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0.719% reflects the price changes between RY09 and RY10</w:t>
      </w:r>
    </w:p>
    <w:p w14:paraId="01DE1745"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1.820% reflects the price changes between RY10 and RY11</w:t>
      </w:r>
    </w:p>
    <w:p w14:paraId="402F731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1.665% reflects the price changes between RY11 and RY12</w:t>
      </w:r>
    </w:p>
    <w:p w14:paraId="775F9FC2"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1.775% reflects the price changes between RY12 and RY13</w:t>
      </w:r>
    </w:p>
    <w:p w14:paraId="2A80DB3A"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1.405% reflects the price changes between RY13 and RY14</w:t>
      </w:r>
    </w:p>
    <w:p w14:paraId="2C66FC64"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1.611% reflects the price changes between RY14 and RY15</w:t>
      </w:r>
    </w:p>
    <w:p w14:paraId="05ED4446"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1.573% reflects the price changes between RY15 and RY16</w:t>
      </w:r>
    </w:p>
    <w:p w14:paraId="7A60F0E4"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1.937% reflects the price changes between RY16 and RY17 </w:t>
      </w:r>
    </w:p>
    <w:p w14:paraId="74065542"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2.26% reflects the price changes between RY17 and RY18</w:t>
      </w:r>
    </w:p>
    <w:p w14:paraId="3201BDB0"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2.183% reflects the price changes between RY18 and RY19</w:t>
      </w:r>
    </w:p>
    <w:p w14:paraId="07D6D465"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2.236% reflects the price changes between RY19 and RY20</w:t>
      </w:r>
    </w:p>
    <w:p w14:paraId="579ED6CB" w14:textId="77777777" w:rsidR="00F418EC" w:rsidRPr="00F418EC" w:rsidRDefault="00F418EC" w:rsidP="00F418EC">
      <w:pPr>
        <w:numPr>
          <w:ilvl w:val="0"/>
          <w:numId w:val="1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1.854 % reflects the price changes between RY20 and RY21</w:t>
      </w:r>
    </w:p>
    <w:p w14:paraId="03A31B1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Inpatient Admission </w:t>
      </w:r>
      <w:r w:rsidRPr="00F418EC">
        <w:rPr>
          <w:rFonts w:ascii="Times New Roman" w:eastAsiaTheme="minorHAnsi" w:hAnsi="Times New Roman"/>
          <w:spacing w:val="0"/>
          <w:szCs w:val="24"/>
        </w:rPr>
        <w:t>– the admission of a Member to an Acute Hospital for the purpose of receiving Inpatient Services in that Hospital.</w:t>
      </w:r>
    </w:p>
    <w:p w14:paraId="2353FA8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Inpatient Services </w:t>
      </w:r>
      <w:r w:rsidRPr="00F418EC">
        <w:rPr>
          <w:rFonts w:ascii="Times New Roman" w:eastAsiaTheme="minorHAnsi" w:hAnsi="Times New Roman"/>
          <w:spacing w:val="0"/>
          <w:szCs w:val="24"/>
        </w:rPr>
        <w:t xml:space="preserve">– medical services, including Behavioral Health Services, provided to a Member admitted to an Acute Hospital, or, subject to CMS approval, Hospital-at-Home services provided in a Member’s home or residence in accordance with subregulatory guidance to be published by EOHHS. Payment rules regarding Inpatient Services are found in 130 CMR Parts 415 and 450, the regulations referenced therein, Appendix F to the MassHealth Acute Inpatient Hospital Manual, MassHealth billing instructions, and this RFA. </w:t>
      </w:r>
    </w:p>
    <w:p w14:paraId="67BFFD5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w:t>
      </w:r>
      <w:r w:rsidRPr="00F418EC">
        <w:rPr>
          <w:rFonts w:ascii="Times New Roman" w:eastAsiaTheme="minorHAnsi" w:hAnsi="Times New Roman"/>
          <w:spacing w:val="0"/>
          <w:szCs w:val="24"/>
        </w:rPr>
        <w:t xml:space="preserve"> – isolation and recovery.</w:t>
      </w:r>
    </w:p>
    <w:p w14:paraId="4B65DD3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 Clinical Care Team</w:t>
      </w:r>
      <w:r w:rsidRPr="00F418EC">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masters of social work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1DE3C00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 xml:space="preserve">I&amp;R Hospital </w:t>
      </w:r>
      <w:r w:rsidRPr="00F418EC">
        <w:rPr>
          <w:rFonts w:ascii="Times New Roman" w:eastAsiaTheme="minorHAnsi" w:hAnsi="Times New Roman"/>
          <w:spacing w:val="0"/>
          <w:szCs w:val="24"/>
        </w:rPr>
        <w:t xml:space="preserve">– a Hospital that has a fully executed I&amp;R Services-related special conditions addendum to its MassHealth Hospital Contract to provide I&amp;R Services at an I&amp;R Site.  </w:t>
      </w:r>
    </w:p>
    <w:p w14:paraId="454A7F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 xml:space="preserve">I&amp;R Services </w:t>
      </w:r>
      <w:r w:rsidRPr="00F418EC">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w:t>
      </w:r>
      <w:r w:rsidRPr="00F418EC">
        <w:rPr>
          <w:rFonts w:ascii="Times New Roman" w:eastAsiaTheme="minorHAnsi" w:hAnsi="Times New Roman"/>
          <w:spacing w:val="0"/>
          <w:szCs w:val="24"/>
        </w:rPr>
        <w:lastRenderedPageBreak/>
        <w:t xml:space="preserve">Hospitals rendering I&amp;R Services pursuant to </w:t>
      </w:r>
      <w:r w:rsidRPr="00F418EC">
        <w:rPr>
          <w:rFonts w:ascii="Times New Roman" w:eastAsiaTheme="minorHAnsi" w:hAnsi="Times New Roman"/>
          <w:b/>
          <w:bCs/>
          <w:spacing w:val="0"/>
          <w:szCs w:val="24"/>
        </w:rPr>
        <w:t xml:space="preserve">section 5.D.11 </w:t>
      </w:r>
      <w:r w:rsidRPr="00F418EC">
        <w:rPr>
          <w:rFonts w:ascii="Times New Roman" w:eastAsiaTheme="minorHAnsi" w:hAnsi="Times New Roman"/>
          <w:spacing w:val="0"/>
          <w:szCs w:val="24"/>
        </w:rPr>
        <w:t xml:space="preserve">of this RFA and the I&amp;R Hospital’s I&amp;R Services-related special conditions addendum to its MassHealth Hospital Contract.  </w:t>
      </w:r>
    </w:p>
    <w:p w14:paraId="5609F26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I&amp;R Site</w:t>
      </w:r>
      <w:r w:rsidRPr="00F418EC">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56A4DC9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Insurance Payment </w:t>
      </w:r>
      <w:r w:rsidRPr="00F418EC">
        <w:rPr>
          <w:rFonts w:ascii="Times New Roman" w:eastAsiaTheme="minorHAnsi" w:hAnsi="Times New Roman"/>
          <w:spacing w:val="0"/>
          <w:szCs w:val="24"/>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0DAE72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Liability </w:t>
      </w:r>
      <w:r w:rsidRPr="00F418EC">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7862F2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Long-Acting Reversible Contraception (LARC) Device </w:t>
      </w:r>
      <w:r w:rsidRPr="00F418EC">
        <w:rPr>
          <w:rFonts w:ascii="Times New Roman" w:eastAsiaTheme="minorHAnsi" w:hAnsi="Times New Roman"/>
          <w:spacing w:val="0"/>
          <w:szCs w:val="24"/>
        </w:rPr>
        <w:t>– Long-acting reversible contraception (LARC) device refers, specifically, to intrauterine devices and contraceptive implants.  LARC Device does not refer to the procedure, itself.</w:t>
      </w:r>
    </w:p>
    <w:p w14:paraId="06F2514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Managed Care Organization (MCO) </w:t>
      </w:r>
      <w:r w:rsidRPr="00F418EC">
        <w:rPr>
          <w:rFonts w:ascii="Times New Roman" w:eastAsiaTheme="minorHAnsi" w:hAnsi="Times New Roman"/>
          <w:spacing w:val="0"/>
          <w:szCs w:val="24"/>
        </w:rPr>
        <w:t xml:space="preserve">–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Accountable Care Partnership Plans (ACPPs). In addition, MCOs include One Care plans for all purposes under this RFA, except for Sections 4.A.2, 4.B.4, 5.D.1 and Section 7.  When historical MCO data is used in a methodology, the term MCO will also include CarePlus MCOs, to the extent CarePlus MCOs existed during the period for which the MCO data is used in such methodology, as applicable. </w:t>
      </w:r>
    </w:p>
    <w:p w14:paraId="192557B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Marginal Cost Factor </w:t>
      </w:r>
      <w:r w:rsidRPr="00F418EC">
        <w:rPr>
          <w:rFonts w:ascii="Times New Roman" w:eastAsiaTheme="minorHAnsi" w:hAnsi="Times New Roman"/>
          <w:spacing w:val="0"/>
          <w:szCs w:val="24"/>
        </w:rPr>
        <w:t>– the Marginal Cost Factor is 60% (inpatient) and 60% (outpatient).</w:t>
      </w:r>
    </w:p>
    <w:p w14:paraId="48A35E3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MassHealth (also Medicaid)</w:t>
      </w:r>
      <w:r w:rsidRPr="00F418EC">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3E62A0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MassHealth DRG Weight </w:t>
      </w:r>
      <w:r w:rsidRPr="00F418EC">
        <w:rPr>
          <w:rFonts w:ascii="Times New Roman" w:eastAsiaTheme="minorHAnsi" w:hAnsi="Times New Roman"/>
          <w:spacing w:val="0"/>
          <w:szCs w:val="24"/>
        </w:rPr>
        <w:t>– The MassHealth relative weight developed by EOHHS for each unique combination of APR-DRG and severity of illness (SOI).  See Chart C to Appendix C for the MassHealth DRG Weights.</w:t>
      </w:r>
    </w:p>
    <w:p w14:paraId="68C287F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MassHealth EAPG Weight </w:t>
      </w:r>
      <w:r w:rsidRPr="00F418EC">
        <w:rPr>
          <w:rFonts w:ascii="Times New Roman" w:eastAsiaTheme="minorHAnsi" w:hAnsi="Times New Roman"/>
          <w:spacing w:val="0"/>
          <w:szCs w:val="24"/>
        </w:rPr>
        <w:t>– The MassHealth relative weight developed by EOHHS for each unique EAPG (See Chart D to Appendix D for the RY21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09E7F43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Medicaid Management Information System (MMIS) </w:t>
      </w:r>
      <w:r w:rsidRPr="00F418EC">
        <w:rPr>
          <w:rFonts w:ascii="Times New Roman" w:eastAsiaTheme="minorHAnsi" w:hAnsi="Times New Roman"/>
          <w:spacing w:val="0"/>
          <w:szCs w:val="24"/>
        </w:rPr>
        <w:t xml:space="preserve">– the state-operated system of automated and manual processes, certified by CMS, that meets the federal guidelines in Part 11 of the State Medicaid Manual, used to process Medicaid claims from providers of medical care and services </w:t>
      </w:r>
      <w:r w:rsidRPr="00F418EC">
        <w:rPr>
          <w:rFonts w:ascii="Times New Roman" w:eastAsiaTheme="minorHAnsi" w:hAnsi="Times New Roman"/>
          <w:spacing w:val="0"/>
          <w:szCs w:val="24"/>
        </w:rPr>
        <w:lastRenderedPageBreak/>
        <w:t>furnished to Members, and to retrieve and produce service utilization and management information for program administration and audit purposes.</w:t>
      </w:r>
    </w:p>
    <w:p w14:paraId="2290ACC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Member </w:t>
      </w:r>
      <w:r w:rsidRPr="00F418EC">
        <w:rPr>
          <w:rFonts w:ascii="Times New Roman" w:eastAsiaTheme="minorHAnsi" w:hAnsi="Times New Roman"/>
          <w:spacing w:val="0"/>
          <w:szCs w:val="24"/>
        </w:rPr>
        <w:t>– a person determined by EOHHS to be eligible for medical assistance under the MassHealth program.</w:t>
      </w:r>
    </w:p>
    <w:p w14:paraId="234072F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Mobile Crisis Intervention (MCI) </w:t>
      </w:r>
      <w:r w:rsidRPr="00F418EC">
        <w:rPr>
          <w:rFonts w:ascii="Times New Roman" w:eastAsiaTheme="minorHAnsi" w:hAnsi="Times New Roman"/>
          <w:spacing w:val="0"/>
          <w:szCs w:val="24"/>
        </w:rPr>
        <w:t>–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Mobile Crisis Intervention utilizes a multidisciplinary model, with both professional and paraprofessional staff.  Services are available 24 hours a day, 7 days a week.</w:t>
      </w:r>
    </w:p>
    <w:p w14:paraId="7A86EAB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Non-Acute Unit </w:t>
      </w:r>
      <w:r w:rsidRPr="00F418EC">
        <w:rPr>
          <w:rFonts w:ascii="Times New Roman" w:eastAsiaTheme="minorHAnsi" w:hAnsi="Times New Roman"/>
          <w:spacing w:val="0"/>
          <w:szCs w:val="24"/>
        </w:rPr>
        <w:t xml:space="preserve">– a chronic care, rehabilitation, or skilled nursing facility unit within a Hospital. </w:t>
      </w:r>
    </w:p>
    <w:p w14:paraId="24E7FDF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Observation Services </w:t>
      </w:r>
      <w:r w:rsidRPr="00F418EC">
        <w:rPr>
          <w:rFonts w:ascii="Times New Roman" w:eastAsiaTheme="minorHAnsi" w:hAnsi="Times New Roman"/>
          <w:spacing w:val="0"/>
          <w:szCs w:val="24"/>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73060A0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One Care: MassHealth plus Medicare (One Care plan) </w:t>
      </w:r>
      <w:r w:rsidRPr="00F418EC">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49BC661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Outlier Payment (inpatient) </w:t>
      </w:r>
      <w:r w:rsidRPr="00F418EC">
        <w:rPr>
          <w:rFonts w:ascii="Times New Roman" w:eastAsiaTheme="minorHAnsi" w:hAnsi="Times New Roman"/>
          <w:spacing w:val="0"/>
          <w:szCs w:val="24"/>
        </w:rPr>
        <w:t>– a hospital-specific, discharge-specific inpatient Hospital payment made in addition to the APAD for qualifying discharges in accordance with Section 5.B.2.</w:t>
      </w:r>
    </w:p>
    <w:p w14:paraId="5BA58AB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Department (also Hospital Outpatient Department) </w:t>
      </w:r>
      <w:r w:rsidRPr="00F418EC">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78C8AE0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Services (also Outpatient Hospital Services) </w:t>
      </w:r>
      <w:r w:rsidRPr="00F418EC">
        <w:rPr>
          <w:rFonts w:ascii="Times New Roman" w:eastAsiaTheme="minorHAnsi" w:hAnsi="Times New Roman"/>
          <w:spacing w:val="0"/>
          <w:szCs w:val="24"/>
        </w:rPr>
        <w:t xml:space="preserve">–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w:t>
      </w:r>
      <w:r w:rsidRPr="00F418EC">
        <w:rPr>
          <w:rFonts w:ascii="Times New Roman" w:eastAsiaTheme="minorHAnsi" w:hAnsi="Times New Roman"/>
          <w:spacing w:val="0"/>
          <w:szCs w:val="24"/>
        </w:rPr>
        <w:lastRenderedPageBreak/>
        <w:t>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45C9514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PAPE Covered Services </w:t>
      </w:r>
      <w:r w:rsidRPr="00F418EC">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5740120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Participating PCP</w:t>
      </w:r>
      <w:r w:rsidRPr="00F418EC">
        <w:rPr>
          <w:rFonts w:ascii="Times New Roman" w:eastAsiaTheme="minorHAnsi" w:hAnsi="Times New Roman"/>
          <w:spacing w:val="0"/>
          <w:szCs w:val="24"/>
        </w:rPr>
        <w:t xml:space="preserve"> – See definition of Primary Care ACO Participating Primary Care Provider.</w:t>
      </w:r>
    </w:p>
    <w:p w14:paraId="500116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w:t>
      </w:r>
      <w:r w:rsidRPr="00F418EC">
        <w:rPr>
          <w:rFonts w:ascii="Times New Roman" w:eastAsiaTheme="minorHAnsi" w:hAnsi="Times New Roman"/>
          <w:spacing w:val="0"/>
          <w:szCs w:val="24"/>
        </w:rPr>
        <w:t>– a person receiving health care services from a hospital.</w:t>
      </w:r>
    </w:p>
    <w:p w14:paraId="54C8F28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Pay-for-Performance Program for Acute Hospitals (P4P) </w:t>
      </w:r>
      <w:r w:rsidRPr="00F418EC">
        <w:rPr>
          <w:rFonts w:ascii="Times New Roman" w:eastAsiaTheme="minorHAnsi" w:hAnsi="Times New Roman"/>
          <w:spacing w:val="0"/>
          <w:szCs w:val="24"/>
        </w:rPr>
        <w:t xml:space="preserve">– for RY21, this refers to the pay-for-performance program set forth in Section 7 of the RFA. </w:t>
      </w:r>
    </w:p>
    <w:p w14:paraId="3C0E2B6B"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Amount Per Episode (PAPE) </w:t>
      </w:r>
      <w:r w:rsidRPr="00F418EC">
        <w:rPr>
          <w:rFonts w:ascii="Times New Roman" w:eastAsiaTheme="minorHAnsi" w:hAnsi="Times New Roman"/>
          <w:spacing w:val="0"/>
          <w:szCs w:val="24"/>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06A48F0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Pediatric Specialty Unit </w:t>
      </w:r>
      <w:r w:rsidRPr="00F418EC">
        <w:rPr>
          <w:rFonts w:ascii="Times New Roman" w:eastAsiaTheme="minorHAnsi" w:hAnsi="Times New Roman"/>
          <w:spacing w:val="0"/>
          <w:szCs w:val="24"/>
        </w:rPr>
        <w:t>– 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14:paraId="72109DC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w:t>
      </w:r>
      <w:r w:rsidRPr="00F418EC">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281635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ACO </w:t>
      </w:r>
      <w:r w:rsidRPr="00F418EC">
        <w:rPr>
          <w:rFonts w:ascii="Times New Roman" w:eastAsiaTheme="minorHAnsi" w:hAnsi="Times New Roman"/>
          <w:spacing w:val="0"/>
          <w:szCs w:val="24"/>
        </w:rPr>
        <w:t>– a type of ACO with which the MassHealth agency contracts under its ACO program.</w:t>
      </w:r>
    </w:p>
    <w:p w14:paraId="38CBB85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ACO Participating Primary Care Provider (Participating PCP) </w:t>
      </w:r>
      <w:r w:rsidRPr="00F418EC">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7A6B0DD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Primary Care Clinician (PCC) </w:t>
      </w:r>
      <w:r w:rsidRPr="00F418EC">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77FEB8B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Primary Care Clinician Plan (PCC Plan) </w:t>
      </w:r>
      <w:r w:rsidRPr="00F418EC">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0201F70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Provider </w:t>
      </w:r>
      <w:r w:rsidRPr="00F418EC">
        <w:rPr>
          <w:rFonts w:ascii="Times New Roman" w:eastAsiaTheme="minorHAnsi" w:hAnsi="Times New Roman"/>
          <w:spacing w:val="0"/>
          <w:szCs w:val="24"/>
        </w:rPr>
        <w:t xml:space="preserve">– an individual or entity that has a written contract with EOHHS to provide medical goods or services to Members. </w:t>
      </w:r>
    </w:p>
    <w:p w14:paraId="206E0B8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Psychiatric Per Diem </w:t>
      </w:r>
      <w:r w:rsidRPr="00F418EC">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38BD00E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Psychiatric Per Diem Base Year </w:t>
      </w:r>
      <w:r w:rsidRPr="00F418EC">
        <w:rPr>
          <w:rFonts w:ascii="Times New Roman" w:eastAsiaTheme="minorHAnsi" w:hAnsi="Times New Roman"/>
          <w:spacing w:val="0"/>
          <w:szCs w:val="24"/>
        </w:rPr>
        <w:t>– the base year for the psychiatric per diem is FY04, using FY04 -403 cost reports as screened and updated as of March 10, 2006.</w:t>
      </w:r>
    </w:p>
    <w:p w14:paraId="45D96E7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Quality and Performance Initiatives </w:t>
      </w:r>
      <w:r w:rsidRPr="00F418EC">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4170D54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Rate Year (RY) </w:t>
      </w:r>
      <w:r w:rsidRPr="00F418EC">
        <w:rPr>
          <w:rFonts w:ascii="Times New Roman" w:eastAsiaTheme="minorHAnsi" w:hAnsi="Times New Roman"/>
          <w:spacing w:val="0"/>
          <w:szCs w:val="24"/>
        </w:rPr>
        <w:t>– generally, the period beginning October 1 and ending the following September 30.  Please note that RY21 will begin on November 1, 2020, and end on October 31, 2021.</w:t>
      </w:r>
    </w:p>
    <w:p w14:paraId="20B2E82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Rehabilitation Services </w:t>
      </w:r>
      <w:r w:rsidRPr="00F418EC">
        <w:rPr>
          <w:rFonts w:ascii="Times New Roman" w:eastAsiaTheme="minorHAnsi" w:hAnsi="Times New Roman"/>
          <w:spacing w:val="0"/>
          <w:szCs w:val="24"/>
        </w:rPr>
        <w:t>– 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14:paraId="0A80CE1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Rehabilitation Unit </w:t>
      </w:r>
      <w:r w:rsidRPr="00F418EC">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0A6F7C30" w14:textId="15F81048"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Remote Patient Monitoring</w:t>
      </w:r>
      <w:r w:rsidRPr="00F418EC">
        <w:rPr>
          <w:rFonts w:ascii="Times New Roman" w:eastAsiaTheme="minorHAnsi" w:hAnsi="Times New Roman"/>
          <w:spacing w:val="0"/>
          <w:szCs w:val="24"/>
        </w:rPr>
        <w:t xml:space="preserve"> – Outpatient Hospital Services provided in a Member’s home or residence to evaluate a Member’s condition and determine the need for admission to an Acute Hospital in accordance with  MassHealth Transmittal Letter AOH-47 (Corrected) and 101 CMR 446.03(2), or any successors thereto.</w:t>
      </w:r>
    </w:p>
    <w:p w14:paraId="71FBEE8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Revenue Center </w:t>
      </w:r>
      <w:r w:rsidRPr="00F418EC">
        <w:rPr>
          <w:rFonts w:ascii="Times New Roman" w:eastAsiaTheme="minorHAnsi" w:hAnsi="Times New Roman"/>
          <w:spacing w:val="0"/>
          <w:szCs w:val="24"/>
        </w:rPr>
        <w:t>– a functioning unit of a Hospital that provides distinctive services to a patient for a charge.</w:t>
      </w:r>
    </w:p>
    <w:p w14:paraId="68FA16D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Satellite Clinic </w:t>
      </w:r>
      <w:r w:rsidRPr="00F418EC">
        <w:rPr>
          <w:rFonts w:ascii="Times New Roman" w:eastAsiaTheme="minorHAnsi" w:hAnsi="Times New Roman"/>
          <w:spacing w:val="0"/>
          <w:szCs w:val="24"/>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5D4A3A3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School-Based Health Center (SBHC) </w:t>
      </w:r>
      <w:r w:rsidRPr="00F418EC">
        <w:rPr>
          <w:rFonts w:ascii="Times New Roman" w:eastAsiaTheme="minorHAnsi" w:hAnsi="Times New Roman"/>
          <w:spacing w:val="0"/>
          <w:szCs w:val="24"/>
        </w:rPr>
        <w:t xml:space="preserve">– a center located in a school setting which: (1) provides health services to MassHealth Members under the age of 21; (2) operates under a Hospital’s license; (3) is subject to the fiscal, administrative, and clinical management of a Hospital </w:t>
      </w:r>
      <w:r w:rsidRPr="00F418EC">
        <w:rPr>
          <w:rFonts w:ascii="Times New Roman" w:eastAsiaTheme="minorHAnsi" w:hAnsi="Times New Roman"/>
          <w:spacing w:val="0"/>
          <w:szCs w:val="24"/>
        </w:rPr>
        <w:lastRenderedPageBreak/>
        <w:t>Outpatient Department or HLHC; and (4) provides services to Members solely on an outpatient basis.</w:t>
      </w:r>
    </w:p>
    <w:p w14:paraId="03A9796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Specialized Pediatric Service Hospital</w:t>
      </w:r>
      <w:r w:rsidRPr="00F418EC">
        <w:rPr>
          <w:rFonts w:ascii="Times New Roman" w:eastAsiaTheme="minorHAnsi" w:hAnsi="Times New Roman"/>
          <w:spacing w:val="0"/>
          <w:szCs w:val="24"/>
        </w:rPr>
        <w:t xml:space="preserve"> – A High Medicaid Volume Freestanding Pediatric Acute Hospital; an Acute Hospital with a Pediatric Specialty Unit; or an Acute Hospital, other than a Freestanding Pediatric Acute Hospital, that maintains a DPH licensed pediatric unit and has a burn unit verified by the American Burn Association as of August 31, 2019, as determined by EOHHS.</w:t>
      </w:r>
    </w:p>
    <w:p w14:paraId="17A40BB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Standard Payment Amount Per Discharge (SPAD) </w:t>
      </w:r>
      <w:r w:rsidRPr="00F418EC">
        <w:rPr>
          <w:rFonts w:ascii="Times New Roman" w:eastAsiaTheme="minorHAnsi" w:hAnsi="Times New Roman"/>
          <w:spacing w:val="0"/>
          <w:szCs w:val="24"/>
        </w:rPr>
        <w:t>– an inpatient payment methodology that was utilized in prior Acute Hospital RFAs.  The SPAD was a Hospital-specific all-inclusive payment for the first twenty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0B62190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Third-Party Insurance </w:t>
      </w:r>
      <w:r w:rsidRPr="00F418EC">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4D6758E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Title XIX </w:t>
      </w:r>
      <w:r w:rsidRPr="00F418EC">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10CA0EE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Total Case Payment </w:t>
      </w:r>
      <w:r w:rsidRPr="00F418EC">
        <w:rPr>
          <w:rFonts w:ascii="Times New Roman" w:eastAsiaTheme="minorHAnsi" w:hAnsi="Times New Roman"/>
          <w:spacing w:val="0"/>
          <w:szCs w:val="24"/>
        </w:rPr>
        <w:t xml:space="preserve">– the sum, as determined by EOHHS, of the APAD and, if applicable, any inpatient Hospital Outlier Payment. </w:t>
      </w:r>
    </w:p>
    <w:p w14:paraId="32A97E5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Total Transfer Payment Cap </w:t>
      </w:r>
      <w:r w:rsidRPr="00F418EC">
        <w:rPr>
          <w:rFonts w:ascii="Times New Roman" w:eastAsiaTheme="minorHAnsi" w:hAnsi="Times New Roman"/>
          <w:spacing w:val="0"/>
          <w:szCs w:val="24"/>
        </w:rPr>
        <w:t xml:space="preserve">– the Total Case Payment amount calculated by EOHHS utilizing the APAD and, if applicable, Outlier Payment methodology(ies) set forth in Sections 5.B.1 and 5.B.2 for the period for which the Transferring Hospital is being paid on a Transfer Per Diem basis under Section 5.B.3 for Inpatient Services provided to a Transfer Patient. </w:t>
      </w:r>
    </w:p>
    <w:p w14:paraId="2B61B19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Transfer Patient </w:t>
      </w:r>
      <w:r w:rsidRPr="00F418EC">
        <w:rPr>
          <w:rFonts w:ascii="Times New Roman" w:eastAsiaTheme="minorHAnsi" w:hAnsi="Times New Roman"/>
          <w:spacing w:val="0"/>
          <w:szCs w:val="24"/>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DE5E43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Transferring Hospital </w:t>
      </w:r>
      <w:r w:rsidRPr="00F418EC">
        <w:rPr>
          <w:rFonts w:ascii="Times New Roman" w:eastAsiaTheme="minorHAnsi" w:hAnsi="Times New Roman"/>
          <w:spacing w:val="0"/>
          <w:szCs w:val="24"/>
        </w:rPr>
        <w:t>– an Acute Hospital that is being paid on a Transfer Per Diem basis, pursuant to Section 5.B.3.</w:t>
      </w:r>
    </w:p>
    <w:p w14:paraId="5770D1F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Usual and Customary Charge </w:t>
      </w:r>
      <w:r w:rsidRPr="00F418EC">
        <w:rPr>
          <w:rFonts w:ascii="Times New Roman" w:eastAsiaTheme="minorHAnsi" w:hAnsi="Times New Roman"/>
          <w:spacing w:val="0"/>
          <w:szCs w:val="24"/>
        </w:rPr>
        <w:t xml:space="preserve">– a routine fee that Hospitals charge for Acute Inpatient and Outpatient Services, regardless of payer source. </w:t>
      </w:r>
    </w:p>
    <w:p w14:paraId="1E33F59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Wholesale Acquisition Cost (WAC) </w:t>
      </w:r>
      <w:r w:rsidRPr="00F418EC">
        <w:rPr>
          <w:rFonts w:ascii="Times New Roman" w:eastAsiaTheme="minorHAnsi" w:hAnsi="Times New Roman"/>
          <w:spacing w:val="0"/>
          <w:szCs w:val="24"/>
        </w:rPr>
        <w:t>– The wholesale acquisition cost (WAC) of the Drug as published by First Data Bank or other national price compendium designated by EOHHS.</w:t>
      </w:r>
    </w:p>
    <w:p w14:paraId="4A610A7A" w14:textId="77777777" w:rsidR="00F418EC" w:rsidRPr="00F418EC" w:rsidRDefault="00F418EC" w:rsidP="00F418EC">
      <w:pPr>
        <w:spacing w:after="200"/>
        <w:rPr>
          <w:rFonts w:ascii="Times New Roman" w:eastAsiaTheme="minorHAnsi" w:hAnsi="Times New Roman"/>
          <w:spacing w:val="0"/>
          <w:szCs w:val="24"/>
        </w:rPr>
      </w:pPr>
    </w:p>
    <w:p w14:paraId="07DBD0C0"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footerReference w:type="default" r:id="rId17"/>
          <w:pgSz w:w="12240" w:h="15840"/>
          <w:pgMar w:top="1440" w:right="1440" w:bottom="1440" w:left="1440" w:header="720" w:footer="720" w:gutter="0"/>
          <w:cols w:space="720"/>
          <w:docGrid w:linePitch="360"/>
        </w:sectPr>
      </w:pPr>
    </w:p>
    <w:p w14:paraId="16E414D8"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9" w:name="_Toc52374237"/>
      <w:r w:rsidRPr="00F418EC">
        <w:rPr>
          <w:rFonts w:ascii="Times New Roman Bold" w:eastAsiaTheme="minorHAnsi" w:hAnsi="Times New Roman Bold"/>
          <w:b/>
          <w:spacing w:val="5"/>
          <w:sz w:val="32"/>
          <w:szCs w:val="32"/>
        </w:rPr>
        <w:lastRenderedPageBreak/>
        <w:t>Section 3:  Eligible Applicants</w:t>
      </w:r>
      <w:bookmarkEnd w:id="9"/>
    </w:p>
    <w:p w14:paraId="470053B2"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In-state Acute Hospitals are eligible to apply for a Contract pursuant to this RFA if they:</w:t>
      </w:r>
    </w:p>
    <w:p w14:paraId="7297BA77"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Operate under a Hospital license issued by the Massachusetts Department of Public Health (DPH);</w:t>
      </w:r>
    </w:p>
    <w:p w14:paraId="41D94929"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Are Medicare-certified and participate in the Medicare program;</w:t>
      </w:r>
    </w:p>
    <w:p w14:paraId="47D89352"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5A987A11" w14:textId="77777777" w:rsidR="00F418EC" w:rsidRPr="00F418EC" w:rsidRDefault="00F418EC" w:rsidP="00F418EC">
      <w:pPr>
        <w:numPr>
          <w:ilvl w:val="0"/>
          <w:numId w:val="22"/>
        </w:num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268FD0B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determining whether a Hospital satisfies the utilization requirement set forth in </w:t>
      </w:r>
      <w:r w:rsidRPr="00F418EC">
        <w:rPr>
          <w:rFonts w:ascii="Times New Roman" w:eastAsiaTheme="minorHAnsi" w:hAnsi="Times New Roman"/>
          <w:b/>
          <w:spacing w:val="0"/>
          <w:szCs w:val="24"/>
        </w:rPr>
        <w:t>Section 3.A.4</w:t>
      </w:r>
      <w:r w:rsidRPr="00F418EC">
        <w:rPr>
          <w:rFonts w:ascii="Times New Roman" w:eastAsiaTheme="minorHAnsi" w:hAnsi="Times New Roman"/>
          <w:spacing w:val="0"/>
          <w:szCs w:val="24"/>
        </w:rPr>
        <w:t xml:space="preserve">, EOHHS may evaluate, pursuant to an on-site audit or otherwise, a number of factors including, but not limited to, the average length of patient stay (see </w:t>
      </w:r>
      <w:r w:rsidRPr="00F418EC">
        <w:rPr>
          <w:rFonts w:ascii="Times New Roman" w:eastAsiaTheme="minorHAnsi" w:hAnsi="Times New Roman"/>
          <w:b/>
          <w:spacing w:val="0"/>
          <w:szCs w:val="24"/>
        </w:rPr>
        <w:t>Section 11.B.5</w:t>
      </w:r>
      <w:r w:rsidRPr="00F418EC">
        <w:rPr>
          <w:rFonts w:ascii="Times New Roman" w:eastAsiaTheme="minorHAnsi" w:hAnsi="Times New Roman"/>
          <w:spacing w:val="0"/>
          <w:szCs w:val="24"/>
        </w:rPr>
        <w:t>) at that Hospital.</w:t>
      </w:r>
    </w:p>
    <w:p w14:paraId="7647D872"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3D477BEF"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F418EC">
        <w:rPr>
          <w:rFonts w:ascii="Times New Roman" w:eastAsiaTheme="minorHAnsi" w:hAnsi="Times New Roman"/>
          <w:b/>
          <w:spacing w:val="0"/>
          <w:szCs w:val="24"/>
        </w:rPr>
        <w:t>Sections 5.B.5</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5.C</w:t>
      </w:r>
      <w:r w:rsidRPr="00F418EC">
        <w:rPr>
          <w:rFonts w:ascii="Times New Roman" w:eastAsiaTheme="minorHAnsi" w:hAnsi="Times New Roman"/>
          <w:spacing w:val="0"/>
          <w:szCs w:val="24"/>
        </w:rPr>
        <w:t xml:space="preserve">. </w:t>
      </w:r>
    </w:p>
    <w:p w14:paraId="7A6A56AA" w14:textId="77777777" w:rsidR="00F418EC" w:rsidRPr="00F418EC" w:rsidRDefault="00F418EC" w:rsidP="00F418EC">
      <w:pPr>
        <w:numPr>
          <w:ilvl w:val="0"/>
          <w:numId w:val="2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5C8BA59A" w14:textId="77777777" w:rsidR="00F418EC" w:rsidRPr="00F418EC" w:rsidRDefault="00F418EC" w:rsidP="00F418EC">
      <w:pPr>
        <w:spacing w:after="200"/>
        <w:rPr>
          <w:rFonts w:ascii="Times New Roman" w:eastAsiaTheme="minorHAnsi" w:hAnsi="Times New Roman"/>
          <w:spacing w:val="0"/>
          <w:szCs w:val="24"/>
        </w:rPr>
      </w:pPr>
    </w:p>
    <w:p w14:paraId="745CE9DF"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2B85038D"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10" w:name="_Toc52374238"/>
      <w:r w:rsidRPr="00F418EC">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10"/>
    </w:p>
    <w:p w14:paraId="28E615A9" w14:textId="75C888F8" w:rsidR="00F418EC" w:rsidRPr="001A5D41" w:rsidRDefault="00F418EC" w:rsidP="001A5D41">
      <w:pPr>
        <w:pStyle w:val="ListParagraph"/>
        <w:numPr>
          <w:ilvl w:val="3"/>
          <w:numId w:val="12"/>
        </w:numPr>
        <w:tabs>
          <w:tab w:val="left" w:pos="2880"/>
        </w:tabs>
        <w:spacing w:after="200"/>
        <w:ind w:left="360"/>
        <w:outlineLvl w:val="1"/>
        <w:rPr>
          <w:rFonts w:ascii="Times New Roman" w:eastAsiaTheme="minorHAnsi" w:hAnsi="Times New Roman"/>
          <w:b/>
          <w:spacing w:val="0"/>
          <w:sz w:val="28"/>
          <w:szCs w:val="28"/>
        </w:rPr>
      </w:pPr>
      <w:bookmarkStart w:id="11" w:name="_Toc52374239"/>
      <w:r w:rsidRPr="001A5D41">
        <w:rPr>
          <w:rFonts w:ascii="Times New Roman" w:eastAsiaTheme="minorHAnsi" w:hAnsi="Times New Roman"/>
          <w:b/>
          <w:spacing w:val="0"/>
          <w:sz w:val="28"/>
          <w:szCs w:val="28"/>
        </w:rPr>
        <w:t>Non-Covered Services</w:t>
      </w:r>
      <w:bookmarkEnd w:id="11"/>
    </w:p>
    <w:p w14:paraId="1DD9BB4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44F26630"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2" w:name="_Toc52374240"/>
      <w:r w:rsidRPr="00F418EC">
        <w:rPr>
          <w:rFonts w:ascii="Times New Roman" w:eastAsiaTheme="minorHAnsi" w:hAnsi="Times New Roman"/>
          <w:b/>
          <w:spacing w:val="0"/>
          <w:szCs w:val="24"/>
        </w:rPr>
        <w:t>Behavioral Health Services for Members Enrolled with the BH Contractor</w:t>
      </w:r>
      <w:bookmarkEnd w:id="12"/>
      <w:r w:rsidRPr="00F418EC">
        <w:rPr>
          <w:rFonts w:ascii="Times New Roman" w:eastAsiaTheme="minorHAnsi" w:hAnsi="Times New Roman"/>
          <w:b/>
          <w:spacing w:val="0"/>
          <w:szCs w:val="24"/>
        </w:rPr>
        <w:t xml:space="preserve">  </w:t>
      </w:r>
    </w:p>
    <w:p w14:paraId="22471FA6"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1D95DF79"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9AAF954" w14:textId="77777777" w:rsidR="00F418EC" w:rsidRPr="00F418EC" w:rsidRDefault="00F418EC" w:rsidP="00F418EC">
      <w:pPr>
        <w:suppressAutoHyphens/>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4F2BD339"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3" w:name="_Toc52374241"/>
      <w:r w:rsidRPr="00F418EC">
        <w:rPr>
          <w:rFonts w:ascii="Times New Roman" w:eastAsiaTheme="minorHAnsi" w:hAnsi="Times New Roman"/>
          <w:b/>
          <w:spacing w:val="0"/>
          <w:szCs w:val="24"/>
        </w:rPr>
        <w:t>MCO Services</w:t>
      </w:r>
      <w:bookmarkEnd w:id="13"/>
    </w:p>
    <w:p w14:paraId="5F530507"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0EF4B6C9"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w:t>
      </w:r>
      <w:r w:rsidRPr="00F418EC">
        <w:rPr>
          <w:rFonts w:ascii="Times New Roman" w:eastAsiaTheme="minorHAnsi" w:hAnsi="Times New Roman"/>
          <w:spacing w:val="0"/>
          <w:szCs w:val="24"/>
        </w:rPr>
        <w:lastRenderedPageBreak/>
        <w:t>fee-for-service RFA rate less any amount for graduate medical education for Emergency and Post-Stabilization Services.</w:t>
      </w:r>
    </w:p>
    <w:p w14:paraId="5D14FD4E"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94693B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739CDEE4" w14:textId="77777777" w:rsidR="00F418EC" w:rsidRPr="00F418EC" w:rsidRDefault="00F418EC" w:rsidP="00F418EC">
      <w:pPr>
        <w:numPr>
          <w:ilvl w:val="0"/>
          <w:numId w:val="2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641FB8C0"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4" w:name="_Toc52374242"/>
      <w:r w:rsidRPr="00F418EC">
        <w:rPr>
          <w:rFonts w:ascii="Times New Roman" w:eastAsiaTheme="minorHAnsi" w:hAnsi="Times New Roman"/>
          <w:b/>
          <w:spacing w:val="0"/>
          <w:szCs w:val="24"/>
        </w:rPr>
        <w:t>[RESERVED]</w:t>
      </w:r>
      <w:bookmarkEnd w:id="14"/>
    </w:p>
    <w:p w14:paraId="2FFF9B8E"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5" w:name="_Toc52374243"/>
      <w:r w:rsidRPr="00F418EC">
        <w:rPr>
          <w:rFonts w:ascii="Times New Roman" w:eastAsiaTheme="minorHAnsi" w:hAnsi="Times New Roman"/>
          <w:b/>
          <w:spacing w:val="0"/>
          <w:szCs w:val="24"/>
        </w:rPr>
        <w:t>[RESERVED]</w:t>
      </w:r>
      <w:bookmarkEnd w:id="15"/>
    </w:p>
    <w:p w14:paraId="7BFF6F73" w14:textId="77777777" w:rsidR="00F418EC" w:rsidRPr="00F418EC" w:rsidRDefault="00F418EC" w:rsidP="00F418EC">
      <w:pPr>
        <w:numPr>
          <w:ilvl w:val="0"/>
          <w:numId w:val="23"/>
        </w:numPr>
        <w:spacing w:after="200"/>
        <w:outlineLvl w:val="2"/>
        <w:rPr>
          <w:rFonts w:ascii="Times New Roman" w:eastAsiaTheme="minorHAnsi" w:hAnsi="Times New Roman"/>
          <w:b/>
          <w:spacing w:val="0"/>
          <w:szCs w:val="24"/>
        </w:rPr>
      </w:pPr>
      <w:bookmarkStart w:id="16" w:name="_Toc52374244"/>
      <w:r w:rsidRPr="00F418EC">
        <w:rPr>
          <w:rFonts w:ascii="Times New Roman" w:eastAsiaTheme="minorHAnsi" w:hAnsi="Times New Roman"/>
          <w:b/>
          <w:spacing w:val="0"/>
          <w:szCs w:val="24"/>
        </w:rPr>
        <w:t>One Care Plan Services</w:t>
      </w:r>
      <w:bookmarkEnd w:id="16"/>
    </w:p>
    <w:p w14:paraId="116378F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3023EAF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6CF962F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are not entitled to any payment from EOHHS, and may not claim such reimbursement for any services that are One Care plan-covered services or are otherwise </w:t>
      </w:r>
      <w:r w:rsidRPr="00F418EC">
        <w:rPr>
          <w:rFonts w:ascii="Times New Roman" w:eastAsiaTheme="minorHAnsi" w:hAnsi="Times New Roman"/>
          <w:spacing w:val="0"/>
          <w:szCs w:val="24"/>
        </w:rPr>
        <w:lastRenderedPageBreak/>
        <w:t>reimbursable by the One Care plan. Any such payment by EOHHS shall constitute an overpayment as defined in 130 CMR 450.235.  Under such circumstances, EOHHS may also exercise its authority under 130 CMR 450.238 et seq. to impose sanctions for improper billing.</w:t>
      </w:r>
    </w:p>
    <w:p w14:paraId="36566CC8" w14:textId="77777777" w:rsidR="00F418EC" w:rsidRPr="00F418EC" w:rsidRDefault="00F418EC" w:rsidP="00F418EC">
      <w:pPr>
        <w:numPr>
          <w:ilvl w:val="0"/>
          <w:numId w:val="25"/>
        </w:numPr>
        <w:spacing w:after="200"/>
        <w:outlineLvl w:val="2"/>
        <w:rPr>
          <w:rFonts w:ascii="Times New Roman" w:eastAsiaTheme="minorHAnsi" w:hAnsi="Times New Roman"/>
          <w:b/>
          <w:spacing w:val="0"/>
          <w:szCs w:val="24"/>
        </w:rPr>
      </w:pPr>
      <w:bookmarkStart w:id="17" w:name="_Toc52374245"/>
      <w:r w:rsidRPr="00F418EC">
        <w:rPr>
          <w:rFonts w:ascii="Times New Roman" w:eastAsiaTheme="minorHAnsi" w:hAnsi="Times New Roman"/>
          <w:b/>
          <w:spacing w:val="0"/>
          <w:szCs w:val="24"/>
        </w:rPr>
        <w:t>Air Ambulance Services</w:t>
      </w:r>
      <w:bookmarkEnd w:id="17"/>
    </w:p>
    <w:p w14:paraId="2C98006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In order to receive reimbursement for air ambulance services, Hospitals must have a separate contract with EOHHS for such services.</w:t>
      </w:r>
    </w:p>
    <w:p w14:paraId="5E54881F" w14:textId="77777777" w:rsidR="00F418EC" w:rsidRPr="00F418EC" w:rsidRDefault="00F418EC" w:rsidP="00F418EC">
      <w:pPr>
        <w:numPr>
          <w:ilvl w:val="0"/>
          <w:numId w:val="26"/>
        </w:numPr>
        <w:spacing w:after="200"/>
        <w:outlineLvl w:val="2"/>
        <w:rPr>
          <w:rFonts w:ascii="Times New Roman" w:eastAsiaTheme="minorHAnsi" w:hAnsi="Times New Roman"/>
          <w:b/>
          <w:spacing w:val="0"/>
          <w:szCs w:val="24"/>
        </w:rPr>
      </w:pPr>
      <w:bookmarkStart w:id="18" w:name="_Toc52374246"/>
      <w:r w:rsidRPr="00F418EC">
        <w:rPr>
          <w:rFonts w:ascii="Times New Roman" w:eastAsiaTheme="minorHAnsi" w:hAnsi="Times New Roman"/>
          <w:b/>
          <w:spacing w:val="0"/>
          <w:szCs w:val="24"/>
        </w:rPr>
        <w:t>Non-Acute Units and Other Separately Licensed Units in Acute Hospitals</w:t>
      </w:r>
      <w:bookmarkEnd w:id="18"/>
    </w:p>
    <w:p w14:paraId="6BF6EE24"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7B1AD5F5" w14:textId="77777777" w:rsidR="00F418EC" w:rsidRPr="00F418EC" w:rsidRDefault="00F418EC" w:rsidP="00F418EC">
      <w:pPr>
        <w:numPr>
          <w:ilvl w:val="0"/>
          <w:numId w:val="26"/>
        </w:numPr>
        <w:spacing w:after="200"/>
        <w:outlineLvl w:val="2"/>
        <w:rPr>
          <w:rFonts w:ascii="Times New Roman" w:eastAsiaTheme="minorHAnsi" w:hAnsi="Times New Roman"/>
          <w:b/>
          <w:spacing w:val="0"/>
          <w:szCs w:val="24"/>
        </w:rPr>
      </w:pPr>
      <w:bookmarkStart w:id="19" w:name="_Toc52374247"/>
      <w:r w:rsidRPr="00F418EC">
        <w:rPr>
          <w:rFonts w:ascii="Times New Roman" w:eastAsiaTheme="minorHAnsi" w:hAnsi="Times New Roman"/>
          <w:b/>
          <w:spacing w:val="0"/>
          <w:szCs w:val="24"/>
        </w:rPr>
        <w:t>Behavioral Health Diversionary Services</w:t>
      </w:r>
      <w:bookmarkEnd w:id="19"/>
    </w:p>
    <w:p w14:paraId="4F8F140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In order to receive reimbursement for Behavioral Health Diversionary Services, Hospitals must have a separate contract with EOHHS for such services.</w:t>
      </w:r>
    </w:p>
    <w:p w14:paraId="3EFF823E" w14:textId="7DF66521" w:rsidR="00F418EC" w:rsidRPr="001A5D41" w:rsidRDefault="00F418EC" w:rsidP="001A5D41">
      <w:pPr>
        <w:pStyle w:val="ListParagraph"/>
        <w:numPr>
          <w:ilvl w:val="3"/>
          <w:numId w:val="12"/>
        </w:numPr>
        <w:spacing w:after="200"/>
        <w:ind w:left="360"/>
        <w:outlineLvl w:val="1"/>
        <w:rPr>
          <w:rFonts w:ascii="Times New Roman" w:eastAsiaTheme="minorHAnsi" w:hAnsi="Times New Roman"/>
          <w:b/>
          <w:spacing w:val="0"/>
          <w:sz w:val="28"/>
          <w:szCs w:val="28"/>
        </w:rPr>
      </w:pPr>
      <w:bookmarkStart w:id="20" w:name="_Toc52374248"/>
      <w:r w:rsidRPr="001A5D41">
        <w:rPr>
          <w:rFonts w:ascii="Times New Roman" w:eastAsiaTheme="minorHAnsi" w:hAnsi="Times New Roman"/>
          <w:b/>
          <w:spacing w:val="0"/>
          <w:sz w:val="28"/>
          <w:szCs w:val="28"/>
        </w:rPr>
        <w:t>Program Initiatives</w:t>
      </w:r>
      <w:bookmarkEnd w:id="20"/>
      <w:r w:rsidRPr="001A5D41">
        <w:rPr>
          <w:rFonts w:ascii="Times New Roman" w:eastAsiaTheme="minorHAnsi" w:hAnsi="Times New Roman"/>
          <w:b/>
          <w:spacing w:val="0"/>
          <w:sz w:val="28"/>
          <w:szCs w:val="28"/>
        </w:rPr>
        <w:t xml:space="preserve"> </w:t>
      </w:r>
    </w:p>
    <w:p w14:paraId="6B34657A" w14:textId="77777777" w:rsidR="00F418EC" w:rsidRPr="00F418EC" w:rsidRDefault="00F418EC" w:rsidP="00F418EC">
      <w:pPr>
        <w:numPr>
          <w:ilvl w:val="0"/>
          <w:numId w:val="27"/>
        </w:numPr>
        <w:spacing w:before="120" w:after="200"/>
        <w:outlineLvl w:val="2"/>
        <w:rPr>
          <w:rFonts w:ascii="Times New Roman" w:eastAsiaTheme="minorHAnsi" w:hAnsi="Times New Roman"/>
          <w:b/>
          <w:spacing w:val="0"/>
          <w:szCs w:val="24"/>
        </w:rPr>
      </w:pPr>
      <w:bookmarkStart w:id="21" w:name="_Toc52374249"/>
      <w:r w:rsidRPr="00F418EC">
        <w:rPr>
          <w:rFonts w:ascii="Times New Roman" w:eastAsiaTheme="minorHAnsi" w:hAnsi="Times New Roman"/>
          <w:b/>
          <w:spacing w:val="0"/>
          <w:szCs w:val="24"/>
        </w:rPr>
        <w:t>Hospital Services Reimbursed through Other Contracts or Regulations</w:t>
      </w:r>
      <w:bookmarkEnd w:id="21"/>
    </w:p>
    <w:p w14:paraId="5425FB2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50219895"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2" w:name="_Toc52374250"/>
      <w:r w:rsidRPr="00F418EC">
        <w:rPr>
          <w:rFonts w:ascii="Times New Roman" w:eastAsiaTheme="minorHAnsi" w:hAnsi="Times New Roman"/>
          <w:b/>
          <w:spacing w:val="0"/>
          <w:szCs w:val="24"/>
        </w:rPr>
        <w:t>Demonstration Projects</w:t>
      </w:r>
      <w:bookmarkEnd w:id="22"/>
    </w:p>
    <w:p w14:paraId="33E75E8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4E231991"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3" w:name="_Toc52374251"/>
      <w:r w:rsidRPr="00F418EC">
        <w:rPr>
          <w:rFonts w:ascii="Times New Roman" w:eastAsiaTheme="minorHAnsi" w:hAnsi="Times New Roman"/>
          <w:b/>
          <w:spacing w:val="0"/>
          <w:szCs w:val="24"/>
        </w:rPr>
        <w:t>MassHealth Drug List</w:t>
      </w:r>
      <w:bookmarkEnd w:id="23"/>
    </w:p>
    <w:p w14:paraId="3398C16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To help ensure consistency in medication regimens and services, prescribers need to conform to the MassHealth Drug List (see </w:t>
      </w:r>
      <w:hyperlink r:id="rId18" w:tooltip="Link to the MassHealth Drug List website." w:history="1">
        <w:r w:rsidRPr="00F418EC">
          <w:rPr>
            <w:rFonts w:ascii="Times New Roman" w:eastAsiaTheme="minorHAnsi" w:hAnsi="Times New Roman"/>
            <w:spacing w:val="0"/>
            <w:szCs w:val="24"/>
            <w:u w:val="single"/>
          </w:rPr>
          <w:t>www.mass.gov/druglist)</w:t>
        </w:r>
      </w:hyperlink>
      <w:r w:rsidRPr="00F418EC">
        <w:rPr>
          <w:rFonts w:ascii="Times New Roman" w:eastAsiaTheme="minorHAnsi" w:hAnsi="Times New Roman"/>
          <w:spacing w:val="0"/>
          <w:szCs w:val="24"/>
        </w:rPr>
        <w:t xml:space="preserve"> whenever medically appropriate for inpatients, outpatients, and upon discharge.</w:t>
      </w:r>
    </w:p>
    <w:p w14:paraId="0640F56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F418EC">
        <w:rPr>
          <w:rFonts w:ascii="Times New Roman" w:eastAsiaTheme="minorHAnsi" w:hAnsi="Times New Roman"/>
          <w:b/>
          <w:spacing w:val="0"/>
          <w:szCs w:val="24"/>
        </w:rPr>
        <w:t>Sections 5.B.8.b, 5.C.9</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6.A</w:t>
      </w:r>
      <w:r w:rsidRPr="00F418EC">
        <w:rPr>
          <w:rFonts w:ascii="Times New Roman" w:eastAsiaTheme="minorHAnsi" w:hAnsi="Times New Roman"/>
          <w:spacing w:val="0"/>
          <w:szCs w:val="24"/>
        </w:rPr>
        <w:t xml:space="preserve"> of this RFA.</w:t>
      </w:r>
    </w:p>
    <w:p w14:paraId="05120CA4"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4" w:name="_Toc52374252"/>
      <w:r w:rsidRPr="00F418EC">
        <w:rPr>
          <w:rFonts w:ascii="Times New Roman" w:eastAsiaTheme="minorHAnsi" w:hAnsi="Times New Roman"/>
          <w:b/>
          <w:spacing w:val="0"/>
          <w:szCs w:val="24"/>
        </w:rPr>
        <w:t>MCO Offer of Contract</w:t>
      </w:r>
      <w:bookmarkEnd w:id="24"/>
    </w:p>
    <w:p w14:paraId="207B9BD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spacing w:val="0"/>
          <w:szCs w:val="24"/>
        </w:rPr>
        <w:t>Section 4.B.4</w:t>
      </w:r>
      <w:r w:rsidRPr="00F418EC">
        <w:rPr>
          <w:rFonts w:ascii="Times New Roman" w:eastAsiaTheme="minorHAnsi" w:hAnsi="Times New Roman"/>
          <w:spacing w:val="0"/>
          <w:szCs w:val="24"/>
        </w:rPr>
        <w:t xml:space="preserve">, “MCO” refers to all MCOs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 except Senior Care Organizations (SCOs) and One Care plans.</w:t>
      </w:r>
    </w:p>
    <w:p w14:paraId="41172E2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Effective as of November 1, 2020,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3153335D"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25" w:name="_Toc52374253"/>
      <w:r w:rsidRPr="00F418EC">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F418EC">
        <w:rPr>
          <w:rFonts w:ascii="Times New Roman" w:eastAsiaTheme="minorHAnsi" w:hAnsi="Times New Roman"/>
          <w:b/>
          <w:spacing w:val="0"/>
          <w:szCs w:val="24"/>
        </w:rPr>
        <w:t xml:space="preserve"> </w:t>
      </w:r>
    </w:p>
    <w:p w14:paraId="5FE64768" w14:textId="77777777" w:rsidR="00F418EC" w:rsidRPr="00F418EC" w:rsidRDefault="00F418EC" w:rsidP="00F418EC">
      <w:pPr>
        <w:numPr>
          <w:ilvl w:val="0"/>
          <w:numId w:val="1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Hospitals with DMH-Licensed Beds must comply with all applicable Department of Mental Health regulations and subregulatory guidance, including, but not limited to, the following:</w:t>
      </w:r>
    </w:p>
    <w:p w14:paraId="204E4BB5" w14:textId="77777777" w:rsidR="00F418EC" w:rsidRPr="00F418EC" w:rsidRDefault="00F418EC" w:rsidP="00F418EC">
      <w:pPr>
        <w:spacing w:after="200"/>
        <w:ind w:left="1080"/>
        <w:contextualSpacing/>
        <w:rPr>
          <w:rFonts w:ascii="Times New Roman" w:eastAsiaTheme="minorHAnsi" w:hAnsi="Times New Roman"/>
          <w:spacing w:val="0"/>
          <w:szCs w:val="24"/>
        </w:rPr>
      </w:pPr>
    </w:p>
    <w:p w14:paraId="76BB19F2" w14:textId="77777777" w:rsidR="00F418EC" w:rsidRPr="00F418EC" w:rsidRDefault="00F418EC" w:rsidP="00F418EC">
      <w:pPr>
        <w:spacing w:after="200"/>
        <w:ind w:left="144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i.</w:t>
      </w:r>
      <w:r w:rsidRPr="00F418EC">
        <w:rPr>
          <w:rFonts w:ascii="Times New Roman" w:eastAsiaTheme="minorHAnsi" w:hAnsi="Times New Roman"/>
          <w:spacing w:val="0"/>
          <w:szCs w:val="24"/>
        </w:rPr>
        <w:tab/>
        <w:t xml:space="preserve">Department of Mental Health COVID Emergency Bulletin #20-05R, COVID-19 Infection Control and Other Requirements in Response to the COVID-19 Pandemic, as that document may be updated from time to time. </w:t>
      </w:r>
    </w:p>
    <w:p w14:paraId="02DF45CA" w14:textId="77777777" w:rsidR="00F418EC" w:rsidRPr="00F418EC" w:rsidRDefault="00F418EC" w:rsidP="00F418EC">
      <w:pPr>
        <w:spacing w:after="200"/>
        <w:ind w:left="1440" w:hanging="360"/>
        <w:contextualSpacing/>
        <w:rPr>
          <w:rFonts w:ascii="Times New Roman" w:eastAsiaTheme="minorHAnsi" w:hAnsi="Times New Roman"/>
          <w:spacing w:val="0"/>
          <w:szCs w:val="24"/>
        </w:rPr>
      </w:pPr>
    </w:p>
    <w:p w14:paraId="4A850703" w14:textId="77777777" w:rsidR="00F418EC" w:rsidRPr="00F418EC" w:rsidRDefault="00F418EC" w:rsidP="00F418EC">
      <w:pPr>
        <w:spacing w:after="200"/>
        <w:ind w:left="144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ii.</w:t>
      </w:r>
      <w:r w:rsidRPr="00F418EC">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6C6AD382" w14:textId="77777777" w:rsidR="00F418EC" w:rsidRPr="00F418EC" w:rsidRDefault="00F418EC" w:rsidP="00F418EC">
      <w:pPr>
        <w:spacing w:after="200"/>
        <w:ind w:left="1440" w:hanging="360"/>
        <w:contextualSpacing/>
        <w:rPr>
          <w:rFonts w:ascii="Times New Roman" w:eastAsiaTheme="minorHAnsi" w:hAnsi="Times New Roman"/>
          <w:spacing w:val="0"/>
          <w:szCs w:val="24"/>
        </w:rPr>
      </w:pPr>
    </w:p>
    <w:p w14:paraId="594115C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Co-occurring Medical Conditions:  Psychiatric Units within General Hospitals</w:t>
      </w:r>
    </w:p>
    <w:p w14:paraId="30ECDDA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Severe Behavior/ Assault Risk</w:t>
      </w:r>
    </w:p>
    <w:p w14:paraId="09FFA377"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Clinical Competencies/ Operational Standards Related to Co-occurring Autism Spectrum Disorder or Other Intellectual and Developmental Disabilities (ASD/ ID/ DD) </w:t>
      </w:r>
    </w:p>
    <w:p w14:paraId="2F2EB944" w14:textId="77777777" w:rsidR="00F418EC" w:rsidRPr="00F418EC" w:rsidRDefault="00F418EC" w:rsidP="00F418EC">
      <w:pPr>
        <w:numPr>
          <w:ilvl w:val="0"/>
          <w:numId w:val="15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Clinical Competencies/ Operational Standards Related to Co-occurring Substance Use Disorders (SUD)</w:t>
      </w:r>
    </w:p>
    <w:p w14:paraId="2E861F8D"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 </w:t>
      </w:r>
    </w:p>
    <w:p w14:paraId="6A752063" w14:textId="77777777" w:rsidR="00F418EC" w:rsidRPr="00F418EC" w:rsidRDefault="00F418EC" w:rsidP="00F418EC">
      <w:pPr>
        <w:spacing w:after="200"/>
        <w:ind w:left="10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F418EC">
        <w:rPr>
          <w:rFonts w:ascii="Times New Roman" w:eastAsiaTheme="minorHAnsi" w:hAnsi="Times New Roman"/>
          <w:b/>
          <w:spacing w:val="0"/>
          <w:szCs w:val="24"/>
        </w:rPr>
        <w:t>Appendix G</w:t>
      </w:r>
      <w:r w:rsidRPr="00F418EC">
        <w:rPr>
          <w:rFonts w:ascii="Times New Roman" w:eastAsiaTheme="minorHAnsi" w:hAnsi="Times New Roman"/>
          <w:spacing w:val="0"/>
          <w:szCs w:val="24"/>
        </w:rPr>
        <w:t>. In the event that the Department of Mental Health amends or supersedes DMH Licensing Division Bulletin #19-01, the amended or superseding bulletin shall be controlling.</w:t>
      </w:r>
    </w:p>
    <w:p w14:paraId="2A6870B3"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03B84ABD" w14:textId="77777777" w:rsidR="00F418EC" w:rsidRPr="00F418EC" w:rsidRDefault="00F418EC" w:rsidP="00F418EC">
      <w:pPr>
        <w:numPr>
          <w:ilvl w:val="0"/>
          <w:numId w:val="1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5017E19E" w14:textId="798BD89E" w:rsidR="00F418EC" w:rsidRPr="001A5D41" w:rsidRDefault="00F418EC" w:rsidP="001A5D41">
      <w:pPr>
        <w:pStyle w:val="ListParagraph"/>
        <w:numPr>
          <w:ilvl w:val="3"/>
          <w:numId w:val="12"/>
        </w:numPr>
        <w:spacing w:after="200"/>
        <w:ind w:left="360"/>
        <w:outlineLvl w:val="1"/>
        <w:rPr>
          <w:rFonts w:ascii="Times New Roman" w:eastAsiaTheme="minorHAnsi" w:hAnsi="Times New Roman"/>
          <w:b/>
          <w:spacing w:val="0"/>
          <w:sz w:val="28"/>
          <w:szCs w:val="28"/>
        </w:rPr>
      </w:pPr>
      <w:bookmarkStart w:id="26" w:name="_Toc52374254"/>
      <w:r w:rsidRPr="001A5D41">
        <w:rPr>
          <w:rFonts w:ascii="Times New Roman" w:eastAsiaTheme="minorHAnsi" w:hAnsi="Times New Roman"/>
          <w:b/>
          <w:spacing w:val="0"/>
          <w:sz w:val="28"/>
          <w:szCs w:val="28"/>
        </w:rPr>
        <w:t>Ambulatory Services Not Covered by the RFA</w:t>
      </w:r>
      <w:bookmarkEnd w:id="26"/>
    </w:p>
    <w:p w14:paraId="3F3743A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462AAADE" w14:textId="2B35E9AB" w:rsidR="00F418EC" w:rsidRPr="00F418EC" w:rsidRDefault="001A5D41" w:rsidP="001A5D41">
      <w:pPr>
        <w:spacing w:after="200"/>
        <w:ind w:left="360" w:hanging="360"/>
        <w:outlineLvl w:val="1"/>
        <w:rPr>
          <w:rFonts w:ascii="Times New Roman" w:eastAsiaTheme="minorHAnsi" w:hAnsi="Times New Roman"/>
          <w:b/>
          <w:spacing w:val="0"/>
          <w:sz w:val="28"/>
          <w:szCs w:val="28"/>
        </w:rPr>
      </w:pPr>
      <w:bookmarkStart w:id="27" w:name="_Toc52374255"/>
      <w:r>
        <w:rPr>
          <w:rFonts w:ascii="Times New Roman" w:eastAsiaTheme="minorHAnsi" w:hAnsi="Times New Roman"/>
          <w:b/>
          <w:spacing w:val="0"/>
          <w:sz w:val="28"/>
          <w:szCs w:val="28"/>
        </w:rPr>
        <w:t>D.</w:t>
      </w:r>
      <w:r>
        <w:rPr>
          <w:rFonts w:ascii="Times New Roman" w:eastAsiaTheme="minorHAnsi" w:hAnsi="Times New Roman"/>
          <w:b/>
          <w:spacing w:val="0"/>
          <w:sz w:val="28"/>
          <w:szCs w:val="28"/>
        </w:rPr>
        <w:tab/>
      </w:r>
      <w:r w:rsidR="00F418EC" w:rsidRPr="00F418EC">
        <w:rPr>
          <w:rFonts w:ascii="Times New Roman" w:eastAsiaTheme="minorHAnsi" w:hAnsi="Times New Roman"/>
          <w:b/>
          <w:spacing w:val="0"/>
          <w:sz w:val="28"/>
          <w:szCs w:val="28"/>
        </w:rPr>
        <w:t>Requirements for Hospital Notifications and Discharge Planning Coordination</w:t>
      </w:r>
      <w:bookmarkEnd w:id="27"/>
    </w:p>
    <w:p w14:paraId="6DE9DAA4" w14:textId="77777777" w:rsidR="00F418EC" w:rsidRPr="00F418EC" w:rsidRDefault="00F418EC" w:rsidP="00F418EC">
      <w:pPr>
        <w:numPr>
          <w:ilvl w:val="0"/>
          <w:numId w:val="28"/>
        </w:numPr>
        <w:spacing w:after="200"/>
        <w:outlineLvl w:val="2"/>
        <w:rPr>
          <w:rFonts w:ascii="Times New Roman" w:eastAsiaTheme="minorHAnsi" w:hAnsi="Times New Roman"/>
          <w:b/>
          <w:spacing w:val="0"/>
          <w:szCs w:val="24"/>
        </w:rPr>
      </w:pPr>
      <w:bookmarkStart w:id="28" w:name="_Toc52374256"/>
      <w:r w:rsidRPr="00F418EC">
        <w:rPr>
          <w:rFonts w:ascii="Times New Roman" w:eastAsiaTheme="minorHAnsi" w:hAnsi="Times New Roman"/>
          <w:b/>
          <w:spacing w:val="0"/>
          <w:szCs w:val="24"/>
        </w:rPr>
        <w:t>Notification of Emergency Department (ED) Services</w:t>
      </w:r>
      <w:bookmarkEnd w:id="28"/>
    </w:p>
    <w:p w14:paraId="3F75B72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commencement of ED services for the Member.  For Members that are identified in EVS as Community Partner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w:t>
      </w:r>
      <w:r w:rsidRPr="00F418EC">
        <w:rPr>
          <w:rFonts w:ascii="Times New Roman" w:eastAsiaTheme="minorHAnsi" w:hAnsi="Times New Roman"/>
          <w:spacing w:val="0"/>
          <w:szCs w:val="24"/>
        </w:rPr>
        <w:lastRenderedPageBreak/>
        <w:t>and state privacy laws, regulations, and sub-regulatory guidance.  EOHHS reserves the right to specify the form and format for such notification.</w:t>
      </w:r>
    </w:p>
    <w:p w14:paraId="2200D48C" w14:textId="77777777" w:rsidR="00F418EC" w:rsidRPr="00F418EC" w:rsidRDefault="00F418EC" w:rsidP="00F418EC">
      <w:pPr>
        <w:numPr>
          <w:ilvl w:val="0"/>
          <w:numId w:val="28"/>
        </w:numPr>
        <w:spacing w:after="200"/>
        <w:outlineLvl w:val="2"/>
        <w:rPr>
          <w:rFonts w:ascii="Times New Roman" w:eastAsiaTheme="minorHAnsi" w:hAnsi="Times New Roman"/>
          <w:b/>
          <w:spacing w:val="0"/>
          <w:szCs w:val="24"/>
        </w:rPr>
      </w:pPr>
      <w:bookmarkStart w:id="29" w:name="_Toc52374257"/>
      <w:r w:rsidRPr="00F418EC">
        <w:rPr>
          <w:rFonts w:ascii="Times New Roman" w:eastAsiaTheme="minorHAnsi" w:hAnsi="Times New Roman"/>
          <w:b/>
          <w:spacing w:val="0"/>
          <w:szCs w:val="24"/>
        </w:rPr>
        <w:t>Notification of Inpatient Admission and Discharge Planning Activities</w:t>
      </w:r>
      <w:bookmarkEnd w:id="29"/>
    </w:p>
    <w:p w14:paraId="14E6D63B"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 xml:space="preserve">, a transfer to another Acute Inpatient Hospital or to a 24-hour facility that provides Behavioral Health Diversionary Services.)  For members that are identified in EVS as Community Partner Assigned Members, the Hospital must notify the Member's CP(s) within one business day of the Member's: (1) Inpatient Admission and (2) subsequent discharge (which includes, for purposes of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 a transfer to another Acute Inpatient Hospital or to a 24-hour facility that provides Behavioral Health Diversionary Services.)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6B540F7" w14:textId="77777777" w:rsidR="00F418EC" w:rsidRPr="00F418EC" w:rsidRDefault="00F418EC" w:rsidP="00F418EC">
      <w:pPr>
        <w:numPr>
          <w:ilvl w:val="0"/>
          <w:numId w:val="29"/>
        </w:num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when possible, must begin formulating a discharge plan on the first day of a Member’s Inpatient Admission. </w:t>
      </w:r>
    </w:p>
    <w:p w14:paraId="228A3207" w14:textId="77777777" w:rsidR="00F418EC" w:rsidRPr="00F418EC" w:rsidRDefault="00F418EC" w:rsidP="00F418EC">
      <w:pPr>
        <w:numPr>
          <w:ilvl w:val="0"/>
          <w:numId w:val="29"/>
        </w:num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AADF868" w14:textId="77777777" w:rsidR="00F418EC" w:rsidRPr="00F418EC" w:rsidRDefault="00F418EC" w:rsidP="00F418EC">
      <w:pPr>
        <w:numPr>
          <w:ilvl w:val="0"/>
          <w:numId w:val="3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  </w:t>
      </w:r>
    </w:p>
    <w:p w14:paraId="6F1F7AA8" w14:textId="77777777" w:rsidR="00F418EC" w:rsidRPr="00F418EC" w:rsidRDefault="00F418EC" w:rsidP="00F418EC">
      <w:pPr>
        <w:numPr>
          <w:ilvl w:val="0"/>
          <w:numId w:val="30"/>
        </w:num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F418EC">
        <w:rPr>
          <w:rFonts w:ascii="Times New Roman" w:hAnsi="Times New Roman"/>
        </w:rPr>
        <w:t xml:space="preserve">Examples of these activities may include setting up appropriate consent and communication protocols, and protocols to allow staff from these parties </w:t>
      </w:r>
      <w:r w:rsidRPr="00F418EC">
        <w:rPr>
          <w:rFonts w:ascii="Times New Roman" w:hAnsi="Times New Roman"/>
        </w:rPr>
        <w:lastRenderedPageBreak/>
        <w:t xml:space="preserve">onto hospital units to participate in discharge planning and care coordination.  </w:t>
      </w:r>
      <w:r w:rsidRPr="00F418EC">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5B166CF" w14:textId="77777777" w:rsidR="00F418EC" w:rsidRPr="00F418EC" w:rsidRDefault="00F418EC" w:rsidP="00F418EC">
      <w:pPr>
        <w:numPr>
          <w:ilvl w:val="0"/>
          <w:numId w:val="30"/>
        </w:num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1C1DCB5" w14:textId="77777777" w:rsidR="00F418EC" w:rsidRPr="00F418EC" w:rsidRDefault="00F418EC" w:rsidP="00F418EC">
      <w:pPr>
        <w:spacing w:after="200"/>
        <w:ind w:left="2160"/>
        <w:contextualSpacing/>
        <w:rPr>
          <w:rFonts w:ascii="Times New Roman" w:eastAsiaTheme="minorHAnsi" w:hAnsi="Times New Roman"/>
          <w:spacing w:val="0"/>
          <w:szCs w:val="24"/>
        </w:rPr>
      </w:pPr>
    </w:p>
    <w:p w14:paraId="253CC680"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Completing and submitting MassHealth’s Notification of Birth form in accordance with MassHealth’s instructions on that form;</w:t>
      </w:r>
    </w:p>
    <w:p w14:paraId="2797DF90"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08686099" w14:textId="77777777" w:rsidR="00F418EC" w:rsidRPr="00F418EC" w:rsidRDefault="00F418EC" w:rsidP="00F418EC">
      <w:pPr>
        <w:numPr>
          <w:ilvl w:val="1"/>
          <w:numId w:val="29"/>
        </w:numPr>
        <w:spacing w:after="200" w:line="276" w:lineRule="auto"/>
        <w:ind w:left="351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 paper copy of and/or web access to the MassHealth Enrollment Guide and MassHealthChoices.com website; </w:t>
      </w:r>
    </w:p>
    <w:p w14:paraId="274E736C" w14:textId="77777777" w:rsidR="00F418EC" w:rsidRPr="00F418EC" w:rsidRDefault="00F418EC" w:rsidP="00F418EC">
      <w:pPr>
        <w:numPr>
          <w:ilvl w:val="1"/>
          <w:numId w:val="29"/>
        </w:numPr>
        <w:spacing w:after="200" w:line="276" w:lineRule="auto"/>
        <w:ind w:left="3510" w:hanging="36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The telephone number by which members contact MassHealth’s Customer Service;</w:t>
      </w:r>
    </w:p>
    <w:p w14:paraId="07AEC5AA" w14:textId="77777777" w:rsidR="00F418EC" w:rsidRPr="00F418EC" w:rsidRDefault="00F418EC" w:rsidP="00F418EC">
      <w:pPr>
        <w:spacing w:line="276" w:lineRule="auto"/>
        <w:ind w:left="3510"/>
        <w:contextualSpacing/>
        <w:rPr>
          <w:rFonts w:ascii="Times New Roman" w:eastAsiaTheme="minorHAnsi" w:hAnsi="Times New Roman"/>
          <w:spacing w:val="0"/>
          <w:szCs w:val="24"/>
        </w:rPr>
      </w:pPr>
    </w:p>
    <w:p w14:paraId="56E1AC8D" w14:textId="77777777" w:rsidR="00F418EC" w:rsidRPr="00F418EC" w:rsidRDefault="00F418EC" w:rsidP="00F418EC">
      <w:pPr>
        <w:numPr>
          <w:ilvl w:val="1"/>
          <w:numId w:val="30"/>
        </w:numPr>
        <w:spacing w:after="200" w:line="276" w:lineRule="auto"/>
        <w:ind w:left="279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2AA573FE" w14:textId="77777777" w:rsidR="00F418EC" w:rsidRPr="00F418EC" w:rsidRDefault="00F418EC" w:rsidP="00F418EC">
      <w:pPr>
        <w:spacing w:after="200" w:line="276" w:lineRule="auto"/>
        <w:ind w:left="2790"/>
        <w:contextualSpacing/>
        <w:rPr>
          <w:rFonts w:ascii="Times New Roman" w:eastAsiaTheme="minorHAnsi" w:hAnsi="Times New Roman"/>
          <w:spacing w:val="0"/>
          <w:szCs w:val="24"/>
        </w:rPr>
      </w:pPr>
    </w:p>
    <w:p w14:paraId="285F97CA" w14:textId="77777777" w:rsidR="00F418EC" w:rsidRPr="00F418EC" w:rsidRDefault="00F418EC" w:rsidP="00F418EC">
      <w:pPr>
        <w:numPr>
          <w:ilvl w:val="1"/>
          <w:numId w:val="30"/>
        </w:numPr>
        <w:spacing w:after="200" w:line="276" w:lineRule="auto"/>
        <w:ind w:left="2790"/>
        <w:rPr>
          <w:rFonts w:ascii="Times New Roman" w:eastAsiaTheme="minorHAnsi" w:hAnsi="Times New Roman"/>
          <w:spacing w:val="0"/>
          <w:szCs w:val="24"/>
        </w:rPr>
      </w:pPr>
      <w:r w:rsidRPr="00F418EC">
        <w:rPr>
          <w:rFonts w:ascii="Times New Roman" w:eastAsiaTheme="minorHAnsi" w:hAnsi="Times New Roman"/>
          <w:spacing w:val="0"/>
          <w:szCs w:val="24"/>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764EE2EB"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document in the Member’s medical record all actions taken to satisfy the notification and discharge planning requirements set forth in this </w:t>
      </w:r>
      <w:r w:rsidRPr="00F418EC">
        <w:rPr>
          <w:rFonts w:ascii="Times New Roman" w:eastAsiaTheme="minorHAnsi" w:hAnsi="Times New Roman"/>
          <w:b/>
          <w:spacing w:val="0"/>
          <w:szCs w:val="24"/>
        </w:rPr>
        <w:t>Section 4.D.2</w:t>
      </w:r>
      <w:r w:rsidRPr="00F418EC">
        <w:rPr>
          <w:rFonts w:ascii="Times New Roman" w:eastAsiaTheme="minorHAnsi" w:hAnsi="Times New Roman"/>
          <w:spacing w:val="0"/>
          <w:szCs w:val="24"/>
        </w:rPr>
        <w:t>.</w:t>
      </w:r>
    </w:p>
    <w:p w14:paraId="4B643699" w14:textId="77777777" w:rsidR="00F418EC" w:rsidRPr="00F418EC" w:rsidRDefault="00F418EC" w:rsidP="00F418EC">
      <w:pPr>
        <w:spacing w:after="200"/>
        <w:ind w:left="1710"/>
        <w:contextualSpacing/>
        <w:rPr>
          <w:rFonts w:ascii="Times New Roman" w:eastAsiaTheme="minorHAnsi" w:hAnsi="Times New Roman"/>
          <w:spacing w:val="0"/>
          <w:szCs w:val="24"/>
        </w:rPr>
      </w:pPr>
    </w:p>
    <w:p w14:paraId="5E8F74B4" w14:textId="77777777" w:rsidR="00F418EC" w:rsidRPr="00F418EC" w:rsidRDefault="00F418EC" w:rsidP="00F418EC">
      <w:pPr>
        <w:numPr>
          <w:ilvl w:val="0"/>
          <w:numId w:val="29"/>
        </w:numPr>
        <w:spacing w:after="200"/>
        <w:ind w:left="171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For the avoidance of doubt, Hospitals shall ensure that any such notification or discharge planning-related activities are made in compliance with applicable federal and state privacy laws and regulations.</w:t>
      </w:r>
    </w:p>
    <w:p w14:paraId="407D1786" w14:textId="77777777" w:rsidR="00F418EC" w:rsidRPr="00F418EC" w:rsidRDefault="00F418EC" w:rsidP="00F418EC">
      <w:pPr>
        <w:spacing w:after="240"/>
        <w:rPr>
          <w:rFonts w:ascii="Times New Roman" w:eastAsiaTheme="minorHAnsi" w:hAnsi="Times New Roman"/>
          <w:spacing w:val="0"/>
          <w:szCs w:val="24"/>
        </w:rPr>
      </w:pPr>
    </w:p>
    <w:p w14:paraId="19FC4C5E" w14:textId="77777777" w:rsidR="00F418EC" w:rsidRPr="00F418EC" w:rsidRDefault="00F418EC" w:rsidP="00F418EC">
      <w:pPr>
        <w:spacing w:after="24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54DD782D" w14:textId="77777777" w:rsidR="002E6C32" w:rsidRDefault="00F418EC" w:rsidP="002E6C32">
      <w:pPr>
        <w:spacing w:before="300" w:afterLines="200" w:after="480"/>
        <w:jc w:val="center"/>
        <w:outlineLvl w:val="0"/>
        <w:rPr>
          <w:rFonts w:ascii="Times New Roman Bold" w:eastAsiaTheme="minorHAnsi" w:hAnsi="Times New Roman Bold"/>
          <w:b/>
          <w:spacing w:val="5"/>
          <w:sz w:val="32"/>
          <w:szCs w:val="32"/>
        </w:rPr>
      </w:pPr>
      <w:bookmarkStart w:id="30" w:name="_Toc52374258"/>
      <w:r w:rsidRPr="00F418EC">
        <w:rPr>
          <w:rFonts w:ascii="Times New Roman Bold" w:eastAsiaTheme="minorHAnsi" w:hAnsi="Times New Roman Bold"/>
          <w:b/>
          <w:spacing w:val="5"/>
          <w:sz w:val="32"/>
          <w:szCs w:val="32"/>
        </w:rPr>
        <w:lastRenderedPageBreak/>
        <w:t>Section 5:  Reimbursement System</w:t>
      </w:r>
      <w:bookmarkStart w:id="31" w:name="_Toc52374259"/>
      <w:bookmarkEnd w:id="30"/>
    </w:p>
    <w:p w14:paraId="50E02F25" w14:textId="11985D2E" w:rsidR="00F418EC" w:rsidRDefault="002E6C32" w:rsidP="002E6C32">
      <w:pPr>
        <w:pStyle w:val="ListParagraph"/>
        <w:numPr>
          <w:ilvl w:val="0"/>
          <w:numId w:val="271"/>
        </w:numPr>
        <w:spacing w:before="300" w:afterLines="200" w:after="480"/>
        <w:outlineLvl w:val="0"/>
        <w:rPr>
          <w:rFonts w:ascii="Times New Roman" w:eastAsiaTheme="minorHAnsi" w:hAnsi="Times New Roman"/>
          <w:b/>
          <w:spacing w:val="0"/>
          <w:sz w:val="28"/>
          <w:szCs w:val="28"/>
        </w:rPr>
      </w:pPr>
      <w:r w:rsidRPr="002E6C32">
        <w:rPr>
          <w:rFonts w:ascii="Times New Roman" w:eastAsiaTheme="minorHAnsi" w:hAnsi="Times New Roman"/>
          <w:b/>
          <w:spacing w:val="0"/>
          <w:sz w:val="28"/>
          <w:szCs w:val="28"/>
        </w:rPr>
        <w:t>General Provisions</w:t>
      </w:r>
      <w:r w:rsidRPr="002E6C32" w:rsidDel="002E6C32">
        <w:rPr>
          <w:rFonts w:ascii="Times New Roman" w:eastAsiaTheme="minorHAnsi" w:hAnsi="Times New Roman"/>
          <w:b/>
          <w:spacing w:val="0"/>
          <w:sz w:val="28"/>
          <w:szCs w:val="28"/>
        </w:rPr>
        <w:t xml:space="preserve"> </w:t>
      </w:r>
      <w:bookmarkEnd w:id="31"/>
    </w:p>
    <w:p w14:paraId="437D7AF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 2020.</w:t>
      </w:r>
    </w:p>
    <w:p w14:paraId="3FE3AF2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1CC4097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27AC1C4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10C6C2C4" w14:textId="5DF078BB" w:rsid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2E6C32">
        <w:rPr>
          <w:rFonts w:ascii="Times New Roman" w:eastAsiaTheme="minorHAnsi" w:hAnsi="Times New Roman"/>
          <w:spacing w:val="0"/>
          <w:szCs w:val="24"/>
        </w:rPr>
        <w:t>.</w:t>
      </w:r>
    </w:p>
    <w:p w14:paraId="342A984B" w14:textId="1D3B5E31" w:rsidR="00F418EC" w:rsidRPr="002E6C32" w:rsidRDefault="002E6C32" w:rsidP="005125FE">
      <w:pPr>
        <w:pStyle w:val="ListParagraph"/>
        <w:numPr>
          <w:ilvl w:val="0"/>
          <w:numId w:val="271"/>
        </w:numPr>
        <w:spacing w:before="300" w:afterLines="200" w:after="480"/>
        <w:outlineLvl w:val="0"/>
        <w:rPr>
          <w:rFonts w:ascii="Times New Roman" w:eastAsiaTheme="minorHAnsi" w:hAnsi="Times New Roman"/>
          <w:b/>
          <w:spacing w:val="0"/>
          <w:sz w:val="28"/>
          <w:szCs w:val="28"/>
        </w:rPr>
      </w:pPr>
      <w:r>
        <w:rPr>
          <w:rFonts w:ascii="Times New Roman" w:eastAsiaTheme="minorHAnsi" w:hAnsi="Times New Roman"/>
          <w:b/>
          <w:spacing w:val="0"/>
          <w:sz w:val="28"/>
          <w:szCs w:val="28"/>
        </w:rPr>
        <w:t>Payment for Inpatient Services</w:t>
      </w:r>
      <w:r w:rsidRPr="002E6C32" w:rsidDel="002E6C32">
        <w:rPr>
          <w:rFonts w:ascii="Times New Roman" w:eastAsiaTheme="minorHAnsi" w:hAnsi="Times New Roman"/>
          <w:b/>
          <w:spacing w:val="0"/>
          <w:sz w:val="28"/>
          <w:szCs w:val="28"/>
        </w:rPr>
        <w:t xml:space="preserve"> </w:t>
      </w:r>
    </w:p>
    <w:p w14:paraId="61214CD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will be paid in accordance with </w:t>
      </w:r>
      <w:r w:rsidRPr="00F418EC">
        <w:rPr>
          <w:rFonts w:ascii="Times New Roman" w:eastAsiaTheme="minorHAnsi" w:hAnsi="Times New Roman"/>
          <w:b/>
          <w:spacing w:val="0"/>
          <w:szCs w:val="24"/>
        </w:rPr>
        <w:t>Section 5.B</w:t>
      </w:r>
      <w:r w:rsidRPr="00F418EC">
        <w:rPr>
          <w:rFonts w:ascii="Times New Roman" w:eastAsiaTheme="minorHAnsi" w:hAnsi="Times New Roman"/>
          <w:spacing w:val="0"/>
          <w:szCs w:val="24"/>
        </w:rPr>
        <w:t xml:space="preserve"> for Inpatient Services.</w:t>
      </w:r>
    </w:p>
    <w:p w14:paraId="558D948B"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in </w:t>
      </w:r>
      <w:r w:rsidRPr="00F418EC">
        <w:rPr>
          <w:rFonts w:ascii="Times New Roman" w:eastAsiaTheme="minorHAnsi" w:hAnsi="Times New Roman"/>
          <w:b/>
          <w:spacing w:val="0"/>
          <w:szCs w:val="24"/>
        </w:rPr>
        <w:t>Sections 5.B.2</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5.B.9</w:t>
      </w:r>
      <w:r w:rsidRPr="00F418EC">
        <w:rPr>
          <w:rFonts w:ascii="Times New Roman" w:eastAsiaTheme="minorHAnsi" w:hAnsi="Times New Roman"/>
          <w:spacing w:val="0"/>
          <w:szCs w:val="24"/>
        </w:rPr>
        <w:t xml:space="preserve"> and in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F418EC">
        <w:rPr>
          <w:rFonts w:ascii="Times New Roman" w:eastAsiaTheme="minorHAnsi" w:hAnsi="Times New Roman"/>
          <w:b/>
          <w:spacing w:val="0"/>
          <w:szCs w:val="24"/>
        </w:rPr>
        <w:t>Sections 5.B.1</w:t>
      </w:r>
      <w:r w:rsidRPr="00F418EC">
        <w:rPr>
          <w:rFonts w:ascii="Times New Roman" w:eastAsiaTheme="minorHAnsi" w:hAnsi="Times New Roman"/>
          <w:spacing w:val="0"/>
          <w:szCs w:val="24"/>
        </w:rPr>
        <w:t>.a through e, below.</w:t>
      </w:r>
    </w:p>
    <w:p w14:paraId="33887A6E"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F418EC">
        <w:rPr>
          <w:rFonts w:ascii="Times New Roman" w:eastAsiaTheme="minorHAnsi" w:hAnsi="Times New Roman"/>
          <w:b/>
          <w:spacing w:val="0"/>
          <w:szCs w:val="24"/>
        </w:rPr>
        <w:t>Section 5.B.2</w:t>
      </w:r>
      <w:r w:rsidRPr="00F418EC">
        <w:rPr>
          <w:rFonts w:ascii="Times New Roman" w:eastAsiaTheme="minorHAnsi" w:hAnsi="Times New Roman"/>
          <w:spacing w:val="0"/>
          <w:szCs w:val="24"/>
        </w:rPr>
        <w:t>.</w:t>
      </w:r>
    </w:p>
    <w:p w14:paraId="15CD90F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Payment to Hospitals for LARC Devices and APAD Carve-Out Drugs, respectively, is as set forth in Sections 5.B.8.a and 5.B.8.b, respectively, and not pursuant to the APAD and Outlier Payment methodologies.</w:t>
      </w:r>
    </w:p>
    <w:p w14:paraId="0A3E7C9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Critical Access Hospitals, payment for Inpatient Services is in accordance with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w:t>
      </w:r>
    </w:p>
    <w:p w14:paraId="1A3E7D2E"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F418EC">
        <w:rPr>
          <w:rFonts w:ascii="Times New Roman" w:eastAsiaTheme="minorHAnsi" w:hAnsi="Times New Roman"/>
          <w:b/>
          <w:spacing w:val="0"/>
          <w:szCs w:val="24"/>
        </w:rPr>
        <w:t>Section 5.B.4</w:t>
      </w:r>
      <w:r w:rsidRPr="00F418EC">
        <w:rPr>
          <w:rFonts w:ascii="Times New Roman" w:eastAsiaTheme="minorHAnsi" w:hAnsi="Times New Roman"/>
          <w:spacing w:val="0"/>
          <w:szCs w:val="24"/>
        </w:rPr>
        <w:t>).</w:t>
      </w:r>
    </w:p>
    <w:p w14:paraId="6A551CC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Inpatient Services paid on a per diem basis, MassHealth pays the lesser of (i) the per diem rate or (ii) 100% of the Hospital’s actual charge submitted. </w:t>
      </w:r>
    </w:p>
    <w:p w14:paraId="5E3D308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Payment for physician services rendered by Hospital-Based Physicians will be made as described in </w:t>
      </w:r>
      <w:r w:rsidRPr="00F418EC">
        <w:rPr>
          <w:rFonts w:ascii="Times New Roman" w:eastAsiaTheme="minorHAnsi" w:hAnsi="Times New Roman"/>
          <w:b/>
          <w:spacing w:val="0"/>
          <w:szCs w:val="24"/>
        </w:rPr>
        <w:t>Section 5.B.5</w:t>
      </w:r>
      <w:r w:rsidRPr="00F418EC">
        <w:rPr>
          <w:rFonts w:ascii="Times New Roman" w:eastAsiaTheme="minorHAnsi" w:hAnsi="Times New Roman"/>
          <w:spacing w:val="0"/>
          <w:szCs w:val="24"/>
        </w:rPr>
        <w:t>.</w:t>
      </w:r>
    </w:p>
    <w:p w14:paraId="6C7B2353" w14:textId="77777777" w:rsidR="00F418EC" w:rsidRPr="00F418EC" w:rsidRDefault="00F418EC" w:rsidP="00F418EC">
      <w:pPr>
        <w:numPr>
          <w:ilvl w:val="0"/>
          <w:numId w:val="32"/>
        </w:numPr>
        <w:spacing w:after="200"/>
        <w:outlineLvl w:val="2"/>
        <w:rPr>
          <w:rFonts w:ascii="Times New Roman" w:eastAsiaTheme="minorHAnsi" w:hAnsi="Times New Roman"/>
          <w:b/>
          <w:spacing w:val="0"/>
          <w:szCs w:val="24"/>
        </w:rPr>
      </w:pPr>
      <w:bookmarkStart w:id="32" w:name="_Toc52374261"/>
      <w:r w:rsidRPr="00F418EC">
        <w:rPr>
          <w:rFonts w:ascii="Times New Roman" w:eastAsiaTheme="minorHAnsi" w:hAnsi="Times New Roman"/>
          <w:b/>
          <w:spacing w:val="0"/>
          <w:szCs w:val="24"/>
        </w:rPr>
        <w:t>Adjudicated Payment Amount per Discharge (APAD)</w:t>
      </w:r>
      <w:bookmarkEnd w:id="32"/>
    </w:p>
    <w:p w14:paraId="4B070C28"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Overview</w:t>
      </w:r>
    </w:p>
    <w:p w14:paraId="686A2EA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F418EC">
        <w:rPr>
          <w:rFonts w:ascii="Times New Roman" w:eastAsiaTheme="minorHAnsi" w:hAnsi="Times New Roman"/>
          <w:b/>
          <w:spacing w:val="0"/>
          <w:szCs w:val="24"/>
        </w:rPr>
        <w:t>Sections 5.B.1.b</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5.B.1.e</w:t>
      </w:r>
      <w:r w:rsidRPr="00F418EC">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4C8D7C03"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Calculation of the Statewide Operating Standard per Discharge </w:t>
      </w:r>
    </w:p>
    <w:p w14:paraId="6ADB5EC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Primary sources of data:</w:t>
      </w:r>
      <w:r w:rsidRPr="00F418EC">
        <w:rPr>
          <w:rFonts w:ascii="Times New Roman" w:eastAsiaTheme="minorHAnsi" w:hAnsi="Times New Roman"/>
          <w:spacing w:val="0"/>
          <w:szCs w:val="24"/>
        </w:rPr>
        <w:t xml:space="preserve">  In the development of the Statewide Operating Standard per Discharge, EOHHS used APAD Base Year all-payer costs and discharges and FY17 HDD as the primary sources of data to develop operating costs per discharge. </w:t>
      </w:r>
    </w:p>
    <w:p w14:paraId="7CCFAA0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Calculating the average cost per discharge for each</w:t>
      </w:r>
      <w:r w:rsidRPr="00F418EC">
        <w:rPr>
          <w:rFonts w:ascii="Times New Roman" w:eastAsiaTheme="minorHAnsi" w:hAnsi="Times New Roman"/>
          <w:b/>
          <w:i/>
          <w:spacing w:val="10"/>
          <w:szCs w:val="24"/>
        </w:rPr>
        <w:t xml:space="preserve"> Hospital:</w:t>
      </w:r>
      <w:r w:rsidRPr="00F418EC">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F418EC">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45BB593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3F5A58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Wage area and casemix adjustments to calculate each hospital’s standardized costs per discharge:</w:t>
      </w:r>
      <w:r w:rsidRPr="00F418EC">
        <w:rPr>
          <w:rFonts w:ascii="Times New Roman" w:eastAsiaTheme="minorHAnsi" w:hAnsi="Times New Roman"/>
          <w:spacing w:val="0"/>
          <w:szCs w:val="24"/>
        </w:rPr>
        <w:t xml:space="preserve">  The labor portion of the average cost per discharge for each Hospital was adjusted by the Hospital’s Massachusetts-specific wage area index, and the labor and non-labor portions were then adjusted by the Hospital-specific FY18 all-payer APR-DRG Version 36 Casemix Index that was determined by using FY18 discharges, APR-DRG version 36 of the 3M grouper, and MassHealth DRG Weights.  Massachusetts Hospitals’ wages and hours were determined based on CMS’s FY 2021-April-30-2020-Wage-Index-PUF zip file, downloaded May 1, 2020 from the CMS web site at www.cms.hhs.gov (the “CMS File”).  Each Hospital was assigned to a wage area according to the same CMS File, except that: </w:t>
      </w:r>
    </w:p>
    <w:p w14:paraId="07F429A9"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Brigham and Women's Hospital and Massachusetts General Hospital were assigned to the Boston wage area and their wages and hours included in the Boston area; </w:t>
      </w:r>
    </w:p>
    <w:p w14:paraId="3CEEDDEF"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four hospitals were redesignated as follows: </w:t>
      </w:r>
    </w:p>
    <w:p w14:paraId="32C4F3BD"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Baystate Medical Center from Springfield to Worcester, </w:t>
      </w:r>
    </w:p>
    <w:p w14:paraId="48C7724D"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Lahey Hospital and Medical Center from Cambridge-Newton-Framingham to Boston, </w:t>
      </w:r>
    </w:p>
    <w:p w14:paraId="2678C93E"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Saint Vincent Hospital from Worcester to Boston, and </w:t>
      </w:r>
    </w:p>
    <w:p w14:paraId="02CD1E21" w14:textId="77777777" w:rsidR="00F418EC" w:rsidRPr="00F418EC" w:rsidRDefault="00F418EC" w:rsidP="00F418EC">
      <w:pPr>
        <w:numPr>
          <w:ilvl w:val="1"/>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The University of Massachusetts Memorial Medical Center from Worcester to Boston; and</w:t>
      </w:r>
    </w:p>
    <w:p w14:paraId="120979DC" w14:textId="77777777" w:rsidR="00F418EC" w:rsidRPr="00F418EC" w:rsidRDefault="00F418EC" w:rsidP="00F418EC">
      <w:pPr>
        <w:numPr>
          <w:ilvl w:val="0"/>
          <w:numId w:val="25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PPS-exempt hospitals were assigned to the wage area in which their main campus is located, as determined by EOHHS from the hospital's license (PPS-exempt hospitals are not included in the CMS File). </w:t>
      </w:r>
    </w:p>
    <w:p w14:paraId="1094A44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June 17, 2020 .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316FCB0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These steps result in the calculation of each Hospital’s standardized costs per discharge.</w:t>
      </w:r>
    </w:p>
    <w:p w14:paraId="28CBC59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Determining the efficiency standard:</w:t>
      </w:r>
      <w:r w:rsidRPr="00F418EC">
        <w:rPr>
          <w:rFonts w:ascii="Times New Roman" w:eastAsiaTheme="minorHAnsi" w:hAnsi="Times New Roman"/>
          <w:b/>
          <w:i/>
          <w:spacing w:val="10"/>
          <w:szCs w:val="24"/>
        </w:rPr>
        <w:t xml:space="preserve"> </w:t>
      </w:r>
      <w:r w:rsidRPr="00F418EC">
        <w:rPr>
          <w:rFonts w:ascii="Times New Roman" w:eastAsiaTheme="minorHAnsi" w:hAnsi="Times New Roman"/>
          <w:spacing w:val="0"/>
          <w:szCs w:val="24"/>
        </w:rPr>
        <w:t xml:space="preserve"> All Hospitals were then ranked from lowest to highest with respect to their standardized costs per discharge; a cumulative </w:t>
      </w:r>
      <w:r w:rsidRPr="00F418EC">
        <w:rPr>
          <w:rFonts w:ascii="Times New Roman" w:eastAsiaTheme="minorHAnsi" w:hAnsi="Times New Roman"/>
          <w:spacing w:val="0"/>
          <w:szCs w:val="24"/>
        </w:rPr>
        <w:lastRenderedPageBreak/>
        <w:t>frequency of FY19 MassHealth discharges for the Hospitals was produced from MMIS claims data on file as of May 24, 2020,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RY21 is $13,336.17.</w:t>
      </w:r>
    </w:p>
    <w:p w14:paraId="2C67549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Final calculation of Statewide Operating Standard per Discharge:</w:t>
      </w:r>
      <w:r w:rsidRPr="00F418EC">
        <w:rPr>
          <w:rFonts w:ascii="Times New Roman" w:eastAsiaTheme="minorHAnsi" w:hAnsi="Times New Roman"/>
          <w:b/>
          <w:i/>
          <w:spacing w:val="10"/>
          <w:szCs w:val="24"/>
        </w:rPr>
        <w:t xml:space="preserve"> </w:t>
      </w:r>
      <w:r w:rsidRPr="00F418EC">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90.78%; and by (c) the Inflation Factors for Operating Costs between RY17 and RY21.  The resulting Statewide Operating Standard per Discharge is $11,411.23.</w:t>
      </w:r>
    </w:p>
    <w:p w14:paraId="13243969"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Statewide Capital Standard per Discharge</w:t>
      </w:r>
    </w:p>
    <w:p w14:paraId="6FBB38D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Primary sources of data:</w:t>
      </w:r>
      <w:r w:rsidRPr="00F418EC">
        <w:rPr>
          <w:rFonts w:ascii="Times New Roman" w:eastAsiaTheme="minorHAnsi" w:hAnsi="Times New Roman"/>
          <w:spacing w:val="0"/>
          <w:szCs w:val="24"/>
        </w:rPr>
        <w:t xml:space="preserve">  In the development of the Statewide Capital Standard per Discharge, EOHHS used APAD Base Year all-payer costs and discharges and FY18 HDD as the primary sources of data to develop capital costs per discharge.</w:t>
      </w:r>
    </w:p>
    <w:p w14:paraId="7C80D6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Calculating each hospital’s capital cost per discharge:</w:t>
      </w:r>
      <w:r w:rsidRPr="00F418EC">
        <w:rPr>
          <w:rFonts w:ascii="Times New Roman" w:eastAsiaTheme="minorHAnsi" w:hAnsi="Times New Roman"/>
          <w:spacing w:val="0"/>
          <w:szCs w:val="24"/>
        </w:rPr>
        <w:t xml:space="preserve">  For each Hospital, the total inpatient capital costs include the Building and Fixtures and Movable Equipment categories reported in the FY18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FY18 Massachusetts Hospital Cost Report. Capital costs for Excluded Units were omitted to derive net inpatient capital costs. For each Hospital, the capital cost per discharge was calculated by dividing the Hospital’s total net inpatient capital costs by the Hospital’s FY18 total inpatient hospital discharges net of Excluded Unit discharges.</w:t>
      </w:r>
    </w:p>
    <w:p w14:paraId="75B25F3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Determining the casemix-adjusted efficiency standard:</w:t>
      </w:r>
      <w:r w:rsidRPr="00F418EC">
        <w:rPr>
          <w:rFonts w:ascii="Times New Roman" w:eastAsiaTheme="minorHAnsi" w:hAnsi="Times New Roman"/>
          <w:i/>
          <w:spacing w:val="0"/>
          <w:szCs w:val="24"/>
        </w:rPr>
        <w:t xml:space="preserve">  </w:t>
      </w:r>
      <w:r w:rsidRPr="00F418EC">
        <w:rPr>
          <w:rFonts w:ascii="Times New Roman" w:eastAsiaTheme="minorHAnsi" w:hAnsi="Times New Roman"/>
          <w:spacing w:val="0"/>
          <w:szCs w:val="24"/>
        </w:rPr>
        <w:t>The casemix-adjusted capital cost per discharge was determined by (a) dividing the cost per discharge by the Hospital-specific FY18 All-Payer APR-DRG version 36 Casemix Index; (b) sorting these adjusted costs in ascending order; and (c) producing a cumulative frequency of FY19 MassHealth discharges from MMIS claims data on file as of May 24, 2020,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60% of the total number of discharges.  The efficiency standard is $825.93.</w:t>
      </w:r>
    </w:p>
    <w:p w14:paraId="56FAC18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Calculation of statewide weighted average capital cost per discharge:</w:t>
      </w:r>
      <w:r w:rsidRPr="00F418EC">
        <w:rPr>
          <w:rFonts w:ascii="Times New Roman" w:eastAsiaTheme="minorHAnsi" w:hAnsi="Times New Roman"/>
          <w:spacing w:val="0"/>
          <w:szCs w:val="24"/>
        </w:rPr>
        <w:t xml:space="preserve">  Each Hospital’s capital cost per discharge was then held to the lower of its capital cost per discharge or the casemix-adjusted efficiency standard, to arrive at a capped </w:t>
      </w:r>
      <w:r w:rsidRPr="00F418EC">
        <w:rPr>
          <w:rFonts w:ascii="Times New Roman" w:eastAsiaTheme="minorHAnsi" w:hAnsi="Times New Roman"/>
          <w:spacing w:val="0"/>
          <w:szCs w:val="24"/>
        </w:rPr>
        <w:lastRenderedPageBreak/>
        <w:t>capital cost per discharge. Each Hospital’s capped capital cost per discharge was then multiplied by the Hospital’s FY19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6CDF331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b/>
          <w:spacing w:val="10"/>
          <w:szCs w:val="24"/>
        </w:rPr>
        <w:t>Calculation of final Statewide Capital Standard per Discharge:</w:t>
      </w:r>
      <w:r w:rsidRPr="00F418EC">
        <w:rPr>
          <w:rFonts w:ascii="Times New Roman" w:eastAsiaTheme="minorHAnsi" w:hAnsi="Times New Roman"/>
          <w:spacing w:val="0"/>
          <w:szCs w:val="24"/>
        </w:rPr>
        <w:t xml:space="preserve">  The statewide weighted average capital cost per discharge was then updated by the Inflation Factors for Capital Costs between RY17 and RY21.  The resulting Statewide Capital Standard per Discharge is $775.34.</w:t>
      </w:r>
    </w:p>
    <w:p w14:paraId="49B77AB4" w14:textId="77777777" w:rsidR="00F418EC" w:rsidRPr="00F418EC" w:rsidRDefault="00F418EC" w:rsidP="00F418EC">
      <w:pPr>
        <w:numPr>
          <w:ilvl w:val="0"/>
          <w:numId w:val="33"/>
        </w:numPr>
        <w:spacing w:after="200"/>
        <w:contextualSpacing/>
        <w:rPr>
          <w:rFonts w:ascii="Times New Roman" w:eastAsiaTheme="minorHAnsi" w:hAnsi="Times New Roman"/>
          <w:spacing w:val="0"/>
          <w:szCs w:val="24"/>
        </w:rPr>
      </w:pPr>
      <w:r w:rsidRPr="00F418EC">
        <w:rPr>
          <w:rFonts w:ascii="Times New Roman" w:eastAsiaTheme="minorHAnsi" w:hAnsi="Times New Roman"/>
          <w:b/>
          <w:spacing w:val="0"/>
          <w:szCs w:val="24"/>
        </w:rPr>
        <w:t>Determination of MassHealth DRG Weigh</w:t>
      </w:r>
      <w:r w:rsidRPr="00F418EC">
        <w:rPr>
          <w:rFonts w:ascii="Times New Roman" w:eastAsiaTheme="minorHAnsi" w:hAnsi="Times New Roman"/>
          <w:spacing w:val="0"/>
          <w:szCs w:val="24"/>
        </w:rPr>
        <w:t>t</w:t>
      </w:r>
    </w:p>
    <w:p w14:paraId="1EEB2FB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36 and Massachusetts weights (see Chart C to Appendix C for the MassHealth DRG Weights that apply to RY21). </w:t>
      </w:r>
    </w:p>
    <w:p w14:paraId="3F928800" w14:textId="77777777" w:rsidR="00F418EC" w:rsidRPr="00F418EC" w:rsidRDefault="00F418EC" w:rsidP="00F418EC">
      <w:pPr>
        <w:numPr>
          <w:ilvl w:val="0"/>
          <w:numId w:val="3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APAD</w:t>
      </w:r>
    </w:p>
    <w:p w14:paraId="73783FE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F418EC">
        <w:rPr>
          <w:rFonts w:ascii="Times New Roman" w:eastAsiaTheme="minorHAnsi" w:hAnsi="Times New Roman"/>
          <w:b/>
          <w:spacing w:val="0"/>
          <w:szCs w:val="24"/>
        </w:rPr>
        <w:t>APAD Base Payment</w:t>
      </w:r>
      <w:r w:rsidRPr="00F418EC">
        <w:rPr>
          <w:rFonts w:ascii="Times New Roman" w:eastAsiaTheme="minorHAnsi" w:hAnsi="Times New Roman"/>
          <w:spacing w:val="0"/>
          <w:szCs w:val="24"/>
        </w:rPr>
        <w:t>”), and (4) multiplying the APAD Base Payment by the discharge-specific MassHealth DRG Weight.</w:t>
      </w:r>
    </w:p>
    <w:p w14:paraId="6737EA2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F418EC">
        <w:rPr>
          <w:rFonts w:ascii="Times New Roman" w:eastAsiaTheme="minorHAnsi" w:hAnsi="Times New Roman"/>
          <w:b/>
          <w:spacing w:val="0"/>
          <w:szCs w:val="24"/>
        </w:rPr>
        <w:t>Section 5.B.1.b</w:t>
      </w:r>
      <w:r w:rsidRPr="00F418EC">
        <w:rPr>
          <w:rFonts w:ascii="Times New Roman" w:eastAsiaTheme="minorHAnsi" w:hAnsi="Times New Roman"/>
          <w:spacing w:val="0"/>
          <w:szCs w:val="24"/>
        </w:rPr>
        <w:t>.</w:t>
      </w:r>
    </w:p>
    <w:p w14:paraId="671E388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qualifying discharges from Freestanding Pediatric Acute Hospitals and the Hospitals with a Pediatric Specialty Unit for which the MassHealth DRG Weight assigned to the discharge is 3.5 or greater, the APAD Base Payment will be adjusted to include an additional 57% for purposes of step (4), above, in the calculation of the APAD.  A qualifying discharge for this purpose is one that (i) meets this minimum MassHealth DRG Weight requirement, and (ii) in the case of the Hospital with a Pediatric Specialty Unit, is for a Member who is under the age of 21 at the time of admission. </w:t>
      </w:r>
    </w:p>
    <w:p w14:paraId="0D6B578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standard APAD claim that does not also qualify for an Outlier Payment under</w:t>
      </w:r>
      <w:r w:rsidRPr="00F418EC">
        <w:rPr>
          <w:rFonts w:ascii="Times New Roman" w:eastAsiaTheme="minorHAnsi" w:hAnsi="Times New Roman"/>
          <w:b/>
          <w:spacing w:val="0"/>
          <w:szCs w:val="24"/>
        </w:rPr>
        <w:t xml:space="preserve"> Section 5.B.2</w:t>
      </w:r>
      <w:r w:rsidRPr="00F418EC">
        <w:rPr>
          <w:rFonts w:ascii="Times New Roman" w:eastAsiaTheme="minorHAnsi" w:hAnsi="Times New Roman"/>
          <w:spacing w:val="0"/>
          <w:szCs w:val="24"/>
        </w:rPr>
        <w:t>, below.  As noted, values are for demonstration purposes only.</w:t>
      </w:r>
    </w:p>
    <w:p w14:paraId="6A09B0A1" w14:textId="77777777" w:rsidR="00F418EC" w:rsidRPr="00F418EC" w:rsidRDefault="00F418EC" w:rsidP="00F418EC">
      <w:pPr>
        <w:spacing w:after="200"/>
        <w:ind w:left="1080"/>
        <w:rPr>
          <w:rFonts w:ascii="Times New Roman" w:eastAsiaTheme="minorHAnsi" w:hAnsi="Times New Roman"/>
          <w:spacing w:val="0"/>
          <w:szCs w:val="24"/>
        </w:rPr>
      </w:pPr>
    </w:p>
    <w:p w14:paraId="10CA017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247684A5" wp14:editId="4DD2C20B">
            <wp:extent cx="5943600" cy="2087245"/>
            <wp:effectExtent l="0" t="0" r="0" b="8255"/>
            <wp:docPr id="4" name="Picture 4" descr="Standard APAD claim"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87245"/>
                    </a:xfrm>
                    <a:prstGeom prst="rect">
                      <a:avLst/>
                    </a:prstGeom>
                    <a:noFill/>
                    <a:ln>
                      <a:noFill/>
                    </a:ln>
                  </pic:spPr>
                </pic:pic>
              </a:graphicData>
            </a:graphic>
          </wp:inline>
        </w:drawing>
      </w:r>
    </w:p>
    <w:p w14:paraId="30A7A23A" w14:textId="77777777" w:rsidR="00F418EC" w:rsidRPr="00F418EC" w:rsidRDefault="00F418EC" w:rsidP="00F418EC">
      <w:pPr>
        <w:numPr>
          <w:ilvl w:val="0"/>
          <w:numId w:val="34"/>
        </w:numPr>
        <w:spacing w:after="200"/>
        <w:outlineLvl w:val="2"/>
        <w:rPr>
          <w:rFonts w:ascii="Times New Roman" w:eastAsiaTheme="minorHAnsi" w:hAnsi="Times New Roman"/>
          <w:b/>
          <w:spacing w:val="0"/>
          <w:szCs w:val="24"/>
        </w:rPr>
      </w:pPr>
      <w:bookmarkStart w:id="33" w:name="_Toc52374262"/>
      <w:r w:rsidRPr="00F418EC">
        <w:rPr>
          <w:rFonts w:ascii="Times New Roman" w:eastAsiaTheme="minorHAnsi" w:hAnsi="Times New Roman"/>
          <w:b/>
          <w:spacing w:val="0"/>
          <w:szCs w:val="24"/>
        </w:rPr>
        <w:t>Outlier Payments</w:t>
      </w:r>
      <w:bookmarkEnd w:id="33"/>
    </w:p>
    <w:p w14:paraId="2A075D0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qualifies for a discharge-specific Outlier Payment in addition to the APAD if all of the following conditions are met: </w:t>
      </w:r>
    </w:p>
    <w:p w14:paraId="77893DE4"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amount of the APAD for the discharge, as calculated as set forth in Section 5.B.1 exceeds $0;</w:t>
      </w:r>
    </w:p>
    <w:p w14:paraId="67185E4B"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Discharge-Specific Case Cost exceeds the Discharge-Specific Outlier Threshold for that discharge;</w:t>
      </w:r>
    </w:p>
    <w:p w14:paraId="2CE656DD"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patient is not a patient in a DMH-Licensed Bed for any part of the discharge, or the patient is a patient in a DMH-Licensed Bed during the Governor’s March 10, 2020, Declaration of a State of Emergency within the Commonwealth due to COVID-19, with a primary diagnosis that is not BH-related; and </w:t>
      </w:r>
    </w:p>
    <w:p w14:paraId="1B9F1A2E" w14:textId="77777777" w:rsidR="00F418EC" w:rsidRPr="00F418EC" w:rsidRDefault="00F418EC" w:rsidP="00F418EC">
      <w:pPr>
        <w:numPr>
          <w:ilvl w:val="0"/>
          <w:numId w:val="3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patient is not a patient in an Excluded Unit within an Acute Hospital.</w:t>
      </w:r>
    </w:p>
    <w:p w14:paraId="41BC0B8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 Hospital qualifies for an Outlier Payment, the Outlier Payment will equal the product of the Marginal Cost Factor and the amount by which the Discharge-Specific Case Cost exceeds the Discharge-Specific Outlier Threshold.</w:t>
      </w:r>
    </w:p>
    <w:p w14:paraId="661362C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10C16E9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claim involving an Outlier Payment.  As noted, values are for demonstration purposes only.</w:t>
      </w:r>
    </w:p>
    <w:p w14:paraId="67BC922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226DB728" wp14:editId="3CC84352">
            <wp:extent cx="5943600" cy="1856105"/>
            <wp:effectExtent l="0" t="0" r="0" b="0"/>
            <wp:docPr id="6" name="Picture 6" descr="Claim with Outlier Payment" title="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56105"/>
                    </a:xfrm>
                    <a:prstGeom prst="rect">
                      <a:avLst/>
                    </a:prstGeom>
                    <a:noFill/>
                    <a:ln>
                      <a:noFill/>
                    </a:ln>
                  </pic:spPr>
                </pic:pic>
              </a:graphicData>
            </a:graphic>
          </wp:inline>
        </w:drawing>
      </w:r>
    </w:p>
    <w:p w14:paraId="48411487" w14:textId="77777777" w:rsidR="00F418EC" w:rsidRPr="00F418EC" w:rsidRDefault="00F418EC" w:rsidP="00F418EC">
      <w:pPr>
        <w:numPr>
          <w:ilvl w:val="0"/>
          <w:numId w:val="36"/>
        </w:numPr>
        <w:spacing w:after="200"/>
        <w:outlineLvl w:val="2"/>
        <w:rPr>
          <w:rFonts w:ascii="Times New Roman" w:eastAsiaTheme="minorHAnsi" w:hAnsi="Times New Roman"/>
          <w:b/>
          <w:spacing w:val="0"/>
          <w:szCs w:val="24"/>
        </w:rPr>
      </w:pPr>
      <w:bookmarkStart w:id="34" w:name="_Toc52374263"/>
      <w:r w:rsidRPr="00F418EC">
        <w:rPr>
          <w:rFonts w:ascii="Times New Roman" w:eastAsiaTheme="minorHAnsi" w:hAnsi="Times New Roman"/>
          <w:b/>
          <w:spacing w:val="0"/>
          <w:szCs w:val="24"/>
        </w:rPr>
        <w:t>Transfer Per Diem Payments</w:t>
      </w:r>
      <w:bookmarkEnd w:id="34"/>
    </w:p>
    <w:p w14:paraId="03BD57C3" w14:textId="77777777" w:rsidR="00F418EC" w:rsidRPr="00F418EC" w:rsidRDefault="00F418EC" w:rsidP="00F418EC">
      <w:pPr>
        <w:numPr>
          <w:ilvl w:val="0"/>
          <w:numId w:val="3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Between Hospitals</w:t>
      </w:r>
    </w:p>
    <w:p w14:paraId="11DC89B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549BFBF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that is receiving the patient will be paid (a) on a per-discharge basis in accordance with the APAD, and, if applicable, Outlier Payment methodology(ies) specified in </w:t>
      </w:r>
      <w:r w:rsidRPr="00F418EC">
        <w:rPr>
          <w:rFonts w:ascii="Times New Roman" w:eastAsiaTheme="minorHAnsi" w:hAnsi="Times New Roman"/>
          <w:b/>
          <w:spacing w:val="0"/>
          <w:szCs w:val="24"/>
        </w:rPr>
        <w:t>Section 5.B.1</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5.B.2</w:t>
      </w:r>
      <w:r w:rsidRPr="00F418EC">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7F1DD4F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w:t>
      </w:r>
      <w:r w:rsidRPr="00F418EC">
        <w:rPr>
          <w:rFonts w:ascii="Times New Roman" w:eastAsiaTheme="minorHAnsi" w:hAnsi="Times New Roman"/>
          <w:b/>
          <w:spacing w:val="0"/>
          <w:szCs w:val="24"/>
        </w:rPr>
        <w:t>payment per day for Transfer Patients (the Transfer Per Diem)</w:t>
      </w:r>
      <w:r w:rsidRPr="00F418EC">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version 36 Massachusetts-specific weight file (</w:t>
      </w:r>
      <w:r w:rsidRPr="00F418EC">
        <w:rPr>
          <w:rFonts w:ascii="Times New Roman" w:eastAsiaTheme="minorHAnsi" w:hAnsi="Times New Roman"/>
          <w:b/>
          <w:spacing w:val="0"/>
          <w:szCs w:val="24"/>
        </w:rPr>
        <w:t>Chart C to Appendix C</w:t>
      </w:r>
      <w:r w:rsidRPr="00F418EC">
        <w:rPr>
          <w:rFonts w:ascii="Times New Roman" w:eastAsiaTheme="minorHAnsi" w:hAnsi="Times New Roman"/>
          <w:spacing w:val="0"/>
          <w:szCs w:val="24"/>
        </w:rPr>
        <w:t xml:space="preserve">).  For purposes of this calculation, the Total Case Payment amount is calculated utilizing the APAD and, if applicable, Outlier Payment methodology(ies) set forth in </w:t>
      </w:r>
      <w:r w:rsidRPr="00F418EC">
        <w:rPr>
          <w:rFonts w:ascii="Times New Roman" w:eastAsiaTheme="minorHAnsi" w:hAnsi="Times New Roman"/>
          <w:b/>
          <w:spacing w:val="0"/>
          <w:szCs w:val="24"/>
        </w:rPr>
        <w:t>Sections 5.B.1</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5.B.2</w:t>
      </w:r>
      <w:r w:rsidRPr="00F418EC">
        <w:rPr>
          <w:rFonts w:ascii="Times New Roman" w:eastAsiaTheme="minorHAnsi" w:hAnsi="Times New Roman"/>
          <w:spacing w:val="0"/>
          <w:szCs w:val="24"/>
        </w:rPr>
        <w:t xml:space="preserve"> for the period for which the Transferring Hospital is being paid on a Transfer Per Diem basis pursuant to this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RY21 that are paid on a Transfer Per Diem basis.</w:t>
      </w:r>
    </w:p>
    <w:p w14:paraId="36802EA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Table 3: Claim with Transfer (APAD only) and Table 4: Claim with Transfer (APAD and Outlier)</w:t>
      </w:r>
      <w:r w:rsidRPr="00F418EC">
        <w:rPr>
          <w:rFonts w:ascii="Times New Roman" w:eastAsiaTheme="minorHAnsi" w:hAnsi="Times New Roman"/>
          <w:spacing w:val="0"/>
          <w:szCs w:val="24"/>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As noted, values are for demonstration purposes only.</w:t>
      </w:r>
    </w:p>
    <w:p w14:paraId="6E8B4AA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4C5A8B2B" wp14:editId="253DB752">
            <wp:extent cx="5943600" cy="1508760"/>
            <wp:effectExtent l="0" t="0" r="0" b="0"/>
            <wp:docPr id="8" name="Picture 8" descr="Claim with Transfer (APAD only)" title="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08760"/>
                    </a:xfrm>
                    <a:prstGeom prst="rect">
                      <a:avLst/>
                    </a:prstGeom>
                    <a:noFill/>
                    <a:ln>
                      <a:noFill/>
                    </a:ln>
                  </pic:spPr>
                </pic:pic>
              </a:graphicData>
            </a:graphic>
          </wp:inline>
        </w:drawing>
      </w:r>
    </w:p>
    <w:p w14:paraId="70BB13F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5068D1FC" wp14:editId="13CB52A6">
            <wp:extent cx="5943600" cy="1508760"/>
            <wp:effectExtent l="0" t="0" r="0" b="0"/>
            <wp:docPr id="9" name="Picture 9" descr="Claim with Transfer (APAD and Outlier)" title="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508760"/>
                    </a:xfrm>
                    <a:prstGeom prst="rect">
                      <a:avLst/>
                    </a:prstGeom>
                    <a:noFill/>
                    <a:ln>
                      <a:noFill/>
                    </a:ln>
                  </pic:spPr>
                </pic:pic>
              </a:graphicData>
            </a:graphic>
          </wp:inline>
        </w:drawing>
      </w:r>
    </w:p>
    <w:p w14:paraId="53FB143F" w14:textId="7C7FF89B" w:rsidR="00F418EC" w:rsidRPr="002E6C32" w:rsidRDefault="002E6C32" w:rsidP="002E6C32">
      <w:pPr>
        <w:numPr>
          <w:ilvl w:val="0"/>
          <w:numId w:val="37"/>
        </w:numPr>
        <w:spacing w:after="200"/>
        <w:outlineLvl w:val="3"/>
        <w:rPr>
          <w:rFonts w:ascii="Times New Roman" w:eastAsiaTheme="minorHAnsi" w:hAnsi="Times New Roman"/>
          <w:b/>
          <w:spacing w:val="0"/>
          <w:szCs w:val="24"/>
        </w:rPr>
      </w:pPr>
      <w:bookmarkStart w:id="35" w:name="_Toc52374264"/>
      <w:r w:rsidRPr="00F418EC">
        <w:rPr>
          <w:rFonts w:ascii="Times New Roman" w:eastAsiaTheme="minorHAnsi" w:hAnsi="Times New Roman"/>
          <w:b/>
          <w:spacing w:val="0"/>
          <w:szCs w:val="24"/>
        </w:rPr>
        <w:t>Transfer</w:t>
      </w:r>
      <w:r>
        <w:rPr>
          <w:rFonts w:ascii="Times New Roman" w:eastAsiaTheme="minorHAnsi" w:hAnsi="Times New Roman"/>
          <w:b/>
          <w:spacing w:val="0"/>
          <w:szCs w:val="24"/>
        </w:rPr>
        <w:t>s within a Hospital</w:t>
      </w:r>
      <w:bookmarkEnd w:id="35"/>
    </w:p>
    <w:p w14:paraId="6244A36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7E3DA38B"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to/from a Non-Acute, Skilled Nursing, or other Separately Licensed Unit within the Same Hospital</w:t>
      </w:r>
    </w:p>
    <w:p w14:paraId="1DB818BD"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3A99CD46"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3964BC43"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w:t>
      </w:r>
      <w:r w:rsidRPr="00F418EC">
        <w:rPr>
          <w:rFonts w:ascii="Times New Roman" w:eastAsiaTheme="minorHAnsi" w:hAnsi="Times New Roman"/>
          <w:spacing w:val="0"/>
          <w:szCs w:val="24"/>
        </w:rPr>
        <w:lastRenderedPageBreak/>
        <w:t xml:space="preserve">Total Transfer Payment Cap, or, if the patient is at the Administrative Day level of care, at the AD per diem rate, in accordance with </w:t>
      </w:r>
      <w:r w:rsidRPr="00F418EC">
        <w:rPr>
          <w:rFonts w:ascii="Times New Roman" w:eastAsiaTheme="minorHAnsi" w:hAnsi="Times New Roman"/>
          <w:b/>
          <w:spacing w:val="0"/>
          <w:szCs w:val="24"/>
        </w:rPr>
        <w:t>Section 5.B.6</w:t>
      </w:r>
      <w:r w:rsidRPr="00F418EC">
        <w:rPr>
          <w:rFonts w:ascii="Times New Roman" w:eastAsiaTheme="minorHAnsi" w:hAnsi="Times New Roman"/>
          <w:spacing w:val="0"/>
          <w:szCs w:val="24"/>
        </w:rPr>
        <w:t>.</w:t>
      </w:r>
    </w:p>
    <w:p w14:paraId="68973B44"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Admissions Following Outpatient Surgery or Procedure</w:t>
      </w:r>
    </w:p>
    <w:p w14:paraId="0CC9933F"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C228ED0"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Transfer between a DMH-Licensed Bed and Any Other Bed within the Same Hospital</w:t>
      </w:r>
    </w:p>
    <w:p w14:paraId="44CD7A82"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F418EC">
        <w:rPr>
          <w:rFonts w:ascii="Times New Roman" w:eastAsiaTheme="minorHAnsi" w:hAnsi="Times New Roman"/>
          <w:b/>
          <w:spacing w:val="0"/>
          <w:szCs w:val="24"/>
        </w:rPr>
        <w:t>Section 5.B.3.b(5)</w:t>
      </w:r>
      <w:r w:rsidRPr="00F418EC">
        <w:rPr>
          <w:rFonts w:ascii="Times New Roman" w:eastAsiaTheme="minorHAnsi" w:hAnsi="Times New Roman"/>
          <w:spacing w:val="0"/>
          <w:szCs w:val="24"/>
        </w:rPr>
        <w:t xml:space="preserve">. </w:t>
      </w:r>
    </w:p>
    <w:p w14:paraId="19E1A8DE"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except in the circumstances described in the last sentence of this paragraph, EOHHS will pay the Hospital at the Transfer Per Diem rate capped at the Hospital’s Total Transfer Payment Cap for the non-DMH-Licensed Bed portion of the stay, and at the Psychiatric Per Diem rate for the DMH-Licensed Bed portion of the stay (see </w:t>
      </w:r>
      <w:r w:rsidRPr="00F418EC">
        <w:rPr>
          <w:rFonts w:ascii="Times New Roman" w:eastAsiaTheme="minorHAnsi" w:hAnsi="Times New Roman"/>
          <w:b/>
          <w:spacing w:val="0"/>
          <w:szCs w:val="24"/>
        </w:rPr>
        <w:t>Section 5.B.4</w:t>
      </w:r>
      <w:r w:rsidRPr="00F418EC">
        <w:rPr>
          <w:rFonts w:ascii="Times New Roman" w:eastAsiaTheme="minorHAnsi" w:hAnsi="Times New Roman"/>
          <w:spacing w:val="0"/>
          <w:szCs w:val="24"/>
        </w:rPr>
        <w:t>). For the duration of the Governor’s March 10, 2020, Declaration of a State of Emergency within the Commonwealth due to COVID-19, a Member transferred between a DMH-Licensed Bed and a non-DMH-Licensed Bed whose primary diagnosis while in the DMH-Licensed bed is not BH-related will not be considered a Transfer Patient.</w:t>
      </w:r>
    </w:p>
    <w:p w14:paraId="011805BF"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11A1339A" w14:textId="77777777" w:rsidR="00F418EC" w:rsidRPr="00F418EC" w:rsidRDefault="00F418EC" w:rsidP="00F418EC">
      <w:pPr>
        <w:numPr>
          <w:ilvl w:val="0"/>
          <w:numId w:val="3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Change of BH Managed Care Status during a Behavioral Health Hospitalization</w:t>
      </w:r>
    </w:p>
    <w:p w14:paraId="70454BCC" w14:textId="77777777" w:rsidR="00F418EC" w:rsidRPr="00F418EC" w:rsidRDefault="00F418EC" w:rsidP="00F418EC">
      <w:pPr>
        <w:numPr>
          <w:ilvl w:val="0"/>
          <w:numId w:val="39"/>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Payments to Hospitals without Network Provider Agreements with EOHHS’ BH Contractor</w:t>
      </w:r>
    </w:p>
    <w:p w14:paraId="2D79C6F0"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33D19DC2"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portion of the Hospital stay during which the Member was not enrolled with the BH Contractor will be paid by EOHHS at the Psychiatric Per Diem rate for Behavioral Health Services in a DMH-Licensed Bed or at the Transfer </w:t>
      </w:r>
      <w:r w:rsidRPr="00F418EC">
        <w:rPr>
          <w:rFonts w:ascii="Times New Roman" w:eastAsiaTheme="minorHAnsi" w:hAnsi="Times New Roman"/>
          <w:spacing w:val="0"/>
          <w:szCs w:val="24"/>
        </w:rPr>
        <w:lastRenderedPageBreak/>
        <w:t>Per Diem rate, capped at the Total Transfer Payment Cap, for Behavioral Health Services in a non-DMH-Licensed Bed.</w:t>
      </w:r>
    </w:p>
    <w:p w14:paraId="0B9DFAA4" w14:textId="77777777" w:rsidR="00F418EC" w:rsidRPr="00F418EC" w:rsidRDefault="00F418EC" w:rsidP="00F418EC">
      <w:pPr>
        <w:numPr>
          <w:ilvl w:val="0"/>
          <w:numId w:val="39"/>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Payments to Hospitals that are in the BH Contractor’s Provider Network</w:t>
      </w:r>
    </w:p>
    <w:p w14:paraId="46A50CEA"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44ED54B5"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FD78C94" w14:textId="77777777" w:rsidR="00F418EC" w:rsidRPr="00F418EC" w:rsidRDefault="00F418EC" w:rsidP="00F418EC">
      <w:pPr>
        <w:numPr>
          <w:ilvl w:val="0"/>
          <w:numId w:val="40"/>
        </w:numPr>
        <w:spacing w:after="200"/>
        <w:outlineLvl w:val="2"/>
        <w:rPr>
          <w:rFonts w:ascii="Times New Roman" w:eastAsiaTheme="minorHAnsi" w:hAnsi="Times New Roman"/>
          <w:b/>
          <w:spacing w:val="0"/>
          <w:szCs w:val="24"/>
        </w:rPr>
      </w:pPr>
      <w:bookmarkStart w:id="36" w:name="_Toc52374265"/>
      <w:r w:rsidRPr="00F418EC">
        <w:rPr>
          <w:rFonts w:ascii="Times New Roman" w:eastAsiaTheme="minorHAnsi" w:hAnsi="Times New Roman"/>
          <w:b/>
          <w:spacing w:val="0"/>
          <w:szCs w:val="24"/>
        </w:rPr>
        <w:t>Payments for Behavioral Health Services (Psychiatric Per Diem)</w:t>
      </w:r>
      <w:bookmarkEnd w:id="36"/>
    </w:p>
    <w:p w14:paraId="6B38E80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14:paraId="012A1B5B"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Statewide Standard Psychiatric Per Diem </w:t>
      </w:r>
    </w:p>
    <w:p w14:paraId="4768183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7F752176"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Data Sources</w:t>
      </w:r>
    </w:p>
    <w:p w14:paraId="4B91955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2B1C0766"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Determination of Base Year Operating Standards</w:t>
      </w:r>
    </w:p>
    <w:p w14:paraId="6D549C22"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61F6BA83"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515E1EA9" w14:textId="77777777" w:rsidR="00F418EC" w:rsidRPr="00F418EC" w:rsidRDefault="00F418EC" w:rsidP="00F418EC">
      <w:pPr>
        <w:numPr>
          <w:ilvl w:val="0"/>
          <w:numId w:val="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22CB28E4"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Determination of Base Year Capital Standard</w:t>
      </w:r>
    </w:p>
    <w:p w14:paraId="66EC7117"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17BB7D63"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hospital’s base year Psychiatric Capital Cost Per Day equals the base year psychiatric capital cost divided by the greater of: the actual base year psychiatric days or eighty-five percent (85%) of the base year maximum licensed psychiatric bed capacity, measured in days. </w:t>
      </w:r>
    </w:p>
    <w:p w14:paraId="0EC60660" w14:textId="77777777" w:rsidR="00F418EC" w:rsidRPr="00F418EC" w:rsidRDefault="00F418EC" w:rsidP="00F418EC">
      <w:pPr>
        <w:numPr>
          <w:ilvl w:val="0"/>
          <w:numId w:val="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5DEF4852" w14:textId="77777777" w:rsidR="00F418EC" w:rsidRPr="00F418EC" w:rsidRDefault="00F418EC" w:rsidP="00F418EC">
      <w:pPr>
        <w:numPr>
          <w:ilvl w:val="0"/>
          <w:numId w:val="4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Adjustment to Base Year Costs:</w:t>
      </w:r>
    </w:p>
    <w:p w14:paraId="3FB65B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51E195B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Inflation Factors for Operating Costs between RY08 and RY10 and between RY12 and RY19 were applied to the rate calculated above to determine the RY21 Statewide Standard Psychiatric Per Diem rate.</w:t>
      </w:r>
    </w:p>
    <w:p w14:paraId="563A7C1B" w14:textId="77777777" w:rsidR="00F418EC" w:rsidRPr="00F418EC" w:rsidRDefault="00F418EC" w:rsidP="00F418EC">
      <w:pPr>
        <w:numPr>
          <w:ilvl w:val="0"/>
          <w:numId w:val="40"/>
        </w:numPr>
        <w:spacing w:after="200"/>
        <w:outlineLvl w:val="2"/>
        <w:rPr>
          <w:rFonts w:ascii="Times New Roman" w:eastAsiaTheme="minorHAnsi" w:hAnsi="Times New Roman"/>
          <w:b/>
          <w:spacing w:val="0"/>
          <w:szCs w:val="24"/>
        </w:rPr>
      </w:pPr>
      <w:bookmarkStart w:id="37" w:name="_Toc52374266"/>
      <w:r w:rsidRPr="00F418EC">
        <w:rPr>
          <w:rFonts w:ascii="Times New Roman" w:eastAsiaTheme="minorHAnsi" w:hAnsi="Times New Roman"/>
          <w:b/>
          <w:spacing w:val="0"/>
          <w:szCs w:val="24"/>
        </w:rPr>
        <w:t>Physician Payment</w:t>
      </w:r>
      <w:bookmarkEnd w:id="37"/>
    </w:p>
    <w:p w14:paraId="1CB7E8B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and 101 CMR 320.00 (Clinical Laboratory Services), or successor regulations as </w:t>
      </w:r>
      <w:r w:rsidRPr="00F418EC">
        <w:rPr>
          <w:rFonts w:ascii="Times New Roman" w:eastAsiaTheme="minorHAnsi" w:hAnsi="Times New Roman"/>
          <w:spacing w:val="0"/>
          <w:szCs w:val="24"/>
        </w:rPr>
        <w:lastRenderedPageBreak/>
        <w:t>applicable (including the applicable facility fee for all services where such facility fee has been established); (2) the Hospital’s Usual and Customary Charge; or (3) 100% of the Hospital’s actual charge submitted.</w:t>
      </w:r>
    </w:p>
    <w:p w14:paraId="56682E5E"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75C79D3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Hospitals shall not be reimbursed for inpatient physician services provided by Community-Based Physicians.</w:t>
      </w:r>
    </w:p>
    <w:p w14:paraId="05E75BB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Physician fee schedules are available at the State House Bookstore and at </w:t>
      </w:r>
      <w:hyperlink r:id="rId23"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 xml:space="preserve">. </w:t>
      </w:r>
    </w:p>
    <w:p w14:paraId="17B64463"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38" w:name="_Toc52374267"/>
      <w:r w:rsidRPr="00F418EC">
        <w:rPr>
          <w:rFonts w:ascii="Times New Roman" w:eastAsiaTheme="minorHAnsi" w:hAnsi="Times New Roman"/>
          <w:b/>
          <w:spacing w:val="0"/>
          <w:szCs w:val="24"/>
        </w:rPr>
        <w:t>Payments for Administrative Days</w:t>
      </w:r>
      <w:bookmarkEnd w:id="38"/>
    </w:p>
    <w:p w14:paraId="466A59B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78FF98F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AD rate is a base per diem payment and an ancillary add-on.</w:t>
      </w:r>
    </w:p>
    <w:p w14:paraId="009C286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base per diem payment is $219.14, which represents the median nursing facility rate that was effective July 1, 2020 for all nursing home rate categories, as determined by EOHHS. </w:t>
      </w:r>
    </w:p>
    <w:p w14:paraId="01C5D36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 to September 30, 1998. These ratios are 0.278 and 0.382, respectively.</w:t>
      </w:r>
    </w:p>
    <w:p w14:paraId="1D4BD8CF"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The resulting AD rates are $280.06 for Medicaid/Medicare Part B-eligible patients and $302.85 for Medicaid-only eligible patients.</w:t>
      </w:r>
    </w:p>
    <w:p w14:paraId="01C939A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  Furthermore, the Hospital may not bill for more than one APAD even if the patient fluctuates between acute status and AD status in a single hospitalization.</w:t>
      </w:r>
    </w:p>
    <w:p w14:paraId="1FB49810"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39" w:name="_Toc52374268"/>
      <w:r w:rsidRPr="00F418EC">
        <w:rPr>
          <w:rFonts w:ascii="Times New Roman" w:eastAsiaTheme="minorHAnsi" w:hAnsi="Times New Roman"/>
          <w:b/>
          <w:spacing w:val="0"/>
          <w:szCs w:val="24"/>
        </w:rPr>
        <w:t>Rehabilitation Unit Services in Acute Hospitals</w:t>
      </w:r>
      <w:bookmarkEnd w:id="39"/>
    </w:p>
    <w:p w14:paraId="6E3A7358"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 DPH-licensed Acute Hospital with a Rehabilitation Unit may bill a per diem rate for Rehabilitation Services provided in the Acute Hospital’s Rehabilitation Unit.</w:t>
      </w:r>
    </w:p>
    <w:p w14:paraId="5367E1C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Rehabilitation Unit per diem rate for such Rehabilitation Services equals the median MassHealth RY20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w:t>
      </w:r>
      <w:bookmarkStart w:id="40" w:name="_Hlk36714979"/>
      <w:r w:rsidRPr="00F418EC">
        <w:rPr>
          <w:rFonts w:ascii="Times New Roman" w:eastAsiaTheme="minorHAnsi" w:hAnsi="Times New Roman"/>
          <w:spacing w:val="0"/>
          <w:szCs w:val="24"/>
        </w:rPr>
        <w:t xml:space="preserve">Except for the duration of the </w:t>
      </w:r>
      <w:bookmarkEnd w:id="40"/>
      <w:r w:rsidRPr="00F418EC">
        <w:rPr>
          <w:rFonts w:ascii="Times New Roman" w:eastAsiaTheme="minorHAnsi" w:hAnsi="Times New Roman"/>
          <w:spacing w:val="0"/>
          <w:szCs w:val="24"/>
        </w:rPr>
        <w:t>Governor’s March 10, 2020, Declaration of a State of Emergency within the Commonwealth due to COVID-19, such units shall be subject to EOHHS’ screening program for chronic and rehabilitation hospitals as detailed in 130 CMR 435.408 and requirements detailed in 130 CMR 435.410 – 411.</w:t>
      </w:r>
    </w:p>
    <w:p w14:paraId="534D799E" w14:textId="77777777" w:rsidR="00F418EC" w:rsidRPr="00F418EC" w:rsidRDefault="00F418EC" w:rsidP="00F418EC">
      <w:pPr>
        <w:keepNext/>
        <w:numPr>
          <w:ilvl w:val="0"/>
          <w:numId w:val="27"/>
        </w:numPr>
        <w:spacing w:after="200"/>
        <w:outlineLvl w:val="2"/>
        <w:rPr>
          <w:rFonts w:ascii="Times New Roman" w:eastAsiaTheme="minorHAnsi" w:hAnsi="Times New Roman"/>
          <w:b/>
          <w:spacing w:val="0"/>
          <w:szCs w:val="24"/>
        </w:rPr>
      </w:pPr>
      <w:bookmarkStart w:id="41" w:name="_Toc52374269"/>
      <w:r w:rsidRPr="00F418EC">
        <w:rPr>
          <w:rFonts w:ascii="Times New Roman" w:eastAsiaTheme="minorHAnsi" w:hAnsi="Times New Roman"/>
          <w:b/>
          <w:spacing w:val="0"/>
          <w:szCs w:val="24"/>
        </w:rPr>
        <w:t>Payment for APAD Carve-Out Items</w:t>
      </w:r>
      <w:bookmarkEnd w:id="41"/>
    </w:p>
    <w:p w14:paraId="5E3F7292" w14:textId="77777777" w:rsidR="00F418EC" w:rsidRPr="00F418EC" w:rsidRDefault="00F418EC" w:rsidP="00F418EC">
      <w:pPr>
        <w:numPr>
          <w:ilvl w:val="0"/>
          <w:numId w:val="4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LARC Devices</w:t>
      </w:r>
    </w:p>
    <w:p w14:paraId="431B328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may be paid for a LARC Device separate from the APAD, if all of the following conditions are met: </w:t>
      </w:r>
    </w:p>
    <w:p w14:paraId="056DC5E0"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insertion; </w:t>
      </w:r>
    </w:p>
    <w:p w14:paraId="5F4CE6A2"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2438C0E6" w14:textId="77777777" w:rsidR="00F418EC" w:rsidRPr="00F418EC" w:rsidRDefault="00F418EC" w:rsidP="00F418EC">
      <w:pPr>
        <w:numPr>
          <w:ilvl w:val="0"/>
          <w:numId w:val="4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https://www.mass.gov/service-details/billing-tips, or in other written statements of policy issued by EOHHS.  See also Section 5.G:  Billing.  EOHHS may update the billing instructions, from time to time.</w:t>
      </w:r>
    </w:p>
    <w:p w14:paraId="304D0E8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(Medicine).</w:t>
      </w:r>
    </w:p>
    <w:p w14:paraId="1733E648" w14:textId="77777777" w:rsidR="00F418EC" w:rsidRPr="00F418EC" w:rsidRDefault="00F418EC" w:rsidP="00F418EC">
      <w:pPr>
        <w:numPr>
          <w:ilvl w:val="0"/>
          <w:numId w:val="4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APAD Carve-Out Drugs</w:t>
      </w:r>
    </w:p>
    <w:p w14:paraId="3D160E54" w14:textId="77777777" w:rsidR="00F418EC" w:rsidRPr="00F418EC" w:rsidRDefault="00F418EC" w:rsidP="00F418EC">
      <w:pPr>
        <w:numPr>
          <w:ilvl w:val="0"/>
          <w:numId w:val="46"/>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APAD Carve-Out Drugs and Prior Approval Requirements </w:t>
      </w:r>
    </w:p>
    <w:p w14:paraId="123092DF" w14:textId="77777777" w:rsidR="00F418EC" w:rsidRPr="00F418EC" w:rsidRDefault="00F418EC" w:rsidP="00F418EC">
      <w:pPr>
        <w:numPr>
          <w:ilvl w:val="0"/>
          <w:numId w:val="4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4" w:tooltip="Link to the MassHealth Drug List website." w:history="1">
        <w:r w:rsidRPr="00F418EC">
          <w:rPr>
            <w:rFonts w:ascii="Times New Roman" w:eastAsiaTheme="minorHAnsi" w:hAnsi="Times New Roman"/>
            <w:spacing w:val="0"/>
            <w:szCs w:val="24"/>
            <w:u w:val="single"/>
          </w:rPr>
          <w:t>https://masshealthdruglist.ehs.state.ma.us/MHDL/welcome.do</w:t>
        </w:r>
      </w:hyperlink>
      <w:r w:rsidRPr="00F418EC">
        <w:rPr>
          <w:rFonts w:ascii="Times New Roman" w:eastAsiaTheme="minorHAnsi" w:hAnsi="Times New Roman"/>
          <w:spacing w:val="0"/>
          <w:szCs w:val="24"/>
        </w:rPr>
        <w:t>. This list of APAD Carve-Out Drugs may be updated from time-to-time. Hospitals may sign up to receive email notifications of any updates to this list by enrolling at the above website location.</w:t>
      </w:r>
    </w:p>
    <w:p w14:paraId="6C7F2D21" w14:textId="77777777" w:rsidR="00F418EC" w:rsidRPr="00F418EC" w:rsidRDefault="00F418EC" w:rsidP="00F418EC">
      <w:pPr>
        <w:numPr>
          <w:ilvl w:val="0"/>
          <w:numId w:val="4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F418EC">
        <w:rPr>
          <w:rFonts w:ascii="Times New Roman" w:eastAsiaTheme="minorHAnsi" w:hAnsi="Times New Roman"/>
          <w:b/>
          <w:spacing w:val="0"/>
          <w:szCs w:val="24"/>
        </w:rPr>
        <w:t>Sections 4.B.3</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6.A.</w:t>
      </w:r>
      <w:r w:rsidRPr="00F418EC">
        <w:rPr>
          <w:rFonts w:ascii="Times New Roman" w:eastAsiaTheme="minorHAnsi" w:hAnsi="Times New Roman"/>
          <w:spacing w:val="0"/>
          <w:szCs w:val="24"/>
        </w:rPr>
        <w:t>)</w:t>
      </w:r>
    </w:p>
    <w:p w14:paraId="65F34D10" w14:textId="77777777" w:rsidR="00F418EC" w:rsidRPr="00F418EC" w:rsidRDefault="00F418EC" w:rsidP="00F418EC">
      <w:pPr>
        <w:numPr>
          <w:ilvl w:val="0"/>
          <w:numId w:val="48"/>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Payment for APAD Carve-Out Drugs</w:t>
      </w:r>
    </w:p>
    <w:p w14:paraId="41E0453D" w14:textId="77777777" w:rsidR="00F418EC" w:rsidRPr="00F418EC" w:rsidRDefault="00F418EC" w:rsidP="00F418EC">
      <w:pPr>
        <w:numPr>
          <w:ilvl w:val="0"/>
          <w:numId w:val="4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53CD1A9D" w14:textId="77777777" w:rsidR="00F418EC" w:rsidRPr="00F418EC" w:rsidRDefault="00F418EC" w:rsidP="00F418EC">
      <w:pPr>
        <w:numPr>
          <w:ilvl w:val="0"/>
          <w:numId w:val="4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the Hospital for an APAD Carve-Out Drug is conditioned on and subject to all of the following:</w:t>
      </w:r>
    </w:p>
    <w:p w14:paraId="7E82D09F"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F418EC">
        <w:rPr>
          <w:rFonts w:ascii="Times New Roman" w:eastAsiaTheme="minorHAnsi" w:hAnsi="Times New Roman"/>
          <w:b/>
          <w:spacing w:val="0"/>
          <w:szCs w:val="24"/>
        </w:rPr>
        <w:t>Section 6.A</w:t>
      </w:r>
      <w:r w:rsidRPr="00F418EC">
        <w:rPr>
          <w:rFonts w:ascii="Times New Roman" w:eastAsiaTheme="minorHAnsi" w:hAnsi="Times New Roman"/>
          <w:spacing w:val="0"/>
          <w:szCs w:val="24"/>
        </w:rPr>
        <w:t xml:space="preserve">). </w:t>
      </w:r>
    </w:p>
    <w:p w14:paraId="7B8A70EC"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091B1608"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https://www.mass.gov/service-details/billing-tips, EOHHS may update the billing instructions from time to time.  See also </w:t>
      </w:r>
      <w:r w:rsidRPr="00F418EC">
        <w:rPr>
          <w:rFonts w:ascii="Times New Roman" w:eastAsiaTheme="minorHAnsi" w:hAnsi="Times New Roman"/>
          <w:b/>
          <w:spacing w:val="0"/>
          <w:szCs w:val="24"/>
        </w:rPr>
        <w:t>Section 5.G:  Billing</w:t>
      </w:r>
      <w:r w:rsidRPr="00F418EC">
        <w:rPr>
          <w:rFonts w:ascii="Times New Roman" w:eastAsiaTheme="minorHAnsi" w:hAnsi="Times New Roman"/>
          <w:spacing w:val="0"/>
          <w:szCs w:val="24"/>
        </w:rPr>
        <w:t>.</w:t>
      </w:r>
    </w:p>
    <w:p w14:paraId="6F28F3F7"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upon request.</w:t>
      </w:r>
    </w:p>
    <w:p w14:paraId="11243A60" w14:textId="77777777" w:rsidR="00F418EC" w:rsidRPr="00F418EC" w:rsidRDefault="00F418EC" w:rsidP="00F418EC">
      <w:pPr>
        <w:numPr>
          <w:ilvl w:val="0"/>
          <w:numId w:val="50"/>
        </w:numPr>
        <w:spacing w:after="200"/>
        <w:ind w:left="2160" w:hanging="180"/>
        <w:contextualSpacing/>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5E0413A"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7332B6E" w14:textId="77777777" w:rsidR="00F418EC" w:rsidRPr="00F418EC" w:rsidRDefault="00F418EC" w:rsidP="00F418EC">
      <w:pPr>
        <w:numPr>
          <w:ilvl w:val="0"/>
          <w:numId w:val="49"/>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F418EC">
        <w:rPr>
          <w:rFonts w:ascii="Times New Roman" w:eastAsiaTheme="minorHAnsi" w:hAnsi="Times New Roman"/>
          <w:b/>
          <w:spacing w:val="0"/>
          <w:szCs w:val="24"/>
        </w:rPr>
        <w:t>Section 5.B.8.b.(2)(a)</w:t>
      </w:r>
      <w:r w:rsidRPr="00F418EC">
        <w:rPr>
          <w:rFonts w:ascii="Times New Roman" w:eastAsiaTheme="minorHAnsi" w:hAnsi="Times New Roman"/>
          <w:spacing w:val="0"/>
          <w:szCs w:val="24"/>
        </w:rPr>
        <w:t xml:space="preserve">, or under circumstances in which EOHHS determines there was noncompliance with the requirements set forth in </w:t>
      </w:r>
      <w:r w:rsidRPr="00F418EC">
        <w:rPr>
          <w:rFonts w:ascii="Times New Roman" w:eastAsiaTheme="minorHAnsi" w:hAnsi="Times New Roman"/>
          <w:b/>
          <w:bCs/>
          <w:spacing w:val="0"/>
          <w:szCs w:val="24"/>
        </w:rPr>
        <w:t>Section 5.B.8.b.(2)(b)</w:t>
      </w:r>
      <w:r w:rsidRPr="00F418EC">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0116013E" w14:textId="77777777" w:rsidR="00F418EC" w:rsidRPr="00F418EC" w:rsidRDefault="00F418EC" w:rsidP="00F418EC">
      <w:pPr>
        <w:numPr>
          <w:ilvl w:val="0"/>
          <w:numId w:val="27"/>
        </w:numPr>
        <w:spacing w:after="200"/>
        <w:outlineLvl w:val="2"/>
        <w:rPr>
          <w:rFonts w:ascii="Times New Roman" w:eastAsiaTheme="minorHAnsi" w:hAnsi="Times New Roman"/>
          <w:b/>
          <w:spacing w:val="0"/>
          <w:szCs w:val="24"/>
        </w:rPr>
      </w:pPr>
      <w:bookmarkStart w:id="42" w:name="_Toc52374270"/>
      <w:r w:rsidRPr="00F418EC">
        <w:rPr>
          <w:rFonts w:ascii="Times New Roman" w:eastAsiaTheme="minorHAnsi" w:hAnsi="Times New Roman"/>
          <w:b/>
          <w:spacing w:val="0"/>
          <w:szCs w:val="24"/>
        </w:rPr>
        <w:t>Infant and Pediatric Outlier Payment Adjustments</w:t>
      </w:r>
      <w:bookmarkEnd w:id="42"/>
      <w:r w:rsidRPr="00F418EC">
        <w:rPr>
          <w:rFonts w:ascii="Times New Roman" w:eastAsiaTheme="minorHAnsi" w:hAnsi="Times New Roman"/>
          <w:b/>
          <w:spacing w:val="0"/>
          <w:szCs w:val="24"/>
        </w:rPr>
        <w:t xml:space="preserve"> </w:t>
      </w:r>
    </w:p>
    <w:p w14:paraId="443A58C0" w14:textId="77777777" w:rsidR="00F418EC" w:rsidRPr="00F418EC" w:rsidRDefault="00F418EC" w:rsidP="00F418EC">
      <w:pPr>
        <w:numPr>
          <w:ilvl w:val="0"/>
          <w:numId w:val="5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Infant Outlier Payment Adjustment</w:t>
      </w:r>
    </w:p>
    <w:p w14:paraId="0D6BA48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7594A29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Infant Outlier Payment is calculated using the data and methodology as follows:</w:t>
      </w:r>
    </w:p>
    <w:p w14:paraId="622F68BB" w14:textId="77777777" w:rsidR="00F418EC" w:rsidRPr="00F418EC" w:rsidRDefault="00F418EC" w:rsidP="00F418EC">
      <w:pPr>
        <w:numPr>
          <w:ilvl w:val="0"/>
          <w:numId w:val="5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Data Source:  </w:t>
      </w:r>
      <w:r w:rsidRPr="00F418EC">
        <w:rPr>
          <w:rFonts w:ascii="Times New Roman" w:eastAsiaTheme="minorHAnsi" w:hAnsi="Times New Roman"/>
          <w:spacing w:val="0"/>
          <w:szCs w:val="24"/>
        </w:rPr>
        <w:t>The prior year's claims data residing on EOHHS’ MMIS is used to determine exceptionally high costs and exceptionally long lengths of stay.</w:t>
      </w:r>
    </w:p>
    <w:p w14:paraId="4FD1A5F9" w14:textId="77777777" w:rsidR="00F418EC" w:rsidRPr="00F418EC" w:rsidRDefault="00F418EC" w:rsidP="00F418EC">
      <w:pPr>
        <w:numPr>
          <w:ilvl w:val="0"/>
          <w:numId w:val="5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w:t>
      </w:r>
      <w:r w:rsidRPr="00F418EC">
        <w:rPr>
          <w:rFonts w:ascii="Times New Roman" w:eastAsiaTheme="minorHAnsi" w:hAnsi="Times New Roman"/>
          <w:spacing w:val="0"/>
          <w:szCs w:val="24"/>
        </w:rPr>
        <w:t xml:space="preserve"> Eligibility for the adjustment is determined as follows:</w:t>
      </w:r>
    </w:p>
    <w:p w14:paraId="38D92BB5"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Long Lengths of Stay:</w:t>
      </w:r>
      <w:r w:rsidRPr="00F418EC">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7E6E87F5"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High Cost:</w:t>
      </w:r>
      <w:r w:rsidRPr="00F418EC">
        <w:rPr>
          <w:rFonts w:ascii="Times New Roman" w:eastAsiaTheme="minorHAnsi" w:hAnsi="Times New Roman"/>
          <w:spacing w:val="0"/>
          <w:szCs w:val="24"/>
        </w:rPr>
        <w:t xml:space="preserve">  Exceptionally high cost is calculated for Hospitals providing services to infants less than one year of age as follows:</w:t>
      </w:r>
    </w:p>
    <w:p w14:paraId="7162AD99"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average cost per Medicaid inpatient discharge for each Hospital is calculated;</w:t>
      </w:r>
    </w:p>
    <w:p w14:paraId="71AAC07D"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deviation for the cost per Medicaid inpatient discharge for each Hospital is calculated;</w:t>
      </w:r>
    </w:p>
    <w:p w14:paraId="3EA769A1" w14:textId="77777777" w:rsidR="00F418EC" w:rsidRPr="00F418EC" w:rsidRDefault="00F418EC" w:rsidP="00F418EC">
      <w:pPr>
        <w:numPr>
          <w:ilvl w:val="0"/>
          <w:numId w:val="5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378C26D2"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for an Infant Outlier Payment:</w:t>
      </w:r>
      <w:r w:rsidRPr="00F418EC">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16BA1E42"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7D2786E4" w14:textId="77777777" w:rsidR="00F418EC" w:rsidRPr="00F418EC" w:rsidRDefault="00F418EC" w:rsidP="00F418EC">
      <w:pPr>
        <w:numPr>
          <w:ilvl w:val="0"/>
          <w:numId w:val="5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Payment to Hospitals:</w:t>
      </w:r>
      <w:r w:rsidRPr="00F418EC">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706ECC84" w14:textId="77777777" w:rsidR="00F418EC" w:rsidRPr="00F418EC" w:rsidRDefault="00F418EC" w:rsidP="00F418EC">
      <w:pPr>
        <w:numPr>
          <w:ilvl w:val="0"/>
          <w:numId w:val="5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Pediatric Outlier Payment Adjustment</w:t>
      </w:r>
    </w:p>
    <w:p w14:paraId="65A8CF2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1820C87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Pediatric Outlier Payment is calculated using the data and methodology as follows:</w:t>
      </w:r>
    </w:p>
    <w:p w14:paraId="3CB846C4" w14:textId="77777777" w:rsidR="00F418EC" w:rsidRPr="00F418EC" w:rsidRDefault="00F418EC" w:rsidP="00F418EC">
      <w:pPr>
        <w:numPr>
          <w:ilvl w:val="0"/>
          <w:numId w:val="5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Source:</w:t>
      </w:r>
      <w:r w:rsidRPr="00F418EC">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47FA180" w14:textId="77777777" w:rsidR="00F418EC" w:rsidRPr="00F418EC" w:rsidRDefault="00F418EC" w:rsidP="00F418EC">
      <w:pPr>
        <w:numPr>
          <w:ilvl w:val="0"/>
          <w:numId w:val="5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w:t>
      </w:r>
      <w:r w:rsidRPr="00F418EC">
        <w:rPr>
          <w:rFonts w:ascii="Times New Roman" w:eastAsiaTheme="minorHAnsi" w:hAnsi="Times New Roman"/>
          <w:spacing w:val="0"/>
          <w:szCs w:val="24"/>
        </w:rPr>
        <w:t xml:space="preserve">  Eligibility for the adjustment is determined as follows:</w:t>
      </w:r>
    </w:p>
    <w:p w14:paraId="2F636C3D" w14:textId="77777777" w:rsidR="00F418EC" w:rsidRPr="00F418EC" w:rsidRDefault="00F418EC" w:rsidP="00F418EC">
      <w:pPr>
        <w:numPr>
          <w:ilvl w:val="0"/>
          <w:numId w:val="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Long Lengths of Stay:</w:t>
      </w:r>
      <w:r w:rsidRPr="00F418EC">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143C379B" w14:textId="77777777" w:rsidR="00F418EC" w:rsidRPr="00F418EC" w:rsidRDefault="00F418EC" w:rsidP="00F418EC">
      <w:pPr>
        <w:numPr>
          <w:ilvl w:val="0"/>
          <w:numId w:val="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Exceptionally High Cost:</w:t>
      </w:r>
      <w:r w:rsidRPr="00F418EC">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652DE7CF"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average cost per Medicaid inpatient discharge for each Hospital is calculated.</w:t>
      </w:r>
    </w:p>
    <w:p w14:paraId="2D22DA60"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standard deviation for the cost per Medicaid inpatient discharge for each Hospital is calculated.</w:t>
      </w:r>
    </w:p>
    <w:p w14:paraId="2D20571D" w14:textId="77777777" w:rsidR="00F418EC" w:rsidRPr="00F418EC" w:rsidRDefault="00F418EC" w:rsidP="00F418EC">
      <w:pPr>
        <w:numPr>
          <w:ilvl w:val="0"/>
          <w:numId w:val="5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4CBABCE4" w14:textId="77777777" w:rsidR="00F418EC" w:rsidRPr="00F418EC" w:rsidRDefault="00F418EC" w:rsidP="00F418EC">
      <w:pPr>
        <w:numPr>
          <w:ilvl w:val="0"/>
          <w:numId w:val="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Eligibility for a Pediatric Outlier Payment:</w:t>
      </w:r>
      <w:r w:rsidRPr="00F418EC">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32ED4A00"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average Medicaid inpatient length of stay involving children greater than one year of age and less than six years of age. If this Hospital-specific average Medicaid inpatient length of stay equals or exceeds the threshold defined in </w:t>
      </w:r>
      <w:r w:rsidRPr="00F418EC">
        <w:rPr>
          <w:rFonts w:ascii="Times New Roman" w:eastAsiaTheme="minorHAnsi" w:hAnsi="Times New Roman"/>
          <w:b/>
          <w:spacing w:val="0"/>
          <w:szCs w:val="24"/>
        </w:rPr>
        <w:t>Section 5.B.9.b(2)(a)</w:t>
      </w:r>
      <w:r w:rsidRPr="00F418EC">
        <w:rPr>
          <w:rFonts w:ascii="Times New Roman" w:eastAsiaTheme="minorHAnsi" w:hAnsi="Times New Roman"/>
          <w:spacing w:val="0"/>
          <w:szCs w:val="24"/>
        </w:rPr>
        <w:t>, then the hospital is eligible for a Pediatric Outlier Payment.</w:t>
      </w:r>
    </w:p>
    <w:p w14:paraId="543CAD4D"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6D151DE" w14:textId="77777777" w:rsidR="00F418EC" w:rsidRPr="00F418EC" w:rsidRDefault="00F418EC" w:rsidP="00F418EC">
      <w:pPr>
        <w:numPr>
          <w:ilvl w:val="0"/>
          <w:numId w:val="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Annually, each Acute Hospital qualifying for a pediatric outlier adjustment will receive $1,000.</w:t>
      </w:r>
    </w:p>
    <w:p w14:paraId="173E84E6" w14:textId="1808CD9F" w:rsidR="00F418EC" w:rsidRPr="002E6C32" w:rsidRDefault="00F418EC" w:rsidP="002E6C32">
      <w:pPr>
        <w:pStyle w:val="ListParagraph"/>
        <w:numPr>
          <w:ilvl w:val="0"/>
          <w:numId w:val="271"/>
        </w:numPr>
        <w:spacing w:after="200"/>
        <w:outlineLvl w:val="1"/>
        <w:rPr>
          <w:rFonts w:ascii="Times New Roman" w:eastAsiaTheme="minorHAnsi" w:hAnsi="Times New Roman"/>
          <w:b/>
          <w:spacing w:val="0"/>
          <w:sz w:val="28"/>
          <w:szCs w:val="28"/>
        </w:rPr>
      </w:pPr>
      <w:bookmarkStart w:id="43" w:name="_Toc52374271"/>
      <w:r w:rsidRPr="002E6C32">
        <w:rPr>
          <w:rFonts w:ascii="Times New Roman" w:eastAsiaTheme="minorHAnsi" w:hAnsi="Times New Roman"/>
          <w:b/>
          <w:spacing w:val="0"/>
          <w:sz w:val="28"/>
          <w:szCs w:val="28"/>
        </w:rPr>
        <w:t>Outpatient Hospital Services</w:t>
      </w:r>
      <w:bookmarkEnd w:id="43"/>
    </w:p>
    <w:p w14:paraId="547D1776" w14:textId="77777777" w:rsidR="00F418EC" w:rsidRPr="00F418EC" w:rsidRDefault="00F418EC" w:rsidP="00F418EC">
      <w:pPr>
        <w:spacing w:after="200"/>
        <w:ind w:left="360"/>
        <w:rPr>
          <w:rFonts w:ascii="Times New Roman" w:eastAsiaTheme="minorHAnsi" w:hAnsi="Times New Roman"/>
          <w:b/>
          <w:i/>
          <w:spacing w:val="10"/>
          <w:szCs w:val="24"/>
        </w:rPr>
      </w:pPr>
      <w:r w:rsidRPr="00F418EC">
        <w:rPr>
          <w:rFonts w:ascii="Times New Roman" w:eastAsiaTheme="minorHAnsi" w:hAnsi="Times New Roman"/>
          <w:b/>
          <w:i/>
          <w:spacing w:val="10"/>
          <w:szCs w:val="24"/>
        </w:rPr>
        <w:t xml:space="preserve">Note: </w:t>
      </w:r>
      <w:r w:rsidRPr="00F418EC">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F418EC">
        <w:rPr>
          <w:rFonts w:ascii="Times New Roman" w:eastAsiaTheme="minorHAnsi" w:hAnsi="Times New Roman"/>
          <w:b/>
          <w:i/>
          <w:spacing w:val="10"/>
          <w:szCs w:val="24"/>
        </w:rPr>
        <w:t xml:space="preserve">Section 4.A.1, 4.A.2 or 4.A.5 </w:t>
      </w:r>
      <w:r w:rsidRPr="00F418EC">
        <w:rPr>
          <w:rFonts w:ascii="Times New Roman" w:eastAsiaTheme="minorHAnsi" w:hAnsi="Times New Roman"/>
          <w:i/>
          <w:spacing w:val="10"/>
          <w:szCs w:val="24"/>
        </w:rPr>
        <w:t>(as applicable) of this RFA.</w:t>
      </w:r>
    </w:p>
    <w:p w14:paraId="5DF9F4A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592B0B3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Except as otherwise provided for Outpatient Services specified in Section 4.C and Sections 5.C.3 through 5.C.11, Hospitals that are not Critical Access Hospitals will receive a Hospital-specific, Episode-specific payment for each payable Episode, known as the Adjudicated Payment per Episode of Care (APEC), calculated as set forth in </w:t>
      </w:r>
      <w:r w:rsidRPr="00F418EC">
        <w:rPr>
          <w:rFonts w:ascii="Times New Roman" w:eastAsiaTheme="minorHAnsi" w:hAnsi="Times New Roman"/>
          <w:b/>
          <w:spacing w:val="0"/>
          <w:szCs w:val="24"/>
        </w:rPr>
        <w:t>Section 5.C.1</w:t>
      </w:r>
      <w:r w:rsidRPr="00F418EC">
        <w:rPr>
          <w:rFonts w:ascii="Times New Roman" w:eastAsiaTheme="minorHAnsi" w:hAnsi="Times New Roman"/>
          <w:spacing w:val="0"/>
          <w:szCs w:val="24"/>
        </w:rPr>
        <w:t>, below.</w:t>
      </w:r>
    </w:p>
    <w:p w14:paraId="6359724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Critical Access Hospitals, payment for Outpatient Services is set forth in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w:t>
      </w:r>
    </w:p>
    <w:p w14:paraId="7981E3F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071329DD" w14:textId="77777777" w:rsidR="00F418EC" w:rsidRPr="00F418EC" w:rsidRDefault="00F418EC" w:rsidP="00F418EC">
      <w:pPr>
        <w:numPr>
          <w:ilvl w:val="0"/>
          <w:numId w:val="61"/>
        </w:numPr>
        <w:spacing w:after="200"/>
        <w:outlineLvl w:val="2"/>
        <w:rPr>
          <w:rFonts w:ascii="Times New Roman" w:eastAsiaTheme="minorHAnsi" w:hAnsi="Times New Roman"/>
          <w:b/>
          <w:spacing w:val="0"/>
          <w:szCs w:val="24"/>
        </w:rPr>
      </w:pPr>
      <w:bookmarkStart w:id="44" w:name="_Toc52374272"/>
      <w:r w:rsidRPr="00F418EC">
        <w:rPr>
          <w:rFonts w:ascii="Times New Roman" w:eastAsiaTheme="minorHAnsi" w:hAnsi="Times New Roman"/>
          <w:b/>
          <w:spacing w:val="0"/>
          <w:szCs w:val="24"/>
        </w:rPr>
        <w:t>Adjudicated Payment per Episode of Care</w:t>
      </w:r>
      <w:bookmarkEnd w:id="44"/>
    </w:p>
    <w:p w14:paraId="0539C081"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Rate Year 2021 APEC</w:t>
      </w:r>
    </w:p>
    <w:p w14:paraId="139AD7B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For dates of service in RY21,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F418EC">
        <w:rPr>
          <w:rFonts w:ascii="Times New Roman" w:eastAsiaTheme="minorHAnsi" w:hAnsi="Times New Roman"/>
          <w:b/>
          <w:spacing w:val="0"/>
          <w:szCs w:val="24"/>
        </w:rPr>
        <w:t xml:space="preserve"> Section 5.C.1.b</w:t>
      </w:r>
      <w:r w:rsidRPr="00F418EC">
        <w:rPr>
          <w:rFonts w:ascii="Times New Roman" w:eastAsiaTheme="minorHAnsi" w:hAnsi="Times New Roman"/>
          <w:spacing w:val="0"/>
          <w:szCs w:val="24"/>
        </w:rPr>
        <w:t>, below.</w:t>
      </w:r>
    </w:p>
    <w:p w14:paraId="3651C8C4"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Description of APEC payment method</w:t>
      </w:r>
    </w:p>
    <w:p w14:paraId="7A8FDFC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will equal the sum of (1) the Episode-Specific Total EAPG Payment, plus, (2) if applicable, an APEC Outlier Component, each as described in more detail, </w:t>
      </w:r>
      <w:r w:rsidRPr="00F418EC">
        <w:rPr>
          <w:rFonts w:ascii="Times New Roman" w:eastAsiaTheme="minorHAnsi" w:hAnsi="Times New Roman"/>
          <w:spacing w:val="0"/>
          <w:szCs w:val="24"/>
        </w:rPr>
        <w:lastRenderedPageBreak/>
        <w:t>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2019.</w:t>
      </w:r>
    </w:p>
    <w:p w14:paraId="7C8856DD" w14:textId="77777777" w:rsidR="00F418EC" w:rsidRPr="00F418EC" w:rsidRDefault="00F418EC" w:rsidP="00F418EC">
      <w:pPr>
        <w:numPr>
          <w:ilvl w:val="0"/>
          <w:numId w:val="63"/>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Episode-Specific Total EAPG Payment</w:t>
      </w:r>
    </w:p>
    <w:p w14:paraId="15795572"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p>
    <w:p w14:paraId="6ACFC550" w14:textId="77777777" w:rsidR="00F418EC" w:rsidRPr="00F418EC" w:rsidRDefault="00F418EC" w:rsidP="00F418EC">
      <w:pPr>
        <w:numPr>
          <w:ilvl w:val="0"/>
          <w:numId w:val="64"/>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Wage Adjusted APEC Outpatient Standard.</w:t>
      </w:r>
    </w:p>
    <w:p w14:paraId="3FD1722B"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6115A8DF" w14:textId="77777777" w:rsidR="00F418EC" w:rsidRPr="00F418EC" w:rsidRDefault="00F418EC" w:rsidP="00F418EC">
      <w:pPr>
        <w:numPr>
          <w:ilvl w:val="0"/>
          <w:numId w:val="65"/>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APEC Outpatient Statewide Standard</w:t>
      </w:r>
    </w:p>
    <w:p w14:paraId="16FC5745"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casemix, an efficiency standard, an outlier adjustment factor, inflation, and a conversion factor, as further described below. </w:t>
      </w:r>
    </w:p>
    <w:p w14:paraId="69ACA6E3"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Calculating the average outpatient cost per Episode for each Hospital:</w:t>
      </w:r>
      <w:r w:rsidRPr="00F418EC">
        <w:rPr>
          <w:rFonts w:ascii="Times New Roman" w:eastAsiaTheme="minorHAnsi" w:hAnsi="Times New Roman"/>
          <w:spacing w:val="0"/>
          <w:szCs w:val="24"/>
        </w:rPr>
        <w:t xml:space="preserve">  For each Hospital, an average outpatient cost per Episode for the APEC Base Year was calculated by multiplying the Hospital’s outpatient cost-to-charge ratio (CCR) by the Hospital’s MassHealth allowed outpatient charges for all FY14 PAPE paid Episodes (which product is the Hospital’s total costs), and then dividing this product by the Hospital’s total Episodes.  Each Hospital’s CCR was calculated by EOHHS using the Hospital’s FY14 -403 cost report.  The Hospital-specific Episodes and related charges were determined by EOHHS based on paid claims for Episodes residing in MMIS as of May 14, 2019, for the APEC Base Year, for which MassHealth was primary payer.</w:t>
      </w:r>
    </w:p>
    <w:p w14:paraId="1F8B54D8"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 xml:space="preserve">Wage area and casemix adjustments to calculate each hospital's standardized costs per episode: </w:t>
      </w:r>
      <w:r w:rsidRPr="00F418EC">
        <w:rPr>
          <w:rFonts w:ascii="Times New Roman" w:eastAsiaTheme="minorHAnsi" w:hAnsi="Times New Roman"/>
          <w:spacing w:val="0"/>
          <w:szCs w:val="24"/>
        </w:rPr>
        <w:t xml:space="preserve"> The labor portion of the average outpatient cost per Episode for each Hospital was adjusted by the Hospital's Massachusetts-specific wage area index, which was derived as specified in Section 5.B.1.b, and the labor and non-labor portions were then adjusted by the Hospital-Specific FY14 Outpatient Casemix Index (Outpatient CMI) to determine the Hospital’s standardized cost per Episode.  The Hospital-specific FY14 Outpatient CMI was determined based on FY14 PAPE paid claims data residing in MMIS as of May 14, 2019, for which MassHealth was primary payer.  For each Hospital and </w:t>
      </w:r>
      <w:r w:rsidRPr="00F418EC">
        <w:rPr>
          <w:rFonts w:ascii="Times New Roman" w:eastAsiaTheme="minorHAnsi" w:hAnsi="Times New Roman"/>
          <w:spacing w:val="0"/>
          <w:szCs w:val="24"/>
        </w:rPr>
        <w:lastRenderedPageBreak/>
        <w:t>month of FY14, an average EAPG weight per Episode was determined by (i) assigning individual EAPGs and associated MassHealth-developed EAPG weights, as adjusted by EOHHS, to the Hospital’s PAPE paid claims for the month (utilizing the 3M EAPG Grouper), (ii) summing the individual EAPG weights together, and then (iii) dividing that sum by the Hospital’s number of Episodes for the month. The sum of the Hospital’s twelve (12) monthly average EAPG weights per Episode for FY14 divided by 12 is the Hospital-specific FY14 Outpatient CMI.</w:t>
      </w:r>
    </w:p>
    <w:p w14:paraId="3F42980B"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Determining the efficiency standard:</w:t>
      </w:r>
      <w:r w:rsidRPr="00F418EC">
        <w:rPr>
          <w:rFonts w:ascii="Times New Roman" w:eastAsiaTheme="minorHAnsi" w:hAnsi="Times New Roman"/>
          <w:spacing w:val="0"/>
          <w:szCs w:val="24"/>
        </w:rPr>
        <w:t xml:space="preserve">  All Hospitals were then ranked from lowest to highest with respect to their standardized costs per Episode.  A cumulative frequency of FY19 MassHealth Episodes for the Hospitals was produced from MMIS paid claims on file as of May 24, 2020, for which MassHealth was the primary payer, and an efficiency standard established at the cost per Episode corresponding to the position on the cumulative frequency that represents 60% of the total number of statewide Episodes in MMIS.  The APEC efficiency standard is $701.63.</w:t>
      </w:r>
    </w:p>
    <w:p w14:paraId="78CFB2F6"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b/>
          <w:i/>
          <w:spacing w:val="10"/>
          <w:szCs w:val="24"/>
        </w:rPr>
        <w:t xml:space="preserve">Final calculation of the APEC Outpatient Statewide Standard: </w:t>
      </w:r>
      <w:r w:rsidRPr="00F418EC">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94%; and by (c) the Inflation Factors for Operating Costs between RY14 and RY21, and then dividing that result by a conversion factor of 1.111 .  The APEC Outpatient Statewide Standard is $639.69.  For Episodes that extend past midnight in the case of Emergency Department Services, Observation Services, or Remote Patient Monitoring Services, the APEC Outpatient Statewide Standard that applied to the first date of service shall apply to the entire Episode.</w:t>
      </w:r>
    </w:p>
    <w:p w14:paraId="531186D2" w14:textId="77777777" w:rsidR="00F418EC" w:rsidRPr="00F418EC" w:rsidRDefault="00F418EC" w:rsidP="00F418EC">
      <w:pPr>
        <w:numPr>
          <w:ilvl w:val="0"/>
          <w:numId w:val="65"/>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Wage Adjusted APEC Outpatient Standard</w:t>
      </w:r>
    </w:p>
    <w:p w14:paraId="626DFF14"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30DF8579"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0A103951"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t>For the Hospital that is a PPS-exempt cancer hospital under 42 CFR 412.23(f), the Hospital’s Wage Adjusted APEC Outpatient Standard will be $825.13.  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2B73A168" w14:textId="77777777" w:rsidR="00F418EC" w:rsidRPr="00F418EC" w:rsidRDefault="00F418EC" w:rsidP="00F418EC">
      <w:pPr>
        <w:spacing w:after="200"/>
        <w:ind w:left="21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For the Acute Hospitals identified as Group 1 safety net hospitals in Appendix N to the MassHealth 1115 waiver, its Wage Adjusted APEC Outpatient Standard shall be as listed in the chart that follows: </w:t>
      </w:r>
    </w:p>
    <w:tbl>
      <w:tblPr>
        <w:tblStyle w:val="TableGrid2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F418EC" w:rsidRPr="00F418EC" w14:paraId="4AAE594E" w14:textId="77777777" w:rsidTr="00626941">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E03E97A" w14:textId="77777777" w:rsidR="00F418EC" w:rsidRPr="00F418EC" w:rsidRDefault="00F418EC" w:rsidP="00F418EC">
            <w:pPr>
              <w:jc w:val="center"/>
              <w:rPr>
                <w:rFonts w:ascii="Times New Roman" w:hAnsi="Times New Roman"/>
                <w:b/>
                <w:bCs/>
                <w:spacing w:val="0"/>
                <w:sz w:val="22"/>
                <w:szCs w:val="22"/>
              </w:rPr>
            </w:pPr>
            <w:r w:rsidRPr="00F418EC">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20A6DD" w14:textId="77777777" w:rsidR="00F418EC" w:rsidRPr="00F418EC" w:rsidRDefault="00F418EC" w:rsidP="00F418EC">
            <w:pPr>
              <w:jc w:val="center"/>
              <w:rPr>
                <w:rFonts w:ascii="Times New Roman" w:hAnsi="Times New Roman"/>
                <w:b/>
                <w:bCs/>
                <w:spacing w:val="0"/>
                <w:sz w:val="22"/>
                <w:szCs w:val="22"/>
              </w:rPr>
            </w:pPr>
            <w:r w:rsidRPr="00F418EC">
              <w:rPr>
                <w:rFonts w:ascii="Times New Roman" w:hAnsi="Times New Roman"/>
                <w:b/>
                <w:bCs/>
                <w:spacing w:val="0"/>
                <w:szCs w:val="24"/>
              </w:rPr>
              <w:t xml:space="preserve">WAGE ADJUSTED APEC OUTPATIENT STANDARD </w:t>
            </w:r>
          </w:p>
        </w:tc>
      </w:tr>
      <w:tr w:rsidR="00F418EC" w:rsidRPr="00F418EC" w14:paraId="0B0DCE23"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EA31"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AB92002"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$702.71 </w:t>
            </w:r>
          </w:p>
        </w:tc>
      </w:tr>
      <w:tr w:rsidR="00F418EC" w:rsidRPr="00F418EC" w14:paraId="133208EA"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9CD4A"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C3548AE"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$731.71 </w:t>
            </w:r>
          </w:p>
        </w:tc>
      </w:tr>
      <w:tr w:rsidR="00F418EC" w:rsidRPr="00F418EC" w14:paraId="36060C02"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CBA59"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ED5AACC"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$654.30 </w:t>
            </w:r>
          </w:p>
        </w:tc>
      </w:tr>
      <w:tr w:rsidR="00F418EC" w:rsidRPr="00F418EC" w14:paraId="44AAFBA5" w14:textId="77777777" w:rsidTr="0062694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7B0A" w14:textId="77777777" w:rsidR="00F418EC" w:rsidRPr="00F418EC" w:rsidRDefault="00F418EC" w:rsidP="00F418EC">
            <w:pPr>
              <w:rPr>
                <w:rFonts w:ascii="Times New Roman" w:hAnsi="Times New Roman"/>
                <w:spacing w:val="0"/>
                <w:sz w:val="22"/>
                <w:szCs w:val="22"/>
              </w:rPr>
            </w:pPr>
            <w:r w:rsidRPr="00F418EC">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707E362" w14:textId="77777777" w:rsidR="00F418EC" w:rsidRPr="00F418EC" w:rsidRDefault="00F418EC" w:rsidP="00F418EC">
            <w:pPr>
              <w:jc w:val="center"/>
              <w:rPr>
                <w:rFonts w:ascii="Times New Roman" w:hAnsi="Times New Roman"/>
                <w:spacing w:val="0"/>
                <w:sz w:val="22"/>
                <w:szCs w:val="22"/>
              </w:rPr>
            </w:pPr>
            <w:r w:rsidRPr="00F418EC">
              <w:rPr>
                <w:rFonts w:ascii="Times New Roman" w:hAnsi="Times New Roman"/>
                <w:spacing w:val="0"/>
                <w:sz w:val="22"/>
                <w:szCs w:val="22"/>
              </w:rPr>
              <w:t xml:space="preserve">$686.54 </w:t>
            </w:r>
          </w:p>
        </w:tc>
      </w:tr>
    </w:tbl>
    <w:p w14:paraId="6E84C8FF" w14:textId="77777777" w:rsidR="00F418EC" w:rsidRPr="00F418EC" w:rsidRDefault="00F418EC" w:rsidP="00F418EC">
      <w:pPr>
        <w:ind w:left="2160"/>
        <w:rPr>
          <w:rFonts w:ascii="Times New Roman" w:eastAsiaTheme="minorHAnsi" w:hAnsi="Times New Roman"/>
          <w:spacing w:val="0"/>
          <w:szCs w:val="24"/>
        </w:rPr>
      </w:pPr>
    </w:p>
    <w:p w14:paraId="771FD997" w14:textId="77777777" w:rsidR="00F418EC" w:rsidRPr="00F418EC" w:rsidRDefault="00F418EC" w:rsidP="00F418EC">
      <w:pPr>
        <w:ind w:left="2160"/>
        <w:rPr>
          <w:rFonts w:ascii="Times New Roman" w:eastAsiaTheme="minorHAnsi" w:hAnsi="Times New Roman"/>
          <w:spacing w:val="0"/>
          <w:szCs w:val="24"/>
        </w:rPr>
      </w:pPr>
      <w:r w:rsidRPr="00F418EC">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1BEB78E8" w14:textId="77777777" w:rsidR="00F418EC" w:rsidRPr="00F418EC" w:rsidRDefault="00F418EC" w:rsidP="00F418EC">
      <w:pPr>
        <w:ind w:left="2160"/>
        <w:rPr>
          <w:rFonts w:ascii="Times New Roman" w:eastAsiaTheme="minorHAnsi" w:hAnsi="Times New Roman"/>
          <w:spacing w:val="0"/>
          <w:szCs w:val="24"/>
        </w:rPr>
      </w:pPr>
    </w:p>
    <w:p w14:paraId="338A2A48" w14:textId="77777777" w:rsidR="00F418EC" w:rsidRPr="00F418EC" w:rsidRDefault="00F418EC" w:rsidP="00F418EC">
      <w:pPr>
        <w:numPr>
          <w:ilvl w:val="0"/>
          <w:numId w:val="64"/>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Claim Detail Line’s “Adjusted EAPG Weight” </w:t>
      </w:r>
    </w:p>
    <w:p w14:paraId="5684E95E"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43F9937D" w14:textId="77777777" w:rsidR="00F418EC" w:rsidRPr="00F418EC" w:rsidRDefault="00F418EC" w:rsidP="00F418EC">
      <w:pPr>
        <w:keepNext/>
        <w:numPr>
          <w:ilvl w:val="0"/>
          <w:numId w:val="63"/>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APEC Outlier Component </w:t>
      </w:r>
    </w:p>
    <w:p w14:paraId="589C022B"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740C0AB4"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Episode-Specific Case Cost is determined by multiplying the Episode’s Total Allowed Charges by the Hospital’s FY18 Outpatient CCR, calculated by EOHHS using the Hospital’s FY18 Massachusetts Hospital Cost Report.  The Episode-Specific Case Cost is compared to the Episode-Specific Outlier Threshold, which </w:t>
      </w:r>
      <w:r w:rsidRPr="00F418EC">
        <w:rPr>
          <w:rFonts w:ascii="Times New Roman" w:eastAsiaTheme="minorHAnsi" w:hAnsi="Times New Roman"/>
          <w:spacing w:val="0"/>
          <w:szCs w:val="24"/>
        </w:rPr>
        <w:lastRenderedPageBreak/>
        <w:t xml:space="preserve">is the sum of the Episode-Specific Total EAPG Payment (calculated as described in </w:t>
      </w:r>
      <w:r w:rsidRPr="00F418EC">
        <w:rPr>
          <w:rFonts w:ascii="Times New Roman" w:eastAsiaTheme="minorHAnsi" w:hAnsi="Times New Roman"/>
          <w:b/>
          <w:spacing w:val="0"/>
          <w:szCs w:val="24"/>
        </w:rPr>
        <w:t>Section 5.C.1.b.(1)</w:t>
      </w:r>
      <w:r w:rsidRPr="00F418EC">
        <w:rPr>
          <w:rFonts w:ascii="Times New Roman" w:eastAsiaTheme="minorHAnsi" w:hAnsi="Times New Roman"/>
          <w:spacing w:val="0"/>
          <w:szCs w:val="24"/>
        </w:rPr>
        <w:t>, above) and the Fixed Outpatient Outlier Threshold of $4,000 .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D03887D"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In no case is an APEC Outlier Component payable if the Episode-Specific Total EAPG Payment is $0.</w:t>
      </w:r>
    </w:p>
    <w:p w14:paraId="5B97E8DE" w14:textId="77777777" w:rsidR="00F418EC" w:rsidRPr="00F418EC" w:rsidRDefault="00F418EC" w:rsidP="00F418EC">
      <w:pPr>
        <w:keepNext/>
        <w:numPr>
          <w:ilvl w:val="0"/>
          <w:numId w:val="63"/>
        </w:numPr>
        <w:spacing w:after="20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Calculation of the APEC</w:t>
      </w:r>
    </w:p>
    <w:p w14:paraId="6DCD7519"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APEC for the Episode is equal to the sum of the Episode-Specific Total EAPG Payment (calculated as set forth in </w:t>
      </w:r>
      <w:r w:rsidRPr="00F418EC">
        <w:rPr>
          <w:rFonts w:ascii="Times New Roman" w:eastAsiaTheme="minorHAnsi" w:hAnsi="Times New Roman"/>
          <w:b/>
          <w:spacing w:val="0"/>
          <w:szCs w:val="24"/>
        </w:rPr>
        <w:t>Section 5.C.1.b.(1)</w:t>
      </w:r>
      <w:r w:rsidRPr="00F418EC">
        <w:rPr>
          <w:rFonts w:ascii="Times New Roman" w:eastAsiaTheme="minorHAnsi" w:hAnsi="Times New Roman"/>
          <w:spacing w:val="0"/>
          <w:szCs w:val="24"/>
        </w:rPr>
        <w:t xml:space="preserve">, above) and the APEC Outlier Component (calculated as set forth in </w:t>
      </w:r>
      <w:r w:rsidRPr="00F418EC">
        <w:rPr>
          <w:rFonts w:ascii="Times New Roman" w:eastAsiaTheme="minorHAnsi" w:hAnsi="Times New Roman"/>
          <w:b/>
          <w:spacing w:val="0"/>
          <w:szCs w:val="24"/>
        </w:rPr>
        <w:t>Section 5.C.1.b.(2)</w:t>
      </w:r>
      <w:r w:rsidRPr="00F418EC">
        <w:rPr>
          <w:rFonts w:ascii="Times New Roman" w:eastAsiaTheme="minorHAnsi" w:hAnsi="Times New Roman"/>
          <w:spacing w:val="0"/>
          <w:szCs w:val="24"/>
        </w:rPr>
        <w:t xml:space="preserve">, above).  </w:t>
      </w:r>
    </w:p>
    <w:p w14:paraId="7E1221DC"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Table 5, and Tables 5.1 and 5.2</w:t>
      </w:r>
      <w:r w:rsidRPr="00F418EC">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8A9F6C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74C479DB" wp14:editId="357646AC">
            <wp:extent cx="5943600" cy="2865755"/>
            <wp:effectExtent l="0" t="0" r="0" b="0"/>
            <wp:docPr id="10" name="Picture 10" descr="Example of Hospital's RY21 APEC Calculation for a Single Episode" title="Tab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865755"/>
                    </a:xfrm>
                    <a:prstGeom prst="rect">
                      <a:avLst/>
                    </a:prstGeom>
                    <a:noFill/>
                    <a:ln>
                      <a:noFill/>
                    </a:ln>
                  </pic:spPr>
                </pic:pic>
              </a:graphicData>
            </a:graphic>
          </wp:inline>
        </w:drawing>
      </w:r>
    </w:p>
    <w:p w14:paraId="4B6CDB8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49C08059" wp14:editId="3E2AF7AC">
            <wp:extent cx="5943600" cy="908050"/>
            <wp:effectExtent l="0" t="0" r="0" b="6350"/>
            <wp:docPr id="11" name="Picture 11" descr="Hospital's Wage Adjusted APEC Outpatient Standard (Example)" title="Tabl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908050"/>
                    </a:xfrm>
                    <a:prstGeom prst="rect">
                      <a:avLst/>
                    </a:prstGeom>
                    <a:noFill/>
                    <a:ln>
                      <a:noFill/>
                    </a:ln>
                  </pic:spPr>
                </pic:pic>
              </a:graphicData>
            </a:graphic>
          </wp:inline>
        </w:drawing>
      </w:r>
    </w:p>
    <w:p w14:paraId="2A2E9C77"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lastRenderedPageBreak/>
        <w:drawing>
          <wp:inline distT="0" distB="0" distL="0" distR="0" wp14:anchorId="5B251322" wp14:editId="7E811318">
            <wp:extent cx="5943600" cy="5969635"/>
            <wp:effectExtent l="0" t="0" r="0" b="0"/>
            <wp:docPr id="12" name="Picture 12" descr="Claim Detail Line EAPG Payment Amounts (Example)" title="Tabl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969635"/>
                    </a:xfrm>
                    <a:prstGeom prst="rect">
                      <a:avLst/>
                    </a:prstGeom>
                    <a:noFill/>
                    <a:ln>
                      <a:noFill/>
                    </a:ln>
                  </pic:spPr>
                </pic:pic>
              </a:graphicData>
            </a:graphic>
          </wp:inline>
        </w:drawing>
      </w:r>
    </w:p>
    <w:p w14:paraId="59355393" w14:textId="77777777" w:rsidR="00F418EC" w:rsidRPr="00F418EC" w:rsidRDefault="00F418EC" w:rsidP="00F418EC">
      <w:pPr>
        <w:numPr>
          <w:ilvl w:val="0"/>
          <w:numId w:val="62"/>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System</w:t>
      </w:r>
    </w:p>
    <w:p w14:paraId="6DD420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MassHealth processes and pays clean outpatient claims in accordance with 130 CMR 450.000, et seq.</w:t>
      </w:r>
    </w:p>
    <w:p w14:paraId="7DE1FAF0" w14:textId="77777777" w:rsidR="00F418EC" w:rsidRPr="00F418EC" w:rsidRDefault="00F418EC" w:rsidP="00F418EC">
      <w:pPr>
        <w:numPr>
          <w:ilvl w:val="0"/>
          <w:numId w:val="66"/>
        </w:numPr>
        <w:spacing w:after="200"/>
        <w:ind w:left="720"/>
        <w:outlineLvl w:val="2"/>
        <w:rPr>
          <w:rFonts w:ascii="Times New Roman" w:eastAsiaTheme="minorHAnsi" w:hAnsi="Times New Roman"/>
          <w:b/>
          <w:spacing w:val="0"/>
          <w:szCs w:val="24"/>
        </w:rPr>
      </w:pPr>
      <w:bookmarkStart w:id="45" w:name="_Toc52374273"/>
      <w:r w:rsidRPr="00F418EC">
        <w:rPr>
          <w:rFonts w:ascii="Times New Roman" w:eastAsiaTheme="minorHAnsi" w:hAnsi="Times New Roman"/>
          <w:b/>
          <w:spacing w:val="0"/>
          <w:szCs w:val="24"/>
        </w:rPr>
        <w:t>Emergency Department Services</w:t>
      </w:r>
      <w:bookmarkEnd w:id="45"/>
    </w:p>
    <w:p w14:paraId="6164BEC0" w14:textId="77777777" w:rsidR="00F418EC" w:rsidRPr="00F418EC" w:rsidRDefault="00F418EC" w:rsidP="00F418EC">
      <w:pPr>
        <w:numPr>
          <w:ilvl w:val="0"/>
          <w:numId w:val="6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Required Screening</w:t>
      </w:r>
    </w:p>
    <w:p w14:paraId="70F6A570"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4135A3C9"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Hospital shall offer ESP Services to all Members presenting with a mental health and/or substance use disorder crisis in the Emergency Department or dedicated emergency department as defined in 42 CFR 489.24.  Furthermore, the Hospital is responsible for assisting in placement for fee-for-service Members requiring inpatient psychiatric treatment, in conjunction with the referring provider, MassHealth, and/or ESP.</w:t>
      </w:r>
    </w:p>
    <w:p w14:paraId="41D937A7" w14:textId="77777777" w:rsidR="00F418EC" w:rsidRPr="00F418EC" w:rsidRDefault="00F418EC" w:rsidP="00F418EC">
      <w:pPr>
        <w:numPr>
          <w:ilvl w:val="0"/>
          <w:numId w:val="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4538CF25" w14:textId="77777777" w:rsidR="00F418EC" w:rsidRPr="00F418EC" w:rsidRDefault="00F418EC" w:rsidP="00F418EC">
      <w:pPr>
        <w:numPr>
          <w:ilvl w:val="0"/>
          <w:numId w:val="6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Emergency Services</w:t>
      </w:r>
    </w:p>
    <w:p w14:paraId="2F6F913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Emergency Services provided in the Emergency Department in the same manner as other Outpatient Services.</w:t>
      </w:r>
    </w:p>
    <w:p w14:paraId="66239FFC" w14:textId="77777777" w:rsidR="00F418EC" w:rsidRPr="00F418EC" w:rsidRDefault="00F418EC" w:rsidP="00F418EC">
      <w:pPr>
        <w:numPr>
          <w:ilvl w:val="0"/>
          <w:numId w:val="69"/>
        </w:numPr>
        <w:spacing w:after="200"/>
        <w:ind w:left="720"/>
        <w:outlineLvl w:val="2"/>
        <w:rPr>
          <w:rFonts w:ascii="Times New Roman" w:eastAsiaTheme="minorHAnsi" w:hAnsi="Times New Roman"/>
          <w:b/>
          <w:spacing w:val="0"/>
          <w:szCs w:val="24"/>
        </w:rPr>
      </w:pPr>
      <w:bookmarkStart w:id="46" w:name="_Toc52374274"/>
      <w:r w:rsidRPr="00F418EC">
        <w:rPr>
          <w:rFonts w:ascii="Times New Roman" w:eastAsiaTheme="minorHAnsi" w:hAnsi="Times New Roman"/>
          <w:b/>
          <w:spacing w:val="0"/>
          <w:szCs w:val="24"/>
        </w:rPr>
        <w:t>Outpatient Hospital Services Payment Limitations</w:t>
      </w:r>
      <w:bookmarkEnd w:id="46"/>
      <w:r w:rsidRPr="00F418EC">
        <w:rPr>
          <w:rFonts w:ascii="Times New Roman" w:eastAsiaTheme="minorHAnsi" w:hAnsi="Times New Roman"/>
          <w:b/>
          <w:spacing w:val="0"/>
          <w:szCs w:val="24"/>
        </w:rPr>
        <w:t xml:space="preserve"> </w:t>
      </w:r>
    </w:p>
    <w:p w14:paraId="7FBD63AE" w14:textId="77777777" w:rsidR="00F418EC" w:rsidRPr="00F418EC" w:rsidRDefault="00F418EC" w:rsidP="00F418EC">
      <w:pPr>
        <w:numPr>
          <w:ilvl w:val="0"/>
          <w:numId w:val="7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Limitations on Outpatient Hospital Services Preceding an Admission</w:t>
      </w:r>
    </w:p>
    <w:p w14:paraId="1FA601F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F418EC">
        <w:rPr>
          <w:rFonts w:ascii="Times New Roman" w:eastAsiaTheme="minorHAnsi" w:hAnsi="Times New Roman"/>
          <w:b/>
          <w:spacing w:val="0"/>
          <w:szCs w:val="24"/>
        </w:rPr>
        <w:t>Section 5.B.3.b(3)</w:t>
      </w:r>
      <w:r w:rsidRPr="00F418EC">
        <w:rPr>
          <w:rFonts w:ascii="Times New Roman" w:eastAsiaTheme="minorHAnsi" w:hAnsi="Times New Roman"/>
          <w:spacing w:val="0"/>
          <w:szCs w:val="24"/>
        </w:rPr>
        <w:t>.</w:t>
      </w:r>
    </w:p>
    <w:p w14:paraId="3EA584F2" w14:textId="77777777" w:rsidR="00F418EC" w:rsidRPr="00F418EC" w:rsidRDefault="00F418EC" w:rsidP="00F418EC">
      <w:pPr>
        <w:numPr>
          <w:ilvl w:val="0"/>
          <w:numId w:val="7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Limitations on Outpatient Hospital Services to Inpatients</w:t>
      </w:r>
    </w:p>
    <w:p w14:paraId="6EE9FE3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21C9AC8B" w14:textId="77777777" w:rsidR="00F418EC" w:rsidRPr="00F418EC" w:rsidRDefault="00F418EC" w:rsidP="00F418EC">
      <w:pPr>
        <w:numPr>
          <w:ilvl w:val="0"/>
          <w:numId w:val="71"/>
        </w:numPr>
        <w:spacing w:after="200"/>
        <w:ind w:left="720"/>
        <w:outlineLvl w:val="2"/>
        <w:rPr>
          <w:rFonts w:ascii="Times New Roman" w:eastAsiaTheme="minorHAnsi" w:hAnsi="Times New Roman"/>
          <w:b/>
          <w:spacing w:val="0"/>
          <w:szCs w:val="24"/>
        </w:rPr>
      </w:pPr>
      <w:bookmarkStart w:id="47" w:name="_Toc52374275"/>
      <w:r w:rsidRPr="00F418EC">
        <w:rPr>
          <w:rFonts w:ascii="Times New Roman" w:eastAsiaTheme="minorHAnsi" w:hAnsi="Times New Roman"/>
          <w:b/>
          <w:spacing w:val="0"/>
          <w:szCs w:val="24"/>
        </w:rPr>
        <w:t>Physician Payments</w:t>
      </w:r>
      <w:bookmarkEnd w:id="47"/>
      <w:r w:rsidRPr="00F418EC">
        <w:rPr>
          <w:rFonts w:ascii="Times New Roman" w:eastAsiaTheme="minorHAnsi" w:hAnsi="Times New Roman"/>
          <w:b/>
          <w:spacing w:val="0"/>
          <w:szCs w:val="24"/>
        </w:rPr>
        <w:t xml:space="preserve"> </w:t>
      </w:r>
    </w:p>
    <w:p w14:paraId="50ED0505"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2FE67752"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Such reimbursement shall be the lower of (1) the fee established in 101 CMR 317.00 (Medicine), 101 CMR 316.00 (Surgery and Anesthesia), 101 CMR 318.00 (Radiology), 101 CMR 320.00 (Clinical Laboratory Services), and 101 CMR 446.03(2) (Remote Patient Monitoring),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w:t>
      </w:r>
      <w:r w:rsidRPr="00F418EC">
        <w:rPr>
          <w:rFonts w:ascii="Times New Roman" w:eastAsiaTheme="minorHAnsi" w:hAnsi="Times New Roman"/>
          <w:spacing w:val="0"/>
          <w:szCs w:val="24"/>
        </w:rPr>
        <w:lastRenderedPageBreak/>
        <w:t xml:space="preserve">for professional fees for practitioners other than Hospital-Based Physicians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w:t>
      </w:r>
    </w:p>
    <w:p w14:paraId="377C4AD9"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36503A4E"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Physician Services provided by residents and interns are not separately reimbursable.</w:t>
      </w:r>
    </w:p>
    <w:p w14:paraId="3ED98326"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F418EC">
        <w:rPr>
          <w:rFonts w:ascii="Times New Roman" w:eastAsiaTheme="minorHAnsi" w:hAnsi="Times New Roman"/>
          <w:b/>
          <w:spacing w:val="0"/>
          <w:szCs w:val="24"/>
        </w:rPr>
        <w:t>Section 5.C</w:t>
      </w:r>
      <w:r w:rsidRPr="00F418EC">
        <w:rPr>
          <w:rFonts w:ascii="Times New Roman" w:eastAsiaTheme="minorHAnsi" w:hAnsi="Times New Roman"/>
          <w:spacing w:val="0"/>
          <w:szCs w:val="24"/>
        </w:rPr>
        <w:t>.</w:t>
      </w:r>
    </w:p>
    <w:p w14:paraId="39892737" w14:textId="77777777" w:rsidR="00F418EC" w:rsidRPr="00F418EC" w:rsidRDefault="00F418EC" w:rsidP="00F418EC">
      <w:pPr>
        <w:numPr>
          <w:ilvl w:val="0"/>
          <w:numId w:val="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5DB23DB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Physician fee schedules are available at the State House Bookstore and at </w:t>
      </w:r>
      <w:hyperlink r:id="rId28"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w:t>
      </w:r>
    </w:p>
    <w:p w14:paraId="19F6CCC2" w14:textId="77777777" w:rsidR="00F418EC" w:rsidRPr="00F418EC" w:rsidRDefault="00F418EC" w:rsidP="00F418EC">
      <w:pPr>
        <w:numPr>
          <w:ilvl w:val="0"/>
          <w:numId w:val="73"/>
        </w:numPr>
        <w:spacing w:after="200"/>
        <w:ind w:left="720"/>
        <w:outlineLvl w:val="2"/>
        <w:rPr>
          <w:rFonts w:ascii="Times New Roman" w:eastAsiaTheme="minorHAnsi" w:hAnsi="Times New Roman"/>
          <w:b/>
          <w:spacing w:val="0"/>
          <w:szCs w:val="24"/>
        </w:rPr>
      </w:pPr>
      <w:bookmarkStart w:id="48" w:name="_Toc52374276"/>
      <w:r w:rsidRPr="00F418EC">
        <w:rPr>
          <w:rFonts w:ascii="Times New Roman" w:eastAsiaTheme="minorHAnsi" w:hAnsi="Times New Roman"/>
          <w:b/>
          <w:spacing w:val="0"/>
          <w:szCs w:val="24"/>
        </w:rPr>
        <w:t>Laboratory Services</w:t>
      </w:r>
      <w:bookmarkEnd w:id="48"/>
      <w:r w:rsidRPr="00F418EC">
        <w:rPr>
          <w:rFonts w:ascii="Times New Roman" w:eastAsiaTheme="minorHAnsi" w:hAnsi="Times New Roman"/>
          <w:b/>
          <w:spacing w:val="0"/>
          <w:szCs w:val="24"/>
        </w:rPr>
        <w:t xml:space="preserve"> </w:t>
      </w:r>
    </w:p>
    <w:p w14:paraId="2C19ED31" w14:textId="77777777" w:rsidR="00F418EC" w:rsidRPr="00F418EC" w:rsidRDefault="00F418EC" w:rsidP="00F418EC">
      <w:pPr>
        <w:numPr>
          <w:ilvl w:val="0"/>
          <w:numId w:val="74"/>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Laboratory Services</w:t>
      </w:r>
    </w:p>
    <w:p w14:paraId="79AD4BE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46250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maximum allowable payment for a laboratory service shall be at the lowest of the following:</w:t>
      </w:r>
    </w:p>
    <w:p w14:paraId="060843DC"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29" w:tooltip="Link to the Provider Payment Rates: Community Health Care Providers (Ambulatory Care) web page" w:history="1">
        <w:r w:rsidRPr="00F418EC">
          <w:rPr>
            <w:rFonts w:ascii="Times New Roman" w:eastAsiaTheme="minorHAnsi" w:hAnsi="Times New Roman"/>
            <w:spacing w:val="0"/>
            <w:szCs w:val="24"/>
            <w:u w:val="single"/>
          </w:rPr>
          <w:t>http://www.mass.gov/eohhs/gov/laws-regs/hhs/community-health-care-providers-ambulatory-care.html</w:t>
        </w:r>
      </w:hyperlink>
      <w:r w:rsidRPr="00F418EC">
        <w:rPr>
          <w:rFonts w:ascii="Times New Roman" w:eastAsiaTheme="minorHAnsi" w:hAnsi="Times New Roman"/>
          <w:spacing w:val="0"/>
          <w:szCs w:val="24"/>
        </w:rPr>
        <w:t>).</w:t>
      </w:r>
    </w:p>
    <w:p w14:paraId="06200420"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Hospital’s Usual and Customary Charge; or</w:t>
      </w:r>
    </w:p>
    <w:p w14:paraId="154AF1C1" w14:textId="77777777" w:rsidR="00F418EC" w:rsidRPr="00F418EC" w:rsidRDefault="00F418EC" w:rsidP="00F418EC">
      <w:pPr>
        <w:numPr>
          <w:ilvl w:val="0"/>
          <w:numId w:val="7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amount that would be recognized under 42 U.S.C. §1395</w:t>
      </w:r>
      <w:r w:rsidRPr="00F418EC">
        <w:rPr>
          <w:rFonts w:ascii="Times New Roman" w:eastAsiaTheme="minorHAnsi" w:hAnsi="Times New Roman"/>
          <w:i/>
          <w:spacing w:val="0"/>
          <w:szCs w:val="24"/>
        </w:rPr>
        <w:t>l</w:t>
      </w:r>
      <w:r w:rsidRPr="00F418EC">
        <w:rPr>
          <w:rFonts w:ascii="Times New Roman" w:eastAsiaTheme="minorHAnsi" w:hAnsi="Times New Roman"/>
          <w:spacing w:val="0"/>
          <w:szCs w:val="24"/>
        </w:rPr>
        <w:t xml:space="preserve">(h) for tests performed for a person with Medicare Part B benefits.  </w:t>
      </w:r>
    </w:p>
    <w:p w14:paraId="77294071" w14:textId="77777777" w:rsidR="00F418EC" w:rsidRPr="00F418EC" w:rsidRDefault="00F418EC" w:rsidP="00F418EC">
      <w:pPr>
        <w:keepNext/>
        <w:numPr>
          <w:ilvl w:val="0"/>
          <w:numId w:val="74"/>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lastRenderedPageBreak/>
        <w:t>Physician Services</w:t>
      </w:r>
    </w:p>
    <w:p w14:paraId="049A2C4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29A0A789" w14:textId="77777777" w:rsidR="00F418EC" w:rsidRPr="00F418EC" w:rsidRDefault="00F418EC" w:rsidP="00F418EC">
      <w:pPr>
        <w:numPr>
          <w:ilvl w:val="0"/>
          <w:numId w:val="76"/>
        </w:numPr>
        <w:spacing w:after="200"/>
        <w:ind w:left="720"/>
        <w:outlineLvl w:val="2"/>
        <w:rPr>
          <w:rFonts w:ascii="Times New Roman" w:eastAsiaTheme="minorHAnsi" w:hAnsi="Times New Roman"/>
          <w:b/>
          <w:spacing w:val="0"/>
          <w:szCs w:val="24"/>
        </w:rPr>
      </w:pPr>
      <w:bookmarkStart w:id="49" w:name="_Toc52374277"/>
      <w:r w:rsidRPr="00F418EC">
        <w:rPr>
          <w:rFonts w:ascii="Times New Roman" w:eastAsiaTheme="minorHAnsi" w:hAnsi="Times New Roman"/>
          <w:b/>
          <w:spacing w:val="0"/>
          <w:szCs w:val="24"/>
        </w:rPr>
        <w:t>Audiology Dispensing</w:t>
      </w:r>
      <w:bookmarkEnd w:id="49"/>
    </w:p>
    <w:p w14:paraId="1347F828" w14:textId="77777777" w:rsidR="00F418EC" w:rsidRPr="00F418EC" w:rsidRDefault="00F418EC" w:rsidP="00F418EC">
      <w:pPr>
        <w:numPr>
          <w:ilvl w:val="0"/>
          <w:numId w:val="7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Audiology Dispensing Services</w:t>
      </w:r>
    </w:p>
    <w:p w14:paraId="4B07D1A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be reimbursed for services designated as hearing and services in Subchapter 6 of the MassHealth </w:t>
      </w:r>
      <w:r w:rsidRPr="00F418EC">
        <w:rPr>
          <w:rFonts w:ascii="Times New Roman" w:eastAsiaTheme="minorHAnsi" w:hAnsi="Times New Roman"/>
          <w:i/>
          <w:spacing w:val="0"/>
          <w:szCs w:val="24"/>
        </w:rPr>
        <w:t>Audiologist Manual</w:t>
      </w:r>
      <w:r w:rsidRPr="00F418EC">
        <w:rPr>
          <w:rFonts w:ascii="Times New Roman" w:eastAsiaTheme="minorHAnsi" w:hAnsi="Times New Roman"/>
          <w:spacing w:val="0"/>
          <w:szCs w:val="24"/>
        </w:rPr>
        <w:t xml:space="preserve"> for providers under 130 CMR 426.000  These services will be performed only by a Hospital-based audiologist according to the Audiologist regulations at 130 CMR 426.00 et seq., and according to the fees established in 101 CMR 323.00 (Hearing Services).</w:t>
      </w:r>
    </w:p>
    <w:p w14:paraId="0602B336" w14:textId="77777777" w:rsidR="00F418EC" w:rsidRPr="00F418EC" w:rsidRDefault="00F418EC" w:rsidP="00F418EC">
      <w:pPr>
        <w:numPr>
          <w:ilvl w:val="0"/>
          <w:numId w:val="77"/>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30A1D34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provision of audiology dispensing services.</w:t>
      </w:r>
    </w:p>
    <w:p w14:paraId="4B33B252" w14:textId="77777777" w:rsidR="00F418EC" w:rsidRPr="00F418EC" w:rsidRDefault="00F418EC" w:rsidP="00F418EC">
      <w:pPr>
        <w:numPr>
          <w:ilvl w:val="0"/>
          <w:numId w:val="78"/>
        </w:numPr>
        <w:spacing w:after="200"/>
        <w:ind w:left="720"/>
        <w:outlineLvl w:val="2"/>
        <w:rPr>
          <w:rFonts w:ascii="Times New Roman" w:eastAsiaTheme="minorHAnsi" w:hAnsi="Times New Roman"/>
          <w:b/>
          <w:spacing w:val="0"/>
          <w:szCs w:val="24"/>
        </w:rPr>
      </w:pPr>
      <w:bookmarkStart w:id="50" w:name="_Toc52374278"/>
      <w:r w:rsidRPr="00F418EC">
        <w:rPr>
          <w:rFonts w:ascii="Times New Roman" w:eastAsiaTheme="minorHAnsi" w:hAnsi="Times New Roman"/>
          <w:b/>
          <w:spacing w:val="0"/>
          <w:szCs w:val="24"/>
        </w:rPr>
        <w:t>Dispensing of Ophthalmic Materials</w:t>
      </w:r>
      <w:bookmarkEnd w:id="50"/>
    </w:p>
    <w:p w14:paraId="194CD7F9" w14:textId="77777777" w:rsidR="00F418EC" w:rsidRPr="00F418EC" w:rsidRDefault="00F418EC" w:rsidP="00F418EC">
      <w:pPr>
        <w:numPr>
          <w:ilvl w:val="0"/>
          <w:numId w:val="7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Ophthalmic Materials Dispensing </w:t>
      </w:r>
    </w:p>
    <w:p w14:paraId="34061950"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6905F231" w14:textId="77777777" w:rsidR="00F418EC" w:rsidRPr="00F418EC" w:rsidRDefault="00F418EC" w:rsidP="00F418EC">
      <w:pPr>
        <w:numPr>
          <w:ilvl w:val="0"/>
          <w:numId w:val="7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242943B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provision of ophthalmic materials dispensing services.</w:t>
      </w:r>
    </w:p>
    <w:p w14:paraId="5E180F0F" w14:textId="77777777" w:rsidR="00F418EC" w:rsidRPr="00F418EC" w:rsidRDefault="00F418EC" w:rsidP="00F418EC">
      <w:pPr>
        <w:numPr>
          <w:ilvl w:val="0"/>
          <w:numId w:val="80"/>
        </w:numPr>
        <w:spacing w:after="200"/>
        <w:ind w:left="720"/>
        <w:outlineLvl w:val="2"/>
        <w:rPr>
          <w:rFonts w:ascii="Times New Roman" w:eastAsiaTheme="minorHAnsi" w:hAnsi="Times New Roman"/>
          <w:b/>
          <w:spacing w:val="0"/>
          <w:szCs w:val="24"/>
        </w:rPr>
      </w:pPr>
      <w:bookmarkStart w:id="51" w:name="_Toc52374279"/>
      <w:r w:rsidRPr="00F418EC">
        <w:rPr>
          <w:rFonts w:ascii="Times New Roman" w:eastAsiaTheme="minorHAnsi" w:hAnsi="Times New Roman"/>
          <w:b/>
          <w:spacing w:val="0"/>
          <w:szCs w:val="24"/>
        </w:rPr>
        <w:t>Dental Services</w:t>
      </w:r>
      <w:bookmarkEnd w:id="51"/>
      <w:r w:rsidRPr="00F418EC">
        <w:rPr>
          <w:rFonts w:ascii="Times New Roman" w:eastAsiaTheme="minorHAnsi" w:hAnsi="Times New Roman"/>
          <w:b/>
          <w:spacing w:val="0"/>
          <w:szCs w:val="24"/>
        </w:rPr>
        <w:t xml:space="preserve"> </w:t>
      </w:r>
    </w:p>
    <w:p w14:paraId="5C06A025" w14:textId="77777777" w:rsidR="00F418EC" w:rsidRPr="00F418EC" w:rsidRDefault="00F418EC" w:rsidP="00F418EC">
      <w:pPr>
        <w:numPr>
          <w:ilvl w:val="0"/>
          <w:numId w:val="8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Dental Services</w:t>
      </w:r>
    </w:p>
    <w:p w14:paraId="053A824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0A4F201" w14:textId="77777777" w:rsidR="00F418EC" w:rsidRPr="00F418EC" w:rsidRDefault="00F418EC" w:rsidP="00F418EC">
      <w:pPr>
        <w:numPr>
          <w:ilvl w:val="0"/>
          <w:numId w:val="8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42E4CEC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may not bill for Hospital-Based Physician (which, as defined in Section 2, includes dentists) services related to the provision of dental services, except when the </w:t>
      </w:r>
      <w:r w:rsidRPr="00F418EC">
        <w:rPr>
          <w:rFonts w:ascii="Times New Roman" w:eastAsiaTheme="minorHAnsi" w:hAnsi="Times New Roman"/>
          <w:spacing w:val="0"/>
          <w:szCs w:val="24"/>
        </w:rPr>
        <w:lastRenderedPageBreak/>
        <w:t>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5EDD8DE5"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2" w:name="_Toc52374280"/>
      <w:r w:rsidRPr="00F418EC">
        <w:rPr>
          <w:rFonts w:ascii="Times New Roman" w:eastAsiaTheme="minorHAnsi" w:hAnsi="Times New Roman"/>
          <w:b/>
          <w:spacing w:val="0"/>
          <w:szCs w:val="24"/>
        </w:rPr>
        <w:t>APEC Carve-Out Drugs</w:t>
      </w:r>
      <w:bookmarkEnd w:id="52"/>
    </w:p>
    <w:p w14:paraId="74996FB7" w14:textId="77777777" w:rsidR="00F418EC" w:rsidRPr="00F418EC" w:rsidRDefault="00F418EC" w:rsidP="00F418EC">
      <w:pPr>
        <w:numPr>
          <w:ilvl w:val="0"/>
          <w:numId w:val="8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APEC Carve-Out Drugs and Prior Approval Requirements</w:t>
      </w:r>
    </w:p>
    <w:p w14:paraId="3D5FC467" w14:textId="77777777" w:rsidR="00F418EC" w:rsidRPr="00F418EC" w:rsidRDefault="00F418EC" w:rsidP="00F418EC">
      <w:pPr>
        <w:numPr>
          <w:ilvl w:val="0"/>
          <w:numId w:val="8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0" w:tooltip="Link to the MassHealth Drug List website." w:history="1">
        <w:r w:rsidRPr="00F418EC">
          <w:rPr>
            <w:rFonts w:ascii="Times New Roman" w:eastAsiaTheme="minorHAnsi" w:hAnsi="Times New Roman"/>
            <w:spacing w:val="0"/>
            <w:szCs w:val="24"/>
            <w:u w:val="single"/>
          </w:rPr>
          <w:t>https://masshealthdruglist.ehs.state.ma.us/MHDL/welcome.do</w:t>
        </w:r>
      </w:hyperlink>
      <w:r w:rsidRPr="00F418EC">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1DFE8640" w14:textId="77777777" w:rsidR="00F418EC" w:rsidRPr="00F418EC" w:rsidRDefault="00F418EC" w:rsidP="00F418EC">
      <w:pPr>
        <w:numPr>
          <w:ilvl w:val="0"/>
          <w:numId w:val="8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F418EC">
        <w:rPr>
          <w:rFonts w:ascii="Times New Roman" w:eastAsiaTheme="minorHAnsi" w:hAnsi="Times New Roman"/>
          <w:b/>
          <w:spacing w:val="0"/>
          <w:szCs w:val="24"/>
        </w:rPr>
        <w:t>Sections 4.B.3 and 6.A</w:t>
      </w:r>
      <w:r w:rsidRPr="00F418EC">
        <w:rPr>
          <w:rFonts w:ascii="Times New Roman" w:eastAsiaTheme="minorHAnsi" w:hAnsi="Times New Roman"/>
          <w:spacing w:val="0"/>
          <w:szCs w:val="24"/>
        </w:rPr>
        <w:t>.</w:t>
      </w:r>
    </w:p>
    <w:p w14:paraId="48710F21" w14:textId="77777777" w:rsidR="00F418EC" w:rsidRPr="00F418EC" w:rsidRDefault="00F418EC" w:rsidP="00F418EC">
      <w:pPr>
        <w:numPr>
          <w:ilvl w:val="0"/>
          <w:numId w:val="83"/>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APEC Carve-Out Drugs </w:t>
      </w:r>
    </w:p>
    <w:p w14:paraId="345E4293" w14:textId="77777777" w:rsidR="00F418EC" w:rsidRPr="00F418EC" w:rsidRDefault="00F418EC" w:rsidP="00F418EC">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1F2CD639" w14:textId="77777777" w:rsidR="00F418EC" w:rsidRPr="00F418EC" w:rsidRDefault="00F418EC" w:rsidP="00F418EC">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Payment to the Hospital for an APEC Carve-Out Drug is conditioned on and subject to all of the following:</w:t>
      </w:r>
    </w:p>
    <w:p w14:paraId="162313DD"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F418EC">
        <w:rPr>
          <w:rFonts w:ascii="Times New Roman" w:eastAsiaTheme="minorHAnsi" w:hAnsi="Times New Roman"/>
          <w:b/>
          <w:spacing w:val="0"/>
          <w:szCs w:val="24"/>
        </w:rPr>
        <w:t>Section 6.A</w:t>
      </w:r>
      <w:r w:rsidRPr="00F418EC">
        <w:rPr>
          <w:rFonts w:ascii="Times New Roman" w:eastAsiaTheme="minorHAnsi" w:hAnsi="Times New Roman"/>
          <w:spacing w:val="0"/>
          <w:szCs w:val="24"/>
        </w:rPr>
        <w:t>).</w:t>
      </w:r>
    </w:p>
    <w:p w14:paraId="5ABDBFE1"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3C76F63A"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 must claim payment for APEC Carve-Out Drugs in accordance with applicable MassHealth billing instructions, including without limitation, as set forth herein, in MassHealth billing instructions for 837I via DDE claims </w:t>
      </w:r>
      <w:r w:rsidRPr="00F418EC">
        <w:rPr>
          <w:rFonts w:ascii="Times New Roman" w:eastAsiaTheme="minorHAnsi" w:hAnsi="Times New Roman"/>
          <w:spacing w:val="0"/>
          <w:szCs w:val="24"/>
        </w:rPr>
        <w:lastRenderedPageBreak/>
        <w:t xml:space="preserve">(unless otherwise indicated) and in any special billing instructions for Acute Outpatient Hospital claims for APEC Carve-Out Drugs that may be published under “Billing Tips” on the MassHealth website at </w:t>
      </w:r>
      <w:hyperlink r:id="rId31" w:tooltip="Go to the MassHealth Billing Tips web page." w:history="1">
        <w:r w:rsidRPr="00F418EC">
          <w:rPr>
            <w:rFonts w:ascii="Times New Roman" w:eastAsiaTheme="minorHAnsi" w:hAnsi="Times New Roman"/>
            <w:spacing w:val="0"/>
            <w:szCs w:val="24"/>
            <w:u w:val="single"/>
          </w:rPr>
          <w:t>https://www.mass.gov/service-details/billing-tips</w:t>
        </w:r>
      </w:hyperlink>
      <w:r w:rsidRPr="00F418EC">
        <w:rPr>
          <w:rFonts w:ascii="Times New Roman" w:eastAsiaTheme="minorHAnsi" w:hAnsi="Times New Roman"/>
          <w:spacing w:val="0"/>
          <w:szCs w:val="24"/>
        </w:rPr>
        <w:t>.  EOHHS may update the billing instructions from time to time.</w:t>
      </w:r>
    </w:p>
    <w:p w14:paraId="3AD0E098"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418EC">
        <w:rPr>
          <w:rFonts w:ascii="Times New Roman" w:eastAsiaTheme="minorHAnsi" w:hAnsi="Times New Roman"/>
          <w:b/>
          <w:spacing w:val="0"/>
          <w:szCs w:val="24"/>
        </w:rPr>
        <w:t>Section 5.C.9.b.(1)</w:t>
      </w:r>
      <w:r w:rsidRPr="00F418EC">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418EC">
        <w:rPr>
          <w:rFonts w:ascii="Times New Roman" w:eastAsiaTheme="minorHAnsi" w:hAnsi="Times New Roman"/>
          <w:b/>
          <w:spacing w:val="0"/>
          <w:szCs w:val="24"/>
        </w:rPr>
        <w:t>Section 5.C.9.b.(1)</w:t>
      </w:r>
      <w:r w:rsidRPr="00F418EC">
        <w:rPr>
          <w:rFonts w:ascii="Times New Roman" w:eastAsiaTheme="minorHAnsi" w:hAnsi="Times New Roman"/>
          <w:spacing w:val="0"/>
          <w:szCs w:val="24"/>
        </w:rPr>
        <w:t>, upon request.</w:t>
      </w:r>
    </w:p>
    <w:p w14:paraId="7A44F2AB" w14:textId="77777777" w:rsidR="00F418EC" w:rsidRPr="00F418EC" w:rsidRDefault="00F418EC" w:rsidP="00F418EC">
      <w:pPr>
        <w:numPr>
          <w:ilvl w:val="0"/>
          <w:numId w:val="8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21E86F4" w14:textId="77777777" w:rsidR="00F418EC" w:rsidRPr="00F418EC" w:rsidRDefault="00F418EC" w:rsidP="00F418EC">
      <w:p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282C09CC" w14:textId="77777777" w:rsidR="00F418EC" w:rsidRPr="00F418EC" w:rsidRDefault="00F418EC" w:rsidP="00F418EC">
      <w:pPr>
        <w:numPr>
          <w:ilvl w:val="0"/>
          <w:numId w:val="85"/>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Any MassHealth payment made to the Hospital for an APEC Carve-Out Drug based on a claim or invoice submitted by a Hospital for an amount that exceeds the Hospital’s actual acquisition cost of the Drug, as defined in </w:t>
      </w:r>
      <w:r w:rsidRPr="00F418EC">
        <w:rPr>
          <w:rFonts w:ascii="Times New Roman" w:eastAsiaTheme="minorHAnsi" w:hAnsi="Times New Roman"/>
          <w:b/>
          <w:spacing w:val="0"/>
          <w:szCs w:val="24"/>
        </w:rPr>
        <w:t xml:space="preserve">Section </w:t>
      </w:r>
      <w:r w:rsidRPr="00F418EC">
        <w:rPr>
          <w:rFonts w:ascii="Times New Roman" w:eastAsiaTheme="minorHAnsi" w:hAnsi="Times New Roman"/>
          <w:b/>
          <w:spacing w:val="0"/>
          <w:szCs w:val="24"/>
        </w:rPr>
        <w:lastRenderedPageBreak/>
        <w:t>5.C.9.b.(1)</w:t>
      </w:r>
      <w:r w:rsidRPr="00F418EC">
        <w:rPr>
          <w:rFonts w:ascii="Times New Roman" w:eastAsiaTheme="minorHAnsi" w:hAnsi="Times New Roman"/>
          <w:spacing w:val="0"/>
          <w:szCs w:val="24"/>
        </w:rPr>
        <w:t xml:space="preserve">, or under circumstances in which EOHHS determines there was noncompliance with the requirements set forth in </w:t>
      </w:r>
      <w:r w:rsidRPr="00F418EC">
        <w:rPr>
          <w:rFonts w:ascii="Times New Roman" w:eastAsiaTheme="minorHAnsi" w:hAnsi="Times New Roman"/>
          <w:b/>
          <w:spacing w:val="0"/>
          <w:szCs w:val="24"/>
        </w:rPr>
        <w:t>Section 5.C.9.b.(2)</w:t>
      </w:r>
      <w:r w:rsidRPr="00F418EC">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3C8091B4"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3" w:name="_Toc52374281"/>
      <w:r w:rsidRPr="00F418EC">
        <w:rPr>
          <w:rFonts w:ascii="Times New Roman" w:eastAsiaTheme="minorHAnsi" w:hAnsi="Times New Roman"/>
          <w:b/>
          <w:spacing w:val="0"/>
          <w:szCs w:val="24"/>
        </w:rPr>
        <w:t>Emergency Department-Dispensed Nasal Naloxone Packages</w:t>
      </w:r>
      <w:bookmarkEnd w:id="53"/>
    </w:p>
    <w:p w14:paraId="2B6281E1" w14:textId="77777777" w:rsidR="00F418EC" w:rsidRPr="00F418EC" w:rsidRDefault="00F418EC" w:rsidP="00F418EC">
      <w:pPr>
        <w:numPr>
          <w:ilvl w:val="1"/>
          <w:numId w:val="8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Payment for Emergency Department-Dispensed Nasal Naloxone Packages </w:t>
      </w:r>
    </w:p>
    <w:p w14:paraId="7D1D664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6BE8E3CA" w14:textId="77777777" w:rsidR="00F418EC" w:rsidRPr="00F418EC" w:rsidRDefault="00F418EC" w:rsidP="00F418EC">
      <w:pPr>
        <w:numPr>
          <w:ilvl w:val="1"/>
          <w:numId w:val="8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Physician Payment</w:t>
      </w:r>
    </w:p>
    <w:p w14:paraId="6077B94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C0C1DED" w14:textId="77777777" w:rsidR="00F418EC" w:rsidRPr="00F418EC" w:rsidRDefault="00F418EC" w:rsidP="00F418EC">
      <w:pPr>
        <w:numPr>
          <w:ilvl w:val="0"/>
          <w:numId w:val="82"/>
        </w:numPr>
        <w:spacing w:after="200"/>
        <w:ind w:left="720"/>
        <w:outlineLvl w:val="2"/>
        <w:rPr>
          <w:rFonts w:ascii="Times New Roman" w:eastAsiaTheme="minorHAnsi" w:hAnsi="Times New Roman"/>
          <w:b/>
          <w:spacing w:val="0"/>
          <w:szCs w:val="24"/>
        </w:rPr>
      </w:pPr>
      <w:bookmarkStart w:id="54" w:name="_Toc52374282"/>
      <w:r w:rsidRPr="00F418EC">
        <w:rPr>
          <w:rFonts w:ascii="Times New Roman" w:eastAsiaTheme="minorHAnsi" w:hAnsi="Times New Roman"/>
          <w:b/>
          <w:spacing w:val="0"/>
          <w:szCs w:val="24"/>
        </w:rPr>
        <w:t>ESP Services for Behavioral Health Crises in the Emergency Department</w:t>
      </w:r>
      <w:bookmarkEnd w:id="54"/>
    </w:p>
    <w:p w14:paraId="2CAB112B" w14:textId="57F85CE1" w:rsidR="000F528A" w:rsidRDefault="00F418EC" w:rsidP="000F528A">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providing Emergency Service Program (ESP) services in the Emergency Department to Members experiencing Behavioral Health crises in accordance with All Provider Bulletin 291 will be reimbursed in accordance with the fees set forth in 101 CMR 306.00:  </w:t>
      </w:r>
      <w:r w:rsidRPr="00F418EC">
        <w:rPr>
          <w:rFonts w:ascii="Times New Roman" w:eastAsiaTheme="minorHAnsi" w:hAnsi="Times New Roman"/>
          <w:i/>
          <w:iCs/>
          <w:spacing w:val="0"/>
          <w:szCs w:val="24"/>
        </w:rPr>
        <w:t>Rates of Payment for Mental Health Services Provided in Community Health Centers and Mental Health Centers</w:t>
      </w:r>
      <w:r w:rsidRPr="00F418EC">
        <w:rPr>
          <w:rFonts w:ascii="Times New Roman" w:eastAsiaTheme="minorHAnsi" w:hAnsi="Times New Roman"/>
          <w:spacing w:val="0"/>
          <w:szCs w:val="24"/>
        </w:rPr>
        <w:t xml:space="preserve">.  This payment is in addition to any payment that the Hospital may receive pursuant to </w:t>
      </w:r>
      <w:r w:rsidRPr="00F418EC">
        <w:rPr>
          <w:rFonts w:ascii="Times New Roman" w:eastAsiaTheme="minorHAnsi" w:hAnsi="Times New Roman"/>
          <w:b/>
          <w:spacing w:val="0"/>
          <w:szCs w:val="24"/>
        </w:rPr>
        <w:t>Section 5.C</w:t>
      </w:r>
      <w:r w:rsidRPr="00F418EC">
        <w:rPr>
          <w:rFonts w:ascii="Times New Roman" w:eastAsiaTheme="minorHAnsi" w:hAnsi="Times New Roman"/>
          <w:spacing w:val="0"/>
          <w:szCs w:val="24"/>
        </w:rPr>
        <w:t xml:space="preserve"> for services rendered to the member as part of the Emergency Department visit. </w:t>
      </w:r>
      <w:bookmarkStart w:id="55" w:name="_Toc52374283"/>
    </w:p>
    <w:p w14:paraId="5ECC2902" w14:textId="7EF4E314" w:rsidR="008C5C0D" w:rsidRPr="00F418EC" w:rsidRDefault="008C5C0D" w:rsidP="008C5C0D">
      <w:pPr>
        <w:numPr>
          <w:ilvl w:val="0"/>
          <w:numId w:val="271"/>
        </w:numPr>
        <w:spacing w:after="200"/>
        <w:outlineLvl w:val="1"/>
        <w:rPr>
          <w:rFonts w:ascii="Times New Roman" w:eastAsiaTheme="minorHAnsi" w:hAnsi="Times New Roman"/>
          <w:b/>
          <w:spacing w:val="0"/>
          <w:sz w:val="28"/>
          <w:szCs w:val="28"/>
        </w:rPr>
      </w:pPr>
      <w:r w:rsidRPr="00F418EC">
        <w:rPr>
          <w:rFonts w:ascii="Times New Roman" w:eastAsiaTheme="minorHAnsi" w:hAnsi="Times New Roman"/>
          <w:b/>
          <w:spacing w:val="0"/>
          <w:sz w:val="28"/>
          <w:szCs w:val="28"/>
        </w:rPr>
        <w:t>Reimbursement for Unique Circumstances</w:t>
      </w:r>
    </w:p>
    <w:p w14:paraId="5041DF23" w14:textId="77777777" w:rsidR="00F418EC" w:rsidRPr="00F418EC" w:rsidRDefault="00F418EC" w:rsidP="00F418EC">
      <w:pPr>
        <w:numPr>
          <w:ilvl w:val="0"/>
          <w:numId w:val="87"/>
        </w:numPr>
        <w:spacing w:after="200"/>
        <w:outlineLvl w:val="2"/>
        <w:rPr>
          <w:rFonts w:ascii="Times New Roman" w:eastAsiaTheme="minorHAnsi" w:hAnsi="Times New Roman"/>
          <w:b/>
          <w:spacing w:val="0"/>
          <w:szCs w:val="24"/>
        </w:rPr>
      </w:pPr>
      <w:bookmarkStart w:id="56" w:name="_Toc52374284"/>
      <w:bookmarkEnd w:id="55"/>
      <w:r w:rsidRPr="00F418EC">
        <w:rPr>
          <w:rFonts w:ascii="Times New Roman" w:eastAsiaTheme="minorHAnsi" w:hAnsi="Times New Roman"/>
          <w:b/>
          <w:spacing w:val="0"/>
          <w:szCs w:val="24"/>
        </w:rPr>
        <w:t>High Public Payer Hospital Supplemental Payment</w:t>
      </w:r>
      <w:bookmarkEnd w:id="56"/>
    </w:p>
    <w:p w14:paraId="0A1A2F6A" w14:textId="77777777" w:rsidR="00F418EC" w:rsidRPr="00F418EC" w:rsidRDefault="00F418EC" w:rsidP="00F418EC">
      <w:pPr>
        <w:numPr>
          <w:ilvl w:val="0"/>
          <w:numId w:val="8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2999A5FD" w14:textId="77777777" w:rsidR="00F418EC" w:rsidRPr="00F418EC" w:rsidRDefault="00F418EC" w:rsidP="00F418EC">
      <w:pPr>
        <w:spacing w:after="200"/>
        <w:ind w:left="108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High Public Payer Hospital Supplemental Payment, a Hospital’s FY19 public payer percentage, which is the ratio of the Hospital’s FY19 Gross Patient Service Revenue from government payers and free care to the Hospital’s FY19 Gross Patient Service Revenue (“FY19 Public Payer Percentage”), must exceed 63% (“High Public Payer Threshold”), as determined by EOHHS based on the Hospital’s FY19 Massachusetts Hospital Cost Report.  </w:t>
      </w:r>
    </w:p>
    <w:p w14:paraId="0681A265" w14:textId="77777777" w:rsidR="00F418EC" w:rsidRPr="00F418EC" w:rsidRDefault="00F418EC" w:rsidP="00F418EC">
      <w:pPr>
        <w:numPr>
          <w:ilvl w:val="0"/>
          <w:numId w:val="8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Methodology</w:t>
      </w:r>
    </w:p>
    <w:p w14:paraId="363FBB1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w:t>
      </w:r>
      <w:r w:rsidRPr="00F418EC">
        <w:rPr>
          <w:rFonts w:ascii="Times New Roman" w:eastAsiaTheme="minorHAnsi" w:hAnsi="Times New Roman"/>
          <w:spacing w:val="0"/>
          <w:szCs w:val="24"/>
        </w:rPr>
        <w:lastRenderedPageBreak/>
        <w:t xml:space="preserve">criteria set forth in </w:t>
      </w:r>
      <w:r w:rsidRPr="00F418EC">
        <w:rPr>
          <w:rFonts w:ascii="Times New Roman" w:eastAsiaTheme="minorHAnsi" w:hAnsi="Times New Roman"/>
          <w:b/>
          <w:bCs/>
          <w:spacing w:val="0"/>
          <w:szCs w:val="24"/>
        </w:rPr>
        <w:t>Section 5.D.1.a</w:t>
      </w:r>
      <w:r w:rsidRPr="00F418EC">
        <w:rPr>
          <w:rFonts w:ascii="Times New Roman" w:eastAsiaTheme="minorHAnsi" w:hAnsi="Times New Roman"/>
          <w:spacing w:val="0"/>
          <w:szCs w:val="24"/>
        </w:rPr>
        <w:t xml:space="preserve"> (each an “Eligible Hospital” for purposes of this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allocated $6.5 million to inpatient and $6.5 million to outpatient.</w:t>
      </w:r>
    </w:p>
    <w:p w14:paraId="45F9E06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spacing w:val="0"/>
          <w:szCs w:val="24"/>
        </w:rPr>
        <w:t>Section 5.D.1</w:t>
      </w:r>
      <w:r w:rsidRPr="00F418EC">
        <w:rPr>
          <w:rFonts w:ascii="Times New Roman" w:eastAsiaTheme="minorHAnsi" w:hAnsi="Times New Roman"/>
          <w:spacing w:val="0"/>
          <w:szCs w:val="24"/>
        </w:rPr>
        <w:t>, references to “MCOs” include only “traditional” MCOs, and exclude ACPPs, SCOs, and One Care plans.</w:t>
      </w:r>
    </w:p>
    <w:p w14:paraId="1E2301A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4004020B"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EOHHS will calculate each Eligible Hospital’s Weighted Discharge Volume by summing 60% of the Hospital’s FY21 Accountable Care Partnership Plan (ACPP) and Primary Care ACO discharge volume, 20% of the Hospital’s FY21 MCO discharge volume, and 20% of the Hospital’s FY21 PCC Plan discharge volume;</w:t>
      </w:r>
    </w:p>
    <w:p w14:paraId="74CF42AC"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Second, EOHHS will calculate each Eligible Hospital’s Pro-Rata Discharge Volume by dividing its Weighted Discharge Volume by the sum of all Eligible Hospitals’ Weighted Discharge Volumes;</w:t>
      </w:r>
    </w:p>
    <w:p w14:paraId="4E3DC927"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Third, EOHHS will calculate each Eligible Hospital’s HPP Ratio by:</w:t>
      </w:r>
    </w:p>
    <w:p w14:paraId="335AC2FF"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Subtracting the 63% High Public Payer Threshold from that Hospital’s FY19 Public Payer Percentage;</w:t>
      </w:r>
    </w:p>
    <w:p w14:paraId="3BF784B5"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Multiplying that difference by 12%; and</w:t>
      </w:r>
    </w:p>
    <w:p w14:paraId="21AAE5F4" w14:textId="2974E77C"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Adding 2% to that product; </w:t>
      </w:r>
    </w:p>
    <w:p w14:paraId="34447F15"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Fourth, EOHHS will calculate each Eligible Hospital’s Inpatient HPP Distribution Percentage by multiplying its Pro-Rata Discharge Volume by its HPP Ratio;</w:t>
      </w:r>
    </w:p>
    <w:p w14:paraId="42CC205F"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2C02AAE3"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Sixth, EOHHS will calculate the inpatient portion of each Eligible Hospital’s supplemental payment by multiplying its Inpatient HPP Payment Factor by $6.5 million.</w:t>
      </w:r>
    </w:p>
    <w:p w14:paraId="7D62A02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4BA6E244"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EOHHS will calculate each Eligible Hospital’s Weighted Episode Volume by summing 60% of the Hospital’s FY21 ACPP and Primary Care ACO episode volume, 20% of the Hospital’s FY21 MCO episode volume, and 20% of the Hospital’s FY21 PCC Plan episode volume;</w:t>
      </w:r>
    </w:p>
    <w:p w14:paraId="5C432C55"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Second, EOHHS will calculate each Eligible Hospital’s Pro-Rata Episode Volume by dividing its Weighted Episode Volume by all Eligible Hospitals’ Weighted Episode Volume;</w:t>
      </w:r>
    </w:p>
    <w:p w14:paraId="1808ACB9"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1FD6E1A4"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Subtracting the 63% High Public Payer Threshold from that Hospital’s FY19 Public Payer Percentage;</w:t>
      </w:r>
    </w:p>
    <w:p w14:paraId="119B1F68" w14:textId="77777777"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Multiplying that difference by 12%; and</w:t>
      </w:r>
    </w:p>
    <w:p w14:paraId="07108F8F" w14:textId="3BE3925D" w:rsidR="00F418EC" w:rsidRPr="00F418EC" w:rsidRDefault="00F418EC" w:rsidP="00F418EC">
      <w:pPr>
        <w:numPr>
          <w:ilvl w:val="1"/>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Adding 2% to that product; </w:t>
      </w:r>
    </w:p>
    <w:p w14:paraId="21600BF6"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Fourth, EOHHS will calculate each Eligible Hospital’s Outpatient HPP Distribution Percentage by multiplying its Pro-Rata Episode Volume by its HPP Ratio;</w:t>
      </w:r>
    </w:p>
    <w:p w14:paraId="7CB799E1"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2A9751D0" w14:textId="77777777" w:rsidR="00F418EC" w:rsidRPr="00F418EC" w:rsidRDefault="00F418EC" w:rsidP="00F418EC">
      <w:pPr>
        <w:numPr>
          <w:ilvl w:val="0"/>
          <w:numId w:val="2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0A2A62D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calculation, FY21 ACPP, Primary Care ACO, MCO, and PCC Plan discharge volume refers to paid inpatient discharges from the qualifying Hospital for MassHealth Members enrolled in an ACPP, a Primary Care ACO, an MCO, or the PCC Plan, and FY21 ACPP, Primary Care ACO, MCO, and PCC Plan episode volume refers to paid outpatient episodes of care delivered by the qualifying Hospital to MassHealth Members enrolled in an ACPP, a Primary Care ACO, an MCO, or the PCC Plan, each as determined by EOHHS.  EOHHS will make these determinations utilizing, for the ACPP and MCO discharges and episodes, ACPP and MCO encounter data submitted by each ACPP or MCO for FY21, respectively, and residing in the MassHealth Data Warehouse as of March 31, 2022, and for the PCC Plan and Primary Care ACO discharges and episodes, Medicaid paid claims data for FY21 residing in MMIS as of March 31, 2022 for which MassHealth is primary payer.  Only MCO and ACPP encounter data and MMIS paid claims data pertaining to qualifying High Public Payer Hospitals (as specified in </w:t>
      </w:r>
      <w:r w:rsidRPr="00F418EC">
        <w:rPr>
          <w:rFonts w:ascii="Times New Roman" w:eastAsiaTheme="minorHAnsi" w:hAnsi="Times New Roman"/>
          <w:b/>
          <w:spacing w:val="0"/>
          <w:szCs w:val="24"/>
        </w:rPr>
        <w:t>Section 5.D.1.a</w:t>
      </w:r>
      <w:r w:rsidRPr="00F418EC">
        <w:rPr>
          <w:rFonts w:ascii="Times New Roman" w:eastAsiaTheme="minorHAnsi" w:hAnsi="Times New Roman"/>
          <w:spacing w:val="0"/>
          <w:szCs w:val="24"/>
        </w:rPr>
        <w:t xml:space="preserve">) are considered in determining the pro rata share.  Payments to qualifying Hospitals under this </w:t>
      </w:r>
      <w:r w:rsidRPr="00F418EC">
        <w:rPr>
          <w:rFonts w:ascii="Times New Roman" w:eastAsiaTheme="minorHAnsi" w:hAnsi="Times New Roman"/>
          <w:b/>
          <w:spacing w:val="0"/>
          <w:szCs w:val="24"/>
        </w:rPr>
        <w:t>Section 5.D.1</w:t>
      </w:r>
      <w:r w:rsidRPr="00F418EC">
        <w:rPr>
          <w:rFonts w:ascii="Times New Roman" w:eastAsiaTheme="minorHAnsi" w:hAnsi="Times New Roman"/>
          <w:spacing w:val="0"/>
          <w:szCs w:val="24"/>
        </w:rPr>
        <w:t xml:space="preserve"> may be made in installments.</w:t>
      </w:r>
    </w:p>
    <w:p w14:paraId="171DC5FE" w14:textId="77777777" w:rsidR="00F418EC" w:rsidRPr="00F418EC" w:rsidRDefault="00F418EC" w:rsidP="00F418EC">
      <w:pPr>
        <w:spacing w:after="200"/>
        <w:ind w:left="1080"/>
        <w:rPr>
          <w:rFonts w:ascii="Times New Roman" w:eastAsiaTheme="minorHAnsi" w:hAnsi="Times New Roman"/>
          <w:spacing w:val="0"/>
          <w:szCs w:val="24"/>
        </w:rPr>
      </w:pPr>
    </w:p>
    <w:p w14:paraId="6C41617C" w14:textId="77777777" w:rsidR="00F418EC" w:rsidRPr="00F418EC" w:rsidRDefault="00F418EC" w:rsidP="00F418EC">
      <w:pPr>
        <w:numPr>
          <w:ilvl w:val="0"/>
          <w:numId w:val="89"/>
        </w:numPr>
        <w:spacing w:after="200"/>
        <w:outlineLvl w:val="2"/>
        <w:rPr>
          <w:rFonts w:ascii="Times New Roman" w:eastAsiaTheme="minorHAnsi" w:hAnsi="Times New Roman"/>
          <w:b/>
          <w:spacing w:val="0"/>
          <w:szCs w:val="24"/>
        </w:rPr>
      </w:pPr>
      <w:bookmarkStart w:id="57" w:name="_Toc52374285"/>
      <w:r w:rsidRPr="00F418EC">
        <w:rPr>
          <w:rFonts w:ascii="Times New Roman" w:eastAsiaTheme="minorHAnsi" w:hAnsi="Times New Roman"/>
          <w:b/>
          <w:spacing w:val="0"/>
          <w:szCs w:val="24"/>
        </w:rPr>
        <w:t>Essential MassHealth Hospitals</w:t>
      </w:r>
      <w:bookmarkEnd w:id="57"/>
    </w:p>
    <w:p w14:paraId="2345C570" w14:textId="77777777" w:rsidR="00F418EC" w:rsidRPr="00F418EC" w:rsidRDefault="00F418EC" w:rsidP="00F418EC">
      <w:pPr>
        <w:numPr>
          <w:ilvl w:val="0"/>
          <w:numId w:val="9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lastRenderedPageBreak/>
        <w:t>Qualification</w:t>
      </w:r>
    </w:p>
    <w:p w14:paraId="46B4290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089725D3"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is a non-state-owned public Acute Hospital.</w:t>
      </w:r>
    </w:p>
    <w:p w14:paraId="2992C42E"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meets the current MassHealth definition of a non-profit teaching hospital affiliated with a Commonwealth-owned medical school.</w:t>
      </w:r>
    </w:p>
    <w:p w14:paraId="7E7CD8D9"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has at least 7% of its total patient days as Medicaid days.</w:t>
      </w:r>
    </w:p>
    <w:p w14:paraId="1697E942"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is an acute-care general Hospital located in Massachusetts that provides medical, surgical, Emergency and obstetrical services.</w:t>
      </w:r>
    </w:p>
    <w:p w14:paraId="5CDC3628" w14:textId="77777777" w:rsidR="00F418EC" w:rsidRPr="00F418EC" w:rsidRDefault="00F418EC" w:rsidP="00F418EC">
      <w:pPr>
        <w:numPr>
          <w:ilvl w:val="0"/>
          <w:numId w:val="9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Hospital enters into a separate contract with EOHHS relating to payment as an Essential MassHealth Hospital.</w:t>
      </w:r>
    </w:p>
    <w:p w14:paraId="07168AAE" w14:textId="77777777" w:rsidR="00F418EC" w:rsidRPr="00F418EC" w:rsidRDefault="00F418EC" w:rsidP="00F418EC">
      <w:pPr>
        <w:numPr>
          <w:ilvl w:val="0"/>
          <w:numId w:val="90"/>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Reimbursement Methodology </w:t>
      </w:r>
    </w:p>
    <w:p w14:paraId="06D2E92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14:paraId="6446B8D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082DAA6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Essential MassHealth Hospitals shall be determined by EOHHS.</w:t>
      </w:r>
    </w:p>
    <w:p w14:paraId="5AEF2841" w14:textId="77777777" w:rsidR="00F418EC" w:rsidRPr="00F418EC" w:rsidRDefault="00F418EC" w:rsidP="00F418EC">
      <w:pPr>
        <w:numPr>
          <w:ilvl w:val="0"/>
          <w:numId w:val="92"/>
        </w:numPr>
        <w:spacing w:after="200"/>
        <w:outlineLvl w:val="2"/>
        <w:rPr>
          <w:rFonts w:ascii="Times New Roman" w:eastAsiaTheme="minorHAnsi" w:hAnsi="Times New Roman"/>
          <w:b/>
          <w:spacing w:val="0"/>
          <w:szCs w:val="24"/>
        </w:rPr>
      </w:pPr>
      <w:bookmarkStart w:id="58" w:name="_Toc52374286"/>
      <w:r w:rsidRPr="00F418EC">
        <w:rPr>
          <w:rFonts w:ascii="Times New Roman" w:eastAsiaTheme="minorHAnsi" w:hAnsi="Times New Roman"/>
          <w:b/>
          <w:spacing w:val="0"/>
          <w:szCs w:val="24"/>
        </w:rPr>
        <w:t>Acute Hospitals with High Medicaid Discharges</w:t>
      </w:r>
      <w:bookmarkEnd w:id="58"/>
    </w:p>
    <w:p w14:paraId="23E8229A"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1B84316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payment amount for inpatient services is the lower of (1) the variance between the Hospital’s inpatient Medicaid payments and costs, or (2) the Hospital’s Health Safety Net Trust Fund-funded payment amount.</w:t>
      </w:r>
    </w:p>
    <w:p w14:paraId="3967425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4969A16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7460FDE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Acute Hospitals with High Medicaid Discharges shall be determined by EOHHS.</w:t>
      </w:r>
    </w:p>
    <w:p w14:paraId="47F93D77" w14:textId="77777777" w:rsidR="00F418EC" w:rsidRPr="00F418EC" w:rsidRDefault="00F418EC" w:rsidP="00F418EC">
      <w:pPr>
        <w:numPr>
          <w:ilvl w:val="0"/>
          <w:numId w:val="93"/>
        </w:numPr>
        <w:spacing w:after="200"/>
        <w:outlineLvl w:val="2"/>
        <w:rPr>
          <w:rFonts w:ascii="Times New Roman" w:eastAsiaTheme="minorHAnsi" w:hAnsi="Times New Roman"/>
          <w:b/>
          <w:spacing w:val="0"/>
          <w:szCs w:val="24"/>
        </w:rPr>
      </w:pPr>
      <w:bookmarkStart w:id="59" w:name="_Toc52374287"/>
      <w:r w:rsidRPr="00F418EC">
        <w:rPr>
          <w:rFonts w:ascii="Times New Roman" w:eastAsiaTheme="minorHAnsi" w:hAnsi="Times New Roman"/>
          <w:b/>
          <w:spacing w:val="0"/>
          <w:szCs w:val="24"/>
        </w:rPr>
        <w:t>Supplemental Payment for High Medicaid Volume Freestanding Pediatric Acute Hospitals</w:t>
      </w:r>
      <w:bookmarkEnd w:id="59"/>
      <w:r w:rsidRPr="00F418EC">
        <w:rPr>
          <w:rFonts w:ascii="Times New Roman" w:eastAsiaTheme="minorHAnsi" w:hAnsi="Times New Roman"/>
          <w:b/>
          <w:spacing w:val="0"/>
          <w:szCs w:val="24"/>
        </w:rPr>
        <w:t xml:space="preserve"> </w:t>
      </w:r>
    </w:p>
    <w:p w14:paraId="3FB7E11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0C41ECB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58221FE3"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High Medicaid Volume Freestanding Pediatric Acute Hospitals shall be determined by EOHHS.</w:t>
      </w:r>
    </w:p>
    <w:p w14:paraId="302E1C49" w14:textId="77777777" w:rsidR="00F418EC" w:rsidRPr="00F418EC" w:rsidRDefault="00F418EC" w:rsidP="00F418EC">
      <w:pPr>
        <w:spacing w:after="200" w:line="276" w:lineRule="auto"/>
        <w:jc w:val="both"/>
        <w:rPr>
          <w:rFonts w:ascii="Times New Roman" w:eastAsiaTheme="minorHAnsi" w:hAnsi="Times New Roman"/>
          <w:b/>
          <w:spacing w:val="0"/>
          <w:szCs w:val="24"/>
        </w:rPr>
      </w:pPr>
      <w:r w:rsidRPr="00F418EC">
        <w:rPr>
          <w:rFonts w:ascii="Times New Roman" w:eastAsiaTheme="minorHAnsi" w:hAnsi="Times New Roman"/>
          <w:spacing w:val="0"/>
          <w:szCs w:val="24"/>
        </w:rPr>
        <w:br w:type="page"/>
      </w:r>
    </w:p>
    <w:p w14:paraId="73FFE7AB"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0" w:name="_Toc52374288"/>
      <w:r w:rsidRPr="00F418EC">
        <w:rPr>
          <w:rFonts w:ascii="Times New Roman" w:eastAsiaTheme="minorHAnsi" w:hAnsi="Times New Roman"/>
          <w:b/>
          <w:spacing w:val="0"/>
          <w:szCs w:val="24"/>
        </w:rPr>
        <w:lastRenderedPageBreak/>
        <w:t xml:space="preserve">High Public Payer </w:t>
      </w:r>
      <w:r w:rsidRPr="00F418EC">
        <w:rPr>
          <w:rFonts w:ascii="Times New Roman" w:hAnsi="Times New Roman"/>
          <w:b/>
          <w:spacing w:val="0"/>
          <w:szCs w:val="24"/>
        </w:rPr>
        <w:t>Behavioral Health Service Supplemental Paymen</w:t>
      </w:r>
      <w:r w:rsidRPr="00F418EC">
        <w:rPr>
          <w:rFonts w:ascii="Times New Roman" w:eastAsiaTheme="minorHAnsi" w:hAnsi="Times New Roman"/>
          <w:b/>
          <w:spacing w:val="0"/>
          <w:szCs w:val="24"/>
        </w:rPr>
        <w:t>t</w:t>
      </w:r>
      <w:bookmarkEnd w:id="60"/>
    </w:p>
    <w:p w14:paraId="3B679271" w14:textId="77777777" w:rsidR="00F418EC" w:rsidRPr="00F418EC" w:rsidRDefault="00F418EC" w:rsidP="00F418EC">
      <w:pPr>
        <w:numPr>
          <w:ilvl w:val="0"/>
          <w:numId w:val="147"/>
        </w:numPr>
        <w:spacing w:after="200"/>
        <w:ind w:left="108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Qualifications</w:t>
      </w:r>
    </w:p>
    <w:p w14:paraId="0F69D4B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High Public Payer Hospital Behavioral Health Supplemental Payment, an Acute Care Hospital must (1) qualify for a RY21 High Public Payer Supplemental Payment pursuant to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xml:space="preserve"> of this RFA, (2) operate at least one DMH-Licensed Bed throughout RY21, and (3) have provided Inpatient Behavioral Health Services to MassHealth members in FY19.  Acute Hospitals that receive payment pursuant to this section shall be determined by EOHHS.</w:t>
      </w:r>
    </w:p>
    <w:p w14:paraId="6A114365" w14:textId="77777777" w:rsidR="00F418EC" w:rsidRPr="00F418EC" w:rsidRDefault="00F418EC" w:rsidP="00F418EC">
      <w:pPr>
        <w:numPr>
          <w:ilvl w:val="0"/>
          <w:numId w:val="147"/>
        </w:numPr>
        <w:spacing w:after="200"/>
        <w:ind w:left="108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Reimbursement Methodology</w:t>
      </w:r>
    </w:p>
    <w:p w14:paraId="33536344" w14:textId="77777777" w:rsidR="00F418EC" w:rsidRPr="00F418EC" w:rsidRDefault="00F418EC" w:rsidP="00F418EC">
      <w:pPr>
        <w:numPr>
          <w:ilvl w:val="0"/>
          <w:numId w:val="148"/>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F418EC">
        <w:rPr>
          <w:rFonts w:ascii="Times New Roman" w:eastAsiaTheme="minorHAnsi" w:hAnsi="Times New Roman"/>
          <w:b/>
          <w:spacing w:val="0"/>
          <w:szCs w:val="24"/>
        </w:rPr>
        <w:t>Section 5.D.5.a</w:t>
      </w:r>
      <w:r w:rsidRPr="00F418EC">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F418EC">
        <w:rPr>
          <w:rFonts w:ascii="Times New Roman" w:eastAsiaTheme="minorHAnsi" w:hAnsi="Times New Roman"/>
          <w:b/>
          <w:spacing w:val="0"/>
          <w:szCs w:val="24"/>
        </w:rPr>
        <w:t xml:space="preserve">Section 5.D.5.b.2, </w:t>
      </w:r>
      <w:r w:rsidRPr="00F418EC">
        <w:rPr>
          <w:rFonts w:ascii="Times New Roman" w:eastAsiaTheme="minorHAnsi" w:hAnsi="Times New Roman"/>
          <w:spacing w:val="0"/>
          <w:szCs w:val="24"/>
        </w:rPr>
        <w:t xml:space="preserve">below. </w:t>
      </w:r>
    </w:p>
    <w:p w14:paraId="2113FEEC" w14:textId="77777777" w:rsidR="00F418EC" w:rsidRPr="00F418EC" w:rsidRDefault="00F418EC" w:rsidP="00F418EC">
      <w:pPr>
        <w:numPr>
          <w:ilvl w:val="0"/>
          <w:numId w:val="148"/>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Each qualifying Hospital receives an amount as calculated by the following methodology:</w:t>
      </w:r>
    </w:p>
    <w:p w14:paraId="172767B2" w14:textId="77777777" w:rsidR="00F418EC" w:rsidRPr="00F418EC" w:rsidRDefault="00F418EC" w:rsidP="00F418EC">
      <w:pPr>
        <w:keepNext/>
        <w:spacing w:before="240" w:after="200"/>
        <w:ind w:left="806"/>
        <w:contextualSpacing/>
        <w:rPr>
          <w:rFonts w:ascii="Times New Roman" w:eastAsiaTheme="minorEastAsia" w:hAnsi="Times New Roman"/>
          <w:spacing w:val="0"/>
          <w:szCs w:val="24"/>
        </w:rPr>
      </w:pPr>
      <w:r w:rsidRPr="00F418EC">
        <w:rPr>
          <w:rFonts w:ascii="Times New Roman" w:eastAsiaTheme="minorEastAsia" w:hAnsi="Times New Roman"/>
          <w:b/>
          <w:spacing w:val="0"/>
          <w:szCs w:val="24"/>
        </w:rPr>
        <w:br/>
        <w:t>Step A.</w:t>
      </w:r>
      <w:r w:rsidRPr="00F418EC">
        <w:rPr>
          <w:rFonts w:ascii="Times New Roman" w:eastAsiaTheme="minorEastAsia" w:hAnsi="Times New Roman"/>
          <w:spacing w:val="0"/>
          <w:szCs w:val="24"/>
        </w:rPr>
        <w:t xml:space="preserve"> </w:t>
      </w:r>
      <w:r w:rsidRPr="00F418EC">
        <w:rPr>
          <w:rFonts w:ascii="Times New Roman" w:eastAsiaTheme="minorEastAsia" w:hAnsi="Times New Roman"/>
          <w:b/>
          <w:spacing w:val="0"/>
          <w:szCs w:val="24"/>
        </w:rPr>
        <w:t>Calculate Hospital Specific Payment Amount based on Share of IP BH Days, weighted toward pediatric/adolescent days.</w:t>
      </w:r>
    </w:p>
    <w:p w14:paraId="5DC1E7D6" w14:textId="77777777" w:rsidR="00F418EC" w:rsidRPr="00F418EC" w:rsidRDefault="00F418EC" w:rsidP="00F418EC">
      <w:pPr>
        <w:keepNext/>
        <w:spacing w:after="200"/>
        <w:ind w:left="810"/>
        <w:contextualSpacing/>
        <w:rPr>
          <w:rFonts w:ascii="Times New Roman" w:eastAsiaTheme="minorEastAsia" w:hAnsi="Times New Roman"/>
          <w:spacing w:val="0"/>
          <w:szCs w:val="24"/>
        </w:rPr>
      </w:pPr>
    </w:p>
    <w:p w14:paraId="72E7E437" w14:textId="77777777" w:rsidR="00F418EC" w:rsidRPr="00F418EC" w:rsidRDefault="00F418EC" w:rsidP="00F418EC">
      <w:pPr>
        <w:keepNext/>
        <w:spacing w:after="200"/>
        <w:ind w:left="810" w:right="-810"/>
        <w:contextualSpacing/>
        <w:rPr>
          <w:rFonts w:ascii="Times New Roman" w:eastAsiaTheme="minorEastAsia" w:hAnsi="Times New Roman"/>
          <w:spacing w:val="0"/>
          <w:sz w:val="18"/>
          <w:szCs w:val="18"/>
        </w:rPr>
      </w:pPr>
      <w:r w:rsidRPr="00F418EC">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452B0C43" w14:textId="77777777" w:rsidR="00F418EC" w:rsidRPr="00F418EC" w:rsidRDefault="00F418EC" w:rsidP="00F418EC">
      <w:pPr>
        <w:spacing w:after="200"/>
        <w:ind w:left="810"/>
        <w:contextualSpacing/>
        <w:rPr>
          <w:rFonts w:ascii="Times New Roman" w:eastAsiaTheme="minorEastAsia" w:hAnsi="Times New Roman"/>
          <w:spacing w:val="0"/>
          <w:sz w:val="12"/>
          <w:szCs w:val="12"/>
        </w:rPr>
      </w:pPr>
    </w:p>
    <w:p w14:paraId="1F8250F7" w14:textId="77777777" w:rsidR="00F418EC" w:rsidRPr="00F418EC" w:rsidRDefault="00F418EC" w:rsidP="00F418EC">
      <w:pPr>
        <w:spacing w:after="200"/>
        <w:ind w:left="810"/>
        <w:contextualSpacing/>
        <w:rPr>
          <w:rFonts w:ascii="Times New Roman" w:eastAsiaTheme="minorEastAsia" w:hAnsi="Times New Roman"/>
          <w:spacing w:val="0"/>
          <w:szCs w:val="24"/>
        </w:rPr>
      </w:pPr>
      <w:r w:rsidRPr="00F418EC">
        <w:rPr>
          <w:rFonts w:ascii="Times New Roman" w:eastAsiaTheme="minorEastAsia" w:hAnsi="Times New Roman"/>
          <w:b/>
          <w:spacing w:val="0"/>
          <w:szCs w:val="24"/>
        </w:rPr>
        <w:t>Step B.</w:t>
      </w:r>
      <w:r w:rsidRPr="00F418EC">
        <w:rPr>
          <w:rFonts w:ascii="Times New Roman" w:eastAsiaTheme="minorEastAsia" w:hAnsi="Times New Roman"/>
          <w:spacing w:val="0"/>
          <w:szCs w:val="24"/>
        </w:rPr>
        <w:t xml:space="preserve"> </w:t>
      </w:r>
      <w:r w:rsidRPr="00F418EC">
        <w:rPr>
          <w:rFonts w:ascii="Times New Roman" w:eastAsiaTheme="minorEastAsia" w:hAnsi="Times New Roman"/>
          <w:b/>
          <w:spacing w:val="0"/>
          <w:szCs w:val="24"/>
        </w:rPr>
        <w:t>Calculate Hospital Specific Relative Acuity Adjusted Proxy Payment Amount, determined by APAD grouper methodology.</w:t>
      </w:r>
      <w:r w:rsidRPr="00F418EC">
        <w:rPr>
          <w:rFonts w:ascii="Times New Roman" w:eastAsiaTheme="minorEastAsia" w:hAnsi="Times New Roman"/>
          <w:spacing w:val="0"/>
          <w:szCs w:val="24"/>
        </w:rPr>
        <w:t xml:space="preserve"> </w:t>
      </w:r>
    </w:p>
    <w:p w14:paraId="6568D969" w14:textId="77777777" w:rsidR="00F418EC" w:rsidRPr="00F418EC" w:rsidRDefault="00F418EC" w:rsidP="00F418EC">
      <w:pPr>
        <w:spacing w:after="200"/>
        <w:ind w:left="810"/>
        <w:contextualSpacing/>
        <w:rPr>
          <w:rFonts w:ascii="Times New Roman" w:eastAsiaTheme="minorEastAsia" w:hAnsi="Times New Roman"/>
          <w:spacing w:val="0"/>
          <w:szCs w:val="24"/>
        </w:rPr>
      </w:pPr>
    </w:p>
    <w:p w14:paraId="02698E81" w14:textId="77777777" w:rsidR="00F418EC" w:rsidRPr="00F418EC" w:rsidRDefault="006B4C40" w:rsidP="00F418EC">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268C99EC" w14:textId="77777777" w:rsidR="00F418EC" w:rsidRPr="00F418EC" w:rsidRDefault="00F418EC" w:rsidP="00F418EC">
      <w:pPr>
        <w:rPr>
          <w:rFonts w:ascii="Times New Roman" w:eastAsiaTheme="minorHAnsi" w:hAnsi="Times New Roman"/>
          <w:spacing w:val="0"/>
          <w:szCs w:val="24"/>
        </w:rPr>
      </w:pPr>
    </w:p>
    <w:p w14:paraId="7AF9A8E8" w14:textId="77777777" w:rsidR="00F418EC" w:rsidRPr="00F418EC" w:rsidRDefault="00F418EC" w:rsidP="00F418EC">
      <w:pPr>
        <w:ind w:left="810"/>
        <w:rPr>
          <w:rFonts w:ascii="Times New Roman" w:eastAsiaTheme="minorEastAsia" w:hAnsi="Times New Roman"/>
          <w:b/>
          <w:spacing w:val="0"/>
          <w:szCs w:val="24"/>
        </w:rPr>
      </w:pPr>
      <w:r w:rsidRPr="00F418EC">
        <w:rPr>
          <w:rFonts w:ascii="Times New Roman" w:eastAsiaTheme="minorHAnsi" w:hAnsi="Times New Roman"/>
          <w:b/>
          <w:spacing w:val="0"/>
          <w:szCs w:val="24"/>
        </w:rPr>
        <w:t>Step C.</w:t>
      </w:r>
      <w:r w:rsidRPr="00F418EC">
        <w:rPr>
          <w:rFonts w:ascii="Times New Roman" w:eastAsiaTheme="minorHAnsi" w:hAnsi="Times New Roman"/>
          <w:spacing w:val="0"/>
          <w:szCs w:val="24"/>
        </w:rPr>
        <w:t xml:space="preserve"> </w:t>
      </w:r>
      <w:r w:rsidRPr="00F418EC">
        <w:rPr>
          <w:rFonts w:ascii="Times New Roman" w:eastAsiaTheme="minorHAnsi" w:hAnsi="Times New Roman"/>
          <w:b/>
          <w:spacing w:val="0"/>
          <w:szCs w:val="24"/>
        </w:rPr>
        <w:t>Blend</w:t>
      </w:r>
      <w:r w:rsidRPr="00F418EC">
        <w:rPr>
          <w:rFonts w:ascii="Times New Roman" w:eastAsiaTheme="minorHAnsi" w:hAnsi="Times New Roman"/>
          <w:spacing w:val="0"/>
          <w:szCs w:val="24"/>
        </w:rPr>
        <w:t xml:space="preserve"> </w:t>
      </w:r>
      <w:r w:rsidRPr="00F418EC">
        <w:rPr>
          <w:rFonts w:ascii="Times New Roman" w:eastAsiaTheme="minorEastAsia" w:hAnsi="Times New Roman"/>
          <w:b/>
          <w:spacing w:val="0"/>
          <w:szCs w:val="24"/>
        </w:rPr>
        <w:t>Hospital Specific Payment Amount based on Share of IP BH Days and Hospital Specific Payment Amount based on Relative Acuity Complexity</w:t>
      </w:r>
    </w:p>
    <w:p w14:paraId="56D1C9A3" w14:textId="77777777" w:rsidR="00F418EC" w:rsidRPr="00F418EC" w:rsidRDefault="00F418EC" w:rsidP="00F418EC">
      <w:pPr>
        <w:ind w:left="810"/>
        <w:rPr>
          <w:rFonts w:ascii="Times New Roman" w:eastAsiaTheme="minorEastAsia" w:hAnsi="Times New Roman"/>
          <w:b/>
          <w:spacing w:val="0"/>
          <w:szCs w:val="24"/>
        </w:rPr>
      </w:pPr>
    </w:p>
    <w:p w14:paraId="493147B5" w14:textId="77777777" w:rsidR="00F418EC" w:rsidRPr="00F418EC" w:rsidRDefault="006B4C40" w:rsidP="00F418EC">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418EC" w:rsidRPr="00F418EC">
        <w:rPr>
          <w:rFonts w:ascii="Times New Roman" w:eastAsiaTheme="minorEastAsia" w:hAnsi="Times New Roman"/>
          <w:spacing w:val="0"/>
          <w:sz w:val="18"/>
          <w:szCs w:val="18"/>
        </w:rPr>
        <w:t xml:space="preserve"> =Hospital Specific Supplemental Payment</w:t>
      </w:r>
    </w:p>
    <w:p w14:paraId="0298CE43" w14:textId="77777777" w:rsidR="00F418EC" w:rsidRPr="00F418EC" w:rsidRDefault="00F418EC" w:rsidP="00F418EC">
      <w:pPr>
        <w:spacing w:after="200" w:line="276" w:lineRule="auto"/>
        <w:jc w:val="both"/>
        <w:rPr>
          <w:rFonts w:ascii="Times New Roman" w:eastAsiaTheme="minorHAnsi" w:hAnsi="Times New Roman"/>
          <w:b/>
          <w:i/>
          <w:spacing w:val="0"/>
          <w:szCs w:val="24"/>
        </w:rPr>
      </w:pPr>
      <w:r w:rsidRPr="00F418EC">
        <w:rPr>
          <w:rFonts w:ascii="Times New Roman" w:eastAsiaTheme="minorHAnsi" w:hAnsi="Times New Roman"/>
          <w:b/>
          <w:i/>
          <w:spacing w:val="0"/>
          <w:szCs w:val="24"/>
        </w:rPr>
        <w:br w:type="page"/>
      </w:r>
    </w:p>
    <w:p w14:paraId="3B2D9C3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b/>
          <w:i/>
          <w:spacing w:val="0"/>
          <w:szCs w:val="24"/>
        </w:rPr>
        <w:lastRenderedPageBreak/>
        <w:t>Glossary</w:t>
      </w:r>
      <w:r w:rsidRPr="00F418EC">
        <w:rPr>
          <w:rFonts w:ascii="Times New Roman" w:eastAsiaTheme="minorHAnsi" w:hAnsi="Times New Roman"/>
          <w:spacing w:val="0"/>
          <w:szCs w:val="24"/>
        </w:rPr>
        <w:t xml:space="preserve">:  As used in this </w:t>
      </w:r>
      <w:r w:rsidRPr="00F418EC">
        <w:rPr>
          <w:rFonts w:ascii="Times New Roman" w:eastAsiaTheme="minorHAnsi" w:hAnsi="Times New Roman"/>
          <w:b/>
          <w:spacing w:val="0"/>
          <w:szCs w:val="24"/>
        </w:rPr>
        <w:t>Section 5.D.5</w:t>
      </w:r>
      <w:r w:rsidRPr="00F418EC">
        <w:rPr>
          <w:rFonts w:ascii="Times New Roman" w:eastAsiaTheme="minorHAnsi" w:hAnsi="Times New Roman"/>
          <w:spacing w:val="0"/>
          <w:szCs w:val="24"/>
        </w:rPr>
        <w:t>, the following terms shall have the meanings that follow:</w:t>
      </w:r>
    </w:p>
    <w:p w14:paraId="5FCE7C1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“BH days” refers to the total number of days in which MassHealth Members (whether fee for service or enrolled in managed care or MBHP) received Inpatient Behavioral Health Services in FY19, using data residing in MMIS and/or the Data Warehouse as of March 31, 2020. </w:t>
      </w:r>
    </w:p>
    <w:p w14:paraId="0F7C53B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refers to qualifying Hospitals that meet the requirements of </w:t>
      </w:r>
      <w:r w:rsidRPr="00F418EC">
        <w:rPr>
          <w:rFonts w:ascii="Times New Roman" w:eastAsiaTheme="minorHAnsi" w:hAnsi="Times New Roman"/>
          <w:b/>
          <w:spacing w:val="0"/>
          <w:szCs w:val="24"/>
        </w:rPr>
        <w:t>Section 5.D.5.a</w:t>
      </w:r>
      <w:r w:rsidRPr="00F418EC">
        <w:rPr>
          <w:rFonts w:ascii="Times New Roman" w:eastAsiaTheme="minorHAnsi" w:hAnsi="Times New Roman"/>
          <w:spacing w:val="0"/>
          <w:szCs w:val="24"/>
        </w:rPr>
        <w:t>, above.</w:t>
      </w:r>
    </w:p>
    <w:p w14:paraId="2FA4F5B1"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“Pedi Adol” is short for “pediatric and adolescent” and refers to MassHealth members under age 18.  </w:t>
      </w:r>
    </w:p>
    <w:p w14:paraId="66724916"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“Adult” refers to MassHealth members age 18 and older.</w:t>
      </w:r>
    </w:p>
    <w:p w14:paraId="496ABD43"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2020,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1EEB9F3D"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“IP” refers to inpatient.</w:t>
      </w:r>
    </w:p>
    <w:p w14:paraId="5048B037"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1" w:name="_Toc52374289"/>
      <w:r w:rsidRPr="00F418EC">
        <w:rPr>
          <w:rFonts w:ascii="Times New Roman" w:eastAsiaTheme="minorHAnsi" w:hAnsi="Times New Roman"/>
          <w:b/>
          <w:spacing w:val="0"/>
          <w:szCs w:val="24"/>
        </w:rPr>
        <w:t>Specialized Pediatric Service Hospital Supplemental Payment</w:t>
      </w:r>
      <w:bookmarkEnd w:id="61"/>
    </w:p>
    <w:p w14:paraId="0F9D0BA5" w14:textId="77777777" w:rsidR="00F418EC" w:rsidRPr="00F418EC" w:rsidRDefault="00F418EC" w:rsidP="00F418EC">
      <w:pPr>
        <w:numPr>
          <w:ilvl w:val="0"/>
          <w:numId w:val="146"/>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16D46E5E"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the Specialized Pediatric Service Hospital Supplemental Payment, a Hospital must be a Specialized Pediatric Service Hospital, as defined in </w:t>
      </w:r>
      <w:r w:rsidRPr="00F418EC">
        <w:rPr>
          <w:rFonts w:ascii="Times New Roman" w:eastAsiaTheme="minorHAnsi" w:hAnsi="Times New Roman"/>
          <w:b/>
          <w:spacing w:val="0"/>
          <w:szCs w:val="24"/>
        </w:rPr>
        <w:t>Section 2</w:t>
      </w:r>
      <w:r w:rsidRPr="00F418EC">
        <w:rPr>
          <w:rFonts w:ascii="Times New Roman" w:eastAsiaTheme="minorHAnsi" w:hAnsi="Times New Roman"/>
          <w:spacing w:val="0"/>
          <w:szCs w:val="24"/>
        </w:rPr>
        <w:t>.  Acute Hospitals that receive payment pursuant to this section shall be determined by EOHHS.</w:t>
      </w:r>
    </w:p>
    <w:p w14:paraId="6E9AD32E" w14:textId="77777777" w:rsidR="00F418EC" w:rsidRPr="00F418EC" w:rsidRDefault="00F418EC" w:rsidP="00F418EC">
      <w:pPr>
        <w:numPr>
          <w:ilvl w:val="0"/>
          <w:numId w:val="146"/>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Reimbursement Methodology</w:t>
      </w:r>
    </w:p>
    <w:p w14:paraId="44A46D0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72F81709"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F418EC">
        <w:rPr>
          <w:rFonts w:ascii="Times New Roman" w:eastAsiaTheme="minorHAnsi" w:hAnsi="Times New Roman"/>
          <w:spacing w:val="0"/>
          <w:szCs w:val="24"/>
        </w:rPr>
        <w:lastRenderedPageBreak/>
        <w:t>the age of 21 and enrolled in either an ACPP or a Primary Care ACO during the period from October 1, 2019 through September 30, 2020.  EOHHS will then multiply that ratio by $5.5 million to determine that Specialized Pediatric Service Hospital’s supplemental payment.</w:t>
      </w:r>
    </w:p>
    <w:p w14:paraId="32989E85" w14:textId="77777777" w:rsidR="00F418EC" w:rsidRPr="00F418EC" w:rsidRDefault="00F418EC" w:rsidP="00F418EC">
      <w:pPr>
        <w:numPr>
          <w:ilvl w:val="0"/>
          <w:numId w:val="94"/>
        </w:numPr>
        <w:spacing w:after="200"/>
        <w:outlineLvl w:val="2"/>
        <w:rPr>
          <w:rFonts w:ascii="Times New Roman" w:eastAsiaTheme="minorHAnsi" w:hAnsi="Times New Roman"/>
          <w:b/>
          <w:spacing w:val="0"/>
          <w:szCs w:val="24"/>
        </w:rPr>
      </w:pPr>
      <w:bookmarkStart w:id="62" w:name="_Toc52374290"/>
      <w:r w:rsidRPr="00F418EC">
        <w:rPr>
          <w:rFonts w:ascii="Times New Roman" w:eastAsiaTheme="minorHAnsi" w:hAnsi="Times New Roman"/>
          <w:b/>
          <w:spacing w:val="0"/>
          <w:szCs w:val="24"/>
        </w:rPr>
        <w:t>Critical Access Hospitals</w:t>
      </w:r>
      <w:bookmarkEnd w:id="62"/>
    </w:p>
    <w:p w14:paraId="24061DAC"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payment methods set forth in this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2020 through September 30, 2021, as described in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Subject to this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all sections of this RY21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F418EC">
        <w:rPr>
          <w:rFonts w:ascii="Times New Roman" w:eastAsiaTheme="minorHAnsi" w:hAnsi="Times New Roman"/>
          <w:b/>
          <w:spacing w:val="0"/>
          <w:szCs w:val="24"/>
        </w:rPr>
        <w:t>Sections 5.B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5.C</w:t>
      </w:r>
      <w:r w:rsidRPr="00F418EC">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19AD22A8"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Inpatient Services</w:t>
      </w:r>
    </w:p>
    <w:p w14:paraId="2217525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Inpatient Admissions occurring in RY21, Critical Access Hospitals (CAHs) will be paid for Inpatient Services in accordance with </w:t>
      </w:r>
      <w:r w:rsidRPr="00F418EC">
        <w:rPr>
          <w:rFonts w:ascii="Times New Roman" w:eastAsiaTheme="minorHAnsi" w:hAnsi="Times New Roman"/>
          <w:b/>
          <w:spacing w:val="0"/>
          <w:szCs w:val="24"/>
        </w:rPr>
        <w:t>Section 5.B</w:t>
      </w:r>
      <w:r w:rsidRPr="00F418EC">
        <w:rPr>
          <w:rFonts w:ascii="Times New Roman" w:eastAsiaTheme="minorHAnsi" w:hAnsi="Times New Roman"/>
          <w:spacing w:val="0"/>
          <w:szCs w:val="24"/>
        </w:rPr>
        <w:t xml:space="preserve"> with the following changes.</w:t>
      </w:r>
    </w:p>
    <w:p w14:paraId="73BE75C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6CB9002C"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w:t>
      </w:r>
      <w:r w:rsidRPr="00F418EC">
        <w:rPr>
          <w:rFonts w:ascii="Times New Roman" w:eastAsiaTheme="minorHAnsi" w:hAnsi="Times New Roman"/>
          <w:b/>
          <w:spacing w:val="0"/>
          <w:szCs w:val="24"/>
        </w:rPr>
        <w:t>Section 5.B.1</w:t>
      </w:r>
      <w:r w:rsidRPr="00F418EC">
        <w:rPr>
          <w:rFonts w:ascii="Times New Roman" w:eastAsiaTheme="minorHAnsi" w:hAnsi="Times New Roman"/>
          <w:spacing w:val="0"/>
          <w:szCs w:val="24"/>
        </w:rPr>
        <w:t>, for Inpatient Admissions occurring in RY21, the APAD for each Critical Access Hospital is calculated as follows:</w:t>
      </w:r>
    </w:p>
    <w:p w14:paraId="104890B2"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FY19 CMS-2552-10 cost report, by the Hospital’s number of FY19 Medicaid (MassHealth) discharges.  The Hospital’s Medicaid (MassHealth) discharge volume was derived from FY19 paid claims data residing in MMIS as of May 24, 2020, for which MassHealth is the primary payer.</w:t>
      </w:r>
    </w:p>
    <w:p w14:paraId="4AE3C81E"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then multiplied the cost per discharge amount by the Inflation Factors for Operating Costs between RY19 and RY21, resulting in the inflation-adjusted cost per discharge for each Critical Access Hospital.</w:t>
      </w:r>
    </w:p>
    <w:p w14:paraId="1F80FD5E"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EOHHS then divided each Critical Access Hospital’s inflation-adjusted cost per discharge by each Hospital’s FY19 inpatient casemix index (CMI), as determined by EOHHS.</w:t>
      </w:r>
    </w:p>
    <w:p w14:paraId="3284CA27"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That result is the CAH-Specific Total Standard Rate per Discharge.  This is an all-inclusive rate that replaces the APAD Base Payment, used in the APAD calculations for all other Hospitals for admissions in RY21.  </w:t>
      </w:r>
    </w:p>
    <w:p w14:paraId="2B4C0D31" w14:textId="77777777" w:rsidR="00F418EC" w:rsidRPr="00F418EC" w:rsidRDefault="00F418EC" w:rsidP="00F418EC">
      <w:pPr>
        <w:numPr>
          <w:ilvl w:val="0"/>
          <w:numId w:val="9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F418EC">
        <w:rPr>
          <w:rFonts w:ascii="Times New Roman" w:eastAsiaTheme="minorHAnsi" w:hAnsi="Times New Roman"/>
          <w:b/>
          <w:spacing w:val="0"/>
          <w:szCs w:val="24"/>
        </w:rPr>
        <w:t>Chart C to Appendix C</w:t>
      </w:r>
      <w:r w:rsidRPr="00F418EC">
        <w:rPr>
          <w:rFonts w:ascii="Times New Roman" w:eastAsiaTheme="minorHAnsi" w:hAnsi="Times New Roman"/>
          <w:spacing w:val="0"/>
          <w:szCs w:val="24"/>
        </w:rPr>
        <w:t>.</w:t>
      </w:r>
    </w:p>
    <w:p w14:paraId="1FA2CE2B"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43CC1865"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noProof/>
          <w:spacing w:val="0"/>
          <w:szCs w:val="24"/>
        </w:rPr>
        <w:drawing>
          <wp:inline distT="0" distB="0" distL="0" distR="0" wp14:anchorId="37883463" wp14:editId="2A7C7440">
            <wp:extent cx="5943600" cy="1562100"/>
            <wp:effectExtent l="0" t="0" r="0" b="0"/>
            <wp:docPr id="15" name="Picture 15" descr="Critical Access Hospital Interim APAD claim&#10;" title="Tab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p w14:paraId="07D0AD3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Outlier Payments and Transfer Per Diem rates for Critical Access Hospitals are calculated and paid as described in </w:t>
      </w:r>
      <w:r w:rsidRPr="00F418EC">
        <w:rPr>
          <w:rFonts w:ascii="Times New Roman" w:eastAsiaTheme="minorHAnsi" w:hAnsi="Times New Roman"/>
          <w:b/>
          <w:spacing w:val="0"/>
          <w:szCs w:val="24"/>
        </w:rPr>
        <w:t>Sections 5.B.2</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5.B.3</w:t>
      </w:r>
      <w:r w:rsidRPr="00F418EC">
        <w:rPr>
          <w:rFonts w:ascii="Times New Roman" w:eastAsiaTheme="minorHAnsi" w:hAnsi="Times New Roman"/>
          <w:spacing w:val="0"/>
          <w:szCs w:val="24"/>
        </w:rPr>
        <w:t xml:space="preserve">, respectively, except that the APAD used for purposes of those calculations is the CAH’s APAD calculated as set forth </w:t>
      </w:r>
      <w:r w:rsidRPr="00F418EC">
        <w:rPr>
          <w:rFonts w:ascii="Times New Roman" w:eastAsiaTheme="minorHAnsi" w:hAnsi="Times New Roman"/>
          <w:b/>
          <w:spacing w:val="0"/>
          <w:szCs w:val="24"/>
        </w:rPr>
        <w:t>Section 5.D.7.a</w:t>
      </w:r>
      <w:r w:rsidRPr="00F418EC">
        <w:rPr>
          <w:rFonts w:ascii="Times New Roman" w:eastAsiaTheme="minorHAnsi" w:hAnsi="Times New Roman"/>
          <w:spacing w:val="0"/>
          <w:szCs w:val="24"/>
        </w:rPr>
        <w:t>, above.</w:t>
      </w:r>
    </w:p>
    <w:p w14:paraId="6B90E3C0"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for Outpatient Services</w:t>
      </w:r>
    </w:p>
    <w:p w14:paraId="307E2A5F"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Critical Access Hospitals (CAHs) will be paid for Outpatient Services in accordance with Section 5.C with the following changes.</w:t>
      </w:r>
    </w:p>
    <w:p w14:paraId="732C4E7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For dates of service in RY21, Critical Access Hospitals will be paid a Hospital-specific, Episode-Specific Adjudicated Payment per Episode of Care (APEC) for those Outpatient Services for which all other in-state hospitals are paid an APEC.</w:t>
      </w:r>
    </w:p>
    <w:p w14:paraId="05CAD771"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w:t>
      </w:r>
      <w:r w:rsidRPr="00F418EC">
        <w:rPr>
          <w:rFonts w:ascii="Times New Roman" w:eastAsiaTheme="minorHAnsi" w:hAnsi="Times New Roman"/>
          <w:b/>
          <w:spacing w:val="0"/>
          <w:szCs w:val="24"/>
        </w:rPr>
        <w:t>Section 5.C.1</w:t>
      </w:r>
      <w:r w:rsidRPr="00F418EC">
        <w:rPr>
          <w:rFonts w:ascii="Times New Roman" w:eastAsiaTheme="minorHAnsi" w:hAnsi="Times New Roman"/>
          <w:spacing w:val="0"/>
          <w:szCs w:val="24"/>
        </w:rPr>
        <w:t>, for dates of service in RY21, the Hospital-specific, Episode-specific APEC for each Critical Access Hospital was calculated as follows:</w:t>
      </w:r>
    </w:p>
    <w:p w14:paraId="51B7C41F"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calculated a cost per Episode for Outpatient Services for each Critical Access Hospital by dividing the amount reported on worksheet E-3, part VII, column 2, line 21 of the Hospital’s FY19 CMS-2552-10 cost report by the Hospital’s number of FY19 Medicaid (MassHealth) Episodes.  The Hospital’s Medicaid (MassHealth) Episode volume was derived from FY19 paid claims data </w:t>
      </w:r>
      <w:r w:rsidRPr="00F418EC">
        <w:rPr>
          <w:rFonts w:ascii="Times New Roman" w:eastAsiaTheme="minorHAnsi" w:hAnsi="Times New Roman"/>
          <w:spacing w:val="0"/>
          <w:szCs w:val="24"/>
        </w:rPr>
        <w:lastRenderedPageBreak/>
        <w:t>residing in MMIS as of May 24, 2020, for which MassHealth is the primary payer.</w:t>
      </w:r>
    </w:p>
    <w:p w14:paraId="11EBAA56"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then multiplied the cost per Episode amount for each Critical Access Hospital by the Inflation Factors for Operating Costs between RY19 and RY21, resulting in the Critical Access Hospital’s inflation-adjusted cost per Episode.</w:t>
      </w:r>
    </w:p>
    <w:p w14:paraId="18F26D40"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then divided each Critical Access Hospital’s inflation-adjusted cost per Episode by each Hospital’s FY19 outpatient casemix index (CMI), as determined by EOHHS.</w:t>
      </w:r>
    </w:p>
    <w:p w14:paraId="2755F915"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28416363" w14:textId="77777777" w:rsidR="00F418EC" w:rsidRPr="00F418EC" w:rsidRDefault="00F418EC" w:rsidP="00F418EC">
      <w:pPr>
        <w:numPr>
          <w:ilvl w:val="0"/>
          <w:numId w:val="9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F418EC">
        <w:rPr>
          <w:rFonts w:ascii="Times New Roman" w:eastAsiaTheme="minorHAnsi" w:hAnsi="Times New Roman"/>
          <w:b/>
          <w:spacing w:val="0"/>
          <w:szCs w:val="24"/>
        </w:rPr>
        <w:t>Section 5.C.1.b</w:t>
      </w:r>
      <w:r w:rsidRPr="00F418EC">
        <w:rPr>
          <w:rFonts w:ascii="Times New Roman" w:eastAsiaTheme="minorHAnsi" w:hAnsi="Times New Roman"/>
          <w:spacing w:val="0"/>
          <w:szCs w:val="24"/>
        </w:rPr>
        <w:t>.</w:t>
      </w:r>
    </w:p>
    <w:p w14:paraId="6F8E8EC0" w14:textId="77777777" w:rsidR="00F418EC" w:rsidRPr="00F418EC" w:rsidRDefault="00F418EC" w:rsidP="00F418EC">
      <w:pPr>
        <w:numPr>
          <w:ilvl w:val="0"/>
          <w:numId w:val="95"/>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Post-RY21 Cost Review and Settlement  </w:t>
      </w:r>
    </w:p>
    <w:p w14:paraId="4B07480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Each Critical Access Hospital must timely complete all Medicaid (Title XIX) data worksheets on CMS-2552 cost reports for FY21 in accordance with the CMS Provider Reimbursement Manual - Part 2 (CMS publication 15-2) (“CMS-2552-10 cost reports”), and any additional instructions provided by MassHealth, and submit copies of such completed reports to EOHHS no later than February 28, 2022, or such date as otherwise determined necessary by EOHHS.   Critical Access Hospitals shall also complete and provide to EOHHS upon request all such other information, and in such format, as EOHHS determines necessary to perform the review described below.</w:t>
      </w:r>
    </w:p>
    <w:p w14:paraId="7162D3C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perform a post-RY21 review to determine whether the Critical Access Hospital received aggregate interim payments in an amount equal to 101% of allowable costs utilizing the Medicare cost-based reimbursement methodology for both inpatient and outpatient services for FY21, as such amount is determined by EOHHS (“101% of allowable costs”).  EOHHS will utilize the Critical Access Hospital’s FY21 CMS-2552-10 cost reports and such other information that EOHHS determines is necessary, to perform this post RY21 review.  “Aggregate interim payments” for this purpose shall include all hospital payments made under (i) the RY20 RFA corresponding to the one-month period in FY20 from October 1, 2020 through October 31, 2020, and (ii) the RY21 RFA for the remainder of FY21, as determined by EOHHS, but excluding any payments under </w:t>
      </w:r>
      <w:r w:rsidRPr="00F418EC">
        <w:rPr>
          <w:rFonts w:ascii="Times New Roman" w:eastAsiaTheme="minorHAnsi" w:hAnsi="Times New Roman"/>
          <w:b/>
          <w:bCs/>
          <w:spacing w:val="0"/>
          <w:szCs w:val="24"/>
        </w:rPr>
        <w:t>Section 5.D.1</w:t>
      </w:r>
      <w:r w:rsidRPr="00F418EC">
        <w:rPr>
          <w:rFonts w:ascii="Times New Roman" w:eastAsiaTheme="minorHAnsi" w:hAnsi="Times New Roman"/>
          <w:spacing w:val="0"/>
          <w:szCs w:val="24"/>
        </w:rPr>
        <w:t xml:space="preserve"> and </w:t>
      </w:r>
      <w:r w:rsidRPr="00F418EC">
        <w:rPr>
          <w:rFonts w:ascii="Times New Roman" w:eastAsiaTheme="minorHAnsi" w:hAnsi="Times New Roman"/>
          <w:b/>
          <w:bCs/>
          <w:spacing w:val="0"/>
          <w:szCs w:val="24"/>
        </w:rPr>
        <w:t>Section 7</w:t>
      </w:r>
      <w:r w:rsidRPr="00F418EC">
        <w:rPr>
          <w:rFonts w:ascii="Times New Roman" w:eastAsiaTheme="minorHAnsi" w:hAnsi="Times New Roman"/>
          <w:spacing w:val="0"/>
          <w:szCs w:val="24"/>
        </w:rPr>
        <w:t xml:space="preserve"> under each of the RY20 RFA and the RY21 RFA.</w:t>
      </w:r>
    </w:p>
    <w:p w14:paraId="7763BC6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the amount that EOHHS determines is 101% of allowable costs and the aggregate </w:t>
      </w:r>
      <w:r w:rsidRPr="00F418EC">
        <w:rPr>
          <w:rFonts w:ascii="Times New Roman" w:eastAsiaTheme="minorHAnsi" w:hAnsi="Times New Roman"/>
          <w:spacing w:val="0"/>
          <w:szCs w:val="24"/>
        </w:rPr>
        <w:lastRenderedPageBreak/>
        <w:t>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483FBB52"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This post RY21 review and settlement will take place within approximately twelve (12) months after the close of RY21, subject to the availability of data, or, if later, at such other time as EOHHS determines the necessary documentation is available.</w:t>
      </w:r>
    </w:p>
    <w:p w14:paraId="5002150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the case of a Critical Access Hospital that does not comply with the reporting requirements set forth in </w:t>
      </w:r>
      <w:r w:rsidRPr="00F418EC">
        <w:rPr>
          <w:rFonts w:ascii="Times New Roman" w:eastAsiaTheme="minorHAnsi" w:hAnsi="Times New Roman"/>
          <w:b/>
          <w:spacing w:val="0"/>
          <w:szCs w:val="24"/>
        </w:rPr>
        <w:t xml:space="preserve">Section 6.E </w:t>
      </w:r>
      <w:r w:rsidRPr="00F418EC">
        <w:rPr>
          <w:rFonts w:ascii="Times New Roman" w:eastAsiaTheme="minorHAnsi" w:hAnsi="Times New Roman"/>
          <w:spacing w:val="0"/>
          <w:szCs w:val="24"/>
        </w:rPr>
        <w:t xml:space="preserve">and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the amount of any reduction(s) to such hospital’s APAD and inpatient Outlier Payments pursuant to </w:t>
      </w:r>
      <w:r w:rsidRPr="00F418EC">
        <w:rPr>
          <w:rFonts w:ascii="Times New Roman" w:eastAsiaTheme="minorHAnsi" w:hAnsi="Times New Roman"/>
          <w:b/>
          <w:spacing w:val="0"/>
          <w:szCs w:val="24"/>
        </w:rPr>
        <w:t>Section 6.E</w:t>
      </w:r>
      <w:r w:rsidRPr="00F418EC">
        <w:rPr>
          <w:rFonts w:ascii="Times New Roman" w:eastAsiaTheme="minorHAnsi" w:hAnsi="Times New Roman"/>
          <w:spacing w:val="0"/>
          <w:szCs w:val="24"/>
        </w:rPr>
        <w:t xml:space="preserve"> will also be deducted from such hospital’s allowable costs, as calculated by EOHHS pursuant to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for purposes of the post-RY21 review and settlement described in this </w:t>
      </w:r>
      <w:r w:rsidRPr="00F418EC">
        <w:rPr>
          <w:rFonts w:ascii="Times New Roman" w:eastAsiaTheme="minorHAnsi" w:hAnsi="Times New Roman"/>
          <w:b/>
          <w:spacing w:val="0"/>
          <w:szCs w:val="24"/>
        </w:rPr>
        <w:t>Section 5.D.7.C.</w:t>
      </w:r>
      <w:r w:rsidRPr="00F418EC">
        <w:rPr>
          <w:rFonts w:ascii="Times New Roman" w:eastAsiaTheme="minorHAnsi" w:hAnsi="Times New Roman"/>
          <w:spacing w:val="0"/>
          <w:szCs w:val="24"/>
        </w:rPr>
        <w:t xml:space="preserve">  </w:t>
      </w:r>
    </w:p>
    <w:p w14:paraId="7AED7805"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3" w:name="_Toc52374291"/>
      <w:r w:rsidRPr="00F418EC">
        <w:rPr>
          <w:rFonts w:ascii="Times New Roman" w:eastAsiaTheme="minorHAnsi" w:hAnsi="Times New Roman"/>
          <w:b/>
          <w:spacing w:val="0"/>
          <w:szCs w:val="24"/>
        </w:rPr>
        <w:t>High Medicaid Volume Safety Net Hospital Supplemental Payment</w:t>
      </w:r>
      <w:bookmarkEnd w:id="63"/>
    </w:p>
    <w:p w14:paraId="032246CA" w14:textId="77777777" w:rsidR="00F418EC" w:rsidRPr="00F418EC" w:rsidRDefault="00F418EC" w:rsidP="00F418EC">
      <w:pPr>
        <w:numPr>
          <w:ilvl w:val="0"/>
          <w:numId w:val="9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Qualification</w:t>
      </w:r>
    </w:p>
    <w:p w14:paraId="5502674F"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584216D2" w14:textId="77777777" w:rsidR="00F418EC" w:rsidRPr="00F418EC" w:rsidRDefault="00F418EC" w:rsidP="00F418EC">
      <w:pPr>
        <w:numPr>
          <w:ilvl w:val="0"/>
          <w:numId w:val="9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Reimbursement Methodology </w:t>
      </w:r>
    </w:p>
    <w:p w14:paraId="7A724DF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0E25776A"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4E62D507"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Acute Hospitals that receive payment as a High Medicaid Volume Safety Net Hospital shall be determined by EOHHS.</w:t>
      </w:r>
    </w:p>
    <w:p w14:paraId="40935E3C"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4" w:name="_Toc52374292"/>
      <w:r w:rsidRPr="00F418EC">
        <w:rPr>
          <w:rFonts w:ascii="Times New Roman" w:eastAsiaTheme="minorHAnsi" w:hAnsi="Times New Roman"/>
          <w:b/>
          <w:spacing w:val="0"/>
          <w:szCs w:val="24"/>
        </w:rPr>
        <w:t>High Medicaid Volume Safety Net Hospital HLHC Supplemental Payment</w:t>
      </w:r>
      <w:bookmarkEnd w:id="64"/>
    </w:p>
    <w:p w14:paraId="709304D4"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w:t>
      </w:r>
      <w:r w:rsidRPr="00F418EC">
        <w:rPr>
          <w:rFonts w:ascii="Times New Roman" w:eastAsiaTheme="minorHAnsi" w:hAnsi="Times New Roman"/>
          <w:spacing w:val="0"/>
          <w:szCs w:val="24"/>
        </w:rPr>
        <w:lastRenderedPageBreak/>
        <w:t>MMIS claims (“Qualifying HLHC”).  Acute Hospitals that receive payment pursuant to this section shall be determined by EOHHS.</w:t>
      </w:r>
    </w:p>
    <w:p w14:paraId="532D1B7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$2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83BE83"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5" w:name="_Toc52374293"/>
      <w:r w:rsidRPr="00F418EC">
        <w:rPr>
          <w:rFonts w:ascii="Times New Roman" w:eastAsiaTheme="minorHAnsi" w:hAnsi="Times New Roman"/>
          <w:b/>
          <w:bCs/>
          <w:spacing w:val="0"/>
          <w:szCs w:val="24"/>
        </w:rPr>
        <w:t>Reimbursement for I&amp;R Hospitals Rendering I&amp;R Services at an I&amp;R Site</w:t>
      </w:r>
      <w:bookmarkEnd w:id="65"/>
      <w:r w:rsidRPr="00F418EC">
        <w:rPr>
          <w:rFonts w:ascii="Times New Roman" w:eastAsiaTheme="minorHAnsi" w:hAnsi="Times New Roman"/>
          <w:b/>
          <w:spacing w:val="0"/>
          <w:szCs w:val="24"/>
        </w:rPr>
        <w:t xml:space="preserve"> </w:t>
      </w:r>
    </w:p>
    <w:p w14:paraId="4D305AFD"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531F8CFA"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7C703054"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The costs to acquire and maintain sufficient quantities of medical supplies necessary to provide I&amp;R Services at the I&amp;R Site.</w:t>
      </w:r>
    </w:p>
    <w:p w14:paraId="76FAFABA" w14:textId="77777777" w:rsidR="00F418EC" w:rsidRPr="00F418EC" w:rsidRDefault="00F418EC" w:rsidP="00F418EC">
      <w:pPr>
        <w:numPr>
          <w:ilvl w:val="0"/>
          <w:numId w:val="243"/>
        </w:numPr>
        <w:spacing w:after="200"/>
        <w:ind w:left="1800"/>
        <w:rPr>
          <w:rFonts w:ascii="Times New Roman" w:eastAsiaTheme="minorHAnsi" w:hAnsi="Times New Roman"/>
          <w:spacing w:val="0"/>
          <w:szCs w:val="24"/>
        </w:rPr>
      </w:pPr>
      <w:r w:rsidRPr="00F418EC">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1571A749"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To constitute an allowable cost, the costs described in paragraphs (a), (b), and (c) must, at a minimum, be reasonable, directly related to the provision of I&amp;R Services, and identified in the I&amp;R Hospital’s I&amp;R Services-related special conditions addendum to its MassHealth Hospital Contract.</w:t>
      </w:r>
    </w:p>
    <w:p w14:paraId="442B5CC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F418EC">
        <w:rPr>
          <w:rFonts w:ascii="Times New Roman" w:eastAsiaTheme="minorHAnsi" w:hAnsi="Times New Roman"/>
          <w:b/>
          <w:bCs/>
          <w:spacing w:val="0"/>
          <w:szCs w:val="24"/>
        </w:rPr>
        <w:t>Section 5.D.10</w:t>
      </w:r>
      <w:r w:rsidRPr="00F418EC">
        <w:rPr>
          <w:rFonts w:ascii="Times New Roman" w:eastAsiaTheme="minorHAnsi" w:hAnsi="Times New Roman"/>
          <w:spacing w:val="0"/>
          <w:szCs w:val="24"/>
        </w:rPr>
        <w:t xml:space="preserve"> represents payment in full for all I&amp;R Services rendered by an I&amp;R Hospital at an I&amp;R Site.  </w:t>
      </w:r>
    </w:p>
    <w:p w14:paraId="4E934683"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F418EC">
        <w:rPr>
          <w:rFonts w:ascii="Times New Roman" w:eastAsiaTheme="minorHAnsi" w:hAnsi="Times New Roman"/>
          <w:b/>
          <w:bCs/>
          <w:spacing w:val="0"/>
          <w:szCs w:val="24"/>
        </w:rPr>
        <w:t>Section 5.D.10</w:t>
      </w:r>
      <w:r w:rsidRPr="00F418EC">
        <w:rPr>
          <w:rFonts w:ascii="Times New Roman" w:eastAsiaTheme="minorHAnsi" w:hAnsi="Times New Roman"/>
          <w:spacing w:val="0"/>
          <w:szCs w:val="24"/>
        </w:rPr>
        <w:t>.  Instead, such Hospitals will be reimbursed for those services pursuant to the applicable methodology(ies) set forth elsewhere in this RFA.</w:t>
      </w:r>
    </w:p>
    <w:p w14:paraId="0304F1FA" w14:textId="77777777" w:rsidR="00F418EC" w:rsidRPr="00F418EC" w:rsidRDefault="00F418EC" w:rsidP="00F418EC">
      <w:pPr>
        <w:keepNext/>
        <w:numPr>
          <w:ilvl w:val="0"/>
          <w:numId w:val="98"/>
        </w:numPr>
        <w:spacing w:after="200"/>
        <w:outlineLvl w:val="2"/>
        <w:rPr>
          <w:rFonts w:ascii="Times New Roman" w:eastAsiaTheme="minorHAnsi" w:hAnsi="Times New Roman"/>
          <w:b/>
          <w:spacing w:val="0"/>
          <w:szCs w:val="24"/>
        </w:rPr>
      </w:pPr>
      <w:bookmarkStart w:id="66" w:name="_Toc52374294"/>
      <w:r w:rsidRPr="00F418EC">
        <w:rPr>
          <w:rFonts w:ascii="Times New Roman" w:eastAsiaTheme="minorHAnsi" w:hAnsi="Times New Roman"/>
          <w:b/>
          <w:spacing w:val="0"/>
          <w:szCs w:val="24"/>
        </w:rPr>
        <w:lastRenderedPageBreak/>
        <w:t>Adult Inpatient BH Per Diem Supplemental Payment</w:t>
      </w:r>
      <w:bookmarkEnd w:id="66"/>
    </w:p>
    <w:p w14:paraId="6FC3A3E3"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Definitions</w:t>
      </w:r>
    </w:p>
    <w:p w14:paraId="3F7331C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bCs/>
          <w:spacing w:val="0"/>
          <w:szCs w:val="24"/>
        </w:rPr>
        <w:t>Section 5.D.11</w:t>
      </w:r>
      <w:r w:rsidRPr="00F418EC">
        <w:rPr>
          <w:rFonts w:ascii="Times New Roman" w:eastAsiaTheme="minorHAnsi" w:hAnsi="Times New Roman"/>
          <w:spacing w:val="0"/>
          <w:szCs w:val="24"/>
        </w:rPr>
        <w:t>, the following terms shall have the following meanings:</w:t>
      </w:r>
    </w:p>
    <w:p w14:paraId="414988DE"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 a Member aged 18 years or older</w:t>
      </w:r>
    </w:p>
    <w:p w14:paraId="3D1483DE" w14:textId="77777777" w:rsidR="00F418EC" w:rsidRPr="00F418EC" w:rsidRDefault="00F418EC" w:rsidP="00F418EC">
      <w:pPr>
        <w:spacing w:after="200"/>
        <w:ind w:left="1350"/>
        <w:contextualSpacing/>
        <w:rPr>
          <w:rFonts w:ascii="Times New Roman" w:eastAsiaTheme="minorHAnsi" w:hAnsi="Times New Roman"/>
          <w:spacing w:val="0"/>
          <w:szCs w:val="24"/>
        </w:rPr>
      </w:pPr>
    </w:p>
    <w:p w14:paraId="57139F9B"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Adult Inpatient BH Bed-Days Baseline - the adjusted total CY19 Adult Inpatient BH Bed-Days, calculated in accordance with </w:t>
      </w:r>
      <w:r w:rsidRPr="00F418EC">
        <w:rPr>
          <w:rFonts w:ascii="Times New Roman" w:eastAsiaTheme="minorHAnsi" w:hAnsi="Times New Roman"/>
          <w:b/>
          <w:bCs/>
          <w:spacing w:val="0"/>
          <w:szCs w:val="24"/>
        </w:rPr>
        <w:t>Section 5.D.11.b.2.c</w:t>
      </w:r>
      <w:r w:rsidRPr="00F418EC">
        <w:rPr>
          <w:rFonts w:ascii="Times New Roman" w:eastAsiaTheme="minorHAnsi" w:hAnsi="Times New Roman"/>
          <w:spacing w:val="0"/>
          <w:szCs w:val="24"/>
        </w:rPr>
        <w:t>.</w:t>
      </w:r>
    </w:p>
    <w:p w14:paraId="26DEF3D9"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523D8CF2"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Inpatient BH Bed-Days Volume - the calculated number of the Hospital’s Adult Inpatient BH Bed-Days for a particular period.</w:t>
      </w:r>
    </w:p>
    <w:p w14:paraId="1E54F3D6"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C1B1D01"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Adult Inpatient BH Bed-Day – a day on which a Hospital provided Inpatient Behavioral Health Services to an Adult for which payment was made by MassHealth or a Managed Care Entity, as determined by EOHHS, provided, however, that days on which the Hospital provided Inpatient Behavioral Health Services to an Adult enrolled in SCO, One Care, or the Program of All-Inclusive Care for the Elderly (PACE) shall not constitute Adult Inpatient BH Bed-Days.  Adult Inpatient BH Bed-Days shall include each day of utilization for each Adult to whom Inpatient Behavioral Health Services were rendered.</w:t>
      </w:r>
    </w:p>
    <w:p w14:paraId="7734750B"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92E6630" w14:textId="4336FCAD" w:rsidR="00F418EC" w:rsidRPr="00F418EC" w:rsidRDefault="00F418EC" w:rsidP="008767E9">
      <w:pPr>
        <w:numPr>
          <w:ilvl w:val="3"/>
          <w:numId w:val="255"/>
        </w:numPr>
        <w:spacing w:after="360"/>
        <w:ind w:left="1354"/>
        <w:rPr>
          <w:rFonts w:ascii="Times New Roman" w:eastAsiaTheme="minorHAnsi" w:hAnsi="Times New Roman"/>
          <w:spacing w:val="0"/>
          <w:szCs w:val="24"/>
        </w:rPr>
      </w:pPr>
      <w:r w:rsidRPr="00F418EC">
        <w:rPr>
          <w:rFonts w:ascii="Times New Roman" w:eastAsiaTheme="minorHAnsi" w:hAnsi="Times New Roman"/>
          <w:spacing w:val="0"/>
          <w:szCs w:val="24"/>
        </w:rPr>
        <w:t>Managed Care Entity (MCE) – An MCO or the BH Contractor.</w:t>
      </w:r>
      <w:r w:rsidR="008767E9" w:rsidRPr="00F418EC">
        <w:rPr>
          <w:rFonts w:ascii="Times New Roman" w:eastAsiaTheme="minorHAnsi" w:hAnsi="Times New Roman"/>
          <w:spacing w:val="0"/>
          <w:szCs w:val="24"/>
        </w:rPr>
        <w:t xml:space="preserve"> </w:t>
      </w:r>
    </w:p>
    <w:p w14:paraId="441322F1"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First RY21 Performance Period – the period beginning on November 1, 2020 and ending on April 30, 2021. </w:t>
      </w:r>
    </w:p>
    <w:p w14:paraId="2D3059C9"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32F12C84"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Second RY21 Performance Period – the period beginning on May 1, 2021 and ending on October 31, 2021.</w:t>
      </w:r>
    </w:p>
    <w:p w14:paraId="69459C24" w14:textId="77777777" w:rsidR="00F418EC" w:rsidRPr="00F418EC" w:rsidRDefault="00F418EC" w:rsidP="00F418EC">
      <w:pPr>
        <w:spacing w:after="200"/>
        <w:ind w:left="720"/>
        <w:contextualSpacing/>
        <w:rPr>
          <w:rFonts w:ascii="Times New Roman" w:eastAsiaTheme="minorHAnsi" w:hAnsi="Times New Roman"/>
          <w:spacing w:val="0"/>
          <w:szCs w:val="24"/>
        </w:rPr>
      </w:pPr>
    </w:p>
    <w:p w14:paraId="2E840944" w14:textId="77777777" w:rsidR="00F418EC" w:rsidRPr="00F418EC" w:rsidRDefault="00F418EC" w:rsidP="00F418EC">
      <w:pPr>
        <w:numPr>
          <w:ilvl w:val="3"/>
          <w:numId w:val="255"/>
        </w:numPr>
        <w:spacing w:after="200"/>
        <w:ind w:left="1350"/>
        <w:contextualSpacing/>
        <w:rPr>
          <w:rFonts w:ascii="Times New Roman" w:eastAsiaTheme="minorHAnsi" w:hAnsi="Times New Roman"/>
          <w:spacing w:val="0"/>
          <w:szCs w:val="24"/>
        </w:rPr>
      </w:pPr>
      <w:r w:rsidRPr="00F418EC">
        <w:rPr>
          <w:rFonts w:ascii="Times New Roman" w:eastAsiaTheme="minorHAnsi" w:hAnsi="Times New Roman"/>
          <w:spacing w:val="0"/>
          <w:szCs w:val="24"/>
        </w:rPr>
        <w:t>RY21 Performance Period – either the First RY21 Performance Period or the Second RY21 Performance Period.</w:t>
      </w:r>
    </w:p>
    <w:p w14:paraId="1A6436AB"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Eligibility Criteria</w:t>
      </w:r>
    </w:p>
    <w:p w14:paraId="1192041B" w14:textId="77777777" w:rsidR="00F418EC" w:rsidRPr="00F418EC" w:rsidRDefault="00F418EC" w:rsidP="00F418EC">
      <w:pPr>
        <w:numPr>
          <w:ilvl w:val="0"/>
          <w:numId w:val="256"/>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is eligible for an Adult Inpatient BH Per Diem Supplemental Payment or Payments if its Adult Inpatient BH Bed-Days Volume for an RY21 Performance Period, calculated in accordance with </w:t>
      </w:r>
      <w:r w:rsidRPr="00F418EC">
        <w:rPr>
          <w:rFonts w:ascii="Times New Roman" w:eastAsiaTheme="minorHAnsi" w:hAnsi="Times New Roman"/>
          <w:b/>
          <w:bCs/>
          <w:spacing w:val="0"/>
          <w:szCs w:val="24"/>
        </w:rPr>
        <w:t>Section 5.D.11.b.3</w:t>
      </w:r>
      <w:r w:rsidRPr="00F418EC">
        <w:rPr>
          <w:rFonts w:ascii="Times New Roman" w:eastAsiaTheme="minorHAnsi" w:hAnsi="Times New Roman"/>
          <w:spacing w:val="0"/>
          <w:szCs w:val="24"/>
        </w:rPr>
        <w:t xml:space="preserve">, exceeds its Adult Inpatient BH Bed-Days Baseline for that RY21 Performance Period, calculated in accordance with </w:t>
      </w:r>
      <w:r w:rsidRPr="00F418EC">
        <w:rPr>
          <w:rFonts w:ascii="Times New Roman" w:eastAsiaTheme="minorHAnsi" w:hAnsi="Times New Roman"/>
          <w:b/>
          <w:bCs/>
          <w:spacing w:val="0"/>
          <w:szCs w:val="24"/>
        </w:rPr>
        <w:t>Section 5.D.11.b.2</w:t>
      </w:r>
      <w:r w:rsidRPr="00F418EC">
        <w:rPr>
          <w:rFonts w:ascii="Times New Roman" w:eastAsiaTheme="minorHAnsi" w:hAnsi="Times New Roman"/>
          <w:spacing w:val="0"/>
          <w:szCs w:val="24"/>
        </w:rPr>
        <w:t>. EOHHS shall determine a Hospital’s eligibility to receive payment pursuant to this Section.</w:t>
      </w:r>
    </w:p>
    <w:p w14:paraId="29B44C50" w14:textId="77777777" w:rsidR="00F418EC" w:rsidRPr="00F418EC" w:rsidRDefault="00F418EC" w:rsidP="00F418EC">
      <w:pPr>
        <w:numPr>
          <w:ilvl w:val="0"/>
          <w:numId w:val="256"/>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EOHHS shall calculate a Hospital’s Adult Inpatient BH Bed-Days Baseline for an RY21 Performance Period as follows:</w:t>
      </w:r>
    </w:p>
    <w:p w14:paraId="04E05E00"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at least one Adult Inpatient BH Bed-Day during each calendar month in CY2019, EOHHS will determine the Hospital’s Adult Inpatient BH Bed-Days Volume during Calendar Year 2019 (“CY19 Adult </w:t>
      </w:r>
      <w:r w:rsidRPr="00F418EC">
        <w:rPr>
          <w:rFonts w:ascii="Times New Roman" w:eastAsiaTheme="minorHAnsi" w:hAnsi="Times New Roman"/>
          <w:spacing w:val="0"/>
          <w:szCs w:val="24"/>
        </w:rPr>
        <w:lastRenderedPageBreak/>
        <w:t>Inpatient BH Bed-Days”) by summing all of the Hospital’s Adult Inpatient BH Bed-Days during CY19, determined based on CY2019 fee-for-service MMIS paid claims and encounter data submitted to EOHHS by Managed Care Entities as of September 11, 2020.</w:t>
      </w:r>
    </w:p>
    <w:p w14:paraId="2E82DDAC"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zero Adult Inpatient BH Bed-Days during at least one calendar month in CY2019, EOHHS will calculate the Hospital’s CY19 Adult Inpatient BH Bed-Days as follows: </w:t>
      </w:r>
    </w:p>
    <w:p w14:paraId="6D7EE7BF"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zero Adult Inpatient BH Bed-Days during at least one calendar month in the second half of CY19 (July to December), EOHHS will determine the Hospital’s CY19 Adult Inpatient BH Bed-Days by summing all of the Hospital’s Adult Inpatient BH Bed-Days during CY19, determined based on CY2019 fee-for-service MMIS paid claims and encounter data submitted to EOHHS by Managed Care Entities as of September 11, 2020.</w:t>
      </w:r>
    </w:p>
    <w:p w14:paraId="388D898A"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 Hospital not described in </w:t>
      </w:r>
      <w:r w:rsidRPr="00F418EC">
        <w:rPr>
          <w:rFonts w:ascii="Times New Roman" w:eastAsiaTheme="minorHAnsi" w:hAnsi="Times New Roman"/>
          <w:b/>
          <w:bCs/>
          <w:spacing w:val="0"/>
          <w:szCs w:val="24"/>
        </w:rPr>
        <w:t>section 5.D.11.b.2.b.i</w:t>
      </w:r>
      <w:r w:rsidRPr="00F418EC">
        <w:rPr>
          <w:rFonts w:ascii="Times New Roman" w:eastAsiaTheme="minorHAnsi" w:hAnsi="Times New Roman"/>
          <w:spacing w:val="0"/>
          <w:szCs w:val="24"/>
        </w:rPr>
        <w:t xml:space="preserve"> had zero Adult Inpatient BH Bed-Days during at least one calendar month in the first half of CY19 (January to June), EOHHS will determine the Hospital’s Adult Inpatient BH Bed-Days Volume during the second half of Calendar Year 2019 by summing all of the Hospital’s Adult Inpatient BH Bed-Days during the second half of CY19, determined based on CY2019 fee-for-service MMIS paid claims and encounter data submitted to EOHHS by Managed Care Entities as of September 11, 2020.  The Hospital’s CY19 Adult Inpatient BH Bed-Days shall equal 200% of the Hospital’s Adult Inpatient BH Bed-Days Volume during the second half of CY19.</w:t>
      </w:r>
    </w:p>
    <w:p w14:paraId="28E2566A"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multiply the Hospital’s CY19 Adult Inpatient BH Bed-Days (as calculated pursuant to </w:t>
      </w:r>
      <w:r w:rsidRPr="00F418EC">
        <w:rPr>
          <w:rFonts w:ascii="Times New Roman" w:eastAsiaTheme="minorHAnsi" w:hAnsi="Times New Roman"/>
          <w:b/>
          <w:bCs/>
          <w:spacing w:val="0"/>
          <w:szCs w:val="24"/>
        </w:rPr>
        <w:t xml:space="preserve">Section 5.D.11.b.2.a, 5.D.11.b.2.b.i, </w:t>
      </w:r>
      <w:r w:rsidRPr="00F418EC">
        <w:rPr>
          <w:rFonts w:ascii="Times New Roman" w:eastAsiaTheme="minorHAnsi" w:hAnsi="Times New Roman"/>
          <w:spacing w:val="0"/>
          <w:szCs w:val="24"/>
        </w:rPr>
        <w:t>or</w:t>
      </w:r>
      <w:r w:rsidRPr="00F418EC">
        <w:rPr>
          <w:rFonts w:ascii="Times New Roman" w:eastAsiaTheme="minorHAnsi" w:hAnsi="Times New Roman"/>
          <w:b/>
          <w:bCs/>
          <w:spacing w:val="0"/>
          <w:szCs w:val="24"/>
        </w:rPr>
        <w:t xml:space="preserve"> 5.D.11.b.2.b.ii</w:t>
      </w:r>
      <w:r w:rsidRPr="00F418EC">
        <w:rPr>
          <w:rFonts w:ascii="Times New Roman" w:eastAsiaTheme="minorHAnsi" w:hAnsi="Times New Roman"/>
          <w:spacing w:val="0"/>
          <w:szCs w:val="24"/>
        </w:rPr>
        <w:t xml:space="preserve">) by 90%, resulting in the Hospital’s Adult Inpatient BH Bed-Days Baseline. </w:t>
      </w:r>
    </w:p>
    <w:p w14:paraId="0E19EDD6"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Adult Inpatient BH Bed-Days Baseline for an RY21 Performance Period shall equal 50% of the amount calculated in </w:t>
      </w:r>
      <w:r w:rsidRPr="00F418EC">
        <w:rPr>
          <w:rFonts w:ascii="Times New Roman" w:eastAsiaTheme="minorHAnsi" w:hAnsi="Times New Roman"/>
          <w:b/>
          <w:bCs/>
          <w:spacing w:val="0"/>
          <w:szCs w:val="24"/>
        </w:rPr>
        <w:t>Section 5.D.11.b.2.c</w:t>
      </w:r>
      <w:r w:rsidRPr="00F418EC">
        <w:rPr>
          <w:rFonts w:ascii="Times New Roman" w:eastAsiaTheme="minorHAnsi" w:hAnsi="Times New Roman"/>
          <w:spacing w:val="0"/>
          <w:szCs w:val="24"/>
        </w:rPr>
        <w:t>.</w:t>
      </w:r>
    </w:p>
    <w:p w14:paraId="13C5EF9B" w14:textId="77777777" w:rsidR="00F418EC" w:rsidRPr="00F418EC" w:rsidRDefault="00F418EC" w:rsidP="00F418EC">
      <w:pPr>
        <w:numPr>
          <w:ilvl w:val="0"/>
          <w:numId w:val="256"/>
        </w:num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A Hospital’s Adult Inpatient BH Bed-Days Volume during an RY21 Performance Period shall be calculated as follows:</w:t>
      </w:r>
    </w:p>
    <w:p w14:paraId="2B85BE03"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Adult Inpatient BH Bed-Days Volume for an RY21 Performance Period shall equal the sum of the Hospital’s Inpatient BH Bed-Days during that RY21 Performance Period.  </w:t>
      </w:r>
    </w:p>
    <w:p w14:paraId="44D7557A"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determine the Hospital’s Adult Inpatient BH Bed-Days Volume for the First RY21 Performance Period utilizing RY21 fee-for-service MMIS paid claims and encounter data submitted to EOHHS by Managed Care Entities by October 31, 2021. </w:t>
      </w:r>
    </w:p>
    <w:p w14:paraId="13F701BD" w14:textId="77777777" w:rsidR="00F418EC" w:rsidRPr="00F418EC" w:rsidRDefault="00F418EC" w:rsidP="00F418EC">
      <w:pPr>
        <w:numPr>
          <w:ilvl w:val="0"/>
          <w:numId w:val="26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EOHHS will determine the Hospital’s Adult Inpatient BH Bed-Days Volume for the Second RY21 Performance Period utilizing RY21 fee-for-service MMIS paid claims and encounter data submitted to EOHHS by Managed Care Entities by April 30, 2022.</w:t>
      </w:r>
    </w:p>
    <w:p w14:paraId="060A7007" w14:textId="77777777" w:rsidR="00F418EC" w:rsidRPr="00F418EC" w:rsidRDefault="00F418EC" w:rsidP="00F418EC">
      <w:pPr>
        <w:numPr>
          <w:ilvl w:val="0"/>
          <w:numId w:val="259"/>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Payment Methodology</w:t>
      </w:r>
    </w:p>
    <w:p w14:paraId="7C995F8C" w14:textId="4E411928" w:rsidR="00F418EC" w:rsidRPr="00F418EC" w:rsidRDefault="00F418EC" w:rsidP="00D3390C">
      <w:pPr>
        <w:numPr>
          <w:ilvl w:val="1"/>
          <w:numId w:val="270"/>
        </w:numPr>
        <w:spacing w:after="32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Hospital eligible for an Adult Inpatient BH Per Diem Supplemental Payment for an RY21 Performance Period in accordance with </w:t>
      </w:r>
      <w:r w:rsidRPr="00F418EC">
        <w:rPr>
          <w:rFonts w:ascii="Times New Roman" w:eastAsiaTheme="minorHAnsi" w:hAnsi="Times New Roman"/>
          <w:b/>
          <w:bCs/>
          <w:spacing w:val="0"/>
          <w:szCs w:val="24"/>
        </w:rPr>
        <w:t>Section 5.D.11.b</w:t>
      </w:r>
      <w:r w:rsidRPr="00F418EC">
        <w:rPr>
          <w:rFonts w:ascii="Times New Roman" w:eastAsiaTheme="minorHAnsi" w:hAnsi="Times New Roman"/>
          <w:spacing w:val="0"/>
          <w:szCs w:val="24"/>
        </w:rPr>
        <w:t xml:space="preserve">, the Hospital’s payment shall equal $250 multiplied by the number of days by which the Hospital’s Adult Inpatient BH Bed-Days Volume for the RY21 Performance Period, calculated in accordance with </w:t>
      </w:r>
      <w:r w:rsidRPr="00F418EC">
        <w:rPr>
          <w:rFonts w:ascii="Times New Roman" w:eastAsiaTheme="minorHAnsi" w:hAnsi="Times New Roman"/>
          <w:b/>
          <w:bCs/>
          <w:spacing w:val="0"/>
          <w:szCs w:val="24"/>
        </w:rPr>
        <w:t>Section 5.D.11.b.3</w:t>
      </w:r>
      <w:r w:rsidRPr="00F418EC">
        <w:rPr>
          <w:rFonts w:ascii="Times New Roman" w:eastAsiaTheme="minorHAnsi" w:hAnsi="Times New Roman"/>
          <w:spacing w:val="0"/>
          <w:szCs w:val="24"/>
        </w:rPr>
        <w:t xml:space="preserve">, exceeds the Hospital’s Adult Inpatient BH Bed-Days Baseline for that RY21 Performance Period, calculated in accordance with </w:t>
      </w:r>
      <w:r w:rsidRPr="00F418EC">
        <w:rPr>
          <w:rFonts w:ascii="Times New Roman" w:eastAsiaTheme="minorHAnsi" w:hAnsi="Times New Roman"/>
          <w:b/>
          <w:bCs/>
          <w:spacing w:val="0"/>
          <w:szCs w:val="24"/>
        </w:rPr>
        <w:t>Section 5.D.11.b.2</w:t>
      </w:r>
      <w:r w:rsidRPr="00F418EC">
        <w:rPr>
          <w:rFonts w:ascii="Times New Roman" w:eastAsiaTheme="minorHAnsi" w:hAnsi="Times New Roman"/>
          <w:spacing w:val="0"/>
          <w:szCs w:val="24"/>
        </w:rPr>
        <w:t>.  This payment is in addition to any other payment to which the Hospital may be entitled pursuant to this RFA for services rendered during an RY21 Performance Period.</w:t>
      </w:r>
      <w:r w:rsidR="00D3390C" w:rsidRPr="00F418EC">
        <w:rPr>
          <w:rFonts w:ascii="Times New Roman" w:eastAsiaTheme="minorHAnsi" w:hAnsi="Times New Roman"/>
          <w:spacing w:val="0"/>
          <w:szCs w:val="24"/>
        </w:rPr>
        <w:t xml:space="preserve"> </w:t>
      </w:r>
    </w:p>
    <w:p w14:paraId="22F36629" w14:textId="77777777" w:rsidR="00F418EC" w:rsidRDefault="00F418EC" w:rsidP="00F418EC">
      <w:pPr>
        <w:numPr>
          <w:ilvl w:val="1"/>
          <w:numId w:val="270"/>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EOHHS may make partial payments to eligible Hospitals under this Section</w:t>
      </w:r>
      <w:r w:rsidRPr="00F418EC">
        <w:rPr>
          <w:rFonts w:ascii="Times New Roman" w:eastAsiaTheme="minorHAnsi" w:hAnsi="Times New Roman"/>
          <w:spacing w:val="0"/>
          <w:szCs w:val="24"/>
          <w:u w:val="single"/>
        </w:rPr>
        <w:t xml:space="preserve"> </w:t>
      </w:r>
      <w:r w:rsidRPr="00F418EC">
        <w:rPr>
          <w:rFonts w:ascii="Times New Roman" w:eastAsiaTheme="minorHAnsi" w:hAnsi="Times New Roman"/>
          <w:spacing w:val="0"/>
          <w:szCs w:val="24"/>
        </w:rPr>
        <w:t xml:space="preserve">at the close of an RY21 Performance Period or at other times as determined appropriate by EOHHS in its sole discretion.  Any partial payment made by EOHHS that exceeds amounts owed to the Hospital under </w:t>
      </w:r>
      <w:r w:rsidRPr="00F418EC">
        <w:rPr>
          <w:rFonts w:ascii="Times New Roman" w:eastAsiaTheme="minorHAnsi" w:hAnsi="Times New Roman"/>
          <w:b/>
          <w:bCs/>
          <w:spacing w:val="0"/>
          <w:szCs w:val="24"/>
        </w:rPr>
        <w:t>Section 5.D.11.c.1</w:t>
      </w:r>
      <w:r w:rsidRPr="00F418EC">
        <w:rPr>
          <w:rFonts w:ascii="Times New Roman" w:eastAsiaTheme="minorHAnsi" w:hAnsi="Times New Roman"/>
          <w:spacing w:val="0"/>
          <w:szCs w:val="24"/>
        </w:rPr>
        <w:t xml:space="preserve"> shall be reconciled against future payments owed to the Hospital or recouped through other means, as determined by EOHHS.</w:t>
      </w:r>
    </w:p>
    <w:p w14:paraId="3E963598" w14:textId="77777777" w:rsidR="00D3390C" w:rsidRPr="00F418EC" w:rsidRDefault="00D3390C" w:rsidP="00D3390C">
      <w:pPr>
        <w:spacing w:after="200"/>
        <w:ind w:left="1440"/>
        <w:contextualSpacing/>
        <w:rPr>
          <w:rFonts w:ascii="Times New Roman" w:eastAsiaTheme="minorHAnsi" w:hAnsi="Times New Roman"/>
          <w:spacing w:val="0"/>
          <w:szCs w:val="24"/>
        </w:rPr>
      </w:pPr>
    </w:p>
    <w:p w14:paraId="6EA306BD" w14:textId="77777777" w:rsidR="00F418EC" w:rsidRPr="00F418EC" w:rsidRDefault="00F418EC" w:rsidP="00F418EC">
      <w:pPr>
        <w:numPr>
          <w:ilvl w:val="0"/>
          <w:numId w:val="98"/>
        </w:numPr>
        <w:spacing w:after="200"/>
        <w:outlineLvl w:val="2"/>
        <w:rPr>
          <w:rFonts w:ascii="Times New Roman" w:eastAsiaTheme="minorHAnsi" w:hAnsi="Times New Roman"/>
          <w:b/>
          <w:spacing w:val="0"/>
          <w:szCs w:val="24"/>
        </w:rPr>
      </w:pPr>
      <w:bookmarkStart w:id="67" w:name="_Toc52374295"/>
      <w:r w:rsidRPr="00F418EC">
        <w:rPr>
          <w:rFonts w:ascii="Times New Roman" w:eastAsiaTheme="minorHAnsi" w:hAnsi="Times New Roman"/>
          <w:b/>
          <w:spacing w:val="0"/>
          <w:szCs w:val="24"/>
        </w:rPr>
        <w:t>Pediatric Inpatient BH Per Diem Supplemental Payment</w:t>
      </w:r>
      <w:bookmarkEnd w:id="67"/>
    </w:p>
    <w:p w14:paraId="7F466450"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Definitions</w:t>
      </w:r>
    </w:p>
    <w:p w14:paraId="4A834161"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w:t>
      </w:r>
      <w:r w:rsidRPr="00F418EC">
        <w:rPr>
          <w:rFonts w:ascii="Times New Roman" w:eastAsiaTheme="minorHAnsi" w:hAnsi="Times New Roman"/>
          <w:b/>
          <w:bCs/>
          <w:spacing w:val="0"/>
          <w:szCs w:val="24"/>
        </w:rPr>
        <w:t>Section 5.D.12</w:t>
      </w:r>
      <w:r w:rsidRPr="00F418EC">
        <w:rPr>
          <w:rFonts w:ascii="Times New Roman" w:eastAsiaTheme="minorHAnsi" w:hAnsi="Times New Roman"/>
          <w:spacing w:val="0"/>
          <w:szCs w:val="24"/>
        </w:rPr>
        <w:t>, the following terms shall have the following meanings:</w:t>
      </w:r>
    </w:p>
    <w:p w14:paraId="28700ADE" w14:textId="77777777" w:rsidR="00F418EC" w:rsidRPr="00F418EC" w:rsidRDefault="00F418EC" w:rsidP="00F418EC">
      <w:pPr>
        <w:numPr>
          <w:ilvl w:val="1"/>
          <w:numId w:val="26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Pediatric – a Member under 18 years of age.</w:t>
      </w:r>
    </w:p>
    <w:p w14:paraId="6D5DBE50"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Pediatric Inpatient BH Bed-Days Baseline - the adjusted CY19 Pediatric Inpatient BH Bed-Days for a given performance period, calculated in accordance with </w:t>
      </w:r>
      <w:r w:rsidRPr="00F418EC">
        <w:rPr>
          <w:rFonts w:ascii="Times New Roman" w:eastAsiaTheme="minorHAnsi" w:hAnsi="Times New Roman"/>
          <w:b/>
          <w:bCs/>
          <w:spacing w:val="0"/>
          <w:szCs w:val="24"/>
        </w:rPr>
        <w:t>Section 5.D.12.b.2.</w:t>
      </w:r>
    </w:p>
    <w:p w14:paraId="405AF0D5"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Pediatric Inpatient BH Bed-Days Volume - Pediatric inpatient BH bed-days utilization equal to the Hospital’s Pediatric Inpatient BH Bed-Days for a particular period.</w:t>
      </w:r>
    </w:p>
    <w:p w14:paraId="7BD5F943"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Pediatric Inpatient BH Bed-Day – a day on which a Hospital provided Inpatient Behavioral Health Services to a Member for which payment was made by MassHealth or a Managed Care Entity, as determined by EOHHS.  Pediatric Inpatient BH Bed-Days shall include each day of utilization for each Member to whom Inpatient Behavioral Health Services were rendered.</w:t>
      </w:r>
    </w:p>
    <w:p w14:paraId="5AC87008"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Managed Care Entity (MCE) – An MCO or the BH Contractor.</w:t>
      </w:r>
    </w:p>
    <w:p w14:paraId="567EC3F0"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First RY21 Performance Period – the period beginning on November 1, 2020 and ending on April 30, 2021.</w:t>
      </w:r>
    </w:p>
    <w:p w14:paraId="582FB0A4"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Second RY21 Performance Period – the period beginning on May 1, 2021 and ending on October 31, 2021.</w:t>
      </w:r>
    </w:p>
    <w:p w14:paraId="38987758" w14:textId="77777777" w:rsidR="00F418EC" w:rsidRPr="00F418EC" w:rsidRDefault="00F418EC" w:rsidP="00F418EC">
      <w:pPr>
        <w:numPr>
          <w:ilvl w:val="1"/>
          <w:numId w:val="26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RY21 Performance Period – either the First RY21 Performance Period or the Second RY21 Performance Period.  </w:t>
      </w:r>
    </w:p>
    <w:p w14:paraId="4C2736CC"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Eligibility Criteria</w:t>
      </w:r>
    </w:p>
    <w:p w14:paraId="176E030F" w14:textId="77777777" w:rsidR="00F418EC" w:rsidRPr="00F418EC" w:rsidRDefault="00F418EC" w:rsidP="00F418EC">
      <w:pPr>
        <w:numPr>
          <w:ilvl w:val="0"/>
          <w:numId w:val="262"/>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is eligible for a Pediatric Inpatient BH Per Diem Supplemental Payment or Payments if its Pediatric Inpatient BH Bed-Days Volume for an RY21 Performance Period, calculated in accordance with </w:t>
      </w:r>
      <w:r w:rsidRPr="00F418EC">
        <w:rPr>
          <w:rFonts w:ascii="Times New Roman" w:eastAsiaTheme="minorHAnsi" w:hAnsi="Times New Roman"/>
          <w:b/>
          <w:bCs/>
          <w:spacing w:val="0"/>
          <w:szCs w:val="24"/>
        </w:rPr>
        <w:t>Section 5.D.12.b.3</w:t>
      </w:r>
      <w:r w:rsidRPr="00F418EC">
        <w:rPr>
          <w:rFonts w:ascii="Times New Roman" w:eastAsiaTheme="minorHAnsi" w:hAnsi="Times New Roman"/>
          <w:spacing w:val="0"/>
          <w:szCs w:val="24"/>
        </w:rPr>
        <w:t xml:space="preserve">, exceeds its Pediatric Inpatient BH Bed-Days Baseline for that RY21 Performance Period, calculated in accordance with </w:t>
      </w:r>
      <w:r w:rsidRPr="00F418EC">
        <w:rPr>
          <w:rFonts w:ascii="Times New Roman" w:eastAsiaTheme="minorHAnsi" w:hAnsi="Times New Roman"/>
          <w:b/>
          <w:bCs/>
          <w:spacing w:val="0"/>
          <w:szCs w:val="24"/>
        </w:rPr>
        <w:t>Section 5.D.12.b.2</w:t>
      </w:r>
      <w:r w:rsidRPr="00F418EC">
        <w:rPr>
          <w:rFonts w:ascii="Times New Roman" w:eastAsiaTheme="minorHAnsi" w:hAnsi="Times New Roman"/>
          <w:spacing w:val="0"/>
          <w:szCs w:val="24"/>
        </w:rPr>
        <w:t xml:space="preserve">. EOHHS shall determine a Hospital’s eligibility to receive payment pursuant to this </w:t>
      </w:r>
      <w:r w:rsidRPr="00F418EC">
        <w:rPr>
          <w:rFonts w:ascii="Times New Roman" w:eastAsiaTheme="minorHAnsi" w:hAnsi="Times New Roman"/>
          <w:b/>
          <w:bCs/>
          <w:spacing w:val="0"/>
          <w:szCs w:val="24"/>
        </w:rPr>
        <w:t>Section 5.D.12.b</w:t>
      </w:r>
      <w:r w:rsidRPr="00F418EC">
        <w:rPr>
          <w:rFonts w:ascii="Times New Roman" w:eastAsiaTheme="minorHAnsi" w:hAnsi="Times New Roman"/>
          <w:spacing w:val="0"/>
          <w:szCs w:val="24"/>
        </w:rPr>
        <w:t>.</w:t>
      </w:r>
    </w:p>
    <w:p w14:paraId="72780CD8" w14:textId="77777777" w:rsidR="00F418EC" w:rsidRPr="00F418EC" w:rsidRDefault="00F418EC" w:rsidP="00F418EC">
      <w:pPr>
        <w:numPr>
          <w:ilvl w:val="0"/>
          <w:numId w:val="263"/>
        </w:num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EOHHS shall calculate a Hospital’s Pediatric Inpatient BH Bed-Days Baseline for an RY21 Performance Period as follows:</w:t>
      </w:r>
    </w:p>
    <w:p w14:paraId="0291B5B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at least one Pediatric Inpatient BH Bed-Day during each calendar month in CY2019,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2AF572C5"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the Hospital had zero Pediatric Inpatient BH Bed-Days during at least one calendar month in CY2019, EOHHS will calculate the Hospital’s CY19 Pediatric Inpatient BH Bed-Days Volume as follows: </w:t>
      </w:r>
    </w:p>
    <w:p w14:paraId="2540AD03"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3D3A1479" w14:textId="77777777" w:rsidR="00F418EC" w:rsidRPr="00F418EC" w:rsidRDefault="00F418EC" w:rsidP="00F418EC">
      <w:pPr>
        <w:numPr>
          <w:ilvl w:val="2"/>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 Hospital not described in </w:t>
      </w:r>
      <w:r w:rsidRPr="00F418EC">
        <w:rPr>
          <w:rFonts w:ascii="Times New Roman" w:eastAsiaTheme="minorHAnsi" w:hAnsi="Times New Roman"/>
          <w:b/>
          <w:bCs/>
          <w:spacing w:val="0"/>
          <w:szCs w:val="24"/>
        </w:rPr>
        <w:t>section 5.D.12.b.2.b.i</w:t>
      </w:r>
      <w:r w:rsidRPr="00F418EC">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Pediatric Inpatient BH Bed-Days shall </w:t>
      </w:r>
      <w:r w:rsidRPr="00F418EC">
        <w:rPr>
          <w:rFonts w:ascii="Times New Roman" w:eastAsiaTheme="minorHAnsi" w:hAnsi="Times New Roman"/>
          <w:spacing w:val="0"/>
          <w:szCs w:val="24"/>
        </w:rPr>
        <w:lastRenderedPageBreak/>
        <w:t>equal 200% of the Hospital’s Pediatric Inpatient BH Bed-Days Volume during the second half of CY19.</w:t>
      </w:r>
    </w:p>
    <w:p w14:paraId="78302B43"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multiply the Hospital’s CY19 Pediatric Inpatient BH Bed-Days (as calculated pursuant to </w:t>
      </w:r>
      <w:r w:rsidRPr="00F418EC">
        <w:rPr>
          <w:rFonts w:ascii="Times New Roman" w:eastAsiaTheme="minorHAnsi" w:hAnsi="Times New Roman"/>
          <w:b/>
          <w:bCs/>
          <w:spacing w:val="0"/>
          <w:szCs w:val="24"/>
        </w:rPr>
        <w:t xml:space="preserve">Section 5.D.12.b.2.a, 5.D.12.b.2.b.i, </w:t>
      </w:r>
      <w:r w:rsidRPr="00F418EC">
        <w:rPr>
          <w:rFonts w:ascii="Times New Roman" w:eastAsiaTheme="minorHAnsi" w:hAnsi="Times New Roman"/>
          <w:spacing w:val="0"/>
          <w:szCs w:val="24"/>
        </w:rPr>
        <w:t>or</w:t>
      </w:r>
      <w:r w:rsidRPr="00F418EC">
        <w:rPr>
          <w:rFonts w:ascii="Times New Roman" w:eastAsiaTheme="minorHAnsi" w:hAnsi="Times New Roman"/>
          <w:b/>
          <w:bCs/>
          <w:spacing w:val="0"/>
          <w:szCs w:val="24"/>
        </w:rPr>
        <w:t xml:space="preserve"> 5.D.12.b.2.b.ii</w:t>
      </w:r>
      <w:r w:rsidRPr="00F418EC">
        <w:rPr>
          <w:rFonts w:ascii="Times New Roman" w:eastAsiaTheme="minorHAnsi" w:hAnsi="Times New Roman"/>
          <w:spacing w:val="0"/>
          <w:szCs w:val="24"/>
        </w:rPr>
        <w:t xml:space="preserve">) by 80%, resulting in the Hospital’s Pediatric Inpatient BH Bed-Days Baseline. </w:t>
      </w:r>
    </w:p>
    <w:p w14:paraId="6AF8AA37"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Baseline for the First RY21 Performance Period shall equal 52.5% of the amount calculated in </w:t>
      </w:r>
      <w:r w:rsidRPr="00F418EC">
        <w:rPr>
          <w:rFonts w:ascii="Times New Roman" w:eastAsiaTheme="minorHAnsi" w:hAnsi="Times New Roman"/>
          <w:b/>
          <w:bCs/>
          <w:spacing w:val="0"/>
          <w:szCs w:val="24"/>
        </w:rPr>
        <w:t>Section 5.D.12.b.2.c</w:t>
      </w:r>
      <w:r w:rsidRPr="00F418EC">
        <w:rPr>
          <w:rFonts w:ascii="Times New Roman" w:eastAsiaTheme="minorHAnsi" w:hAnsi="Times New Roman"/>
          <w:spacing w:val="0"/>
          <w:szCs w:val="24"/>
        </w:rPr>
        <w:t>.</w:t>
      </w:r>
    </w:p>
    <w:p w14:paraId="60A6EA01"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Baseline for the Second RY21 Performance Period shall equal 47.5% of the amount calculated in </w:t>
      </w:r>
      <w:r w:rsidRPr="00F418EC">
        <w:rPr>
          <w:rFonts w:ascii="Times New Roman" w:eastAsiaTheme="minorHAnsi" w:hAnsi="Times New Roman"/>
          <w:b/>
          <w:bCs/>
          <w:spacing w:val="0"/>
          <w:szCs w:val="24"/>
        </w:rPr>
        <w:t>Section 5.D.12.b.2.c</w:t>
      </w:r>
      <w:r w:rsidRPr="00F418EC">
        <w:rPr>
          <w:rFonts w:ascii="Times New Roman" w:eastAsiaTheme="minorHAnsi" w:hAnsi="Times New Roman"/>
          <w:spacing w:val="0"/>
          <w:szCs w:val="24"/>
        </w:rPr>
        <w:t>.</w:t>
      </w:r>
    </w:p>
    <w:p w14:paraId="7E6C0319" w14:textId="77777777" w:rsidR="00F418EC" w:rsidRPr="00F418EC" w:rsidRDefault="00F418EC" w:rsidP="00F418EC">
      <w:pPr>
        <w:numPr>
          <w:ilvl w:val="0"/>
          <w:numId w:val="256"/>
        </w:num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A Hospital’s Pediatric Inpatient BH Bed-Days Volume during an RY21 Performance Period shall be calculated  as follows:</w:t>
      </w:r>
    </w:p>
    <w:p w14:paraId="10BFD504"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Hospital’s Pediatric Inpatient BH Bed-Days Volume for an RY21 Performance Period shall equal the sum of the Hospital’s Pediatric Inpatient BH Bed-Days during that RY21 Performance Period.  </w:t>
      </w:r>
    </w:p>
    <w:p w14:paraId="2A5BA28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will determine the Hospital’s Pediatric Inpatient BH Bed-Days Volume for the first RY21 Performance Period utilizing RY21 fee-for-service MMIS paid claims and managed care encounter data submitted to EOHHS by Managed Care Entities by October 31, 2021. </w:t>
      </w:r>
    </w:p>
    <w:p w14:paraId="187768CB" w14:textId="77777777" w:rsidR="00F418EC" w:rsidRPr="00F418EC" w:rsidRDefault="00F418EC" w:rsidP="00F418EC">
      <w:pPr>
        <w:numPr>
          <w:ilvl w:val="1"/>
          <w:numId w:val="25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EOHHS will determine the Hospital’s Pediatric Inpatient BH Bed-Days Volume for the Second RY21 Performance Period utilizing RY21 fee-for-service MMIS paid claims and managed care encounter data submitted to EOHHS by Managed Care Entities by April 30, 2022.</w:t>
      </w:r>
    </w:p>
    <w:p w14:paraId="37FBF35C" w14:textId="77777777" w:rsidR="00F418EC" w:rsidRPr="00F418EC" w:rsidRDefault="00F418EC" w:rsidP="00F418EC">
      <w:pPr>
        <w:numPr>
          <w:ilvl w:val="0"/>
          <w:numId w:val="268"/>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Methodology</w:t>
      </w:r>
    </w:p>
    <w:p w14:paraId="2D682FEB" w14:textId="1E48D61A" w:rsidR="00F418EC" w:rsidRPr="00F418EC" w:rsidRDefault="00F418EC" w:rsidP="00BF0C75">
      <w:pPr>
        <w:numPr>
          <w:ilvl w:val="3"/>
          <w:numId w:val="261"/>
        </w:numPr>
        <w:spacing w:after="360"/>
        <w:ind w:left="1526"/>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Hospital eligible for a Pediatric Inpatient BH Per Diem Supplemental Payment for an RY21 Performance Period in accordance with </w:t>
      </w:r>
      <w:r w:rsidRPr="00F418EC">
        <w:rPr>
          <w:rFonts w:ascii="Times New Roman" w:eastAsiaTheme="minorHAnsi" w:hAnsi="Times New Roman"/>
          <w:b/>
          <w:bCs/>
          <w:spacing w:val="0"/>
          <w:szCs w:val="24"/>
        </w:rPr>
        <w:t>Section 5.D.12.b</w:t>
      </w:r>
      <w:r w:rsidRPr="00F418EC">
        <w:rPr>
          <w:rFonts w:ascii="Times New Roman" w:eastAsiaTheme="minorHAnsi" w:hAnsi="Times New Roman"/>
          <w:spacing w:val="0"/>
          <w:szCs w:val="24"/>
        </w:rPr>
        <w:t xml:space="preserve">, the Hospital’s payment shall equal $300 multiplied by the number of days by which the Hospital’s Pediatric Inpatient BH Bed-Days Volume for an RY21 Performance Period, calculated in accordance with </w:t>
      </w:r>
      <w:r w:rsidRPr="00F418EC">
        <w:rPr>
          <w:rFonts w:ascii="Times New Roman" w:eastAsiaTheme="minorHAnsi" w:hAnsi="Times New Roman"/>
          <w:b/>
          <w:bCs/>
          <w:spacing w:val="0"/>
          <w:szCs w:val="24"/>
        </w:rPr>
        <w:t>Section 5.D.12.b.3</w:t>
      </w:r>
      <w:r w:rsidRPr="00F418EC">
        <w:rPr>
          <w:rFonts w:ascii="Times New Roman" w:eastAsiaTheme="minorHAnsi" w:hAnsi="Times New Roman"/>
          <w:spacing w:val="0"/>
          <w:szCs w:val="24"/>
        </w:rPr>
        <w:t xml:space="preserve">, exceeds the Hospital’s Pediatric Inpatient BH Bed-Days Baseline for that RY21 Performance Period, calculated in accordance with </w:t>
      </w:r>
      <w:r w:rsidRPr="00F418EC">
        <w:rPr>
          <w:rFonts w:ascii="Times New Roman" w:eastAsiaTheme="minorHAnsi" w:hAnsi="Times New Roman"/>
          <w:b/>
          <w:bCs/>
          <w:spacing w:val="0"/>
          <w:szCs w:val="24"/>
        </w:rPr>
        <w:t>Section 5.D.12.b.2</w:t>
      </w:r>
      <w:r w:rsidRPr="00F418EC">
        <w:rPr>
          <w:rFonts w:ascii="Times New Roman" w:eastAsiaTheme="minorHAnsi" w:hAnsi="Times New Roman"/>
          <w:spacing w:val="0"/>
          <w:szCs w:val="24"/>
        </w:rPr>
        <w:t>.  This payment is in addition to any other payment to which the Hospital may be entitled pursuant to this RFA for services rendered during a Performance Period.</w:t>
      </w:r>
      <w:r w:rsidR="00BF0C75" w:rsidRPr="00F418EC">
        <w:rPr>
          <w:rFonts w:ascii="Times New Roman" w:eastAsiaTheme="minorHAnsi" w:hAnsi="Times New Roman"/>
          <w:spacing w:val="0"/>
          <w:szCs w:val="24"/>
        </w:rPr>
        <w:t xml:space="preserve"> </w:t>
      </w:r>
    </w:p>
    <w:p w14:paraId="11030891" w14:textId="77777777" w:rsidR="00F418EC" w:rsidRPr="00F418EC" w:rsidRDefault="00F418EC" w:rsidP="00F418EC">
      <w:pPr>
        <w:numPr>
          <w:ilvl w:val="3"/>
          <w:numId w:val="261"/>
        </w:numPr>
        <w:spacing w:after="200"/>
        <w:ind w:left="153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EOHHS may make partial payments to eligible Hospitals under this Section at the close of an RY21 Performance Period or at other times as determined appropriate by EOHHS in its sole discretion.  Any partial payment made by EOHHS that exceeds amounts owed to the Hospital under </w:t>
      </w:r>
      <w:r w:rsidRPr="00F418EC">
        <w:rPr>
          <w:rFonts w:ascii="Times New Roman" w:eastAsiaTheme="minorHAnsi" w:hAnsi="Times New Roman"/>
          <w:b/>
          <w:bCs/>
          <w:spacing w:val="0"/>
          <w:szCs w:val="24"/>
        </w:rPr>
        <w:t>Section 5.D.12.c.1</w:t>
      </w:r>
      <w:r w:rsidRPr="00F418EC">
        <w:rPr>
          <w:rFonts w:ascii="Times New Roman" w:eastAsiaTheme="minorHAnsi" w:hAnsi="Times New Roman"/>
          <w:spacing w:val="0"/>
          <w:szCs w:val="24"/>
        </w:rPr>
        <w:t xml:space="preserve"> </w:t>
      </w:r>
      <w:r w:rsidRPr="00F418EC">
        <w:rPr>
          <w:rFonts w:ascii="Times New Roman" w:eastAsiaTheme="minorHAnsi" w:hAnsi="Times New Roman"/>
          <w:spacing w:val="0"/>
          <w:szCs w:val="24"/>
        </w:rPr>
        <w:lastRenderedPageBreak/>
        <w:t>shall be reconciled against future payments owed to the Hospital or recouped through other means, as determined by EOHHS.</w:t>
      </w:r>
    </w:p>
    <w:p w14:paraId="3C6C4D03"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68" w:name="_Toc52374296"/>
      <w:r w:rsidRPr="00F418EC">
        <w:rPr>
          <w:rFonts w:ascii="Times New Roman" w:eastAsiaTheme="minorHAnsi" w:hAnsi="Times New Roman"/>
          <w:b/>
          <w:spacing w:val="0"/>
          <w:sz w:val="28"/>
          <w:szCs w:val="28"/>
        </w:rPr>
        <w:t>Safety Net Care Acute Hospital Payments</w:t>
      </w:r>
      <w:bookmarkEnd w:id="68"/>
    </w:p>
    <w:p w14:paraId="21D3379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3F0985D6"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Only Hospitals that have an executed Contract with EOHHS, pursuant to this RFA, are eligible for SNCP payments. </w:t>
      </w:r>
    </w:p>
    <w:p w14:paraId="6B60299F"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All SNCP payments are subject to federal approval and the availability of federal financial participation.</w:t>
      </w:r>
    </w:p>
    <w:p w14:paraId="6329B285"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69" w:name="_Toc52374297"/>
      <w:r w:rsidRPr="00F418EC">
        <w:rPr>
          <w:rFonts w:ascii="Times New Roman" w:eastAsiaTheme="minorHAnsi" w:hAnsi="Times New Roman"/>
          <w:b/>
          <w:spacing w:val="0"/>
          <w:sz w:val="28"/>
          <w:szCs w:val="28"/>
        </w:rPr>
        <w:t>Federal Financial Participation (FFP)</w:t>
      </w:r>
      <w:bookmarkEnd w:id="69"/>
    </w:p>
    <w:p w14:paraId="51B27899" w14:textId="77777777" w:rsidR="00F418EC" w:rsidRPr="00F418EC" w:rsidRDefault="00F418EC" w:rsidP="00F418EC">
      <w:pPr>
        <w:numPr>
          <w:ilvl w:val="0"/>
          <w:numId w:val="100"/>
        </w:numPr>
        <w:spacing w:after="200"/>
        <w:outlineLvl w:val="2"/>
        <w:rPr>
          <w:rFonts w:ascii="Times New Roman" w:eastAsiaTheme="minorHAnsi" w:hAnsi="Times New Roman"/>
          <w:b/>
          <w:spacing w:val="0"/>
          <w:szCs w:val="24"/>
        </w:rPr>
      </w:pPr>
      <w:bookmarkStart w:id="70" w:name="_Toc52374298"/>
      <w:r w:rsidRPr="00F418EC">
        <w:rPr>
          <w:rFonts w:ascii="Times New Roman" w:eastAsiaTheme="minorHAnsi" w:hAnsi="Times New Roman"/>
          <w:b/>
          <w:spacing w:val="0"/>
          <w:szCs w:val="24"/>
        </w:rPr>
        <w:t>FFP Denials</w:t>
      </w:r>
      <w:bookmarkEnd w:id="70"/>
    </w:p>
    <w:p w14:paraId="46C96F1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8B748E1" w14:textId="77777777" w:rsidR="00F418EC" w:rsidRPr="00F418EC" w:rsidRDefault="00F418EC" w:rsidP="00F418EC">
      <w:pPr>
        <w:numPr>
          <w:ilvl w:val="0"/>
          <w:numId w:val="100"/>
        </w:numPr>
        <w:spacing w:after="200"/>
        <w:outlineLvl w:val="2"/>
        <w:rPr>
          <w:rFonts w:ascii="Times New Roman" w:eastAsiaTheme="minorHAnsi" w:hAnsi="Times New Roman"/>
          <w:b/>
          <w:spacing w:val="0"/>
          <w:szCs w:val="24"/>
        </w:rPr>
      </w:pPr>
      <w:bookmarkStart w:id="71" w:name="_Toc52374299"/>
      <w:r w:rsidRPr="00F418EC">
        <w:rPr>
          <w:rFonts w:ascii="Times New Roman" w:eastAsiaTheme="minorHAnsi" w:hAnsi="Times New Roman"/>
          <w:b/>
          <w:spacing w:val="0"/>
          <w:szCs w:val="24"/>
        </w:rPr>
        <w:t>Exceeding Limits</w:t>
      </w:r>
      <w:bookmarkEnd w:id="71"/>
    </w:p>
    <w:p w14:paraId="6A73A7D1" w14:textId="77777777" w:rsidR="00F418EC" w:rsidRPr="00F418EC" w:rsidRDefault="00F418EC" w:rsidP="00F418EC">
      <w:pPr>
        <w:numPr>
          <w:ilvl w:val="0"/>
          <w:numId w:val="10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Hospital-Specific Limits</w:t>
      </w:r>
    </w:p>
    <w:p w14:paraId="71F9F316"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1CEF7DFE" w14:textId="77777777" w:rsidR="00F418EC" w:rsidRPr="00F418EC" w:rsidRDefault="00F418EC" w:rsidP="00F418EC">
      <w:pPr>
        <w:keepNext/>
        <w:numPr>
          <w:ilvl w:val="0"/>
          <w:numId w:val="101"/>
        </w:numPr>
        <w:spacing w:after="200"/>
        <w:outlineLvl w:val="3"/>
        <w:rPr>
          <w:rFonts w:ascii="Times New Roman" w:eastAsiaTheme="minorHAnsi" w:hAnsi="Times New Roman"/>
          <w:b/>
          <w:spacing w:val="0"/>
          <w:szCs w:val="24"/>
        </w:rPr>
      </w:pPr>
      <w:r w:rsidRPr="00F418EC">
        <w:rPr>
          <w:rFonts w:ascii="Times New Roman" w:eastAsiaTheme="minorHAnsi" w:hAnsi="Times New Roman"/>
          <w:b/>
          <w:spacing w:val="0"/>
          <w:szCs w:val="24"/>
        </w:rPr>
        <w:t>Aggregate Limits</w:t>
      </w:r>
    </w:p>
    <w:p w14:paraId="2AC13B70"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5211FA13" w14:textId="77777777" w:rsidR="00F418EC" w:rsidRPr="00F418EC" w:rsidRDefault="00F418EC" w:rsidP="00F418EC">
      <w:pPr>
        <w:spacing w:after="200"/>
        <w:ind w:left="1080"/>
        <w:rPr>
          <w:rFonts w:ascii="Times New Roman" w:eastAsiaTheme="minorHAnsi" w:hAnsi="Times New Roman"/>
          <w:spacing w:val="0"/>
          <w:szCs w:val="24"/>
        </w:rPr>
      </w:pPr>
    </w:p>
    <w:p w14:paraId="16B38232"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2" w:name="_Toc52374300"/>
      <w:r w:rsidRPr="00F418EC">
        <w:rPr>
          <w:rFonts w:ascii="Times New Roman" w:eastAsiaTheme="minorHAnsi" w:hAnsi="Times New Roman"/>
          <w:b/>
          <w:spacing w:val="0"/>
          <w:sz w:val="28"/>
          <w:szCs w:val="28"/>
        </w:rPr>
        <w:t>Billing</w:t>
      </w:r>
      <w:bookmarkEnd w:id="72"/>
    </w:p>
    <w:p w14:paraId="7F96831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F418EC">
        <w:rPr>
          <w:rFonts w:ascii="Times New Roman" w:eastAsiaTheme="minorHAnsi" w:hAnsi="Times New Roman"/>
          <w:b/>
          <w:spacing w:val="0"/>
          <w:szCs w:val="24"/>
        </w:rPr>
        <w:t>Section 5.B.8.a</w:t>
      </w:r>
      <w:r w:rsidRPr="00F418EC">
        <w:rPr>
          <w:rFonts w:ascii="Times New Roman" w:eastAsiaTheme="minorHAnsi" w:hAnsi="Times New Roman"/>
          <w:spacing w:val="0"/>
          <w:szCs w:val="24"/>
        </w:rPr>
        <w:t xml:space="preserve"> and APAD Carve-Out Drugs pursuant to </w:t>
      </w:r>
      <w:r w:rsidRPr="00F418EC">
        <w:rPr>
          <w:rFonts w:ascii="Times New Roman" w:eastAsiaTheme="minorHAnsi" w:hAnsi="Times New Roman"/>
          <w:b/>
          <w:spacing w:val="0"/>
          <w:szCs w:val="24"/>
        </w:rPr>
        <w:t xml:space="preserve">Section 5.B.8.b </w:t>
      </w:r>
      <w:r w:rsidRPr="00F418EC">
        <w:rPr>
          <w:rFonts w:ascii="Times New Roman" w:eastAsiaTheme="minorHAnsi" w:hAnsi="Times New Roman"/>
          <w:spacing w:val="0"/>
          <w:szCs w:val="24"/>
        </w:rPr>
        <w:t>must be separately submitted through an 837P via DDE and in compliance with applicable MassHealth regulations, billing instructions, Provider bulletins, and other written statements of policy, as they may be amended periodically.</w:t>
      </w:r>
    </w:p>
    <w:p w14:paraId="4C2FFBC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In the event that a provider’s only means of submission is paper, the provider must meet the MassHealth requirements of a paper submission waiver request.</w:t>
      </w:r>
    </w:p>
    <w:p w14:paraId="67DA9C7D"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3" w:name="_Toc52374301"/>
      <w:r w:rsidRPr="00F418EC">
        <w:rPr>
          <w:rFonts w:ascii="Times New Roman" w:eastAsiaTheme="minorHAnsi" w:hAnsi="Times New Roman"/>
          <w:b/>
          <w:spacing w:val="0"/>
          <w:sz w:val="28"/>
          <w:szCs w:val="28"/>
        </w:rPr>
        <w:t>Treatment of Reimbursement for Members in the Hospital on the Effective Date of the Hospital Contract</w:t>
      </w:r>
      <w:bookmarkEnd w:id="73"/>
    </w:p>
    <w:p w14:paraId="48B2652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Except as described in the next paragraph, EOHHS shall reimburse participating Hospitals for services provided to MassHealth Members who are at acute inpatient status prior to November 1, 2020, and who remain at acute inpatient status on or after November 1, 2020, at the Hospital’s MassHealth rates and payment methods established prior to this RY21 RFA, and at the Hospital’s MassHealth rates and payment methods established in this RY21 RFA for inpatient services provided to MassHealth members who are admitted on or after November 1, 2020.</w:t>
      </w:r>
    </w:p>
    <w:p w14:paraId="7EDEE7F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services that qualify for the Rehabilitation Unit per diem, the Psychiatric Per Diem, the Administrative Day per diem, or the Adjudicated Payment Per Episode of Care (APEC), the Hospital’s MassHealth rates and payment methods established prior to this RY21 RFA apply to dates of service prior to November 1, 2020, and the Hospital’s RY21 RFA rates and payment methods apply to dates of service on or after November 1, 2020.  As an exception, for Episodes that extend past midnight in the case of Emergency Department or Observation Services, if the Episode’s first date of service occurs in RY20, then the APEC methodology under the RY20 RFA applies to the entire Episode.</w:t>
      </w:r>
    </w:p>
    <w:p w14:paraId="487629C0" w14:textId="77777777" w:rsidR="00F418EC" w:rsidRPr="00F418EC" w:rsidRDefault="00F418EC" w:rsidP="002E6C32">
      <w:pPr>
        <w:keepNext/>
        <w:numPr>
          <w:ilvl w:val="0"/>
          <w:numId w:val="271"/>
        </w:numPr>
        <w:spacing w:after="200"/>
        <w:outlineLvl w:val="1"/>
        <w:rPr>
          <w:rFonts w:ascii="Times New Roman" w:eastAsiaTheme="minorHAnsi" w:hAnsi="Times New Roman"/>
          <w:b/>
          <w:spacing w:val="0"/>
          <w:sz w:val="28"/>
          <w:szCs w:val="28"/>
        </w:rPr>
      </w:pPr>
      <w:bookmarkStart w:id="74" w:name="_Toc52374302"/>
      <w:r w:rsidRPr="00F418EC">
        <w:rPr>
          <w:rFonts w:ascii="Times New Roman" w:eastAsiaTheme="minorHAnsi" w:hAnsi="Times New Roman"/>
          <w:b/>
          <w:spacing w:val="0"/>
          <w:sz w:val="28"/>
          <w:szCs w:val="28"/>
        </w:rPr>
        <w:t>Future Rate Years</w:t>
      </w:r>
      <w:bookmarkEnd w:id="74"/>
    </w:p>
    <w:p w14:paraId="782C92F9"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610F4DB2"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5" w:name="_Toc52374303"/>
      <w:r w:rsidRPr="00F418EC">
        <w:rPr>
          <w:rFonts w:ascii="Times New Roman" w:eastAsiaTheme="minorHAnsi" w:hAnsi="Times New Roman"/>
          <w:b/>
          <w:spacing w:val="0"/>
          <w:sz w:val="28"/>
          <w:szCs w:val="28"/>
        </w:rPr>
        <w:t>Compliance with Legal Requirements</w:t>
      </w:r>
      <w:bookmarkEnd w:id="75"/>
    </w:p>
    <w:p w14:paraId="23248D97"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w:t>
      </w:r>
      <w:r w:rsidRPr="00F418EC">
        <w:rPr>
          <w:rFonts w:ascii="Times New Roman" w:eastAsiaTheme="minorHAnsi" w:hAnsi="Times New Roman"/>
          <w:spacing w:val="0"/>
          <w:szCs w:val="24"/>
        </w:rPr>
        <w:lastRenderedPageBreak/>
        <w:t>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4C58B139"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6" w:name="_Toc52374304"/>
      <w:r w:rsidRPr="00F418EC">
        <w:rPr>
          <w:rFonts w:ascii="Times New Roman" w:eastAsiaTheme="minorHAnsi" w:hAnsi="Times New Roman"/>
          <w:b/>
          <w:spacing w:val="0"/>
          <w:sz w:val="28"/>
          <w:szCs w:val="28"/>
        </w:rPr>
        <w:t>Eligibility Verification</w:t>
      </w:r>
      <w:bookmarkEnd w:id="76"/>
    </w:p>
    <w:p w14:paraId="0193A99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18DE673E"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7" w:name="_Toc52374305"/>
      <w:r w:rsidRPr="00F418EC">
        <w:rPr>
          <w:rFonts w:ascii="Times New Roman" w:eastAsiaTheme="minorHAnsi" w:hAnsi="Times New Roman"/>
          <w:b/>
          <w:spacing w:val="0"/>
          <w:sz w:val="28"/>
          <w:szCs w:val="28"/>
        </w:rPr>
        <w:t>Updating Groupers</w:t>
      </w:r>
      <w:bookmarkEnd w:id="77"/>
    </w:p>
    <w:p w14:paraId="272B7763"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498FE958"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78" w:name="_Toc52374306"/>
      <w:r w:rsidRPr="00F418EC">
        <w:rPr>
          <w:rFonts w:ascii="Times New Roman" w:eastAsiaTheme="minorHAnsi" w:hAnsi="Times New Roman"/>
          <w:b/>
          <w:spacing w:val="0"/>
          <w:sz w:val="28"/>
          <w:szCs w:val="28"/>
        </w:rPr>
        <w:t>Data Sources</w:t>
      </w:r>
      <w:bookmarkEnd w:id="78"/>
    </w:p>
    <w:p w14:paraId="30F7A50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methodology(ies) that EOHHS deems appropriate in determining Hospitals’ rates.</w:t>
      </w:r>
    </w:p>
    <w:p w14:paraId="2782EDCA" w14:textId="77777777" w:rsidR="00F418EC" w:rsidRPr="00F418EC" w:rsidRDefault="00F418EC" w:rsidP="002E6C32">
      <w:pPr>
        <w:keepNext/>
        <w:numPr>
          <w:ilvl w:val="0"/>
          <w:numId w:val="271"/>
        </w:numPr>
        <w:spacing w:after="200"/>
        <w:outlineLvl w:val="1"/>
        <w:rPr>
          <w:rFonts w:ascii="Times New Roman" w:eastAsiaTheme="minorHAnsi" w:hAnsi="Times New Roman"/>
          <w:b/>
          <w:spacing w:val="0"/>
          <w:sz w:val="28"/>
          <w:szCs w:val="28"/>
        </w:rPr>
      </w:pPr>
      <w:bookmarkStart w:id="79" w:name="_Toc52374307"/>
      <w:r w:rsidRPr="00F418EC">
        <w:rPr>
          <w:rFonts w:ascii="Times New Roman" w:eastAsiaTheme="minorHAnsi" w:hAnsi="Times New Roman"/>
          <w:b/>
          <w:spacing w:val="0"/>
          <w:sz w:val="28"/>
          <w:szCs w:val="28"/>
        </w:rPr>
        <w:t>New Hospitals/Hospital Change of Ownership</w:t>
      </w:r>
      <w:bookmarkEnd w:id="79"/>
    </w:p>
    <w:p w14:paraId="64E9159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5CEEB020"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See </w:t>
      </w:r>
      <w:r w:rsidRPr="00F418EC">
        <w:rPr>
          <w:rFonts w:ascii="Times New Roman" w:eastAsiaTheme="minorHAnsi" w:hAnsi="Times New Roman"/>
          <w:b/>
          <w:spacing w:val="0"/>
          <w:szCs w:val="24"/>
        </w:rPr>
        <w:t>Sections II.5.a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II.5.d of Appendix 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Appendix B</w:t>
      </w:r>
      <w:r w:rsidRPr="00F418EC">
        <w:rPr>
          <w:rFonts w:ascii="Times New Roman" w:eastAsiaTheme="minorHAnsi" w:hAnsi="Times New Roman"/>
          <w:spacing w:val="0"/>
          <w:szCs w:val="24"/>
        </w:rPr>
        <w:t>, item 11, for requirements in the event of Hospital change of ownership.</w:t>
      </w:r>
    </w:p>
    <w:p w14:paraId="4BE7AD24" w14:textId="77777777" w:rsidR="00F418EC" w:rsidRPr="00F418EC" w:rsidRDefault="00F418EC" w:rsidP="002E6C32">
      <w:pPr>
        <w:numPr>
          <w:ilvl w:val="0"/>
          <w:numId w:val="271"/>
        </w:numPr>
        <w:spacing w:after="200"/>
        <w:outlineLvl w:val="1"/>
        <w:rPr>
          <w:rFonts w:ascii="Times New Roman" w:eastAsiaTheme="minorHAnsi" w:hAnsi="Times New Roman"/>
          <w:b/>
          <w:spacing w:val="0"/>
          <w:sz w:val="28"/>
          <w:szCs w:val="28"/>
        </w:rPr>
      </w:pPr>
      <w:bookmarkStart w:id="80" w:name="_Toc52374308"/>
      <w:r w:rsidRPr="00F418EC">
        <w:rPr>
          <w:rFonts w:ascii="Times New Roman" w:eastAsiaTheme="minorHAnsi" w:hAnsi="Times New Roman"/>
          <w:b/>
          <w:spacing w:val="0"/>
          <w:sz w:val="28"/>
          <w:szCs w:val="28"/>
        </w:rPr>
        <w:t>Headings</w:t>
      </w:r>
      <w:bookmarkEnd w:id="80"/>
    </w:p>
    <w:p w14:paraId="11EA1F0A"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The headings and subheadings used in this RFA are for convenience of reference only, and shall not define or limit any of the terms or provisions hereof.</w:t>
      </w:r>
    </w:p>
    <w:p w14:paraId="5DB577C1" w14:textId="77777777" w:rsidR="00F418EC" w:rsidRPr="00F418EC" w:rsidRDefault="00F418EC" w:rsidP="00F418EC">
      <w:pPr>
        <w:spacing w:after="200"/>
        <w:ind w:left="360"/>
        <w:rPr>
          <w:rFonts w:ascii="Times New Roman" w:eastAsiaTheme="minorHAnsi" w:hAnsi="Times New Roman"/>
          <w:spacing w:val="0"/>
          <w:szCs w:val="24"/>
        </w:rPr>
      </w:pPr>
    </w:p>
    <w:p w14:paraId="15C01F00"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440" w:left="1440" w:header="720" w:footer="720" w:gutter="0"/>
          <w:cols w:space="720"/>
          <w:docGrid w:linePitch="360"/>
        </w:sectPr>
      </w:pPr>
    </w:p>
    <w:p w14:paraId="06720E75"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81" w:name="_Toc52374309"/>
      <w:r w:rsidRPr="00F418EC">
        <w:rPr>
          <w:rFonts w:ascii="Times New Roman Bold" w:eastAsiaTheme="minorHAnsi" w:hAnsi="Times New Roman Bold"/>
          <w:b/>
          <w:spacing w:val="5"/>
          <w:sz w:val="32"/>
          <w:szCs w:val="32"/>
        </w:rPr>
        <w:lastRenderedPageBreak/>
        <w:t>Section 6:  Payment and Reporting Provisions</w:t>
      </w:r>
      <w:bookmarkEnd w:id="81"/>
    </w:p>
    <w:p w14:paraId="60A14E9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275181AD" w14:textId="2211505C"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2" w:name="_Toc52374310"/>
      <w:r w:rsidRPr="001A5D41">
        <w:rPr>
          <w:rFonts w:ascii="Times New Roman" w:eastAsiaTheme="minorHAnsi" w:hAnsi="Times New Roman"/>
          <w:b/>
          <w:spacing w:val="0"/>
          <w:sz w:val="28"/>
          <w:szCs w:val="28"/>
        </w:rPr>
        <w:t>Services Requiring Prior Approval</w:t>
      </w:r>
      <w:bookmarkEnd w:id="82"/>
      <w:r w:rsidRPr="001A5D41">
        <w:rPr>
          <w:rFonts w:ascii="Times New Roman" w:eastAsiaTheme="minorHAnsi" w:hAnsi="Times New Roman"/>
          <w:b/>
          <w:spacing w:val="0"/>
          <w:sz w:val="28"/>
          <w:szCs w:val="28"/>
        </w:rPr>
        <w:t xml:space="preserve"> </w:t>
      </w:r>
    </w:p>
    <w:p w14:paraId="7CE89CDD"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Services Requiring Practitioner Prior Approval:</w:t>
      </w:r>
      <w:r w:rsidRPr="00F418EC">
        <w:rPr>
          <w:rFonts w:ascii="Times New Roman" w:eastAsiaTheme="minorHAnsi" w:hAnsi="Times New Roman"/>
          <w:spacing w:val="0"/>
          <w:szCs w:val="24"/>
        </w:rPr>
        <w:t xml:space="preserve">  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2D6D462"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Services Requiring Hospital Prior Approval: </w:t>
      </w:r>
      <w:r w:rsidRPr="00F418EC">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referrals or other required approvals for the service.</w:t>
      </w:r>
    </w:p>
    <w:p w14:paraId="069E5E17" w14:textId="77777777" w:rsidR="00F418EC" w:rsidRPr="00F418EC" w:rsidRDefault="00F418EC" w:rsidP="00F418EC">
      <w:pPr>
        <w:numPr>
          <w:ilvl w:val="0"/>
          <w:numId w:val="10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Effect of Prior Authorization: </w:t>
      </w:r>
      <w:r w:rsidRPr="00F418EC">
        <w:rPr>
          <w:rFonts w:ascii="Times New Roman" w:eastAsiaTheme="minorHAnsi" w:hAnsi="Times New Roman"/>
          <w:spacing w:val="0"/>
          <w:szCs w:val="24"/>
        </w:rPr>
        <w:t xml:space="preserve">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48C4B76" w14:textId="0AF18C01"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3" w:name="_Toc52374311"/>
      <w:r w:rsidRPr="001A5D41">
        <w:rPr>
          <w:rFonts w:ascii="Times New Roman" w:eastAsiaTheme="minorHAnsi" w:hAnsi="Times New Roman"/>
          <w:b/>
          <w:spacing w:val="0"/>
          <w:sz w:val="28"/>
          <w:szCs w:val="28"/>
        </w:rPr>
        <w:t>Hospital Payments in the Event of Third-Party Coverage</w:t>
      </w:r>
      <w:bookmarkEnd w:id="83"/>
      <w:r w:rsidRPr="001A5D41">
        <w:rPr>
          <w:rFonts w:ascii="Times New Roman" w:eastAsiaTheme="minorHAnsi" w:hAnsi="Times New Roman"/>
          <w:b/>
          <w:spacing w:val="0"/>
          <w:sz w:val="28"/>
          <w:szCs w:val="28"/>
        </w:rPr>
        <w:t xml:space="preserve"> </w:t>
      </w:r>
    </w:p>
    <w:p w14:paraId="1537B3B2" w14:textId="77777777" w:rsidR="00F418EC" w:rsidRPr="00F418EC" w:rsidRDefault="00F418EC" w:rsidP="00F418EC">
      <w:pPr>
        <w:numPr>
          <w:ilvl w:val="0"/>
          <w:numId w:val="10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14F562FA" w14:textId="77777777" w:rsidR="00F418EC" w:rsidRPr="00F418EC" w:rsidRDefault="00F418EC" w:rsidP="00F418EC">
      <w:pPr>
        <w:numPr>
          <w:ilvl w:val="0"/>
          <w:numId w:val="10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24E2BCF4" w14:textId="7C66BC6E"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4" w:name="_Toc52374312"/>
      <w:r w:rsidRPr="001A5D41">
        <w:rPr>
          <w:rFonts w:ascii="Times New Roman" w:eastAsiaTheme="minorHAnsi" w:hAnsi="Times New Roman"/>
          <w:b/>
          <w:spacing w:val="0"/>
          <w:sz w:val="28"/>
          <w:szCs w:val="28"/>
        </w:rPr>
        <w:t>Notification of Hospital Election to Offer Reduced Medicare Coinsurance Amounts</w:t>
      </w:r>
      <w:bookmarkEnd w:id="84"/>
    </w:p>
    <w:p w14:paraId="2977B5F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w:t>
      </w:r>
      <w:r w:rsidRPr="00F418EC">
        <w:rPr>
          <w:rFonts w:ascii="Times New Roman" w:eastAsiaTheme="minorHAnsi" w:hAnsi="Times New Roman"/>
          <w:spacing w:val="0"/>
          <w:szCs w:val="24"/>
        </w:rPr>
        <w:lastRenderedPageBreak/>
        <w:t>December 1 of the year preceding the calendar year for which the election is being made. See 42 CFR 419.42.</w:t>
      </w:r>
    </w:p>
    <w:p w14:paraId="708C3F42"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electing to take such an option must forward a copy of their notification to the FI to:</w:t>
      </w:r>
    </w:p>
    <w:p w14:paraId="4F63BD36"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Executive Office of Health and Human Services</w:t>
      </w:r>
    </w:p>
    <w:p w14:paraId="405EB2BC"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Office of Medicaid</w:t>
      </w:r>
    </w:p>
    <w:p w14:paraId="0BFBA247" w14:textId="77777777" w:rsidR="00F418EC" w:rsidRPr="00F418EC" w:rsidRDefault="00F418EC" w:rsidP="00F418EC">
      <w:pPr>
        <w:spacing w:after="200"/>
        <w:ind w:left="720"/>
        <w:contextualSpacing/>
        <w:rPr>
          <w:rFonts w:ascii="Times New Roman" w:eastAsiaTheme="minorHAnsi" w:hAnsi="Times New Roman"/>
          <w:b/>
          <w:spacing w:val="0"/>
          <w:szCs w:val="24"/>
        </w:rPr>
      </w:pPr>
      <w:r w:rsidRPr="00F418EC">
        <w:rPr>
          <w:rFonts w:ascii="Times New Roman" w:eastAsiaTheme="minorHAnsi" w:hAnsi="Times New Roman"/>
          <w:b/>
          <w:spacing w:val="0"/>
          <w:szCs w:val="24"/>
        </w:rPr>
        <w:t>Attn.: Claims Coordination Unit</w:t>
      </w:r>
    </w:p>
    <w:p w14:paraId="4F8D3850"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UMass-CHCF</w:t>
      </w:r>
    </w:p>
    <w:p w14:paraId="77B62994"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The Schrafft Center</w:t>
      </w:r>
    </w:p>
    <w:p w14:paraId="22660EC6"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529 Main Street, 3rd Floor</w:t>
      </w:r>
    </w:p>
    <w:p w14:paraId="40518D1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Charlestown, MA 02129</w:t>
      </w:r>
    </w:p>
    <w:p w14:paraId="139E3F97" w14:textId="74DE5512"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5" w:name="_Toc52374313"/>
      <w:r w:rsidRPr="001A5D41">
        <w:rPr>
          <w:rFonts w:ascii="Times New Roman" w:eastAsiaTheme="minorHAnsi" w:hAnsi="Times New Roman"/>
          <w:b/>
          <w:spacing w:val="0"/>
          <w:sz w:val="28"/>
          <w:szCs w:val="28"/>
        </w:rPr>
        <w:t>Sterilization</w:t>
      </w:r>
      <w:bookmarkEnd w:id="85"/>
    </w:p>
    <w:p w14:paraId="38FA38FB"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2021,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7268C6B4" w14:textId="140C9832"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6" w:name="_Toc52374314"/>
      <w:r w:rsidRPr="001A5D41">
        <w:rPr>
          <w:rFonts w:ascii="Times New Roman" w:eastAsiaTheme="minorHAnsi" w:hAnsi="Times New Roman"/>
          <w:b/>
          <w:spacing w:val="0"/>
          <w:sz w:val="28"/>
          <w:szCs w:val="28"/>
        </w:rPr>
        <w:t>Reporting Requirements</w:t>
      </w:r>
      <w:bookmarkEnd w:id="86"/>
    </w:p>
    <w:p w14:paraId="389BD935"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F418EC">
        <w:rPr>
          <w:rFonts w:ascii="Times New Roman" w:eastAsiaTheme="minorHAnsi" w:hAnsi="Times New Roman"/>
          <w:b/>
          <w:spacing w:val="0"/>
          <w:szCs w:val="24"/>
        </w:rPr>
        <w:t>Section 5.D.7</w:t>
      </w:r>
      <w:r w:rsidRPr="00F418EC">
        <w:rPr>
          <w:rFonts w:ascii="Times New Roman" w:eastAsiaTheme="minorHAnsi" w:hAnsi="Times New Roman"/>
          <w:spacing w:val="0"/>
          <w:szCs w:val="24"/>
        </w:rPr>
        <w:t xml:space="preserve">).  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4DE89CC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w:t>
      </w:r>
      <w:r w:rsidRPr="00F418EC">
        <w:rPr>
          <w:rFonts w:ascii="Times New Roman" w:eastAsiaTheme="minorHAnsi" w:hAnsi="Times New Roman"/>
          <w:spacing w:val="0"/>
          <w:szCs w:val="24"/>
        </w:rPr>
        <w:lastRenderedPageBreak/>
        <w:t>(i.e.,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6FD41014"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3579C488"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1B75533A" w14:textId="396FC8EE"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7" w:name="_Toc52374315"/>
      <w:r w:rsidRPr="001A5D41">
        <w:rPr>
          <w:rFonts w:ascii="Times New Roman" w:eastAsiaTheme="minorHAnsi" w:hAnsi="Times New Roman"/>
          <w:b/>
          <w:spacing w:val="0"/>
          <w:sz w:val="28"/>
          <w:szCs w:val="28"/>
        </w:rPr>
        <w:t>Accident Reporting</w:t>
      </w:r>
      <w:bookmarkEnd w:id="87"/>
    </w:p>
    <w:p w14:paraId="7F0685E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14:paraId="384CB53B"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Patient’s name, MassHealth number (SSN or RID), address, and date of birth;</w:t>
      </w:r>
    </w:p>
    <w:p w14:paraId="71D17411"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Date(s) of service (from-to);</w:t>
      </w:r>
    </w:p>
    <w:p w14:paraId="0B5EB600"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Date of injury;</w:t>
      </w:r>
    </w:p>
    <w:p w14:paraId="4B78E15C"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Type of accident (e.g., auto accident, accident at work, slip and fall);</w:t>
      </w:r>
    </w:p>
    <w:p w14:paraId="776A6B92"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Insured’s name and address;</w:t>
      </w:r>
    </w:p>
    <w:p w14:paraId="48ADC87C"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Insurance company’s name;</w:t>
      </w:r>
    </w:p>
    <w:p w14:paraId="4DF10E0B" w14:textId="77777777" w:rsidR="00F418EC" w:rsidRPr="00F418EC" w:rsidRDefault="00F418EC" w:rsidP="00F418EC">
      <w:pPr>
        <w:numPr>
          <w:ilvl w:val="0"/>
          <w:numId w:val="10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Insured’s attorney’s name, address and telephone number.</w:t>
      </w:r>
    </w:p>
    <w:p w14:paraId="33B4A36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Such written notification shall be sent to the following address: </w:t>
      </w:r>
    </w:p>
    <w:p w14:paraId="33ED4D02"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Office of Medicaid</w:t>
      </w:r>
    </w:p>
    <w:p w14:paraId="31B00E1C"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Third Party Liability Unit</w:t>
      </w:r>
    </w:p>
    <w:p w14:paraId="4A1A0D7B"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P.O. Box 15205</w:t>
      </w:r>
    </w:p>
    <w:p w14:paraId="64840232" w14:textId="77777777" w:rsidR="00F418EC" w:rsidRPr="00F418EC" w:rsidRDefault="00F418EC" w:rsidP="00F418EC">
      <w:pPr>
        <w:spacing w:after="200"/>
        <w:ind w:left="720"/>
        <w:contextualSpacing/>
        <w:rPr>
          <w:rFonts w:ascii="Times New Roman" w:eastAsiaTheme="minorHAnsi" w:hAnsi="Times New Roman"/>
          <w:spacing w:val="0"/>
          <w:szCs w:val="24"/>
        </w:rPr>
      </w:pPr>
      <w:r w:rsidRPr="00F418EC">
        <w:rPr>
          <w:rFonts w:ascii="Times New Roman" w:eastAsiaTheme="minorHAnsi" w:hAnsi="Times New Roman"/>
          <w:spacing w:val="0"/>
          <w:szCs w:val="24"/>
        </w:rPr>
        <w:t>Worcester, MA 01615-0205</w:t>
      </w:r>
    </w:p>
    <w:p w14:paraId="37552230"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Phone: (800) 754-1864</w:t>
      </w:r>
    </w:p>
    <w:p w14:paraId="580D6619" w14:textId="640E9B73" w:rsidR="00F418EC" w:rsidRPr="001A5D41" w:rsidRDefault="00F418EC" w:rsidP="001A5D41">
      <w:pPr>
        <w:pStyle w:val="ListParagraph"/>
        <w:numPr>
          <w:ilvl w:val="2"/>
          <w:numId w:val="85"/>
        </w:numPr>
        <w:spacing w:after="200"/>
        <w:ind w:left="360"/>
        <w:outlineLvl w:val="1"/>
        <w:rPr>
          <w:rFonts w:ascii="Times New Roman" w:eastAsiaTheme="minorHAnsi" w:hAnsi="Times New Roman"/>
          <w:b/>
          <w:spacing w:val="0"/>
          <w:sz w:val="28"/>
          <w:szCs w:val="28"/>
        </w:rPr>
      </w:pPr>
      <w:bookmarkStart w:id="88" w:name="_Toc52374316"/>
      <w:r w:rsidRPr="001A5D41">
        <w:rPr>
          <w:rFonts w:ascii="Times New Roman" w:eastAsiaTheme="minorHAnsi" w:hAnsi="Times New Roman"/>
          <w:b/>
          <w:spacing w:val="0"/>
          <w:sz w:val="28"/>
          <w:szCs w:val="28"/>
        </w:rPr>
        <w:t>MassHealth Co-payments</w:t>
      </w:r>
      <w:bookmarkEnd w:id="88"/>
    </w:p>
    <w:p w14:paraId="1512C50C" w14:textId="77777777" w:rsidR="00F418EC" w:rsidRPr="00F418EC" w:rsidRDefault="00F418EC" w:rsidP="00F418EC">
      <w:pPr>
        <w:spacing w:after="200"/>
        <w:ind w:left="360"/>
        <w:rPr>
          <w:rFonts w:ascii="Times New Roman" w:eastAsiaTheme="minorHAnsi" w:hAnsi="Times New Roman"/>
          <w:spacing w:val="0"/>
          <w:szCs w:val="24"/>
        </w:rPr>
      </w:pPr>
      <w:r w:rsidRPr="00F418EC">
        <w:rPr>
          <w:rFonts w:ascii="Times New Roman" w:eastAsiaTheme="minorHAnsi" w:hAnsi="Times New Roman"/>
          <w:spacing w:val="0"/>
          <w:szCs w:val="24"/>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C1E096C"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080" w:left="1440" w:header="720" w:footer="720" w:gutter="0"/>
          <w:cols w:space="720"/>
          <w:docGrid w:linePitch="360"/>
        </w:sectPr>
      </w:pPr>
    </w:p>
    <w:p w14:paraId="775C2037"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89" w:name="_Toc52374317"/>
      <w:r w:rsidRPr="00F418EC">
        <w:rPr>
          <w:rFonts w:ascii="Times New Roman Bold" w:eastAsiaTheme="minorHAnsi" w:hAnsi="Times New Roman Bold"/>
          <w:b/>
          <w:spacing w:val="5"/>
          <w:sz w:val="32"/>
          <w:szCs w:val="32"/>
        </w:rPr>
        <w:lastRenderedPageBreak/>
        <w:t>Section 7.  Pay-for-Performance Quality Reporting Requirements and Payment Methods</w:t>
      </w:r>
      <w:bookmarkEnd w:id="89"/>
    </w:p>
    <w:p w14:paraId="244CCFB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This section sets forth the MassHealth Pay-for-Performance (P4P) Program quality reporting requirements and payment methods for the RY21 RFA. Incentive payments described in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are contingent upon the Hospital’s performance of all applicable requirements specified in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w:t>
      </w:r>
    </w:p>
    <w:p w14:paraId="31C9BBDB"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0" w:name="_Toc52374318"/>
      <w:r w:rsidRPr="00F418EC">
        <w:rPr>
          <w:rFonts w:ascii="Times New Roman" w:eastAsiaTheme="minorHAnsi" w:hAnsi="Times New Roman"/>
          <w:b/>
          <w:spacing w:val="0"/>
          <w:sz w:val="28"/>
          <w:szCs w:val="28"/>
        </w:rPr>
        <w:t>7.1</w:t>
      </w:r>
      <w:r w:rsidRPr="00F418EC">
        <w:rPr>
          <w:rFonts w:ascii="Times New Roman" w:eastAsiaTheme="minorHAnsi" w:hAnsi="Times New Roman"/>
          <w:b/>
          <w:spacing w:val="0"/>
          <w:sz w:val="28"/>
          <w:szCs w:val="28"/>
        </w:rPr>
        <w:tab/>
        <w:t>Pay-for-Performance Program Requirements:</w:t>
      </w:r>
      <w:bookmarkEnd w:id="90"/>
      <w:r w:rsidRPr="00F418EC">
        <w:rPr>
          <w:rFonts w:ascii="Times New Roman" w:eastAsiaTheme="minorHAnsi" w:hAnsi="Times New Roman"/>
          <w:b/>
          <w:spacing w:val="0"/>
          <w:sz w:val="28"/>
          <w:szCs w:val="28"/>
        </w:rPr>
        <w:t xml:space="preserve"> </w:t>
      </w:r>
    </w:p>
    <w:p w14:paraId="23389D9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MassHealth P4P program shall operate under the following principles:</w:t>
      </w:r>
    </w:p>
    <w:p w14:paraId="4E03A72A"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Reward Hospitals for excelling in and improving quality of care delivered to MassHealth members, including the reduction of racial and ethnic health disparities.</w:t>
      </w:r>
    </w:p>
    <w:p w14:paraId="7D30DE41"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Evaluate Hospital performance for RY21 incentive payments, using the quality performance measures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and the performance assessment methods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w:t>
      </w:r>
    </w:p>
    <w:p w14:paraId="56CB684F"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Calculate incentive payments in accordance with the methods set forth in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w:t>
      </w:r>
    </w:p>
    <w:p w14:paraId="546D92E9"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To be eligible for incentive payments, Hospitals must adhere to the following standards: </w:t>
      </w:r>
    </w:p>
    <w:p w14:paraId="0AA9EA49" w14:textId="77777777" w:rsidR="00F418EC" w:rsidRPr="00F418EC" w:rsidRDefault="00F418EC" w:rsidP="00F418EC">
      <w:pPr>
        <w:numPr>
          <w:ilvl w:val="0"/>
          <w:numId w:val="152"/>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Data Accuracy and Completeness:</w:t>
      </w:r>
    </w:p>
    <w:p w14:paraId="338DACBD"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Hospitals shall ensure that all submitted data is complete, as described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including, but not limited to, data submitted for each required individual process measure listed in </w:t>
      </w:r>
      <w:r w:rsidRPr="00F418EC">
        <w:rPr>
          <w:rFonts w:ascii="Times New Roman" w:eastAsiaTheme="minorHAnsi" w:hAnsi="Times New Roman"/>
          <w:b/>
          <w:spacing w:val="0"/>
          <w:szCs w:val="24"/>
        </w:rPr>
        <w:t>Table 7-1 and identified in Section 7.3.A.1</w:t>
      </w:r>
      <w:r w:rsidRPr="00F418EC">
        <w:rPr>
          <w:rFonts w:ascii="Times New Roman" w:eastAsiaTheme="minorHAnsi" w:hAnsi="Times New Roman"/>
          <w:spacing w:val="0"/>
          <w:szCs w:val="24"/>
        </w:rPr>
        <w:t xml:space="preserve">; </w:t>
      </w:r>
    </w:p>
    <w:p w14:paraId="5D28ADAB"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Comply with all data collection and submission guidelines, for all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as published in the applicable EOHHS Technical Specifications Manual version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to ensure completeness and accuracy of data submitted;</w:t>
      </w:r>
    </w:p>
    <w:p w14:paraId="7C9B5F3F"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Meet data submission deadlines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 xml:space="preserve">. Failure to timely submit all data and reporting in the formats required by EOHHS may render the Hospital ineligible for some or all payments under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of this RFA;</w:t>
      </w:r>
    </w:p>
    <w:p w14:paraId="6FA1E3D4"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and authorize individuals to conduct electronic data transactions via the EOHHS designated secure portal per </w:t>
      </w:r>
      <w:r w:rsidRPr="00F418EC">
        <w:rPr>
          <w:rFonts w:ascii="Times New Roman" w:eastAsiaTheme="minorHAnsi" w:hAnsi="Times New Roman"/>
          <w:b/>
          <w:spacing w:val="0"/>
          <w:szCs w:val="24"/>
        </w:rPr>
        <w:t>Section 7.2.B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7.6.B.1</w:t>
      </w:r>
      <w:r w:rsidRPr="00F418EC">
        <w:rPr>
          <w:rFonts w:ascii="Times New Roman" w:eastAsiaTheme="minorHAnsi" w:hAnsi="Times New Roman"/>
          <w:spacing w:val="0"/>
          <w:szCs w:val="24"/>
        </w:rPr>
        <w:t xml:space="preserve"> on the Hospital’s behalf; </w:t>
      </w:r>
    </w:p>
    <w:p w14:paraId="30AE243E" w14:textId="77777777" w:rsidR="00F418EC" w:rsidRPr="00F418EC" w:rsidRDefault="00F418EC" w:rsidP="00F418EC">
      <w:pPr>
        <w:numPr>
          <w:ilvl w:val="0"/>
          <w:numId w:val="15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and authorize individuals to “confer rights” to access nationally reported healthcare-associated infection data for the Hospital reflected in the National Healthcare Safety Network (NHSN) registry surveillance tracking system developed and maintained by the Centers for Disease Control and Prevention (CDC), as required by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7.6.B.4</w:t>
      </w:r>
      <w:r w:rsidRPr="00F418EC">
        <w:rPr>
          <w:rFonts w:ascii="Times New Roman" w:eastAsiaTheme="minorHAnsi" w:hAnsi="Times New Roman"/>
          <w:spacing w:val="0"/>
          <w:szCs w:val="24"/>
        </w:rPr>
        <w:t xml:space="preserve">, on the Hospital's behalf for purposes of this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w:t>
      </w:r>
    </w:p>
    <w:p w14:paraId="23B12B7A" w14:textId="77777777" w:rsidR="00F418EC" w:rsidRPr="00F418EC" w:rsidRDefault="00F418EC" w:rsidP="00F418EC">
      <w:pPr>
        <w:numPr>
          <w:ilvl w:val="0"/>
          <w:numId w:val="2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 xml:space="preserve">Data Validation: </w:t>
      </w:r>
      <w:r w:rsidRPr="00F418EC">
        <w:rPr>
          <w:rFonts w:ascii="Times New Roman" w:eastAsiaTheme="minorHAnsi" w:hAnsi="Times New Roman"/>
          <w:spacing w:val="0"/>
          <w:szCs w:val="24"/>
        </w:rPr>
        <w:t xml:space="preserve">Meet the minimum data reliability standards and pass data validation as defined in </w:t>
      </w:r>
      <w:r w:rsidRPr="00F418EC">
        <w:rPr>
          <w:rFonts w:ascii="Times New Roman" w:eastAsiaTheme="minorHAnsi" w:hAnsi="Times New Roman"/>
          <w:b/>
          <w:spacing w:val="0"/>
          <w:szCs w:val="24"/>
        </w:rPr>
        <w:t>Section 7.4.B</w:t>
      </w:r>
      <w:r w:rsidRPr="00F418EC">
        <w:rPr>
          <w:rFonts w:ascii="Times New Roman" w:eastAsiaTheme="minorHAnsi" w:hAnsi="Times New Roman"/>
          <w:spacing w:val="0"/>
          <w:szCs w:val="24"/>
        </w:rPr>
        <w:t>; and</w:t>
      </w:r>
    </w:p>
    <w:p w14:paraId="5EDDAFB3" w14:textId="77777777" w:rsidR="00F418EC" w:rsidRPr="00F418EC" w:rsidRDefault="00F418EC" w:rsidP="00F418EC">
      <w:pPr>
        <w:numPr>
          <w:ilvl w:val="0"/>
          <w:numId w:val="2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Performance:</w:t>
      </w:r>
      <w:r w:rsidRPr="00F418EC">
        <w:rPr>
          <w:rFonts w:ascii="Times New Roman" w:eastAsiaTheme="minorHAnsi" w:hAnsi="Times New Roman"/>
          <w:spacing w:val="0"/>
          <w:szCs w:val="24"/>
        </w:rPr>
        <w:t xml:space="preserve"> Achieve quality standards and performance benchmarks, as defined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on all quality measures data.</w:t>
      </w:r>
    </w:p>
    <w:p w14:paraId="79AA51B2" w14:textId="77777777" w:rsidR="00F418EC" w:rsidRPr="00F418EC" w:rsidRDefault="00F418EC" w:rsidP="00F418EC">
      <w:pPr>
        <w:numPr>
          <w:ilvl w:val="0"/>
          <w:numId w:val="15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Hospitals contracting with EOHHS are required to participate in P4P quality reporting for all applicable measures. A Hospital’s performance with respect to the requirements in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may affect its present and future participation in the MassHealth program and its rate of reimbursement.</w:t>
      </w:r>
    </w:p>
    <w:p w14:paraId="160D1A8B"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1" w:name="_Toc52374319"/>
      <w:r w:rsidRPr="00F418EC">
        <w:rPr>
          <w:rFonts w:ascii="Times New Roman" w:eastAsiaTheme="minorHAnsi" w:hAnsi="Times New Roman"/>
          <w:b/>
          <w:spacing w:val="0"/>
          <w:sz w:val="28"/>
          <w:szCs w:val="28"/>
        </w:rPr>
        <w:t>7.2</w:t>
      </w:r>
      <w:r w:rsidRPr="00F418EC">
        <w:rPr>
          <w:rFonts w:ascii="Times New Roman" w:eastAsiaTheme="minorHAnsi" w:hAnsi="Times New Roman"/>
          <w:b/>
          <w:spacing w:val="0"/>
          <w:sz w:val="28"/>
          <w:szCs w:val="28"/>
        </w:rPr>
        <w:tab/>
        <w:t>Hospital Key Quality Representative Requirements</w:t>
      </w:r>
      <w:bookmarkEnd w:id="91"/>
    </w:p>
    <w:p w14:paraId="0FC00A2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must identify and designate two key quality representatives, with the appropriate expertise to coordinate and communicate with EOHHS on all aspects of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requirements during the Contract period. </w:t>
      </w:r>
    </w:p>
    <w:p w14:paraId="55527B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two key quality representatives shall act in accordance with, but not be limited to, the following responsibilities: </w:t>
      </w:r>
    </w:p>
    <w:p w14:paraId="584CFEC3"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Serve as the primary contact for all correspondence pertinent to the Hospital’s quality performance reports, including responding to all inquiries and requests made by EOHHS, in accordance with the timeframes and format specified by EOHHS.</w:t>
      </w:r>
    </w:p>
    <w:p w14:paraId="1CD65143"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Identify the key representative  responsible for obtaining and responding to quarterly medical record request lists and for receiving annual report results pertaining to all process measures listed on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of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via the EOHHS designated secure portal, on the Hospital’s behalf;</w:t>
      </w:r>
    </w:p>
    <w:p w14:paraId="64F849AF"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Notify EOHHS of any changes in the key quality representatives and MassQEX users that occur during the Contract period as soon as the information becomes available, using the Hospital Quality Contacts Form; </w:t>
      </w:r>
    </w:p>
    <w:p w14:paraId="242FB051"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Use the EOHHS mailbox address, </w:t>
      </w:r>
      <w:hyperlink r:id="rId33" w:history="1">
        <w:r w:rsidRPr="00F418EC">
          <w:rPr>
            <w:rFonts w:ascii="Times New Roman" w:eastAsiaTheme="minorHAnsi" w:hAnsi="Times New Roman"/>
            <w:color w:val="0000FF" w:themeColor="hyperlink"/>
            <w:spacing w:val="0"/>
            <w:szCs w:val="24"/>
            <w:u w:val="single"/>
          </w:rPr>
          <w:t>Masshealthhospitalquality@mass.gov</w:t>
        </w:r>
      </w:hyperlink>
      <w:r w:rsidRPr="00F418EC">
        <w:rPr>
          <w:rFonts w:ascii="Times New Roman" w:eastAsiaTheme="minorHAnsi" w:hAnsi="Times New Roman"/>
          <w:spacing w:val="0"/>
          <w:szCs w:val="24"/>
        </w:rPr>
        <w:t xml:space="preserve">, to expedite communication between EOHHS and the Hospital on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requirements and comply with the following conditions that apply to use of this e-mail address:</w:t>
      </w:r>
    </w:p>
    <w:p w14:paraId="548BE2EC"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158D6D3A"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Key quality representatives will receive ongoing updates from the EOHHS mailbox system on quality reporting requirements and other quality-related initiatives during the Contract period. </w:t>
      </w:r>
    </w:p>
    <w:p w14:paraId="6DA3F65A" w14:textId="77777777" w:rsidR="00F418EC" w:rsidRPr="00F418EC" w:rsidRDefault="00F418EC" w:rsidP="00F418EC">
      <w:pPr>
        <w:numPr>
          <w:ilvl w:val="0"/>
          <w:numId w:val="155"/>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Key quality representatives are responsible for disseminating updates sent from the EOHHS private mailbox system and communicating to all staff and/or third-party vendors involved in quality performance reporting. </w:t>
      </w:r>
    </w:p>
    <w:p w14:paraId="462EC1F2" w14:textId="77777777" w:rsidR="00F418EC" w:rsidRPr="00F418EC" w:rsidRDefault="00F418EC" w:rsidP="00F418EC">
      <w:pPr>
        <w:numPr>
          <w:ilvl w:val="0"/>
          <w:numId w:val="15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Reporting Requirement.</w:t>
      </w:r>
      <w:r w:rsidRPr="00F418EC">
        <w:rPr>
          <w:rFonts w:ascii="Times New Roman" w:eastAsiaTheme="minorHAnsi" w:hAnsi="Times New Roman"/>
          <w:spacing w:val="0"/>
          <w:szCs w:val="24"/>
        </w:rPr>
        <w:t xml:space="preserve"> Each Hospital must complete and submit program participation forms that include information on all staff involved in quality reporting using the Hospital Quality Contacts Form per instructions in </w:t>
      </w:r>
      <w:r w:rsidRPr="00F418EC">
        <w:rPr>
          <w:rFonts w:ascii="Times New Roman" w:eastAsiaTheme="minorHAnsi" w:hAnsi="Times New Roman"/>
          <w:b/>
          <w:spacing w:val="0"/>
          <w:szCs w:val="24"/>
        </w:rPr>
        <w:t>Section 7.6.C</w:t>
      </w:r>
      <w:r w:rsidRPr="00F418EC">
        <w:rPr>
          <w:rFonts w:ascii="Times New Roman" w:eastAsiaTheme="minorHAnsi" w:hAnsi="Times New Roman"/>
          <w:spacing w:val="0"/>
          <w:szCs w:val="24"/>
        </w:rPr>
        <w:t xml:space="preserve"> by the due date(s)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w:t>
      </w:r>
    </w:p>
    <w:p w14:paraId="0AD34672"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2" w:name="_Toc52374320"/>
      <w:r w:rsidRPr="00F418EC">
        <w:rPr>
          <w:rFonts w:ascii="Times New Roman" w:eastAsiaTheme="minorHAnsi" w:hAnsi="Times New Roman"/>
          <w:b/>
          <w:spacing w:val="0"/>
          <w:sz w:val="28"/>
          <w:szCs w:val="28"/>
        </w:rPr>
        <w:t>7.3</w:t>
      </w:r>
      <w:r w:rsidRPr="00F418EC">
        <w:rPr>
          <w:rFonts w:ascii="Times New Roman" w:eastAsiaTheme="minorHAnsi" w:hAnsi="Times New Roman"/>
          <w:b/>
          <w:spacing w:val="0"/>
          <w:sz w:val="28"/>
          <w:szCs w:val="28"/>
        </w:rPr>
        <w:tab/>
        <w:t>Hospital Quality Performance Measures</w:t>
      </w:r>
      <w:bookmarkEnd w:id="92"/>
      <w:r w:rsidRPr="00F418EC">
        <w:rPr>
          <w:rFonts w:ascii="Times New Roman" w:eastAsiaTheme="minorHAnsi" w:hAnsi="Times New Roman"/>
          <w:b/>
          <w:spacing w:val="0"/>
          <w:sz w:val="28"/>
          <w:szCs w:val="28"/>
        </w:rPr>
        <w:t xml:space="preserve"> </w:t>
      </w:r>
    </w:p>
    <w:p w14:paraId="66423B9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RY21, EOHHS has maintained the hospital quality performance measures that support MassHealth delivery system reform initiatives aimed at ensuring members receive safe and high quality care. There are five inpatient quality measure categories (referred to as “Quality Measure Category(ies)” or “Measure Category(ies)”).  EOHHS has designated one or more inpatient measures that it will use to measure compliance with each Quality Measure Category. Table 7-1, below, displays (a) each Quality Measure Category (five in total) and (b) the inpatient measure(s), identified by Measure ID# and Measure name, that correspond to each Quality Measure Category.</w:t>
      </w:r>
    </w:p>
    <w:p w14:paraId="15F5B25B"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3" w:name="_Toc52374321"/>
      <w:r w:rsidRPr="00F418EC">
        <w:rPr>
          <w:rFonts w:ascii="Times New Roman" w:eastAsiaTheme="minorHAnsi" w:hAnsi="Times New Roman"/>
          <w:b/>
          <w:spacing w:val="0"/>
          <w:szCs w:val="24"/>
        </w:rPr>
        <w:t>Table 7-1.Hospital Quality Performance Measures</w:t>
      </w:r>
      <w:bookmarkEnd w:id="93"/>
    </w:p>
    <w:tbl>
      <w:tblPr>
        <w:tblStyle w:val="TableGrid"/>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F418EC" w:rsidRPr="00F418EC" w14:paraId="2D1AAD31" w14:textId="77777777" w:rsidTr="00626941">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0DC80901"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4E0E2AD4"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108DDB17"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 xml:space="preserve">Measure Name </w:t>
            </w:r>
          </w:p>
        </w:tc>
      </w:tr>
      <w:tr w:rsidR="00F418EC" w:rsidRPr="00F418EC" w14:paraId="0AF0B3D4"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7372EE3D"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1B2A984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MAT-4</w:t>
            </w:r>
          </w:p>
        </w:tc>
        <w:tc>
          <w:tcPr>
            <w:tcW w:w="6570" w:type="dxa"/>
            <w:tcBorders>
              <w:top w:val="single" w:sz="4" w:space="0" w:color="auto"/>
              <w:left w:val="single" w:sz="4" w:space="0" w:color="auto"/>
              <w:bottom w:val="single" w:sz="4" w:space="0" w:color="auto"/>
              <w:right w:val="single" w:sz="4" w:space="0" w:color="auto"/>
            </w:tcBorders>
            <w:hideMark/>
          </w:tcPr>
          <w:p w14:paraId="4C20372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Cesarean Birth, NTSV  </w:t>
            </w:r>
          </w:p>
        </w:tc>
      </w:tr>
      <w:tr w:rsidR="00F418EC" w:rsidRPr="00F418EC" w14:paraId="10D9E9FD"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4F2F8BA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6E0C817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NEWB-1</w:t>
            </w:r>
          </w:p>
        </w:tc>
        <w:tc>
          <w:tcPr>
            <w:tcW w:w="6570" w:type="dxa"/>
            <w:tcBorders>
              <w:top w:val="single" w:sz="4" w:space="0" w:color="auto"/>
              <w:left w:val="single" w:sz="4" w:space="0" w:color="auto"/>
              <w:bottom w:val="single" w:sz="4" w:space="0" w:color="auto"/>
              <w:right w:val="single" w:sz="4" w:space="0" w:color="auto"/>
            </w:tcBorders>
            <w:hideMark/>
          </w:tcPr>
          <w:p w14:paraId="70D0AF1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Exclusive breast milk feeding</w:t>
            </w:r>
          </w:p>
        </w:tc>
      </w:tr>
      <w:tr w:rsidR="00F418EC" w:rsidRPr="00F418EC" w14:paraId="780619EE"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2F2404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7299254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CCM-1</w:t>
            </w:r>
          </w:p>
        </w:tc>
        <w:tc>
          <w:tcPr>
            <w:tcW w:w="6570" w:type="dxa"/>
            <w:tcBorders>
              <w:top w:val="single" w:sz="4" w:space="0" w:color="auto"/>
              <w:left w:val="single" w:sz="4" w:space="0" w:color="auto"/>
              <w:bottom w:val="single" w:sz="4" w:space="0" w:color="auto"/>
              <w:right w:val="single" w:sz="4" w:space="0" w:color="auto"/>
            </w:tcBorders>
            <w:hideMark/>
          </w:tcPr>
          <w:p w14:paraId="78372EA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Reconciled medication list received by discharged patient  </w:t>
            </w:r>
          </w:p>
        </w:tc>
      </w:tr>
      <w:tr w:rsidR="00F418EC" w:rsidRPr="00F418EC" w14:paraId="7948D424"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D1DA82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15C8171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CCM-2</w:t>
            </w:r>
          </w:p>
        </w:tc>
        <w:tc>
          <w:tcPr>
            <w:tcW w:w="6570" w:type="dxa"/>
            <w:tcBorders>
              <w:top w:val="single" w:sz="4" w:space="0" w:color="auto"/>
              <w:left w:val="single" w:sz="4" w:space="0" w:color="auto"/>
              <w:bottom w:val="single" w:sz="4" w:space="0" w:color="auto"/>
              <w:right w:val="single" w:sz="4" w:space="0" w:color="auto"/>
            </w:tcBorders>
            <w:hideMark/>
          </w:tcPr>
          <w:p w14:paraId="382B898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Transition record with specified data elements received by discharge patient</w:t>
            </w:r>
          </w:p>
        </w:tc>
      </w:tr>
      <w:tr w:rsidR="00F418EC" w:rsidRPr="00F418EC" w14:paraId="40F0B64E"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79FF54D2"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5366044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CCM-3</w:t>
            </w:r>
          </w:p>
        </w:tc>
        <w:tc>
          <w:tcPr>
            <w:tcW w:w="6570" w:type="dxa"/>
            <w:tcBorders>
              <w:top w:val="single" w:sz="4" w:space="0" w:color="auto"/>
              <w:left w:val="single" w:sz="4" w:space="0" w:color="auto"/>
              <w:bottom w:val="single" w:sz="4" w:space="0" w:color="auto"/>
              <w:right w:val="single" w:sz="4" w:space="0" w:color="auto"/>
            </w:tcBorders>
            <w:hideMark/>
          </w:tcPr>
          <w:p w14:paraId="0BBF3213" w14:textId="415DFE71"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Timely transmission of transition record within 48 hours at discharge</w:t>
            </w:r>
          </w:p>
        </w:tc>
      </w:tr>
      <w:tr w:rsidR="00F418EC" w:rsidRPr="00F418EC" w14:paraId="0C396386"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D8E9909"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Health Disparity</w:t>
            </w:r>
          </w:p>
        </w:tc>
        <w:tc>
          <w:tcPr>
            <w:tcW w:w="1350" w:type="dxa"/>
            <w:tcBorders>
              <w:top w:val="single" w:sz="4" w:space="0" w:color="auto"/>
              <w:left w:val="single" w:sz="4" w:space="0" w:color="auto"/>
              <w:bottom w:val="single" w:sz="4" w:space="0" w:color="auto"/>
              <w:right w:val="single" w:sz="4" w:space="0" w:color="auto"/>
            </w:tcBorders>
            <w:hideMark/>
          </w:tcPr>
          <w:p w14:paraId="1291F22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HD-2</w:t>
            </w:r>
          </w:p>
        </w:tc>
        <w:tc>
          <w:tcPr>
            <w:tcW w:w="6570" w:type="dxa"/>
            <w:tcBorders>
              <w:top w:val="single" w:sz="4" w:space="0" w:color="auto"/>
              <w:left w:val="single" w:sz="4" w:space="0" w:color="auto"/>
              <w:bottom w:val="single" w:sz="4" w:space="0" w:color="auto"/>
              <w:right w:val="single" w:sz="4" w:space="0" w:color="auto"/>
            </w:tcBorders>
            <w:hideMark/>
          </w:tcPr>
          <w:p w14:paraId="0403434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Health Disparity Composite </w:t>
            </w:r>
          </w:p>
        </w:tc>
      </w:tr>
      <w:tr w:rsidR="00F418EC" w:rsidRPr="00F418EC" w14:paraId="6DAB69A1"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0ABC5E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8D3E79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PSI-90</w:t>
            </w:r>
          </w:p>
        </w:tc>
        <w:tc>
          <w:tcPr>
            <w:tcW w:w="6570" w:type="dxa"/>
            <w:tcBorders>
              <w:top w:val="single" w:sz="4" w:space="0" w:color="auto"/>
              <w:left w:val="single" w:sz="4" w:space="0" w:color="auto"/>
              <w:bottom w:val="single" w:sz="4" w:space="0" w:color="auto"/>
              <w:right w:val="single" w:sz="4" w:space="0" w:color="auto"/>
            </w:tcBorders>
            <w:hideMark/>
          </w:tcPr>
          <w:p w14:paraId="6467657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Patient Safety and Adverse Events Composite   </w:t>
            </w:r>
          </w:p>
        </w:tc>
      </w:tr>
      <w:tr w:rsidR="00F418EC" w:rsidRPr="00F418EC" w14:paraId="05CD68A9"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4002D9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5E0D2B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HAI-1</w:t>
            </w:r>
          </w:p>
        </w:tc>
        <w:tc>
          <w:tcPr>
            <w:tcW w:w="6570" w:type="dxa"/>
            <w:tcBorders>
              <w:top w:val="single" w:sz="4" w:space="0" w:color="auto"/>
              <w:left w:val="single" w:sz="4" w:space="0" w:color="auto"/>
              <w:bottom w:val="single" w:sz="4" w:space="0" w:color="auto"/>
              <w:right w:val="single" w:sz="4" w:space="0" w:color="auto"/>
            </w:tcBorders>
            <w:hideMark/>
          </w:tcPr>
          <w:p w14:paraId="4CFFA0E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Central Line-Associated Bloodstream Infection (CLABSI)</w:t>
            </w:r>
          </w:p>
        </w:tc>
      </w:tr>
      <w:tr w:rsidR="00F418EC" w:rsidRPr="00F418EC" w14:paraId="6654C2D7"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3434D69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A19255C"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HAI-2</w:t>
            </w:r>
          </w:p>
        </w:tc>
        <w:tc>
          <w:tcPr>
            <w:tcW w:w="6570" w:type="dxa"/>
            <w:tcBorders>
              <w:top w:val="single" w:sz="4" w:space="0" w:color="auto"/>
              <w:left w:val="single" w:sz="4" w:space="0" w:color="auto"/>
              <w:bottom w:val="single" w:sz="4" w:space="0" w:color="auto"/>
              <w:right w:val="single" w:sz="4" w:space="0" w:color="auto"/>
            </w:tcBorders>
            <w:hideMark/>
          </w:tcPr>
          <w:p w14:paraId="61BB37B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Catheter-Associated Urinary Tract Infection (CAUTI)</w:t>
            </w:r>
          </w:p>
        </w:tc>
      </w:tr>
      <w:tr w:rsidR="00F418EC" w:rsidRPr="00F418EC" w14:paraId="47EA89C7"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5CC392C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55E228D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HAI-3</w:t>
            </w:r>
          </w:p>
        </w:tc>
        <w:tc>
          <w:tcPr>
            <w:tcW w:w="6570" w:type="dxa"/>
            <w:tcBorders>
              <w:top w:val="single" w:sz="4" w:space="0" w:color="auto"/>
              <w:left w:val="single" w:sz="4" w:space="0" w:color="auto"/>
              <w:bottom w:val="single" w:sz="4" w:space="0" w:color="auto"/>
              <w:right w:val="single" w:sz="4" w:space="0" w:color="auto"/>
            </w:tcBorders>
            <w:hideMark/>
          </w:tcPr>
          <w:p w14:paraId="6044BBE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Methicillin-Resistant Staphylococcus Aureus bacteremia (MRSA)</w:t>
            </w:r>
          </w:p>
        </w:tc>
      </w:tr>
      <w:tr w:rsidR="00F418EC" w:rsidRPr="00F418EC" w14:paraId="37BCCE43"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0BB47BD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600048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HAI-4</w:t>
            </w:r>
          </w:p>
        </w:tc>
        <w:tc>
          <w:tcPr>
            <w:tcW w:w="6570" w:type="dxa"/>
            <w:tcBorders>
              <w:top w:val="single" w:sz="4" w:space="0" w:color="auto"/>
              <w:left w:val="single" w:sz="4" w:space="0" w:color="auto"/>
              <w:bottom w:val="single" w:sz="4" w:space="0" w:color="auto"/>
              <w:right w:val="single" w:sz="4" w:space="0" w:color="auto"/>
            </w:tcBorders>
            <w:hideMark/>
          </w:tcPr>
          <w:p w14:paraId="69BAA0EF"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Clostridium Difficile Infection (CDI)</w:t>
            </w:r>
          </w:p>
        </w:tc>
      </w:tr>
      <w:tr w:rsidR="00F418EC" w:rsidRPr="00F418EC" w14:paraId="6F688B32"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6141A73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EB9091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HAI-5</w:t>
            </w:r>
          </w:p>
        </w:tc>
        <w:tc>
          <w:tcPr>
            <w:tcW w:w="6570" w:type="dxa"/>
            <w:tcBorders>
              <w:top w:val="single" w:sz="4" w:space="0" w:color="auto"/>
              <w:left w:val="single" w:sz="4" w:space="0" w:color="auto"/>
              <w:bottom w:val="single" w:sz="4" w:space="0" w:color="auto"/>
              <w:right w:val="single" w:sz="4" w:space="0" w:color="auto"/>
            </w:tcBorders>
            <w:hideMark/>
          </w:tcPr>
          <w:p w14:paraId="0B9F0AA8"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Surgical Site Infections: Colon and abdominal hysterectomy surgeries (SSI)</w:t>
            </w:r>
          </w:p>
        </w:tc>
      </w:tr>
      <w:tr w:rsidR="00F418EC" w:rsidRPr="00F418EC" w14:paraId="4C3F30E9" w14:textId="77777777" w:rsidTr="00626941">
        <w:tc>
          <w:tcPr>
            <w:tcW w:w="1530" w:type="dxa"/>
            <w:tcBorders>
              <w:top w:val="single" w:sz="4" w:space="0" w:color="auto"/>
              <w:left w:val="single" w:sz="4" w:space="0" w:color="auto"/>
              <w:bottom w:val="single" w:sz="4" w:space="0" w:color="auto"/>
              <w:right w:val="single" w:sz="4" w:space="0" w:color="auto"/>
            </w:tcBorders>
            <w:hideMark/>
          </w:tcPr>
          <w:p w14:paraId="18B0F7E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5822FA69"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HCAHPS</w:t>
            </w:r>
          </w:p>
        </w:tc>
        <w:tc>
          <w:tcPr>
            <w:tcW w:w="6570" w:type="dxa"/>
            <w:tcBorders>
              <w:top w:val="single" w:sz="4" w:space="0" w:color="auto"/>
              <w:left w:val="single" w:sz="4" w:space="0" w:color="auto"/>
              <w:bottom w:val="single" w:sz="4" w:space="0" w:color="auto"/>
              <w:right w:val="single" w:sz="4" w:space="0" w:color="auto"/>
            </w:tcBorders>
            <w:hideMark/>
          </w:tcPr>
          <w:p w14:paraId="50ED6F6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Hospital Consumer Assessment of Healthcare Provider Systems Survey (HCAHPS)</w:t>
            </w:r>
          </w:p>
          <w:p w14:paraId="3FD7936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This measure includes 7 survey dimensions: 1) nurse communication, 2) doctor communication, 3) responsiveness of hospital staff, 4) communication about medicines, 5) discharge </w:t>
            </w:r>
            <w:r w:rsidRPr="00F418EC">
              <w:rPr>
                <w:rFonts w:ascii="Times New Roman" w:eastAsiaTheme="minorHAnsi" w:hAnsi="Times New Roman"/>
                <w:spacing w:val="0"/>
                <w:szCs w:val="24"/>
              </w:rPr>
              <w:lastRenderedPageBreak/>
              <w:t>information, 6) overall rating and 7) three item care transition.</w:t>
            </w:r>
          </w:p>
        </w:tc>
      </w:tr>
    </w:tbl>
    <w:p w14:paraId="2F442799" w14:textId="77777777" w:rsidR="00F418EC" w:rsidRPr="00F418EC" w:rsidRDefault="00F418EC" w:rsidP="00F418EC">
      <w:pPr>
        <w:rPr>
          <w:rFonts w:ascii="Times New Roman" w:eastAsiaTheme="minorHAnsi" w:hAnsi="Times New Roman"/>
          <w:spacing w:val="0"/>
          <w:szCs w:val="24"/>
        </w:rPr>
      </w:pPr>
    </w:p>
    <w:p w14:paraId="64AFE0F6"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Measure Categories.</w:t>
      </w:r>
      <w:r w:rsidRPr="00F418EC">
        <w:rPr>
          <w:rFonts w:ascii="Times New Roman" w:eastAsiaTheme="minorHAnsi" w:hAnsi="Times New Roman"/>
          <w:spacing w:val="0"/>
          <w:szCs w:val="24"/>
        </w:rPr>
        <w:t xml:space="preserve"> The Quality Measure Categories and the performance measures under each Quality Measure Category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further described below.</w:t>
      </w:r>
    </w:p>
    <w:p w14:paraId="4A56290A"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Care Coordination, and Health Disparity Quality Measure Categories:</w:t>
      </w:r>
      <w:r w:rsidRPr="00F418EC">
        <w:rPr>
          <w:rFonts w:ascii="Times New Roman" w:eastAsiaTheme="minorHAnsi" w:hAnsi="Times New Roman"/>
          <w:spacing w:val="0"/>
          <w:szCs w:val="24"/>
        </w:rPr>
        <w:t xml:space="preserve"> The measures that comprise the Perinatal Quality Measure Category and the Care Coordination Quality Measure Category are the only individual process measures described in this</w:t>
      </w:r>
      <w:r w:rsidRPr="00F418EC">
        <w:rPr>
          <w:rFonts w:ascii="Times New Roman" w:eastAsiaTheme="minorHAnsi" w:hAnsi="Times New Roman"/>
          <w:b/>
          <w:spacing w:val="0"/>
          <w:szCs w:val="24"/>
        </w:rPr>
        <w:t xml:space="preserve"> Section 7</w:t>
      </w:r>
      <w:r w:rsidRPr="00F418EC">
        <w:rPr>
          <w:rFonts w:ascii="Times New Roman" w:eastAsiaTheme="minorHAnsi" w:hAnsi="Times New Roman"/>
          <w:spacing w:val="0"/>
          <w:szCs w:val="24"/>
        </w:rPr>
        <w:t>. The Health Disparity Quality Measure Category consists of one composite measure.  In RY21, Hospitals must collect and report on such measures for which they are eligible based on the measure population definitions and type of service lines provided, as described below:</w:t>
      </w:r>
    </w:p>
    <w:p w14:paraId="66713F25"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Perinatal Quality Measure Category: </w:t>
      </w:r>
      <w:r w:rsidRPr="00F418EC">
        <w:rPr>
          <w:rFonts w:ascii="Times New Roman" w:eastAsiaTheme="minorHAnsi" w:hAnsi="Times New Roman"/>
          <w:bCs/>
          <w:spacing w:val="0"/>
          <w:szCs w:val="24"/>
        </w:rPr>
        <w:t xml:space="preserve">This category consists of two individual process measures -- the cesarean birth measure (MAT-4) and the exclusive breast milk feeding measure (NEWB-1). Hospitals must collect and report data from the third and fourth quarters of CY2020 (July 1, 2020 – December 31, 2020) and the first quarter of CY2021 (January 1, 2021 – March 31, 2021) on the MAT-4 and NEWB-1 measures listed in Table 7-1, in accordance with the data submission cycle due dates set forth in Section 7.6.A. </w:t>
      </w:r>
      <w:r w:rsidRPr="00F418EC">
        <w:rPr>
          <w:rFonts w:ascii="Times New Roman" w:eastAsiaTheme="minorHAnsi" w:hAnsi="Times New Roman"/>
          <w:spacing w:val="0"/>
          <w:szCs w:val="24"/>
        </w:rPr>
        <w:t xml:space="preserve"> </w:t>
      </w:r>
    </w:p>
    <w:p w14:paraId="21905878"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Care Coordination Quality Measure Category:</w:t>
      </w:r>
      <w:r w:rsidRPr="00F418EC">
        <w:rPr>
          <w:rFonts w:ascii="Times New Roman" w:eastAsiaTheme="minorHAnsi" w:hAnsi="Times New Roman"/>
          <w:spacing w:val="0"/>
          <w:szCs w:val="24"/>
        </w:rPr>
        <w:t xml:space="preserve"> This category consists of three individual process measures -- reconciled medication list (CCM-1), transition record with specified data elements (CCM-2), and timely transition of transition record (CCM-3).  Hospitals must collect and report data from the third and fourth quarters of CY2020 (July1, 2020 – December 31, 2020) and the first quarter of CY 2021 (January 1, 2021 – March 31, 2021) on the CCM-1, CCM-2 and CCM-3 measures, listed in Table 7-1, in accordance with the data submission cycle due dates set forth in Section 7.6.A.  </w:t>
      </w:r>
    </w:p>
    <w:p w14:paraId="399EA7E5" w14:textId="77777777" w:rsidR="00F418EC" w:rsidRPr="00F418EC" w:rsidRDefault="00F418EC" w:rsidP="00F418EC">
      <w:pPr>
        <w:numPr>
          <w:ilvl w:val="0"/>
          <w:numId w:val="15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Disparity Quality Measure Category: </w:t>
      </w:r>
      <w:r w:rsidRPr="00F418EC">
        <w:rPr>
          <w:rFonts w:ascii="Times New Roman" w:eastAsiaTheme="minorHAnsi" w:hAnsi="Times New Roman"/>
          <w:spacing w:val="0"/>
          <w:szCs w:val="24"/>
        </w:rPr>
        <w:t xml:space="preserve">The composite measure (HD-2) that comprises this Quality Measure Category will be comprised of aggregate data from the five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(MAT-4, NEWB-1, CCM-1, CCM-2 and/or CCM-3) on which the Hospital reports. Hospitals must ensure that all quality measures data that they collect include Race and Hispanic Indicator codes and allowable values, as referenced in the applicable EOHHS Technical Specifications Manual. In addition, Hospitals must ensure that the sampling of cases requested for chart validation purposes includes proper documentation to verify the Race and Hispanic Indicator codes against the quality measures data files.</w:t>
      </w:r>
    </w:p>
    <w:p w14:paraId="169BCDCB"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 Measures Category.</w:t>
      </w:r>
      <w:r w:rsidRPr="00F418EC">
        <w:rPr>
          <w:rFonts w:ascii="Times New Roman" w:eastAsiaTheme="minorHAnsi" w:hAnsi="Times New Roman"/>
          <w:spacing w:val="0"/>
          <w:szCs w:val="24"/>
        </w:rPr>
        <w:t xml:space="preserve"> For RY21, EOHHS has retained the inpatient safety outcome measures category.  This category is comprised of the following measures: </w:t>
      </w:r>
    </w:p>
    <w:p w14:paraId="723290CD" w14:textId="77777777" w:rsidR="00F418EC" w:rsidRPr="00F418EC" w:rsidRDefault="00F418EC" w:rsidP="00F418EC">
      <w:pPr>
        <w:numPr>
          <w:ilvl w:val="0"/>
          <w:numId w:val="1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Patient Safety and Adverse Events Composite Measure:</w:t>
      </w:r>
      <w:r w:rsidRPr="00F418EC">
        <w:rPr>
          <w:rFonts w:ascii="Times New Roman" w:eastAsiaTheme="minorHAnsi" w:hAnsi="Times New Roman"/>
          <w:spacing w:val="0"/>
          <w:szCs w:val="24"/>
        </w:rPr>
        <w:t xml:space="preserve"> EOHHS has retained the Patient Safety and Adverse Events Composite (PSI-90) measure developed by the Agency for Healthcare Research and Quality (AHRQ).  PSI-90 consists of ten AHRQ quality indicators (PSI-3, PSI-6, PSI-8, PSI-9, PSI-10, PSI-11, PSI-12, PSI-13, PSI-14, and PSI-15) that represent potentially preventable complications and adverse events resulting from in-hospital surgical and medical procedures. This claims-based measure will be collected by EOHHS,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using methods further described in the EOHHS Technical Specifications Manual.  No direct electronic data file reporting to EOHHS is required.</w:t>
      </w:r>
    </w:p>
    <w:p w14:paraId="18EA012F" w14:textId="77777777" w:rsidR="00F418EC" w:rsidRPr="00F418EC" w:rsidRDefault="00F418EC" w:rsidP="00F418EC">
      <w:pPr>
        <w:numPr>
          <w:ilvl w:val="0"/>
          <w:numId w:val="15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Infections Measures:</w:t>
      </w:r>
      <w:r w:rsidRPr="00F418EC">
        <w:rPr>
          <w:rFonts w:ascii="Times New Roman" w:eastAsiaTheme="minorHAnsi" w:hAnsi="Times New Roman"/>
          <w:spacing w:val="0"/>
          <w:szCs w:val="24"/>
        </w:rPr>
        <w:t xml:space="preserve"> EOHHS has retained in RY21 the five RY20 Healthcare-Associated Infections (HAI) measures that are reported by Hospitals to the NHSN registry surveillance tracking system developed and maintained by the CDC.  The five measures, which are also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central line-associated bloodstream infection (HAI-1), catheter-associated urinary tract infection (HAI-2), methicillin-resistant staphylococcus aureus bacteremia (HAI-3), clostridium difficile infection (HAI-4), and surgical site infections for colon and abdominal hysterectomy surgeries (HAI-5). EOHHS will access the relevant data pertaining to these five national registry-based HAI measures from the CDC’s NHSN registry surveillance tracking system, through the MassHealth NHSN Group that has been established by EOHHS via arrangements made with the CDC.  All Hospitals must enroll in the MassHealth NHSN Group and accept the “confer rights template” for this purpose.  Details on the MassHealth NHSN Group enrollment process and acceptance of the "confer rights template" for group users are further outlined in the EOHHS Technical Specifications Manual. See also </w:t>
      </w:r>
      <w:r w:rsidRPr="00F418EC">
        <w:rPr>
          <w:rFonts w:ascii="Times New Roman" w:eastAsiaTheme="minorHAnsi" w:hAnsi="Times New Roman"/>
          <w:b/>
          <w:spacing w:val="0"/>
          <w:szCs w:val="24"/>
        </w:rPr>
        <w:t>Section 7.1.D.1.e</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7.6.B.4.</w:t>
      </w:r>
      <w:r w:rsidRPr="00F418EC">
        <w:rPr>
          <w:rFonts w:ascii="Times New Roman" w:eastAsiaTheme="minorHAnsi" w:hAnsi="Times New Roman"/>
          <w:spacing w:val="0"/>
          <w:szCs w:val="24"/>
        </w:rPr>
        <w:t xml:space="preserve">  No direct electronic data file reporting to EOHHS is required.</w:t>
      </w:r>
    </w:p>
    <w:p w14:paraId="643C3386" w14:textId="77777777" w:rsidR="00F418EC" w:rsidRPr="00F418EC" w:rsidRDefault="00F418EC" w:rsidP="00F418EC">
      <w:pPr>
        <w:numPr>
          <w:ilvl w:val="0"/>
          <w:numId w:val="15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Measure Category:</w:t>
      </w:r>
      <w:r w:rsidRPr="00F418EC">
        <w:rPr>
          <w:rFonts w:ascii="Times New Roman" w:eastAsiaTheme="minorHAnsi" w:hAnsi="Times New Roman"/>
          <w:spacing w:val="0"/>
          <w:szCs w:val="24"/>
        </w:rPr>
        <w:t xml:space="preserve"> In RY21, EOHHS has retained a modified Hospital Consumer Assessment of Healthcare Provider and System (HCAHPS) measure, which is comprised of survey-based dimensions developed by AHRQ for the Centers for Medicare and Medicaid Services (CMS). Survey results are collected and submitted by Hospitals to CMS, which posts them on the Hospital Compare website. For each Hospital, EOHHS will collect the archived data results from the Hospital Compare website for seven (7) survey dimensions:  nurse communication, doctor communication, responsiveness of hospital staff, communication about medicines, discharge information, overall rating, and 3-item care transition.  Details on each survey dimension are further outlined in the EOHHS Technical Specifications Manual. No direct electronic data file reporting to EOHHS is required.</w:t>
      </w:r>
    </w:p>
    <w:p w14:paraId="74919882"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EOHHS Technical Specifications Manual. </w:t>
      </w:r>
      <w:r w:rsidRPr="00F418EC">
        <w:rPr>
          <w:rFonts w:ascii="Times New Roman" w:eastAsiaTheme="minorHAnsi" w:hAnsi="Times New Roman"/>
          <w:spacing w:val="0"/>
          <w:szCs w:val="24"/>
        </w:rPr>
        <w:t xml:space="preserve">EOHHS publishes a comprehensive manual as a supplement to this RFA, that Hospitals must adhere to for data collection and reporting, and that applies to all quality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w:t>
      </w:r>
      <w:r w:rsidRPr="00F418EC">
        <w:rPr>
          <w:rFonts w:ascii="Times New Roman" w:eastAsiaTheme="minorHAnsi" w:hAnsi="Times New Roman"/>
          <w:spacing w:val="0"/>
          <w:szCs w:val="24"/>
        </w:rPr>
        <w:lastRenderedPageBreak/>
        <w:t xml:space="preserve">reporting data period noted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 xml:space="preserve">. EOHHS Manual versions are posted on the Mass.Gov website at </w:t>
      </w:r>
      <w:hyperlink r:id="rId34" w:tooltip="Go to MassHealth Quality Exchange (MassQEX)" w:history="1">
        <w:r w:rsidRPr="00F418EC">
          <w:rPr>
            <w:rFonts w:ascii="Times New Roman" w:eastAsiaTheme="minorHAnsi" w:hAnsi="Times New Roman"/>
            <w:spacing w:val="0"/>
            <w:szCs w:val="24"/>
            <w:u w:val="single"/>
          </w:rPr>
          <w:t>http://www.mass.gov/eohhs/provider/insurance/masshealth/massqex/</w:t>
        </w:r>
      </w:hyperlink>
      <w:r w:rsidRPr="00F418EC">
        <w:rPr>
          <w:rFonts w:ascii="Times New Roman" w:eastAsiaTheme="minorHAnsi" w:hAnsi="Times New Roman"/>
          <w:spacing w:val="0"/>
          <w:szCs w:val="24"/>
        </w:rPr>
        <w:t xml:space="preserve"> </w:t>
      </w:r>
    </w:p>
    <w:p w14:paraId="1094A499"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Medicaid and Other Payer Data Collection.</w:t>
      </w:r>
      <w:r w:rsidRPr="00F418EC">
        <w:rPr>
          <w:rFonts w:ascii="Times New Roman" w:eastAsiaTheme="minorHAnsi" w:hAnsi="Times New Roman"/>
          <w:spacing w:val="0"/>
          <w:szCs w:val="24"/>
        </w:rPr>
        <w:t xml:space="preserve"> The source of the payer data for each quality measure category is described below. </w:t>
      </w:r>
    </w:p>
    <w:p w14:paraId="317B2E51"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 xml:space="preserve">Chart-Abstracted Measures Data. </w:t>
      </w:r>
      <w:r w:rsidRPr="00F418EC">
        <w:rPr>
          <w:rFonts w:ascii="Times New Roman" w:eastAsiaTheme="minorHAnsi" w:hAnsi="Times New Roman"/>
          <w:spacing w:val="0"/>
          <w:szCs w:val="24"/>
        </w:rPr>
        <w:t xml:space="preserve">The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and identified in </w:t>
      </w:r>
      <w:r w:rsidRPr="00F418EC">
        <w:rPr>
          <w:rFonts w:ascii="Times New Roman" w:eastAsiaTheme="minorHAnsi" w:hAnsi="Times New Roman"/>
          <w:b/>
          <w:spacing w:val="0"/>
          <w:szCs w:val="24"/>
        </w:rPr>
        <w:t>Section 7.3.A.1</w:t>
      </w:r>
      <w:r w:rsidRPr="00F418EC">
        <w:rPr>
          <w:rFonts w:ascii="Times New Roman" w:eastAsiaTheme="minorHAnsi" w:hAnsi="Times New Roman"/>
          <w:spacing w:val="0"/>
          <w:szCs w:val="24"/>
        </w:rPr>
        <w:t xml:space="preserve"> are chart-abstracted and must be collected and reported by Hospitals on all Medicaid payer data.  The Health Disparity quality measure category will be comprised of aggregate data from the individual process measures.  Detailed instructions on all Medicaid payer data reporting requirements, including all relevant Medicaid payer codes, are included in the applicable version of the EOHHS Technical Specifications Manual referred to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5DAC9DC2"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Claims-Based Measures Data.</w:t>
      </w:r>
      <w:r w:rsidRPr="00F418EC">
        <w:rPr>
          <w:rFonts w:ascii="Times New Roman" w:eastAsiaTheme="minorHAnsi" w:hAnsi="Times New Roman"/>
          <w:spacing w:val="0"/>
          <w:szCs w:val="24"/>
        </w:rPr>
        <w:t xml:space="preserve"> The data for the PSI-90 composite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claims-based and will be collected on all Medicaid payer data by EOHHS from the Medicaid Management Information System (MMIS) fee-for-service claims and from MCO encounter data in the MassHealth Data Warehouse, using the criteria and methods outlined in the EOHHS Technical Specifications Manual.  EOHHS will extract all Medicaid payer data that reflect a six month run-out period after the end of the applicable performance evaluation period, per </w:t>
      </w:r>
      <w:r w:rsidRPr="00F418EC">
        <w:rPr>
          <w:rFonts w:ascii="Times New Roman" w:eastAsiaTheme="minorHAnsi" w:hAnsi="Times New Roman"/>
          <w:b/>
          <w:spacing w:val="0"/>
          <w:szCs w:val="24"/>
        </w:rPr>
        <w:t>Section 7.4.G.3</w:t>
      </w:r>
      <w:r w:rsidRPr="00F418EC">
        <w:rPr>
          <w:rFonts w:ascii="Times New Roman" w:eastAsiaTheme="minorHAnsi" w:hAnsi="Times New Roman"/>
          <w:spacing w:val="0"/>
          <w:szCs w:val="24"/>
        </w:rPr>
        <w:t>.</w:t>
      </w:r>
    </w:p>
    <w:p w14:paraId="422D0E7E"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Registry-Based Measures Data.</w:t>
      </w:r>
      <w:r w:rsidRPr="00F418EC">
        <w:rPr>
          <w:rFonts w:ascii="Times New Roman" w:eastAsiaTheme="minorHAnsi" w:hAnsi="Times New Roman"/>
          <w:spacing w:val="0"/>
          <w:szCs w:val="24"/>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w:t>
      </w:r>
    </w:p>
    <w:p w14:paraId="5591CAA5" w14:textId="77777777" w:rsidR="00F418EC" w:rsidRPr="00F418EC" w:rsidRDefault="00F418EC" w:rsidP="00F418EC">
      <w:pPr>
        <w:numPr>
          <w:ilvl w:val="0"/>
          <w:numId w:val="160"/>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Survey-Based Measures Data.</w:t>
      </w:r>
      <w:r w:rsidRPr="00F418EC">
        <w:rPr>
          <w:rFonts w:ascii="Times New Roman" w:eastAsiaTheme="minorHAnsi" w:hAnsi="Times New Roman"/>
          <w:spacing w:val="0"/>
          <w:szCs w:val="24"/>
        </w:rPr>
        <w:t xml:space="preserve"> The data for the seven survey dimensions of the HCAHPS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national survey-based and are reported by Hospitals on all payer data to CMS, and will be obtained by EOHHS from the CMS Hospital Compare website, per </w:t>
      </w:r>
      <w:r w:rsidRPr="00F418EC">
        <w:rPr>
          <w:rFonts w:ascii="Times New Roman" w:eastAsiaTheme="minorHAnsi" w:hAnsi="Times New Roman"/>
          <w:b/>
          <w:spacing w:val="0"/>
          <w:szCs w:val="24"/>
        </w:rPr>
        <w:t>Section 7.3.A.3.</w:t>
      </w:r>
    </w:p>
    <w:p w14:paraId="5517F1BC" w14:textId="77777777" w:rsidR="00F418EC" w:rsidRPr="00F418EC" w:rsidRDefault="00F418EC" w:rsidP="00F418EC">
      <w:pPr>
        <w:numPr>
          <w:ilvl w:val="0"/>
          <w:numId w:val="15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Accuracy and Completeness Requirements.</w:t>
      </w:r>
      <w:r w:rsidRPr="00F418EC">
        <w:rPr>
          <w:rFonts w:ascii="Times New Roman" w:eastAsiaTheme="minorHAnsi" w:hAnsi="Times New Roman"/>
          <w:spacing w:val="0"/>
          <w:szCs w:val="24"/>
        </w:rPr>
        <w:t xml:space="preserve"> Hospitals must meet data accuracy and completeness requirements for all quality measures listed in</w:t>
      </w:r>
      <w:r w:rsidRPr="00F418EC">
        <w:rPr>
          <w:rFonts w:ascii="Times New Roman" w:eastAsiaTheme="minorHAnsi" w:hAnsi="Times New Roman"/>
          <w:b/>
          <w:spacing w:val="0"/>
          <w:szCs w:val="24"/>
        </w:rPr>
        <w:t xml:space="preserve"> Table 7-1</w:t>
      </w:r>
      <w:r w:rsidRPr="00F418EC">
        <w:rPr>
          <w:rFonts w:ascii="Times New Roman" w:eastAsiaTheme="minorHAnsi" w:hAnsi="Times New Roman"/>
          <w:spacing w:val="0"/>
          <w:szCs w:val="24"/>
        </w:rPr>
        <w:t xml:space="preserve"> as described below.</w:t>
      </w:r>
    </w:p>
    <w:p w14:paraId="12A19251"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Chart-Abstracted Measures Data.</w:t>
      </w:r>
      <w:r w:rsidRPr="00F418EC">
        <w:rPr>
          <w:rFonts w:ascii="Times New Roman" w:eastAsiaTheme="minorHAnsi" w:hAnsi="Times New Roman"/>
          <w:spacing w:val="0"/>
          <w:szCs w:val="24"/>
        </w:rPr>
        <w:t xml:space="preserve"> Hospitals are required to submit complete data on all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including Race and Hispanic Indicator,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F418EC">
        <w:rPr>
          <w:rFonts w:ascii="Times New Roman" w:eastAsiaTheme="minorHAnsi" w:hAnsi="Times New Roman"/>
          <w:b/>
          <w:spacing w:val="0"/>
          <w:szCs w:val="24"/>
        </w:rPr>
        <w:t xml:space="preserve"> Section 7.6.A</w:t>
      </w:r>
      <w:r w:rsidRPr="00F418EC">
        <w:rPr>
          <w:rFonts w:ascii="Times New Roman" w:eastAsiaTheme="minorHAnsi" w:hAnsi="Times New Roman"/>
          <w:spacing w:val="0"/>
          <w:szCs w:val="24"/>
        </w:rPr>
        <w:t xml:space="preserve">. </w:t>
      </w:r>
    </w:p>
    <w:p w14:paraId="5B76D8CF"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lastRenderedPageBreak/>
        <w:t>Claims-Based Measures Data.</w:t>
      </w:r>
      <w:r w:rsidRPr="00F418EC">
        <w:rPr>
          <w:rFonts w:ascii="Times New Roman" w:eastAsiaTheme="minorHAnsi" w:hAnsi="Times New Roman"/>
          <w:spacing w:val="0"/>
          <w:szCs w:val="24"/>
        </w:rPr>
        <w:t xml:space="preserve"> The PSI-90 composite measure data extracted from Medicaid claims,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are subject to meeting data accuracy and completeness requirements as further described in the EOHHS Technical Specifications Manual.</w:t>
      </w:r>
    </w:p>
    <w:p w14:paraId="79685D8E"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Registry-Based Measures Data.</w:t>
      </w:r>
      <w:r w:rsidRPr="00F418EC">
        <w:rPr>
          <w:rFonts w:ascii="Times New Roman" w:eastAsiaTheme="minorHAnsi" w:hAnsi="Times New Roman"/>
          <w:spacing w:val="0"/>
          <w:szCs w:val="24"/>
        </w:rPr>
        <w:t xml:space="preserve"> EOHHS relies on the completeness and accuracy of the HAI data, as collected and reported by Hospitals to the CDC’s NHSN registry surveillance tracking system, that is shared via the MassHealth NHSN Group, per </w:t>
      </w:r>
      <w:r w:rsidRPr="00F418EC">
        <w:rPr>
          <w:rFonts w:ascii="Times New Roman" w:eastAsiaTheme="minorHAnsi" w:hAnsi="Times New Roman"/>
          <w:b/>
          <w:spacing w:val="0"/>
          <w:szCs w:val="24"/>
        </w:rPr>
        <w:t>Section 7.3.A.2</w:t>
      </w:r>
      <w:r w:rsidRPr="00F418EC">
        <w:rPr>
          <w:rFonts w:ascii="Times New Roman" w:eastAsiaTheme="minorHAnsi" w:hAnsi="Times New Roman"/>
          <w:spacing w:val="0"/>
          <w:szCs w:val="24"/>
        </w:rPr>
        <w:t xml:space="preserve">, to ensure reliability and comparability of results across facilities. Hospitals must to adhere to all NHSN required collection and reporting protocols for the HAI measures listed on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Reporting incorrect data or failing to report timely data as required by NHSN protocols will affect the Hospital's eligibility for quality scoring per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w:t>
      </w:r>
    </w:p>
    <w:p w14:paraId="33DA010E" w14:textId="77777777" w:rsidR="00F418EC" w:rsidRPr="00F418EC" w:rsidRDefault="00F418EC" w:rsidP="00F418EC">
      <w:pPr>
        <w:numPr>
          <w:ilvl w:val="0"/>
          <w:numId w:val="161"/>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National Survey-Based Measures Data.</w:t>
      </w:r>
      <w:r w:rsidRPr="00F418EC">
        <w:rPr>
          <w:rFonts w:ascii="Times New Roman" w:eastAsiaTheme="minorHAnsi" w:hAnsi="Times New Roman"/>
          <w:spacing w:val="0"/>
          <w:szCs w:val="24"/>
        </w:rPr>
        <w:t xml:space="preserve"> EOHHS relies on the completeness and accuracy of nationally reported HCAHPS archived data posted on the CMS Hospital Compare website, per </w:t>
      </w:r>
      <w:r w:rsidRPr="00F418EC">
        <w:rPr>
          <w:rFonts w:ascii="Times New Roman" w:eastAsiaTheme="minorHAnsi" w:hAnsi="Times New Roman"/>
          <w:b/>
          <w:spacing w:val="0"/>
          <w:szCs w:val="24"/>
        </w:rPr>
        <w:t>Section 7.3.A.3</w:t>
      </w:r>
      <w:r w:rsidRPr="00F418EC">
        <w:rPr>
          <w:rFonts w:ascii="Times New Roman" w:eastAsiaTheme="minorHAnsi" w:hAnsi="Times New Roman"/>
          <w:spacing w:val="0"/>
          <w:szCs w:val="24"/>
        </w:rPr>
        <w:t xml:space="preserve">, to ensure reliability and comparability of results across facilities. Hospitals must conform to the completed survey minimum requirement protocols, submission deadlines, and applicable versions of the quality assurance guidelines posted on the Center for Medicare and Medicaid Services (CMS) sponsored website </w:t>
      </w:r>
      <w:hyperlink r:id="rId35" w:tooltip="Go to HCAHPS website" w:history="1">
        <w:r w:rsidRPr="00F418EC">
          <w:rPr>
            <w:rFonts w:ascii="Times New Roman" w:eastAsiaTheme="minorHAnsi" w:hAnsi="Times New Roman"/>
            <w:spacing w:val="0"/>
            <w:szCs w:val="24"/>
            <w:u w:val="single"/>
          </w:rPr>
          <w:t>http://www.hcahpsonline.org/</w:t>
        </w:r>
      </w:hyperlink>
      <w:r w:rsidRPr="00F418EC">
        <w:rPr>
          <w:rFonts w:ascii="Times New Roman" w:eastAsiaTheme="minorHAnsi" w:hAnsi="Times New Roman"/>
          <w:spacing w:val="0"/>
          <w:szCs w:val="24"/>
        </w:rPr>
        <w:t xml:space="preserve">. A Hospital's failure to adhere to these CMS requirements will affect the Hospital's eligibility for quality scoring per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w:t>
      </w:r>
    </w:p>
    <w:p w14:paraId="4D67424A"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is required to sign and submit the MassHealth Hospital Data Accuracy and Completeness Attestation (DACA) Form that acknowledges reporting and/or service line exemptions for all quality measures, per instructions in </w:t>
      </w:r>
      <w:r w:rsidRPr="00F418EC">
        <w:rPr>
          <w:rFonts w:ascii="Times New Roman" w:eastAsiaTheme="minorHAnsi" w:hAnsi="Times New Roman"/>
          <w:b/>
          <w:spacing w:val="0"/>
          <w:szCs w:val="24"/>
        </w:rPr>
        <w:t>Section 7.6.C</w:t>
      </w:r>
      <w:r w:rsidRPr="00F418EC">
        <w:rPr>
          <w:rFonts w:ascii="Times New Roman" w:eastAsiaTheme="minorHAnsi" w:hAnsi="Times New Roman"/>
          <w:spacing w:val="0"/>
          <w:szCs w:val="24"/>
        </w:rPr>
        <w:t xml:space="preserve">, by the due date set forth in </w:t>
      </w:r>
      <w:r w:rsidRPr="00F418EC">
        <w:rPr>
          <w:rFonts w:ascii="Times New Roman" w:eastAsiaTheme="minorHAnsi" w:hAnsi="Times New Roman"/>
          <w:b/>
          <w:spacing w:val="0"/>
          <w:szCs w:val="24"/>
        </w:rPr>
        <w:t>Section 7.6.A</w:t>
      </w:r>
      <w:r w:rsidRPr="00F418EC">
        <w:rPr>
          <w:rFonts w:ascii="Times New Roman" w:eastAsiaTheme="minorHAnsi" w:hAnsi="Times New Roman"/>
          <w:spacing w:val="0"/>
          <w:szCs w:val="24"/>
        </w:rPr>
        <w:t>.</w:t>
      </w:r>
    </w:p>
    <w:p w14:paraId="0D66E04F"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94" w:name="_Toc52374322"/>
      <w:r w:rsidRPr="00F418EC">
        <w:rPr>
          <w:rFonts w:ascii="Times New Roman" w:eastAsiaTheme="minorHAnsi" w:hAnsi="Times New Roman"/>
          <w:b/>
          <w:spacing w:val="0"/>
          <w:sz w:val="28"/>
          <w:szCs w:val="28"/>
        </w:rPr>
        <w:t>7.4</w:t>
      </w:r>
      <w:r w:rsidRPr="00F418EC">
        <w:rPr>
          <w:rFonts w:ascii="Times New Roman" w:eastAsiaTheme="minorHAnsi" w:hAnsi="Times New Roman"/>
          <w:b/>
          <w:spacing w:val="0"/>
          <w:sz w:val="28"/>
          <w:szCs w:val="28"/>
        </w:rPr>
        <w:tab/>
        <w:t>Performance Assessment Methods</w:t>
      </w:r>
      <w:bookmarkEnd w:id="94"/>
    </w:p>
    <w:p w14:paraId="3EB7FED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Hospital performance assessment and calculation methods that apply to all measures identified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are described below.  </w:t>
      </w:r>
    </w:p>
    <w:p w14:paraId="33B8EE54"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Measure Calculation.</w:t>
      </w:r>
      <w:r w:rsidRPr="00F418EC">
        <w:rPr>
          <w:rFonts w:ascii="Times New Roman" w:eastAsiaTheme="minorHAnsi" w:hAnsi="Times New Roman"/>
          <w:spacing w:val="0"/>
          <w:szCs w:val="24"/>
        </w:rPr>
        <w:t xml:space="preserve"> Each measure will be calculated using the following methods: </w:t>
      </w:r>
    </w:p>
    <w:p w14:paraId="589BCD07"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Individual Process Measure Rate (for MAT-4, NEWB-1, CCM-1, CCM-2, and CCM-3):</w:t>
      </w:r>
      <w:r w:rsidRPr="00F418EC">
        <w:rPr>
          <w:rFonts w:ascii="Times New Roman" w:eastAsiaTheme="minorHAnsi" w:hAnsi="Times New Roman"/>
          <w:spacing w:val="0"/>
          <w:szCs w:val="24"/>
        </w:rPr>
        <w:t xml:space="preserve"> A measure rate is calculated by dividing the numerator by the denominator, to obtain a percentage for each individual process measure. The numerators and denominators for the applicable individual process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are further defined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All measure rate results are rounded to the nearest integer (e.g., 3.3 is rounded to 3.0; 3.5 is rounded to 4.0). </w:t>
      </w:r>
    </w:p>
    <w:p w14:paraId="6C156E71"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 Disparity Composite Measure Result:</w:t>
      </w:r>
      <w:r w:rsidRPr="00F418EC">
        <w:rPr>
          <w:rFonts w:ascii="Times New Roman" w:eastAsiaTheme="minorHAnsi" w:hAnsi="Times New Roman"/>
          <w:spacing w:val="0"/>
          <w:szCs w:val="24"/>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process measures for the racial/ethnic group, and the composite denominator rate is created by summing the denominators of individual process measures for the racial/ethnic </w:t>
      </w:r>
      <w:r w:rsidRPr="00F418EC">
        <w:rPr>
          <w:rFonts w:ascii="Times New Roman" w:eastAsiaTheme="minorHAnsi" w:hAnsi="Times New Roman"/>
          <w:spacing w:val="0"/>
          <w:szCs w:val="24"/>
        </w:rPr>
        <w:lastRenderedPageBreak/>
        <w:t xml:space="preserve">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process measures. The numerators and denominators for this HD-2 measure are further defined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0D3ACA48"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PSI-90 Composite Measure Result.</w:t>
      </w:r>
      <w:r w:rsidRPr="00F418EC">
        <w:rPr>
          <w:rFonts w:ascii="Times New Roman" w:eastAsiaTheme="minorHAnsi" w:hAnsi="Times New Roman"/>
          <w:spacing w:val="0"/>
          <w:szCs w:val="24"/>
        </w:rPr>
        <w:t xml:space="preserve"> The PSI-90 composite value for the PSI-90 composite measure is calculated as a weighted average of the risk-adjusted and reliability-adjusted rates for the ten indicators combined. For each of the ten AHRQ quality indicators listed in </w:t>
      </w:r>
      <w:r w:rsidRPr="00F418EC">
        <w:rPr>
          <w:rFonts w:ascii="Times New Roman" w:eastAsiaTheme="minorHAnsi" w:hAnsi="Times New Roman"/>
          <w:b/>
          <w:spacing w:val="0"/>
          <w:szCs w:val="24"/>
        </w:rPr>
        <w:t>Section 7.3.A.2.a</w:t>
      </w:r>
      <w:r w:rsidRPr="00F418EC">
        <w:rPr>
          <w:rFonts w:ascii="Times New Roman" w:eastAsiaTheme="minorHAnsi" w:hAnsi="Times New Roman"/>
          <w:spacing w:val="0"/>
          <w:szCs w:val="24"/>
        </w:rPr>
        <w:t>, the observed and expected rates, risk-adjusted rates, smoothed rates, and reliability weights are computed using the applicable version of AHRQ Quality Indicators Software. 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EOHHS Technical Specifications Manual listed in</w:t>
      </w:r>
      <w:r w:rsidRPr="00F418EC">
        <w:rPr>
          <w:rFonts w:ascii="Times New Roman" w:eastAsiaTheme="minorHAnsi" w:hAnsi="Times New Roman"/>
          <w:b/>
          <w:spacing w:val="0"/>
          <w:szCs w:val="24"/>
        </w:rPr>
        <w:t xml:space="preserve"> Table 7-6</w:t>
      </w:r>
      <w:r w:rsidRPr="00F418EC">
        <w:rPr>
          <w:rFonts w:ascii="Times New Roman" w:eastAsiaTheme="minorHAnsi" w:hAnsi="Times New Roman"/>
          <w:spacing w:val="0"/>
          <w:szCs w:val="24"/>
        </w:rPr>
        <w:t>.</w:t>
      </w:r>
    </w:p>
    <w:p w14:paraId="236EEEEB"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 Measures Results.</w:t>
      </w:r>
      <w:r w:rsidRPr="00F418EC">
        <w:rPr>
          <w:rFonts w:ascii="Times New Roman" w:eastAsiaTheme="minorHAnsi" w:hAnsi="Times New Roman"/>
          <w:spacing w:val="0"/>
          <w:szCs w:val="24"/>
        </w:rPr>
        <w:t xml:space="preserve"> EOHHS will obtain each Hospital's standard infection ratio (SIR) output value for each HAI measure listed in Table 7-1, as calculated by the CDC, from the CDC’s NHSN registry surveillance tracking system via the MassHealth NHSN Group per </w:t>
      </w:r>
      <w:r w:rsidRPr="00F418EC">
        <w:rPr>
          <w:rFonts w:ascii="Times New Roman" w:eastAsiaTheme="minorHAnsi" w:hAnsi="Times New Roman"/>
          <w:b/>
          <w:spacing w:val="0"/>
          <w:szCs w:val="24"/>
        </w:rPr>
        <w:t>Section 7.3.A.2</w:t>
      </w:r>
      <w:r w:rsidRPr="00F418EC">
        <w:rPr>
          <w:rFonts w:ascii="Times New Roman" w:eastAsiaTheme="minorHAnsi" w:hAnsi="Times New Roman"/>
          <w:spacing w:val="0"/>
          <w:szCs w:val="24"/>
        </w:rPr>
        <w:t xml:space="preserve">. EOHHS will not calculate independent SIR output values but will rely on the CDC’s calculations. The SIR output value is only calculated by the CDC for an HAI when the number of predicted infections is at least 1.0, and is not computed by CDC when the predicted number of infections is less than 1.0. Details regarding the calculations of SIR output values are further described in the applicable EOHHS Technical Specifications Manual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xml:space="preserve">. </w:t>
      </w:r>
    </w:p>
    <w:p w14:paraId="71D08123" w14:textId="77777777" w:rsidR="00F418EC" w:rsidRPr="00F418EC" w:rsidRDefault="00F418EC" w:rsidP="00F418EC">
      <w:pPr>
        <w:numPr>
          <w:ilvl w:val="0"/>
          <w:numId w:val="163"/>
        </w:numPr>
        <w:spacing w:after="200"/>
        <w:rPr>
          <w:rFonts w:ascii="Times New Roman" w:eastAsiaTheme="minorHAnsi" w:hAnsi="Times New Roman"/>
          <w:spacing w:val="0"/>
          <w:szCs w:val="24"/>
        </w:rPr>
      </w:pPr>
      <w:r w:rsidRPr="00F418EC">
        <w:rPr>
          <w:rFonts w:ascii="Times New Roman" w:eastAsiaTheme="minorHAnsi" w:hAnsi="Times New Roman"/>
          <w:b/>
          <w:bCs/>
          <w:spacing w:val="0"/>
          <w:szCs w:val="24"/>
        </w:rPr>
        <w:t>Patient Experience and Engagement Measure Result</w:t>
      </w:r>
      <w:r w:rsidRPr="00F418EC">
        <w:rPr>
          <w:rFonts w:ascii="Times New Roman" w:eastAsiaTheme="minorHAnsi" w:hAnsi="Times New Roman"/>
          <w:b/>
          <w:spacing w:val="0"/>
          <w:szCs w:val="24"/>
        </w:rPr>
        <w:t xml:space="preserve">:  </w:t>
      </w:r>
      <w:r w:rsidRPr="00F418EC">
        <w:rPr>
          <w:rFonts w:ascii="Times New Roman" w:eastAsiaTheme="minorHAnsi" w:hAnsi="Times New Roman"/>
          <w:bCs/>
          <w:spacing w:val="0"/>
          <w:szCs w:val="24"/>
        </w:rPr>
        <w:t>EOHHS will obtain the archived HCAHPS measure “top box” raw results directly from the Hospital Compare website that are posted in rounded integer format.  The "top-box" raw score for each of the seven survey dimensions represents the percentage of a Hospital’s patients who chose the most positive, or “top-box,” response to a survey item. The “top box” raw result calculation includes a CMS patient-mix adjustment and survey-mode adjustment. If a Hospital has completed fewer than 100 surveys for a specified EOHHS calendar year measurement period, it is identified on the Hospital Compare website as not having sufficient data for CMS to calculate results for this measure.</w:t>
      </w:r>
    </w:p>
    <w:p w14:paraId="66F71EC3"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Validation Requirements.</w:t>
      </w:r>
      <w:r w:rsidRPr="00F418EC">
        <w:rPr>
          <w:rFonts w:ascii="Times New Roman" w:eastAsiaTheme="minorHAnsi" w:hAnsi="Times New Roman"/>
          <w:spacing w:val="0"/>
          <w:szCs w:val="24"/>
        </w:rPr>
        <w:t xml:space="preserve"> All reported individual process measures are subject to data validation that requires meeting the minimum reliability standard of 80 percent for data elements. Hospitals are considered to have “passed” validation if the overall agreement rate of 80 percent has been met, based on the data from the third and fourth </w:t>
      </w:r>
      <w:r w:rsidRPr="00F418EC">
        <w:rPr>
          <w:rFonts w:ascii="Times New Roman" w:eastAsiaTheme="minorHAnsi" w:hAnsi="Times New Roman"/>
          <w:spacing w:val="0"/>
          <w:szCs w:val="24"/>
        </w:rPr>
        <w:lastRenderedPageBreak/>
        <w:t xml:space="preserve">quarters of CY2020 (Q3-2020 and Q4-2020) that the Hospital must collect and report during RY21 (see </w:t>
      </w:r>
      <w:r w:rsidRPr="00F418EC">
        <w:rPr>
          <w:rFonts w:ascii="Times New Roman" w:eastAsiaTheme="minorHAnsi" w:hAnsi="Times New Roman"/>
          <w:b/>
          <w:spacing w:val="0"/>
          <w:szCs w:val="24"/>
        </w:rPr>
        <w:t>Sections 7.3.A.1 and 7.6.A</w:t>
      </w:r>
      <w:r w:rsidRPr="00F418EC">
        <w:rPr>
          <w:rFonts w:ascii="Times New Roman" w:eastAsiaTheme="minorHAnsi" w:hAnsi="Times New Roman"/>
          <w:spacing w:val="0"/>
          <w:szCs w:val="24"/>
        </w:rPr>
        <w:t xml:space="preserve">). Passing data validation is required prior to computing a Hospital’s performance scores on each individual process measure category pursuant to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The applicable EOHHS Technical Specifications Manual version, listed in </w:t>
      </w:r>
      <w:r w:rsidRPr="00F418EC">
        <w:rPr>
          <w:rFonts w:ascii="Times New Roman" w:eastAsiaTheme="minorHAnsi" w:hAnsi="Times New Roman"/>
          <w:b/>
          <w:spacing w:val="0"/>
          <w:szCs w:val="24"/>
        </w:rPr>
        <w:t>Table 7-6</w:t>
      </w:r>
      <w:r w:rsidRPr="00F418EC">
        <w:rPr>
          <w:rFonts w:ascii="Times New Roman" w:eastAsiaTheme="minorHAnsi" w:hAnsi="Times New Roman"/>
          <w:spacing w:val="0"/>
          <w:szCs w:val="24"/>
        </w:rPr>
        <w:t>, provides detailed information on data validation methods.</w:t>
      </w:r>
    </w:p>
    <w:p w14:paraId="31641334"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Individual Clinical Process Measures Performance Assessment. </w:t>
      </w:r>
      <w:r w:rsidRPr="00F418EC">
        <w:rPr>
          <w:rFonts w:ascii="Times New Roman" w:eastAsiaTheme="minorHAnsi" w:hAnsi="Times New Roman"/>
          <w:spacing w:val="0"/>
          <w:szCs w:val="24"/>
        </w:rPr>
        <w:t>Each individual process measure’s performance will be assessed on levels for attainment, improvement and benchmark defined as follows:</w:t>
      </w:r>
    </w:p>
    <w:p w14:paraId="67418F19" w14:textId="77777777" w:rsidR="00F418EC" w:rsidRPr="00F418EC" w:rsidRDefault="00F418EC" w:rsidP="00F418EC">
      <w:pPr>
        <w:numPr>
          <w:ilvl w:val="0"/>
          <w:numId w:val="164"/>
        </w:num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Setting Performance Thresholds</w:t>
      </w:r>
    </w:p>
    <w:p w14:paraId="591BB0C9"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Attainment Threshold:</w:t>
      </w:r>
      <w:r w:rsidRPr="00F418EC">
        <w:rPr>
          <w:rFonts w:ascii="Times New Roman" w:eastAsiaTheme="minorHAnsi" w:hAnsi="Times New Roman"/>
          <w:spacing w:val="0"/>
          <w:szCs w:val="24"/>
        </w:rPr>
        <w:t xml:space="preserve"> represents the minimum level of performance that must be achieved on each individual measure to earn attainment points. The attainment threshold is defined as the median performance (50th percentile) of all hospitals in the previous reporting year. </w:t>
      </w:r>
    </w:p>
    <w:p w14:paraId="1659EEC8"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 xml:space="preserve">Improvement Range: </w:t>
      </w:r>
      <w:r w:rsidRPr="00F418EC">
        <w:rPr>
          <w:rFonts w:ascii="Times New Roman" w:eastAsiaTheme="minorHAnsi" w:hAnsi="Times New Roman"/>
          <w:spacing w:val="0"/>
          <w:szCs w:val="24"/>
        </w:rPr>
        <w:t>represents the minimum level of performance achieved above the previous year, but below the benchmark, that must be achieved on each individual measure to earn improvement points; and</w:t>
      </w:r>
    </w:p>
    <w:p w14:paraId="132A2761" w14:textId="77777777" w:rsidR="00F418EC" w:rsidRPr="00F418EC" w:rsidRDefault="00F418EC" w:rsidP="00F418EC">
      <w:pPr>
        <w:numPr>
          <w:ilvl w:val="0"/>
          <w:numId w:val="165"/>
        </w:numPr>
        <w:spacing w:after="200"/>
        <w:rPr>
          <w:rFonts w:ascii="Times New Roman" w:eastAsiaTheme="minorHAnsi" w:hAnsi="Times New Roman"/>
          <w:spacing w:val="0"/>
          <w:szCs w:val="24"/>
        </w:rPr>
      </w:pPr>
      <w:r w:rsidRPr="00F418EC">
        <w:rPr>
          <w:rFonts w:ascii="Times New Roman" w:eastAsiaTheme="minorHAnsi" w:hAnsi="Times New Roman"/>
          <w:i/>
          <w:spacing w:val="10"/>
          <w:szCs w:val="24"/>
        </w:rPr>
        <w:t>Benchmark Threshold:</w:t>
      </w:r>
      <w:r w:rsidRPr="00F418EC">
        <w:rPr>
          <w:rFonts w:ascii="Times New Roman" w:eastAsiaTheme="minorHAnsi" w:hAnsi="Times New Roman"/>
          <w:spacing w:val="0"/>
          <w:szCs w:val="24"/>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53357AF8"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Performance thresholds for each individual process measure (i.e., MAT-4, NEWB-1, CCM-1, CCM-2, and CCM-3) are derived from hospital reported data. Attainment and benchmark performance thresholds are calculated using the previous year all Medicaid payer hospital-reported data. </w:t>
      </w:r>
    </w:p>
    <w:p w14:paraId="45BB67EA" w14:textId="77777777" w:rsidR="00F418EC" w:rsidRPr="00F418EC" w:rsidRDefault="00F418EC" w:rsidP="00F418EC">
      <w:pPr>
        <w:numPr>
          <w:ilvl w:val="0"/>
          <w:numId w:val="16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Points System.</w:t>
      </w:r>
      <w:r w:rsidRPr="00F418EC">
        <w:rPr>
          <w:rFonts w:ascii="Times New Roman" w:eastAsiaTheme="minorHAnsi" w:hAnsi="Times New Roman"/>
          <w:spacing w:val="0"/>
          <w:szCs w:val="24"/>
        </w:rPr>
        <w:t xml:space="preserve"> A Hospital’s performance on each individual process measure reported will be calculated using a quality point system. Hospitals can earn a range of quality points (from 0-10 points) based on where the Hospital’s measure rate falls, relative to the attainment, improvement and the benchmark as follows:</w:t>
      </w:r>
    </w:p>
    <w:p w14:paraId="418E6475" w14:textId="77777777" w:rsidR="00F418EC" w:rsidRPr="00F418EC" w:rsidRDefault="00F418EC" w:rsidP="00F418EC">
      <w:pPr>
        <w:numPr>
          <w:ilvl w:val="0"/>
          <w:numId w:val="16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Attainment Points.</w:t>
      </w:r>
      <w:r w:rsidRPr="00F418EC">
        <w:rPr>
          <w:rFonts w:ascii="Times New Roman" w:eastAsiaTheme="minorHAnsi" w:hAnsi="Times New Roman"/>
          <w:spacing w:val="0"/>
          <w:szCs w:val="24"/>
        </w:rPr>
        <w:t xml:space="preserve"> A Hospital can earn points for attainment based on relative placement between the attainment and benchmark. If a Hospital’s rate for the measure is: </w:t>
      </w:r>
    </w:p>
    <w:p w14:paraId="0EB0BE4A"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less than the attainment threshold, it will receive zero (0) points for attainment.</w:t>
      </w:r>
    </w:p>
    <w:p w14:paraId="2D80D1EF"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Within the attainment range (greater than the attainment threshold but below benchmark) it will receive anywhere from 1 to 9 points for attainment.</w:t>
      </w:r>
    </w:p>
    <w:p w14:paraId="42028861" w14:textId="77777777" w:rsidR="00F418EC" w:rsidRPr="00F418EC" w:rsidRDefault="00F418EC" w:rsidP="00F418EC">
      <w:pPr>
        <w:numPr>
          <w:ilvl w:val="0"/>
          <w:numId w:val="167"/>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greater than the benchmark, it receives 10 points for attainment.</w:t>
      </w:r>
    </w:p>
    <w:p w14:paraId="7636C0CF" w14:textId="77777777" w:rsidR="00F418EC" w:rsidRPr="00F418EC" w:rsidRDefault="00F418EC" w:rsidP="00F418EC">
      <w:pPr>
        <w:numPr>
          <w:ilvl w:val="0"/>
          <w:numId w:val="16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Improvement Points</w:t>
      </w:r>
      <w:r w:rsidRPr="00F418EC">
        <w:rPr>
          <w:rFonts w:ascii="Times New Roman" w:eastAsiaTheme="minorHAnsi" w:hAnsi="Times New Roman"/>
          <w:spacing w:val="0"/>
          <w:szCs w:val="24"/>
        </w:rPr>
        <w:t>. A Hospital can earn points for improvement based on how much the Hospital’s measure rate has improved from the previous reporting year period. If a Hospital’s rate for the measure is:</w:t>
      </w:r>
    </w:p>
    <w:p w14:paraId="2D8FC1A8" w14:textId="77777777" w:rsidR="00F418EC" w:rsidRPr="00F418EC" w:rsidRDefault="00F418EC" w:rsidP="00F418EC">
      <w:pPr>
        <w:numPr>
          <w:ilvl w:val="0"/>
          <w:numId w:val="1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Equal to or less than previous year, it will receive zero (0) points for improvement.</w:t>
      </w:r>
    </w:p>
    <w:p w14:paraId="7F0518A1" w14:textId="77777777" w:rsidR="00F418EC" w:rsidRPr="00F418EC" w:rsidRDefault="00F418EC" w:rsidP="00F418EC">
      <w:pPr>
        <w:numPr>
          <w:ilvl w:val="0"/>
          <w:numId w:val="16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Within the improvement range, it will receive anywhere from 0 to 9 points for improvement.</w:t>
      </w:r>
    </w:p>
    <w:p w14:paraId="018EC716" w14:textId="77777777" w:rsidR="00F418EC" w:rsidRPr="00F418EC" w:rsidRDefault="00F418EC" w:rsidP="00F418EC">
      <w:pPr>
        <w:numPr>
          <w:ilvl w:val="0"/>
          <w:numId w:val="16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Quality Points Criteria.</w:t>
      </w:r>
      <w:r w:rsidRPr="00F418EC">
        <w:rPr>
          <w:rFonts w:ascii="Times New Roman" w:eastAsiaTheme="minorHAnsi" w:hAnsi="Times New Roman"/>
          <w:spacing w:val="0"/>
          <w:szCs w:val="24"/>
        </w:rPr>
        <w:t xml:space="preserve"> The following criteria apply to awarding quality points for each individual process measure on which the Hospital reports: </w:t>
      </w:r>
    </w:p>
    <w:p w14:paraId="5D784E5D"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Data Validation Standard:</w:t>
      </w:r>
      <w:r w:rsidRPr="00F418EC">
        <w:rPr>
          <w:rFonts w:ascii="Times New Roman" w:eastAsiaTheme="minorHAnsi" w:hAnsi="Times New Roman"/>
          <w:spacing w:val="0"/>
          <w:szCs w:val="24"/>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process measure, based on calculation of calendar year 2020 data reported on the measure in RY21, if it passed validation in RY21 and also met the criteria in </w:t>
      </w:r>
      <w:r w:rsidRPr="00F418EC">
        <w:rPr>
          <w:rFonts w:ascii="Times New Roman" w:eastAsiaTheme="minorHAnsi" w:hAnsi="Times New Roman"/>
          <w:b/>
          <w:spacing w:val="0"/>
          <w:szCs w:val="24"/>
        </w:rPr>
        <w:t>Section 7.4.C.3</w:t>
      </w:r>
      <w:r w:rsidRPr="00F418EC">
        <w:rPr>
          <w:rFonts w:ascii="Times New Roman" w:eastAsiaTheme="minorHAnsi" w:hAnsi="Times New Roman"/>
          <w:spacing w:val="0"/>
          <w:szCs w:val="24"/>
        </w:rPr>
        <w:t xml:space="preserve">.b, below. </w:t>
      </w:r>
    </w:p>
    <w:p w14:paraId="6B63288A"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Awarding Points:</w:t>
      </w:r>
      <w:r w:rsidRPr="00F418EC">
        <w:rPr>
          <w:rFonts w:ascii="Times New Roman" w:eastAsiaTheme="minorHAnsi" w:hAnsi="Times New Roman"/>
          <w:spacing w:val="0"/>
          <w:szCs w:val="24"/>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56172ADF" w14:textId="77777777" w:rsidR="00F418EC" w:rsidRPr="00F418EC" w:rsidRDefault="00F418EC" w:rsidP="00F418EC">
      <w:pPr>
        <w:numPr>
          <w:ilvl w:val="0"/>
          <w:numId w:val="16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Suboptimal Performance:</w:t>
      </w:r>
      <w:r w:rsidRPr="00F418EC">
        <w:rPr>
          <w:rFonts w:ascii="Times New Roman" w:eastAsiaTheme="minorHAnsi" w:hAnsi="Times New Roman"/>
          <w:spacing w:val="0"/>
          <w:szCs w:val="24"/>
        </w:rPr>
        <w:t xml:space="preserve">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 </w:t>
      </w:r>
    </w:p>
    <w:p w14:paraId="51D486DA" w14:textId="56B7A71C" w:rsidR="00F418EC" w:rsidRPr="00F418EC" w:rsidRDefault="0073273F" w:rsidP="0073273F">
      <w:pPr>
        <w:numPr>
          <w:ilvl w:val="0"/>
          <w:numId w:val="169"/>
        </w:numPr>
        <w:spacing w:after="200"/>
        <w:rPr>
          <w:rFonts w:ascii="Times New Roman" w:eastAsiaTheme="minorHAnsi" w:hAnsi="Times New Roman"/>
          <w:spacing w:val="0"/>
          <w:szCs w:val="24"/>
        </w:rPr>
      </w:pPr>
      <w:r>
        <w:rPr>
          <w:rFonts w:ascii="Times New Roman" w:eastAsiaTheme="minorHAnsi" w:hAnsi="Times New Roman"/>
          <w:bCs/>
          <w:spacing w:val="0"/>
          <w:szCs w:val="24"/>
        </w:rPr>
        <w:t>[Reserved]</w:t>
      </w:r>
    </w:p>
    <w:p w14:paraId="61462ADE"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Health Disparity Composite Measure Performance Assessment.  The health disparity composite measure (HD-2) performance will be assessed using the following methodology:</w:t>
      </w:r>
    </w:p>
    <w:p w14:paraId="5BE76009" w14:textId="4FA5976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Cs/>
          <w:spacing w:val="0"/>
          <w:szCs w:val="24"/>
        </w:rPr>
        <w:t>[Reserved]</w:t>
      </w:r>
    </w:p>
    <w:p w14:paraId="565C2DDB"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Decile Rank Method.</w:t>
      </w:r>
      <w:r w:rsidRPr="00F418EC">
        <w:rPr>
          <w:rFonts w:ascii="Times New Roman" w:eastAsiaTheme="minorHAnsi" w:hAnsi="Times New Roman"/>
          <w:spacing w:val="0"/>
          <w:szCs w:val="24"/>
        </w:rPr>
        <w:t xml:space="preserve">  Performance will be assessed using a method that determines the Hospital’s rank, relative to other hospitals, based on the decile ranking system.  Hospitals that meet the measure calculation criteria, per </w:t>
      </w:r>
      <w:r w:rsidRPr="00F418EC">
        <w:rPr>
          <w:rFonts w:ascii="Times New Roman" w:eastAsiaTheme="minorHAnsi" w:hAnsi="Times New Roman"/>
          <w:b/>
          <w:spacing w:val="0"/>
          <w:szCs w:val="24"/>
        </w:rPr>
        <w:t>Section 7.4.A.2</w:t>
      </w:r>
      <w:r w:rsidRPr="00F418EC">
        <w:rPr>
          <w:rFonts w:ascii="Times New Roman" w:eastAsiaTheme="minorHAnsi" w:hAnsi="Times New Roman"/>
          <w:spacing w:val="0"/>
          <w:szCs w:val="24"/>
        </w:rPr>
        <w:t xml:space="preserve"> are divided into ten groups (deciles) based on their disparity composite value, so that approximately the same number of hospitals fall within each decile. </w:t>
      </w:r>
    </w:p>
    <w:p w14:paraId="29581CAD"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Target Attainment Threshold</w:t>
      </w:r>
      <w:r w:rsidRPr="00F418EC">
        <w:rPr>
          <w:rFonts w:ascii="Times New Roman" w:eastAsiaTheme="minorHAnsi" w:hAnsi="Times New Roman"/>
          <w:spacing w:val="0"/>
          <w:szCs w:val="24"/>
        </w:rPr>
        <w:t xml:space="preserve">.  The target attainment threshold represents the minimum level of performance that must be achieved to earn incentive payments. The </w:t>
      </w:r>
      <w:r w:rsidRPr="00F418EC">
        <w:rPr>
          <w:rFonts w:ascii="Times New Roman" w:eastAsiaTheme="minorHAnsi" w:hAnsi="Times New Roman"/>
          <w:spacing w:val="0"/>
          <w:szCs w:val="24"/>
        </w:rPr>
        <w:lastRenderedPageBreak/>
        <w:t xml:space="preserve">target attainment is defined as the boundary for a disparity composite value that falls above the 2nd decile group, as shown in </w:t>
      </w:r>
      <w:r w:rsidRPr="00F418EC">
        <w:rPr>
          <w:rFonts w:ascii="Times New Roman" w:eastAsiaTheme="minorHAnsi" w:hAnsi="Times New Roman"/>
          <w:b/>
          <w:spacing w:val="0"/>
          <w:szCs w:val="24"/>
        </w:rPr>
        <w:t>Table 7-2</w:t>
      </w:r>
      <w:r w:rsidRPr="00F418EC">
        <w:rPr>
          <w:rFonts w:ascii="Times New Roman" w:eastAsiaTheme="minorHAnsi" w:hAnsi="Times New Roman"/>
          <w:spacing w:val="0"/>
          <w:szCs w:val="24"/>
        </w:rPr>
        <w:t xml:space="preserve"> below. </w:t>
      </w:r>
    </w:p>
    <w:p w14:paraId="3450E4D3"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Disparity Composite Value Ranking. </w:t>
      </w:r>
      <w:r w:rsidRPr="00F418EC">
        <w:rPr>
          <w:rFonts w:ascii="Times New Roman" w:eastAsiaTheme="minorHAnsi" w:hAnsi="Times New Roman"/>
          <w:spacing w:val="0"/>
          <w:szCs w:val="24"/>
        </w:rPr>
        <w:t xml:space="preserve"> All Hospital disparity composite between group variance (BGV) values, computed per </w:t>
      </w:r>
      <w:r w:rsidRPr="00F418EC">
        <w:rPr>
          <w:rFonts w:ascii="Times New Roman" w:eastAsiaTheme="minorHAnsi" w:hAnsi="Times New Roman"/>
          <w:b/>
          <w:spacing w:val="0"/>
          <w:szCs w:val="24"/>
        </w:rPr>
        <w:t>Section 7.4.A.2</w:t>
      </w:r>
      <w:r w:rsidRPr="00F418EC">
        <w:rPr>
          <w:rFonts w:ascii="Times New Roman" w:eastAsiaTheme="minorHAnsi" w:hAnsi="Times New Roman"/>
          <w:spacing w:val="0"/>
          <w:szCs w:val="24"/>
        </w:rPr>
        <w:t xml:space="preserve">, are rounded to six decimal places. All disparity composite BGV values are ranked from highest to lowest so that approximately the same number of hospitals fall in each decile group.  Hospitals that do not meet data validation standards set forth in </w:t>
      </w:r>
      <w:r w:rsidRPr="00F418EC">
        <w:rPr>
          <w:rFonts w:ascii="Times New Roman" w:eastAsiaTheme="minorHAnsi" w:hAnsi="Times New Roman"/>
          <w:b/>
          <w:spacing w:val="0"/>
          <w:szCs w:val="24"/>
        </w:rPr>
        <w:t xml:space="preserve">Section 7.4.B </w:t>
      </w:r>
      <w:r w:rsidRPr="00F418EC">
        <w:rPr>
          <w:rFonts w:ascii="Times New Roman" w:eastAsiaTheme="minorHAnsi" w:hAnsi="Times New Roman"/>
          <w:spacing w:val="0"/>
          <w:szCs w:val="24"/>
        </w:rPr>
        <w:t>are excluded from decile ranking.</w:t>
      </w:r>
    </w:p>
    <w:p w14:paraId="1E675389" w14:textId="77777777" w:rsidR="00F418EC" w:rsidRPr="00F418EC" w:rsidRDefault="00F418EC" w:rsidP="00F418EC">
      <w:pPr>
        <w:numPr>
          <w:ilvl w:val="0"/>
          <w:numId w:val="17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Conversion Factor.</w:t>
      </w:r>
      <w:r w:rsidRPr="00F418EC">
        <w:rPr>
          <w:rFonts w:ascii="Times New Roman" w:eastAsiaTheme="minorHAnsi" w:hAnsi="Times New Roman"/>
          <w:spacing w:val="0"/>
          <w:szCs w:val="24"/>
        </w:rPr>
        <w:t xml:space="preserve">  Each decile group is assigned a weighted conversion factor associated with the decile threshold, as shown in </w:t>
      </w:r>
      <w:r w:rsidRPr="00F418EC">
        <w:rPr>
          <w:rFonts w:ascii="Times New Roman" w:eastAsiaTheme="minorHAnsi" w:hAnsi="Times New Roman"/>
          <w:b/>
          <w:spacing w:val="0"/>
          <w:szCs w:val="24"/>
        </w:rPr>
        <w:t>Table 7-2</w:t>
      </w:r>
      <w:r w:rsidRPr="00F418EC">
        <w:rPr>
          <w:rFonts w:ascii="Times New Roman" w:eastAsiaTheme="minorHAnsi" w:hAnsi="Times New Roman"/>
          <w:spacing w:val="0"/>
          <w:szCs w:val="24"/>
        </w:rPr>
        <w:t xml:space="preserve"> below.</w:t>
      </w:r>
    </w:p>
    <w:p w14:paraId="7CFC8349"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5" w:name="_Toc52374323"/>
      <w:r w:rsidRPr="00F418EC">
        <w:rPr>
          <w:rFonts w:ascii="Times New Roman" w:eastAsiaTheme="minorHAnsi" w:hAnsi="Times New Roman"/>
          <w:b/>
          <w:spacing w:val="0"/>
          <w:szCs w:val="24"/>
        </w:rPr>
        <w:t>Table 7-2 Decile Group Thresholds</w:t>
      </w:r>
      <w:bookmarkEnd w:id="95"/>
    </w:p>
    <w:tbl>
      <w:tblPr>
        <w:tblStyle w:val="TableGrid"/>
        <w:tblW w:w="0" w:type="auto"/>
        <w:tblInd w:w="1638" w:type="dxa"/>
        <w:tblLook w:val="01E0" w:firstRow="1" w:lastRow="1" w:firstColumn="1" w:lastColumn="1" w:noHBand="0" w:noVBand="0"/>
        <w:tblCaption w:val="Table 7-2 Decile Group Thresholds"/>
      </w:tblPr>
      <w:tblGrid>
        <w:gridCol w:w="4698"/>
        <w:gridCol w:w="2142"/>
      </w:tblGrid>
      <w:tr w:rsidR="00F418EC" w:rsidRPr="00F418EC" w14:paraId="10426833" w14:textId="77777777" w:rsidTr="00626941">
        <w:trPr>
          <w:trHeight w:val="440"/>
          <w:tblHeader/>
        </w:trPr>
        <w:tc>
          <w:tcPr>
            <w:tcW w:w="46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E458386"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Decile Group Threshold</w:t>
            </w:r>
          </w:p>
        </w:tc>
        <w:tc>
          <w:tcPr>
            <w:tcW w:w="21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BD39D32"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w:t>
            </w:r>
          </w:p>
        </w:tc>
      </w:tr>
      <w:tr w:rsidR="00F418EC" w:rsidRPr="00F418EC" w14:paraId="3FB2FC1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EA4289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10th decile (Top decile)</w:t>
            </w:r>
          </w:p>
        </w:tc>
        <w:tc>
          <w:tcPr>
            <w:tcW w:w="2142" w:type="dxa"/>
            <w:tcBorders>
              <w:top w:val="single" w:sz="4" w:space="0" w:color="auto"/>
              <w:left w:val="single" w:sz="4" w:space="0" w:color="auto"/>
              <w:bottom w:val="single" w:sz="4" w:space="0" w:color="auto"/>
              <w:right w:val="single" w:sz="4" w:space="0" w:color="auto"/>
            </w:tcBorders>
            <w:hideMark/>
          </w:tcPr>
          <w:p w14:paraId="5AB7292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1.0</w:t>
            </w:r>
          </w:p>
        </w:tc>
      </w:tr>
      <w:tr w:rsidR="00F418EC" w:rsidRPr="00F418EC" w14:paraId="0A6C602D"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07DAAF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9th decile</w:t>
            </w:r>
          </w:p>
        </w:tc>
        <w:tc>
          <w:tcPr>
            <w:tcW w:w="2142" w:type="dxa"/>
            <w:tcBorders>
              <w:top w:val="single" w:sz="4" w:space="0" w:color="auto"/>
              <w:left w:val="single" w:sz="4" w:space="0" w:color="auto"/>
              <w:bottom w:val="single" w:sz="4" w:space="0" w:color="auto"/>
              <w:right w:val="single" w:sz="4" w:space="0" w:color="auto"/>
            </w:tcBorders>
            <w:hideMark/>
          </w:tcPr>
          <w:p w14:paraId="001395F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.90</w:t>
            </w:r>
          </w:p>
        </w:tc>
      </w:tr>
      <w:tr w:rsidR="00F418EC" w:rsidRPr="00F418EC" w14:paraId="2163D85E"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7AB24A1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8th decile</w:t>
            </w:r>
          </w:p>
        </w:tc>
        <w:tc>
          <w:tcPr>
            <w:tcW w:w="2142" w:type="dxa"/>
            <w:tcBorders>
              <w:top w:val="single" w:sz="4" w:space="0" w:color="auto"/>
              <w:left w:val="single" w:sz="4" w:space="0" w:color="auto"/>
              <w:bottom w:val="single" w:sz="4" w:space="0" w:color="auto"/>
              <w:right w:val="single" w:sz="4" w:space="0" w:color="auto"/>
            </w:tcBorders>
            <w:hideMark/>
          </w:tcPr>
          <w:p w14:paraId="24D1D84D"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.80</w:t>
            </w:r>
          </w:p>
        </w:tc>
      </w:tr>
      <w:tr w:rsidR="00F418EC" w:rsidRPr="00F418EC" w14:paraId="55949D5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0E70523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7th decile</w:t>
            </w:r>
          </w:p>
        </w:tc>
        <w:tc>
          <w:tcPr>
            <w:tcW w:w="2142" w:type="dxa"/>
            <w:tcBorders>
              <w:top w:val="single" w:sz="4" w:space="0" w:color="auto"/>
              <w:left w:val="single" w:sz="4" w:space="0" w:color="auto"/>
              <w:bottom w:val="single" w:sz="4" w:space="0" w:color="auto"/>
              <w:right w:val="single" w:sz="4" w:space="0" w:color="auto"/>
            </w:tcBorders>
            <w:hideMark/>
          </w:tcPr>
          <w:p w14:paraId="060DAC38"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.70</w:t>
            </w:r>
          </w:p>
        </w:tc>
      </w:tr>
      <w:tr w:rsidR="00F418EC" w:rsidRPr="00F418EC" w14:paraId="6681F873"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4164C0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6th decile</w:t>
            </w:r>
          </w:p>
        </w:tc>
        <w:tc>
          <w:tcPr>
            <w:tcW w:w="2142" w:type="dxa"/>
            <w:tcBorders>
              <w:top w:val="single" w:sz="4" w:space="0" w:color="auto"/>
              <w:left w:val="single" w:sz="4" w:space="0" w:color="auto"/>
              <w:bottom w:val="single" w:sz="4" w:space="0" w:color="auto"/>
              <w:right w:val="single" w:sz="4" w:space="0" w:color="auto"/>
            </w:tcBorders>
            <w:hideMark/>
          </w:tcPr>
          <w:p w14:paraId="513B2ED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.60</w:t>
            </w:r>
          </w:p>
        </w:tc>
      </w:tr>
      <w:tr w:rsidR="00F418EC" w:rsidRPr="00F418EC" w14:paraId="72D56B5E"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2325530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5th decile</w:t>
            </w:r>
          </w:p>
        </w:tc>
        <w:tc>
          <w:tcPr>
            <w:tcW w:w="2142" w:type="dxa"/>
            <w:tcBorders>
              <w:top w:val="single" w:sz="4" w:space="0" w:color="auto"/>
              <w:left w:val="single" w:sz="4" w:space="0" w:color="auto"/>
              <w:bottom w:val="single" w:sz="4" w:space="0" w:color="auto"/>
              <w:right w:val="single" w:sz="4" w:space="0" w:color="auto"/>
            </w:tcBorders>
            <w:hideMark/>
          </w:tcPr>
          <w:p w14:paraId="69EE3789"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.50</w:t>
            </w:r>
          </w:p>
        </w:tc>
      </w:tr>
      <w:tr w:rsidR="00F418EC" w:rsidRPr="00F418EC" w14:paraId="7302827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0084E4D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4th decile</w:t>
            </w:r>
          </w:p>
        </w:tc>
        <w:tc>
          <w:tcPr>
            <w:tcW w:w="2142" w:type="dxa"/>
            <w:tcBorders>
              <w:top w:val="single" w:sz="4" w:space="0" w:color="auto"/>
              <w:left w:val="single" w:sz="4" w:space="0" w:color="auto"/>
              <w:bottom w:val="single" w:sz="4" w:space="0" w:color="auto"/>
              <w:right w:val="single" w:sz="4" w:space="0" w:color="auto"/>
            </w:tcBorders>
            <w:hideMark/>
          </w:tcPr>
          <w:p w14:paraId="054CEBE6"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.40</w:t>
            </w:r>
          </w:p>
        </w:tc>
      </w:tr>
      <w:tr w:rsidR="00F418EC" w:rsidRPr="00F418EC" w14:paraId="00E466B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4253DF23"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3rd decile (Target attainment threshold)</w:t>
            </w:r>
          </w:p>
        </w:tc>
        <w:tc>
          <w:tcPr>
            <w:tcW w:w="2142" w:type="dxa"/>
            <w:tcBorders>
              <w:top w:val="single" w:sz="4" w:space="0" w:color="auto"/>
              <w:left w:val="single" w:sz="4" w:space="0" w:color="auto"/>
              <w:bottom w:val="single" w:sz="4" w:space="0" w:color="auto"/>
              <w:right w:val="single" w:sz="4" w:space="0" w:color="auto"/>
            </w:tcBorders>
            <w:hideMark/>
          </w:tcPr>
          <w:p w14:paraId="26A41C7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.30</w:t>
            </w:r>
          </w:p>
        </w:tc>
      </w:tr>
      <w:tr w:rsidR="00F418EC" w:rsidRPr="00F418EC" w14:paraId="0BAF1386"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544FC0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2nd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528677CF"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(zero)</w:t>
            </w:r>
          </w:p>
        </w:tc>
      </w:tr>
      <w:tr w:rsidR="00F418EC" w:rsidRPr="00F418EC" w14:paraId="2C3F4C28" w14:textId="77777777" w:rsidTr="00626941">
        <w:tc>
          <w:tcPr>
            <w:tcW w:w="4698" w:type="dxa"/>
            <w:tcBorders>
              <w:top w:val="single" w:sz="4" w:space="0" w:color="auto"/>
              <w:left w:val="single" w:sz="4" w:space="0" w:color="auto"/>
              <w:bottom w:val="single" w:sz="4" w:space="0" w:color="auto"/>
              <w:right w:val="single" w:sz="4" w:space="0" w:color="auto"/>
            </w:tcBorders>
            <w:hideMark/>
          </w:tcPr>
          <w:p w14:paraId="568CAE8E"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1st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6E11643C"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(zero)</w:t>
            </w:r>
          </w:p>
        </w:tc>
      </w:tr>
    </w:tbl>
    <w:p w14:paraId="135965D6" w14:textId="77777777" w:rsidR="00F418EC" w:rsidRPr="00F418EC" w:rsidRDefault="00F418EC" w:rsidP="00F418EC">
      <w:pPr>
        <w:spacing w:after="200"/>
        <w:ind w:left="1080"/>
        <w:rPr>
          <w:rFonts w:ascii="Times New Roman" w:eastAsiaTheme="minorHAnsi" w:hAnsi="Times New Roman"/>
          <w:spacing w:val="0"/>
          <w:szCs w:val="24"/>
        </w:rPr>
      </w:pPr>
    </w:p>
    <w:p w14:paraId="67A48B4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To meet the target attainment threshold, the Hospital’s disparity composite BGV value must be above the upper boundary of the 2nd decile. Disparity composite BGV values that are not above the upper boundary of the 2nd decile (i.e., fall into the 1st or 2nd decile) are assigned a conversion factor of zero. All disparity composite values that fall within the same given decile group are assigned the same conversion factor.</w:t>
      </w:r>
    </w:p>
    <w:p w14:paraId="2E7FCFAD"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Assessment.</w:t>
      </w:r>
      <w:r w:rsidRPr="00F418EC">
        <w:rPr>
          <w:rFonts w:ascii="Times New Roman" w:eastAsiaTheme="minorHAnsi" w:hAnsi="Times New Roman"/>
          <w:spacing w:val="0"/>
          <w:szCs w:val="24"/>
        </w:rPr>
        <w:t xml:space="preserve"> Each Hospital's performance on the safety outcomes measures will be assessed using methods described below.</w:t>
      </w:r>
    </w:p>
    <w:p w14:paraId="784EF21E"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Scoring Eligibility. </w:t>
      </w:r>
      <w:r w:rsidRPr="00F418EC">
        <w:rPr>
          <w:rFonts w:ascii="Times New Roman" w:eastAsiaTheme="minorHAnsi" w:hAnsi="Times New Roman"/>
          <w:spacing w:val="0"/>
          <w:szCs w:val="24"/>
        </w:rPr>
        <w:t xml:space="preserve"> The Hospital's safety outcomes measure category will be evaluated using both the Hospital’s PSI-90 composite value calculated as described in </w:t>
      </w:r>
      <w:r w:rsidRPr="00F418EC">
        <w:rPr>
          <w:rFonts w:ascii="Times New Roman" w:eastAsiaTheme="minorHAnsi" w:hAnsi="Times New Roman"/>
          <w:b/>
          <w:spacing w:val="0"/>
          <w:szCs w:val="24"/>
        </w:rPr>
        <w:t>Section 7.4.A.3</w:t>
      </w:r>
      <w:r w:rsidRPr="00F418EC">
        <w:rPr>
          <w:rFonts w:ascii="Times New Roman" w:eastAsiaTheme="minorHAnsi" w:hAnsi="Times New Roman"/>
          <w:spacing w:val="0"/>
          <w:szCs w:val="24"/>
        </w:rPr>
        <w:t xml:space="preserve">, as well as the Hospital’s SIR output values for each of the five HAI measures, </w:t>
      </w:r>
      <w:r w:rsidRPr="00F418EC">
        <w:rPr>
          <w:rFonts w:ascii="Times New Roman" w:eastAsiaTheme="minorHAnsi" w:hAnsi="Times New Roman"/>
          <w:spacing w:val="0"/>
          <w:szCs w:val="24"/>
        </w:rPr>
        <w:lastRenderedPageBreak/>
        <w:t xml:space="preserve">calculated in accordance with </w:t>
      </w:r>
      <w:r w:rsidRPr="00F418EC">
        <w:rPr>
          <w:rFonts w:ascii="Times New Roman" w:eastAsiaTheme="minorHAnsi" w:hAnsi="Times New Roman"/>
          <w:b/>
          <w:spacing w:val="0"/>
          <w:szCs w:val="24"/>
        </w:rPr>
        <w:t>section 7.4.A.4</w:t>
      </w:r>
      <w:r w:rsidRPr="00F418EC">
        <w:rPr>
          <w:rFonts w:ascii="Times New Roman" w:eastAsiaTheme="minorHAnsi" w:hAnsi="Times New Roman"/>
          <w:spacing w:val="0"/>
          <w:szCs w:val="24"/>
        </w:rPr>
        <w:t xml:space="preserve">. Each Hospital must meet the criteria for having sufficient data, as defined in </w:t>
      </w:r>
      <w:r w:rsidRPr="00F418EC">
        <w:rPr>
          <w:rFonts w:ascii="Times New Roman" w:eastAsiaTheme="minorHAnsi" w:hAnsi="Times New Roman"/>
          <w:b/>
          <w:spacing w:val="0"/>
          <w:szCs w:val="24"/>
        </w:rPr>
        <w:t>Section 7.4.A.3 or 7.4.A.4,</w:t>
      </w:r>
      <w:r w:rsidRPr="00F418EC">
        <w:rPr>
          <w:rFonts w:ascii="Times New Roman" w:eastAsiaTheme="minorHAnsi" w:hAnsi="Times New Roman"/>
          <w:spacing w:val="0"/>
          <w:szCs w:val="24"/>
        </w:rPr>
        <w:t xml:space="preserve"> as applicable, to be eligible for the Winsorized z-scoring method described below.</w:t>
      </w:r>
    </w:p>
    <w:p w14:paraId="07AB53AD"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Winsorization Method</w:t>
      </w:r>
      <w:r w:rsidRPr="00F418EC">
        <w:rPr>
          <w:rFonts w:ascii="Times New Roman" w:eastAsiaTheme="minorHAnsi" w:hAnsi="Times New Roman"/>
          <w:spacing w:val="0"/>
          <w:szCs w:val="24"/>
        </w:rPr>
        <w:t xml:space="preserve">.  Each Hospital’s performance will be assessed in comparison to all eligible Hospitals' values using the Winsorization method, which transforms each Hospital’s measure value into a standardized Winsor z-score using the steps described below.  Details on the Winsor z-scoring methods are further described in the EOHHS Technical Specifications Manual. </w:t>
      </w:r>
    </w:p>
    <w:p w14:paraId="52B5C12E" w14:textId="77777777" w:rsidR="00F418EC" w:rsidRPr="00F418EC" w:rsidRDefault="00F418EC" w:rsidP="00F418EC">
      <w:pPr>
        <w:numPr>
          <w:ilvl w:val="0"/>
          <w:numId w:val="17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Winsorized measure result is obtained by creating a continuous rank distribution of all eligible Hospitals' raw values, defined in </w:t>
      </w:r>
      <w:r w:rsidRPr="00F418EC">
        <w:rPr>
          <w:rFonts w:ascii="Times New Roman" w:eastAsiaTheme="minorHAnsi" w:hAnsi="Times New Roman"/>
          <w:b/>
          <w:spacing w:val="0"/>
          <w:szCs w:val="24"/>
        </w:rPr>
        <w:t>Section 7.4.E.1</w:t>
      </w:r>
      <w:r w:rsidRPr="00F418EC">
        <w:rPr>
          <w:rFonts w:ascii="Times New Roman" w:eastAsiaTheme="minorHAnsi" w:hAnsi="Times New Roman"/>
          <w:spacing w:val="0"/>
          <w:szCs w:val="24"/>
        </w:rPr>
        <w:t xml:space="preserve">, that are truncated at the 5th and 95th percentiles to determine the relative position of where each measure value falls in the distribution. Each Hospital’s Winsorized measure result is determined separately for the PSI-90 composite measure and for each of the five HAI measures, as follows: </w:t>
      </w:r>
    </w:p>
    <w:p w14:paraId="21C0D76E"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Hospital’s measure value falls between the minimum and the 5th percentile, then the Hospital’s Winsorized measure result is equal to the measure value that corresponds to the 5th percentile.</w:t>
      </w:r>
    </w:p>
    <w:p w14:paraId="7E156901"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Hospital's measure value falls between the 95th percentile and the maximum, then the Hospital’s Winsorized measure result is equal to the measure value that corresponds to the 95th percentile.</w:t>
      </w:r>
    </w:p>
    <w:p w14:paraId="166A4799" w14:textId="77777777" w:rsidR="00F418EC" w:rsidRPr="00F418EC" w:rsidRDefault="00F418EC" w:rsidP="00F418EC">
      <w:pPr>
        <w:numPr>
          <w:ilvl w:val="0"/>
          <w:numId w:val="17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If the Hospital's measure value falls between the 5th and 95th percentiles, then the Hospital's Winsorized measure result is equal to the Hospital’s measure value.</w:t>
      </w:r>
    </w:p>
    <w:p w14:paraId="0649725B"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w:t>
      </w:r>
      <w:r w:rsidRPr="00F418EC">
        <w:rPr>
          <w:rFonts w:ascii="Times New Roman" w:eastAsiaTheme="minorHAnsi" w:hAnsi="Times New Roman"/>
          <w:spacing w:val="0"/>
          <w:szCs w:val="24"/>
          <w:shd w:val="clear" w:color="auto" w:fill="FFFFFF"/>
        </w:rPr>
        <w:t>Winsor Z-score (</w:t>
      </w:r>
      <w:r w:rsidRPr="00F418EC">
        <w:rPr>
          <w:rFonts w:ascii="Times New Roman" w:eastAsiaTheme="minorHAnsi" w:hAnsi="Times New Roman"/>
          <w:spacing w:val="0"/>
          <w:szCs w:val="24"/>
        </w:rPr>
        <w:t>Z</w:t>
      </w:r>
      <w:r w:rsidRPr="00F418EC">
        <w:rPr>
          <w:rFonts w:ascii="Times New Roman" w:eastAsiaTheme="minorHAnsi" w:hAnsi="Times New Roman"/>
          <w:spacing w:val="0"/>
          <w:szCs w:val="24"/>
          <w:vertAlign w:val="subscript"/>
        </w:rPr>
        <w:t>i</w:t>
      </w:r>
      <w:r w:rsidRPr="00F418EC">
        <w:rPr>
          <w:rFonts w:ascii="Times New Roman" w:eastAsiaTheme="minorHAnsi" w:hAnsi="Times New Roman"/>
          <w:spacing w:val="0"/>
          <w:szCs w:val="24"/>
          <w:shd w:val="clear" w:color="auto" w:fill="FFFFFF"/>
        </w:rPr>
        <w:t xml:space="preserve">) </w:t>
      </w:r>
      <w:r w:rsidRPr="00F418EC">
        <w:rPr>
          <w:rFonts w:ascii="Times New Roman" w:eastAsiaTheme="minorHAnsi" w:hAnsi="Times New Roman"/>
          <w:spacing w:val="0"/>
          <w:szCs w:val="24"/>
        </w:rPr>
        <w:t>is calculated for each Hospital safety outcomes measure as the difference between the Hospital's Winsorized measure result (X</w:t>
      </w:r>
      <w:r w:rsidRPr="00F418EC">
        <w:rPr>
          <w:rFonts w:ascii="Times New Roman" w:eastAsiaTheme="minorHAnsi" w:hAnsi="Times New Roman"/>
          <w:spacing w:val="0"/>
          <w:szCs w:val="24"/>
          <w:vertAlign w:val="subscript"/>
        </w:rPr>
        <w:t>i</w:t>
      </w:r>
      <w:r w:rsidRPr="00F418EC">
        <w:rPr>
          <w:rFonts w:ascii="Times New Roman" w:eastAsiaTheme="minorHAnsi" w:hAnsi="Times New Roman"/>
          <w:spacing w:val="0"/>
          <w:szCs w:val="24"/>
        </w:rPr>
        <w:t>) and the mean Winsorized measure result across all eligible Hospitals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418EC">
        <w:rPr>
          <w:rFonts w:ascii="Times New Roman" w:eastAsiaTheme="minorHAnsi" w:hAnsi="Times New Roman"/>
          <w:spacing w:val="0"/>
          <w:szCs w:val="24"/>
        </w:rPr>
        <w:t>), which difference is divided by the standard deviation of the Winsorized  measure result from all eligible Hospitals' data (</w:t>
      </w:r>
      <w:r w:rsidRPr="00F418EC">
        <w:rPr>
          <w:rFonts w:eastAsiaTheme="minorHAnsi"/>
          <w:b/>
          <w:spacing w:val="0"/>
          <w:szCs w:val="24"/>
        </w:rPr>
        <w:t>SD</w:t>
      </w:r>
      <w:r w:rsidRPr="00F418EC">
        <w:rPr>
          <w:rFonts w:eastAsiaTheme="minorHAnsi"/>
          <w:b/>
          <w:spacing w:val="0"/>
          <w:szCs w:val="24"/>
          <w:vertAlign w:val="subscript"/>
        </w:rPr>
        <w:t xml:space="preserve"> </w:t>
      </w:r>
      <w:r w:rsidRPr="00F418EC">
        <w:rPr>
          <w:rFonts w:eastAsiaTheme="minorHAnsi"/>
          <w:b/>
          <w:spacing w:val="0"/>
          <w:szCs w:val="24"/>
        </w:rPr>
        <w:t>(x</w:t>
      </w:r>
      <w:r w:rsidRPr="00F418EC">
        <w:rPr>
          <w:rFonts w:eastAsiaTheme="minorHAnsi"/>
          <w:b/>
          <w:spacing w:val="0"/>
          <w:szCs w:val="24"/>
          <w:vertAlign w:val="subscript"/>
        </w:rPr>
        <w:t>i</w:t>
      </w:r>
      <w:r w:rsidRPr="00F418EC">
        <w:rPr>
          <w:rFonts w:eastAsiaTheme="minorHAnsi"/>
          <w:b/>
          <w:spacing w:val="0"/>
          <w:szCs w:val="24"/>
        </w:rPr>
        <w:t xml:space="preserve">)) </w:t>
      </w:r>
      <w:r w:rsidRPr="00F418EC">
        <w:rPr>
          <w:rFonts w:ascii="Times New Roman" w:eastAsiaTheme="minorHAnsi" w:hAnsi="Times New Roman"/>
          <w:spacing w:val="0"/>
          <w:szCs w:val="24"/>
        </w:rPr>
        <w:t>using the following formula:</w:t>
      </w:r>
    </w:p>
    <w:p w14:paraId="4AB4C242" w14:textId="77777777" w:rsidR="00F418EC" w:rsidRPr="00F418EC" w:rsidRDefault="00F418EC" w:rsidP="00F418EC">
      <w:pPr>
        <w:spacing w:after="200"/>
        <w:ind w:left="2376" w:firstLine="504"/>
        <w:rPr>
          <w:rFonts w:ascii="Times New Roman" w:eastAsiaTheme="minorHAnsi" w:hAnsi="Times New Roman"/>
          <w:b/>
          <w:spacing w:val="0"/>
          <w:szCs w:val="24"/>
        </w:rPr>
      </w:pPr>
      <w:r w:rsidRPr="00F418EC">
        <w:rPr>
          <w:rFonts w:ascii="Times New Roman" w:eastAsiaTheme="minorHAnsi" w:hAnsi="Times New Roman"/>
          <w:b/>
          <w:spacing w:val="0"/>
          <w:szCs w:val="24"/>
        </w:rPr>
        <w:t>Measure Z</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 xml:space="preserve"> score = ((X</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 –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418EC">
        <w:rPr>
          <w:rFonts w:ascii="Times New Roman" w:eastAsiaTheme="minorHAnsi" w:hAnsi="Times New Roman"/>
          <w:b/>
          <w:spacing w:val="0"/>
          <w:szCs w:val="24"/>
        </w:rPr>
        <w:t>)) / SD (x</w:t>
      </w:r>
      <w:r w:rsidRPr="00F418EC">
        <w:rPr>
          <w:rFonts w:ascii="Times New Roman" w:eastAsiaTheme="minorHAnsi" w:hAnsi="Times New Roman"/>
          <w:b/>
          <w:spacing w:val="0"/>
          <w:szCs w:val="24"/>
          <w:vertAlign w:val="subscript"/>
        </w:rPr>
        <w:t>i</w:t>
      </w:r>
      <w:r w:rsidRPr="00F418EC">
        <w:rPr>
          <w:rFonts w:ascii="Times New Roman" w:eastAsiaTheme="minorHAnsi" w:hAnsi="Times New Roman"/>
          <w:b/>
          <w:spacing w:val="0"/>
          <w:szCs w:val="24"/>
        </w:rPr>
        <w:t>)</w:t>
      </w:r>
    </w:p>
    <w:p w14:paraId="138D3678"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Scoring.</w:t>
      </w:r>
      <w:r w:rsidRPr="00F418EC">
        <w:rPr>
          <w:rFonts w:ascii="Times New Roman" w:eastAsiaTheme="minorHAnsi" w:hAnsi="Times New Roman"/>
          <w:spacing w:val="0"/>
          <w:szCs w:val="24"/>
        </w:rPr>
        <w:t xml:space="preserve"> The Hospital’s Safety Outcome Measure Category performance will be evaluated using the z-scores assigned, per </w:t>
      </w:r>
      <w:r w:rsidRPr="00F418EC">
        <w:rPr>
          <w:rFonts w:ascii="Times New Roman" w:eastAsiaTheme="minorHAnsi" w:hAnsi="Times New Roman"/>
          <w:b/>
          <w:spacing w:val="0"/>
          <w:szCs w:val="24"/>
        </w:rPr>
        <w:t>Section 7.4.E.2,</w:t>
      </w:r>
      <w:r w:rsidRPr="00F418EC">
        <w:rPr>
          <w:rFonts w:ascii="Times New Roman" w:eastAsiaTheme="minorHAnsi" w:hAnsi="Times New Roman"/>
          <w:spacing w:val="0"/>
          <w:szCs w:val="24"/>
        </w:rPr>
        <w:t xml:space="preserve"> and is calculated as the equally weighted average of the PSI-90 composite measure z-score and each HAI measure that has a z-score, using the methods described below. </w:t>
      </w:r>
    </w:p>
    <w:p w14:paraId="2B6F60ED" w14:textId="77777777" w:rsidR="00F418EC" w:rsidRPr="00F418EC" w:rsidRDefault="00F418EC" w:rsidP="00F418EC">
      <w:pPr>
        <w:numPr>
          <w:ilvl w:val="0"/>
          <w:numId w:val="17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Equal Measure Weights Method.</w:t>
      </w:r>
      <w:r w:rsidRPr="00F418EC">
        <w:rPr>
          <w:rFonts w:ascii="Times New Roman" w:eastAsiaTheme="minorHAnsi" w:hAnsi="Times New Roman"/>
          <w:spacing w:val="0"/>
          <w:szCs w:val="24"/>
        </w:rPr>
        <w:t xml:space="preserve"> The assigned weights that will apply to each safety measure z-score under the equal measure weights method are shown in </w:t>
      </w:r>
      <w:r w:rsidRPr="00F418EC">
        <w:rPr>
          <w:rFonts w:ascii="Times New Roman" w:eastAsiaTheme="minorHAnsi" w:hAnsi="Times New Roman"/>
          <w:b/>
          <w:spacing w:val="0"/>
          <w:szCs w:val="24"/>
        </w:rPr>
        <w:t>Table 7-3</w:t>
      </w:r>
      <w:r w:rsidRPr="00F418EC">
        <w:rPr>
          <w:rFonts w:ascii="Times New Roman" w:eastAsiaTheme="minorHAnsi" w:hAnsi="Times New Roman"/>
          <w:spacing w:val="0"/>
          <w:szCs w:val="24"/>
        </w:rPr>
        <w:t xml:space="preserve"> below.</w:t>
      </w:r>
    </w:p>
    <w:p w14:paraId="6AE63AF0" w14:textId="77777777" w:rsidR="00F418EC" w:rsidRPr="00F418EC" w:rsidRDefault="00F418EC" w:rsidP="00F418EC">
      <w:pPr>
        <w:spacing w:after="200" w:line="276" w:lineRule="auto"/>
        <w:jc w:val="both"/>
        <w:rPr>
          <w:rFonts w:ascii="Times New Roman" w:eastAsiaTheme="minorHAnsi" w:hAnsi="Times New Roman"/>
          <w:b/>
          <w:spacing w:val="0"/>
          <w:szCs w:val="24"/>
        </w:rPr>
      </w:pPr>
      <w:r w:rsidRPr="00F418EC">
        <w:rPr>
          <w:rFonts w:ascii="Times New Roman" w:eastAsiaTheme="minorHAnsi" w:hAnsi="Times New Roman"/>
          <w:spacing w:val="0"/>
          <w:szCs w:val="24"/>
        </w:rPr>
        <w:br w:type="page"/>
      </w:r>
    </w:p>
    <w:p w14:paraId="1D6FF709"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6" w:name="_Toc52374324"/>
      <w:r w:rsidRPr="00F418EC">
        <w:rPr>
          <w:rFonts w:ascii="Times New Roman" w:eastAsiaTheme="minorHAnsi" w:hAnsi="Times New Roman"/>
          <w:b/>
          <w:spacing w:val="0"/>
          <w:szCs w:val="24"/>
        </w:rPr>
        <w:lastRenderedPageBreak/>
        <w:t>Table 7-3 Safety Outcome Equal Measure Weights</w:t>
      </w:r>
      <w:bookmarkEnd w:id="96"/>
    </w:p>
    <w:tbl>
      <w:tblPr>
        <w:tblStyle w:val="TableGrid"/>
        <w:tblW w:w="0" w:type="auto"/>
        <w:tblInd w:w="1188" w:type="dxa"/>
        <w:tblLayout w:type="fixed"/>
        <w:tblLook w:val="04A0" w:firstRow="1" w:lastRow="0" w:firstColumn="1" w:lastColumn="0" w:noHBand="0" w:noVBand="1"/>
        <w:tblCaption w:val="Table 7-3  Safety Outcome Equal Measure Weights"/>
      </w:tblPr>
      <w:tblGrid>
        <w:gridCol w:w="2880"/>
        <w:gridCol w:w="1980"/>
        <w:gridCol w:w="2592"/>
      </w:tblGrid>
      <w:tr w:rsidR="00F418EC" w:rsidRPr="00F418EC" w14:paraId="29C37815" w14:textId="77777777" w:rsidTr="00626941">
        <w:trPr>
          <w:trHeight w:val="737"/>
          <w:tblHeader/>
        </w:trPr>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B64D2D5"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Number of HAI measures with  a z-score</w:t>
            </w:r>
          </w:p>
        </w:tc>
        <w:tc>
          <w:tcPr>
            <w:tcW w:w="19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5F928EC"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Weight applied to PSI-90</w:t>
            </w:r>
          </w:p>
        </w:tc>
        <w:tc>
          <w:tcPr>
            <w:tcW w:w="259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2A39CCF"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Weight applied to each HAI measure</w:t>
            </w:r>
          </w:p>
        </w:tc>
      </w:tr>
      <w:tr w:rsidR="00F418EC" w:rsidRPr="00F418EC" w14:paraId="2F34FF95"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4AE2910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0 (zero)</w:t>
            </w:r>
          </w:p>
        </w:tc>
        <w:tc>
          <w:tcPr>
            <w:tcW w:w="1980" w:type="dxa"/>
            <w:tcBorders>
              <w:top w:val="single" w:sz="4" w:space="0" w:color="auto"/>
              <w:left w:val="single" w:sz="4" w:space="0" w:color="auto"/>
              <w:bottom w:val="single" w:sz="4" w:space="0" w:color="auto"/>
              <w:right w:val="single" w:sz="4" w:space="0" w:color="auto"/>
            </w:tcBorders>
            <w:hideMark/>
          </w:tcPr>
          <w:p w14:paraId="70E2736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100.0</w:t>
            </w:r>
          </w:p>
        </w:tc>
        <w:tc>
          <w:tcPr>
            <w:tcW w:w="2592" w:type="dxa"/>
            <w:tcBorders>
              <w:top w:val="single" w:sz="4" w:space="0" w:color="auto"/>
              <w:left w:val="single" w:sz="4" w:space="0" w:color="auto"/>
              <w:bottom w:val="single" w:sz="4" w:space="0" w:color="auto"/>
              <w:right w:val="single" w:sz="4" w:space="0" w:color="auto"/>
            </w:tcBorders>
            <w:hideMark/>
          </w:tcPr>
          <w:p w14:paraId="3A717F7F"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Not applicable</w:t>
            </w:r>
          </w:p>
        </w:tc>
      </w:tr>
      <w:tr w:rsidR="00F418EC" w:rsidRPr="00F418EC" w14:paraId="2EA1623C"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1F3DC5C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w:t>
            </w:r>
          </w:p>
        </w:tc>
        <w:tc>
          <w:tcPr>
            <w:tcW w:w="1980" w:type="dxa"/>
            <w:tcBorders>
              <w:top w:val="single" w:sz="4" w:space="0" w:color="auto"/>
              <w:left w:val="single" w:sz="4" w:space="0" w:color="auto"/>
              <w:bottom w:val="single" w:sz="4" w:space="0" w:color="auto"/>
              <w:right w:val="single" w:sz="4" w:space="0" w:color="auto"/>
            </w:tcBorders>
            <w:hideMark/>
          </w:tcPr>
          <w:p w14:paraId="1FDA3F0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50.0</w:t>
            </w:r>
          </w:p>
        </w:tc>
        <w:tc>
          <w:tcPr>
            <w:tcW w:w="2592" w:type="dxa"/>
            <w:tcBorders>
              <w:top w:val="single" w:sz="4" w:space="0" w:color="auto"/>
              <w:left w:val="single" w:sz="4" w:space="0" w:color="auto"/>
              <w:bottom w:val="single" w:sz="4" w:space="0" w:color="auto"/>
              <w:right w:val="single" w:sz="4" w:space="0" w:color="auto"/>
            </w:tcBorders>
            <w:hideMark/>
          </w:tcPr>
          <w:p w14:paraId="12B115E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50.0</w:t>
            </w:r>
          </w:p>
        </w:tc>
      </w:tr>
      <w:tr w:rsidR="00F418EC" w:rsidRPr="00F418EC" w14:paraId="015F4297"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00425731"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w:t>
            </w:r>
          </w:p>
        </w:tc>
        <w:tc>
          <w:tcPr>
            <w:tcW w:w="1980" w:type="dxa"/>
            <w:tcBorders>
              <w:top w:val="single" w:sz="4" w:space="0" w:color="auto"/>
              <w:left w:val="single" w:sz="4" w:space="0" w:color="auto"/>
              <w:bottom w:val="single" w:sz="4" w:space="0" w:color="auto"/>
              <w:right w:val="single" w:sz="4" w:space="0" w:color="auto"/>
            </w:tcBorders>
            <w:hideMark/>
          </w:tcPr>
          <w:p w14:paraId="0C17998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33.3</w:t>
            </w:r>
          </w:p>
        </w:tc>
        <w:tc>
          <w:tcPr>
            <w:tcW w:w="2592" w:type="dxa"/>
            <w:tcBorders>
              <w:top w:val="single" w:sz="4" w:space="0" w:color="auto"/>
              <w:left w:val="single" w:sz="4" w:space="0" w:color="auto"/>
              <w:bottom w:val="single" w:sz="4" w:space="0" w:color="auto"/>
              <w:right w:val="single" w:sz="4" w:space="0" w:color="auto"/>
            </w:tcBorders>
            <w:hideMark/>
          </w:tcPr>
          <w:p w14:paraId="006A197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33.3</w:t>
            </w:r>
          </w:p>
        </w:tc>
      </w:tr>
      <w:tr w:rsidR="00F418EC" w:rsidRPr="00F418EC" w14:paraId="7FEB28BF"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3E8A3BB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3</w:t>
            </w:r>
          </w:p>
        </w:tc>
        <w:tc>
          <w:tcPr>
            <w:tcW w:w="1980" w:type="dxa"/>
            <w:tcBorders>
              <w:top w:val="single" w:sz="4" w:space="0" w:color="auto"/>
              <w:left w:val="single" w:sz="4" w:space="0" w:color="auto"/>
              <w:bottom w:val="single" w:sz="4" w:space="0" w:color="auto"/>
              <w:right w:val="single" w:sz="4" w:space="0" w:color="auto"/>
            </w:tcBorders>
            <w:hideMark/>
          </w:tcPr>
          <w:p w14:paraId="5821443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25.0</w:t>
            </w:r>
          </w:p>
        </w:tc>
        <w:tc>
          <w:tcPr>
            <w:tcW w:w="2592" w:type="dxa"/>
            <w:tcBorders>
              <w:top w:val="single" w:sz="4" w:space="0" w:color="auto"/>
              <w:left w:val="single" w:sz="4" w:space="0" w:color="auto"/>
              <w:bottom w:val="single" w:sz="4" w:space="0" w:color="auto"/>
              <w:right w:val="single" w:sz="4" w:space="0" w:color="auto"/>
            </w:tcBorders>
            <w:hideMark/>
          </w:tcPr>
          <w:p w14:paraId="0F425CB4"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25.0</w:t>
            </w:r>
          </w:p>
        </w:tc>
      </w:tr>
      <w:tr w:rsidR="00F418EC" w:rsidRPr="00F418EC" w14:paraId="5AC6FBD1"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7B8732E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4</w:t>
            </w:r>
          </w:p>
        </w:tc>
        <w:tc>
          <w:tcPr>
            <w:tcW w:w="1980" w:type="dxa"/>
            <w:tcBorders>
              <w:top w:val="single" w:sz="4" w:space="0" w:color="auto"/>
              <w:left w:val="single" w:sz="4" w:space="0" w:color="auto"/>
              <w:bottom w:val="single" w:sz="4" w:space="0" w:color="auto"/>
              <w:right w:val="single" w:sz="4" w:space="0" w:color="auto"/>
            </w:tcBorders>
            <w:hideMark/>
          </w:tcPr>
          <w:p w14:paraId="0CB8AA27"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20.0</w:t>
            </w:r>
          </w:p>
        </w:tc>
        <w:tc>
          <w:tcPr>
            <w:tcW w:w="2592" w:type="dxa"/>
            <w:tcBorders>
              <w:top w:val="single" w:sz="4" w:space="0" w:color="auto"/>
              <w:left w:val="single" w:sz="4" w:space="0" w:color="auto"/>
              <w:bottom w:val="single" w:sz="4" w:space="0" w:color="auto"/>
              <w:right w:val="single" w:sz="4" w:space="0" w:color="auto"/>
            </w:tcBorders>
            <w:hideMark/>
          </w:tcPr>
          <w:p w14:paraId="236452B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20.0</w:t>
            </w:r>
          </w:p>
        </w:tc>
      </w:tr>
      <w:tr w:rsidR="00F418EC" w:rsidRPr="00F418EC" w14:paraId="308CC879"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1EB774F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5</w:t>
            </w:r>
          </w:p>
        </w:tc>
        <w:tc>
          <w:tcPr>
            <w:tcW w:w="1980" w:type="dxa"/>
            <w:tcBorders>
              <w:top w:val="single" w:sz="4" w:space="0" w:color="auto"/>
              <w:left w:val="single" w:sz="4" w:space="0" w:color="auto"/>
              <w:bottom w:val="single" w:sz="4" w:space="0" w:color="auto"/>
              <w:right w:val="single" w:sz="4" w:space="0" w:color="auto"/>
            </w:tcBorders>
            <w:hideMark/>
          </w:tcPr>
          <w:p w14:paraId="7F0FF59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16.7</w:t>
            </w:r>
          </w:p>
        </w:tc>
        <w:tc>
          <w:tcPr>
            <w:tcW w:w="2592" w:type="dxa"/>
            <w:tcBorders>
              <w:top w:val="single" w:sz="4" w:space="0" w:color="auto"/>
              <w:left w:val="single" w:sz="4" w:space="0" w:color="auto"/>
              <w:bottom w:val="single" w:sz="4" w:space="0" w:color="auto"/>
              <w:right w:val="single" w:sz="4" w:space="0" w:color="auto"/>
            </w:tcBorders>
            <w:hideMark/>
          </w:tcPr>
          <w:p w14:paraId="224E4A8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16.7</w:t>
            </w:r>
          </w:p>
        </w:tc>
      </w:tr>
      <w:tr w:rsidR="00F418EC" w:rsidRPr="00F418EC" w14:paraId="600C5DF0" w14:textId="77777777" w:rsidTr="00626941">
        <w:trPr>
          <w:tblHeader/>
        </w:trPr>
        <w:tc>
          <w:tcPr>
            <w:tcW w:w="2880" w:type="dxa"/>
            <w:tcBorders>
              <w:top w:val="single" w:sz="4" w:space="0" w:color="auto"/>
              <w:left w:val="single" w:sz="4" w:space="0" w:color="auto"/>
              <w:bottom w:val="single" w:sz="4" w:space="0" w:color="auto"/>
              <w:right w:val="single" w:sz="4" w:space="0" w:color="auto"/>
            </w:tcBorders>
            <w:hideMark/>
          </w:tcPr>
          <w:p w14:paraId="23F397BC" w14:textId="4DF7187B"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Any number (1 through 5)</w:t>
            </w:r>
          </w:p>
        </w:tc>
        <w:tc>
          <w:tcPr>
            <w:tcW w:w="1980" w:type="dxa"/>
            <w:tcBorders>
              <w:top w:val="single" w:sz="4" w:space="0" w:color="auto"/>
              <w:left w:val="single" w:sz="4" w:space="0" w:color="auto"/>
              <w:bottom w:val="single" w:sz="4" w:space="0" w:color="auto"/>
              <w:right w:val="single" w:sz="4" w:space="0" w:color="auto"/>
            </w:tcBorders>
            <w:hideMark/>
          </w:tcPr>
          <w:p w14:paraId="5310CF9A"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Not applicable; no PSI-90 z-score</w:t>
            </w:r>
          </w:p>
        </w:tc>
        <w:tc>
          <w:tcPr>
            <w:tcW w:w="2592" w:type="dxa"/>
            <w:tcBorders>
              <w:top w:val="single" w:sz="4" w:space="0" w:color="auto"/>
              <w:left w:val="single" w:sz="4" w:space="0" w:color="auto"/>
              <w:bottom w:val="single" w:sz="4" w:space="0" w:color="auto"/>
              <w:right w:val="single" w:sz="4" w:space="0" w:color="auto"/>
            </w:tcBorders>
            <w:hideMark/>
          </w:tcPr>
          <w:p w14:paraId="46F92BA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100.0 equally divided </w:t>
            </w:r>
          </w:p>
        </w:tc>
      </w:tr>
    </w:tbl>
    <w:p w14:paraId="557CA9D6" w14:textId="77777777" w:rsidR="00F418EC" w:rsidRPr="00F418EC" w:rsidRDefault="00F418EC" w:rsidP="00F418EC">
      <w:pPr>
        <w:spacing w:after="200"/>
        <w:rPr>
          <w:rFonts w:ascii="Times New Roman" w:eastAsiaTheme="minorHAnsi" w:hAnsi="Times New Roman"/>
          <w:spacing w:val="0"/>
          <w:szCs w:val="24"/>
        </w:rPr>
      </w:pPr>
    </w:p>
    <w:p w14:paraId="2A8C54EE"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As shown in </w:t>
      </w:r>
      <w:r w:rsidRPr="00F418EC">
        <w:rPr>
          <w:rFonts w:ascii="Times New Roman" w:eastAsiaTheme="minorHAnsi" w:hAnsi="Times New Roman"/>
          <w:b/>
          <w:spacing w:val="0"/>
          <w:szCs w:val="24"/>
        </w:rPr>
        <w:t>Table 7-3</w:t>
      </w:r>
      <w:r w:rsidRPr="00F418EC">
        <w:rPr>
          <w:rFonts w:ascii="Times New Roman" w:eastAsiaTheme="minorHAnsi" w:hAnsi="Times New Roman"/>
          <w:spacing w:val="0"/>
          <w:szCs w:val="24"/>
        </w:rPr>
        <w:t xml:space="preserve">, the equal measure weights method assigns the same weight to the PSI-90 and to each of the five HAI measures for which the Hospital has a z-score. Following are examples. If the Hospital has a z-score for PSI-90 and for only one HAI measure, then the weight of 50 would be assigned to each measure z-score. If the Hospital has a z-score for PSI-90 and for three HAI measures, then the weight of 25 would be assigned to each measure z-score. If a Hospital has no PSI-90 z-score and one or more HAI measure z-scores, then the weight of 100 is equally divided among the HAI measure z-scores. If the Hospital has only one PSI-90 z-score and no HAI measure z-score, then a weight of 100 is given to the PSI-90 measure z-score. If the Hospital has no z-scores for any of the safety outcome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then it will not receive a safety outcome measure overall z-score.</w:t>
      </w:r>
    </w:p>
    <w:p w14:paraId="64A2EE4C" w14:textId="77777777" w:rsidR="00F418EC" w:rsidRPr="00F418EC" w:rsidRDefault="00F418EC" w:rsidP="00F418EC">
      <w:pPr>
        <w:numPr>
          <w:ilvl w:val="0"/>
          <w:numId w:val="174"/>
        </w:numPr>
        <w:spacing w:after="200" w:line="276" w:lineRule="auto"/>
        <w:contextualSpacing/>
        <w:rPr>
          <w:rFonts w:ascii="Times New Roman" w:eastAsiaTheme="minorHAnsi" w:hAnsi="Times New Roman"/>
          <w:spacing w:val="0"/>
          <w:szCs w:val="24"/>
        </w:rPr>
      </w:pPr>
      <w:r w:rsidRPr="00F418EC">
        <w:rPr>
          <w:rFonts w:ascii="Times New Roman" w:eastAsiaTheme="minorHAnsi" w:hAnsi="Times New Roman"/>
          <w:spacing w:val="0"/>
          <w:szCs w:val="24"/>
        </w:rPr>
        <w:t>Safety Outcomes Measure Category Overall z-score: The Hospital’s Safety Outcome Measure Category overall z-score (Z) is calculated as the equally weighted average of all measure z-scores, as indicated by the following formula:</w:t>
      </w:r>
    </w:p>
    <w:p w14:paraId="599CD085" w14:textId="77777777" w:rsidR="00F418EC" w:rsidRPr="00F418EC" w:rsidRDefault="00F418EC" w:rsidP="00F418EC">
      <w:pPr>
        <w:ind w:left="446"/>
        <w:rPr>
          <w:rFonts w:ascii="Times New Roman" w:eastAsiaTheme="minorHAnsi" w:hAnsi="Times New Roman"/>
          <w:spacing w:val="0"/>
          <w:sz w:val="22"/>
          <w:szCs w:val="22"/>
        </w:rPr>
      </w:pPr>
      <m:oMathPara>
        <m:oMath>
          <m:r>
            <w:rPr>
              <w:rFonts w:ascii="Cambria Math" w:eastAsiaTheme="minorHAnsi" w:hAnsi="Cambria Math"/>
              <w:spacing w:val="0"/>
              <w:sz w:val="22"/>
              <w:szCs w:val="22"/>
            </w:rPr>
            <m:t>(</m:t>
          </m:r>
          <m:f>
            <m:fPr>
              <m:type m:val="lin"/>
              <m:ctrlPr>
                <w:rPr>
                  <w:rFonts w:ascii="Cambria Math" w:eastAsiaTheme="minorHAnsi" w:hAnsi="Cambria Math"/>
                  <w:b/>
                  <w:spacing w:val="0"/>
                  <w:sz w:val="22"/>
                  <w:szCs w:val="22"/>
                </w:rPr>
              </m:ctrlPr>
            </m:fPr>
            <m:num>
              <m:r>
                <w:rPr>
                  <w:rFonts w:ascii="Cambria Math" w:eastAsiaTheme="minorHAnsi" w:hAnsi="Cambria Math"/>
                  <w:spacing w:val="0"/>
                  <w:sz w:val="22"/>
                  <w:szCs w:val="22"/>
                </w:rPr>
                <m:t xml:space="preserve">PSI90 z score+ </m:t>
              </m:r>
              <m:nary>
                <m:naryPr>
                  <m:chr m:val="∑"/>
                  <m:limLoc m:val="subSup"/>
                  <m:ctrlPr>
                    <w:rPr>
                      <w:rFonts w:ascii="Cambria Math" w:eastAsiaTheme="minorHAnsi" w:hAnsi="Cambria Math"/>
                      <w:b/>
                      <w:spacing w:val="0"/>
                      <w:sz w:val="22"/>
                      <w:szCs w:val="22"/>
                    </w:rPr>
                  </m:ctrlPr>
                </m:naryPr>
                <m:sub>
                  <m:r>
                    <w:rPr>
                      <w:rFonts w:ascii="Cambria Math" w:eastAsiaTheme="minorHAnsi" w:hAnsi="Cambria Math"/>
                      <w:spacing w:val="0"/>
                      <w:sz w:val="22"/>
                      <w:szCs w:val="22"/>
                    </w:rPr>
                    <m:t>i=1</m:t>
                  </m:r>
                </m:sub>
                <m:sup>
                  <m:r>
                    <w:rPr>
                      <w:rFonts w:ascii="Cambria Math" w:eastAsiaTheme="minorHAnsi" w:hAnsi="Cambria Math"/>
                      <w:spacing w:val="0"/>
                      <w:sz w:val="22"/>
                      <w:szCs w:val="22"/>
                    </w:rPr>
                    <m:t>Number of HAI</m:t>
                  </m:r>
                </m:sup>
                <m:e>
                  <m:sSub>
                    <m:sSubPr>
                      <m:ctrlPr>
                        <w:rPr>
                          <w:rFonts w:ascii="Cambria Math" w:eastAsiaTheme="minorHAnsi" w:hAnsi="Cambria Math"/>
                          <w:b/>
                          <w:spacing w:val="0"/>
                          <w:sz w:val="22"/>
                          <w:szCs w:val="22"/>
                        </w:rPr>
                      </m:ctrlPr>
                    </m:sSubPr>
                    <m:e>
                      <m:r>
                        <w:rPr>
                          <w:rFonts w:ascii="Cambria Math" w:eastAsiaTheme="minorHAnsi" w:hAnsi="Cambria Math"/>
                          <w:spacing w:val="0"/>
                          <w:sz w:val="22"/>
                          <w:szCs w:val="22"/>
                        </w:rPr>
                        <m:t>HAI z Score</m:t>
                      </m:r>
                    </m:e>
                    <m:sub>
                      <m:r>
                        <w:rPr>
                          <w:rFonts w:ascii="Cambria Math" w:eastAsiaTheme="minorHAnsi" w:hAnsi="Cambria Math"/>
                          <w:spacing w:val="0"/>
                          <w:sz w:val="22"/>
                          <w:szCs w:val="22"/>
                        </w:rPr>
                        <m:t>i</m:t>
                      </m:r>
                    </m:sub>
                  </m:sSub>
                  <m:r>
                    <w:rPr>
                      <w:rFonts w:ascii="Cambria Math" w:eastAsiaTheme="minorHAnsi" w:hAnsi="Cambria Math"/>
                      <w:spacing w:val="0"/>
                      <w:sz w:val="22"/>
                      <w:szCs w:val="22"/>
                    </w:rPr>
                    <m:t>)</m:t>
                  </m:r>
                </m:e>
              </m:nary>
              <m:r>
                <w:rPr>
                  <w:rFonts w:ascii="Cambria Math" w:eastAsiaTheme="minorHAnsi" w:hAnsi="Cambria Math"/>
                  <w:spacing w:val="0"/>
                  <w:sz w:val="22"/>
                  <w:szCs w:val="22"/>
                </w:rPr>
                <m:t xml:space="preserve"> </m:t>
              </m:r>
            </m:num>
            <m:den>
              <m:r>
                <w:rPr>
                  <w:rFonts w:ascii="Cambria Math" w:eastAsiaTheme="minorHAnsi" w:hAnsi="Cambria Math"/>
                  <w:spacing w:val="0"/>
                  <w:sz w:val="22"/>
                  <w:szCs w:val="22"/>
                </w:rPr>
                <m:t>(Number of HAI+Number of PSI 90)</m:t>
              </m:r>
            </m:den>
          </m:f>
        </m:oMath>
      </m:oMathPara>
    </w:p>
    <w:p w14:paraId="6FF86245" w14:textId="77777777" w:rsidR="00F418EC" w:rsidRPr="00F418EC" w:rsidRDefault="00F418EC" w:rsidP="00F418EC">
      <w:pPr>
        <w:spacing w:before="240" w:after="240"/>
        <w:ind w:left="1080"/>
        <w:rPr>
          <w:rFonts w:ascii="Times New Roman" w:eastAsiaTheme="minorHAnsi" w:hAnsi="Times New Roman"/>
          <w:spacing w:val="0"/>
          <w:szCs w:val="24"/>
        </w:rPr>
      </w:pPr>
      <w:r w:rsidRPr="00F418EC">
        <w:rPr>
          <w:rFonts w:ascii="Times New Roman" w:eastAsiaTheme="minorHAnsi" w:hAnsi="Times New Roman"/>
          <w:spacing w:val="0"/>
          <w:szCs w:val="24"/>
        </w:rPr>
        <w:t>The overall z-score is calculated as the sum of the PSI-90 z-score and each of the HAI z-scores, divided by the number of all available HAI z-scores plus PSI-90 z-scores. The overall z-score is rounded to six decimal places.</w:t>
      </w:r>
    </w:p>
    <w:p w14:paraId="26DED6BF" w14:textId="77777777" w:rsidR="00F418EC" w:rsidRPr="00F418EC" w:rsidRDefault="00F418EC" w:rsidP="00F418EC">
      <w:pPr>
        <w:numPr>
          <w:ilvl w:val="0"/>
          <w:numId w:val="17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Setting Threshold. The Hospital's performance on the Safety Outcomes Measure Category z-score is assessed using the methods described below.  </w:t>
      </w:r>
    </w:p>
    <w:p w14:paraId="4DE12398"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Interquartile Rank Method.</w:t>
      </w:r>
      <w:r w:rsidRPr="00F418EC">
        <w:rPr>
          <w:rFonts w:ascii="Times New Roman" w:eastAsiaTheme="minorHAnsi" w:hAnsi="Times New Roman"/>
          <w:spacing w:val="0"/>
          <w:szCs w:val="24"/>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511F5FA0"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Minimum Attainment Threshold.</w:t>
      </w:r>
      <w:r w:rsidRPr="00F418EC">
        <w:rPr>
          <w:rFonts w:ascii="Times New Roman" w:eastAsiaTheme="minorHAnsi" w:hAnsi="Times New Roman"/>
          <w:spacing w:val="0"/>
          <w:szCs w:val="24"/>
        </w:rPr>
        <w:t xml:space="preserve"> The Safety Outcomes Measure Category z-score threshold represents the minimum level of performance that must be attained to earn incentive payments. The minimum attainment threshold is defined as the lower </w:t>
      </w:r>
      <w:r w:rsidRPr="00F418EC">
        <w:rPr>
          <w:rFonts w:ascii="Times New Roman" w:eastAsiaTheme="minorHAnsi" w:hAnsi="Times New Roman"/>
          <w:spacing w:val="0"/>
          <w:szCs w:val="24"/>
        </w:rPr>
        <w:lastRenderedPageBreak/>
        <w:t xml:space="preserve">boundary for the overall safety outcomes measure z-score values that fall above the 1st quartile group. </w:t>
      </w:r>
    </w:p>
    <w:p w14:paraId="3BA45C0F" w14:textId="77777777" w:rsidR="00F418EC" w:rsidRPr="00F418EC" w:rsidRDefault="00F418EC" w:rsidP="00F418EC">
      <w:pPr>
        <w:numPr>
          <w:ilvl w:val="0"/>
          <w:numId w:val="17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Conversion Factor.</w:t>
      </w:r>
      <w:r w:rsidRPr="00F418EC">
        <w:rPr>
          <w:rFonts w:ascii="Times New Roman" w:eastAsiaTheme="minorHAnsi" w:hAnsi="Times New Roman"/>
          <w:spacing w:val="0"/>
          <w:szCs w:val="24"/>
        </w:rPr>
        <w:t xml:space="preserve">  Each quartile group is assigned a conversion factor as shown in Table 7-4 below.</w:t>
      </w:r>
    </w:p>
    <w:p w14:paraId="2B6C8A9C"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7" w:name="_Toc52374325"/>
      <w:r w:rsidRPr="00F418EC">
        <w:rPr>
          <w:rFonts w:ascii="Times New Roman" w:eastAsiaTheme="minorHAnsi" w:hAnsi="Times New Roman"/>
          <w:b/>
          <w:spacing w:val="0"/>
          <w:szCs w:val="24"/>
        </w:rPr>
        <w:t>Table 7-4 Quartile Group Thresholds</w:t>
      </w:r>
      <w:bookmarkEnd w:id="97"/>
    </w:p>
    <w:tbl>
      <w:tblPr>
        <w:tblStyle w:val="TableGrid2"/>
        <w:tblW w:w="0" w:type="auto"/>
        <w:tblInd w:w="1188" w:type="dxa"/>
        <w:tblLayout w:type="fixed"/>
        <w:tblLook w:val="04A0" w:firstRow="1" w:lastRow="0" w:firstColumn="1" w:lastColumn="0" w:noHBand="0" w:noVBand="1"/>
        <w:tblCaption w:val="Table 7-4 Quartile Group Thresholds"/>
      </w:tblPr>
      <w:tblGrid>
        <w:gridCol w:w="4950"/>
        <w:gridCol w:w="3150"/>
      </w:tblGrid>
      <w:tr w:rsidR="00F418EC" w:rsidRPr="00F418EC" w14:paraId="3595E471" w14:textId="77777777" w:rsidTr="00626941">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0E505E" w14:textId="77777777" w:rsidR="00F418EC" w:rsidRPr="00F418EC" w:rsidRDefault="00F418EC" w:rsidP="00F418EC">
            <w:pPr>
              <w:spacing w:after="200"/>
              <w:rPr>
                <w:rFonts w:ascii="Times New Roman" w:hAnsi="Times New Roman"/>
                <w:b/>
                <w:spacing w:val="0"/>
                <w:szCs w:val="24"/>
              </w:rPr>
            </w:pPr>
            <w:r w:rsidRPr="00F418EC">
              <w:rPr>
                <w:rFonts w:ascii="Times New Roman" w:hAnsi="Times New Roman"/>
                <w:b/>
                <w:spacing w:val="0"/>
                <w:szCs w:val="24"/>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2E3437" w14:textId="77777777" w:rsidR="00F418EC" w:rsidRPr="00F418EC" w:rsidRDefault="00F418EC" w:rsidP="00F418EC">
            <w:pPr>
              <w:spacing w:after="200"/>
              <w:rPr>
                <w:rFonts w:ascii="Times New Roman" w:hAnsi="Times New Roman"/>
                <w:b/>
                <w:spacing w:val="0"/>
                <w:szCs w:val="24"/>
              </w:rPr>
            </w:pPr>
            <w:r w:rsidRPr="00F418EC">
              <w:rPr>
                <w:rFonts w:ascii="Times New Roman" w:hAnsi="Times New Roman"/>
                <w:b/>
                <w:spacing w:val="0"/>
                <w:szCs w:val="24"/>
              </w:rPr>
              <w:t xml:space="preserve">Conversion Factor </w:t>
            </w:r>
          </w:p>
        </w:tc>
      </w:tr>
      <w:tr w:rsidR="00F418EC" w:rsidRPr="00F418EC" w14:paraId="6FEB7770"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5269A14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4th Quartile  (Lower z-scores)</w:t>
            </w:r>
          </w:p>
        </w:tc>
        <w:tc>
          <w:tcPr>
            <w:tcW w:w="3150" w:type="dxa"/>
            <w:tcBorders>
              <w:top w:val="single" w:sz="4" w:space="0" w:color="auto"/>
              <w:left w:val="single" w:sz="4" w:space="0" w:color="auto"/>
              <w:bottom w:val="single" w:sz="4" w:space="0" w:color="auto"/>
              <w:right w:val="single" w:sz="4" w:space="0" w:color="auto"/>
            </w:tcBorders>
            <w:hideMark/>
          </w:tcPr>
          <w:p w14:paraId="395E40D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1.0</w:t>
            </w:r>
          </w:p>
        </w:tc>
      </w:tr>
      <w:tr w:rsidR="00F418EC" w:rsidRPr="00F418EC" w14:paraId="6EE5EF6E"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3751E804"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3rd  Quartile </w:t>
            </w:r>
          </w:p>
        </w:tc>
        <w:tc>
          <w:tcPr>
            <w:tcW w:w="3150" w:type="dxa"/>
            <w:tcBorders>
              <w:top w:val="single" w:sz="4" w:space="0" w:color="auto"/>
              <w:left w:val="single" w:sz="4" w:space="0" w:color="auto"/>
              <w:bottom w:val="single" w:sz="4" w:space="0" w:color="auto"/>
              <w:right w:val="single" w:sz="4" w:space="0" w:color="auto"/>
            </w:tcBorders>
            <w:hideMark/>
          </w:tcPr>
          <w:p w14:paraId="5C3EC3A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.75</w:t>
            </w:r>
          </w:p>
        </w:tc>
      </w:tr>
      <w:tr w:rsidR="00F418EC" w:rsidRPr="00F418EC" w14:paraId="2A277D21"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061F4D85"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2nd Quartile  (Minimum attainment threshold)</w:t>
            </w:r>
          </w:p>
        </w:tc>
        <w:tc>
          <w:tcPr>
            <w:tcW w:w="3150" w:type="dxa"/>
            <w:tcBorders>
              <w:top w:val="single" w:sz="4" w:space="0" w:color="auto"/>
              <w:left w:val="single" w:sz="4" w:space="0" w:color="auto"/>
              <w:bottom w:val="single" w:sz="4" w:space="0" w:color="auto"/>
              <w:right w:val="single" w:sz="4" w:space="0" w:color="auto"/>
            </w:tcBorders>
            <w:hideMark/>
          </w:tcPr>
          <w:p w14:paraId="79ED92D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.50</w:t>
            </w:r>
          </w:p>
        </w:tc>
      </w:tr>
      <w:tr w:rsidR="00F418EC" w:rsidRPr="00F418EC" w14:paraId="4CDE2E50" w14:textId="77777777" w:rsidTr="00626941">
        <w:tc>
          <w:tcPr>
            <w:tcW w:w="4950" w:type="dxa"/>
            <w:tcBorders>
              <w:top w:val="single" w:sz="4" w:space="0" w:color="auto"/>
              <w:left w:val="single" w:sz="4" w:space="0" w:color="auto"/>
              <w:bottom w:val="single" w:sz="4" w:space="0" w:color="auto"/>
              <w:right w:val="single" w:sz="4" w:space="0" w:color="auto"/>
            </w:tcBorders>
            <w:hideMark/>
          </w:tcPr>
          <w:p w14:paraId="47F81CDA"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1st Quartile  (Higher z-scores)</w:t>
            </w:r>
          </w:p>
        </w:tc>
        <w:tc>
          <w:tcPr>
            <w:tcW w:w="3150" w:type="dxa"/>
            <w:tcBorders>
              <w:top w:val="single" w:sz="4" w:space="0" w:color="auto"/>
              <w:left w:val="single" w:sz="4" w:space="0" w:color="auto"/>
              <w:bottom w:val="single" w:sz="4" w:space="0" w:color="auto"/>
              <w:right w:val="single" w:sz="4" w:space="0" w:color="auto"/>
            </w:tcBorders>
            <w:hideMark/>
          </w:tcPr>
          <w:p w14:paraId="1477A413"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(zero)</w:t>
            </w:r>
          </w:p>
        </w:tc>
      </w:tr>
    </w:tbl>
    <w:p w14:paraId="02A3A2DC" w14:textId="77777777" w:rsidR="00F418EC" w:rsidRPr="00F418EC" w:rsidRDefault="00F418EC" w:rsidP="00F418EC">
      <w:pPr>
        <w:spacing w:after="200"/>
        <w:rPr>
          <w:rFonts w:ascii="Times New Roman" w:eastAsiaTheme="minorHAnsi" w:hAnsi="Times New Roman"/>
          <w:spacing w:val="0"/>
          <w:szCs w:val="24"/>
        </w:rPr>
      </w:pPr>
    </w:p>
    <w:p w14:paraId="5AAB85B2"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To meet the minimum attainment threshold, the Hospital’s overall Safety Outcomes Measure Category z-score must be above the upper boundary of the 1st quartile (i.e., fall into the 2nd, 3rd, or 4th quartile).  A lower z-score represents better performance and a higher z-score represents worse performance. All values that fall within the same quartile group are assigned the same conversion factor. </w:t>
      </w:r>
    </w:p>
    <w:p w14:paraId="0134EB37"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Experience and Engagement Measure Category Performance Assessment. </w:t>
      </w:r>
      <w:r w:rsidRPr="00F418EC">
        <w:rPr>
          <w:rFonts w:ascii="Times New Roman" w:eastAsiaTheme="minorHAnsi" w:hAnsi="Times New Roman"/>
          <w:spacing w:val="0"/>
          <w:szCs w:val="24"/>
        </w:rPr>
        <w:t>The Hospital's performance for the Patient Experience and Engagement Measure Category will be assessed using methods described below.</w:t>
      </w:r>
    </w:p>
    <w:p w14:paraId="66305686"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Setting Performance Thresholds:</w:t>
      </w:r>
      <w:r w:rsidRPr="00F418EC">
        <w:rPr>
          <w:rFonts w:ascii="Times New Roman" w:eastAsiaTheme="minorHAnsi" w:hAnsi="Times New Roman"/>
          <w:spacing w:val="0"/>
          <w:szCs w:val="24"/>
        </w:rPr>
        <w:t xml:space="preserve"> Performance thresholds will be set, and the Hospital’s performance on each of the seven HCAHPS survey dimensions will be assessed on levels of attainment, improvement and benchmark using the same methods that apply to the individual clinical process measures as described in </w:t>
      </w:r>
      <w:r w:rsidRPr="00F418EC">
        <w:rPr>
          <w:rFonts w:ascii="Times New Roman" w:eastAsiaTheme="minorHAnsi" w:hAnsi="Times New Roman"/>
          <w:b/>
          <w:spacing w:val="0"/>
          <w:szCs w:val="24"/>
        </w:rPr>
        <w:t>Section 7.4.C.1</w:t>
      </w:r>
      <w:r w:rsidRPr="00F418EC">
        <w:rPr>
          <w:rFonts w:ascii="Times New Roman" w:eastAsiaTheme="minorHAnsi" w:hAnsi="Times New Roman"/>
          <w:spacing w:val="0"/>
          <w:szCs w:val="24"/>
        </w:rPr>
        <w:t>.</w:t>
      </w:r>
    </w:p>
    <w:p w14:paraId="67743FB3"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Quality Points Systems: </w:t>
      </w:r>
      <w:r w:rsidRPr="00F418EC">
        <w:rPr>
          <w:rFonts w:ascii="Times New Roman" w:eastAsiaTheme="minorHAnsi" w:hAnsi="Times New Roman"/>
          <w:spacing w:val="0"/>
          <w:szCs w:val="24"/>
        </w:rPr>
        <w:t xml:space="preserve"> The Hospital's performance on each survey dimension will be calculated using the same quality points system that applies to the individual clinical process measures as described in </w:t>
      </w:r>
      <w:r w:rsidRPr="00F418EC">
        <w:rPr>
          <w:rFonts w:ascii="Times New Roman" w:eastAsiaTheme="minorHAnsi" w:hAnsi="Times New Roman"/>
          <w:b/>
          <w:spacing w:val="0"/>
          <w:szCs w:val="24"/>
        </w:rPr>
        <w:t>Section 7.4.C.2</w:t>
      </w:r>
      <w:r w:rsidRPr="00F418EC">
        <w:rPr>
          <w:rFonts w:ascii="Times New Roman" w:eastAsiaTheme="minorHAnsi" w:hAnsi="Times New Roman"/>
          <w:spacing w:val="0"/>
          <w:szCs w:val="24"/>
        </w:rPr>
        <w:t xml:space="preserve">. </w:t>
      </w:r>
    </w:p>
    <w:p w14:paraId="71BCA658" w14:textId="77777777" w:rsidR="00F418EC" w:rsidRPr="00F418EC" w:rsidRDefault="00F418EC" w:rsidP="00F418EC">
      <w:pPr>
        <w:numPr>
          <w:ilvl w:val="0"/>
          <w:numId w:val="176"/>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Awarding Quality Points:</w:t>
      </w:r>
      <w:r w:rsidRPr="00F418EC">
        <w:rPr>
          <w:rFonts w:ascii="Times New Roman" w:eastAsiaTheme="minorHAnsi" w:hAnsi="Times New Roman"/>
          <w:spacing w:val="0"/>
          <w:szCs w:val="24"/>
        </w:rPr>
        <w:t xml:space="preserve">  Attainment and improvement points cannot be calculated and, if applicable, awarded to a Hospital unless it has previously established a baseline rate for each survey dimension, based on evidence from data files downloaded by EOHHS from the CMS Hospital Compare website. </w:t>
      </w:r>
    </w:p>
    <w:p w14:paraId="6D466285"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Attainment and benchmark performance thresholds on the HCAHPS survey dimensions are calculated using HCAHPS state-level data obtained from the CMS Hospital Compare website corresponding to the prior year period for this measure referenced in </w:t>
      </w:r>
      <w:r w:rsidRPr="00F418EC">
        <w:rPr>
          <w:rFonts w:ascii="Times New Roman" w:eastAsiaTheme="minorHAnsi" w:hAnsi="Times New Roman"/>
          <w:b/>
          <w:spacing w:val="0"/>
          <w:szCs w:val="24"/>
        </w:rPr>
        <w:t>Section 7.4.G.5</w:t>
      </w:r>
      <w:r w:rsidRPr="00F418EC">
        <w:rPr>
          <w:rFonts w:ascii="Times New Roman" w:eastAsiaTheme="minorHAnsi" w:hAnsi="Times New Roman"/>
          <w:spacing w:val="0"/>
          <w:szCs w:val="24"/>
        </w:rPr>
        <w:t>.</w:t>
      </w:r>
    </w:p>
    <w:p w14:paraId="403E7F87"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Performance Evaluation Periods.</w:t>
      </w:r>
      <w:r w:rsidRPr="00F418EC">
        <w:rPr>
          <w:rFonts w:ascii="Times New Roman" w:eastAsiaTheme="minorHAnsi" w:hAnsi="Times New Roman"/>
          <w:spacing w:val="0"/>
          <w:szCs w:val="24"/>
        </w:rPr>
        <w:t xml:space="preserve"> In RY21, the following performance evaluation periods apply to each performance measure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w:t>
      </w:r>
    </w:p>
    <w:p w14:paraId="38AF3795"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Individual Process Measures (MAT-4, NEWB-1, CCM-1, CCM-2, and CCM-3):</w:t>
      </w:r>
      <w:r w:rsidRPr="00F418EC">
        <w:rPr>
          <w:rFonts w:ascii="Times New Roman" w:eastAsiaTheme="minorHAnsi" w:hAnsi="Times New Roman"/>
          <w:spacing w:val="0"/>
          <w:szCs w:val="24"/>
        </w:rPr>
        <w:t xml:space="preserve">  Each individual process measure's performance will be evaluated using measures data reported for the third and fourth quarters of the calendar year 2020 discharge period (July 1, 2020 – December 31, 2020) and the reported data for the previous year discharge period (either January 1, 2019 to December 31, 2019 or January 1, 2019 to September 30, 2019, depending upon the data reported by the Hospital in RY20).  </w:t>
      </w:r>
    </w:p>
    <w:p w14:paraId="34F42B4B"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Disparity Composite Measure: </w:t>
      </w:r>
      <w:r w:rsidRPr="00F418EC">
        <w:rPr>
          <w:rFonts w:ascii="Times New Roman" w:eastAsiaTheme="minorHAnsi" w:hAnsi="Times New Roman"/>
          <w:bCs/>
          <w:spacing w:val="0"/>
          <w:szCs w:val="24"/>
        </w:rPr>
        <w:t xml:space="preserve">Each Hospital’s performance will be evaluated using all applicable individual process measures data reported, pursuant to </w:t>
      </w:r>
      <w:r w:rsidRPr="00F418EC">
        <w:rPr>
          <w:rFonts w:ascii="Times New Roman" w:eastAsiaTheme="minorHAnsi" w:hAnsi="Times New Roman"/>
          <w:b/>
          <w:spacing w:val="0"/>
          <w:szCs w:val="24"/>
        </w:rPr>
        <w:t>Section 7.4.A.2,</w:t>
      </w:r>
      <w:r w:rsidRPr="00F418EC">
        <w:rPr>
          <w:rFonts w:ascii="Times New Roman" w:eastAsiaTheme="minorHAnsi" w:hAnsi="Times New Roman"/>
          <w:bCs/>
          <w:spacing w:val="0"/>
          <w:szCs w:val="24"/>
        </w:rPr>
        <w:t xml:space="preserve"> for the 2020 discharge period only – namely the third and fourth quarters of calendar year 2020 (</w:t>
      </w:r>
      <w:r w:rsidRPr="00F418EC">
        <w:rPr>
          <w:rFonts w:ascii="Times New Roman" w:eastAsiaTheme="minorHAnsi" w:hAnsi="Times New Roman"/>
          <w:spacing w:val="0"/>
          <w:szCs w:val="24"/>
        </w:rPr>
        <w:t>July 1, 2020 – December 31, 2020</w:t>
      </w:r>
      <w:r w:rsidRPr="00F418EC">
        <w:rPr>
          <w:rFonts w:ascii="Times New Roman" w:eastAsiaTheme="minorHAnsi" w:hAnsi="Times New Roman"/>
          <w:bCs/>
          <w:spacing w:val="0"/>
          <w:szCs w:val="24"/>
        </w:rPr>
        <w:t xml:space="preserve">).  The decile ranking method evaluates performance on a year-by-year basis. Each year the Hospital’s performance rank will be determined using the decile ranking method described in </w:t>
      </w:r>
      <w:r w:rsidRPr="00F418EC">
        <w:rPr>
          <w:rFonts w:ascii="Times New Roman" w:eastAsiaTheme="minorHAnsi" w:hAnsi="Times New Roman"/>
          <w:b/>
          <w:spacing w:val="0"/>
          <w:szCs w:val="24"/>
        </w:rPr>
        <w:t>Section 7.4.D</w:t>
      </w:r>
      <w:r w:rsidRPr="00F418EC">
        <w:rPr>
          <w:rFonts w:ascii="Times New Roman" w:eastAsiaTheme="minorHAnsi" w:hAnsi="Times New Roman"/>
          <w:bCs/>
          <w:spacing w:val="0"/>
          <w:szCs w:val="24"/>
        </w:rPr>
        <w:t>.</w:t>
      </w:r>
    </w:p>
    <w:p w14:paraId="162D9FC2"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PSI-90 Composite Measure:</w:t>
      </w:r>
      <w:r w:rsidRPr="00F418EC">
        <w:rPr>
          <w:rFonts w:ascii="Times New Roman" w:eastAsiaTheme="minorHAnsi" w:hAnsi="Times New Roman"/>
          <w:spacing w:val="0"/>
          <w:szCs w:val="24"/>
        </w:rPr>
        <w:t xml:space="preserve">  Each Hospital’s PSI-90 composite measure performance will be evaluated using a 24 month (October 1, 2017 to September 30, 2019) discharge period collected from all Medicaid paid claims data, per </w:t>
      </w:r>
      <w:r w:rsidRPr="00F418EC">
        <w:rPr>
          <w:rFonts w:ascii="Times New Roman" w:eastAsiaTheme="minorHAnsi" w:hAnsi="Times New Roman"/>
          <w:b/>
          <w:spacing w:val="0"/>
          <w:szCs w:val="24"/>
        </w:rPr>
        <w:t>Section 7.3.C.2</w:t>
      </w:r>
      <w:r w:rsidRPr="00F418EC">
        <w:rPr>
          <w:rFonts w:ascii="Times New Roman" w:eastAsiaTheme="minorHAnsi" w:hAnsi="Times New Roman"/>
          <w:spacing w:val="0"/>
          <w:szCs w:val="24"/>
        </w:rPr>
        <w:t>, using the methods described in the EOHHS Technical Specifications Manual. The quartile ranking method described in</w:t>
      </w:r>
      <w:r w:rsidRPr="00F418EC">
        <w:rPr>
          <w:rFonts w:ascii="Times New Roman" w:eastAsiaTheme="minorHAnsi" w:hAnsi="Times New Roman"/>
          <w:b/>
          <w:spacing w:val="0"/>
          <w:szCs w:val="24"/>
        </w:rPr>
        <w:t xml:space="preserve"> Section 7.4.E.4</w:t>
      </w:r>
      <w:r w:rsidRPr="00F418EC">
        <w:rPr>
          <w:rFonts w:ascii="Times New Roman" w:eastAsiaTheme="minorHAnsi" w:hAnsi="Times New Roman"/>
          <w:spacing w:val="0"/>
          <w:szCs w:val="24"/>
        </w:rPr>
        <w:t xml:space="preserve"> evaluates performance using the defined period only and does not use comparison year data. </w:t>
      </w:r>
    </w:p>
    <w:p w14:paraId="6F56A233" w14:textId="77777777" w:rsidR="00F418EC" w:rsidRPr="00F418EC" w:rsidRDefault="00F418EC" w:rsidP="00F418EC">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Healthcare-Associated Infection Measures.</w:t>
      </w:r>
      <w:r w:rsidRPr="00F418EC">
        <w:rPr>
          <w:rFonts w:ascii="Times New Roman" w:eastAsiaTheme="minorHAnsi" w:hAnsi="Times New Roman"/>
          <w:spacing w:val="0"/>
          <w:szCs w:val="24"/>
        </w:rPr>
        <w:t xml:space="preserve">  Each Hospital’s HAI measure performance will be evaluated using a 24 month period (January 1, 2018 – December 31, 2019) of data collected from the CDC’s NHSN registry surveillance tracking system via the MassHealth NHSN Group, per </w:t>
      </w:r>
      <w:r w:rsidRPr="00F418EC">
        <w:rPr>
          <w:rFonts w:ascii="Times New Roman" w:eastAsiaTheme="minorHAnsi" w:hAnsi="Times New Roman"/>
          <w:b/>
          <w:spacing w:val="0"/>
          <w:szCs w:val="24"/>
        </w:rPr>
        <w:t>Section 7.3.A.2.b</w:t>
      </w:r>
      <w:r w:rsidRPr="00F418EC">
        <w:rPr>
          <w:rFonts w:ascii="Times New Roman" w:eastAsiaTheme="minorHAnsi" w:hAnsi="Times New Roman"/>
          <w:spacing w:val="0"/>
          <w:szCs w:val="24"/>
        </w:rPr>
        <w:t xml:space="preserve">, using the quartile ranking method described in </w:t>
      </w:r>
      <w:r w:rsidRPr="00F418EC">
        <w:rPr>
          <w:rFonts w:ascii="Times New Roman" w:eastAsiaTheme="minorHAnsi" w:hAnsi="Times New Roman"/>
          <w:b/>
          <w:spacing w:val="0"/>
          <w:szCs w:val="24"/>
        </w:rPr>
        <w:t>Section 7.4.E.4</w:t>
      </w:r>
      <w:r w:rsidRPr="00F418EC">
        <w:rPr>
          <w:rFonts w:ascii="Times New Roman" w:eastAsiaTheme="minorHAnsi" w:hAnsi="Times New Roman"/>
          <w:spacing w:val="0"/>
          <w:szCs w:val="24"/>
        </w:rPr>
        <w:t xml:space="preserve">. The 24-month data snapshot reflects the final results computed by the CDC. The quartile ranking method described in </w:t>
      </w:r>
      <w:r w:rsidRPr="00F418EC">
        <w:rPr>
          <w:rFonts w:ascii="Times New Roman" w:eastAsiaTheme="minorHAnsi" w:hAnsi="Times New Roman"/>
          <w:b/>
          <w:spacing w:val="0"/>
          <w:szCs w:val="24"/>
        </w:rPr>
        <w:t>Section 7.4.E.4</w:t>
      </w:r>
      <w:r w:rsidRPr="00F418EC">
        <w:rPr>
          <w:rFonts w:ascii="Times New Roman" w:eastAsiaTheme="minorHAnsi" w:hAnsi="Times New Roman"/>
          <w:spacing w:val="0"/>
          <w:szCs w:val="24"/>
        </w:rPr>
        <w:t xml:space="preserve"> evaluates performance each year using the defined data period only and does not use comparison year data. </w:t>
      </w:r>
    </w:p>
    <w:p w14:paraId="13518888" w14:textId="77777777" w:rsidR="008531AA" w:rsidRDefault="00F418EC" w:rsidP="008531AA">
      <w:pPr>
        <w:numPr>
          <w:ilvl w:val="0"/>
          <w:numId w:val="177"/>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Measure.</w:t>
      </w:r>
      <w:r w:rsidRPr="00F418EC">
        <w:rPr>
          <w:rFonts w:ascii="Times New Roman" w:eastAsiaTheme="minorHAnsi" w:hAnsi="Times New Roman"/>
          <w:spacing w:val="0"/>
          <w:szCs w:val="24"/>
        </w:rPr>
        <w:t xml:space="preserve"> Each Hospital’s HCAHPS patient survey dimensions will be evaluated using calendar year data for the comparison year discharge period (January 1, 2019 to December 31, 2019) and previous year (January 1, 2018 to December 31, 2018) collected from the CMS Hospital Compare website.  These 12 month data snapshots reflect the final result data files downloaded from the CMS Hospital Compare website after the national reporting correction deadlines associated with the measurement period have passed.</w:t>
      </w:r>
    </w:p>
    <w:p w14:paraId="409F9DAE" w14:textId="39EF984E" w:rsidR="00F418EC" w:rsidRPr="00F418EC" w:rsidRDefault="008531AA" w:rsidP="008531AA">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 </w:t>
      </w:r>
      <w:r w:rsidR="00F418EC" w:rsidRPr="00F418EC">
        <w:rPr>
          <w:rFonts w:ascii="Times New Roman" w:eastAsiaTheme="minorHAnsi" w:hAnsi="Times New Roman"/>
          <w:spacing w:val="0"/>
          <w:szCs w:val="24"/>
        </w:rPr>
        <w:t xml:space="preserve">For detailed information about performance measurement periods that apply to all quality measures, refer to the applicable EOHHS Technical Specifications Manual version listed in </w:t>
      </w:r>
      <w:r w:rsidR="00F418EC" w:rsidRPr="00F418EC">
        <w:rPr>
          <w:rFonts w:ascii="Times New Roman" w:eastAsiaTheme="minorHAnsi" w:hAnsi="Times New Roman"/>
          <w:b/>
          <w:spacing w:val="0"/>
          <w:szCs w:val="24"/>
        </w:rPr>
        <w:t>Table 7-6</w:t>
      </w:r>
      <w:r w:rsidR="00F418EC" w:rsidRPr="00F418EC">
        <w:rPr>
          <w:rFonts w:ascii="Times New Roman" w:eastAsiaTheme="minorHAnsi" w:hAnsi="Times New Roman"/>
          <w:spacing w:val="0"/>
          <w:szCs w:val="24"/>
        </w:rPr>
        <w:t xml:space="preserve">. </w:t>
      </w:r>
    </w:p>
    <w:p w14:paraId="4670FC92" w14:textId="77777777" w:rsidR="00F418EC" w:rsidRPr="00F418EC" w:rsidRDefault="00F418EC" w:rsidP="00F418EC">
      <w:pPr>
        <w:numPr>
          <w:ilvl w:val="0"/>
          <w:numId w:val="16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Performance Score Calculations. </w:t>
      </w:r>
      <w:r w:rsidRPr="00F418EC">
        <w:rPr>
          <w:rFonts w:ascii="Times New Roman" w:eastAsiaTheme="minorHAnsi" w:hAnsi="Times New Roman"/>
          <w:spacing w:val="0"/>
          <w:szCs w:val="24"/>
        </w:rPr>
        <w:t xml:space="preserve">A Hospital’s performance score for the performance measures listed in </w:t>
      </w:r>
      <w:r w:rsidRPr="00F418EC">
        <w:rPr>
          <w:rFonts w:ascii="Times New Roman" w:eastAsiaTheme="minorHAnsi" w:hAnsi="Times New Roman"/>
          <w:b/>
          <w:spacing w:val="0"/>
          <w:szCs w:val="24"/>
        </w:rPr>
        <w:t xml:space="preserve">Table 7-1 </w:t>
      </w:r>
      <w:r w:rsidRPr="00F418EC">
        <w:rPr>
          <w:rFonts w:ascii="Times New Roman" w:eastAsiaTheme="minorHAnsi" w:hAnsi="Times New Roman"/>
          <w:spacing w:val="0"/>
          <w:szCs w:val="24"/>
        </w:rPr>
        <w:t xml:space="preserve">and described in </w:t>
      </w:r>
      <w:r w:rsidRPr="00F418EC">
        <w:rPr>
          <w:rFonts w:ascii="Times New Roman" w:eastAsiaTheme="minorHAnsi" w:hAnsi="Times New Roman"/>
          <w:b/>
          <w:spacing w:val="0"/>
          <w:szCs w:val="24"/>
        </w:rPr>
        <w:t xml:space="preserve">Section 7.3 </w:t>
      </w:r>
      <w:r w:rsidRPr="00F418EC">
        <w:rPr>
          <w:rFonts w:ascii="Times New Roman" w:eastAsiaTheme="minorHAnsi" w:hAnsi="Times New Roman"/>
          <w:spacing w:val="0"/>
          <w:szCs w:val="24"/>
        </w:rPr>
        <w:t xml:space="preserve">will be computed using the methods described below. </w:t>
      </w:r>
    </w:p>
    <w:p w14:paraId="77963724" w14:textId="77777777" w:rsidR="00F418EC" w:rsidRPr="00F418EC" w:rsidRDefault="00F418EC" w:rsidP="00F418EC">
      <w:pPr>
        <w:numPr>
          <w:ilvl w:val="0"/>
          <w:numId w:val="17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Individual Process Measures Performance Score.</w:t>
      </w:r>
      <w:r w:rsidRPr="00F418EC">
        <w:rPr>
          <w:rFonts w:ascii="Times New Roman" w:eastAsiaTheme="minorHAnsi" w:hAnsi="Times New Roman"/>
          <w:spacing w:val="0"/>
          <w:szCs w:val="24"/>
        </w:rPr>
        <w:t xml:space="preserve"> A Hospital’s performance score, for each individual process measure on which it is eligible to report, is calculated </w:t>
      </w:r>
      <w:r w:rsidRPr="00F418EC">
        <w:rPr>
          <w:rFonts w:ascii="Times New Roman" w:eastAsiaTheme="minorHAnsi" w:hAnsi="Times New Roman"/>
          <w:spacing w:val="0"/>
          <w:szCs w:val="24"/>
        </w:rPr>
        <w:lastRenderedPageBreak/>
        <w:t xml:space="preserve">based on the quality point system methods outlined in </w:t>
      </w:r>
      <w:r w:rsidRPr="00F418EC">
        <w:rPr>
          <w:rFonts w:ascii="Times New Roman" w:eastAsiaTheme="minorHAnsi" w:hAnsi="Times New Roman"/>
          <w:b/>
          <w:spacing w:val="0"/>
          <w:szCs w:val="24"/>
        </w:rPr>
        <w:t>Section 7.4.C.</w:t>
      </w:r>
      <w:r w:rsidRPr="00F418EC">
        <w:rPr>
          <w:rFonts w:ascii="Times New Roman" w:eastAsiaTheme="minorHAnsi" w:hAnsi="Times New Roman"/>
          <w:spacing w:val="0"/>
          <w:szCs w:val="24"/>
        </w:rPr>
        <w:t xml:space="preserve">  The following methods apply to computing the points earned for the individual process measures: </w:t>
      </w:r>
    </w:p>
    <w:p w14:paraId="58CE5291"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Attainment Points.</w:t>
      </w:r>
      <w:r w:rsidRPr="00F418EC">
        <w:rPr>
          <w:rFonts w:ascii="Times New Roman" w:eastAsiaTheme="minorHAnsi" w:hAnsi="Times New Roman"/>
          <w:spacing w:val="0"/>
          <w:szCs w:val="24"/>
        </w:rPr>
        <w:t xml:space="preserve">  The number of “attainment points” a Hospital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
        <w:tblW w:w="8280" w:type="dxa"/>
        <w:tblInd w:w="1548" w:type="dxa"/>
        <w:tblLook w:val="01E0" w:firstRow="1" w:lastRow="1" w:firstColumn="1" w:lastColumn="1" w:noHBand="0" w:noVBand="0"/>
        <w:tblCaption w:val="Formula"/>
      </w:tblPr>
      <w:tblGrid>
        <w:gridCol w:w="3780"/>
        <w:gridCol w:w="4500"/>
      </w:tblGrid>
      <w:tr w:rsidR="00F418EC" w:rsidRPr="00F418EC" w14:paraId="2D38080D" w14:textId="77777777" w:rsidTr="00626941">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7E42737E" w14:textId="77777777" w:rsidR="00F418EC" w:rsidRPr="00F418EC" w:rsidRDefault="00F418EC" w:rsidP="00F418EC">
            <w:pPr>
              <w:spacing w:after="200"/>
              <w:rPr>
                <w:rFonts w:ascii="Arial Narrow" w:hAnsi="Arial Narrow"/>
              </w:rPr>
            </w:pPr>
            <w:r w:rsidRPr="00F418EC">
              <w:rPr>
                <w:rFonts w:ascii="Arial Narrow" w:hAnsi="Arial Narrow"/>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56559B6A" w14:textId="77777777" w:rsidR="00F418EC" w:rsidRPr="00F418EC" w:rsidRDefault="00F418EC" w:rsidP="00F418EC">
            <w:pPr>
              <w:spacing w:after="200"/>
              <w:rPr>
                <w:rFonts w:ascii="Times New Roman" w:hAnsi="Times New Roman"/>
              </w:rPr>
            </w:pPr>
            <w:r w:rsidRPr="00F418EC">
              <w:rPr>
                <w:rFonts w:ascii="Arial Narrow" w:hAnsi="Arial Narrow"/>
              </w:rPr>
              <w:t>× 9 + 0.5 = Hospital’s Attainment Points Earned</w:t>
            </w:r>
            <w:r w:rsidRPr="00F418EC">
              <w:rPr>
                <w:rFonts w:ascii="Times New Roman" w:hAnsi="Times New Roman"/>
              </w:rPr>
              <w:t xml:space="preserve"> </w:t>
            </w:r>
          </w:p>
        </w:tc>
      </w:tr>
      <w:tr w:rsidR="00F418EC" w:rsidRPr="00F418EC" w14:paraId="7660336A" w14:textId="77777777" w:rsidTr="00626941">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5999ACB1" w14:textId="77777777" w:rsidR="00F418EC" w:rsidRPr="00F418EC" w:rsidRDefault="00F418EC" w:rsidP="00F418EC">
            <w:pPr>
              <w:spacing w:after="200"/>
              <w:rPr>
                <w:rFonts w:ascii="Arial Narrow" w:hAnsi="Arial Narrow"/>
              </w:rPr>
            </w:pPr>
            <w:r w:rsidRPr="00F418EC">
              <w:rPr>
                <w:rFonts w:ascii="Arial Narrow" w:hAnsi="Arial Narrow"/>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2F78F" w14:textId="77777777" w:rsidR="00F418EC" w:rsidRPr="00F418EC" w:rsidRDefault="00F418EC" w:rsidP="00F418EC">
            <w:pPr>
              <w:spacing w:after="200"/>
              <w:rPr>
                <w:rFonts w:ascii="Times New Roman" w:hAnsi="Times New Roman"/>
              </w:rPr>
            </w:pPr>
          </w:p>
        </w:tc>
      </w:tr>
    </w:tbl>
    <w:p w14:paraId="63A15D1F" w14:textId="77777777" w:rsidR="00F418EC" w:rsidRPr="00F418EC" w:rsidRDefault="00F418EC" w:rsidP="00F418EC">
      <w:pPr>
        <w:spacing w:after="200"/>
        <w:rPr>
          <w:rFonts w:ascii="Times New Roman" w:eastAsiaTheme="minorHAnsi" w:hAnsi="Times New Roman"/>
          <w:spacing w:val="0"/>
          <w:szCs w:val="24"/>
        </w:rPr>
      </w:pPr>
    </w:p>
    <w:p w14:paraId="407E5297"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Improvement Points.</w:t>
      </w:r>
      <w:r w:rsidRPr="00F418EC">
        <w:rPr>
          <w:rFonts w:ascii="Times New Roman" w:eastAsiaTheme="minorHAnsi" w:hAnsi="Times New Roman"/>
          <w:spacing w:val="0"/>
          <w:szCs w:val="24"/>
        </w:rPr>
        <w:t xml:space="preserve">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
        <w:tblW w:w="8730" w:type="dxa"/>
        <w:tblInd w:w="1458" w:type="dxa"/>
        <w:tblLook w:val="01E0" w:firstRow="1" w:lastRow="1" w:firstColumn="1" w:lastColumn="1" w:noHBand="0" w:noVBand="0"/>
        <w:tblCaption w:val="Formula"/>
      </w:tblPr>
      <w:tblGrid>
        <w:gridCol w:w="5130"/>
        <w:gridCol w:w="3600"/>
      </w:tblGrid>
      <w:tr w:rsidR="00F418EC" w:rsidRPr="00F418EC" w14:paraId="36A56996" w14:textId="77777777" w:rsidTr="00626941">
        <w:trPr>
          <w:tblHeader/>
        </w:trPr>
        <w:tc>
          <w:tcPr>
            <w:tcW w:w="5130" w:type="dxa"/>
            <w:tcBorders>
              <w:top w:val="single" w:sz="4" w:space="0" w:color="auto"/>
              <w:left w:val="single" w:sz="4" w:space="0" w:color="auto"/>
              <w:bottom w:val="single" w:sz="4" w:space="0" w:color="auto"/>
              <w:right w:val="single" w:sz="4" w:space="0" w:color="auto"/>
            </w:tcBorders>
            <w:hideMark/>
          </w:tcPr>
          <w:p w14:paraId="49334D03" w14:textId="77777777" w:rsidR="00F418EC" w:rsidRPr="00F418EC" w:rsidRDefault="00F418EC" w:rsidP="00F418EC">
            <w:pPr>
              <w:spacing w:after="200"/>
              <w:rPr>
                <w:rFonts w:ascii="Arial Narrow" w:hAnsi="Arial Narrow"/>
              </w:rPr>
            </w:pPr>
            <w:r w:rsidRPr="00F418EC">
              <w:rPr>
                <w:rFonts w:ascii="Arial Narrow" w:hAnsi="Arial Narrow"/>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501E43FB" w14:textId="77777777" w:rsidR="00F418EC" w:rsidRPr="00F418EC" w:rsidRDefault="00F418EC" w:rsidP="00F418EC">
            <w:pPr>
              <w:spacing w:after="200"/>
              <w:rPr>
                <w:rFonts w:ascii="Arial Narrow" w:hAnsi="Arial Narrow"/>
              </w:rPr>
            </w:pPr>
            <w:r w:rsidRPr="00F418EC">
              <w:rPr>
                <w:rFonts w:ascii="Arial Narrow" w:hAnsi="Arial Narrow"/>
              </w:rPr>
              <w:t xml:space="preserve">× 10 - 0.5 = Hospital’s Improvement </w:t>
            </w:r>
          </w:p>
          <w:p w14:paraId="3422D07F" w14:textId="77777777" w:rsidR="00F418EC" w:rsidRPr="00F418EC" w:rsidRDefault="00F418EC" w:rsidP="00F418EC">
            <w:pPr>
              <w:spacing w:after="200"/>
              <w:ind w:left="1062"/>
              <w:rPr>
                <w:rFonts w:ascii="Arial Narrow" w:hAnsi="Arial Narrow"/>
              </w:rPr>
            </w:pPr>
            <w:r w:rsidRPr="00F418EC">
              <w:rPr>
                <w:rFonts w:ascii="Arial Narrow" w:hAnsi="Arial Narrow"/>
              </w:rPr>
              <w:t>Points Earned</w:t>
            </w:r>
          </w:p>
        </w:tc>
      </w:tr>
      <w:tr w:rsidR="00F418EC" w:rsidRPr="00F418EC" w14:paraId="601EAEC6" w14:textId="77777777" w:rsidTr="00626941">
        <w:trPr>
          <w:tblHeader/>
        </w:trPr>
        <w:tc>
          <w:tcPr>
            <w:tcW w:w="5130" w:type="dxa"/>
            <w:tcBorders>
              <w:top w:val="single" w:sz="4" w:space="0" w:color="auto"/>
              <w:left w:val="single" w:sz="4" w:space="0" w:color="auto"/>
              <w:bottom w:val="single" w:sz="4" w:space="0" w:color="auto"/>
              <w:right w:val="single" w:sz="4" w:space="0" w:color="auto"/>
            </w:tcBorders>
            <w:hideMark/>
          </w:tcPr>
          <w:p w14:paraId="02D063FB" w14:textId="77777777" w:rsidR="00F418EC" w:rsidRPr="00F418EC" w:rsidRDefault="00F418EC" w:rsidP="00F418EC">
            <w:pPr>
              <w:spacing w:after="200"/>
              <w:rPr>
                <w:rFonts w:ascii="Arial Narrow" w:hAnsi="Arial Narrow"/>
              </w:rPr>
            </w:pPr>
            <w:r w:rsidRPr="00F418EC">
              <w:rPr>
                <w:rFonts w:ascii="Arial Narrow" w:hAnsi="Arial Narrow"/>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84869" w14:textId="77777777" w:rsidR="00F418EC" w:rsidRPr="00F418EC" w:rsidRDefault="00F418EC" w:rsidP="00F418EC">
            <w:pPr>
              <w:spacing w:after="200"/>
              <w:rPr>
                <w:rFonts w:ascii="Arial Narrow" w:hAnsi="Arial Narrow"/>
              </w:rPr>
            </w:pPr>
          </w:p>
        </w:tc>
      </w:tr>
    </w:tbl>
    <w:p w14:paraId="1423CF7A" w14:textId="77777777" w:rsidR="00F418EC" w:rsidRPr="00F418EC" w:rsidRDefault="00F418EC" w:rsidP="00F418EC">
      <w:pPr>
        <w:spacing w:after="200"/>
        <w:rPr>
          <w:rFonts w:ascii="Times New Roman" w:eastAsiaTheme="minorHAnsi" w:hAnsi="Times New Roman"/>
          <w:spacing w:val="0"/>
          <w:szCs w:val="24"/>
        </w:rPr>
      </w:pPr>
    </w:p>
    <w:p w14:paraId="3CDB443A"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All attainment and improvement points earned will be rounded to the nearest whole number (e.g., 3.3 = 3.0 and 3.5 = 4.0).</w:t>
      </w:r>
    </w:p>
    <w:p w14:paraId="42D534CB" w14:textId="77777777" w:rsidR="00F418EC" w:rsidRPr="00F418EC" w:rsidRDefault="00F418EC" w:rsidP="001A5D41">
      <w:pPr>
        <w:numPr>
          <w:ilvl w:val="0"/>
          <w:numId w:val="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Total Performance Score.</w:t>
      </w:r>
      <w:r w:rsidRPr="00F418EC">
        <w:rPr>
          <w:rFonts w:ascii="Times New Roman" w:eastAsiaTheme="minorHAnsi" w:hAnsi="Times New Roman"/>
          <w:spacing w:val="0"/>
          <w:szCs w:val="24"/>
        </w:rPr>
        <w:t xml:space="preserve">  The total performance score for the individual process measures that, collectively, comprise the Perinatal Quality Measure Category and the Care Coordination Measure Category is a percentage of quality points earned out of the total possible points. For each individual process measure, the quality points earned are calculated using the higher of the attainment or the improvement points earned. Those quality points earned for each individual process measure are summed to yield the total awarded quality points for each Quality Measure Category; the total awarded quality points is then divided by the total possible points, and then multiplied by 100% to obtain the total performance score for the Quality Measure Category, based on the following formula:</w:t>
      </w:r>
    </w:p>
    <w:tbl>
      <w:tblPr>
        <w:tblStyle w:val="TableGrid2"/>
        <w:tblW w:w="8172" w:type="dxa"/>
        <w:tblInd w:w="1548" w:type="dxa"/>
        <w:tblLook w:val="01E0" w:firstRow="1" w:lastRow="1" w:firstColumn="1" w:lastColumn="1" w:noHBand="0" w:noVBand="0"/>
        <w:tblCaption w:val="Formula"/>
      </w:tblPr>
      <w:tblGrid>
        <w:gridCol w:w="2823"/>
        <w:gridCol w:w="5349"/>
      </w:tblGrid>
      <w:tr w:rsidR="00F418EC" w:rsidRPr="00F418EC" w14:paraId="464A32C7" w14:textId="77777777" w:rsidTr="00626941">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085733C7" w14:textId="77777777" w:rsidR="00F418EC" w:rsidRPr="00F418EC" w:rsidRDefault="00F418EC" w:rsidP="00F418EC">
            <w:pPr>
              <w:spacing w:after="200"/>
              <w:rPr>
                <w:rFonts w:ascii="Arial Narrow" w:hAnsi="Arial Narrow"/>
              </w:rPr>
            </w:pPr>
            <w:r w:rsidRPr="00F418EC">
              <w:rPr>
                <w:rFonts w:ascii="Arial Narrow" w:hAnsi="Arial Narrow"/>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146A1F94" w14:textId="77777777" w:rsidR="00F418EC" w:rsidRPr="00F418EC" w:rsidRDefault="00F418EC" w:rsidP="00F418EC">
            <w:pPr>
              <w:spacing w:after="200"/>
              <w:rPr>
                <w:rFonts w:ascii="Arial Narrow" w:hAnsi="Arial Narrow"/>
              </w:rPr>
            </w:pPr>
            <w:r w:rsidRPr="00F418EC">
              <w:rPr>
                <w:rFonts w:ascii="Arial Narrow" w:hAnsi="Arial Narrow"/>
              </w:rPr>
              <w:t>× 100%  =</w:t>
            </w:r>
            <w:r w:rsidRPr="00F418EC">
              <w:rPr>
                <w:rFonts w:ascii="Times New Roman" w:hAnsi="Times New Roman"/>
              </w:rPr>
              <w:t xml:space="preserve"> </w:t>
            </w:r>
            <w:r w:rsidRPr="00F418EC">
              <w:rPr>
                <w:rFonts w:ascii="Arial Narrow" w:hAnsi="Arial Narrow"/>
              </w:rPr>
              <w:t xml:space="preserve">Perinatal and Care Coordination Measures Categories Total  Performance Score </w:t>
            </w:r>
          </w:p>
        </w:tc>
      </w:tr>
      <w:tr w:rsidR="00F418EC" w:rsidRPr="00F418EC" w14:paraId="68DF2825" w14:textId="77777777" w:rsidTr="00626941">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278AD71C" w14:textId="77777777" w:rsidR="00F418EC" w:rsidRPr="00F418EC" w:rsidRDefault="00F418EC" w:rsidP="00F418EC">
            <w:pPr>
              <w:spacing w:after="200"/>
              <w:rPr>
                <w:rFonts w:ascii="Arial Narrow" w:hAnsi="Arial Narrow"/>
              </w:rPr>
            </w:pPr>
            <w:r w:rsidRPr="00F418EC">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0658" w14:textId="77777777" w:rsidR="00F418EC" w:rsidRPr="00F418EC" w:rsidRDefault="00F418EC" w:rsidP="00F418EC">
            <w:pPr>
              <w:spacing w:after="200"/>
              <w:rPr>
                <w:rFonts w:ascii="Arial Narrow" w:hAnsi="Arial Narrow"/>
              </w:rPr>
            </w:pPr>
          </w:p>
        </w:tc>
      </w:tr>
    </w:tbl>
    <w:p w14:paraId="54140CE6" w14:textId="77777777" w:rsidR="00F418EC" w:rsidRPr="00F418EC" w:rsidRDefault="00F418EC" w:rsidP="00F418EC">
      <w:pPr>
        <w:spacing w:after="200"/>
        <w:rPr>
          <w:rFonts w:ascii="Times New Roman" w:eastAsiaTheme="minorHAnsi" w:hAnsi="Times New Roman"/>
          <w:spacing w:val="0"/>
          <w:szCs w:val="24"/>
        </w:rPr>
      </w:pPr>
    </w:p>
    <w:p w14:paraId="203FBE41" w14:textId="77777777" w:rsidR="00F418EC" w:rsidRPr="00F418EC" w:rsidRDefault="00F418EC" w:rsidP="00F418EC">
      <w:pPr>
        <w:numPr>
          <w:ilvl w:val="0"/>
          <w:numId w:val="180"/>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Health Disparity Composite Measure Performance Score.</w:t>
      </w:r>
      <w:r w:rsidRPr="00F418EC">
        <w:rPr>
          <w:rFonts w:ascii="Times New Roman" w:eastAsiaTheme="minorHAnsi" w:hAnsi="Times New Roman"/>
          <w:spacing w:val="0"/>
          <w:szCs w:val="24"/>
        </w:rPr>
        <w:t xml:space="preserve"> The performance score for the health disparity composite measure reflects the equivalent of the assigned </w:t>
      </w:r>
      <w:r w:rsidRPr="00F418EC">
        <w:rPr>
          <w:rFonts w:ascii="Times New Roman" w:eastAsiaTheme="minorHAnsi" w:hAnsi="Times New Roman"/>
          <w:spacing w:val="0"/>
          <w:szCs w:val="24"/>
        </w:rPr>
        <w:lastRenderedPageBreak/>
        <w:t xml:space="preserve">conversion factor, per </w:t>
      </w:r>
      <w:r w:rsidRPr="00F418EC">
        <w:rPr>
          <w:rFonts w:ascii="Times New Roman" w:eastAsiaTheme="minorHAnsi" w:hAnsi="Times New Roman"/>
          <w:b/>
          <w:spacing w:val="0"/>
          <w:szCs w:val="24"/>
        </w:rPr>
        <w:t>Section 7.4.D</w:t>
      </w:r>
      <w:r w:rsidRPr="00F418EC">
        <w:rPr>
          <w:rFonts w:ascii="Times New Roman" w:eastAsiaTheme="minorHAnsi" w:hAnsi="Times New Roman"/>
          <w:spacing w:val="0"/>
          <w:szCs w:val="24"/>
        </w:rPr>
        <w:t>, that is calculated based on the following formula:</w:t>
      </w:r>
    </w:p>
    <w:p w14:paraId="48729044"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 x 100% = Health Disparity Composite Measure Performance Score</w:t>
      </w:r>
    </w:p>
    <w:p w14:paraId="6E155392" w14:textId="77777777" w:rsidR="00F418EC" w:rsidRPr="00F418EC" w:rsidRDefault="00F418EC" w:rsidP="00F418EC">
      <w:pPr>
        <w:numPr>
          <w:ilvl w:val="0"/>
          <w:numId w:val="18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Safety Outcomes Measure Category Performance Score.</w:t>
      </w:r>
      <w:r w:rsidRPr="00F418EC">
        <w:rPr>
          <w:rFonts w:ascii="Times New Roman" w:eastAsiaTheme="minorHAnsi" w:hAnsi="Times New Roman"/>
          <w:spacing w:val="0"/>
          <w:szCs w:val="24"/>
        </w:rPr>
        <w:t xml:space="preserve">  The performance score for the Safety Outcomes Measure Category reflects the equivalent of the assigned conversion factor, per </w:t>
      </w:r>
      <w:r w:rsidRPr="00F418EC">
        <w:rPr>
          <w:rFonts w:ascii="Times New Roman" w:eastAsiaTheme="minorHAnsi" w:hAnsi="Times New Roman"/>
          <w:b/>
          <w:spacing w:val="0"/>
          <w:szCs w:val="24"/>
        </w:rPr>
        <w:t>Section 7.4.E</w:t>
      </w:r>
      <w:r w:rsidRPr="00F418EC">
        <w:rPr>
          <w:rFonts w:ascii="Times New Roman" w:eastAsiaTheme="minorHAnsi" w:hAnsi="Times New Roman"/>
          <w:spacing w:val="0"/>
          <w:szCs w:val="24"/>
        </w:rPr>
        <w:t>, that is calculated based on the following formula:</w:t>
      </w:r>
    </w:p>
    <w:p w14:paraId="43340432" w14:textId="77777777" w:rsidR="00F418EC" w:rsidRPr="00F418EC" w:rsidRDefault="00F418EC" w:rsidP="00F418EC">
      <w:pPr>
        <w:spacing w:after="200"/>
        <w:rPr>
          <w:rFonts w:ascii="Times New Roman" w:eastAsiaTheme="minorHAnsi" w:hAnsi="Times New Roman"/>
          <w:b/>
          <w:spacing w:val="0"/>
          <w:szCs w:val="24"/>
        </w:rPr>
      </w:pPr>
      <w:r w:rsidRPr="00F418EC">
        <w:rPr>
          <w:rFonts w:ascii="Times New Roman" w:eastAsiaTheme="minorHAnsi" w:hAnsi="Times New Roman"/>
          <w:b/>
          <w:spacing w:val="0"/>
          <w:szCs w:val="24"/>
        </w:rPr>
        <w:t>(Conversion Factor) x 100% = Safety Outcomes Measure Category Performance Score</w:t>
      </w:r>
    </w:p>
    <w:p w14:paraId="3D91CB41" w14:textId="77777777" w:rsidR="00F418EC" w:rsidRPr="00F418EC" w:rsidRDefault="00F418EC" w:rsidP="00F418EC">
      <w:pPr>
        <w:numPr>
          <w:ilvl w:val="0"/>
          <w:numId w:val="182"/>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Patient Experience and Engagement Quality Measure Category Performance Score. </w:t>
      </w:r>
      <w:r w:rsidRPr="00F418EC">
        <w:rPr>
          <w:rFonts w:ascii="Times New Roman" w:eastAsiaTheme="minorHAnsi" w:hAnsi="Times New Roman"/>
          <w:spacing w:val="0"/>
          <w:szCs w:val="24"/>
        </w:rPr>
        <w:t xml:space="preserve"> A Hospital’s performance score on each of the seven HCAHPS survey dimensions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 xml:space="preserve"> and described in </w:t>
      </w:r>
      <w:r w:rsidRPr="00F418EC">
        <w:rPr>
          <w:rFonts w:ascii="Times New Roman" w:eastAsiaTheme="minorHAnsi" w:hAnsi="Times New Roman"/>
          <w:b/>
          <w:spacing w:val="0"/>
          <w:szCs w:val="24"/>
        </w:rPr>
        <w:t>Section 7.3.A.3</w:t>
      </w:r>
      <w:r w:rsidRPr="00F418EC">
        <w:rPr>
          <w:rFonts w:ascii="Times New Roman" w:eastAsiaTheme="minorHAnsi" w:hAnsi="Times New Roman"/>
          <w:spacing w:val="0"/>
          <w:szCs w:val="24"/>
        </w:rPr>
        <w:t xml:space="preserve">, is calculated based on the quality point system methods referenced in </w:t>
      </w:r>
      <w:r w:rsidRPr="00F418EC">
        <w:rPr>
          <w:rFonts w:ascii="Times New Roman" w:eastAsiaTheme="minorHAnsi" w:hAnsi="Times New Roman"/>
          <w:b/>
          <w:spacing w:val="0"/>
          <w:szCs w:val="24"/>
        </w:rPr>
        <w:t>Section 7.4.F</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Section 7.4.H.1.a</w:t>
      </w:r>
      <w:r w:rsidRPr="00F418EC">
        <w:rPr>
          <w:rFonts w:ascii="Times New Roman" w:eastAsiaTheme="minorHAnsi" w:hAnsi="Times New Roman"/>
          <w:spacing w:val="0"/>
          <w:szCs w:val="24"/>
        </w:rPr>
        <w:t xml:space="preserve"> and </w:t>
      </w:r>
      <w:r w:rsidRPr="00F418EC">
        <w:rPr>
          <w:rFonts w:ascii="Times New Roman" w:eastAsiaTheme="minorHAnsi" w:hAnsi="Times New Roman"/>
          <w:b/>
          <w:spacing w:val="0"/>
          <w:szCs w:val="24"/>
        </w:rPr>
        <w:t>7.4.H.1.b</w:t>
      </w:r>
      <w:r w:rsidRPr="00F418EC">
        <w:rPr>
          <w:rFonts w:ascii="Times New Roman" w:eastAsiaTheme="minorHAnsi" w:hAnsi="Times New Roman"/>
          <w:spacing w:val="0"/>
          <w:szCs w:val="24"/>
        </w:rPr>
        <w:t xml:space="preserve">.  For these calculations, the “Previous Year” refers to the prior year period for this measure referenced in </w:t>
      </w:r>
      <w:r w:rsidRPr="00F418EC">
        <w:rPr>
          <w:rFonts w:ascii="Times New Roman" w:eastAsiaTheme="minorHAnsi" w:hAnsi="Times New Roman"/>
          <w:b/>
          <w:spacing w:val="0"/>
          <w:szCs w:val="24"/>
        </w:rPr>
        <w:t>Section 7.4.G.5</w:t>
      </w:r>
      <w:r w:rsidRPr="00F418EC">
        <w:rPr>
          <w:rFonts w:ascii="Times New Roman" w:eastAsiaTheme="minorHAnsi" w:hAnsi="Times New Roman"/>
          <w:spacing w:val="0"/>
          <w:szCs w:val="24"/>
        </w:rPr>
        <w:t>.</w:t>
      </w:r>
    </w:p>
    <w:p w14:paraId="1D2F5555" w14:textId="77777777" w:rsidR="00F418EC" w:rsidRPr="00F418EC" w:rsidRDefault="00F418EC" w:rsidP="00F418EC">
      <w:pPr>
        <w:spacing w:after="200"/>
        <w:ind w:left="1080"/>
        <w:rPr>
          <w:rFonts w:ascii="Times New Roman" w:eastAsiaTheme="minorHAnsi" w:hAnsi="Times New Roman"/>
          <w:spacing w:val="0"/>
          <w:szCs w:val="24"/>
        </w:rPr>
      </w:pPr>
      <w:r w:rsidRPr="00F418EC">
        <w:rPr>
          <w:rFonts w:ascii="Times New Roman" w:eastAsiaTheme="minorHAnsi" w:hAnsi="Times New Roman"/>
          <w:spacing w:val="0"/>
          <w:szCs w:val="24"/>
        </w:rPr>
        <w:t xml:space="preserve">All attainment and improvement points earned on each dimension will be calculated using the formulas for calculating attainment points and improvement points that are described in </w:t>
      </w:r>
      <w:r w:rsidRPr="00F418EC">
        <w:rPr>
          <w:rFonts w:ascii="Times New Roman" w:eastAsiaTheme="minorHAnsi" w:hAnsi="Times New Roman"/>
          <w:b/>
          <w:spacing w:val="0"/>
          <w:szCs w:val="24"/>
        </w:rPr>
        <w:t>Section 7.4.H.1.a and 7.4.H.1.b</w:t>
      </w:r>
      <w:r w:rsidRPr="00F418EC">
        <w:rPr>
          <w:rFonts w:ascii="Times New Roman" w:eastAsiaTheme="minorHAnsi" w:hAnsi="Times New Roman"/>
          <w:spacing w:val="0"/>
          <w:szCs w:val="24"/>
        </w:rPr>
        <w:t>.  All attainment and improvement points earned on each dimension will be rounded to the nearest whole number (e.g., 3.3 is rounded to 3.0 and 3.5 is rounded to 4.0).  For each dimension, the quality points awarded are the higher of the attainment or the improvement points earned.  The quality points awarded for the seven dimensions, as applicable, are then summed to determine the total awarded points. The total awarded quality points are divided by the total possible points, and then multiplied by 100% to obtain the total performance score for the Quality Measure Category, based on the following formula:</w:t>
      </w:r>
    </w:p>
    <w:tbl>
      <w:tblPr>
        <w:tblStyle w:val="TableGrid2"/>
        <w:tblW w:w="8730" w:type="dxa"/>
        <w:tblInd w:w="1458" w:type="dxa"/>
        <w:tblLook w:val="01E0" w:firstRow="1" w:lastRow="1" w:firstColumn="1" w:lastColumn="1" w:noHBand="0" w:noVBand="0"/>
        <w:tblCaption w:val="Formula"/>
      </w:tblPr>
      <w:tblGrid>
        <w:gridCol w:w="2430"/>
        <w:gridCol w:w="6300"/>
      </w:tblGrid>
      <w:tr w:rsidR="00F418EC" w:rsidRPr="00F418EC" w14:paraId="63C7D8D3" w14:textId="77777777" w:rsidTr="00626941">
        <w:trPr>
          <w:cantSplit/>
          <w:tblHeader/>
        </w:trPr>
        <w:tc>
          <w:tcPr>
            <w:tcW w:w="2430" w:type="dxa"/>
            <w:tcBorders>
              <w:top w:val="single" w:sz="4" w:space="0" w:color="auto"/>
              <w:left w:val="single" w:sz="4" w:space="0" w:color="auto"/>
              <w:bottom w:val="single" w:sz="4" w:space="0" w:color="auto"/>
              <w:right w:val="single" w:sz="4" w:space="0" w:color="auto"/>
            </w:tcBorders>
            <w:hideMark/>
          </w:tcPr>
          <w:p w14:paraId="3BE953C1" w14:textId="77777777" w:rsidR="00F418EC" w:rsidRPr="00F418EC" w:rsidRDefault="00F418EC" w:rsidP="00F418EC">
            <w:pPr>
              <w:jc w:val="center"/>
              <w:rPr>
                <w:rFonts w:ascii="Arial Narrow" w:hAnsi="Arial Narrow"/>
              </w:rPr>
            </w:pPr>
            <w:r w:rsidRPr="00F418EC">
              <w:rPr>
                <w:rFonts w:ascii="Arial Narrow" w:hAnsi="Arial Narrow"/>
              </w:rPr>
              <w:t xml:space="preserve">Total Awarded Points </w:t>
            </w:r>
          </w:p>
        </w:tc>
        <w:tc>
          <w:tcPr>
            <w:tcW w:w="6300" w:type="dxa"/>
            <w:vMerge w:val="restart"/>
            <w:tcBorders>
              <w:top w:val="single" w:sz="4" w:space="0" w:color="auto"/>
              <w:left w:val="single" w:sz="4" w:space="0" w:color="auto"/>
              <w:bottom w:val="single" w:sz="4" w:space="0" w:color="auto"/>
              <w:right w:val="single" w:sz="4" w:space="0" w:color="auto"/>
            </w:tcBorders>
            <w:vAlign w:val="center"/>
            <w:hideMark/>
          </w:tcPr>
          <w:p w14:paraId="013EDD99" w14:textId="77777777" w:rsidR="00F418EC" w:rsidRPr="00F418EC" w:rsidRDefault="00F418EC" w:rsidP="00F418EC">
            <w:pPr>
              <w:rPr>
                <w:rFonts w:ascii="Arial Narrow" w:hAnsi="Arial Narrow"/>
              </w:rPr>
            </w:pPr>
            <w:r w:rsidRPr="00F418EC">
              <w:rPr>
                <w:rFonts w:ascii="Arial Narrow" w:hAnsi="Arial Narrow"/>
              </w:rPr>
              <w:t xml:space="preserve">× 100%  =  Patient Experience and Engagement Quality Measure </w:t>
            </w:r>
            <w:r w:rsidRPr="00F418EC">
              <w:rPr>
                <w:rFonts w:ascii="Arial Narrow" w:hAnsi="Arial Narrow"/>
              </w:rPr>
              <w:tab/>
              <w:t xml:space="preserve">Category Total Performance Score </w:t>
            </w:r>
          </w:p>
        </w:tc>
      </w:tr>
      <w:tr w:rsidR="00F418EC" w:rsidRPr="00F418EC" w14:paraId="21754379" w14:textId="77777777" w:rsidTr="00626941">
        <w:trPr>
          <w:cantSplit/>
          <w:tblHeader/>
        </w:trPr>
        <w:tc>
          <w:tcPr>
            <w:tcW w:w="2430" w:type="dxa"/>
            <w:tcBorders>
              <w:top w:val="single" w:sz="4" w:space="0" w:color="auto"/>
              <w:left w:val="single" w:sz="4" w:space="0" w:color="auto"/>
              <w:bottom w:val="single" w:sz="4" w:space="0" w:color="auto"/>
              <w:right w:val="single" w:sz="4" w:space="0" w:color="auto"/>
            </w:tcBorders>
            <w:hideMark/>
          </w:tcPr>
          <w:p w14:paraId="04D5F0DF" w14:textId="77777777" w:rsidR="00F418EC" w:rsidRPr="00F418EC" w:rsidRDefault="00F418EC" w:rsidP="00F418EC">
            <w:pPr>
              <w:jc w:val="center"/>
              <w:rPr>
                <w:rFonts w:ascii="Arial Narrow" w:hAnsi="Arial Narrow"/>
              </w:rPr>
            </w:pPr>
            <w:r w:rsidRPr="00F418EC">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64E44" w14:textId="77777777" w:rsidR="00F418EC" w:rsidRPr="00F418EC" w:rsidRDefault="00F418EC" w:rsidP="00F418EC">
            <w:pPr>
              <w:rPr>
                <w:rFonts w:ascii="Arial Narrow" w:hAnsi="Arial Narrow"/>
              </w:rPr>
            </w:pPr>
          </w:p>
        </w:tc>
      </w:tr>
    </w:tbl>
    <w:p w14:paraId="2AAA3859" w14:textId="77777777" w:rsidR="00F418EC" w:rsidRPr="00F418EC" w:rsidRDefault="00F418EC" w:rsidP="00F418EC">
      <w:pPr>
        <w:spacing w:after="200"/>
        <w:rPr>
          <w:rFonts w:ascii="Times New Roman" w:eastAsiaTheme="minorHAnsi" w:hAnsi="Times New Roman"/>
          <w:spacing w:val="0"/>
          <w:szCs w:val="24"/>
        </w:rPr>
      </w:pPr>
    </w:p>
    <w:p w14:paraId="5F407B6F" w14:textId="2B6F83BD" w:rsidR="00F418EC" w:rsidRPr="00F418EC" w:rsidRDefault="00F418EC" w:rsidP="004277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outlineLvl w:val="1"/>
        <w:rPr>
          <w:rFonts w:ascii="Times New Roman" w:eastAsiaTheme="minorHAnsi" w:hAnsi="Times New Roman"/>
          <w:b/>
          <w:spacing w:val="0"/>
          <w:sz w:val="28"/>
          <w:szCs w:val="28"/>
        </w:rPr>
      </w:pPr>
      <w:bookmarkStart w:id="98" w:name="_Toc52374326"/>
      <w:r w:rsidRPr="00F418EC">
        <w:rPr>
          <w:rFonts w:ascii="Times New Roman" w:eastAsiaTheme="minorHAnsi" w:hAnsi="Times New Roman"/>
          <w:b/>
          <w:spacing w:val="0"/>
          <w:sz w:val="28"/>
          <w:szCs w:val="28"/>
        </w:rPr>
        <w:t>7.5</w:t>
      </w:r>
      <w:r w:rsidRPr="00F418EC">
        <w:rPr>
          <w:rFonts w:ascii="Times New Roman" w:eastAsiaTheme="minorHAnsi" w:hAnsi="Times New Roman"/>
          <w:b/>
          <w:spacing w:val="0"/>
          <w:sz w:val="28"/>
          <w:szCs w:val="28"/>
        </w:rPr>
        <w:tab/>
        <w:t>Pay-for-Performance (P4P) Incentive Payment Calculation Methods</w:t>
      </w:r>
      <w:bookmarkEnd w:id="98"/>
      <w:r w:rsidR="004277AF">
        <w:rPr>
          <w:rFonts w:ascii="Times New Roman" w:eastAsiaTheme="minorHAnsi" w:hAnsi="Times New Roman"/>
          <w:b/>
          <w:spacing w:val="0"/>
          <w:sz w:val="28"/>
          <w:szCs w:val="28"/>
        </w:rPr>
        <w:tab/>
      </w:r>
    </w:p>
    <w:p w14:paraId="47CC27A4"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As set forth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a Hospital may qualify to earn P4P incentive payments if it meets data completeness requirements, data validation and reliability requirements, and achieves performance thresholds for measures listed in </w:t>
      </w:r>
      <w:r w:rsidRPr="00F418EC">
        <w:rPr>
          <w:rFonts w:ascii="Times New Roman" w:eastAsiaTheme="minorHAnsi" w:hAnsi="Times New Roman"/>
          <w:b/>
          <w:spacing w:val="0"/>
          <w:szCs w:val="24"/>
        </w:rPr>
        <w:t>Section 7.3</w:t>
      </w:r>
      <w:r w:rsidRPr="00F418EC">
        <w:rPr>
          <w:rFonts w:ascii="Times New Roman" w:eastAsiaTheme="minorHAnsi" w:hAnsi="Times New Roman"/>
          <w:spacing w:val="0"/>
          <w:szCs w:val="24"/>
        </w:rPr>
        <w:t xml:space="preserve">. Each measure's performance is calculated using the data periods and methods outlined in </w:t>
      </w:r>
      <w:r w:rsidRPr="00F418EC">
        <w:rPr>
          <w:rFonts w:ascii="Times New Roman" w:eastAsiaTheme="minorHAnsi" w:hAnsi="Times New Roman"/>
          <w:b/>
          <w:spacing w:val="0"/>
          <w:szCs w:val="24"/>
        </w:rPr>
        <w:t>Section 7.4</w:t>
      </w:r>
      <w:r w:rsidRPr="00F418EC">
        <w:rPr>
          <w:rFonts w:ascii="Times New Roman" w:eastAsiaTheme="minorHAnsi" w:hAnsi="Times New Roman"/>
          <w:spacing w:val="0"/>
          <w:szCs w:val="24"/>
        </w:rPr>
        <w:t xml:space="preserve">, to produce performance scores that are converted into incentive payments.  This section describes the methods used to convert performance scores into hospital incentive payments. </w:t>
      </w:r>
    </w:p>
    <w:p w14:paraId="7E19A201" w14:textId="77777777" w:rsidR="00F418EC" w:rsidRPr="00F418EC" w:rsidRDefault="00F418EC" w:rsidP="00F418EC">
      <w:pPr>
        <w:numPr>
          <w:ilvl w:val="0"/>
          <w:numId w:val="18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Incentive Payment Approach.</w:t>
      </w:r>
      <w:r w:rsidRPr="00F418EC">
        <w:rPr>
          <w:rFonts w:ascii="Times New Roman" w:eastAsiaTheme="minorHAnsi" w:hAnsi="Times New Roman"/>
          <w:spacing w:val="0"/>
          <w:szCs w:val="24"/>
        </w:rPr>
        <w:t xml:space="preserve"> In RY21, incentive payment approaches will be based on pay-for-performance (P4P) for all measures listed in </w:t>
      </w:r>
      <w:r w:rsidRPr="00F418EC">
        <w:rPr>
          <w:rFonts w:ascii="Times New Roman" w:eastAsiaTheme="minorHAnsi" w:hAnsi="Times New Roman"/>
          <w:b/>
          <w:spacing w:val="0"/>
          <w:szCs w:val="24"/>
        </w:rPr>
        <w:t>Table 7-1</w:t>
      </w:r>
      <w:r w:rsidRPr="00F418EC">
        <w:rPr>
          <w:rFonts w:ascii="Times New Roman" w:eastAsiaTheme="minorHAnsi" w:hAnsi="Times New Roman"/>
          <w:spacing w:val="0"/>
          <w:szCs w:val="24"/>
        </w:rPr>
        <w:t>.</w:t>
      </w:r>
    </w:p>
    <w:p w14:paraId="386901FD" w14:textId="77777777" w:rsidR="00F418EC" w:rsidRPr="00F418EC" w:rsidRDefault="00F418EC" w:rsidP="00F418EC">
      <w:pPr>
        <w:numPr>
          <w:ilvl w:val="0"/>
          <w:numId w:val="18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Payment Calculations.</w:t>
      </w:r>
      <w:r w:rsidRPr="00F418EC">
        <w:rPr>
          <w:rFonts w:ascii="Times New Roman" w:eastAsiaTheme="minorHAnsi" w:hAnsi="Times New Roman"/>
          <w:spacing w:val="0"/>
          <w:szCs w:val="24"/>
        </w:rPr>
        <w:t xml:space="preserve">  Incentive payments will be calculated using the methods described below.</w:t>
      </w:r>
    </w:p>
    <w:p w14:paraId="2F7E2A0B" w14:textId="77777777" w:rsidR="00F418EC" w:rsidRPr="00F418EC" w:rsidRDefault="00F418EC" w:rsidP="00F418EC">
      <w:pPr>
        <w:numPr>
          <w:ilvl w:val="0"/>
          <w:numId w:val="184"/>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Maximum Allocated Amount</w:t>
      </w:r>
      <w:r w:rsidRPr="00F418EC">
        <w:rPr>
          <w:rFonts w:ascii="Times New Roman" w:eastAsiaTheme="minorHAnsi" w:hAnsi="Times New Roman"/>
          <w:spacing w:val="0"/>
          <w:szCs w:val="24"/>
        </w:rPr>
        <w:t xml:space="preserve">. Incentive payments under this </w:t>
      </w:r>
      <w:r w:rsidRPr="00F418EC">
        <w:rPr>
          <w:rFonts w:ascii="Times New Roman" w:eastAsiaTheme="minorHAnsi" w:hAnsi="Times New Roman"/>
          <w:b/>
          <w:spacing w:val="0"/>
          <w:szCs w:val="24"/>
        </w:rPr>
        <w:t>Section 7</w:t>
      </w:r>
      <w:r w:rsidRPr="00F418EC">
        <w:rPr>
          <w:rFonts w:ascii="Times New Roman" w:eastAsiaTheme="minorHAnsi" w:hAnsi="Times New Roman"/>
          <w:spacing w:val="0"/>
          <w:szCs w:val="24"/>
        </w:rPr>
        <w:t xml:space="preserve"> may cumulatively total no more than the maximum amount allotted by EOHHS for each Quality Measure Category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below.</w:t>
      </w:r>
    </w:p>
    <w:p w14:paraId="161FA763" w14:textId="77777777" w:rsidR="00F418EC" w:rsidRPr="00F418EC" w:rsidRDefault="00F418EC" w:rsidP="001A5D41">
      <w:pPr>
        <w:spacing w:after="200"/>
        <w:jc w:val="center"/>
        <w:outlineLvl w:val="2"/>
        <w:rPr>
          <w:rFonts w:ascii="Times New Roman" w:eastAsiaTheme="minorHAnsi" w:hAnsi="Times New Roman"/>
          <w:b/>
          <w:spacing w:val="0"/>
          <w:szCs w:val="24"/>
        </w:rPr>
      </w:pPr>
      <w:bookmarkStart w:id="99" w:name="_Toc52374327"/>
      <w:r w:rsidRPr="00F418EC">
        <w:rPr>
          <w:rFonts w:ascii="Times New Roman" w:eastAsiaTheme="minorHAnsi" w:hAnsi="Times New Roman"/>
          <w:b/>
          <w:spacing w:val="0"/>
          <w:szCs w:val="24"/>
        </w:rPr>
        <w:t>Table 7-5. Payment Calculation Components</w:t>
      </w:r>
      <w:bookmarkEnd w:id="99"/>
    </w:p>
    <w:tbl>
      <w:tblPr>
        <w:tblStyle w:val="TableGrid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F418EC" w:rsidRPr="00F418EC" w14:paraId="6B8D4E25" w14:textId="77777777" w:rsidTr="00626941">
        <w:trPr>
          <w:trHeight w:val="1169"/>
          <w:tblHeader/>
        </w:trPr>
        <w:tc>
          <w:tcPr>
            <w:tcW w:w="3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7654E11"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Quality Measure Category  </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470B87E"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Maximum Allocated Amount</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3629D34"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Estimated Eligible Medicaid Discharges</w:t>
            </w:r>
          </w:p>
        </w:tc>
        <w:tc>
          <w:tcPr>
            <w:tcW w:w="153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935AF28"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Estimated Per Discharge Amount</w:t>
            </w:r>
          </w:p>
        </w:tc>
      </w:tr>
      <w:tr w:rsidR="00F418EC" w:rsidRPr="00F418EC" w14:paraId="17EA3272" w14:textId="77777777" w:rsidTr="00626941">
        <w:trPr>
          <w:trHeight w:val="314"/>
        </w:trPr>
        <w:tc>
          <w:tcPr>
            <w:tcW w:w="3870" w:type="dxa"/>
            <w:tcBorders>
              <w:top w:val="single" w:sz="4" w:space="0" w:color="auto"/>
              <w:left w:val="single" w:sz="4" w:space="0" w:color="auto"/>
              <w:bottom w:val="single" w:sz="4" w:space="0" w:color="auto"/>
              <w:right w:val="single" w:sz="4" w:space="0" w:color="auto"/>
            </w:tcBorders>
            <w:vAlign w:val="center"/>
            <w:hideMark/>
          </w:tcPr>
          <w:p w14:paraId="26FBDF9F"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Perinatal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BEAC1B"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$ 5,500,000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8DD5D6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24,993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54165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$ 220.06</w:t>
            </w:r>
          </w:p>
        </w:tc>
      </w:tr>
      <w:tr w:rsidR="00F418EC" w:rsidRPr="00F418EC" w14:paraId="27BDE968"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E9DF84A"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Care Coordination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4ADD3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$ 8,500,000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145E05"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48,839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67A8A7"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$ 174.04</w:t>
            </w:r>
          </w:p>
        </w:tc>
      </w:tr>
      <w:tr w:rsidR="00F418EC" w:rsidRPr="00F418EC" w14:paraId="0E12D03D"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3BB0135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Health Disparity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E30BA1"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D42189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62,684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B5874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$ 31.91</w:t>
            </w:r>
          </w:p>
        </w:tc>
      </w:tr>
      <w:tr w:rsidR="00F418EC" w:rsidRPr="00F418EC" w14:paraId="4245B287"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2CB5ECC"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xml:space="preserve">Safety Outcome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007926"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3473C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22,295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49B8DC"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$ 201.84</w:t>
            </w:r>
          </w:p>
        </w:tc>
      </w:tr>
      <w:tr w:rsidR="00F418EC" w:rsidRPr="00F418EC" w14:paraId="5CCBE696"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6DEC06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Patient Experience and Engagement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873330"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C38C2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21,517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E3CA12"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$ 209.14</w:t>
            </w:r>
          </w:p>
        </w:tc>
      </w:tr>
      <w:tr w:rsidR="00F418EC" w:rsidRPr="00F418EC" w14:paraId="4699B289" w14:textId="77777777" w:rsidTr="00626941">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1559DE5D"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TOTAL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B44F68"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$25,000,000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7571669"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037483" w14:textId="77777777" w:rsidR="00F418EC" w:rsidRPr="00F418EC" w:rsidRDefault="00F418EC" w:rsidP="00F418EC">
            <w:pPr>
              <w:spacing w:after="200"/>
              <w:rPr>
                <w:rFonts w:ascii="Times New Roman" w:hAnsi="Times New Roman"/>
                <w:spacing w:val="0"/>
                <w:szCs w:val="24"/>
              </w:rPr>
            </w:pPr>
            <w:r w:rsidRPr="00F418EC">
              <w:rPr>
                <w:rFonts w:ascii="Times New Roman" w:hAnsi="Times New Roman"/>
                <w:spacing w:val="0"/>
                <w:szCs w:val="24"/>
              </w:rPr>
              <w:t>--</w:t>
            </w:r>
          </w:p>
        </w:tc>
      </w:tr>
    </w:tbl>
    <w:p w14:paraId="11630FA8" w14:textId="77777777" w:rsidR="00F418EC" w:rsidRPr="00F418EC" w:rsidRDefault="00F418EC" w:rsidP="00F418EC">
      <w:pPr>
        <w:numPr>
          <w:ilvl w:val="0"/>
          <w:numId w:val="184"/>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Eligible Medicaid Discharges.</w:t>
      </w:r>
      <w:r w:rsidRPr="00F418EC">
        <w:rPr>
          <w:rFonts w:ascii="Times New Roman" w:eastAsiaTheme="minorHAnsi" w:hAnsi="Times New Roman"/>
          <w:spacing w:val="0"/>
          <w:szCs w:val="24"/>
        </w:rPr>
        <w:t xml:space="preserve">  For purposes of </w:t>
      </w:r>
      <w:r w:rsidRPr="00F418EC">
        <w:rPr>
          <w:rFonts w:ascii="Times New Roman" w:eastAsiaTheme="minorHAnsi" w:hAnsi="Times New Roman"/>
          <w:b/>
          <w:spacing w:val="0"/>
          <w:szCs w:val="24"/>
        </w:rPr>
        <w:t>Section 7.5</w:t>
      </w:r>
      <w:r w:rsidRPr="00F418EC">
        <w:rPr>
          <w:rFonts w:ascii="Times New Roman" w:eastAsiaTheme="minorHAnsi" w:hAnsi="Times New Roman"/>
          <w:spacing w:val="0"/>
          <w:szCs w:val="24"/>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are calculated based on FY19 MMIS Discharge Data.  The actual final eligible Medicaid discharges and final per-discharge amount for each Quality Measure Category listed in </w:t>
      </w:r>
      <w:r w:rsidRPr="00F418EC">
        <w:rPr>
          <w:rFonts w:ascii="Times New Roman" w:eastAsiaTheme="minorHAnsi" w:hAnsi="Times New Roman"/>
          <w:b/>
          <w:spacing w:val="0"/>
          <w:szCs w:val="24"/>
        </w:rPr>
        <w:t xml:space="preserve">Table 7-5 </w:t>
      </w:r>
      <w:r w:rsidRPr="00F418EC">
        <w:rPr>
          <w:rFonts w:ascii="Times New Roman" w:eastAsiaTheme="minorHAnsi" w:hAnsi="Times New Roman"/>
          <w:spacing w:val="0"/>
          <w:szCs w:val="24"/>
        </w:rPr>
        <w:t xml:space="preserve">will be calculated based on FY20 MMIS Discharge Data, using the methods set forth in </w:t>
      </w:r>
      <w:r w:rsidRPr="00F418EC">
        <w:rPr>
          <w:rFonts w:ascii="Times New Roman" w:eastAsiaTheme="minorHAnsi" w:hAnsi="Times New Roman"/>
          <w:b/>
          <w:spacing w:val="0"/>
          <w:szCs w:val="24"/>
        </w:rPr>
        <w:t>Sections 7.5.B.2.a through 7.5.B.2.d</w:t>
      </w:r>
      <w:r w:rsidRPr="00F418EC">
        <w:rPr>
          <w:rFonts w:ascii="Times New Roman" w:eastAsiaTheme="minorHAnsi" w:hAnsi="Times New Roman"/>
          <w:spacing w:val="0"/>
          <w:szCs w:val="24"/>
        </w:rPr>
        <w:t xml:space="preserve">, below, as applicable. </w:t>
      </w:r>
    </w:p>
    <w:p w14:paraId="205C6A5D" w14:textId="77777777" w:rsidR="00F418EC" w:rsidRPr="00F418EC" w:rsidRDefault="00F418EC" w:rsidP="00F418EC">
      <w:pPr>
        <w:numPr>
          <w:ilvl w:val="0"/>
          <w:numId w:val="185"/>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and Care Coordination Quality Measure Categories:</w:t>
      </w:r>
      <w:r w:rsidRPr="00F418EC">
        <w:rPr>
          <w:rFonts w:ascii="Times New Roman" w:eastAsiaTheme="minorHAnsi" w:hAnsi="Times New Roman"/>
          <w:spacing w:val="0"/>
          <w:szCs w:val="24"/>
        </w:rPr>
        <w:t xml:space="preserve">  For the Perinatal and Care Coordination Quality Measure Categories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the final eligible Medicaid discharges will be determined based on the number of Hospital discharges in the FY20 MMIS Discharge Data (described in</w:t>
      </w:r>
      <w:r w:rsidRPr="00F418EC">
        <w:rPr>
          <w:rFonts w:ascii="Times New Roman" w:eastAsiaTheme="minorHAnsi" w:hAnsi="Times New Roman"/>
          <w:b/>
          <w:spacing w:val="0"/>
          <w:szCs w:val="24"/>
        </w:rPr>
        <w:t xml:space="preserve"> Section 7.5.B.2</w:t>
      </w:r>
      <w:r w:rsidRPr="00F418EC">
        <w:rPr>
          <w:rFonts w:ascii="Times New Roman" w:eastAsiaTheme="minorHAnsi" w:hAnsi="Times New Roman"/>
          <w:spacing w:val="0"/>
          <w:szCs w:val="24"/>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F418EC">
        <w:rPr>
          <w:rFonts w:ascii="Times New Roman" w:eastAsiaTheme="minorHAnsi" w:hAnsi="Times New Roman"/>
          <w:b/>
          <w:spacing w:val="0"/>
          <w:szCs w:val="24"/>
        </w:rPr>
        <w:t xml:space="preserve"> Section 7.3</w:t>
      </w:r>
      <w:r w:rsidRPr="00F418EC">
        <w:rPr>
          <w:rFonts w:ascii="Times New Roman" w:eastAsiaTheme="minorHAnsi" w:hAnsi="Times New Roman"/>
          <w:spacing w:val="0"/>
          <w:szCs w:val="24"/>
        </w:rPr>
        <w:t xml:space="preserve">, and that are included in the applicable Quality Measure Category. </w:t>
      </w:r>
    </w:p>
    <w:p w14:paraId="14692C75"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Health Disparity Quality Measure Category.</w:t>
      </w:r>
      <w:r w:rsidRPr="00F418EC">
        <w:rPr>
          <w:rFonts w:ascii="Times New Roman" w:eastAsiaTheme="minorHAnsi" w:hAnsi="Times New Roman"/>
          <w:spacing w:val="0"/>
          <w:szCs w:val="24"/>
        </w:rPr>
        <w:t xml:space="preserve">  The final eligible Medicaid discharges for the Health Disparity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will be determined based on the total number of “unique discharges” in the FY20 MMIS Discharge Data for the underlying individual process measures considered as a whole, so that each unique discharge is only counted once.  A unique discharge is a </w:t>
      </w:r>
      <w:r w:rsidRPr="00F418EC">
        <w:rPr>
          <w:rFonts w:ascii="Times New Roman" w:eastAsiaTheme="minorHAnsi" w:hAnsi="Times New Roman"/>
          <w:spacing w:val="0"/>
          <w:szCs w:val="24"/>
        </w:rPr>
        <w:lastRenderedPageBreak/>
        <w:t>single paid claim for a hospital discharge that meets the ICD population requirement for one or more of the individual process measures the hospital reported on, and that meets the criteria for the HD-2 composite measure calculation per</w:t>
      </w:r>
      <w:r w:rsidRPr="00F418EC">
        <w:rPr>
          <w:rFonts w:ascii="Times New Roman" w:eastAsiaTheme="minorHAnsi" w:hAnsi="Times New Roman"/>
          <w:b/>
          <w:spacing w:val="0"/>
          <w:szCs w:val="24"/>
        </w:rPr>
        <w:t xml:space="preserve"> Section 7.4.A.2</w:t>
      </w:r>
      <w:r w:rsidRPr="00F418EC">
        <w:rPr>
          <w:rFonts w:ascii="Times New Roman" w:eastAsiaTheme="minorHAnsi" w:hAnsi="Times New Roman"/>
          <w:spacing w:val="0"/>
          <w:szCs w:val="24"/>
        </w:rPr>
        <w:t xml:space="preserve">.  </w:t>
      </w:r>
    </w:p>
    <w:p w14:paraId="21DB4099"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Safety Outcomes Quality Measure P4P Category.</w:t>
      </w:r>
      <w:r w:rsidRPr="00F418EC">
        <w:rPr>
          <w:rFonts w:ascii="Times New Roman" w:eastAsiaTheme="minorHAnsi" w:hAnsi="Times New Roman"/>
          <w:spacing w:val="0"/>
          <w:szCs w:val="24"/>
        </w:rPr>
        <w:t xml:space="preserve">  For the Safety Outcomes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the final eligible Medicaid discharges will be determined based on the total number of Hospital discharges in the FY20 MMIS Discharge Data, as described in </w:t>
      </w:r>
      <w:r w:rsidRPr="00F418EC">
        <w:rPr>
          <w:rFonts w:ascii="Times New Roman" w:eastAsiaTheme="minorHAnsi" w:hAnsi="Times New Roman"/>
          <w:b/>
          <w:spacing w:val="0"/>
          <w:szCs w:val="24"/>
        </w:rPr>
        <w:t>Section 7.5.B.2</w:t>
      </w:r>
      <w:r w:rsidRPr="00F418EC">
        <w:rPr>
          <w:rFonts w:ascii="Times New Roman" w:eastAsiaTheme="minorHAnsi" w:hAnsi="Times New Roman"/>
          <w:spacing w:val="0"/>
          <w:szCs w:val="24"/>
        </w:rPr>
        <w:t xml:space="preserve">, which meet the medical and surgical All Payer Refined Diagnosis Related Group (APR-DRG) codes associated with AHRQ clinical measure specification manuals referenced in the EOHHS Technical Specifications Manual. </w:t>
      </w:r>
    </w:p>
    <w:p w14:paraId="7349FAFB" w14:textId="77777777" w:rsidR="00F418EC" w:rsidRPr="00F418EC" w:rsidRDefault="00F418EC" w:rsidP="00F418EC">
      <w:pPr>
        <w:numPr>
          <w:ilvl w:val="0"/>
          <w:numId w:val="185"/>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Patient Experience and Engagement Quality Measure P4P Category.</w:t>
      </w:r>
      <w:r w:rsidRPr="00F418EC">
        <w:rPr>
          <w:rFonts w:ascii="Times New Roman" w:eastAsiaTheme="minorHAnsi" w:hAnsi="Times New Roman"/>
          <w:spacing w:val="0"/>
          <w:szCs w:val="24"/>
        </w:rPr>
        <w:t xml:space="preserve">  For the Patient Experience and Engagement Quality Measure Category referenced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the final eligible Medicaid discharges will be determined based on the total number of Hospital discharges in the FY20 MMIS Discharge Data, as described in </w:t>
      </w:r>
      <w:r w:rsidRPr="00F418EC">
        <w:rPr>
          <w:rFonts w:ascii="Times New Roman" w:eastAsiaTheme="minorHAnsi" w:hAnsi="Times New Roman"/>
          <w:b/>
          <w:spacing w:val="0"/>
          <w:szCs w:val="24"/>
        </w:rPr>
        <w:t>Section 7.5.B.2</w:t>
      </w:r>
      <w:r w:rsidRPr="00F418EC">
        <w:rPr>
          <w:rFonts w:ascii="Times New Roman" w:eastAsiaTheme="minorHAnsi" w:hAnsi="Times New Roman"/>
          <w:spacing w:val="0"/>
          <w:szCs w:val="24"/>
        </w:rPr>
        <w:t>, which meet the medical, surgical, vaginal deliveries, and cesarean APR-DRG service line codes as referenced in the EOHHS Technical Specifications Manual.</w:t>
      </w:r>
    </w:p>
    <w:p w14:paraId="782E615F" w14:textId="77777777" w:rsidR="00F418EC" w:rsidRPr="00F418EC" w:rsidRDefault="00F418EC" w:rsidP="00F418EC">
      <w:pPr>
        <w:numPr>
          <w:ilvl w:val="0"/>
          <w:numId w:val="184"/>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P4P Quality Measure Category per-Discharge Amount.</w:t>
      </w:r>
      <w:r w:rsidRPr="00F418EC">
        <w:rPr>
          <w:rFonts w:ascii="Times New Roman" w:eastAsiaTheme="minorHAnsi" w:hAnsi="Times New Roman"/>
          <w:spacing w:val="0"/>
          <w:szCs w:val="24"/>
        </w:rPr>
        <w:t xml:space="preserve">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above estimates the per-discharge amount for each Quality Measure Category based on FY19 MMIS Discharge Data. The final per-discharge amounts will be determined based upon FY20 MMIS Discharge Data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To determine these amounts, EOHHS will use the following formula: </w:t>
      </w:r>
    </w:p>
    <w:tbl>
      <w:tblPr>
        <w:tblStyle w:val="TableGrid2"/>
        <w:tblW w:w="9019" w:type="dxa"/>
        <w:tblInd w:w="1188" w:type="dxa"/>
        <w:tblLook w:val="01E0" w:firstRow="1" w:lastRow="1" w:firstColumn="1" w:lastColumn="1" w:noHBand="0" w:noVBand="0"/>
        <w:tblCaption w:val="Formula"/>
      </w:tblPr>
      <w:tblGrid>
        <w:gridCol w:w="4069"/>
        <w:gridCol w:w="4950"/>
      </w:tblGrid>
      <w:tr w:rsidR="00F418EC" w:rsidRPr="00F418EC" w14:paraId="7FF80A7C" w14:textId="77777777" w:rsidTr="00626941">
        <w:trPr>
          <w:tblHeader/>
        </w:trPr>
        <w:tc>
          <w:tcPr>
            <w:tcW w:w="4069" w:type="dxa"/>
            <w:tcBorders>
              <w:top w:val="single" w:sz="4" w:space="0" w:color="auto"/>
              <w:left w:val="single" w:sz="4" w:space="0" w:color="auto"/>
              <w:bottom w:val="single" w:sz="4" w:space="0" w:color="auto"/>
              <w:right w:val="single" w:sz="4" w:space="0" w:color="auto"/>
            </w:tcBorders>
            <w:hideMark/>
          </w:tcPr>
          <w:p w14:paraId="265A72D3" w14:textId="77777777" w:rsidR="00F418EC" w:rsidRPr="00F418EC" w:rsidRDefault="00F418EC" w:rsidP="00F418EC">
            <w:pPr>
              <w:spacing w:before="240" w:after="200"/>
              <w:ind w:left="1080" w:hanging="360"/>
              <w:rPr>
                <w:rFonts w:ascii="Times New Roman" w:hAnsi="Times New Roman"/>
              </w:rPr>
            </w:pPr>
            <w:r w:rsidRPr="00F418EC">
              <w:rPr>
                <w:rFonts w:ascii="Times New Roman" w:hAnsi="Times New Roman"/>
              </w:rPr>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hideMark/>
          </w:tcPr>
          <w:p w14:paraId="76F3BF1F" w14:textId="77777777" w:rsidR="00F418EC" w:rsidRPr="00F418EC" w:rsidRDefault="00F418EC" w:rsidP="00F418EC">
            <w:pPr>
              <w:tabs>
                <w:tab w:val="left" w:pos="503"/>
              </w:tabs>
              <w:spacing w:before="240" w:after="200"/>
              <w:ind w:left="1080" w:hanging="360"/>
              <w:rPr>
                <w:rFonts w:ascii="Times New Roman" w:hAnsi="Times New Roman"/>
              </w:rPr>
            </w:pPr>
            <w:r w:rsidRPr="00F418EC">
              <w:rPr>
                <w:rFonts w:ascii="Times New Roman" w:hAnsi="Times New Roman"/>
              </w:rPr>
              <w:t>= Quality Measure Category per-Discharge Amount</w:t>
            </w:r>
          </w:p>
        </w:tc>
      </w:tr>
      <w:tr w:rsidR="00F418EC" w:rsidRPr="00F418EC" w14:paraId="6053870D" w14:textId="77777777" w:rsidTr="00626941">
        <w:trPr>
          <w:tblHeader/>
        </w:trPr>
        <w:tc>
          <w:tcPr>
            <w:tcW w:w="4069" w:type="dxa"/>
            <w:tcBorders>
              <w:top w:val="single" w:sz="4" w:space="0" w:color="auto"/>
              <w:left w:val="single" w:sz="4" w:space="0" w:color="auto"/>
              <w:bottom w:val="single" w:sz="4" w:space="0" w:color="auto"/>
              <w:right w:val="single" w:sz="4" w:space="0" w:color="auto"/>
            </w:tcBorders>
            <w:hideMark/>
          </w:tcPr>
          <w:p w14:paraId="69B72B8F" w14:textId="77777777" w:rsidR="00F418EC" w:rsidRPr="00F418EC" w:rsidRDefault="00F418EC" w:rsidP="00F418EC">
            <w:pPr>
              <w:spacing w:before="240" w:after="200"/>
              <w:ind w:left="1080" w:hanging="360"/>
              <w:rPr>
                <w:rFonts w:ascii="Times New Roman" w:hAnsi="Times New Roman"/>
              </w:rPr>
            </w:pPr>
            <w:r w:rsidRPr="00F418EC">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EF82C" w14:textId="77777777" w:rsidR="00F418EC" w:rsidRPr="00F418EC" w:rsidRDefault="00F418EC" w:rsidP="00F418EC">
            <w:pPr>
              <w:spacing w:before="240" w:after="200"/>
              <w:ind w:left="1080" w:hanging="360"/>
              <w:rPr>
                <w:rFonts w:ascii="Times New Roman" w:hAnsi="Times New Roman"/>
              </w:rPr>
            </w:pPr>
          </w:p>
        </w:tc>
      </w:tr>
    </w:tbl>
    <w:p w14:paraId="7F70DA1B" w14:textId="77777777" w:rsidR="00F418EC" w:rsidRPr="00F418EC" w:rsidRDefault="00F418EC" w:rsidP="00F418EC">
      <w:pPr>
        <w:spacing w:before="240" w:after="200"/>
        <w:ind w:left="1080" w:hanging="360"/>
        <w:rPr>
          <w:rFonts w:ascii="Times New Roman" w:eastAsiaTheme="minorHAnsi" w:hAnsi="Times New Roman"/>
          <w:spacing w:val="0"/>
          <w:szCs w:val="24"/>
        </w:rPr>
      </w:pPr>
      <w:r w:rsidRPr="00F418EC">
        <w:rPr>
          <w:rFonts w:ascii="Times New Roman" w:eastAsiaTheme="minorHAnsi" w:hAnsi="Times New Roman"/>
          <w:spacing w:val="0"/>
          <w:szCs w:val="24"/>
        </w:rPr>
        <w:t xml:space="preserve">For each Quality Measure Category, EOHHS has established a maximum allocated amount, specified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276C3C97" w14:textId="77777777" w:rsidR="00F418EC" w:rsidRPr="00F418EC" w:rsidRDefault="00F418EC" w:rsidP="00F418EC">
      <w:pPr>
        <w:numPr>
          <w:ilvl w:val="0"/>
          <w:numId w:val="183"/>
        </w:numPr>
        <w:spacing w:before="240" w:after="200"/>
        <w:ind w:left="1080"/>
        <w:rPr>
          <w:rFonts w:ascii="Times New Roman" w:eastAsiaTheme="minorHAnsi" w:hAnsi="Times New Roman"/>
          <w:spacing w:val="0"/>
          <w:szCs w:val="24"/>
        </w:rPr>
      </w:pPr>
      <w:r w:rsidRPr="00F418EC">
        <w:rPr>
          <w:rFonts w:ascii="Times New Roman" w:eastAsiaTheme="minorHAnsi" w:hAnsi="Times New Roman"/>
          <w:b/>
          <w:spacing w:val="0"/>
          <w:szCs w:val="24"/>
        </w:rPr>
        <w:t xml:space="preserve">Incentive Payment Formulas. </w:t>
      </w:r>
      <w:r w:rsidRPr="00F418EC">
        <w:rPr>
          <w:rFonts w:ascii="Times New Roman" w:eastAsiaTheme="minorHAnsi" w:hAnsi="Times New Roman"/>
          <w:spacing w:val="0"/>
          <w:szCs w:val="24"/>
        </w:rPr>
        <w:t xml:space="preserve">Payments for each Quality Measure Category listed in </w:t>
      </w:r>
      <w:r w:rsidRPr="00F418EC">
        <w:rPr>
          <w:rFonts w:ascii="Times New Roman" w:eastAsiaTheme="minorHAnsi" w:hAnsi="Times New Roman"/>
          <w:b/>
          <w:spacing w:val="0"/>
          <w:szCs w:val="24"/>
        </w:rPr>
        <w:t>Table 7-5</w:t>
      </w:r>
      <w:r w:rsidRPr="00F418EC">
        <w:rPr>
          <w:rFonts w:ascii="Times New Roman" w:eastAsiaTheme="minorHAnsi" w:hAnsi="Times New Roman"/>
          <w:spacing w:val="0"/>
          <w:szCs w:val="24"/>
        </w:rPr>
        <w:t xml:space="preserve"> will be calculated based on the following formulas:</w:t>
      </w:r>
    </w:p>
    <w:p w14:paraId="7E5D2D37" w14:textId="77777777" w:rsidR="00F418EC" w:rsidRPr="00F418EC" w:rsidRDefault="00F418EC" w:rsidP="00F418EC">
      <w:pPr>
        <w:numPr>
          <w:ilvl w:val="0"/>
          <w:numId w:val="186"/>
        </w:numPr>
        <w:spacing w:before="240" w:after="200"/>
        <w:rPr>
          <w:rFonts w:ascii="Times New Roman" w:eastAsiaTheme="minorHAnsi" w:hAnsi="Times New Roman"/>
          <w:spacing w:val="0"/>
          <w:szCs w:val="24"/>
        </w:rPr>
      </w:pPr>
      <w:r w:rsidRPr="00F418EC">
        <w:rPr>
          <w:rFonts w:ascii="Times New Roman" w:eastAsiaTheme="minorHAnsi" w:hAnsi="Times New Roman"/>
          <w:b/>
          <w:spacing w:val="0"/>
          <w:szCs w:val="24"/>
        </w:rPr>
        <w:t>Perinatal and Care Coordination Quality Measure Categories:</w:t>
      </w:r>
      <w:r w:rsidRPr="00F418EC">
        <w:rPr>
          <w:rFonts w:ascii="Times New Roman" w:eastAsiaTheme="minorHAnsi" w:hAnsi="Times New Roman"/>
          <w:spacing w:val="0"/>
          <w:szCs w:val="24"/>
        </w:rPr>
        <w:t xml:space="preserve">  Separately for each of the Perinatal and Care Coordination Quality Measure Categories, EOHHS will calculate incentive payments by multiplying the Hospital’s eligible Medicaid discharges for each Quality Measure Category, per </w:t>
      </w:r>
      <w:r w:rsidRPr="00F418EC">
        <w:rPr>
          <w:rFonts w:ascii="Times New Roman" w:eastAsiaTheme="minorHAnsi" w:hAnsi="Times New Roman"/>
          <w:b/>
          <w:spacing w:val="0"/>
          <w:szCs w:val="24"/>
        </w:rPr>
        <w:t>Section 7.5.B.2.a</w:t>
      </w:r>
      <w:r w:rsidRPr="00F418EC">
        <w:rPr>
          <w:rFonts w:ascii="Times New Roman" w:eastAsiaTheme="minorHAnsi" w:hAnsi="Times New Roman"/>
          <w:spacing w:val="0"/>
          <w:szCs w:val="24"/>
        </w:rPr>
        <w:t xml:space="preserve">, by the Quality Measure Category per-discharge amount, and by the Hospital’s total performance score for the Quality Measure Category, per </w:t>
      </w:r>
      <w:r w:rsidRPr="00F418EC">
        <w:rPr>
          <w:rFonts w:ascii="Times New Roman" w:eastAsiaTheme="minorHAnsi" w:hAnsi="Times New Roman"/>
          <w:b/>
          <w:spacing w:val="0"/>
          <w:szCs w:val="24"/>
        </w:rPr>
        <w:t>Section 7.4.H</w:t>
      </w:r>
      <w:r w:rsidRPr="00F418EC">
        <w:rPr>
          <w:rFonts w:ascii="Times New Roman" w:eastAsiaTheme="minorHAnsi" w:hAnsi="Times New Roman"/>
          <w:spacing w:val="0"/>
          <w:szCs w:val="24"/>
        </w:rPr>
        <w:t>, using the following formula:</w:t>
      </w:r>
    </w:p>
    <w:p w14:paraId="579C984E" w14:textId="77777777" w:rsidR="00F418EC" w:rsidRPr="00F418EC" w:rsidRDefault="00F418EC" w:rsidP="00F418EC">
      <w:pPr>
        <w:spacing w:after="200"/>
        <w:ind w:left="1350"/>
        <w:rPr>
          <w:rFonts w:ascii="Arial Narrow" w:eastAsiaTheme="minorHAnsi" w:hAnsi="Arial Narrow" w:cs="Arial"/>
          <w:spacing w:val="0"/>
          <w:szCs w:val="24"/>
        </w:rPr>
      </w:pPr>
      <w:r w:rsidRPr="00F418EC">
        <w:rPr>
          <w:rFonts w:ascii="Arial Narrow" w:eastAsiaTheme="minorHAnsi" w:hAnsi="Arial Narrow" w:cs="Arial"/>
          <w:spacing w:val="0"/>
          <w:szCs w:val="24"/>
        </w:rPr>
        <w:lastRenderedPageBreak/>
        <w:t>(Hospital’s Eligible Medicaid Discharges) x (</w:t>
      </w:r>
      <w:r w:rsidRPr="00F418EC">
        <w:rPr>
          <w:rFonts w:ascii="Arial Narrow" w:hAnsi="Arial Narrow"/>
          <w:szCs w:val="24"/>
        </w:rPr>
        <w:t xml:space="preserve">Quality Measure </w:t>
      </w:r>
      <w:r w:rsidRPr="00F418EC">
        <w:rPr>
          <w:rFonts w:ascii="Arial Narrow" w:eastAsiaTheme="minorHAnsi" w:hAnsi="Arial Narrow" w:cs="Arial"/>
          <w:spacing w:val="0"/>
          <w:szCs w:val="24"/>
        </w:rPr>
        <w:t xml:space="preserve">Category per-Discharge Amount) x (Hospital’s Quality Measure Category Total Performance Score) = Hospital P4P Payment for the Quality Measure Category </w:t>
      </w:r>
    </w:p>
    <w:p w14:paraId="2D8BD5F5"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100" w:name="_Toc52374328"/>
      <w:r w:rsidRPr="00F418EC">
        <w:rPr>
          <w:rFonts w:ascii="Times New Roman" w:eastAsiaTheme="minorHAnsi" w:hAnsi="Times New Roman"/>
          <w:b/>
          <w:spacing w:val="0"/>
          <w:sz w:val="28"/>
          <w:szCs w:val="28"/>
        </w:rPr>
        <w:t>7.6</w:t>
      </w:r>
      <w:r w:rsidRPr="00F418EC">
        <w:rPr>
          <w:rFonts w:ascii="Times New Roman" w:eastAsiaTheme="minorHAnsi" w:hAnsi="Times New Roman"/>
          <w:b/>
          <w:spacing w:val="0"/>
          <w:sz w:val="28"/>
          <w:szCs w:val="28"/>
        </w:rPr>
        <w:tab/>
        <w:t>Pay-for-Performance Reporting Requirements</w:t>
      </w:r>
      <w:bookmarkEnd w:id="100"/>
    </w:p>
    <w:p w14:paraId="689BE7E0"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Each Hospital must comply with all data reporting requirements, portal registration, MassHealth NHSN group enrollment procedures, and the submission of hard-copy program participant forms as set forth below. </w:t>
      </w:r>
    </w:p>
    <w:p w14:paraId="401B6E57" w14:textId="77777777" w:rsidR="00F418EC" w:rsidRPr="00F418EC" w:rsidRDefault="00F418EC" w:rsidP="00F418EC">
      <w:pPr>
        <w:spacing w:after="200"/>
        <w:jc w:val="center"/>
        <w:outlineLvl w:val="2"/>
        <w:rPr>
          <w:rFonts w:ascii="Times New Roman" w:eastAsia="Calibri" w:hAnsi="Times New Roman"/>
          <w:b/>
          <w:spacing w:val="0"/>
          <w:szCs w:val="24"/>
        </w:rPr>
      </w:pPr>
      <w:bookmarkStart w:id="101" w:name="_Toc52374329"/>
      <w:r w:rsidRPr="00F418EC">
        <w:rPr>
          <w:rFonts w:ascii="Times New Roman" w:eastAsia="Calibri" w:hAnsi="Times New Roman"/>
          <w:b/>
          <w:spacing w:val="0"/>
          <w:szCs w:val="24"/>
        </w:rPr>
        <w:t>Table 7-6. Hospital Data Submission Timelines</w:t>
      </w:r>
      <w:bookmarkEnd w:id="101"/>
    </w:p>
    <w:tbl>
      <w:tblPr>
        <w:tblStyle w:val="TableGrid"/>
        <w:tblW w:w="10560" w:type="dxa"/>
        <w:tblLayout w:type="fixed"/>
        <w:tblLook w:val="04A0" w:firstRow="1" w:lastRow="0" w:firstColumn="1" w:lastColumn="0" w:noHBand="0" w:noVBand="1"/>
        <w:tblCaption w:val="Table 7-6. Hospital Data Submission Timelines"/>
      </w:tblPr>
      <w:tblGrid>
        <w:gridCol w:w="1984"/>
        <w:gridCol w:w="3430"/>
        <w:gridCol w:w="2716"/>
        <w:gridCol w:w="2430"/>
      </w:tblGrid>
      <w:tr w:rsidR="00F418EC" w:rsidRPr="00F418EC" w14:paraId="59469B8E" w14:textId="77777777" w:rsidTr="00833254">
        <w:trPr>
          <w:tblHeader/>
        </w:trPr>
        <w:tc>
          <w:tcPr>
            <w:tcW w:w="1984" w:type="dxa"/>
            <w:tcBorders>
              <w:top w:val="single" w:sz="4" w:space="0" w:color="auto"/>
              <w:left w:val="single" w:sz="4" w:space="0" w:color="auto"/>
              <w:bottom w:val="single" w:sz="4" w:space="0" w:color="auto"/>
              <w:right w:val="single" w:sz="4" w:space="0" w:color="auto"/>
            </w:tcBorders>
          </w:tcPr>
          <w:p w14:paraId="7764E402"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pacing w:val="0"/>
                <w:szCs w:val="24"/>
              </w:rPr>
              <w:t>Submission Due Date</w:t>
            </w:r>
          </w:p>
        </w:tc>
        <w:tc>
          <w:tcPr>
            <w:tcW w:w="3430" w:type="dxa"/>
            <w:tcBorders>
              <w:top w:val="single" w:sz="4" w:space="0" w:color="auto"/>
              <w:left w:val="single" w:sz="4" w:space="0" w:color="auto"/>
              <w:bottom w:val="single" w:sz="4" w:space="0" w:color="auto"/>
              <w:right w:val="single" w:sz="4" w:space="0" w:color="auto"/>
            </w:tcBorders>
          </w:tcPr>
          <w:p w14:paraId="748C09D9" w14:textId="77777777" w:rsidR="00F418EC" w:rsidRPr="00F418EC" w:rsidRDefault="00F418EC" w:rsidP="00F418EC">
            <w:pPr>
              <w:ind w:left="9"/>
              <w:contextualSpacing/>
              <w:rPr>
                <w:rFonts w:ascii="Times New Roman" w:eastAsiaTheme="minorHAnsi" w:hAnsi="Times New Roman"/>
                <w:spacing w:val="-4"/>
                <w:sz w:val="20"/>
              </w:rPr>
            </w:pPr>
            <w:r w:rsidRPr="00F418EC">
              <w:rPr>
                <w:rFonts w:ascii="Times New Roman" w:eastAsiaTheme="minorHAnsi" w:hAnsi="Times New Roman"/>
                <w:b/>
                <w:spacing w:val="0"/>
                <w:szCs w:val="24"/>
              </w:rPr>
              <w:t>Data Submission Requirement</w:t>
            </w:r>
          </w:p>
        </w:tc>
        <w:tc>
          <w:tcPr>
            <w:tcW w:w="2716" w:type="dxa"/>
            <w:tcBorders>
              <w:top w:val="single" w:sz="4" w:space="0" w:color="auto"/>
              <w:left w:val="single" w:sz="4" w:space="0" w:color="auto"/>
              <w:bottom w:val="single" w:sz="4" w:space="0" w:color="auto"/>
              <w:right w:val="single" w:sz="4" w:space="0" w:color="auto"/>
            </w:tcBorders>
          </w:tcPr>
          <w:p w14:paraId="3B62C40A"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b/>
                <w:spacing w:val="0"/>
                <w:szCs w:val="24"/>
              </w:rPr>
              <w:t>Data Reporting Format</w:t>
            </w:r>
          </w:p>
        </w:tc>
        <w:tc>
          <w:tcPr>
            <w:tcW w:w="2430" w:type="dxa"/>
            <w:tcBorders>
              <w:top w:val="single" w:sz="4" w:space="0" w:color="auto"/>
              <w:left w:val="single" w:sz="4" w:space="0" w:color="auto"/>
              <w:bottom w:val="single" w:sz="4" w:space="0" w:color="auto"/>
              <w:right w:val="single" w:sz="4" w:space="0" w:color="auto"/>
            </w:tcBorders>
          </w:tcPr>
          <w:p w14:paraId="5707975C" w14:textId="77777777"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b/>
                <w:spacing w:val="0"/>
                <w:szCs w:val="24"/>
              </w:rPr>
              <w:t>Reporting Instructions</w:t>
            </w:r>
          </w:p>
        </w:tc>
      </w:tr>
      <w:tr w:rsidR="00F418EC" w:rsidRPr="00F418EC" w14:paraId="4616AF83"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04CA8F73"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October 30, 2020</w:t>
            </w:r>
          </w:p>
        </w:tc>
        <w:tc>
          <w:tcPr>
            <w:tcW w:w="3430" w:type="dxa"/>
            <w:tcBorders>
              <w:top w:val="single" w:sz="4" w:space="0" w:color="auto"/>
              <w:left w:val="single" w:sz="4" w:space="0" w:color="auto"/>
              <w:bottom w:val="single" w:sz="4" w:space="0" w:color="auto"/>
              <w:right w:val="single" w:sz="4" w:space="0" w:color="auto"/>
            </w:tcBorders>
            <w:hideMark/>
          </w:tcPr>
          <w:p w14:paraId="69EDE1BA" w14:textId="28174E50" w:rsidR="00F418EC" w:rsidRPr="00F418EC" w:rsidRDefault="00F418EC" w:rsidP="00F418EC">
            <w:pPr>
              <w:numPr>
                <w:ilvl w:val="0"/>
                <w:numId w:val="2"/>
              </w:numPr>
              <w:ind w:left="189" w:hanging="180"/>
              <w:contextualSpacing/>
              <w:rPr>
                <w:rFonts w:ascii="Times New Roman" w:eastAsiaTheme="minorHAnsi" w:hAnsi="Times New Roman"/>
                <w:spacing w:val="-4"/>
                <w:sz w:val="20"/>
              </w:rPr>
            </w:pPr>
            <w:r w:rsidRPr="00F418EC">
              <w:rPr>
                <w:rFonts w:ascii="Times New Roman" w:eastAsiaTheme="minorHAnsi" w:hAnsi="Times New Roman"/>
                <w:spacing w:val="-4"/>
                <w:sz w:val="20"/>
              </w:rPr>
              <w:t>Hospital Quality Contacts Form</w:t>
            </w:r>
          </w:p>
          <w:p w14:paraId="65F98A30" w14:textId="77777777" w:rsidR="00F418EC" w:rsidRPr="00F418EC" w:rsidRDefault="00F418EC" w:rsidP="00F418EC">
            <w:pPr>
              <w:numPr>
                <w:ilvl w:val="0"/>
                <w:numId w:val="2"/>
              </w:numPr>
              <w:ind w:left="189" w:hanging="180"/>
              <w:contextualSpacing/>
              <w:rPr>
                <w:rFonts w:ascii="Times New Roman" w:eastAsiaTheme="minorHAnsi" w:hAnsi="Times New Roman"/>
                <w:spacing w:val="-4"/>
                <w:sz w:val="20"/>
              </w:rPr>
            </w:pPr>
            <w:r w:rsidRPr="00F418EC">
              <w:rPr>
                <w:rFonts w:ascii="Times New Roman" w:eastAsiaTheme="minorHAnsi" w:hAnsi="Times New Roman"/>
                <w:spacing w:val="-4"/>
                <w:sz w:val="20"/>
              </w:rPr>
              <w:t>Hospital Data Accuracy and Completeness Attestation Form</w:t>
            </w:r>
          </w:p>
        </w:tc>
        <w:tc>
          <w:tcPr>
            <w:tcW w:w="2716" w:type="dxa"/>
            <w:tcBorders>
              <w:top w:val="single" w:sz="4" w:space="0" w:color="auto"/>
              <w:left w:val="single" w:sz="4" w:space="0" w:color="auto"/>
              <w:bottom w:val="single" w:sz="4" w:space="0" w:color="auto"/>
              <w:right w:val="single" w:sz="4" w:space="0" w:color="auto"/>
            </w:tcBorders>
            <w:hideMark/>
          </w:tcPr>
          <w:p w14:paraId="313749AD"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sz w:val="20"/>
                <w:lang w:val="pt-BR"/>
              </w:rPr>
              <w:t>HospContact_2021 Form</w:t>
            </w:r>
          </w:p>
          <w:p w14:paraId="31123D74" w14:textId="77777777" w:rsidR="00F418EC" w:rsidRPr="00F418EC" w:rsidRDefault="00F418EC" w:rsidP="00F418EC">
            <w:pPr>
              <w:rPr>
                <w:rFonts w:ascii="Times New Roman" w:eastAsiaTheme="minorHAnsi" w:hAnsi="Times New Roman"/>
                <w:sz w:val="20"/>
                <w:lang w:val="pt-BR"/>
              </w:rPr>
            </w:pPr>
            <w:r w:rsidRPr="00F418EC">
              <w:rPr>
                <w:rFonts w:ascii="Times New Roman" w:eastAsiaTheme="minorHAnsi" w:hAnsi="Times New Roman"/>
                <w:sz w:val="20"/>
                <w:lang w:val="pt-BR"/>
              </w:rPr>
              <w:t>HospDACA_2021Form</w:t>
            </w:r>
          </w:p>
        </w:tc>
        <w:tc>
          <w:tcPr>
            <w:tcW w:w="2430" w:type="dxa"/>
            <w:tcBorders>
              <w:top w:val="single" w:sz="4" w:space="0" w:color="auto"/>
              <w:left w:val="single" w:sz="4" w:space="0" w:color="auto"/>
              <w:bottom w:val="single" w:sz="4" w:space="0" w:color="auto"/>
              <w:right w:val="single" w:sz="4" w:space="0" w:color="auto"/>
            </w:tcBorders>
            <w:hideMark/>
          </w:tcPr>
          <w:p w14:paraId="23CC492F" w14:textId="77777777"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sz w:val="20"/>
                <w:lang w:val="fr-FR"/>
              </w:rPr>
              <w:t>RFA Section 7.2.E</w:t>
            </w:r>
          </w:p>
          <w:p w14:paraId="6F2052D5" w14:textId="0E06AD0F" w:rsidR="00F418EC" w:rsidRPr="00F418EC" w:rsidRDefault="00F418EC" w:rsidP="00F418EC">
            <w:pPr>
              <w:rPr>
                <w:rFonts w:ascii="Times New Roman" w:eastAsiaTheme="minorHAnsi" w:hAnsi="Times New Roman"/>
                <w:sz w:val="20"/>
                <w:lang w:val="fr-FR"/>
              </w:rPr>
            </w:pPr>
            <w:r w:rsidRPr="00F418EC">
              <w:rPr>
                <w:rFonts w:ascii="Times New Roman" w:eastAsiaTheme="minorHAnsi" w:hAnsi="Times New Roman"/>
                <w:sz w:val="20"/>
                <w:lang w:val="fr-FR"/>
              </w:rPr>
              <w:t>RFA Section 7.3D</w:t>
            </w:r>
          </w:p>
        </w:tc>
      </w:tr>
      <w:tr w:rsidR="00F418EC" w:rsidRPr="00F418EC" w14:paraId="48DCD92B"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6F58116C"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February 14, 2021</w:t>
            </w:r>
          </w:p>
        </w:tc>
        <w:tc>
          <w:tcPr>
            <w:tcW w:w="3430" w:type="dxa"/>
            <w:tcBorders>
              <w:top w:val="single" w:sz="4" w:space="0" w:color="auto"/>
              <w:left w:val="single" w:sz="4" w:space="0" w:color="auto"/>
              <w:bottom w:val="single" w:sz="4" w:space="0" w:color="auto"/>
              <w:right w:val="single" w:sz="4" w:space="0" w:color="auto"/>
            </w:tcBorders>
            <w:hideMark/>
          </w:tcPr>
          <w:p w14:paraId="20A15E76" w14:textId="77777777" w:rsidR="00F418EC" w:rsidRPr="00F418EC" w:rsidRDefault="00F418EC" w:rsidP="00F418EC">
            <w:pPr>
              <w:numPr>
                <w:ilvl w:val="0"/>
                <w:numId w:val="3"/>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(July – Sept 2020) data</w:t>
            </w:r>
          </w:p>
          <w:p w14:paraId="69B1A304"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ICD population data</w:t>
            </w:r>
          </w:p>
          <w:p w14:paraId="5EC7BB99"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Q3-2020 Medical records request</w:t>
            </w:r>
          </w:p>
        </w:tc>
        <w:tc>
          <w:tcPr>
            <w:tcW w:w="2716" w:type="dxa"/>
            <w:tcBorders>
              <w:top w:val="single" w:sz="4" w:space="0" w:color="auto"/>
              <w:left w:val="single" w:sz="4" w:space="0" w:color="auto"/>
              <w:bottom w:val="single" w:sz="4" w:space="0" w:color="auto"/>
              <w:right w:val="single" w:sz="4" w:space="0" w:color="auto"/>
            </w:tcBorders>
            <w:hideMark/>
          </w:tcPr>
          <w:p w14:paraId="2F74D30C"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2FD12D81"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ICD online data entry form (via MassQEX Portal)</w:t>
            </w:r>
          </w:p>
        </w:tc>
        <w:tc>
          <w:tcPr>
            <w:tcW w:w="2430" w:type="dxa"/>
            <w:tcBorders>
              <w:top w:val="single" w:sz="4" w:space="0" w:color="auto"/>
              <w:left w:val="single" w:sz="4" w:space="0" w:color="auto"/>
              <w:bottom w:val="single" w:sz="4" w:space="0" w:color="auto"/>
              <w:right w:val="single" w:sz="4" w:space="0" w:color="auto"/>
            </w:tcBorders>
            <w:hideMark/>
          </w:tcPr>
          <w:p w14:paraId="06CB85E8"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sz w:val="20"/>
              </w:rPr>
              <w:t xml:space="preserve">Technical Specifications Manual (Version 14.0) </w:t>
            </w:r>
          </w:p>
        </w:tc>
      </w:tr>
      <w:tr w:rsidR="00F418EC" w:rsidRPr="00F418EC" w14:paraId="31D42387" w14:textId="77777777" w:rsidTr="00626941">
        <w:trPr>
          <w:trHeight w:val="638"/>
        </w:trPr>
        <w:tc>
          <w:tcPr>
            <w:tcW w:w="1984" w:type="dxa"/>
            <w:tcBorders>
              <w:top w:val="single" w:sz="4" w:space="0" w:color="auto"/>
              <w:left w:val="single" w:sz="4" w:space="0" w:color="auto"/>
              <w:bottom w:val="single" w:sz="4" w:space="0" w:color="auto"/>
              <w:right w:val="single" w:sz="4" w:space="0" w:color="auto"/>
            </w:tcBorders>
            <w:hideMark/>
          </w:tcPr>
          <w:p w14:paraId="5B840FD3"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May 12, 2021</w:t>
            </w:r>
          </w:p>
        </w:tc>
        <w:tc>
          <w:tcPr>
            <w:tcW w:w="3430" w:type="dxa"/>
            <w:tcBorders>
              <w:top w:val="single" w:sz="4" w:space="0" w:color="auto"/>
              <w:left w:val="single" w:sz="4" w:space="0" w:color="auto"/>
              <w:bottom w:val="single" w:sz="4" w:space="0" w:color="auto"/>
              <w:right w:val="single" w:sz="4" w:space="0" w:color="auto"/>
            </w:tcBorders>
            <w:hideMark/>
          </w:tcPr>
          <w:p w14:paraId="745FFD3F"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Q4-2020 (Oct – Dec 2020) data</w:t>
            </w:r>
          </w:p>
          <w:p w14:paraId="218353CC" w14:textId="212424D0"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Q4-2020 ICD population data</w:t>
            </w:r>
          </w:p>
          <w:p w14:paraId="463280F7"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Q4-2020 Medical records requ</w:t>
            </w:r>
          </w:p>
        </w:tc>
        <w:tc>
          <w:tcPr>
            <w:tcW w:w="2716" w:type="dxa"/>
            <w:tcBorders>
              <w:top w:val="single" w:sz="4" w:space="0" w:color="auto"/>
              <w:left w:val="single" w:sz="4" w:space="0" w:color="auto"/>
              <w:bottom w:val="single" w:sz="4" w:space="0" w:color="auto"/>
              <w:right w:val="single" w:sz="4" w:space="0" w:color="auto"/>
            </w:tcBorders>
            <w:hideMark/>
          </w:tcPr>
          <w:p w14:paraId="1A8A64FD"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4A510EE8"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ICD online data entry form (via MassQEX Portal)</w:t>
            </w:r>
          </w:p>
        </w:tc>
        <w:tc>
          <w:tcPr>
            <w:tcW w:w="2430" w:type="dxa"/>
            <w:tcBorders>
              <w:top w:val="single" w:sz="4" w:space="0" w:color="auto"/>
              <w:left w:val="single" w:sz="4" w:space="0" w:color="auto"/>
              <w:bottom w:val="single" w:sz="4" w:space="0" w:color="auto"/>
              <w:right w:val="single" w:sz="4" w:space="0" w:color="auto"/>
            </w:tcBorders>
            <w:hideMark/>
          </w:tcPr>
          <w:p w14:paraId="22B5C1AF"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z w:val="20"/>
              </w:rPr>
              <w:t xml:space="preserve">Technical Specifications Manual (Version 14.0) </w:t>
            </w:r>
          </w:p>
        </w:tc>
      </w:tr>
      <w:tr w:rsidR="00F418EC" w:rsidRPr="00F418EC" w14:paraId="7655F583" w14:textId="77777777" w:rsidTr="00626941">
        <w:tc>
          <w:tcPr>
            <w:tcW w:w="1984" w:type="dxa"/>
            <w:tcBorders>
              <w:top w:val="single" w:sz="4" w:space="0" w:color="auto"/>
              <w:left w:val="single" w:sz="4" w:space="0" w:color="auto"/>
              <w:bottom w:val="single" w:sz="4" w:space="0" w:color="auto"/>
              <w:right w:val="single" w:sz="4" w:space="0" w:color="auto"/>
            </w:tcBorders>
            <w:hideMark/>
          </w:tcPr>
          <w:p w14:paraId="3263BA6D"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b/>
                <w:sz w:val="20"/>
              </w:rPr>
              <w:t>August 13, 2021</w:t>
            </w:r>
          </w:p>
        </w:tc>
        <w:tc>
          <w:tcPr>
            <w:tcW w:w="3430" w:type="dxa"/>
            <w:tcBorders>
              <w:top w:val="single" w:sz="4" w:space="0" w:color="auto"/>
              <w:left w:val="single" w:sz="4" w:space="0" w:color="auto"/>
              <w:bottom w:val="single" w:sz="4" w:space="0" w:color="auto"/>
              <w:right w:val="single" w:sz="4" w:space="0" w:color="auto"/>
            </w:tcBorders>
            <w:hideMark/>
          </w:tcPr>
          <w:p w14:paraId="36F3ACE8"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(Jan – Mar 2021) data</w:t>
            </w:r>
          </w:p>
          <w:p w14:paraId="3D3D1ACC" w14:textId="02A4F990"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ICD population data</w:t>
            </w:r>
          </w:p>
          <w:p w14:paraId="6C39C7C4" w14:textId="77777777" w:rsidR="00F418EC" w:rsidRPr="00F418EC" w:rsidRDefault="00F418EC" w:rsidP="00F418EC">
            <w:pPr>
              <w:numPr>
                <w:ilvl w:val="0"/>
                <w:numId w:val="4"/>
              </w:numPr>
              <w:ind w:left="189" w:hanging="180"/>
              <w:contextualSpacing/>
              <w:rPr>
                <w:rFonts w:ascii="Times New Roman" w:eastAsiaTheme="minorHAnsi" w:hAnsi="Times New Roman"/>
                <w:sz w:val="20"/>
              </w:rPr>
            </w:pPr>
            <w:r w:rsidRPr="00F418EC">
              <w:rPr>
                <w:rFonts w:ascii="Times New Roman" w:eastAsiaTheme="minorHAnsi" w:hAnsi="Times New Roman"/>
                <w:sz w:val="20"/>
              </w:rPr>
              <w:t>Q1-2021 Medical records request</w:t>
            </w:r>
          </w:p>
        </w:tc>
        <w:tc>
          <w:tcPr>
            <w:tcW w:w="2716" w:type="dxa"/>
            <w:tcBorders>
              <w:top w:val="single" w:sz="4" w:space="0" w:color="auto"/>
              <w:left w:val="single" w:sz="4" w:space="0" w:color="auto"/>
              <w:bottom w:val="single" w:sz="4" w:space="0" w:color="auto"/>
              <w:right w:val="single" w:sz="4" w:space="0" w:color="auto"/>
            </w:tcBorders>
            <w:hideMark/>
          </w:tcPr>
          <w:p w14:paraId="7FB1AB3A" w14:textId="77777777" w:rsidR="00F418EC" w:rsidRPr="00F418EC" w:rsidRDefault="00F418EC" w:rsidP="00F418EC">
            <w:pPr>
              <w:rPr>
                <w:rFonts w:ascii="Times New Roman" w:eastAsiaTheme="minorHAnsi" w:hAnsi="Times New Roman"/>
                <w:spacing w:val="-4"/>
                <w:sz w:val="20"/>
              </w:rPr>
            </w:pPr>
            <w:r w:rsidRPr="00F418EC">
              <w:rPr>
                <w:rFonts w:ascii="Times New Roman" w:eastAsiaTheme="minorHAnsi" w:hAnsi="Times New Roman"/>
                <w:spacing w:val="-4"/>
                <w:sz w:val="20"/>
              </w:rPr>
              <w:t>Electronic Data Files; and</w:t>
            </w:r>
          </w:p>
          <w:p w14:paraId="5E02C82E" w14:textId="77777777" w:rsidR="00F418EC" w:rsidRPr="00F418EC" w:rsidRDefault="00F418EC" w:rsidP="00F418EC">
            <w:pPr>
              <w:rPr>
                <w:rFonts w:ascii="Times New Roman" w:eastAsiaTheme="minorHAnsi" w:hAnsi="Times New Roman"/>
                <w:b/>
                <w:sz w:val="20"/>
              </w:rPr>
            </w:pPr>
            <w:r w:rsidRPr="00F418EC">
              <w:rPr>
                <w:rFonts w:ascii="Times New Roman" w:eastAsiaTheme="minorHAnsi" w:hAnsi="Times New Roman"/>
                <w:spacing w:val="-4"/>
                <w:sz w:val="20"/>
              </w:rPr>
              <w:t>ICD online data entry form (via MassQEX Portal)</w:t>
            </w:r>
          </w:p>
        </w:tc>
        <w:tc>
          <w:tcPr>
            <w:tcW w:w="2430" w:type="dxa"/>
            <w:tcBorders>
              <w:top w:val="single" w:sz="4" w:space="0" w:color="auto"/>
              <w:left w:val="single" w:sz="4" w:space="0" w:color="auto"/>
              <w:bottom w:val="single" w:sz="4" w:space="0" w:color="auto"/>
              <w:right w:val="single" w:sz="4" w:space="0" w:color="auto"/>
            </w:tcBorders>
            <w:hideMark/>
          </w:tcPr>
          <w:p w14:paraId="2BC66D25" w14:textId="77777777" w:rsidR="00F418EC" w:rsidRPr="00F418EC" w:rsidRDefault="00F418EC" w:rsidP="00F418EC">
            <w:pPr>
              <w:spacing w:after="180"/>
              <w:rPr>
                <w:rFonts w:ascii="Times New Roman" w:eastAsiaTheme="minorHAnsi" w:hAnsi="Times New Roman"/>
                <w:b/>
                <w:sz w:val="20"/>
              </w:rPr>
            </w:pPr>
            <w:r w:rsidRPr="00F418EC">
              <w:rPr>
                <w:rFonts w:ascii="Times New Roman" w:eastAsiaTheme="minorHAnsi" w:hAnsi="Times New Roman"/>
                <w:sz w:val="20"/>
              </w:rPr>
              <w:t>Technical Specifications Manual (Version TBD)</w:t>
            </w:r>
          </w:p>
        </w:tc>
      </w:tr>
    </w:tbl>
    <w:p w14:paraId="5AB890F5" w14:textId="77777777" w:rsidR="00F418EC" w:rsidRPr="00F418EC" w:rsidRDefault="00F418EC" w:rsidP="00F418EC">
      <w:pPr>
        <w:spacing w:after="200"/>
        <w:rPr>
          <w:rFonts w:ascii="Times New Roman" w:eastAsiaTheme="minorHAnsi" w:hAnsi="Times New Roman"/>
          <w:spacing w:val="0"/>
          <w:szCs w:val="24"/>
        </w:rPr>
      </w:pPr>
    </w:p>
    <w:p w14:paraId="759DF645" w14:textId="77777777" w:rsidR="00F418EC" w:rsidRPr="00F418EC" w:rsidRDefault="00F418EC" w:rsidP="00F418EC">
      <w:pPr>
        <w:spacing w:after="200"/>
        <w:rPr>
          <w:rFonts w:ascii="Times New Roman" w:eastAsiaTheme="minorHAnsi" w:hAnsi="Times New Roman"/>
          <w:spacing w:val="0"/>
          <w:szCs w:val="24"/>
        </w:rPr>
        <w:sectPr w:rsidR="00F418EC" w:rsidRPr="00F418EC" w:rsidSect="00626941">
          <w:pgSz w:w="12240" w:h="15840"/>
          <w:pgMar w:top="1440" w:right="1440" w:bottom="1080" w:left="1440" w:header="720" w:footer="720" w:gutter="0"/>
          <w:cols w:space="720"/>
          <w:docGrid w:linePitch="360"/>
        </w:sectPr>
      </w:pPr>
    </w:p>
    <w:p w14:paraId="47FDAB27" w14:textId="77777777" w:rsidR="00F418EC" w:rsidRPr="00F418EC" w:rsidRDefault="00F418EC" w:rsidP="00F418EC">
      <w:pPr>
        <w:spacing w:before="300" w:afterLines="200" w:after="480"/>
        <w:jc w:val="center"/>
        <w:outlineLvl w:val="0"/>
        <w:rPr>
          <w:rFonts w:ascii="Times New Roman Bold" w:eastAsiaTheme="minorHAnsi" w:hAnsi="Times New Roman Bold"/>
          <w:b/>
          <w:spacing w:val="5"/>
          <w:sz w:val="32"/>
          <w:szCs w:val="32"/>
        </w:rPr>
      </w:pPr>
      <w:bookmarkStart w:id="102" w:name="_Toc52374330"/>
      <w:r w:rsidRPr="00F418EC">
        <w:rPr>
          <w:rFonts w:ascii="Times New Roman Bold" w:eastAsiaTheme="minorHAnsi" w:hAnsi="Times New Roman Bold"/>
          <w:b/>
          <w:spacing w:val="5"/>
          <w:sz w:val="32"/>
          <w:szCs w:val="32"/>
        </w:rPr>
        <w:lastRenderedPageBreak/>
        <w:t>Section 8: Other Quality- and Performance-Based Payments</w:t>
      </w:r>
      <w:bookmarkEnd w:id="102"/>
    </w:p>
    <w:p w14:paraId="699BDB32" w14:textId="77777777" w:rsidR="00F418EC" w:rsidRPr="00F418EC" w:rsidRDefault="00F418EC" w:rsidP="00F418EC">
      <w:p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following provisions regarding Provider Preventable Conditions (PPCs) and Serious Reportable Events (SREs),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1B34F9D0" w14:textId="77777777" w:rsidR="00F418EC" w:rsidRPr="00F418EC" w:rsidRDefault="00F418EC" w:rsidP="00F418EC">
      <w:pPr>
        <w:spacing w:after="200"/>
        <w:outlineLvl w:val="1"/>
        <w:rPr>
          <w:rFonts w:ascii="Times New Roman" w:eastAsiaTheme="minorHAnsi" w:hAnsi="Times New Roman"/>
          <w:b/>
          <w:spacing w:val="0"/>
          <w:sz w:val="28"/>
          <w:szCs w:val="28"/>
        </w:rPr>
      </w:pPr>
      <w:bookmarkStart w:id="103" w:name="_Toc52374331"/>
      <w:r w:rsidRPr="00F418EC">
        <w:rPr>
          <w:rFonts w:ascii="Times New Roman" w:eastAsiaTheme="minorHAnsi" w:hAnsi="Times New Roman"/>
          <w:b/>
          <w:spacing w:val="0"/>
          <w:sz w:val="28"/>
          <w:szCs w:val="28"/>
        </w:rPr>
        <w:t>8.1</w:t>
      </w:r>
      <w:r w:rsidRPr="00F418EC">
        <w:rPr>
          <w:rFonts w:ascii="Times New Roman" w:eastAsiaTheme="minorHAnsi" w:hAnsi="Times New Roman"/>
          <w:b/>
          <w:spacing w:val="0"/>
          <w:sz w:val="28"/>
          <w:szCs w:val="28"/>
        </w:rPr>
        <w:tab/>
        <w:t>[Reserved]</w:t>
      </w:r>
      <w:bookmarkEnd w:id="103"/>
      <w:r w:rsidRPr="00F418EC">
        <w:rPr>
          <w:rFonts w:ascii="Times New Roman" w:eastAsiaTheme="minorHAnsi" w:hAnsi="Times New Roman"/>
          <w:b/>
          <w:spacing w:val="0"/>
          <w:sz w:val="28"/>
          <w:szCs w:val="28"/>
        </w:rPr>
        <w:t xml:space="preserve"> </w:t>
      </w:r>
    </w:p>
    <w:p w14:paraId="5A606293" w14:textId="77777777" w:rsidR="00F418EC" w:rsidRPr="00F418EC" w:rsidRDefault="00F418EC" w:rsidP="00F418EC">
      <w:pPr>
        <w:numPr>
          <w:ilvl w:val="1"/>
          <w:numId w:val="80"/>
        </w:numPr>
        <w:tabs>
          <w:tab w:val="left" w:pos="630"/>
        </w:tabs>
        <w:spacing w:after="200"/>
        <w:ind w:left="630" w:hanging="630"/>
        <w:outlineLvl w:val="1"/>
        <w:rPr>
          <w:rFonts w:ascii="Times New Roman" w:eastAsiaTheme="minorHAnsi" w:hAnsi="Times New Roman"/>
          <w:b/>
          <w:spacing w:val="0"/>
          <w:sz w:val="28"/>
          <w:szCs w:val="28"/>
        </w:rPr>
      </w:pPr>
      <w:bookmarkStart w:id="104" w:name="_Toc52374332"/>
      <w:r w:rsidRPr="00F418EC">
        <w:rPr>
          <w:rFonts w:ascii="Times New Roman" w:eastAsiaTheme="minorHAnsi" w:hAnsi="Times New Roman"/>
          <w:b/>
          <w:spacing w:val="0"/>
          <w:sz w:val="28"/>
          <w:szCs w:val="28"/>
        </w:rPr>
        <w:t>Provider Preventable Conditions</w:t>
      </w:r>
      <w:bookmarkEnd w:id="104"/>
    </w:p>
    <w:p w14:paraId="3EB27C37" w14:textId="77777777" w:rsidR="00F418EC" w:rsidRPr="00F418EC" w:rsidRDefault="00F418EC" w:rsidP="00F418EC">
      <w:pPr>
        <w:spacing w:after="200"/>
        <w:ind w:left="990" w:hanging="360"/>
        <w:outlineLvl w:val="1"/>
        <w:rPr>
          <w:rFonts w:ascii="Times New Roman" w:eastAsiaTheme="minorHAnsi" w:hAnsi="Times New Roman"/>
          <w:b/>
          <w:spacing w:val="0"/>
          <w:sz w:val="28"/>
          <w:szCs w:val="28"/>
        </w:rPr>
      </w:pPr>
      <w:bookmarkStart w:id="105" w:name="_Toc52374333"/>
      <w:r w:rsidRPr="00F418EC">
        <w:rPr>
          <w:rFonts w:ascii="Times New Roman" w:eastAsiaTheme="minorHAnsi" w:hAnsi="Times New Roman"/>
          <w:b/>
          <w:spacing w:val="0"/>
          <w:sz w:val="28"/>
          <w:szCs w:val="28"/>
        </w:rPr>
        <w:t>A</w:t>
      </w:r>
      <w:r w:rsidRPr="00F418EC">
        <w:rPr>
          <w:rFonts w:ascii="Times New Roman" w:eastAsiaTheme="minorHAnsi" w:hAnsi="Times New Roman"/>
          <w:b/>
          <w:spacing w:val="0"/>
          <w:sz w:val="28"/>
          <w:szCs w:val="28"/>
        </w:rPr>
        <w:tab/>
        <w:t>Introduction</w:t>
      </w:r>
      <w:bookmarkEnd w:id="105"/>
    </w:p>
    <w:p w14:paraId="60542983"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17C97723"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Section 8.3,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Section 8.2 governing Provider Preventable Conditions.  The Hospital also shall continue to perform the documented review process and determination for these events, as further described in </w:t>
      </w:r>
      <w:r w:rsidRPr="00F418EC">
        <w:rPr>
          <w:rFonts w:ascii="Times New Roman" w:eastAsiaTheme="minorHAnsi" w:hAnsi="Times New Roman"/>
          <w:b/>
          <w:spacing w:val="0"/>
          <w:szCs w:val="24"/>
        </w:rPr>
        <w:t>Section 8.2.F</w:t>
      </w:r>
      <w:r w:rsidRPr="00F418EC">
        <w:rPr>
          <w:rFonts w:ascii="Times New Roman" w:eastAsiaTheme="minorHAnsi" w:hAnsi="Times New Roman"/>
          <w:spacing w:val="0"/>
          <w:szCs w:val="24"/>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below.</w:t>
      </w:r>
    </w:p>
    <w:p w14:paraId="26EC2673" w14:textId="77777777" w:rsidR="00F418EC" w:rsidRPr="00F418EC" w:rsidRDefault="00F418EC" w:rsidP="00F418EC">
      <w:pPr>
        <w:numPr>
          <w:ilvl w:val="0"/>
          <w:numId w:val="145"/>
        </w:numPr>
        <w:spacing w:after="200"/>
        <w:ind w:left="990"/>
        <w:outlineLvl w:val="1"/>
        <w:rPr>
          <w:rFonts w:ascii="Times New Roman" w:eastAsiaTheme="minorHAnsi" w:hAnsi="Times New Roman"/>
          <w:b/>
          <w:spacing w:val="0"/>
          <w:sz w:val="28"/>
          <w:szCs w:val="28"/>
        </w:rPr>
      </w:pPr>
      <w:bookmarkStart w:id="106" w:name="_Toc52374334"/>
      <w:r w:rsidRPr="00F418EC">
        <w:rPr>
          <w:rFonts w:ascii="Times New Roman" w:eastAsiaTheme="minorHAnsi" w:hAnsi="Times New Roman"/>
          <w:b/>
          <w:spacing w:val="0"/>
          <w:sz w:val="28"/>
          <w:szCs w:val="28"/>
        </w:rPr>
        <w:t>Definitions</w:t>
      </w:r>
      <w:bookmarkEnd w:id="106"/>
    </w:p>
    <w:p w14:paraId="4C8BCE1D" w14:textId="77777777" w:rsidR="00F418EC" w:rsidRPr="00F418EC" w:rsidRDefault="00F418EC" w:rsidP="00F418EC">
      <w:pPr>
        <w:spacing w:after="200"/>
        <w:ind w:left="990"/>
        <w:rPr>
          <w:rFonts w:ascii="Times New Roman" w:eastAsiaTheme="minorHAnsi" w:hAnsi="Times New Roman"/>
          <w:spacing w:val="0"/>
          <w:szCs w:val="24"/>
        </w:rPr>
      </w:pPr>
      <w:r w:rsidRPr="00F418EC">
        <w:rPr>
          <w:rFonts w:ascii="Times New Roman" w:eastAsiaTheme="minorHAnsi" w:hAnsi="Times New Roman"/>
          <w:spacing w:val="0"/>
          <w:szCs w:val="24"/>
        </w:rPr>
        <w:t xml:space="preserve">The following definitions apply to this </w:t>
      </w:r>
      <w:r w:rsidRPr="00F418EC">
        <w:rPr>
          <w:rFonts w:ascii="Times New Roman" w:eastAsiaTheme="minorHAnsi" w:hAnsi="Times New Roman"/>
          <w:b/>
          <w:spacing w:val="0"/>
          <w:szCs w:val="24"/>
        </w:rPr>
        <w:t>Section 8.2</w:t>
      </w:r>
      <w:r w:rsidRPr="00F418EC">
        <w:rPr>
          <w:rFonts w:ascii="Times New Roman" w:eastAsiaTheme="minorHAnsi" w:hAnsi="Times New Roman"/>
          <w:spacing w:val="0"/>
          <w:szCs w:val="24"/>
        </w:rPr>
        <w:t>:</w:t>
      </w:r>
    </w:p>
    <w:p w14:paraId="2A6EFB30"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Provider Preventable Condition (PPC)</w:t>
      </w:r>
      <w:r w:rsidRPr="00F418EC">
        <w:rPr>
          <w:rFonts w:ascii="Times New Roman" w:eastAsiaTheme="minorHAnsi" w:hAnsi="Times New Roman"/>
          <w:spacing w:val="0"/>
          <w:szCs w:val="24"/>
        </w:rPr>
        <w:t xml:space="preserve"> – a condition that meets the definition of a “Health Care Acquired Condition” or an “Other Provider Preventable Condition” as defined by CMS in federal regulations at 42 C.F.R. 447.26(b).  </w:t>
      </w:r>
    </w:p>
    <w:p w14:paraId="7EA7334E"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 xml:space="preserve">Health Care Acquired Conditions (HCACs) </w:t>
      </w:r>
      <w:r w:rsidRPr="00F418EC">
        <w:rPr>
          <w:rFonts w:ascii="Times New Roman" w:eastAsiaTheme="minorHAnsi" w:hAnsi="Times New Roman"/>
          <w:spacing w:val="0"/>
          <w:szCs w:val="24"/>
        </w:rPr>
        <w:t xml:space="preserve">–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w:t>
      </w:r>
      <w:r w:rsidRPr="00F418EC">
        <w:rPr>
          <w:rFonts w:ascii="Times New Roman" w:eastAsiaTheme="minorHAnsi" w:hAnsi="Times New Roman"/>
          <w:spacing w:val="0"/>
          <w:szCs w:val="24"/>
        </w:rPr>
        <w:lastRenderedPageBreak/>
        <w:t>(PE) as related to total knee replacement or hip replacement surgery in pediatric and obstetric patients.</w:t>
      </w:r>
    </w:p>
    <w:p w14:paraId="6F68337D" w14:textId="77777777" w:rsidR="00F418EC" w:rsidRPr="00F418EC" w:rsidRDefault="00F418EC" w:rsidP="00F418EC">
      <w:pPr>
        <w:numPr>
          <w:ilvl w:val="0"/>
          <w:numId w:val="122"/>
        </w:numPr>
        <w:spacing w:after="200"/>
        <w:ind w:left="135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Other Provider Preventable Condition (OPPC) </w:t>
      </w:r>
      <w:r w:rsidRPr="00F418EC">
        <w:rPr>
          <w:rFonts w:ascii="Times New Roman" w:eastAsiaTheme="minorHAnsi" w:hAnsi="Times New Roman"/>
          <w:spacing w:val="0"/>
          <w:szCs w:val="24"/>
        </w:rPr>
        <w:t>– a condition that meets the requirements of an “Other Provider Preventable Condition” pursuant to 42 C.F.R. 447.26(b).  OPPCs may occur in any health care setting and are divided into two sub-categories:</w:t>
      </w:r>
    </w:p>
    <w:p w14:paraId="0B8C41DE" w14:textId="77777777" w:rsidR="00F418EC" w:rsidRPr="00F418EC" w:rsidRDefault="00F418EC" w:rsidP="00F418EC">
      <w:pPr>
        <w:numPr>
          <w:ilvl w:val="0"/>
          <w:numId w:val="123"/>
        </w:numPr>
        <w:spacing w:after="200"/>
        <w:ind w:left="1710"/>
        <w:rPr>
          <w:rFonts w:ascii="Times New Roman" w:eastAsiaTheme="minorHAnsi" w:hAnsi="Times New Roman"/>
          <w:spacing w:val="0"/>
          <w:szCs w:val="24"/>
        </w:rPr>
      </w:pPr>
      <w:r w:rsidRPr="00F418EC">
        <w:rPr>
          <w:rFonts w:ascii="Times New Roman" w:eastAsiaTheme="minorHAnsi" w:hAnsi="Times New Roman"/>
          <w:b/>
          <w:spacing w:val="0"/>
          <w:szCs w:val="24"/>
        </w:rPr>
        <w:t xml:space="preserve">National Coverage Determinations (NCDs) </w:t>
      </w:r>
      <w:r w:rsidRPr="00F418EC">
        <w:rPr>
          <w:rFonts w:ascii="Times New Roman" w:eastAsiaTheme="minorHAnsi" w:hAnsi="Times New Roman"/>
          <w:spacing w:val="0"/>
          <w:szCs w:val="24"/>
        </w:rPr>
        <w:t xml:space="preserve">– The NCDs are mandatory OPPCs under 42 C.F.R. 447.26(b) and consist of the following: </w:t>
      </w:r>
    </w:p>
    <w:p w14:paraId="1EC79414"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Wrong surgical or other invasive procedure performed on a patient;</w:t>
      </w:r>
    </w:p>
    <w:p w14:paraId="6988801B"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Surgical or other invasive procedure performed on the wrong body part; and</w:t>
      </w:r>
    </w:p>
    <w:p w14:paraId="34A77888" w14:textId="77777777" w:rsidR="00F418EC" w:rsidRPr="00F418EC" w:rsidRDefault="00F418EC" w:rsidP="00F418EC">
      <w:pPr>
        <w:numPr>
          <w:ilvl w:val="0"/>
          <w:numId w:val="124"/>
        </w:numPr>
        <w:spacing w:after="200"/>
        <w:ind w:left="2070"/>
        <w:rPr>
          <w:rFonts w:ascii="Times New Roman" w:eastAsiaTheme="minorHAnsi" w:hAnsi="Times New Roman"/>
          <w:spacing w:val="0"/>
          <w:szCs w:val="24"/>
        </w:rPr>
      </w:pPr>
      <w:r w:rsidRPr="00F418EC">
        <w:rPr>
          <w:rFonts w:ascii="Times New Roman" w:eastAsiaTheme="minorHAnsi" w:hAnsi="Times New Roman"/>
          <w:spacing w:val="0"/>
          <w:szCs w:val="24"/>
        </w:rPr>
        <w:t xml:space="preserve">Surgical or other invasive procedure performed on the wrong patient. </w:t>
      </w:r>
    </w:p>
    <w:p w14:paraId="17C7C264" w14:textId="77777777" w:rsidR="00F418EC" w:rsidRPr="00F418EC" w:rsidRDefault="00F418EC" w:rsidP="00F418EC">
      <w:pPr>
        <w:spacing w:after="200"/>
        <w:ind w:left="1710"/>
        <w:rPr>
          <w:rFonts w:ascii="Times New Roman" w:eastAsiaTheme="minorHAnsi" w:hAnsi="Times New Roman"/>
          <w:spacing w:val="0"/>
          <w:szCs w:val="24"/>
        </w:rPr>
      </w:pPr>
      <w:r w:rsidRPr="00F418EC">
        <w:rPr>
          <w:rFonts w:ascii="Times New Roman" w:eastAsiaTheme="minorHAnsi" w:hAnsi="Times New Roman"/>
          <w:spacing w:val="0"/>
          <w:szCs w:val="24"/>
        </w:rPr>
        <w:t>For each of A. through C., above, the term “surgical or other invasive procedure” is as defined in CMS Medicare guidance on NCDs.</w:t>
      </w:r>
    </w:p>
    <w:p w14:paraId="657926A8" w14:textId="77777777" w:rsidR="00F418EC" w:rsidRPr="00F418EC" w:rsidRDefault="00F418EC" w:rsidP="00F418EC">
      <w:pPr>
        <w:numPr>
          <w:ilvl w:val="0"/>
          <w:numId w:val="123"/>
        </w:numPr>
        <w:spacing w:after="200"/>
        <w:ind w:left="1710"/>
        <w:rPr>
          <w:rFonts w:ascii="Times New Roman" w:eastAsiaTheme="minorHAnsi" w:hAnsi="Times New Roman"/>
          <w:spacing w:val="0"/>
          <w:szCs w:val="24"/>
        </w:rPr>
      </w:pPr>
      <w:r w:rsidRPr="00F418EC">
        <w:rPr>
          <w:rFonts w:ascii="Times New Roman" w:eastAsiaTheme="minorHAnsi" w:hAnsi="Times New Roman"/>
          <w:b/>
          <w:spacing w:val="0"/>
          <w:szCs w:val="24"/>
        </w:rPr>
        <w:t>Additional Other Provider Preventable Condition (Additional OPPCs)</w:t>
      </w:r>
      <w:r w:rsidRPr="00F418EC">
        <w:rPr>
          <w:rFonts w:ascii="Times New Roman" w:eastAsiaTheme="minorHAnsi" w:hAnsi="Times New Roman"/>
          <w:spacing w:val="0"/>
          <w:szCs w:val="24"/>
        </w:rPr>
        <w:t xml:space="preserve"> – Additional OPPCs are state-defined OPPCs that meet the requirements of 42 C.F.R. 447.26(b).  EOHHS has designated certain conditions as Additional OPPCs.</w:t>
      </w:r>
    </w:p>
    <w:p w14:paraId="73CCDAF0" w14:textId="77777777" w:rsidR="00F418EC" w:rsidRPr="00F418EC" w:rsidRDefault="00F418EC" w:rsidP="00F418EC">
      <w:pPr>
        <w:numPr>
          <w:ilvl w:val="0"/>
          <w:numId w:val="125"/>
        </w:numPr>
        <w:spacing w:after="200"/>
        <w:outlineLvl w:val="1"/>
        <w:rPr>
          <w:rFonts w:ascii="Times New Roman" w:eastAsiaTheme="minorHAnsi" w:hAnsi="Times New Roman"/>
          <w:b/>
          <w:spacing w:val="0"/>
          <w:sz w:val="28"/>
          <w:szCs w:val="28"/>
        </w:rPr>
      </w:pPr>
      <w:bookmarkStart w:id="107" w:name="_Toc52374335"/>
      <w:r w:rsidRPr="00F418EC">
        <w:rPr>
          <w:rFonts w:ascii="Times New Roman" w:eastAsiaTheme="minorHAnsi" w:hAnsi="Times New Roman"/>
          <w:b/>
          <w:spacing w:val="0"/>
          <w:sz w:val="28"/>
          <w:szCs w:val="28"/>
        </w:rPr>
        <w:t>Hospital Reporting of PPCs to EOHHS</w:t>
      </w:r>
      <w:bookmarkEnd w:id="107"/>
    </w:p>
    <w:p w14:paraId="14F81636"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Appendix V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0C78D430"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1270DC41" w14:textId="77777777" w:rsidR="00F418EC" w:rsidRPr="00F418EC" w:rsidRDefault="00F418EC" w:rsidP="00F418EC">
      <w:pPr>
        <w:numPr>
          <w:ilvl w:val="0"/>
          <w:numId w:val="126"/>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Section 8.2.F, in reviewing any PPC, and in applying any payment adjustment as set forth in </w:t>
      </w:r>
      <w:r w:rsidRPr="00F418EC">
        <w:rPr>
          <w:rFonts w:ascii="Times New Roman" w:eastAsiaTheme="minorHAnsi" w:hAnsi="Times New Roman"/>
          <w:b/>
          <w:spacing w:val="0"/>
          <w:szCs w:val="24"/>
        </w:rPr>
        <w:t>Section 8.2.D</w:t>
      </w:r>
      <w:r w:rsidRPr="00F418EC">
        <w:rPr>
          <w:rFonts w:ascii="Times New Roman" w:eastAsiaTheme="minorHAnsi" w:hAnsi="Times New Roman"/>
          <w:spacing w:val="0"/>
          <w:szCs w:val="24"/>
        </w:rPr>
        <w:t>, below.</w:t>
      </w:r>
    </w:p>
    <w:p w14:paraId="0EBE608A" w14:textId="77777777" w:rsidR="00F418EC" w:rsidRPr="00F418EC" w:rsidRDefault="00F418EC" w:rsidP="00F418EC">
      <w:pPr>
        <w:numPr>
          <w:ilvl w:val="0"/>
          <w:numId w:val="127"/>
        </w:numPr>
        <w:spacing w:after="200"/>
        <w:outlineLvl w:val="1"/>
        <w:rPr>
          <w:rFonts w:ascii="Times New Roman" w:eastAsiaTheme="minorHAnsi" w:hAnsi="Times New Roman"/>
          <w:b/>
          <w:spacing w:val="0"/>
          <w:sz w:val="28"/>
          <w:szCs w:val="28"/>
        </w:rPr>
      </w:pPr>
      <w:bookmarkStart w:id="108" w:name="_Toc52374336"/>
      <w:r w:rsidRPr="00F418EC">
        <w:rPr>
          <w:rFonts w:ascii="Times New Roman" w:eastAsiaTheme="minorHAnsi" w:hAnsi="Times New Roman"/>
          <w:b/>
          <w:spacing w:val="0"/>
          <w:sz w:val="28"/>
          <w:szCs w:val="28"/>
        </w:rPr>
        <w:t>Payment Adjustments to Hospitals for Provider Preventable Conditions</w:t>
      </w:r>
      <w:bookmarkEnd w:id="108"/>
    </w:p>
    <w:p w14:paraId="388A4714"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lastRenderedPageBreak/>
        <w:t>Inpatient Hospital Services</w:t>
      </w:r>
      <w:r w:rsidRPr="00F418EC">
        <w:rPr>
          <w:rFonts w:ascii="Times New Roman" w:eastAsiaTheme="minorHAnsi" w:hAnsi="Times New Roman"/>
          <w:spacing w:val="0"/>
          <w:szCs w:val="24"/>
        </w:rPr>
        <w:t xml:space="preserve"> – For inpatient hospital services, when a Hospital reports a PPC that the Hospital indicates was not present on admission, EOHHS will reduce payments to the Hospital as follows:</w:t>
      </w:r>
    </w:p>
    <w:p w14:paraId="2BD5A5E8" w14:textId="77777777" w:rsidR="00F418EC" w:rsidRPr="00F418EC" w:rsidRDefault="00F418EC" w:rsidP="00F418EC">
      <w:pPr>
        <w:numPr>
          <w:ilvl w:val="0"/>
          <w:numId w:val="129"/>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APAD, Outlier Payment and Transfer per diem payments.</w:t>
      </w:r>
      <w:r w:rsidRPr="00F418EC">
        <w:rPr>
          <w:rFonts w:ascii="Times New Roman" w:eastAsiaTheme="minorHAnsi" w:hAnsi="Times New Roman"/>
          <w:spacing w:val="0"/>
          <w:szCs w:val="24"/>
        </w:rPr>
        <w:t xml:space="preserve">  For inpatient services for which the Hospital would otherwise be paid an APAD, Outlier Payment or Transfer per diem payment:</w:t>
      </w:r>
    </w:p>
    <w:p w14:paraId="3E4A6E61" w14:textId="77777777" w:rsidR="00F418EC" w:rsidRPr="00F418EC" w:rsidRDefault="00F418EC" w:rsidP="00F418EC">
      <w:pPr>
        <w:numPr>
          <w:ilvl w:val="0"/>
          <w:numId w:val="13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48794273" w14:textId="77777777" w:rsidR="00F418EC" w:rsidRPr="00F418EC" w:rsidRDefault="00F418EC" w:rsidP="00F418EC">
      <w:pPr>
        <w:numPr>
          <w:ilvl w:val="0"/>
          <w:numId w:val="13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6EF70CFE" w14:textId="77777777" w:rsidR="00F418EC" w:rsidRPr="00F418EC" w:rsidRDefault="00F418EC" w:rsidP="00F418EC">
      <w:pPr>
        <w:numPr>
          <w:ilvl w:val="0"/>
          <w:numId w:val="131"/>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Psychiatric, Rehabilitation Unit, or Administrative Day Per Diem payments.</w:t>
      </w:r>
      <w:r w:rsidRPr="00F418EC">
        <w:rPr>
          <w:rFonts w:ascii="Times New Roman" w:eastAsiaTheme="minorHAnsi" w:hAnsi="Times New Roman"/>
          <w:spacing w:val="0"/>
          <w:szCs w:val="24"/>
        </w:rPr>
        <w:t xml:space="preserve">  For inpatient services for which the Hospital would otherwise be paid a Psychiatric, Rehabilitation Unit or Administrative Day per diem:  </w:t>
      </w:r>
    </w:p>
    <w:p w14:paraId="16BA5699" w14:textId="77777777" w:rsidR="00F418EC" w:rsidRPr="00F418EC" w:rsidRDefault="00F418EC" w:rsidP="00F418EC">
      <w:pPr>
        <w:numPr>
          <w:ilvl w:val="0"/>
          <w:numId w:val="13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14:paraId="0598FBD6" w14:textId="77777777" w:rsidR="00F418EC" w:rsidRPr="00F418EC" w:rsidRDefault="00F418EC" w:rsidP="00F418EC">
      <w:pPr>
        <w:numPr>
          <w:ilvl w:val="0"/>
          <w:numId w:val="13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5901E275" w14:textId="77777777" w:rsidR="00F418EC" w:rsidRPr="00F418EC" w:rsidRDefault="00F418EC" w:rsidP="00F418EC">
      <w:pPr>
        <w:numPr>
          <w:ilvl w:val="0"/>
          <w:numId w:val="12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Inpatient Hospital Payments for Hospital-Based Physician Services:</w:t>
      </w:r>
      <w:r w:rsidRPr="00F418EC">
        <w:rPr>
          <w:rFonts w:ascii="Times New Roman" w:eastAsiaTheme="minorHAnsi" w:hAnsi="Times New Roman"/>
          <w:spacing w:val="0"/>
          <w:szCs w:val="24"/>
        </w:rPr>
        <w:t xml:space="preserve">  MassHealth will not pay for inpatient Hospital-based physician services reported as PPC-related services.</w:t>
      </w:r>
    </w:p>
    <w:p w14:paraId="385998AB" w14:textId="77777777" w:rsidR="00F418EC" w:rsidRPr="00F418EC" w:rsidRDefault="00F418EC" w:rsidP="00F418EC">
      <w:pPr>
        <w:numPr>
          <w:ilvl w:val="0"/>
          <w:numId w:val="12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Follow-up Care in Same Hospital:</w:t>
      </w:r>
      <w:r w:rsidRPr="00F418EC">
        <w:rPr>
          <w:rFonts w:ascii="Times New Roman" w:eastAsiaTheme="minorHAnsi" w:hAnsi="Times New Roman"/>
          <w:spacing w:val="0"/>
          <w:szCs w:val="24"/>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60429CC1"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 xml:space="preserve">Outpatient Hospital Services </w:t>
      </w:r>
      <w:r w:rsidRPr="00F418EC">
        <w:rPr>
          <w:rFonts w:ascii="Times New Roman" w:eastAsiaTheme="minorHAnsi" w:hAnsi="Times New Roman"/>
          <w:spacing w:val="0"/>
          <w:szCs w:val="24"/>
        </w:rPr>
        <w:t>– For outpatient hospital services, when a Hospital reports that a PPC occurred during treatment at the Hospital (including its satellite clinics), MassHealth will reduce payments to the Hospital as follows:</w:t>
      </w:r>
    </w:p>
    <w:p w14:paraId="768480A3"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APEC</w:t>
      </w:r>
      <w:r w:rsidRPr="00F418EC">
        <w:rPr>
          <w:rFonts w:ascii="Times New Roman" w:eastAsiaTheme="minorHAnsi" w:hAnsi="Times New Roman"/>
          <w:spacing w:val="0"/>
          <w:szCs w:val="24"/>
        </w:rPr>
        <w:t>.  For outpatient services for which the Hospital would otherwise be paid the APEC:</w:t>
      </w:r>
    </w:p>
    <w:p w14:paraId="5447D5F7" w14:textId="77777777" w:rsidR="00F418EC" w:rsidRPr="00F418EC" w:rsidRDefault="00F418EC" w:rsidP="00F418EC">
      <w:pPr>
        <w:numPr>
          <w:ilvl w:val="0"/>
          <w:numId w:val="13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62E83C2C" w14:textId="77777777" w:rsidR="00F418EC" w:rsidRPr="00F418EC" w:rsidRDefault="00F418EC" w:rsidP="00F418EC">
      <w:pPr>
        <w:numPr>
          <w:ilvl w:val="0"/>
          <w:numId w:val="134"/>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02593CDA"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Outpatient Hospital Payments for Hospital-Based Physician Services:</w:t>
      </w:r>
      <w:r w:rsidRPr="00F418EC">
        <w:rPr>
          <w:rFonts w:ascii="Times New Roman" w:eastAsiaTheme="minorHAnsi" w:hAnsi="Times New Roman"/>
          <w:spacing w:val="0"/>
          <w:szCs w:val="24"/>
        </w:rPr>
        <w:t xml:space="preserve">  MassHealth will not pay for outpatient Hospital-based physician services reported as PPC-related services.</w:t>
      </w:r>
    </w:p>
    <w:p w14:paraId="34803B02" w14:textId="77777777" w:rsidR="00F418EC" w:rsidRPr="00F418EC" w:rsidRDefault="00F418EC" w:rsidP="00F418EC">
      <w:pPr>
        <w:numPr>
          <w:ilvl w:val="0"/>
          <w:numId w:val="133"/>
        </w:numPr>
        <w:spacing w:after="200"/>
        <w:rPr>
          <w:rFonts w:ascii="Times New Roman" w:eastAsiaTheme="minorHAnsi" w:hAnsi="Times New Roman"/>
          <w:spacing w:val="0"/>
          <w:szCs w:val="24"/>
        </w:rPr>
      </w:pPr>
      <w:r w:rsidRPr="00F418EC">
        <w:rPr>
          <w:rFonts w:ascii="Times New Roman" w:eastAsiaTheme="minorHAnsi" w:hAnsi="Times New Roman"/>
          <w:b/>
          <w:spacing w:val="0"/>
          <w:szCs w:val="24"/>
        </w:rPr>
        <w:t>Follow-Up Care in Same Hospital:</w:t>
      </w:r>
      <w:r w:rsidRPr="00F418EC">
        <w:rPr>
          <w:rFonts w:ascii="Times New Roman" w:eastAsiaTheme="minorHAnsi" w:hAnsi="Times New Roman"/>
          <w:spacing w:val="0"/>
          <w:szCs w:val="24"/>
        </w:rPr>
        <w:t xml:space="preserve">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6647DF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For each of subsection D.1 and D.2, above, the PPC non-payment provisions also apply to third-party liability and crossover payments by MassHealth.</w:t>
      </w:r>
    </w:p>
    <w:p w14:paraId="48414D1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0C373577" w14:textId="77777777" w:rsidR="00F418EC" w:rsidRPr="00F418EC" w:rsidRDefault="00F418EC" w:rsidP="00F418EC">
      <w:pPr>
        <w:numPr>
          <w:ilvl w:val="0"/>
          <w:numId w:val="12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In the event that individual cases are identified throughout the MassHealth PPC implementation period, EOHHS may adjust reimbursement according to the methodology above.</w:t>
      </w:r>
    </w:p>
    <w:p w14:paraId="3D0ABBFF" w14:textId="77777777" w:rsidR="00F418EC" w:rsidRPr="00F418EC" w:rsidRDefault="00F418EC" w:rsidP="00F418EC">
      <w:pPr>
        <w:numPr>
          <w:ilvl w:val="0"/>
          <w:numId w:val="135"/>
        </w:numPr>
        <w:spacing w:after="200"/>
        <w:outlineLvl w:val="1"/>
        <w:rPr>
          <w:rFonts w:ascii="Times New Roman" w:eastAsiaTheme="minorHAnsi" w:hAnsi="Times New Roman"/>
          <w:b/>
          <w:spacing w:val="0"/>
          <w:sz w:val="28"/>
          <w:szCs w:val="28"/>
        </w:rPr>
      </w:pPr>
      <w:bookmarkStart w:id="109" w:name="_Toc52374337"/>
      <w:r w:rsidRPr="00F418EC">
        <w:rPr>
          <w:rFonts w:ascii="Times New Roman" w:eastAsiaTheme="minorHAnsi" w:hAnsi="Times New Roman"/>
          <w:b/>
          <w:spacing w:val="0"/>
          <w:sz w:val="28"/>
          <w:szCs w:val="28"/>
        </w:rPr>
        <w:t>Additional Requirements</w:t>
      </w:r>
      <w:bookmarkEnd w:id="109"/>
    </w:p>
    <w:p w14:paraId="5FDAEE1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6CECDAFE" w14:textId="77777777" w:rsidR="00F418EC" w:rsidRPr="00F418EC" w:rsidRDefault="00F418EC" w:rsidP="00F418EC">
      <w:pPr>
        <w:numPr>
          <w:ilvl w:val="0"/>
          <w:numId w:val="135"/>
        </w:numPr>
        <w:spacing w:after="200"/>
        <w:outlineLvl w:val="1"/>
        <w:rPr>
          <w:rFonts w:ascii="Times New Roman" w:eastAsiaTheme="minorHAnsi" w:hAnsi="Times New Roman"/>
          <w:b/>
          <w:spacing w:val="0"/>
          <w:sz w:val="28"/>
          <w:szCs w:val="28"/>
        </w:rPr>
      </w:pPr>
      <w:bookmarkStart w:id="110" w:name="_Toc52374338"/>
      <w:r w:rsidRPr="00F418EC">
        <w:rPr>
          <w:rFonts w:ascii="Times New Roman" w:eastAsiaTheme="minorHAnsi" w:hAnsi="Times New Roman"/>
          <w:b/>
          <w:spacing w:val="0"/>
          <w:sz w:val="28"/>
          <w:szCs w:val="28"/>
        </w:rPr>
        <w:t>Reporting to the Massachusetts Department of Public Health</w:t>
      </w:r>
      <w:bookmarkEnd w:id="110"/>
    </w:p>
    <w:p w14:paraId="559A3F07"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In addition to complying with </w:t>
      </w:r>
      <w:r w:rsidRPr="00F418EC">
        <w:rPr>
          <w:rFonts w:ascii="Times New Roman" w:eastAsiaTheme="minorHAnsi" w:hAnsi="Times New Roman"/>
          <w:b/>
          <w:spacing w:val="0"/>
          <w:szCs w:val="24"/>
        </w:rPr>
        <w:t>Sections 8.2.A</w:t>
      </w:r>
      <w:r w:rsidRPr="00F418EC">
        <w:rPr>
          <w:rFonts w:ascii="Times New Roman" w:eastAsiaTheme="minorHAnsi" w:hAnsi="Times New Roman"/>
          <w:spacing w:val="0"/>
          <w:szCs w:val="24"/>
        </w:rPr>
        <w:t xml:space="preserve"> through</w:t>
      </w:r>
      <w:r w:rsidRPr="00F418EC">
        <w:rPr>
          <w:rFonts w:ascii="Times New Roman" w:eastAsiaTheme="minorHAnsi" w:hAnsi="Times New Roman"/>
          <w:b/>
          <w:spacing w:val="0"/>
          <w:szCs w:val="24"/>
        </w:rPr>
        <w:t xml:space="preserve"> E</w:t>
      </w:r>
      <w:r w:rsidRPr="00F418EC">
        <w:rPr>
          <w:rFonts w:ascii="Times New Roman" w:eastAsiaTheme="minorHAnsi" w:hAnsi="Times New Roman"/>
          <w:spacing w:val="0"/>
          <w:szCs w:val="24"/>
        </w:rPr>
        <w:t xml:space="preserve">,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w:t>
      </w:r>
      <w:r w:rsidRPr="00F418EC">
        <w:rPr>
          <w:rFonts w:ascii="Times New Roman" w:eastAsiaTheme="minorHAnsi" w:hAnsi="Times New Roman"/>
          <w:spacing w:val="0"/>
          <w:szCs w:val="24"/>
        </w:rPr>
        <w:lastRenderedPageBreak/>
        <w:t>patient as required by and in accordance with DPH regulations at 105 CMR 130.332(B) and (C).  The copies to MassHealth must be sent via secure e-mail to:</w:t>
      </w:r>
    </w:p>
    <w:p w14:paraId="1970DA05"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PPC/Serious Reportable Event Coordinator</w:t>
      </w:r>
    </w:p>
    <w:p w14:paraId="1968A991"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MassHealth Quality Office</w:t>
      </w:r>
    </w:p>
    <w:p w14:paraId="5F3DD88B" w14:textId="77777777" w:rsidR="00F418EC" w:rsidRPr="00F418EC" w:rsidRDefault="006B4C40" w:rsidP="00F418EC">
      <w:pPr>
        <w:spacing w:after="200"/>
        <w:ind w:left="1440"/>
        <w:contextualSpacing/>
        <w:rPr>
          <w:rFonts w:ascii="Times New Roman" w:eastAsiaTheme="minorHAnsi" w:hAnsi="Times New Roman"/>
          <w:spacing w:val="0"/>
          <w:szCs w:val="24"/>
        </w:rPr>
      </w:pPr>
      <w:hyperlink r:id="rId36" w:history="1">
        <w:r w:rsidR="00F418EC" w:rsidRPr="00F418EC">
          <w:rPr>
            <w:rFonts w:ascii="Times New Roman" w:eastAsiaTheme="minorHAnsi" w:hAnsi="Times New Roman"/>
            <w:color w:val="0000FF" w:themeColor="hyperlink"/>
            <w:spacing w:val="0"/>
            <w:szCs w:val="24"/>
            <w:u w:val="single"/>
          </w:rPr>
          <w:t>MQO@mass.gov</w:t>
        </w:r>
      </w:hyperlink>
    </w:p>
    <w:p w14:paraId="62A94787" w14:textId="77777777" w:rsidR="00F418EC" w:rsidRPr="00F418EC" w:rsidRDefault="00F418EC" w:rsidP="00F418EC">
      <w:pPr>
        <w:spacing w:after="200"/>
        <w:ind w:left="1440"/>
        <w:contextualSpacing/>
        <w:rPr>
          <w:rFonts w:ascii="Times New Roman" w:eastAsiaTheme="minorHAnsi" w:hAnsi="Times New Roman"/>
          <w:spacing w:val="0"/>
          <w:szCs w:val="24"/>
        </w:rPr>
      </w:pPr>
      <w:r w:rsidRPr="00F418EC">
        <w:rPr>
          <w:rFonts w:ascii="Times New Roman" w:eastAsiaTheme="minorHAnsi" w:hAnsi="Times New Roman"/>
          <w:spacing w:val="0"/>
          <w:szCs w:val="24"/>
        </w:rPr>
        <w:t>Subject Line:  PPC/SRE Report</w:t>
      </w:r>
    </w:p>
    <w:p w14:paraId="1329E9A0" w14:textId="77777777" w:rsidR="00F418EC" w:rsidRPr="00F418EC" w:rsidRDefault="00F418EC" w:rsidP="00F418EC">
      <w:pPr>
        <w:spacing w:after="200"/>
        <w:ind w:left="1440"/>
        <w:contextualSpacing/>
        <w:rPr>
          <w:rFonts w:ascii="Times New Roman" w:eastAsiaTheme="minorHAnsi" w:hAnsi="Times New Roman"/>
          <w:spacing w:val="0"/>
          <w:szCs w:val="24"/>
        </w:rPr>
      </w:pPr>
    </w:p>
    <w:p w14:paraId="49F461F6" w14:textId="77777777" w:rsidR="00F418EC" w:rsidRPr="00F418EC" w:rsidRDefault="00F418EC" w:rsidP="00F418EC">
      <w:pPr>
        <w:spacing w:after="200"/>
        <w:ind w:left="1440"/>
        <w:rPr>
          <w:rFonts w:ascii="Times New Roman" w:eastAsiaTheme="minorHAnsi" w:hAnsi="Times New Roman"/>
          <w:spacing w:val="0"/>
          <w:szCs w:val="24"/>
        </w:rPr>
      </w:pPr>
    </w:p>
    <w:p w14:paraId="3F5EF51B" w14:textId="77777777" w:rsidR="00F418EC" w:rsidRPr="00F418EC" w:rsidRDefault="00F418EC" w:rsidP="00F418EC">
      <w:pPr>
        <w:spacing w:after="200"/>
        <w:ind w:left="720"/>
        <w:rPr>
          <w:rFonts w:ascii="Times New Roman" w:eastAsiaTheme="minorHAnsi" w:hAnsi="Times New Roman"/>
          <w:spacing w:val="0"/>
          <w:szCs w:val="24"/>
        </w:rPr>
      </w:pPr>
      <w:r w:rsidRPr="00F418EC">
        <w:rPr>
          <w:rFonts w:ascii="Times New Roman" w:eastAsiaTheme="minorHAnsi" w:hAnsi="Times New Roman"/>
          <w:spacing w:val="0"/>
          <w:szCs w:val="24"/>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418EC">
        <w:rPr>
          <w:rFonts w:ascii="Times New Roman" w:eastAsiaTheme="minorHAnsi" w:hAnsi="Times New Roman"/>
          <w:b/>
          <w:spacing w:val="0"/>
          <w:szCs w:val="24"/>
        </w:rPr>
        <w:t>Section 8.2</w:t>
      </w:r>
      <w:r w:rsidRPr="00F418EC">
        <w:rPr>
          <w:rFonts w:ascii="Times New Roman" w:eastAsiaTheme="minorHAnsi" w:hAnsi="Times New Roman"/>
          <w:spacing w:val="0"/>
          <w:szCs w:val="24"/>
        </w:rPr>
        <w:t xml:space="preserve"> and not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below.</w:t>
      </w:r>
    </w:p>
    <w:p w14:paraId="38EDE560" w14:textId="77777777" w:rsidR="00F418EC" w:rsidRPr="00F418EC" w:rsidRDefault="00F418EC" w:rsidP="00F418EC">
      <w:pPr>
        <w:keepNext/>
        <w:numPr>
          <w:ilvl w:val="1"/>
          <w:numId w:val="80"/>
        </w:numPr>
        <w:spacing w:after="200"/>
        <w:ind w:left="720" w:hanging="720"/>
        <w:outlineLvl w:val="1"/>
        <w:rPr>
          <w:rFonts w:ascii="Times New Roman" w:eastAsiaTheme="minorHAnsi" w:hAnsi="Times New Roman"/>
          <w:b/>
          <w:spacing w:val="0"/>
          <w:sz w:val="28"/>
          <w:szCs w:val="28"/>
        </w:rPr>
      </w:pPr>
      <w:bookmarkStart w:id="111" w:name="_Toc52374339"/>
      <w:r w:rsidRPr="00F418EC">
        <w:rPr>
          <w:rFonts w:ascii="Times New Roman" w:eastAsiaTheme="minorHAnsi" w:hAnsi="Times New Roman"/>
          <w:b/>
          <w:spacing w:val="0"/>
          <w:sz w:val="28"/>
          <w:szCs w:val="28"/>
        </w:rPr>
        <w:t>Serious Reportable Events</w:t>
      </w:r>
      <w:bookmarkEnd w:id="111"/>
    </w:p>
    <w:p w14:paraId="1985622E"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2" w:name="_Toc52374340"/>
      <w:r w:rsidRPr="00F418EC">
        <w:rPr>
          <w:rFonts w:ascii="Times New Roman" w:eastAsiaTheme="minorHAnsi" w:hAnsi="Times New Roman"/>
          <w:b/>
          <w:spacing w:val="0"/>
          <w:sz w:val="28"/>
          <w:szCs w:val="28"/>
        </w:rPr>
        <w:t>Applicability</w:t>
      </w:r>
      <w:bookmarkEnd w:id="112"/>
    </w:p>
    <w:p w14:paraId="2D142B12" w14:textId="77777777" w:rsidR="00F418EC" w:rsidRPr="00F418EC" w:rsidRDefault="00F418EC" w:rsidP="00F418EC">
      <w:pPr>
        <w:numPr>
          <w:ilvl w:val="0"/>
          <w:numId w:val="137"/>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“Serious Reportable Events (SREs)” for purposes of this </w:t>
      </w:r>
      <w:r w:rsidRPr="00F418EC">
        <w:rPr>
          <w:rFonts w:ascii="Times New Roman" w:eastAsiaTheme="minorHAnsi" w:hAnsi="Times New Roman"/>
          <w:b/>
          <w:spacing w:val="0"/>
          <w:szCs w:val="24"/>
        </w:rPr>
        <w:t>Section 8.3</w:t>
      </w:r>
      <w:r w:rsidRPr="00F418EC">
        <w:rPr>
          <w:rFonts w:ascii="Times New Roman" w:eastAsiaTheme="minorHAnsi" w:hAnsi="Times New Roman"/>
          <w:spacing w:val="0"/>
          <w:szCs w:val="24"/>
        </w:rPr>
        <w:t xml:space="preserve"> shall mean those serious reportable events (SREs) listed in Appendix U of the Hospital’s Acute Inpatient Hospital and Acute Outpatient Hospital MassHealth provider manuals. All references to SREs in </w:t>
      </w:r>
      <w:r w:rsidRPr="00F418EC">
        <w:rPr>
          <w:rFonts w:ascii="Times New Roman" w:eastAsiaTheme="minorHAnsi" w:hAnsi="Times New Roman"/>
          <w:b/>
          <w:spacing w:val="0"/>
          <w:szCs w:val="24"/>
        </w:rPr>
        <w:t>Sections 8.3.B</w:t>
      </w:r>
      <w:r w:rsidRPr="00F418EC">
        <w:rPr>
          <w:rFonts w:ascii="Times New Roman" w:eastAsiaTheme="minorHAnsi" w:hAnsi="Times New Roman"/>
          <w:spacing w:val="0"/>
          <w:szCs w:val="24"/>
        </w:rPr>
        <w:t xml:space="preserve"> through </w:t>
      </w:r>
      <w:r w:rsidRPr="00F418EC">
        <w:rPr>
          <w:rFonts w:ascii="Times New Roman" w:eastAsiaTheme="minorHAnsi" w:hAnsi="Times New Roman"/>
          <w:b/>
          <w:spacing w:val="0"/>
          <w:szCs w:val="24"/>
        </w:rPr>
        <w:t>8.3.D</w:t>
      </w:r>
      <w:r w:rsidRPr="00F418EC">
        <w:rPr>
          <w:rFonts w:ascii="Times New Roman" w:eastAsiaTheme="minorHAnsi" w:hAnsi="Times New Roman"/>
          <w:spacing w:val="0"/>
          <w:szCs w:val="24"/>
        </w:rPr>
        <w:t xml:space="preserve">, below, are subject to this </w:t>
      </w:r>
      <w:r w:rsidRPr="00F418EC">
        <w:rPr>
          <w:rFonts w:ascii="Times New Roman" w:eastAsiaTheme="minorHAnsi" w:hAnsi="Times New Roman"/>
          <w:b/>
          <w:spacing w:val="0"/>
          <w:szCs w:val="24"/>
        </w:rPr>
        <w:t>Section 8.3.A</w:t>
      </w:r>
      <w:r w:rsidRPr="00F418EC">
        <w:rPr>
          <w:rFonts w:ascii="Times New Roman" w:eastAsiaTheme="minorHAnsi" w:hAnsi="Times New Roman"/>
          <w:spacing w:val="0"/>
          <w:szCs w:val="24"/>
        </w:rPr>
        <w:t>.</w:t>
      </w:r>
    </w:p>
    <w:p w14:paraId="79C51964"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 xml:space="preserve">From time to time, EOHHS may update the list of SREs that are subject to this </w:t>
      </w:r>
      <w:r w:rsidRPr="00F418EC">
        <w:rPr>
          <w:rFonts w:ascii="Times New Roman" w:eastAsiaTheme="minorHAnsi" w:hAnsi="Times New Roman"/>
          <w:b/>
          <w:spacing w:val="0"/>
          <w:szCs w:val="24"/>
        </w:rPr>
        <w:t xml:space="preserve">Section 8.3 </w:t>
      </w:r>
      <w:r w:rsidRPr="00F418EC">
        <w:rPr>
          <w:rFonts w:ascii="Times New Roman" w:eastAsiaTheme="minorHAnsi" w:hAnsi="Times New Roman"/>
          <w:spacing w:val="0"/>
          <w:szCs w:val="24"/>
        </w:rPr>
        <w:t>through issuing provider bulletins or updates to provider manuals, or through other written statements of policy.</w:t>
      </w:r>
    </w:p>
    <w:p w14:paraId="196C18F3" w14:textId="77777777" w:rsidR="00F418EC" w:rsidRPr="00F418EC" w:rsidRDefault="00F418EC" w:rsidP="00F418EC">
      <w:pPr>
        <w:numPr>
          <w:ilvl w:val="0"/>
          <w:numId w:val="137"/>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6305F36C"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3" w:name="_Toc52374341"/>
      <w:r w:rsidRPr="00F418EC">
        <w:rPr>
          <w:rFonts w:ascii="Times New Roman" w:eastAsiaTheme="minorHAnsi" w:hAnsi="Times New Roman"/>
          <w:b/>
          <w:spacing w:val="0"/>
          <w:sz w:val="28"/>
          <w:szCs w:val="28"/>
        </w:rPr>
        <w:t>Scope of Non-Reimbursable Services</w:t>
      </w:r>
      <w:bookmarkEnd w:id="113"/>
    </w:p>
    <w:p w14:paraId="76586B92" w14:textId="77777777" w:rsidR="00F418EC" w:rsidRPr="00F418EC" w:rsidRDefault="00F418EC" w:rsidP="00F418EC">
      <w:pPr>
        <w:numPr>
          <w:ilvl w:val="0"/>
          <w:numId w:val="13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MassHealth’s SRE policy applies to both Hospitals and Hospital-Based Physicians.</w:t>
      </w:r>
    </w:p>
    <w:p w14:paraId="3923AB1D" w14:textId="77777777" w:rsidR="00F418EC" w:rsidRPr="00F418EC" w:rsidRDefault="00F418EC" w:rsidP="00F418EC">
      <w:pPr>
        <w:numPr>
          <w:ilvl w:val="0"/>
          <w:numId w:val="138"/>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  Non-reimbursable Hospital and Hospital-based physician services include:</w:t>
      </w:r>
    </w:p>
    <w:p w14:paraId="286840BE"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services provided during the inpatient admission or outpatient visit during which a preventable SRE occurred; and</w:t>
      </w:r>
    </w:p>
    <w:p w14:paraId="42887E42"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All services provided during readmissions and follow-up outpatient visits as a result of a non-billable SRE provided:</w:t>
      </w:r>
    </w:p>
    <w:p w14:paraId="09607D86" w14:textId="77777777" w:rsidR="00F418EC" w:rsidRPr="00F418EC" w:rsidRDefault="00F418EC" w:rsidP="00F418EC">
      <w:pPr>
        <w:numPr>
          <w:ilvl w:val="0"/>
          <w:numId w:val="14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At a facility under the same license as the hospital at which a non-billable SRE occurred; or </w:t>
      </w:r>
    </w:p>
    <w:p w14:paraId="55BC4576" w14:textId="77777777" w:rsidR="00F418EC" w:rsidRPr="00F418EC" w:rsidRDefault="00F418EC" w:rsidP="00F418EC">
      <w:pPr>
        <w:numPr>
          <w:ilvl w:val="0"/>
          <w:numId w:val="140"/>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On the premises of a separately licensed hospital or ambulatory surgery center with common ownership or a common corporate parent of the hospital at which a non-billable SRE occurred.</w:t>
      </w:r>
    </w:p>
    <w:p w14:paraId="32C19A28"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Charges for services, including co-payments or deductibles, deemed non-billable to MassHealth are not billable to the member.</w:t>
      </w:r>
    </w:p>
    <w:p w14:paraId="4843C5A6"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The non-payment provision of this RFA also applies to third-party liability and/or crossover payments by MassHealth.</w:t>
      </w:r>
    </w:p>
    <w:p w14:paraId="6B025854" w14:textId="77777777" w:rsidR="00F418EC" w:rsidRPr="00F418EC" w:rsidRDefault="00F418EC" w:rsidP="00F418EC">
      <w:pPr>
        <w:numPr>
          <w:ilvl w:val="0"/>
          <w:numId w:val="139"/>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not involved in the occurrence of a preventable SRE that also does not meet the criteria in </w:t>
      </w:r>
      <w:r w:rsidRPr="00F418EC">
        <w:rPr>
          <w:rFonts w:ascii="Times New Roman" w:eastAsiaTheme="minorHAnsi" w:hAnsi="Times New Roman"/>
          <w:b/>
          <w:spacing w:val="0"/>
          <w:szCs w:val="24"/>
        </w:rPr>
        <w:t>Section 8.3.B.2.b</w:t>
      </w:r>
      <w:r w:rsidRPr="00F418EC">
        <w:rPr>
          <w:rFonts w:ascii="Times New Roman" w:eastAsiaTheme="minorHAnsi" w:hAnsi="Times New Roman"/>
          <w:spacing w:val="0"/>
          <w:szCs w:val="24"/>
        </w:rPr>
        <w:t>, and that provides inpatient or outpatient services to a patient who previously incurred an SRE, may bill MassHealth for all medically necessary Hospital and Hospital-Based Physician services provided to the patient following a preventable SRE.</w:t>
      </w:r>
    </w:p>
    <w:p w14:paraId="5403855A"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4" w:name="_Toc52374342"/>
      <w:r w:rsidRPr="00F418EC">
        <w:rPr>
          <w:rFonts w:ascii="Times New Roman" w:eastAsiaTheme="minorHAnsi" w:hAnsi="Times New Roman"/>
          <w:b/>
          <w:spacing w:val="0"/>
          <w:sz w:val="28"/>
          <w:szCs w:val="28"/>
        </w:rPr>
        <w:t>Required Reporting and Preventability Determination</w:t>
      </w:r>
      <w:bookmarkEnd w:id="114"/>
    </w:p>
    <w:p w14:paraId="261FAAD5" w14:textId="77777777" w:rsidR="00F418EC" w:rsidRPr="00F418EC" w:rsidRDefault="00F418EC" w:rsidP="00F418EC">
      <w:pPr>
        <w:numPr>
          <w:ilvl w:val="0"/>
          <w:numId w:val="14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27E97EC1" w14:textId="77777777" w:rsidR="00F418EC" w:rsidRPr="00F418EC" w:rsidRDefault="00F418EC" w:rsidP="00F418EC">
      <w:pPr>
        <w:numPr>
          <w:ilvl w:val="0"/>
          <w:numId w:val="141"/>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A Hospital shall notify the MassHealth program of the occurrence of an SRE by securely emailing a copy of the report as filed with DPH pursuant to </w:t>
      </w:r>
      <w:r w:rsidRPr="00F418EC">
        <w:rPr>
          <w:rFonts w:ascii="Times New Roman" w:eastAsiaTheme="minorHAnsi" w:hAnsi="Times New Roman"/>
          <w:b/>
          <w:spacing w:val="0"/>
          <w:szCs w:val="24"/>
        </w:rPr>
        <w:t xml:space="preserve">Section 8.3.C.1 </w:t>
      </w:r>
      <w:r w:rsidRPr="00F418EC">
        <w:rPr>
          <w:rFonts w:ascii="Times New Roman" w:eastAsiaTheme="minorHAnsi" w:hAnsi="Times New Roman"/>
          <w:spacing w:val="0"/>
          <w:szCs w:val="24"/>
        </w:rPr>
        <w:t>to:</w:t>
      </w:r>
    </w:p>
    <w:p w14:paraId="43B06FA1"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PPC/Serious Reportable Event Coordinator</w:t>
      </w:r>
    </w:p>
    <w:p w14:paraId="62B75232"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MassHealth Quality Office</w:t>
      </w:r>
    </w:p>
    <w:p w14:paraId="2DD938C8" w14:textId="77777777" w:rsidR="00F418EC" w:rsidRPr="00F418EC" w:rsidRDefault="006B4C40" w:rsidP="00F418EC">
      <w:pPr>
        <w:spacing w:after="200"/>
        <w:ind w:left="2160"/>
        <w:contextualSpacing/>
        <w:rPr>
          <w:rFonts w:ascii="Times New Roman" w:eastAsiaTheme="minorHAnsi" w:hAnsi="Times New Roman"/>
          <w:spacing w:val="0"/>
          <w:szCs w:val="24"/>
        </w:rPr>
      </w:pPr>
      <w:hyperlink r:id="rId37" w:history="1">
        <w:r w:rsidR="00F418EC" w:rsidRPr="00F418EC">
          <w:rPr>
            <w:rFonts w:ascii="Times New Roman" w:eastAsiaTheme="minorHAnsi" w:hAnsi="Times New Roman"/>
            <w:color w:val="0000FF" w:themeColor="hyperlink"/>
            <w:spacing w:val="0"/>
            <w:szCs w:val="24"/>
            <w:u w:val="single"/>
          </w:rPr>
          <w:t>MQO@mass.gov</w:t>
        </w:r>
      </w:hyperlink>
    </w:p>
    <w:p w14:paraId="01642AB9" w14:textId="77777777" w:rsidR="00F418EC" w:rsidRPr="00F418EC" w:rsidRDefault="00F418EC" w:rsidP="00F418EC">
      <w:pPr>
        <w:spacing w:after="200"/>
        <w:ind w:left="2160"/>
        <w:contextualSpacing/>
        <w:rPr>
          <w:rFonts w:ascii="Times New Roman" w:eastAsiaTheme="minorHAnsi" w:hAnsi="Times New Roman"/>
          <w:spacing w:val="0"/>
          <w:szCs w:val="24"/>
        </w:rPr>
      </w:pPr>
      <w:r w:rsidRPr="00F418EC">
        <w:rPr>
          <w:rFonts w:ascii="Times New Roman" w:eastAsiaTheme="minorHAnsi" w:hAnsi="Times New Roman"/>
          <w:spacing w:val="0"/>
          <w:szCs w:val="24"/>
        </w:rPr>
        <w:t>Subject Line: PPC/SRE Report</w:t>
      </w:r>
    </w:p>
    <w:p w14:paraId="7AC7BB6B" w14:textId="77777777" w:rsidR="00F418EC" w:rsidRPr="00F418EC" w:rsidRDefault="00F418EC" w:rsidP="00F418EC">
      <w:pPr>
        <w:spacing w:after="200"/>
        <w:ind w:left="1440"/>
        <w:rPr>
          <w:rFonts w:ascii="Times New Roman" w:eastAsiaTheme="minorHAnsi" w:hAnsi="Times New Roman"/>
          <w:spacing w:val="0"/>
          <w:szCs w:val="24"/>
        </w:rPr>
      </w:pPr>
      <w:r w:rsidRPr="00F418EC">
        <w:rPr>
          <w:rFonts w:ascii="Times New Roman" w:eastAsiaTheme="minorHAnsi" w:hAnsi="Times New Roman"/>
          <w:spacing w:val="0"/>
          <w:szCs w:val="24"/>
        </w:rPr>
        <w:t>Hospitals shall also use this address to send MassHealth a copy of the updated SRE report as submitted to DPH containing the information as specified under DPH regulations at 105 CMR 130.332.</w:t>
      </w:r>
    </w:p>
    <w:p w14:paraId="5B6DEB43" w14:textId="77777777" w:rsidR="00F418EC" w:rsidRPr="00F418EC" w:rsidRDefault="00F418EC" w:rsidP="00F418EC">
      <w:pPr>
        <w:numPr>
          <w:ilvl w:val="0"/>
          <w:numId w:val="141"/>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No later than thirty days after the date of initial reporting of the SRE to DPH and MassHealth, if upon completing a preventability determination following the occurrence of an SRE pursuant to </w:t>
      </w:r>
      <w:r w:rsidRPr="00F418EC">
        <w:rPr>
          <w:rFonts w:ascii="Times New Roman" w:eastAsiaTheme="minorHAnsi" w:hAnsi="Times New Roman"/>
          <w:b/>
          <w:spacing w:val="0"/>
          <w:szCs w:val="24"/>
        </w:rPr>
        <w:t>Section 8.3.C.1</w:t>
      </w:r>
      <w:r w:rsidRPr="00F418EC">
        <w:rPr>
          <w:rFonts w:ascii="Times New Roman" w:eastAsiaTheme="minorHAnsi" w:hAnsi="Times New Roman"/>
          <w:spacing w:val="0"/>
          <w:szCs w:val="24"/>
        </w:rPr>
        <w:t>, above, the Hospital seeks payment for Inpatient Services or Outpatient Services to a MassHealth member, the Hospital shall submit the following required documentation to MassHealth, using the address set forth in</w:t>
      </w:r>
      <w:r w:rsidRPr="00F418EC">
        <w:rPr>
          <w:rFonts w:ascii="Times New Roman" w:eastAsiaTheme="minorHAnsi" w:hAnsi="Times New Roman"/>
          <w:b/>
          <w:spacing w:val="0"/>
          <w:szCs w:val="24"/>
        </w:rPr>
        <w:t xml:space="preserve"> Section 8.3.C.2</w:t>
      </w:r>
      <w:r w:rsidRPr="00F418EC">
        <w:rPr>
          <w:rFonts w:ascii="Times New Roman" w:eastAsiaTheme="minorHAnsi" w:hAnsi="Times New Roman"/>
          <w:spacing w:val="0"/>
          <w:szCs w:val="24"/>
        </w:rPr>
        <w:t>, above, so it can review the circumstances of the SRE;</w:t>
      </w:r>
    </w:p>
    <w:p w14:paraId="22E7443B" w14:textId="77777777" w:rsidR="00F418EC" w:rsidRPr="00F418EC" w:rsidRDefault="00F418EC" w:rsidP="00F418EC">
      <w:pPr>
        <w:numPr>
          <w:ilvl w:val="0"/>
          <w:numId w:val="1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 copy of the updated SRE report issued to DPH describing the hospital’s preventability determination including, at a minimum, the following:</w:t>
      </w:r>
    </w:p>
    <w:p w14:paraId="1D314B93"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Narrative description of the SRE;</w:t>
      </w:r>
    </w:p>
    <w:p w14:paraId="072D0C77"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Analysis and identification of the root cause of the SRE;</w:t>
      </w:r>
    </w:p>
    <w:p w14:paraId="6643DE56"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 xml:space="preserve">Analysis of the preventability criteria required by DPH; </w:t>
      </w:r>
    </w:p>
    <w:p w14:paraId="54B5706B"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lastRenderedPageBreak/>
        <w:t>Description of any corrective measures taken by the hospital following discovery of the SRE; and</w:t>
      </w:r>
    </w:p>
    <w:p w14:paraId="4FA69748" w14:textId="77777777" w:rsidR="00F418EC" w:rsidRPr="00F418EC" w:rsidRDefault="00F418EC" w:rsidP="00F418EC">
      <w:pPr>
        <w:numPr>
          <w:ilvl w:val="0"/>
          <w:numId w:val="143"/>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Whether the hospital intends to charge or seek reimbursement from MassHealth for services provided at the hospital as a result of the SRE;</w:t>
      </w:r>
    </w:p>
    <w:p w14:paraId="450679E6" w14:textId="77777777" w:rsidR="00F418EC" w:rsidRPr="00F418EC" w:rsidRDefault="00F418EC" w:rsidP="00F418EC">
      <w:pPr>
        <w:numPr>
          <w:ilvl w:val="0"/>
          <w:numId w:val="142"/>
        </w:numPr>
        <w:spacing w:after="200"/>
        <w:rPr>
          <w:rFonts w:ascii="Times New Roman" w:eastAsiaTheme="minorHAnsi" w:hAnsi="Times New Roman"/>
          <w:spacing w:val="0"/>
          <w:szCs w:val="24"/>
        </w:rPr>
      </w:pPr>
      <w:r w:rsidRPr="00F418EC">
        <w:rPr>
          <w:rFonts w:ascii="Times New Roman" w:eastAsiaTheme="minorHAnsi" w:hAnsi="Times New Roman"/>
          <w:spacing w:val="0"/>
          <w:szCs w:val="24"/>
        </w:rPr>
        <w:t>Copies of the hospital policies and procedures related to SREs;</w:t>
      </w:r>
    </w:p>
    <w:p w14:paraId="247F571B" w14:textId="77777777" w:rsidR="00F418EC" w:rsidRPr="00F418EC" w:rsidRDefault="00F418EC" w:rsidP="00F418EC">
      <w:pPr>
        <w:numPr>
          <w:ilvl w:val="0"/>
          <w:numId w:val="142"/>
        </w:numPr>
        <w:spacing w:after="200"/>
        <w:ind w:right="-360"/>
        <w:rPr>
          <w:rFonts w:ascii="Times New Roman" w:eastAsiaTheme="minorHAnsi" w:hAnsi="Times New Roman"/>
          <w:spacing w:val="0"/>
          <w:szCs w:val="24"/>
        </w:rPr>
      </w:pPr>
      <w:r w:rsidRPr="00F418EC">
        <w:rPr>
          <w:rFonts w:ascii="Times New Roman" w:eastAsiaTheme="minorHAnsi" w:hAnsi="Times New Roman"/>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443D6586" w14:textId="77777777" w:rsidR="00F418EC" w:rsidRPr="00F418EC" w:rsidRDefault="00F418EC" w:rsidP="00F418EC">
      <w:pPr>
        <w:numPr>
          <w:ilvl w:val="0"/>
          <w:numId w:val="136"/>
        </w:numPr>
        <w:spacing w:after="200"/>
        <w:outlineLvl w:val="1"/>
        <w:rPr>
          <w:rFonts w:ascii="Times New Roman" w:eastAsiaTheme="minorHAnsi" w:hAnsi="Times New Roman"/>
          <w:b/>
          <w:spacing w:val="0"/>
          <w:sz w:val="28"/>
          <w:szCs w:val="28"/>
        </w:rPr>
      </w:pPr>
      <w:bookmarkStart w:id="115" w:name="_Toc52374343"/>
      <w:r w:rsidRPr="00F418EC">
        <w:rPr>
          <w:rFonts w:ascii="Times New Roman" w:eastAsiaTheme="minorHAnsi" w:hAnsi="Times New Roman"/>
          <w:b/>
          <w:spacing w:val="0"/>
          <w:sz w:val="28"/>
          <w:szCs w:val="28"/>
        </w:rPr>
        <w:t>Non-Payment for SREs</w:t>
      </w:r>
      <w:bookmarkEnd w:id="115"/>
    </w:p>
    <w:p w14:paraId="78A4A2EC" w14:textId="28E21982" w:rsidR="008B6101" w:rsidRDefault="00F418EC" w:rsidP="001A5D41">
      <w:pPr>
        <w:numPr>
          <w:ilvl w:val="0"/>
          <w:numId w:val="144"/>
        </w:numPr>
        <w:spacing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 xml:space="preserve">MassHealth will review the circumstances of the SRE and shall make a determination regarding payment based on the criteria set forth in DPH regulations at 105 CMR 130.332 and above, and utilizing </w:t>
      </w:r>
      <w:r w:rsidRPr="00F418EC">
        <w:rPr>
          <w:rFonts w:ascii="Times New Roman" w:eastAsiaTheme="minorHAnsi" w:hAnsi="Times New Roman"/>
          <w:b/>
          <w:spacing w:val="0"/>
          <w:szCs w:val="24"/>
        </w:rPr>
        <w:t>Table 8-1</w:t>
      </w:r>
      <w:r w:rsidRPr="00F418EC">
        <w:rPr>
          <w:rFonts w:ascii="Times New Roman" w:eastAsiaTheme="minorHAnsi" w:hAnsi="Times New Roman"/>
          <w:spacing w:val="0"/>
          <w:szCs w:val="24"/>
        </w:rPr>
        <w:t>, below:</w:t>
      </w:r>
      <w:bookmarkStart w:id="116" w:name="_Toc52374344"/>
    </w:p>
    <w:p w14:paraId="04F96B1E" w14:textId="77777777" w:rsidR="001A5D41" w:rsidRPr="001A5D41" w:rsidRDefault="001A5D41" w:rsidP="001A5D41">
      <w:pPr>
        <w:spacing w:after="200"/>
        <w:ind w:left="1440"/>
        <w:contextualSpacing/>
        <w:rPr>
          <w:rFonts w:ascii="Times New Roman" w:eastAsiaTheme="minorHAnsi" w:hAnsi="Times New Roman"/>
          <w:spacing w:val="0"/>
          <w:szCs w:val="24"/>
        </w:rPr>
      </w:pPr>
    </w:p>
    <w:p w14:paraId="1C6160CB" w14:textId="3DFB9C36" w:rsidR="00F418EC" w:rsidRPr="000B3E67" w:rsidRDefault="00F418EC" w:rsidP="008B6101">
      <w:pPr>
        <w:spacing w:after="200"/>
        <w:jc w:val="center"/>
        <w:outlineLvl w:val="2"/>
        <w:rPr>
          <w:rFonts w:ascii="Times New Roman" w:eastAsiaTheme="minorHAnsi" w:hAnsi="Times New Roman"/>
          <w:b/>
          <w:spacing w:val="0"/>
          <w:szCs w:val="24"/>
        </w:rPr>
      </w:pPr>
      <w:r w:rsidRPr="001A5D41">
        <w:rPr>
          <w:rFonts w:ascii="Times New Roman" w:eastAsiaTheme="minorHAnsi" w:hAnsi="Times New Roman"/>
          <w:b/>
          <w:spacing w:val="0"/>
          <w:szCs w:val="24"/>
        </w:rPr>
        <w:t xml:space="preserve">Table 8-1.  MassHealth Non-Payment Methodology, Acute </w:t>
      </w:r>
      <w:r w:rsidRPr="000B3E67">
        <w:rPr>
          <w:rFonts w:ascii="Times New Roman" w:eastAsiaTheme="minorHAnsi" w:hAnsi="Times New Roman"/>
          <w:b/>
          <w:spacing w:val="0"/>
          <w:szCs w:val="24"/>
        </w:rPr>
        <w:t>Hospitals</w:t>
      </w:r>
      <w:bookmarkEnd w:id="116"/>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F418EC" w:rsidRPr="00F418EC" w14:paraId="6E71D2D9" w14:textId="77777777" w:rsidTr="00626941">
        <w:trPr>
          <w:tblHeader/>
        </w:trPr>
        <w:tc>
          <w:tcPr>
            <w:tcW w:w="4194" w:type="dxa"/>
            <w:shd w:val="clear" w:color="auto" w:fill="B6DDE8" w:themeFill="accent5" w:themeFillTint="66"/>
          </w:tcPr>
          <w:p w14:paraId="5ECB0571"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Payment Component that includes Preventable SRE</w:t>
            </w:r>
          </w:p>
        </w:tc>
        <w:tc>
          <w:tcPr>
            <w:tcW w:w="4194" w:type="dxa"/>
            <w:shd w:val="clear" w:color="auto" w:fill="B6DDE8" w:themeFill="accent5" w:themeFillTint="66"/>
          </w:tcPr>
          <w:p w14:paraId="2D9CABA6" w14:textId="77777777" w:rsidR="00F418EC" w:rsidRPr="00F418EC" w:rsidRDefault="00F418EC" w:rsidP="00F418EC">
            <w:pPr>
              <w:rPr>
                <w:rFonts w:ascii="Times New Roman" w:eastAsiaTheme="minorHAnsi" w:hAnsi="Times New Roman"/>
                <w:b/>
                <w:spacing w:val="0"/>
                <w:szCs w:val="24"/>
              </w:rPr>
            </w:pPr>
            <w:r w:rsidRPr="00F418EC">
              <w:rPr>
                <w:rFonts w:ascii="Times New Roman" w:eastAsiaTheme="minorHAnsi" w:hAnsi="Times New Roman"/>
                <w:b/>
                <w:spacing w:val="0"/>
                <w:szCs w:val="24"/>
              </w:rPr>
              <w:t>Resulting Non-payment</w:t>
            </w:r>
          </w:p>
        </w:tc>
      </w:tr>
      <w:tr w:rsidR="00F418EC" w:rsidRPr="00F418EC" w14:paraId="1085D009" w14:textId="77777777" w:rsidTr="00626941">
        <w:tc>
          <w:tcPr>
            <w:tcW w:w="4194" w:type="dxa"/>
          </w:tcPr>
          <w:p w14:paraId="1FB2BCFB"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Inpatient acute admission</w:t>
            </w:r>
          </w:p>
        </w:tc>
        <w:tc>
          <w:tcPr>
            <w:tcW w:w="4194" w:type="dxa"/>
          </w:tcPr>
          <w:p w14:paraId="27089D43"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APAD and Outlier Payments</w:t>
            </w:r>
          </w:p>
        </w:tc>
      </w:tr>
      <w:tr w:rsidR="00F418EC" w:rsidRPr="00F418EC" w14:paraId="6C0AEE9F" w14:textId="77777777" w:rsidTr="00626941">
        <w:tc>
          <w:tcPr>
            <w:tcW w:w="4194" w:type="dxa"/>
          </w:tcPr>
          <w:p w14:paraId="788AA1B0"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Inpatient - Transfer Per Diem, Psychiatric Per Diem, Acute Rehabilitation Unit Per Diem, or Administrative Day Per Diem</w:t>
            </w:r>
          </w:p>
        </w:tc>
        <w:tc>
          <w:tcPr>
            <w:tcW w:w="4194" w:type="dxa"/>
          </w:tcPr>
          <w:p w14:paraId="7969D485"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all per diems associated with the inpatient stay</w:t>
            </w:r>
          </w:p>
        </w:tc>
      </w:tr>
      <w:tr w:rsidR="00F418EC" w:rsidRPr="00F418EC" w14:paraId="6243DF7D" w14:textId="77777777" w:rsidTr="00626941">
        <w:tc>
          <w:tcPr>
            <w:tcW w:w="4194" w:type="dxa"/>
          </w:tcPr>
          <w:p w14:paraId="7A7130C9" w14:textId="77777777" w:rsidR="00F418EC" w:rsidRPr="00F418EC" w:rsidRDefault="00F418EC" w:rsidP="00F418EC">
            <w:pPr>
              <w:rPr>
                <w:rFonts w:ascii="Times New Roman" w:eastAsiaTheme="minorHAnsi" w:hAnsi="Times New Roman"/>
                <w:i/>
                <w:spacing w:val="0"/>
                <w:szCs w:val="24"/>
              </w:rPr>
            </w:pPr>
            <w:r w:rsidRPr="00F418EC">
              <w:rPr>
                <w:rFonts w:ascii="Times New Roman" w:eastAsiaTheme="minorHAnsi" w:hAnsi="Times New Roman"/>
                <w:spacing w:val="0"/>
                <w:szCs w:val="24"/>
              </w:rPr>
              <w:t>Outpatient Hospital Services</w:t>
            </w:r>
          </w:p>
        </w:tc>
        <w:tc>
          <w:tcPr>
            <w:tcW w:w="4194" w:type="dxa"/>
          </w:tcPr>
          <w:p w14:paraId="636985E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Non-payment of APEC and any other outpatient services payable under the RFA</w:t>
            </w:r>
          </w:p>
        </w:tc>
      </w:tr>
      <w:tr w:rsidR="00F418EC" w:rsidRPr="00F418EC" w14:paraId="6B2629AE" w14:textId="77777777" w:rsidTr="00626941">
        <w:tc>
          <w:tcPr>
            <w:tcW w:w="4194" w:type="dxa"/>
          </w:tcPr>
          <w:p w14:paraId="60E1AB0E"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Hospital-Based Physician services</w:t>
            </w:r>
          </w:p>
        </w:tc>
        <w:tc>
          <w:tcPr>
            <w:tcW w:w="4194" w:type="dxa"/>
          </w:tcPr>
          <w:p w14:paraId="4C6C2076" w14:textId="77777777" w:rsidR="00F418EC" w:rsidRPr="00F418EC" w:rsidRDefault="00F418EC" w:rsidP="00F418EC">
            <w:pPr>
              <w:rPr>
                <w:rFonts w:ascii="Times New Roman" w:eastAsiaTheme="minorHAnsi" w:hAnsi="Times New Roman"/>
                <w:spacing w:val="0"/>
                <w:szCs w:val="24"/>
              </w:rPr>
            </w:pPr>
            <w:r w:rsidRPr="00F418EC">
              <w:rPr>
                <w:rFonts w:ascii="Times New Roman" w:eastAsiaTheme="minorHAnsi" w:hAnsi="Times New Roman"/>
                <w:spacing w:val="0"/>
                <w:szCs w:val="24"/>
              </w:rPr>
              <w:t xml:space="preserve">Non-payment of physician fees for care associated with the SRE </w:t>
            </w:r>
          </w:p>
        </w:tc>
      </w:tr>
    </w:tbl>
    <w:p w14:paraId="6FC00681" w14:textId="214F9219" w:rsidR="00D4658D" w:rsidRPr="00F418EC" w:rsidRDefault="00F418EC" w:rsidP="00626941">
      <w:pPr>
        <w:numPr>
          <w:ilvl w:val="0"/>
          <w:numId w:val="144"/>
        </w:numPr>
        <w:spacing w:before="240" w:after="200"/>
        <w:contextualSpacing/>
        <w:rPr>
          <w:rFonts w:ascii="Times New Roman" w:eastAsiaTheme="minorHAnsi" w:hAnsi="Times New Roman"/>
          <w:spacing w:val="0"/>
          <w:szCs w:val="24"/>
        </w:rPr>
      </w:pPr>
      <w:r w:rsidRPr="00F418EC">
        <w:rPr>
          <w:rFonts w:ascii="Times New Roman" w:eastAsiaTheme="minorHAnsi" w:hAnsi="Times New Roman"/>
          <w:spacing w:val="0"/>
          <w:szCs w:val="24"/>
        </w:rPr>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bookmarkEnd w:id="8"/>
    </w:p>
    <w:p w14:paraId="34C66B77" w14:textId="77777777" w:rsidR="00D4658D" w:rsidRPr="00D4658D" w:rsidRDefault="00D4658D" w:rsidP="00D4658D">
      <w:pPr>
        <w:spacing w:after="200"/>
        <w:rPr>
          <w:rFonts w:ascii="Times New Roman" w:eastAsiaTheme="minorHAnsi" w:hAnsi="Times New Roman"/>
          <w:spacing w:val="0"/>
          <w:szCs w:val="24"/>
        </w:rPr>
      </w:pPr>
    </w:p>
    <w:p w14:paraId="3B157D96" w14:textId="77777777" w:rsidR="00A822CE" w:rsidRPr="00A822CE" w:rsidRDefault="00A822CE" w:rsidP="00A822CE">
      <w:pPr>
        <w:sectPr w:rsidR="00A822CE" w:rsidRPr="00A822CE" w:rsidSect="004E22C7">
          <w:headerReference w:type="default" r:id="rId38"/>
          <w:pgSz w:w="12240" w:h="15840"/>
          <w:pgMar w:top="720" w:right="720" w:bottom="720" w:left="864" w:header="432" w:footer="720" w:gutter="0"/>
          <w:cols w:space="720"/>
          <w:docGrid w:linePitch="360"/>
        </w:sectPr>
      </w:pPr>
    </w:p>
    <w:p w14:paraId="427FB6AA" w14:textId="77777777" w:rsidR="00E131AC" w:rsidRPr="001A5D41" w:rsidRDefault="00E131AC" w:rsidP="00E131AC">
      <w:pPr>
        <w:jc w:val="center"/>
        <w:rPr>
          <w:b/>
          <w:sz w:val="28"/>
          <w:szCs w:val="28"/>
          <w:u w:val="single"/>
        </w:rPr>
      </w:pPr>
      <w:r w:rsidRPr="001A5D41">
        <w:rPr>
          <w:b/>
          <w:sz w:val="28"/>
          <w:szCs w:val="28"/>
          <w:u w:val="single"/>
        </w:rPr>
        <w:lastRenderedPageBreak/>
        <w:t>Attachment B – Public Notice</w:t>
      </w:r>
    </w:p>
    <w:p w14:paraId="388F6310" w14:textId="77777777" w:rsidR="00A25C63" w:rsidRPr="001C6797" w:rsidRDefault="00A25C63" w:rsidP="00A25C63">
      <w:pPr>
        <w:jc w:val="center"/>
        <w:rPr>
          <w:rFonts w:ascii="Arial Narrow" w:hAnsi="Arial Narrow"/>
          <w:b/>
          <w:sz w:val="28"/>
          <w:szCs w:val="28"/>
        </w:rPr>
      </w:pPr>
      <w:r w:rsidRPr="001A5D41">
        <w:rPr>
          <w:rFonts w:ascii="Arial Narrow" w:hAnsi="Arial Narrow"/>
          <w:b/>
          <w:sz w:val="28"/>
          <w:szCs w:val="28"/>
        </w:rPr>
        <w:t>In-State Acute Inpatient Hospital Rates</w:t>
      </w:r>
    </w:p>
    <w:p w14:paraId="6FD82557" w14:textId="03A331D0" w:rsidR="009E1253" w:rsidRDefault="00181DC5" w:rsidP="00A25C63">
      <w:pPr>
        <w:jc w:val="center"/>
        <w:rPr>
          <w:rFonts w:ascii="Arial Narrow" w:hAnsi="Arial Narrow"/>
          <w:b/>
          <w:i/>
          <w:color w:val="FF0000"/>
          <w:sz w:val="28"/>
          <w:szCs w:val="28"/>
        </w:rPr>
      </w:pPr>
      <w:r>
        <w:rPr>
          <w:rFonts w:ascii="Arial Narrow" w:hAnsi="Arial Narrow"/>
          <w:b/>
          <w:color w:val="FF0000"/>
          <w:sz w:val="28"/>
          <w:szCs w:val="28"/>
        </w:rPr>
        <w:t xml:space="preserve">RY21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sidR="005E2C26">
        <w:rPr>
          <w:rFonts w:ascii="Arial Narrow" w:hAnsi="Arial Narrow"/>
          <w:b/>
          <w:i/>
          <w:color w:val="FF0000"/>
          <w:sz w:val="28"/>
          <w:szCs w:val="28"/>
        </w:rPr>
        <w:t>1</w:t>
      </w:r>
      <w:r w:rsidR="003C28AF">
        <w:rPr>
          <w:rFonts w:ascii="Arial Narrow" w:hAnsi="Arial Narrow"/>
          <w:b/>
          <w:i/>
          <w:color w:val="FF0000"/>
          <w:sz w:val="28"/>
          <w:szCs w:val="28"/>
        </w:rPr>
        <w:t>1</w:t>
      </w:r>
      <w:r w:rsidR="005E2C26">
        <w:rPr>
          <w:rFonts w:ascii="Arial Narrow" w:hAnsi="Arial Narrow"/>
          <w:b/>
          <w:i/>
          <w:color w:val="FF0000"/>
          <w:sz w:val="28"/>
          <w:szCs w:val="28"/>
        </w:rPr>
        <w:t>/1/</w:t>
      </w:r>
      <w:r>
        <w:rPr>
          <w:rFonts w:ascii="Arial Narrow" w:hAnsi="Arial Narrow"/>
          <w:b/>
          <w:i/>
          <w:color w:val="FF0000"/>
          <w:sz w:val="28"/>
          <w:szCs w:val="28"/>
        </w:rPr>
        <w:t>20</w:t>
      </w:r>
    </w:p>
    <w:p w14:paraId="521D7437" w14:textId="21F87FB9" w:rsidR="00D7561F" w:rsidRDefault="000F441F" w:rsidP="00D7561F">
      <w:pPr>
        <w:jc w:val="center"/>
        <w:rPr>
          <w:rFonts w:ascii="Arial" w:hAnsi="Arial" w:cs="Arial"/>
          <w:b/>
          <w:bCs/>
          <w:sz w:val="20"/>
        </w:rPr>
      </w:pPr>
      <w:r w:rsidRPr="000F441F">
        <w:rPr>
          <w:rFonts w:ascii="Arial" w:hAnsi="Arial" w:cs="Arial"/>
          <w:b/>
          <w:bCs/>
          <w:sz w:val="20"/>
        </w:rPr>
        <w:t>Components of Adjudicated Payment Amount per Discharge (APAD), Outlier Payment, &amp; Transfer Per Diem Rates*</w:t>
      </w:r>
      <w:r w:rsidR="00D7561F" w:rsidRPr="002F6DB4">
        <w:rPr>
          <w:rFonts w:ascii="Arial" w:hAnsi="Arial" w:cs="Arial"/>
          <w:b/>
          <w:bCs/>
          <w:sz w:val="20"/>
        </w:rPr>
        <w:t xml:space="preserve">  </w:t>
      </w:r>
      <w:r w:rsidR="00D7561F" w:rsidRPr="002F6DB4">
        <w:rPr>
          <w:rFonts w:ascii="Arial" w:hAnsi="Arial" w:cs="Arial"/>
          <w:b/>
          <w:bCs/>
          <w:sz w:val="20"/>
        </w:rPr>
        <w:br/>
        <w:t xml:space="preserve">(*See link at end for Chart </w:t>
      </w:r>
      <w:r>
        <w:rPr>
          <w:rFonts w:ascii="Arial" w:hAnsi="Arial" w:cs="Arial"/>
          <w:b/>
          <w:bCs/>
          <w:sz w:val="20"/>
        </w:rPr>
        <w:t>C</w:t>
      </w:r>
      <w:r w:rsidR="00D7561F" w:rsidRPr="002F6DB4">
        <w:rPr>
          <w:rFonts w:ascii="Arial" w:hAnsi="Arial" w:cs="Arial"/>
          <w:b/>
          <w:bCs/>
          <w:sz w:val="20"/>
        </w:rPr>
        <w:t xml:space="preserve"> - </w:t>
      </w:r>
      <w:r w:rsidRPr="000F441F">
        <w:rPr>
          <w:rFonts w:ascii="Arial" w:hAnsi="Arial" w:cs="Arial"/>
          <w:b/>
          <w:bCs/>
          <w:sz w:val="20"/>
        </w:rPr>
        <w:t>DRG Weights and Mean All Payer Lengths of Stay</w:t>
      </w:r>
      <w:r>
        <w:rPr>
          <w:rFonts w:ascii="Arial" w:hAnsi="Arial" w:cs="Arial"/>
          <w:b/>
          <w:bCs/>
          <w:sz w:val="20"/>
        </w:rPr>
        <w:t>)</w:t>
      </w:r>
    </w:p>
    <w:p w14:paraId="5548AC75" w14:textId="77777777" w:rsidR="0067033E" w:rsidRPr="002F6DB4" w:rsidRDefault="0067033E" w:rsidP="00D7561F">
      <w:pPr>
        <w:jc w:val="center"/>
        <w:rPr>
          <w:rFonts w:ascii="Arial" w:hAnsi="Arial" w:cs="Arial"/>
          <w:b/>
          <w:bCs/>
          <w:sz w:val="20"/>
        </w:rPr>
      </w:pPr>
    </w:p>
    <w:p w14:paraId="3013EB6D" w14:textId="1359543B" w:rsidR="0067033E" w:rsidRDefault="0067033E" w:rsidP="00D7561F">
      <w:pPr>
        <w:rPr>
          <w:sz w:val="18"/>
          <w:szCs w:val="18"/>
        </w:rPr>
      </w:pPr>
    </w:p>
    <w:tbl>
      <w:tblPr>
        <w:tblW w:w="5000" w:type="pct"/>
        <w:tblLook w:val="04A0" w:firstRow="1" w:lastRow="0" w:firstColumn="1" w:lastColumn="0" w:noHBand="0" w:noVBand="1"/>
      </w:tblPr>
      <w:tblGrid>
        <w:gridCol w:w="4129"/>
        <w:gridCol w:w="1162"/>
        <w:gridCol w:w="1590"/>
        <w:gridCol w:w="1003"/>
        <w:gridCol w:w="1336"/>
        <w:gridCol w:w="1090"/>
        <w:gridCol w:w="1336"/>
        <w:gridCol w:w="766"/>
        <w:gridCol w:w="1204"/>
        <w:gridCol w:w="1000"/>
      </w:tblGrid>
      <w:tr w:rsidR="0067033E" w:rsidRPr="0019404D" w14:paraId="6E100F36" w14:textId="77777777" w:rsidTr="0067033E">
        <w:trPr>
          <w:trHeight w:val="1020"/>
          <w:tblHeader/>
        </w:trPr>
        <w:tc>
          <w:tcPr>
            <w:tcW w:w="1412"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C209D60"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In-State Provider</w:t>
            </w:r>
          </w:p>
        </w:tc>
        <w:tc>
          <w:tcPr>
            <w:tcW w:w="397" w:type="pct"/>
            <w:tcBorders>
              <w:top w:val="single" w:sz="4" w:space="0" w:color="auto"/>
              <w:left w:val="nil"/>
              <w:bottom w:val="single" w:sz="4" w:space="0" w:color="auto"/>
              <w:right w:val="nil"/>
            </w:tcBorders>
            <w:shd w:val="clear" w:color="000000" w:fill="D9D9D9"/>
            <w:vAlign w:val="bottom"/>
            <w:hideMark/>
          </w:tcPr>
          <w:p w14:paraId="6A424184"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Statewide Operating Standard per Discharge  </w:t>
            </w:r>
          </w:p>
        </w:tc>
        <w:tc>
          <w:tcPr>
            <w:tcW w:w="544" w:type="pct"/>
            <w:tcBorders>
              <w:top w:val="single" w:sz="4" w:space="0" w:color="auto"/>
              <w:left w:val="nil"/>
              <w:bottom w:val="single" w:sz="4" w:space="0" w:color="auto"/>
              <w:right w:val="nil"/>
            </w:tcBorders>
            <w:shd w:val="clear" w:color="000000" w:fill="D9D9D9"/>
            <w:vAlign w:val="bottom"/>
            <w:hideMark/>
          </w:tcPr>
          <w:p w14:paraId="0AD85666"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Hospital's Massachusetts-specific wage area index </w:t>
            </w:r>
          </w:p>
        </w:tc>
        <w:tc>
          <w:tcPr>
            <w:tcW w:w="343" w:type="pct"/>
            <w:tcBorders>
              <w:top w:val="single" w:sz="4" w:space="0" w:color="auto"/>
              <w:left w:val="nil"/>
              <w:bottom w:val="single" w:sz="4" w:space="0" w:color="auto"/>
              <w:right w:val="nil"/>
            </w:tcBorders>
            <w:shd w:val="clear" w:color="000000" w:fill="D9D9D9"/>
            <w:vAlign w:val="bottom"/>
            <w:hideMark/>
          </w:tcPr>
          <w:p w14:paraId="28773AAF"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Labor Factor</w:t>
            </w:r>
          </w:p>
        </w:tc>
        <w:tc>
          <w:tcPr>
            <w:tcW w:w="457" w:type="pct"/>
            <w:tcBorders>
              <w:top w:val="single" w:sz="4" w:space="0" w:color="auto"/>
              <w:left w:val="nil"/>
              <w:bottom w:val="single" w:sz="4" w:space="0" w:color="auto"/>
              <w:right w:val="nil"/>
            </w:tcBorders>
            <w:shd w:val="clear" w:color="000000" w:fill="D9D9D9"/>
            <w:vAlign w:val="bottom"/>
            <w:hideMark/>
          </w:tcPr>
          <w:p w14:paraId="011304D3"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Wage Adjusted Operating Standard per Discharge </w:t>
            </w:r>
          </w:p>
        </w:tc>
        <w:tc>
          <w:tcPr>
            <w:tcW w:w="373" w:type="pct"/>
            <w:tcBorders>
              <w:top w:val="single" w:sz="4" w:space="0" w:color="auto"/>
              <w:left w:val="nil"/>
              <w:bottom w:val="single" w:sz="4" w:space="0" w:color="auto"/>
              <w:right w:val="nil"/>
            </w:tcBorders>
            <w:shd w:val="clear" w:color="000000" w:fill="D9D9D9"/>
            <w:vAlign w:val="bottom"/>
            <w:hideMark/>
          </w:tcPr>
          <w:p w14:paraId="51ACBD70"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Statewide Capital Standard per Discharge </w:t>
            </w:r>
          </w:p>
        </w:tc>
        <w:tc>
          <w:tcPr>
            <w:tcW w:w="457" w:type="pct"/>
            <w:tcBorders>
              <w:top w:val="single" w:sz="4" w:space="0" w:color="auto"/>
              <w:left w:val="nil"/>
              <w:bottom w:val="single" w:sz="4" w:space="0" w:color="auto"/>
              <w:right w:val="nil"/>
            </w:tcBorders>
            <w:shd w:val="clear" w:color="000000" w:fill="D9D9D9"/>
            <w:vAlign w:val="bottom"/>
            <w:hideMark/>
          </w:tcPr>
          <w:p w14:paraId="6AEC40A9"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APAD Base Payment </w:t>
            </w:r>
          </w:p>
        </w:tc>
        <w:tc>
          <w:tcPr>
            <w:tcW w:w="262" w:type="pct"/>
            <w:tcBorders>
              <w:top w:val="single" w:sz="4" w:space="0" w:color="auto"/>
              <w:left w:val="nil"/>
              <w:bottom w:val="single" w:sz="4" w:space="0" w:color="auto"/>
              <w:right w:val="nil"/>
            </w:tcBorders>
            <w:shd w:val="clear" w:color="000000" w:fill="D9D9D9"/>
            <w:vAlign w:val="bottom"/>
            <w:hideMark/>
          </w:tcPr>
          <w:p w14:paraId="047989EF"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Hospital Cost-to-Charge Ratio</w:t>
            </w:r>
          </w:p>
        </w:tc>
        <w:tc>
          <w:tcPr>
            <w:tcW w:w="412" w:type="pct"/>
            <w:tcBorders>
              <w:top w:val="single" w:sz="4" w:space="0" w:color="auto"/>
              <w:left w:val="nil"/>
              <w:bottom w:val="single" w:sz="4" w:space="0" w:color="auto"/>
              <w:right w:val="nil"/>
            </w:tcBorders>
            <w:shd w:val="clear" w:color="000000" w:fill="D9D9D9"/>
            <w:vAlign w:val="bottom"/>
            <w:hideMark/>
          </w:tcPr>
          <w:p w14:paraId="45AD5716"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 xml:space="preserve"> Fixed Outlier Threshold </w:t>
            </w:r>
          </w:p>
        </w:tc>
        <w:tc>
          <w:tcPr>
            <w:tcW w:w="342" w:type="pct"/>
            <w:tcBorders>
              <w:top w:val="single" w:sz="4" w:space="0" w:color="auto"/>
              <w:left w:val="nil"/>
              <w:bottom w:val="single" w:sz="4" w:space="0" w:color="auto"/>
              <w:right w:val="single" w:sz="4" w:space="0" w:color="auto"/>
            </w:tcBorders>
            <w:shd w:val="clear" w:color="000000" w:fill="D9D9D9"/>
            <w:vAlign w:val="bottom"/>
            <w:hideMark/>
          </w:tcPr>
          <w:p w14:paraId="25F2C8DA" w14:textId="77777777" w:rsidR="0067033E" w:rsidRPr="001A5D41" w:rsidRDefault="0067033E" w:rsidP="0090762F">
            <w:pPr>
              <w:jc w:val="center"/>
              <w:rPr>
                <w:rFonts w:ascii="Arial" w:hAnsi="Arial" w:cs="Arial"/>
                <w:b/>
                <w:bCs/>
                <w:sz w:val="14"/>
                <w:szCs w:val="14"/>
              </w:rPr>
            </w:pPr>
            <w:r w:rsidRPr="001A5D41">
              <w:rPr>
                <w:rFonts w:ascii="Arial" w:hAnsi="Arial" w:cs="Arial"/>
                <w:b/>
                <w:bCs/>
                <w:sz w:val="14"/>
                <w:szCs w:val="14"/>
              </w:rPr>
              <w:t>Marginal Cost Factor</w:t>
            </w:r>
          </w:p>
        </w:tc>
      </w:tr>
      <w:tr w:rsidR="0067033E" w:rsidRPr="0019404D" w14:paraId="36824A1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9247769" w14:textId="32AB2738" w:rsidR="0067033E" w:rsidRPr="001A5D41" w:rsidRDefault="0067033E" w:rsidP="0067033E">
            <w:pPr>
              <w:rPr>
                <w:rFonts w:ascii="Arial" w:hAnsi="Arial" w:cs="Arial"/>
                <w:color w:val="FF0000"/>
                <w:sz w:val="14"/>
                <w:szCs w:val="14"/>
              </w:rPr>
            </w:pPr>
            <w:r w:rsidRPr="001A5D41">
              <w:rPr>
                <w:rFonts w:ascii="Arial" w:hAnsi="Arial" w:cs="Arial"/>
                <w:sz w:val="14"/>
                <w:szCs w:val="14"/>
              </w:rPr>
              <w:t>Anna Jaques Hospital</w:t>
            </w:r>
          </w:p>
        </w:tc>
        <w:tc>
          <w:tcPr>
            <w:tcW w:w="397" w:type="pct"/>
            <w:tcBorders>
              <w:top w:val="nil"/>
              <w:left w:val="nil"/>
              <w:bottom w:val="nil"/>
              <w:right w:val="nil"/>
            </w:tcBorders>
            <w:shd w:val="clear" w:color="auto" w:fill="auto"/>
            <w:noWrap/>
            <w:hideMark/>
          </w:tcPr>
          <w:p w14:paraId="0705ED76" w14:textId="7DC2A2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9737427" w14:textId="4543E50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2D3BBD0F" w14:textId="4A10D29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7D0A776" w14:textId="58D3208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4AB550DA" w14:textId="5FD099C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EBA61F" w14:textId="1B120D4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7350AE74" w14:textId="52D3B60E"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73.37%</w:t>
            </w:r>
          </w:p>
        </w:tc>
        <w:tc>
          <w:tcPr>
            <w:tcW w:w="412" w:type="pct"/>
            <w:tcBorders>
              <w:top w:val="nil"/>
              <w:left w:val="nil"/>
              <w:bottom w:val="nil"/>
              <w:right w:val="nil"/>
            </w:tcBorders>
            <w:shd w:val="clear" w:color="auto" w:fill="auto"/>
            <w:noWrap/>
            <w:hideMark/>
          </w:tcPr>
          <w:p w14:paraId="79418502" w14:textId="45F7333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1989B14" w14:textId="16A9232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FA9315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F626AC4" w14:textId="563A6119" w:rsidR="0067033E" w:rsidRPr="001A5D41" w:rsidRDefault="0067033E" w:rsidP="0067033E">
            <w:pPr>
              <w:rPr>
                <w:rFonts w:ascii="Arial" w:hAnsi="Arial" w:cs="Arial"/>
                <w:color w:val="FF0000"/>
                <w:sz w:val="14"/>
                <w:szCs w:val="14"/>
              </w:rPr>
            </w:pPr>
            <w:r w:rsidRPr="001A5D41">
              <w:rPr>
                <w:rFonts w:ascii="Arial" w:hAnsi="Arial" w:cs="Arial"/>
                <w:sz w:val="14"/>
                <w:szCs w:val="14"/>
              </w:rPr>
              <w:t>Baystate Franklin Medical Center</w:t>
            </w:r>
          </w:p>
        </w:tc>
        <w:tc>
          <w:tcPr>
            <w:tcW w:w="397" w:type="pct"/>
            <w:tcBorders>
              <w:top w:val="nil"/>
              <w:left w:val="nil"/>
              <w:bottom w:val="nil"/>
              <w:right w:val="nil"/>
            </w:tcBorders>
            <w:shd w:val="clear" w:color="auto" w:fill="auto"/>
            <w:noWrap/>
            <w:hideMark/>
          </w:tcPr>
          <w:p w14:paraId="3DA6C36F" w14:textId="6DB07E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1A4582F" w14:textId="1AFE33A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58D7DB43" w14:textId="0DC2494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C039186" w14:textId="7E5060C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5FF2A901" w14:textId="068866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B4A77C8" w14:textId="615971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72E22D7D" w14:textId="5D057A0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54.73%</w:t>
            </w:r>
          </w:p>
        </w:tc>
        <w:tc>
          <w:tcPr>
            <w:tcW w:w="412" w:type="pct"/>
            <w:tcBorders>
              <w:top w:val="nil"/>
              <w:left w:val="nil"/>
              <w:bottom w:val="nil"/>
              <w:right w:val="nil"/>
            </w:tcBorders>
            <w:shd w:val="clear" w:color="auto" w:fill="auto"/>
            <w:noWrap/>
            <w:hideMark/>
          </w:tcPr>
          <w:p w14:paraId="69F7FBBC" w14:textId="7DA41C1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98147B7" w14:textId="71B5EB7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5C3599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D5B13D" w14:textId="15D57268" w:rsidR="0067033E" w:rsidRPr="001A5D41" w:rsidRDefault="0067033E" w:rsidP="0067033E">
            <w:pPr>
              <w:rPr>
                <w:rFonts w:ascii="Arial" w:hAnsi="Arial" w:cs="Arial"/>
                <w:color w:val="FF0000"/>
                <w:sz w:val="14"/>
                <w:szCs w:val="14"/>
              </w:rPr>
            </w:pPr>
            <w:r w:rsidRPr="001A5D41">
              <w:rPr>
                <w:rFonts w:ascii="Arial" w:hAnsi="Arial" w:cs="Arial"/>
                <w:sz w:val="14"/>
                <w:szCs w:val="14"/>
              </w:rPr>
              <w:t>Baystate Medical Center</w:t>
            </w:r>
          </w:p>
        </w:tc>
        <w:tc>
          <w:tcPr>
            <w:tcW w:w="397" w:type="pct"/>
            <w:tcBorders>
              <w:top w:val="nil"/>
              <w:left w:val="nil"/>
              <w:bottom w:val="nil"/>
              <w:right w:val="nil"/>
            </w:tcBorders>
            <w:shd w:val="clear" w:color="auto" w:fill="auto"/>
            <w:noWrap/>
            <w:hideMark/>
          </w:tcPr>
          <w:p w14:paraId="78FD4F91" w14:textId="0AE9332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8E268C9" w14:textId="765BC29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0.9555 </w:t>
            </w:r>
          </w:p>
        </w:tc>
        <w:tc>
          <w:tcPr>
            <w:tcW w:w="343" w:type="pct"/>
            <w:tcBorders>
              <w:top w:val="nil"/>
              <w:left w:val="nil"/>
              <w:bottom w:val="nil"/>
              <w:right w:val="nil"/>
            </w:tcBorders>
            <w:shd w:val="clear" w:color="auto" w:fill="auto"/>
            <w:noWrap/>
            <w:hideMark/>
          </w:tcPr>
          <w:p w14:paraId="10DAAB48" w14:textId="4FCC7A5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FE9AED7" w14:textId="67B3DA3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$11,064.62 </w:t>
            </w:r>
          </w:p>
        </w:tc>
        <w:tc>
          <w:tcPr>
            <w:tcW w:w="373" w:type="pct"/>
            <w:tcBorders>
              <w:top w:val="nil"/>
              <w:left w:val="nil"/>
              <w:bottom w:val="nil"/>
              <w:right w:val="nil"/>
            </w:tcBorders>
            <w:shd w:val="clear" w:color="auto" w:fill="auto"/>
            <w:noWrap/>
            <w:hideMark/>
          </w:tcPr>
          <w:p w14:paraId="32E54519" w14:textId="631345F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098A581" w14:textId="3E9941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$11,839.96 </w:t>
            </w:r>
          </w:p>
        </w:tc>
        <w:tc>
          <w:tcPr>
            <w:tcW w:w="262" w:type="pct"/>
            <w:tcBorders>
              <w:top w:val="nil"/>
              <w:left w:val="nil"/>
              <w:bottom w:val="nil"/>
              <w:right w:val="nil"/>
            </w:tcBorders>
            <w:shd w:val="clear" w:color="auto" w:fill="auto"/>
            <w:noWrap/>
            <w:hideMark/>
          </w:tcPr>
          <w:p w14:paraId="1B11FC0A" w14:textId="4AEB72A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47.74%</w:t>
            </w:r>
          </w:p>
        </w:tc>
        <w:tc>
          <w:tcPr>
            <w:tcW w:w="412" w:type="pct"/>
            <w:tcBorders>
              <w:top w:val="nil"/>
              <w:left w:val="nil"/>
              <w:bottom w:val="nil"/>
              <w:right w:val="nil"/>
            </w:tcBorders>
            <w:shd w:val="clear" w:color="auto" w:fill="auto"/>
            <w:noWrap/>
            <w:hideMark/>
          </w:tcPr>
          <w:p w14:paraId="1BFECBA0" w14:textId="3920BE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8D67140" w14:textId="0CCD1A8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F90ACB8"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2512902" w14:textId="6F557840" w:rsidR="0067033E" w:rsidRPr="001A5D41" w:rsidRDefault="0067033E" w:rsidP="0067033E">
            <w:pPr>
              <w:rPr>
                <w:rFonts w:ascii="Arial" w:hAnsi="Arial" w:cs="Arial"/>
                <w:color w:val="FF0000"/>
                <w:sz w:val="14"/>
                <w:szCs w:val="14"/>
              </w:rPr>
            </w:pPr>
            <w:r w:rsidRPr="001A5D41">
              <w:rPr>
                <w:rFonts w:ascii="Arial" w:hAnsi="Arial" w:cs="Arial"/>
                <w:sz w:val="14"/>
                <w:szCs w:val="14"/>
              </w:rPr>
              <w:t>Baystate Noble Hospital</w:t>
            </w:r>
          </w:p>
        </w:tc>
        <w:tc>
          <w:tcPr>
            <w:tcW w:w="397" w:type="pct"/>
            <w:tcBorders>
              <w:top w:val="nil"/>
              <w:left w:val="nil"/>
              <w:bottom w:val="nil"/>
              <w:right w:val="nil"/>
            </w:tcBorders>
            <w:shd w:val="clear" w:color="auto" w:fill="auto"/>
            <w:noWrap/>
            <w:hideMark/>
          </w:tcPr>
          <w:p w14:paraId="5E9F1741" w14:textId="10BEAB9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84BF72D" w14:textId="5B3F959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355635AA" w14:textId="58E8E26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7559D10" w14:textId="68A61B0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3A7754A4" w14:textId="5A7641D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EF6EBA7" w14:textId="63A345D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1BB1181" w14:textId="76DA699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51.99%</w:t>
            </w:r>
          </w:p>
        </w:tc>
        <w:tc>
          <w:tcPr>
            <w:tcW w:w="412" w:type="pct"/>
            <w:tcBorders>
              <w:top w:val="nil"/>
              <w:left w:val="nil"/>
              <w:bottom w:val="nil"/>
              <w:right w:val="nil"/>
            </w:tcBorders>
            <w:shd w:val="clear" w:color="auto" w:fill="auto"/>
            <w:noWrap/>
            <w:hideMark/>
          </w:tcPr>
          <w:p w14:paraId="709B3F4D" w14:textId="386C8C7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D86B15" w14:textId="6BDE340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2C5780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C3EC924" w14:textId="549EF2DB" w:rsidR="0067033E" w:rsidRPr="001A5D41" w:rsidRDefault="0067033E" w:rsidP="0067033E">
            <w:pPr>
              <w:rPr>
                <w:rFonts w:ascii="Arial" w:hAnsi="Arial" w:cs="Arial"/>
                <w:color w:val="FF0000"/>
                <w:sz w:val="14"/>
                <w:szCs w:val="14"/>
              </w:rPr>
            </w:pPr>
            <w:r w:rsidRPr="001A5D41">
              <w:rPr>
                <w:rFonts w:ascii="Arial" w:hAnsi="Arial" w:cs="Arial"/>
                <w:sz w:val="14"/>
                <w:szCs w:val="14"/>
              </w:rPr>
              <w:t>Baystate Wing Hospital</w:t>
            </w:r>
          </w:p>
        </w:tc>
        <w:tc>
          <w:tcPr>
            <w:tcW w:w="397" w:type="pct"/>
            <w:tcBorders>
              <w:top w:val="nil"/>
              <w:left w:val="nil"/>
              <w:bottom w:val="nil"/>
              <w:right w:val="nil"/>
            </w:tcBorders>
            <w:shd w:val="clear" w:color="auto" w:fill="auto"/>
            <w:noWrap/>
            <w:hideMark/>
          </w:tcPr>
          <w:p w14:paraId="5FB729B1" w14:textId="6B235D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0C74D4F" w14:textId="184525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48ED99A7" w14:textId="2407335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E2C8038" w14:textId="6A89A50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6C3FDB67" w14:textId="6CC89FA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8D0F04F" w14:textId="49F766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29FE423" w14:textId="0945D26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46.99%</w:t>
            </w:r>
          </w:p>
        </w:tc>
        <w:tc>
          <w:tcPr>
            <w:tcW w:w="412" w:type="pct"/>
            <w:tcBorders>
              <w:top w:val="nil"/>
              <w:left w:val="nil"/>
              <w:bottom w:val="nil"/>
              <w:right w:val="nil"/>
            </w:tcBorders>
            <w:shd w:val="clear" w:color="auto" w:fill="auto"/>
            <w:noWrap/>
            <w:hideMark/>
          </w:tcPr>
          <w:p w14:paraId="3AFFD999" w14:textId="531C185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44B95FB" w14:textId="193BF34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2086AC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C9A8713" w14:textId="1D87ADD1" w:rsidR="0067033E" w:rsidRPr="001A5D41" w:rsidRDefault="0067033E" w:rsidP="0067033E">
            <w:pPr>
              <w:rPr>
                <w:rFonts w:ascii="Arial" w:hAnsi="Arial" w:cs="Arial"/>
                <w:color w:val="FF0000"/>
                <w:sz w:val="14"/>
                <w:szCs w:val="14"/>
              </w:rPr>
            </w:pPr>
            <w:r w:rsidRPr="001A5D41">
              <w:rPr>
                <w:rFonts w:ascii="Arial" w:hAnsi="Arial" w:cs="Arial"/>
                <w:sz w:val="14"/>
                <w:szCs w:val="14"/>
              </w:rPr>
              <w:t>Berkshire Medical Center</w:t>
            </w:r>
          </w:p>
        </w:tc>
        <w:tc>
          <w:tcPr>
            <w:tcW w:w="397" w:type="pct"/>
            <w:tcBorders>
              <w:top w:val="nil"/>
              <w:left w:val="nil"/>
              <w:bottom w:val="nil"/>
              <w:right w:val="nil"/>
            </w:tcBorders>
            <w:shd w:val="clear" w:color="auto" w:fill="auto"/>
            <w:noWrap/>
            <w:hideMark/>
          </w:tcPr>
          <w:p w14:paraId="5F3CB845" w14:textId="25A165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7761D23" w14:textId="54939D0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0.9164 </w:t>
            </w:r>
          </w:p>
        </w:tc>
        <w:tc>
          <w:tcPr>
            <w:tcW w:w="343" w:type="pct"/>
            <w:tcBorders>
              <w:top w:val="nil"/>
              <w:left w:val="nil"/>
              <w:bottom w:val="nil"/>
              <w:right w:val="nil"/>
            </w:tcBorders>
            <w:shd w:val="clear" w:color="auto" w:fill="auto"/>
            <w:noWrap/>
            <w:hideMark/>
          </w:tcPr>
          <w:p w14:paraId="49489B09" w14:textId="1E8CEF3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1708183" w14:textId="766163F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$10,760.07 </w:t>
            </w:r>
          </w:p>
        </w:tc>
        <w:tc>
          <w:tcPr>
            <w:tcW w:w="373" w:type="pct"/>
            <w:tcBorders>
              <w:top w:val="nil"/>
              <w:left w:val="nil"/>
              <w:bottom w:val="nil"/>
              <w:right w:val="nil"/>
            </w:tcBorders>
            <w:shd w:val="clear" w:color="auto" w:fill="auto"/>
            <w:noWrap/>
            <w:hideMark/>
          </w:tcPr>
          <w:p w14:paraId="54253EE1" w14:textId="332CC4C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3EA11BC" w14:textId="68811C1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$11,535.41 </w:t>
            </w:r>
          </w:p>
        </w:tc>
        <w:tc>
          <w:tcPr>
            <w:tcW w:w="262" w:type="pct"/>
            <w:tcBorders>
              <w:top w:val="nil"/>
              <w:left w:val="nil"/>
              <w:bottom w:val="nil"/>
              <w:right w:val="nil"/>
            </w:tcBorders>
            <w:shd w:val="clear" w:color="auto" w:fill="auto"/>
            <w:noWrap/>
            <w:hideMark/>
          </w:tcPr>
          <w:p w14:paraId="35B72FFD" w14:textId="1B2B2C2E"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52.98%</w:t>
            </w:r>
          </w:p>
        </w:tc>
        <w:tc>
          <w:tcPr>
            <w:tcW w:w="412" w:type="pct"/>
            <w:tcBorders>
              <w:top w:val="nil"/>
              <w:left w:val="nil"/>
              <w:bottom w:val="nil"/>
              <w:right w:val="nil"/>
            </w:tcBorders>
            <w:shd w:val="clear" w:color="auto" w:fill="auto"/>
            <w:noWrap/>
            <w:hideMark/>
          </w:tcPr>
          <w:p w14:paraId="4FB8DCD1" w14:textId="63239B9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1FC2AF3" w14:textId="0E7F829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1D294D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7F4CDC7" w14:textId="7502EE71"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Milton</w:t>
            </w:r>
          </w:p>
        </w:tc>
        <w:tc>
          <w:tcPr>
            <w:tcW w:w="397" w:type="pct"/>
            <w:tcBorders>
              <w:top w:val="nil"/>
              <w:left w:val="nil"/>
              <w:bottom w:val="nil"/>
              <w:right w:val="nil"/>
            </w:tcBorders>
            <w:shd w:val="clear" w:color="auto" w:fill="auto"/>
            <w:noWrap/>
            <w:hideMark/>
          </w:tcPr>
          <w:p w14:paraId="65871D56" w14:textId="3567A81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B7D687A" w14:textId="4E3C438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51DC9F0" w14:textId="1DFF466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2D8F02D" w14:textId="0669336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782CF15" w14:textId="5DB9F5A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4F1F37" w14:textId="379C8D4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66D3881" w14:textId="77FBE52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47.31%</w:t>
            </w:r>
          </w:p>
        </w:tc>
        <w:tc>
          <w:tcPr>
            <w:tcW w:w="412" w:type="pct"/>
            <w:tcBorders>
              <w:top w:val="nil"/>
              <w:left w:val="nil"/>
              <w:bottom w:val="nil"/>
              <w:right w:val="nil"/>
            </w:tcBorders>
            <w:shd w:val="clear" w:color="auto" w:fill="auto"/>
            <w:noWrap/>
            <w:hideMark/>
          </w:tcPr>
          <w:p w14:paraId="671D7731" w14:textId="1C07A97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07273D5" w14:textId="650EEB1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9E95CC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6A4A34B" w14:textId="01174481"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Needham</w:t>
            </w:r>
          </w:p>
        </w:tc>
        <w:tc>
          <w:tcPr>
            <w:tcW w:w="397" w:type="pct"/>
            <w:tcBorders>
              <w:top w:val="nil"/>
              <w:left w:val="nil"/>
              <w:bottom w:val="nil"/>
              <w:right w:val="nil"/>
            </w:tcBorders>
            <w:shd w:val="clear" w:color="auto" w:fill="auto"/>
            <w:noWrap/>
            <w:hideMark/>
          </w:tcPr>
          <w:p w14:paraId="65194E15" w14:textId="0924D56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6D573AB" w14:textId="4921472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15C31A26" w14:textId="2CBE482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8CEF207" w14:textId="2C345B6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3627E8A9" w14:textId="064A966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4156773" w14:textId="28DEFF0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42E6844" w14:textId="7F70838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67.61%</w:t>
            </w:r>
          </w:p>
        </w:tc>
        <w:tc>
          <w:tcPr>
            <w:tcW w:w="412" w:type="pct"/>
            <w:tcBorders>
              <w:top w:val="nil"/>
              <w:left w:val="nil"/>
              <w:bottom w:val="nil"/>
              <w:right w:val="nil"/>
            </w:tcBorders>
            <w:shd w:val="clear" w:color="auto" w:fill="auto"/>
            <w:noWrap/>
            <w:hideMark/>
          </w:tcPr>
          <w:p w14:paraId="7362C919" w14:textId="50AE23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FC9C077" w14:textId="1B62625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C20FF6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9976C4" w14:textId="79236145"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Hospital - Plymouth</w:t>
            </w:r>
          </w:p>
        </w:tc>
        <w:tc>
          <w:tcPr>
            <w:tcW w:w="397" w:type="pct"/>
            <w:tcBorders>
              <w:top w:val="nil"/>
              <w:left w:val="nil"/>
              <w:bottom w:val="nil"/>
              <w:right w:val="nil"/>
            </w:tcBorders>
            <w:shd w:val="clear" w:color="auto" w:fill="auto"/>
            <w:noWrap/>
            <w:hideMark/>
          </w:tcPr>
          <w:p w14:paraId="726E1EAF" w14:textId="13CC142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59C057B" w14:textId="40087EF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D8AF45C" w14:textId="1B16A20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6CD3B7F" w14:textId="5158EA1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A705B50" w14:textId="6C092B5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36C06A4" w14:textId="10F6E36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247C814" w14:textId="1F9EE7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54.05%</w:t>
            </w:r>
          </w:p>
        </w:tc>
        <w:tc>
          <w:tcPr>
            <w:tcW w:w="412" w:type="pct"/>
            <w:tcBorders>
              <w:top w:val="nil"/>
              <w:left w:val="nil"/>
              <w:bottom w:val="nil"/>
              <w:right w:val="nil"/>
            </w:tcBorders>
            <w:shd w:val="clear" w:color="auto" w:fill="auto"/>
            <w:noWrap/>
            <w:hideMark/>
          </w:tcPr>
          <w:p w14:paraId="66D35C8A" w14:textId="1213C4E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591F997" w14:textId="5E8F31E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051828D0"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8F3F62D" w14:textId="03337494" w:rsidR="0067033E" w:rsidRPr="001A5D41" w:rsidRDefault="0067033E" w:rsidP="0067033E">
            <w:pPr>
              <w:rPr>
                <w:rFonts w:ascii="Arial" w:hAnsi="Arial" w:cs="Arial"/>
                <w:color w:val="FF0000"/>
                <w:sz w:val="14"/>
                <w:szCs w:val="14"/>
              </w:rPr>
            </w:pPr>
            <w:r w:rsidRPr="001A5D41">
              <w:rPr>
                <w:rFonts w:ascii="Arial" w:hAnsi="Arial" w:cs="Arial"/>
                <w:sz w:val="14"/>
                <w:szCs w:val="14"/>
              </w:rPr>
              <w:t>Beth Israel Deaconess Medical Center</w:t>
            </w:r>
          </w:p>
        </w:tc>
        <w:tc>
          <w:tcPr>
            <w:tcW w:w="397" w:type="pct"/>
            <w:tcBorders>
              <w:top w:val="nil"/>
              <w:left w:val="nil"/>
              <w:bottom w:val="nil"/>
              <w:right w:val="nil"/>
            </w:tcBorders>
            <w:shd w:val="clear" w:color="auto" w:fill="auto"/>
            <w:noWrap/>
            <w:hideMark/>
          </w:tcPr>
          <w:p w14:paraId="423806AC" w14:textId="7D671C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A64C4BB" w14:textId="504BF1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6DC2862" w14:textId="7DC19A2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705E130" w14:textId="65EA251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479CC102" w14:textId="3D0D14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3A54A02" w14:textId="5B36DF0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7151839" w14:textId="0409637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54.71%</w:t>
            </w:r>
          </w:p>
        </w:tc>
        <w:tc>
          <w:tcPr>
            <w:tcW w:w="412" w:type="pct"/>
            <w:tcBorders>
              <w:top w:val="nil"/>
              <w:left w:val="nil"/>
              <w:bottom w:val="nil"/>
              <w:right w:val="nil"/>
            </w:tcBorders>
            <w:shd w:val="clear" w:color="auto" w:fill="auto"/>
            <w:noWrap/>
            <w:hideMark/>
          </w:tcPr>
          <w:p w14:paraId="5F4F3951" w14:textId="16EAA1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D56C6DE" w14:textId="03092A7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760035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AE27846" w14:textId="2DFBA6AD" w:rsidR="0067033E" w:rsidRPr="001A5D41" w:rsidRDefault="0067033E" w:rsidP="0067033E">
            <w:pPr>
              <w:rPr>
                <w:rFonts w:ascii="Arial" w:hAnsi="Arial" w:cs="Arial"/>
                <w:color w:val="FF0000"/>
                <w:sz w:val="14"/>
                <w:szCs w:val="14"/>
              </w:rPr>
            </w:pPr>
            <w:r w:rsidRPr="001A5D41">
              <w:rPr>
                <w:rFonts w:ascii="Arial" w:hAnsi="Arial" w:cs="Arial"/>
                <w:sz w:val="14"/>
                <w:szCs w:val="14"/>
              </w:rPr>
              <w:t>Beverly Hospital</w:t>
            </w:r>
          </w:p>
        </w:tc>
        <w:tc>
          <w:tcPr>
            <w:tcW w:w="397" w:type="pct"/>
            <w:tcBorders>
              <w:top w:val="nil"/>
              <w:left w:val="nil"/>
              <w:bottom w:val="nil"/>
              <w:right w:val="nil"/>
            </w:tcBorders>
            <w:shd w:val="clear" w:color="auto" w:fill="auto"/>
            <w:noWrap/>
            <w:hideMark/>
          </w:tcPr>
          <w:p w14:paraId="2D2CDE90" w14:textId="529B94F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D62F894" w14:textId="0765109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48E71D6E" w14:textId="3D10420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560F2BB" w14:textId="371EEC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534CCDBE" w14:textId="42B1C1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47DDBBF" w14:textId="3A1551A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2B64138B" w14:textId="4711EA3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59.33%</w:t>
            </w:r>
          </w:p>
        </w:tc>
        <w:tc>
          <w:tcPr>
            <w:tcW w:w="412" w:type="pct"/>
            <w:tcBorders>
              <w:top w:val="nil"/>
              <w:left w:val="nil"/>
              <w:bottom w:val="nil"/>
              <w:right w:val="nil"/>
            </w:tcBorders>
            <w:shd w:val="clear" w:color="auto" w:fill="auto"/>
            <w:noWrap/>
            <w:hideMark/>
          </w:tcPr>
          <w:p w14:paraId="394E7737" w14:textId="4861A6F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24049E8" w14:textId="317113B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82B1B1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96D64C4" w14:textId="76548629" w:rsidR="0067033E" w:rsidRPr="001A5D41" w:rsidRDefault="0067033E" w:rsidP="0067033E">
            <w:pPr>
              <w:rPr>
                <w:rFonts w:ascii="Arial" w:hAnsi="Arial" w:cs="Arial"/>
                <w:color w:val="FF0000"/>
                <w:sz w:val="14"/>
                <w:szCs w:val="14"/>
              </w:rPr>
            </w:pPr>
            <w:r w:rsidRPr="001A5D41">
              <w:rPr>
                <w:rFonts w:ascii="Arial" w:hAnsi="Arial" w:cs="Arial"/>
                <w:sz w:val="14"/>
                <w:szCs w:val="14"/>
              </w:rPr>
              <w:t>Boston Children's Hospital</w:t>
            </w:r>
          </w:p>
        </w:tc>
        <w:tc>
          <w:tcPr>
            <w:tcW w:w="397" w:type="pct"/>
            <w:tcBorders>
              <w:top w:val="nil"/>
              <w:left w:val="nil"/>
              <w:bottom w:val="nil"/>
              <w:right w:val="nil"/>
            </w:tcBorders>
            <w:shd w:val="clear" w:color="auto" w:fill="auto"/>
            <w:noWrap/>
            <w:hideMark/>
          </w:tcPr>
          <w:p w14:paraId="04BFA194" w14:textId="49D0E8D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6A64D3C" w14:textId="154A842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4EDBF8D" w14:textId="6C67C15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DA6C5F" w14:textId="0EE948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597C64EF" w14:textId="78D72F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438F84C" w14:textId="5859D36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89A3C6C" w14:textId="3A62CEA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51.28%</w:t>
            </w:r>
          </w:p>
        </w:tc>
        <w:tc>
          <w:tcPr>
            <w:tcW w:w="412" w:type="pct"/>
            <w:tcBorders>
              <w:top w:val="nil"/>
              <w:left w:val="nil"/>
              <w:bottom w:val="nil"/>
              <w:right w:val="nil"/>
            </w:tcBorders>
            <w:shd w:val="clear" w:color="auto" w:fill="auto"/>
            <w:noWrap/>
            <w:hideMark/>
          </w:tcPr>
          <w:p w14:paraId="000CD9A6" w14:textId="1F88183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80663B0" w14:textId="600DA213"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2DD558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8BC66FF" w14:textId="104D0929" w:rsidR="0067033E" w:rsidRPr="001A5D41" w:rsidRDefault="0067033E" w:rsidP="0067033E">
            <w:pPr>
              <w:rPr>
                <w:rFonts w:ascii="Arial" w:hAnsi="Arial" w:cs="Arial"/>
                <w:color w:val="FF0000"/>
                <w:sz w:val="14"/>
                <w:szCs w:val="14"/>
              </w:rPr>
            </w:pPr>
            <w:r w:rsidRPr="001A5D41">
              <w:rPr>
                <w:rFonts w:ascii="Arial" w:hAnsi="Arial" w:cs="Arial"/>
                <w:sz w:val="14"/>
                <w:szCs w:val="14"/>
              </w:rPr>
              <w:t>Boston Medical Center</w:t>
            </w:r>
          </w:p>
        </w:tc>
        <w:tc>
          <w:tcPr>
            <w:tcW w:w="397" w:type="pct"/>
            <w:tcBorders>
              <w:top w:val="nil"/>
              <w:left w:val="nil"/>
              <w:bottom w:val="nil"/>
              <w:right w:val="nil"/>
            </w:tcBorders>
            <w:shd w:val="clear" w:color="auto" w:fill="auto"/>
            <w:noWrap/>
            <w:hideMark/>
          </w:tcPr>
          <w:p w14:paraId="5EC81A47" w14:textId="20AAC3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DA5073C" w14:textId="0AB742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F1362C8" w14:textId="49B4654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5C198A1" w14:textId="496C6F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F0929A4" w14:textId="2931B7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D8F2130" w14:textId="03A1EDB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26F91983" w14:textId="55E8BE6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53.33%</w:t>
            </w:r>
          </w:p>
        </w:tc>
        <w:tc>
          <w:tcPr>
            <w:tcW w:w="412" w:type="pct"/>
            <w:tcBorders>
              <w:top w:val="nil"/>
              <w:left w:val="nil"/>
              <w:bottom w:val="nil"/>
              <w:right w:val="nil"/>
            </w:tcBorders>
            <w:shd w:val="clear" w:color="auto" w:fill="auto"/>
            <w:noWrap/>
            <w:hideMark/>
          </w:tcPr>
          <w:p w14:paraId="3D547FCC" w14:textId="329AD89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DB77A57" w14:textId="10C8310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6DD7B88"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02670CF" w14:textId="236351CF" w:rsidR="0067033E" w:rsidRPr="001A5D41" w:rsidRDefault="0067033E" w:rsidP="0067033E">
            <w:pPr>
              <w:rPr>
                <w:rFonts w:ascii="Arial" w:hAnsi="Arial" w:cs="Arial"/>
                <w:color w:val="FF0000"/>
                <w:sz w:val="14"/>
                <w:szCs w:val="14"/>
              </w:rPr>
            </w:pPr>
            <w:r w:rsidRPr="001A5D41">
              <w:rPr>
                <w:rFonts w:ascii="Arial" w:hAnsi="Arial" w:cs="Arial"/>
                <w:sz w:val="14"/>
                <w:szCs w:val="14"/>
              </w:rPr>
              <w:t>Brigham &amp; Women's Faulkner Hospital</w:t>
            </w:r>
          </w:p>
        </w:tc>
        <w:tc>
          <w:tcPr>
            <w:tcW w:w="397" w:type="pct"/>
            <w:tcBorders>
              <w:top w:val="nil"/>
              <w:left w:val="nil"/>
              <w:bottom w:val="nil"/>
              <w:right w:val="nil"/>
            </w:tcBorders>
            <w:shd w:val="clear" w:color="auto" w:fill="auto"/>
            <w:noWrap/>
            <w:hideMark/>
          </w:tcPr>
          <w:p w14:paraId="0DC29676" w14:textId="0ED7358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D12D7A6" w14:textId="522A8E0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56E7F0A4" w14:textId="5DA8A30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B07AECE" w14:textId="7E00977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0C9C58B" w14:textId="73722B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7AC1B85" w14:textId="5DBF6E3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0A895BC" w14:textId="7E9E81F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34.49%</w:t>
            </w:r>
          </w:p>
        </w:tc>
        <w:tc>
          <w:tcPr>
            <w:tcW w:w="412" w:type="pct"/>
            <w:tcBorders>
              <w:top w:val="nil"/>
              <w:left w:val="nil"/>
              <w:bottom w:val="nil"/>
              <w:right w:val="nil"/>
            </w:tcBorders>
            <w:shd w:val="clear" w:color="auto" w:fill="auto"/>
            <w:noWrap/>
            <w:hideMark/>
          </w:tcPr>
          <w:p w14:paraId="2E850DA9" w14:textId="38F9C0E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169E75C" w14:textId="01B9FED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26142B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9D8D258" w14:textId="078F70EE" w:rsidR="0067033E" w:rsidRPr="001A5D41" w:rsidRDefault="0067033E" w:rsidP="0067033E">
            <w:pPr>
              <w:rPr>
                <w:rFonts w:ascii="Arial" w:hAnsi="Arial" w:cs="Arial"/>
                <w:color w:val="FF0000"/>
                <w:sz w:val="14"/>
                <w:szCs w:val="14"/>
              </w:rPr>
            </w:pPr>
            <w:r w:rsidRPr="001A5D41">
              <w:rPr>
                <w:rFonts w:ascii="Arial" w:hAnsi="Arial" w:cs="Arial"/>
                <w:sz w:val="14"/>
                <w:szCs w:val="14"/>
              </w:rPr>
              <w:t>Brigham &amp; Women's Hospital</w:t>
            </w:r>
          </w:p>
        </w:tc>
        <w:tc>
          <w:tcPr>
            <w:tcW w:w="397" w:type="pct"/>
            <w:tcBorders>
              <w:top w:val="nil"/>
              <w:left w:val="nil"/>
              <w:bottom w:val="nil"/>
              <w:right w:val="nil"/>
            </w:tcBorders>
            <w:shd w:val="clear" w:color="auto" w:fill="auto"/>
            <w:noWrap/>
            <w:hideMark/>
          </w:tcPr>
          <w:p w14:paraId="1E0A4DD1" w14:textId="2A19E8A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C580838" w14:textId="5167E32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28401626" w14:textId="380BF71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D9E866C" w14:textId="044870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597B62E" w14:textId="4E0396A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34A721" w14:textId="6D65B13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06FC5B1C" w14:textId="06328AF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30.04%</w:t>
            </w:r>
          </w:p>
        </w:tc>
        <w:tc>
          <w:tcPr>
            <w:tcW w:w="412" w:type="pct"/>
            <w:tcBorders>
              <w:top w:val="nil"/>
              <w:left w:val="nil"/>
              <w:bottom w:val="nil"/>
              <w:right w:val="nil"/>
            </w:tcBorders>
            <w:shd w:val="clear" w:color="auto" w:fill="auto"/>
            <w:noWrap/>
            <w:hideMark/>
          </w:tcPr>
          <w:p w14:paraId="1A3FE48A" w14:textId="00B09A0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2F51C9" w14:textId="21F9DE6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4CCE65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849573F" w14:textId="0ED9C21F" w:rsidR="0067033E" w:rsidRPr="001A5D41" w:rsidRDefault="0067033E" w:rsidP="0067033E">
            <w:pPr>
              <w:rPr>
                <w:rFonts w:ascii="Arial" w:hAnsi="Arial" w:cs="Arial"/>
                <w:color w:val="FF0000"/>
                <w:sz w:val="14"/>
                <w:szCs w:val="14"/>
              </w:rPr>
            </w:pPr>
            <w:r w:rsidRPr="001A5D41">
              <w:rPr>
                <w:rFonts w:ascii="Arial" w:hAnsi="Arial" w:cs="Arial"/>
                <w:sz w:val="14"/>
                <w:szCs w:val="14"/>
              </w:rPr>
              <w:t>Cambridge Health Alliance</w:t>
            </w:r>
          </w:p>
        </w:tc>
        <w:tc>
          <w:tcPr>
            <w:tcW w:w="397" w:type="pct"/>
            <w:tcBorders>
              <w:top w:val="nil"/>
              <w:left w:val="nil"/>
              <w:bottom w:val="nil"/>
              <w:right w:val="nil"/>
            </w:tcBorders>
            <w:shd w:val="clear" w:color="auto" w:fill="auto"/>
            <w:noWrap/>
            <w:hideMark/>
          </w:tcPr>
          <w:p w14:paraId="30A4F3E3" w14:textId="605804B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32D29CD" w14:textId="118DA22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6A96B40" w14:textId="64A3670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C843E8F" w14:textId="06AA68C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860B24B" w14:textId="74C1AA9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0A49F84" w14:textId="3527E7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688749A" w14:textId="0A4076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74.53%</w:t>
            </w:r>
          </w:p>
        </w:tc>
        <w:tc>
          <w:tcPr>
            <w:tcW w:w="412" w:type="pct"/>
            <w:tcBorders>
              <w:top w:val="nil"/>
              <w:left w:val="nil"/>
              <w:bottom w:val="nil"/>
              <w:right w:val="nil"/>
            </w:tcBorders>
            <w:shd w:val="clear" w:color="auto" w:fill="auto"/>
            <w:noWrap/>
            <w:hideMark/>
          </w:tcPr>
          <w:p w14:paraId="4BEE1621" w14:textId="40E21E7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7D3D632" w14:textId="7210D3B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749DFEB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3ADC84A" w14:textId="2FE460E2" w:rsidR="0067033E" w:rsidRPr="001A5D41" w:rsidRDefault="0067033E" w:rsidP="0067033E">
            <w:pPr>
              <w:rPr>
                <w:rFonts w:ascii="Arial" w:hAnsi="Arial" w:cs="Arial"/>
                <w:color w:val="FF0000"/>
                <w:sz w:val="14"/>
                <w:szCs w:val="14"/>
              </w:rPr>
            </w:pPr>
            <w:r w:rsidRPr="001A5D41">
              <w:rPr>
                <w:rFonts w:ascii="Arial" w:hAnsi="Arial" w:cs="Arial"/>
                <w:sz w:val="14"/>
                <w:szCs w:val="14"/>
              </w:rPr>
              <w:t>Cape Cod Hospital</w:t>
            </w:r>
          </w:p>
        </w:tc>
        <w:tc>
          <w:tcPr>
            <w:tcW w:w="397" w:type="pct"/>
            <w:tcBorders>
              <w:top w:val="nil"/>
              <w:left w:val="nil"/>
              <w:bottom w:val="nil"/>
              <w:right w:val="nil"/>
            </w:tcBorders>
            <w:shd w:val="clear" w:color="auto" w:fill="auto"/>
            <w:noWrap/>
            <w:hideMark/>
          </w:tcPr>
          <w:p w14:paraId="5CE97E32" w14:textId="3CD870F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49B30AA" w14:textId="2EBD9BB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1.0635 </w:t>
            </w:r>
          </w:p>
        </w:tc>
        <w:tc>
          <w:tcPr>
            <w:tcW w:w="343" w:type="pct"/>
            <w:tcBorders>
              <w:top w:val="nil"/>
              <w:left w:val="nil"/>
              <w:bottom w:val="nil"/>
              <w:right w:val="nil"/>
            </w:tcBorders>
            <w:shd w:val="clear" w:color="auto" w:fill="auto"/>
            <w:noWrap/>
            <w:hideMark/>
          </w:tcPr>
          <w:p w14:paraId="50A69DD5" w14:textId="748F890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301D770" w14:textId="6488878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$11,905.83 </w:t>
            </w:r>
          </w:p>
        </w:tc>
        <w:tc>
          <w:tcPr>
            <w:tcW w:w="373" w:type="pct"/>
            <w:tcBorders>
              <w:top w:val="nil"/>
              <w:left w:val="nil"/>
              <w:bottom w:val="nil"/>
              <w:right w:val="nil"/>
            </w:tcBorders>
            <w:shd w:val="clear" w:color="auto" w:fill="auto"/>
            <w:noWrap/>
            <w:hideMark/>
          </w:tcPr>
          <w:p w14:paraId="18B29C1C" w14:textId="4666244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71BAF66" w14:textId="67D3F6E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$12,681.17 </w:t>
            </w:r>
          </w:p>
        </w:tc>
        <w:tc>
          <w:tcPr>
            <w:tcW w:w="262" w:type="pct"/>
            <w:tcBorders>
              <w:top w:val="nil"/>
              <w:left w:val="nil"/>
              <w:bottom w:val="nil"/>
              <w:right w:val="nil"/>
            </w:tcBorders>
            <w:shd w:val="clear" w:color="auto" w:fill="auto"/>
            <w:noWrap/>
            <w:hideMark/>
          </w:tcPr>
          <w:p w14:paraId="1C248BA3" w14:textId="128F6B7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49.52%</w:t>
            </w:r>
          </w:p>
        </w:tc>
        <w:tc>
          <w:tcPr>
            <w:tcW w:w="412" w:type="pct"/>
            <w:tcBorders>
              <w:top w:val="nil"/>
              <w:left w:val="nil"/>
              <w:bottom w:val="nil"/>
              <w:right w:val="nil"/>
            </w:tcBorders>
            <w:shd w:val="clear" w:color="auto" w:fill="auto"/>
            <w:noWrap/>
            <w:hideMark/>
          </w:tcPr>
          <w:p w14:paraId="410DACCE" w14:textId="6AFA9E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4AB2457" w14:textId="5A1C83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1CF2FF1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C41758A" w14:textId="3E749661" w:rsidR="0067033E" w:rsidRPr="001A5D41" w:rsidRDefault="0067033E" w:rsidP="0067033E">
            <w:pPr>
              <w:rPr>
                <w:rFonts w:ascii="Arial" w:hAnsi="Arial" w:cs="Arial"/>
                <w:color w:val="FF0000"/>
                <w:sz w:val="14"/>
                <w:szCs w:val="14"/>
              </w:rPr>
            </w:pPr>
            <w:r w:rsidRPr="001A5D41">
              <w:rPr>
                <w:rFonts w:ascii="Arial" w:hAnsi="Arial" w:cs="Arial"/>
                <w:sz w:val="14"/>
                <w:szCs w:val="14"/>
              </w:rPr>
              <w:t>Carney Hospital</w:t>
            </w:r>
          </w:p>
        </w:tc>
        <w:tc>
          <w:tcPr>
            <w:tcW w:w="397" w:type="pct"/>
            <w:tcBorders>
              <w:top w:val="nil"/>
              <w:left w:val="nil"/>
              <w:bottom w:val="nil"/>
              <w:right w:val="nil"/>
            </w:tcBorders>
            <w:shd w:val="clear" w:color="auto" w:fill="auto"/>
            <w:noWrap/>
            <w:hideMark/>
          </w:tcPr>
          <w:p w14:paraId="26471EDA" w14:textId="56344ED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776472" w14:textId="54DE6FD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2C551553" w14:textId="5E9EAE2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71FD590" w14:textId="7A8FA38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B50C8EE" w14:textId="685F382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65394792" w14:textId="5FB2408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17BA8A5" w14:textId="0A48D77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92.88%</w:t>
            </w:r>
          </w:p>
        </w:tc>
        <w:tc>
          <w:tcPr>
            <w:tcW w:w="412" w:type="pct"/>
            <w:tcBorders>
              <w:top w:val="nil"/>
              <w:left w:val="nil"/>
              <w:bottom w:val="nil"/>
              <w:right w:val="nil"/>
            </w:tcBorders>
            <w:shd w:val="clear" w:color="auto" w:fill="auto"/>
            <w:noWrap/>
            <w:hideMark/>
          </w:tcPr>
          <w:p w14:paraId="60019E67" w14:textId="3024632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926B4CD" w14:textId="5B4671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30B73D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1307D9B" w14:textId="0B7B0840" w:rsidR="0067033E" w:rsidRPr="001A5D41" w:rsidRDefault="0067033E" w:rsidP="0067033E">
            <w:pPr>
              <w:rPr>
                <w:rFonts w:ascii="Arial" w:hAnsi="Arial" w:cs="Arial"/>
                <w:color w:val="FF0000"/>
                <w:sz w:val="14"/>
                <w:szCs w:val="14"/>
              </w:rPr>
            </w:pPr>
            <w:r w:rsidRPr="001A5D41">
              <w:rPr>
                <w:rFonts w:ascii="Arial" w:hAnsi="Arial" w:cs="Arial"/>
                <w:sz w:val="14"/>
                <w:szCs w:val="14"/>
              </w:rPr>
              <w:t>Cooley Dickinson Hospital</w:t>
            </w:r>
          </w:p>
        </w:tc>
        <w:tc>
          <w:tcPr>
            <w:tcW w:w="397" w:type="pct"/>
            <w:tcBorders>
              <w:top w:val="nil"/>
              <w:left w:val="nil"/>
              <w:bottom w:val="nil"/>
              <w:right w:val="nil"/>
            </w:tcBorders>
            <w:shd w:val="clear" w:color="auto" w:fill="auto"/>
            <w:noWrap/>
            <w:hideMark/>
          </w:tcPr>
          <w:p w14:paraId="2C4F66E5" w14:textId="47070AA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D2B32E2" w14:textId="1EED114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0.9555 </w:t>
            </w:r>
          </w:p>
        </w:tc>
        <w:tc>
          <w:tcPr>
            <w:tcW w:w="343" w:type="pct"/>
            <w:tcBorders>
              <w:top w:val="nil"/>
              <w:left w:val="nil"/>
              <w:bottom w:val="nil"/>
              <w:right w:val="nil"/>
            </w:tcBorders>
            <w:shd w:val="clear" w:color="auto" w:fill="auto"/>
            <w:noWrap/>
            <w:hideMark/>
          </w:tcPr>
          <w:p w14:paraId="7D4C042E" w14:textId="01E15D9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849511E" w14:textId="50C5ED6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$11,064.62 </w:t>
            </w:r>
          </w:p>
        </w:tc>
        <w:tc>
          <w:tcPr>
            <w:tcW w:w="373" w:type="pct"/>
            <w:tcBorders>
              <w:top w:val="nil"/>
              <w:left w:val="nil"/>
              <w:bottom w:val="nil"/>
              <w:right w:val="nil"/>
            </w:tcBorders>
            <w:shd w:val="clear" w:color="auto" w:fill="auto"/>
            <w:noWrap/>
            <w:hideMark/>
          </w:tcPr>
          <w:p w14:paraId="5FB9E834" w14:textId="613A92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A0DF9D7" w14:textId="705B968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$11,839.96 </w:t>
            </w:r>
          </w:p>
        </w:tc>
        <w:tc>
          <w:tcPr>
            <w:tcW w:w="262" w:type="pct"/>
            <w:tcBorders>
              <w:top w:val="nil"/>
              <w:left w:val="nil"/>
              <w:bottom w:val="nil"/>
              <w:right w:val="nil"/>
            </w:tcBorders>
            <w:shd w:val="clear" w:color="auto" w:fill="auto"/>
            <w:noWrap/>
            <w:hideMark/>
          </w:tcPr>
          <w:p w14:paraId="05369CFA" w14:textId="290C641C"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45.45%</w:t>
            </w:r>
          </w:p>
        </w:tc>
        <w:tc>
          <w:tcPr>
            <w:tcW w:w="412" w:type="pct"/>
            <w:tcBorders>
              <w:top w:val="nil"/>
              <w:left w:val="nil"/>
              <w:bottom w:val="nil"/>
              <w:right w:val="nil"/>
            </w:tcBorders>
            <w:shd w:val="clear" w:color="auto" w:fill="auto"/>
            <w:noWrap/>
            <w:hideMark/>
          </w:tcPr>
          <w:p w14:paraId="1B30DDA4" w14:textId="71A6E68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CB3A69C" w14:textId="5BE9AEBC"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951518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9677EF4" w14:textId="134009EA" w:rsidR="0067033E" w:rsidRPr="001A5D41" w:rsidRDefault="0067033E" w:rsidP="0067033E">
            <w:pPr>
              <w:rPr>
                <w:rFonts w:ascii="Arial" w:hAnsi="Arial" w:cs="Arial"/>
                <w:color w:val="FF0000"/>
                <w:sz w:val="14"/>
                <w:szCs w:val="14"/>
              </w:rPr>
            </w:pPr>
            <w:r w:rsidRPr="001A5D41">
              <w:rPr>
                <w:rFonts w:ascii="Arial" w:hAnsi="Arial" w:cs="Arial"/>
                <w:sz w:val="14"/>
                <w:szCs w:val="14"/>
              </w:rPr>
              <w:t>Dana Farber Cancer Institute</w:t>
            </w:r>
          </w:p>
        </w:tc>
        <w:tc>
          <w:tcPr>
            <w:tcW w:w="397" w:type="pct"/>
            <w:tcBorders>
              <w:top w:val="nil"/>
              <w:left w:val="nil"/>
              <w:bottom w:val="nil"/>
              <w:right w:val="nil"/>
            </w:tcBorders>
            <w:shd w:val="clear" w:color="auto" w:fill="auto"/>
            <w:noWrap/>
            <w:hideMark/>
          </w:tcPr>
          <w:p w14:paraId="127E48E9" w14:textId="1533D53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BFC646" w14:textId="53BAADB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52624AE" w14:textId="1FDD918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359D1FF" w14:textId="201BDE4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47D9F29C" w14:textId="2FD63546"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F3D35BF" w14:textId="25B8C42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A43A984" w14:textId="19354564"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44.46%</w:t>
            </w:r>
          </w:p>
        </w:tc>
        <w:tc>
          <w:tcPr>
            <w:tcW w:w="412" w:type="pct"/>
            <w:tcBorders>
              <w:top w:val="nil"/>
              <w:left w:val="nil"/>
              <w:bottom w:val="nil"/>
              <w:right w:val="nil"/>
            </w:tcBorders>
            <w:shd w:val="clear" w:color="auto" w:fill="auto"/>
            <w:noWrap/>
            <w:hideMark/>
          </w:tcPr>
          <w:p w14:paraId="50CB1195" w14:textId="2E7BFC8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96E58CC" w14:textId="5EF0E12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560340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FB112C3" w14:textId="30E78468" w:rsidR="0067033E" w:rsidRPr="001A5D41" w:rsidRDefault="0067033E" w:rsidP="0067033E">
            <w:pPr>
              <w:rPr>
                <w:rFonts w:ascii="Arial" w:hAnsi="Arial" w:cs="Arial"/>
                <w:color w:val="FF0000"/>
                <w:sz w:val="14"/>
                <w:szCs w:val="14"/>
              </w:rPr>
            </w:pPr>
            <w:r w:rsidRPr="001A5D41">
              <w:rPr>
                <w:rFonts w:ascii="Arial" w:hAnsi="Arial" w:cs="Arial"/>
                <w:sz w:val="14"/>
                <w:szCs w:val="14"/>
              </w:rPr>
              <w:t>Emerson Hospital</w:t>
            </w:r>
          </w:p>
        </w:tc>
        <w:tc>
          <w:tcPr>
            <w:tcW w:w="397" w:type="pct"/>
            <w:tcBorders>
              <w:top w:val="nil"/>
              <w:left w:val="nil"/>
              <w:bottom w:val="nil"/>
              <w:right w:val="nil"/>
            </w:tcBorders>
            <w:shd w:val="clear" w:color="auto" w:fill="auto"/>
            <w:noWrap/>
            <w:hideMark/>
          </w:tcPr>
          <w:p w14:paraId="4729AC90" w14:textId="5EF5CC1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4CDF58B" w14:textId="2BCC1B6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C519830" w14:textId="4FDEE06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1480FE0" w14:textId="62E24CA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495E52F" w14:textId="1505B16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586099F" w14:textId="6F63051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22C18E4" w14:textId="278983F6"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58.45%</w:t>
            </w:r>
          </w:p>
        </w:tc>
        <w:tc>
          <w:tcPr>
            <w:tcW w:w="412" w:type="pct"/>
            <w:tcBorders>
              <w:top w:val="nil"/>
              <w:left w:val="nil"/>
              <w:bottom w:val="nil"/>
              <w:right w:val="nil"/>
            </w:tcBorders>
            <w:shd w:val="clear" w:color="auto" w:fill="auto"/>
            <w:noWrap/>
            <w:hideMark/>
          </w:tcPr>
          <w:p w14:paraId="60C3ADAE" w14:textId="29A7085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DEAD7A8" w14:textId="2475E28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5746B45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6B7DA64" w14:textId="775688A9" w:rsidR="0067033E" w:rsidRPr="001A5D41" w:rsidRDefault="0067033E" w:rsidP="0067033E">
            <w:pPr>
              <w:rPr>
                <w:rFonts w:ascii="Arial" w:hAnsi="Arial" w:cs="Arial"/>
                <w:color w:val="FF0000"/>
                <w:sz w:val="14"/>
                <w:szCs w:val="14"/>
              </w:rPr>
            </w:pPr>
            <w:r w:rsidRPr="001A5D41">
              <w:rPr>
                <w:rFonts w:ascii="Arial" w:hAnsi="Arial" w:cs="Arial"/>
                <w:sz w:val="14"/>
                <w:szCs w:val="14"/>
              </w:rPr>
              <w:t>Falmouth Hospital</w:t>
            </w:r>
          </w:p>
        </w:tc>
        <w:tc>
          <w:tcPr>
            <w:tcW w:w="397" w:type="pct"/>
            <w:tcBorders>
              <w:top w:val="nil"/>
              <w:left w:val="nil"/>
              <w:bottom w:val="nil"/>
              <w:right w:val="nil"/>
            </w:tcBorders>
            <w:shd w:val="clear" w:color="auto" w:fill="auto"/>
            <w:noWrap/>
            <w:hideMark/>
          </w:tcPr>
          <w:p w14:paraId="2641E182" w14:textId="06482E3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874EE06" w14:textId="0EC790E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1.0635 </w:t>
            </w:r>
          </w:p>
        </w:tc>
        <w:tc>
          <w:tcPr>
            <w:tcW w:w="343" w:type="pct"/>
            <w:tcBorders>
              <w:top w:val="nil"/>
              <w:left w:val="nil"/>
              <w:bottom w:val="nil"/>
              <w:right w:val="nil"/>
            </w:tcBorders>
            <w:shd w:val="clear" w:color="auto" w:fill="auto"/>
            <w:noWrap/>
            <w:hideMark/>
          </w:tcPr>
          <w:p w14:paraId="48DC460E" w14:textId="69C6EFF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57853D0" w14:textId="3744334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$11,905.83 </w:t>
            </w:r>
          </w:p>
        </w:tc>
        <w:tc>
          <w:tcPr>
            <w:tcW w:w="373" w:type="pct"/>
            <w:tcBorders>
              <w:top w:val="nil"/>
              <w:left w:val="nil"/>
              <w:bottom w:val="nil"/>
              <w:right w:val="nil"/>
            </w:tcBorders>
            <w:shd w:val="clear" w:color="auto" w:fill="auto"/>
            <w:noWrap/>
            <w:hideMark/>
          </w:tcPr>
          <w:p w14:paraId="34342C67" w14:textId="1ADE581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0983D17" w14:textId="148D38C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$12,681.17 </w:t>
            </w:r>
          </w:p>
        </w:tc>
        <w:tc>
          <w:tcPr>
            <w:tcW w:w="262" w:type="pct"/>
            <w:tcBorders>
              <w:top w:val="nil"/>
              <w:left w:val="nil"/>
              <w:bottom w:val="nil"/>
              <w:right w:val="nil"/>
            </w:tcBorders>
            <w:shd w:val="clear" w:color="auto" w:fill="auto"/>
            <w:noWrap/>
            <w:hideMark/>
          </w:tcPr>
          <w:p w14:paraId="7B6C74BE" w14:textId="0BB28CFB"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53.16%</w:t>
            </w:r>
          </w:p>
        </w:tc>
        <w:tc>
          <w:tcPr>
            <w:tcW w:w="412" w:type="pct"/>
            <w:tcBorders>
              <w:top w:val="nil"/>
              <w:left w:val="nil"/>
              <w:bottom w:val="nil"/>
              <w:right w:val="nil"/>
            </w:tcBorders>
            <w:shd w:val="clear" w:color="auto" w:fill="auto"/>
            <w:noWrap/>
            <w:hideMark/>
          </w:tcPr>
          <w:p w14:paraId="0AC7919E" w14:textId="686EC5D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529FFCA" w14:textId="7D888B65"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18F39D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E820E4E" w14:textId="3428406F" w:rsidR="0067033E" w:rsidRPr="001A5D41" w:rsidRDefault="0067033E" w:rsidP="0067033E">
            <w:pPr>
              <w:rPr>
                <w:rFonts w:ascii="Arial" w:hAnsi="Arial" w:cs="Arial"/>
                <w:color w:val="FF0000"/>
                <w:sz w:val="14"/>
                <w:szCs w:val="14"/>
              </w:rPr>
            </w:pPr>
            <w:r w:rsidRPr="001A5D41">
              <w:rPr>
                <w:rFonts w:ascii="Arial" w:hAnsi="Arial" w:cs="Arial"/>
                <w:sz w:val="14"/>
                <w:szCs w:val="14"/>
              </w:rPr>
              <w:t>Good Samaritan Hospital</w:t>
            </w:r>
          </w:p>
        </w:tc>
        <w:tc>
          <w:tcPr>
            <w:tcW w:w="397" w:type="pct"/>
            <w:tcBorders>
              <w:top w:val="nil"/>
              <w:left w:val="nil"/>
              <w:bottom w:val="nil"/>
              <w:right w:val="nil"/>
            </w:tcBorders>
            <w:shd w:val="clear" w:color="auto" w:fill="auto"/>
            <w:noWrap/>
            <w:hideMark/>
          </w:tcPr>
          <w:p w14:paraId="6E6B9ADA" w14:textId="35759DDF"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1209934" w14:textId="47309A1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AA22B0B" w14:textId="774B17D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A5A25F4" w14:textId="57B9928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F6EDD20" w14:textId="0958A38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B260C82" w14:textId="3D125439"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DBAC90B" w14:textId="44470A2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59.49%</w:t>
            </w:r>
          </w:p>
        </w:tc>
        <w:tc>
          <w:tcPr>
            <w:tcW w:w="412" w:type="pct"/>
            <w:tcBorders>
              <w:top w:val="nil"/>
              <w:left w:val="nil"/>
              <w:bottom w:val="nil"/>
              <w:right w:val="nil"/>
            </w:tcBorders>
            <w:shd w:val="clear" w:color="auto" w:fill="auto"/>
            <w:noWrap/>
            <w:hideMark/>
          </w:tcPr>
          <w:p w14:paraId="61BF8176" w14:textId="1883EB7A"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AD67D3D" w14:textId="0BEE65A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34C61AC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EA9EAA8" w14:textId="413EFB18" w:rsidR="0067033E" w:rsidRPr="001A5D41" w:rsidRDefault="0067033E" w:rsidP="0067033E">
            <w:pPr>
              <w:rPr>
                <w:rFonts w:ascii="Arial" w:hAnsi="Arial" w:cs="Arial"/>
                <w:color w:val="FF0000"/>
                <w:sz w:val="14"/>
                <w:szCs w:val="14"/>
              </w:rPr>
            </w:pPr>
            <w:r w:rsidRPr="001A5D41">
              <w:rPr>
                <w:rFonts w:ascii="Arial" w:hAnsi="Arial" w:cs="Arial"/>
                <w:sz w:val="14"/>
                <w:szCs w:val="14"/>
              </w:rPr>
              <w:t>Hallmark Health Systems</w:t>
            </w:r>
          </w:p>
        </w:tc>
        <w:tc>
          <w:tcPr>
            <w:tcW w:w="397" w:type="pct"/>
            <w:tcBorders>
              <w:top w:val="nil"/>
              <w:left w:val="nil"/>
              <w:bottom w:val="nil"/>
              <w:right w:val="nil"/>
            </w:tcBorders>
            <w:shd w:val="clear" w:color="auto" w:fill="auto"/>
            <w:noWrap/>
            <w:hideMark/>
          </w:tcPr>
          <w:p w14:paraId="679BFFCD" w14:textId="6DC7ED0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6B15454" w14:textId="0A080D2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BFD1A32" w14:textId="227B456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7E2B76B" w14:textId="58B9A26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4FA37A1B" w14:textId="17099138"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904FED" w14:textId="6AACA87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4570313" w14:textId="3DEB255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63.77%</w:t>
            </w:r>
          </w:p>
        </w:tc>
        <w:tc>
          <w:tcPr>
            <w:tcW w:w="412" w:type="pct"/>
            <w:tcBorders>
              <w:top w:val="nil"/>
              <w:left w:val="nil"/>
              <w:bottom w:val="nil"/>
              <w:right w:val="nil"/>
            </w:tcBorders>
            <w:shd w:val="clear" w:color="auto" w:fill="auto"/>
            <w:noWrap/>
            <w:hideMark/>
          </w:tcPr>
          <w:p w14:paraId="091DD0CA" w14:textId="3D3185A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7DF838A" w14:textId="4B23EDBD"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61246E9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EFE0F5F" w14:textId="5CE13E1D" w:rsidR="0067033E" w:rsidRPr="001A5D41" w:rsidRDefault="0067033E" w:rsidP="0067033E">
            <w:pPr>
              <w:rPr>
                <w:rFonts w:ascii="Arial" w:hAnsi="Arial" w:cs="Arial"/>
                <w:color w:val="FF0000"/>
                <w:sz w:val="14"/>
                <w:szCs w:val="14"/>
              </w:rPr>
            </w:pPr>
            <w:r w:rsidRPr="001A5D41">
              <w:rPr>
                <w:rFonts w:ascii="Arial" w:hAnsi="Arial" w:cs="Arial"/>
                <w:sz w:val="14"/>
                <w:szCs w:val="14"/>
              </w:rPr>
              <w:t>Harrington Memorial Hospital</w:t>
            </w:r>
          </w:p>
        </w:tc>
        <w:tc>
          <w:tcPr>
            <w:tcW w:w="397" w:type="pct"/>
            <w:tcBorders>
              <w:top w:val="nil"/>
              <w:left w:val="nil"/>
              <w:bottom w:val="nil"/>
              <w:right w:val="nil"/>
            </w:tcBorders>
            <w:shd w:val="clear" w:color="auto" w:fill="auto"/>
            <w:noWrap/>
            <w:hideMark/>
          </w:tcPr>
          <w:p w14:paraId="63A08980" w14:textId="6C0D853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0C7D31C" w14:textId="23BA07D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CFAAA52" w14:textId="2CDC9DC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764DAC4" w14:textId="1A605C9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32955E9" w14:textId="10ECF6C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3D1BB23" w14:textId="305F0E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0051258" w14:textId="3FAC10A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50.46%</w:t>
            </w:r>
          </w:p>
        </w:tc>
        <w:tc>
          <w:tcPr>
            <w:tcW w:w="412" w:type="pct"/>
            <w:tcBorders>
              <w:top w:val="nil"/>
              <w:left w:val="nil"/>
              <w:bottom w:val="nil"/>
              <w:right w:val="nil"/>
            </w:tcBorders>
            <w:shd w:val="clear" w:color="auto" w:fill="auto"/>
            <w:noWrap/>
            <w:hideMark/>
          </w:tcPr>
          <w:p w14:paraId="3D9D91A3" w14:textId="1E44B68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0E8E19F" w14:textId="11A7D530"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2BF12AF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DB2C0C3" w14:textId="7C0EF6E0" w:rsidR="0067033E" w:rsidRPr="001A5D41" w:rsidRDefault="0067033E" w:rsidP="0067033E">
            <w:pPr>
              <w:rPr>
                <w:rFonts w:ascii="Arial" w:hAnsi="Arial" w:cs="Arial"/>
                <w:color w:val="FF0000"/>
                <w:sz w:val="14"/>
                <w:szCs w:val="14"/>
              </w:rPr>
            </w:pPr>
            <w:r w:rsidRPr="001A5D41">
              <w:rPr>
                <w:rFonts w:ascii="Arial" w:hAnsi="Arial" w:cs="Arial"/>
                <w:sz w:val="14"/>
                <w:szCs w:val="14"/>
              </w:rPr>
              <w:t>Heywood Hospital</w:t>
            </w:r>
          </w:p>
        </w:tc>
        <w:tc>
          <w:tcPr>
            <w:tcW w:w="397" w:type="pct"/>
            <w:tcBorders>
              <w:top w:val="nil"/>
              <w:left w:val="nil"/>
              <w:bottom w:val="nil"/>
              <w:right w:val="nil"/>
            </w:tcBorders>
            <w:shd w:val="clear" w:color="auto" w:fill="auto"/>
            <w:noWrap/>
            <w:hideMark/>
          </w:tcPr>
          <w:p w14:paraId="5D99DDFE" w14:textId="143ABFD7"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2E63B5A" w14:textId="67F7F61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57FE2FC" w14:textId="35D5F56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633979F" w14:textId="58B9A0D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544C5978" w14:textId="30A412F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113EF7" w14:textId="42D9F0C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00A95291" w14:textId="1F036DA9"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65.58%</w:t>
            </w:r>
          </w:p>
        </w:tc>
        <w:tc>
          <w:tcPr>
            <w:tcW w:w="412" w:type="pct"/>
            <w:tcBorders>
              <w:top w:val="nil"/>
              <w:left w:val="nil"/>
              <w:bottom w:val="nil"/>
              <w:right w:val="nil"/>
            </w:tcBorders>
            <w:shd w:val="clear" w:color="auto" w:fill="auto"/>
            <w:noWrap/>
            <w:hideMark/>
          </w:tcPr>
          <w:p w14:paraId="7AD12711" w14:textId="5464992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4D49F54" w14:textId="5A92EF61"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0347BCF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E0A0A37" w14:textId="5E89D99F" w:rsidR="0067033E" w:rsidRPr="001A5D41" w:rsidRDefault="0067033E" w:rsidP="0067033E">
            <w:pPr>
              <w:rPr>
                <w:rFonts w:ascii="Arial" w:hAnsi="Arial" w:cs="Arial"/>
                <w:color w:val="FF0000"/>
                <w:sz w:val="14"/>
                <w:szCs w:val="14"/>
              </w:rPr>
            </w:pPr>
            <w:r w:rsidRPr="001A5D41">
              <w:rPr>
                <w:rFonts w:ascii="Arial" w:hAnsi="Arial" w:cs="Arial"/>
                <w:sz w:val="14"/>
                <w:szCs w:val="14"/>
              </w:rPr>
              <w:t>Holy Family Hospital</w:t>
            </w:r>
          </w:p>
        </w:tc>
        <w:tc>
          <w:tcPr>
            <w:tcW w:w="397" w:type="pct"/>
            <w:tcBorders>
              <w:top w:val="nil"/>
              <w:left w:val="nil"/>
              <w:bottom w:val="nil"/>
              <w:right w:val="nil"/>
            </w:tcBorders>
            <w:shd w:val="clear" w:color="auto" w:fill="auto"/>
            <w:noWrap/>
            <w:hideMark/>
          </w:tcPr>
          <w:p w14:paraId="4236BA92" w14:textId="6F1D9C92"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8A03DAB" w14:textId="210C66DC"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466A9FAA" w14:textId="7A9A3C1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37C0EBC" w14:textId="75286B7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494DEAD5" w14:textId="09E1823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36D17C" w14:textId="36E57B5E"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4B0F4F4C" w14:textId="3DB18A3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55.57%</w:t>
            </w:r>
          </w:p>
        </w:tc>
        <w:tc>
          <w:tcPr>
            <w:tcW w:w="412" w:type="pct"/>
            <w:tcBorders>
              <w:top w:val="nil"/>
              <w:left w:val="nil"/>
              <w:bottom w:val="nil"/>
              <w:right w:val="nil"/>
            </w:tcBorders>
            <w:shd w:val="clear" w:color="auto" w:fill="auto"/>
            <w:noWrap/>
            <w:hideMark/>
          </w:tcPr>
          <w:p w14:paraId="2561FADE" w14:textId="3B9600F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3AE1CB79" w14:textId="5D156E7F"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67033E" w:rsidRPr="0019404D" w14:paraId="4EBF26C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2295207" w14:textId="52AB9C0D" w:rsidR="0067033E" w:rsidRPr="001A5D41" w:rsidRDefault="0067033E" w:rsidP="0067033E">
            <w:pPr>
              <w:rPr>
                <w:rFonts w:ascii="Arial" w:hAnsi="Arial" w:cs="Arial"/>
                <w:color w:val="FF0000"/>
                <w:sz w:val="14"/>
                <w:szCs w:val="14"/>
              </w:rPr>
            </w:pPr>
            <w:r w:rsidRPr="001A5D41">
              <w:rPr>
                <w:rFonts w:ascii="Arial" w:hAnsi="Arial" w:cs="Arial"/>
                <w:sz w:val="14"/>
                <w:szCs w:val="14"/>
              </w:rPr>
              <w:t>Holyoke Medical Center</w:t>
            </w:r>
          </w:p>
        </w:tc>
        <w:tc>
          <w:tcPr>
            <w:tcW w:w="397" w:type="pct"/>
            <w:tcBorders>
              <w:top w:val="nil"/>
              <w:left w:val="nil"/>
              <w:bottom w:val="nil"/>
              <w:right w:val="nil"/>
            </w:tcBorders>
            <w:shd w:val="clear" w:color="auto" w:fill="auto"/>
            <w:noWrap/>
            <w:hideMark/>
          </w:tcPr>
          <w:p w14:paraId="363CD1E1" w14:textId="2AB50950"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64C6E8B" w14:textId="08BCAA5D"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4D39A11D" w14:textId="62409C8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6E6AE7A" w14:textId="201EF59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4AC04919" w14:textId="06118B4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DC1288F" w14:textId="40BF1A21"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063DE60C" w14:textId="67E8B557"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67.82%</w:t>
            </w:r>
          </w:p>
        </w:tc>
        <w:tc>
          <w:tcPr>
            <w:tcW w:w="412" w:type="pct"/>
            <w:tcBorders>
              <w:top w:val="nil"/>
              <w:left w:val="nil"/>
              <w:bottom w:val="nil"/>
              <w:right w:val="nil"/>
            </w:tcBorders>
            <w:shd w:val="clear" w:color="auto" w:fill="auto"/>
            <w:noWrap/>
            <w:hideMark/>
          </w:tcPr>
          <w:p w14:paraId="0FAF03A6" w14:textId="3BD8E0B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82BAE01" w14:textId="1CF46B3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33E2CE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63F1535" w14:textId="2346405F" w:rsidR="0067033E" w:rsidRPr="001A5D41" w:rsidRDefault="0067033E" w:rsidP="0067033E">
            <w:pPr>
              <w:rPr>
                <w:rFonts w:ascii="Arial" w:hAnsi="Arial" w:cs="Arial"/>
                <w:color w:val="FF0000"/>
                <w:sz w:val="14"/>
                <w:szCs w:val="14"/>
              </w:rPr>
            </w:pPr>
            <w:r w:rsidRPr="001A5D41">
              <w:rPr>
                <w:rFonts w:ascii="Arial" w:hAnsi="Arial" w:cs="Arial"/>
                <w:sz w:val="14"/>
                <w:szCs w:val="14"/>
              </w:rPr>
              <w:t>Lahey Hospital &amp; Medical Center</w:t>
            </w:r>
          </w:p>
        </w:tc>
        <w:tc>
          <w:tcPr>
            <w:tcW w:w="397" w:type="pct"/>
            <w:tcBorders>
              <w:top w:val="nil"/>
              <w:left w:val="nil"/>
              <w:bottom w:val="nil"/>
              <w:right w:val="nil"/>
            </w:tcBorders>
            <w:shd w:val="clear" w:color="auto" w:fill="auto"/>
            <w:noWrap/>
            <w:hideMark/>
          </w:tcPr>
          <w:p w14:paraId="0D1D4A3B" w14:textId="741E3B7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7B560D9" w14:textId="7ACFA524"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44512D23" w14:textId="01E2AB38"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93D7C6A" w14:textId="7A9991EB"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46DAF381" w14:textId="74A1B67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BC8596" w14:textId="3D3B45B5"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35DB0A5" w14:textId="39FC252A"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48.44%</w:t>
            </w:r>
          </w:p>
        </w:tc>
        <w:tc>
          <w:tcPr>
            <w:tcW w:w="412" w:type="pct"/>
            <w:tcBorders>
              <w:top w:val="nil"/>
              <w:left w:val="nil"/>
              <w:bottom w:val="nil"/>
              <w:right w:val="nil"/>
            </w:tcBorders>
            <w:shd w:val="clear" w:color="auto" w:fill="auto"/>
            <w:noWrap/>
            <w:hideMark/>
          </w:tcPr>
          <w:p w14:paraId="4C4E8C06" w14:textId="1176D2A3" w:rsidR="0067033E" w:rsidRPr="001A5D41" w:rsidRDefault="0067033E" w:rsidP="0067033E">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C5E9319" w14:textId="18EF4C02" w:rsidR="0067033E" w:rsidRPr="001A5D41" w:rsidRDefault="0067033E" w:rsidP="0067033E">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35E9AA4"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34C84E4" w14:textId="4F94BE44" w:rsidR="00DD6114" w:rsidRPr="001A5D41" w:rsidRDefault="00DD6114" w:rsidP="00DD6114">
            <w:pPr>
              <w:rPr>
                <w:rFonts w:ascii="Arial" w:hAnsi="Arial" w:cs="Arial"/>
                <w:color w:val="FF0000"/>
                <w:sz w:val="14"/>
                <w:szCs w:val="14"/>
              </w:rPr>
            </w:pPr>
            <w:r w:rsidRPr="001A5D41">
              <w:rPr>
                <w:rFonts w:ascii="Arial" w:hAnsi="Arial" w:cs="Arial"/>
                <w:sz w:val="14"/>
                <w:szCs w:val="14"/>
              </w:rPr>
              <w:lastRenderedPageBreak/>
              <w:t>Lawrence General Hospital</w:t>
            </w:r>
          </w:p>
        </w:tc>
        <w:tc>
          <w:tcPr>
            <w:tcW w:w="397" w:type="pct"/>
            <w:tcBorders>
              <w:top w:val="nil"/>
              <w:left w:val="nil"/>
              <w:bottom w:val="nil"/>
              <w:right w:val="nil"/>
            </w:tcBorders>
            <w:shd w:val="clear" w:color="auto" w:fill="auto"/>
            <w:noWrap/>
            <w:hideMark/>
          </w:tcPr>
          <w:p w14:paraId="7992C770" w14:textId="6BF7571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EF9FEC3" w14:textId="0C38F50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0.9527 </w:t>
            </w:r>
          </w:p>
        </w:tc>
        <w:tc>
          <w:tcPr>
            <w:tcW w:w="343" w:type="pct"/>
            <w:tcBorders>
              <w:top w:val="nil"/>
              <w:left w:val="nil"/>
              <w:bottom w:val="nil"/>
              <w:right w:val="nil"/>
            </w:tcBorders>
            <w:shd w:val="clear" w:color="auto" w:fill="auto"/>
            <w:noWrap/>
            <w:hideMark/>
          </w:tcPr>
          <w:p w14:paraId="27AF480C" w14:textId="0A90592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A6BB999" w14:textId="5244707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$11,042.81 </w:t>
            </w:r>
          </w:p>
        </w:tc>
        <w:tc>
          <w:tcPr>
            <w:tcW w:w="373" w:type="pct"/>
            <w:tcBorders>
              <w:top w:val="nil"/>
              <w:left w:val="nil"/>
              <w:bottom w:val="nil"/>
              <w:right w:val="nil"/>
            </w:tcBorders>
            <w:shd w:val="clear" w:color="auto" w:fill="auto"/>
            <w:noWrap/>
            <w:hideMark/>
          </w:tcPr>
          <w:p w14:paraId="61BBCFC3" w14:textId="2C62635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D1E59FB" w14:textId="2FB478A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$11,818.15 </w:t>
            </w:r>
          </w:p>
        </w:tc>
        <w:tc>
          <w:tcPr>
            <w:tcW w:w="262" w:type="pct"/>
            <w:tcBorders>
              <w:top w:val="nil"/>
              <w:left w:val="nil"/>
              <w:bottom w:val="nil"/>
              <w:right w:val="nil"/>
            </w:tcBorders>
            <w:shd w:val="clear" w:color="auto" w:fill="auto"/>
            <w:noWrap/>
            <w:hideMark/>
          </w:tcPr>
          <w:p w14:paraId="106EF2D7" w14:textId="6380A92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56.21%</w:t>
            </w:r>
          </w:p>
        </w:tc>
        <w:tc>
          <w:tcPr>
            <w:tcW w:w="412" w:type="pct"/>
            <w:tcBorders>
              <w:top w:val="nil"/>
              <w:left w:val="nil"/>
              <w:bottom w:val="nil"/>
              <w:right w:val="nil"/>
            </w:tcBorders>
            <w:shd w:val="clear" w:color="auto" w:fill="auto"/>
            <w:noWrap/>
            <w:hideMark/>
          </w:tcPr>
          <w:p w14:paraId="0B66D0F0" w14:textId="0A8C6EA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26A4ED3" w14:textId="0B76076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F10268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F5F62F2" w14:textId="7E1BD26B" w:rsidR="00DD6114" w:rsidRPr="001A5D41" w:rsidRDefault="00DD6114" w:rsidP="00DD6114">
            <w:pPr>
              <w:rPr>
                <w:rFonts w:ascii="Arial" w:hAnsi="Arial" w:cs="Arial"/>
                <w:color w:val="FF0000"/>
                <w:sz w:val="14"/>
                <w:szCs w:val="14"/>
              </w:rPr>
            </w:pPr>
            <w:r w:rsidRPr="001A5D41">
              <w:rPr>
                <w:rFonts w:ascii="Arial" w:hAnsi="Arial" w:cs="Arial"/>
                <w:sz w:val="14"/>
                <w:szCs w:val="14"/>
              </w:rPr>
              <w:t>Lowell General Hospital</w:t>
            </w:r>
          </w:p>
        </w:tc>
        <w:tc>
          <w:tcPr>
            <w:tcW w:w="397" w:type="pct"/>
            <w:tcBorders>
              <w:top w:val="nil"/>
              <w:left w:val="nil"/>
              <w:bottom w:val="nil"/>
              <w:right w:val="nil"/>
            </w:tcBorders>
            <w:shd w:val="clear" w:color="auto" w:fill="auto"/>
            <w:noWrap/>
            <w:hideMark/>
          </w:tcPr>
          <w:p w14:paraId="29638E78" w14:textId="00AB680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B5D600B" w14:textId="259B05F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783A66A7" w14:textId="1217E68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380FACB" w14:textId="54AAF38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6222DC4" w14:textId="5EBBDCE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4280F5" w14:textId="2BD8AC2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0A5A1F28" w14:textId="5BB876B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46.48%</w:t>
            </w:r>
          </w:p>
        </w:tc>
        <w:tc>
          <w:tcPr>
            <w:tcW w:w="412" w:type="pct"/>
            <w:tcBorders>
              <w:top w:val="nil"/>
              <w:left w:val="nil"/>
              <w:bottom w:val="nil"/>
              <w:right w:val="nil"/>
            </w:tcBorders>
            <w:shd w:val="clear" w:color="auto" w:fill="auto"/>
            <w:noWrap/>
            <w:hideMark/>
          </w:tcPr>
          <w:p w14:paraId="3E6A0771" w14:textId="35AE6EC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4AC3F97" w14:textId="6C9BA69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595F0D9"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9A3A686" w14:textId="3DA37A37" w:rsidR="00DD6114" w:rsidRPr="001A5D41" w:rsidRDefault="00DD6114" w:rsidP="00DD6114">
            <w:pPr>
              <w:rPr>
                <w:rFonts w:ascii="Arial" w:hAnsi="Arial" w:cs="Arial"/>
                <w:color w:val="FF0000"/>
                <w:sz w:val="14"/>
                <w:szCs w:val="14"/>
              </w:rPr>
            </w:pPr>
            <w:r w:rsidRPr="001A5D41">
              <w:rPr>
                <w:rFonts w:ascii="Arial" w:hAnsi="Arial" w:cs="Arial"/>
                <w:sz w:val="14"/>
                <w:szCs w:val="14"/>
              </w:rPr>
              <w:t>Massachusetts Eye &amp; Ear Infirmary</w:t>
            </w:r>
          </w:p>
        </w:tc>
        <w:tc>
          <w:tcPr>
            <w:tcW w:w="397" w:type="pct"/>
            <w:tcBorders>
              <w:top w:val="nil"/>
              <w:left w:val="nil"/>
              <w:bottom w:val="nil"/>
              <w:right w:val="nil"/>
            </w:tcBorders>
            <w:shd w:val="clear" w:color="auto" w:fill="auto"/>
            <w:noWrap/>
            <w:hideMark/>
          </w:tcPr>
          <w:p w14:paraId="6638181A" w14:textId="2E679D9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1018AD8" w14:textId="3625F5C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3383B71" w14:textId="35109BF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F4D0FA8" w14:textId="1AD9555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A5E5CF3" w14:textId="23EB6E7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120BA9B" w14:textId="43626FD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FA3AE78" w14:textId="209D4DF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66.32%</w:t>
            </w:r>
          </w:p>
        </w:tc>
        <w:tc>
          <w:tcPr>
            <w:tcW w:w="412" w:type="pct"/>
            <w:tcBorders>
              <w:top w:val="nil"/>
              <w:left w:val="nil"/>
              <w:bottom w:val="nil"/>
              <w:right w:val="nil"/>
            </w:tcBorders>
            <w:shd w:val="clear" w:color="auto" w:fill="auto"/>
            <w:noWrap/>
            <w:hideMark/>
          </w:tcPr>
          <w:p w14:paraId="6568E31F" w14:textId="6619DA8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3DDF894" w14:textId="59295A4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7F798CD"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4459FAF" w14:textId="2F9542AF" w:rsidR="00DD6114" w:rsidRPr="001A5D41" w:rsidRDefault="00DD6114" w:rsidP="00DD6114">
            <w:pPr>
              <w:rPr>
                <w:rFonts w:ascii="Arial" w:hAnsi="Arial" w:cs="Arial"/>
                <w:color w:val="FF0000"/>
                <w:sz w:val="14"/>
                <w:szCs w:val="14"/>
              </w:rPr>
            </w:pPr>
            <w:r w:rsidRPr="001A5D41">
              <w:rPr>
                <w:rFonts w:ascii="Arial" w:hAnsi="Arial" w:cs="Arial"/>
                <w:sz w:val="14"/>
                <w:szCs w:val="14"/>
              </w:rPr>
              <w:t>Massachusetts General Hospital</w:t>
            </w:r>
          </w:p>
        </w:tc>
        <w:tc>
          <w:tcPr>
            <w:tcW w:w="397" w:type="pct"/>
            <w:tcBorders>
              <w:top w:val="nil"/>
              <w:left w:val="nil"/>
              <w:bottom w:val="nil"/>
              <w:right w:val="nil"/>
            </w:tcBorders>
            <w:shd w:val="clear" w:color="auto" w:fill="auto"/>
            <w:noWrap/>
            <w:hideMark/>
          </w:tcPr>
          <w:p w14:paraId="4E0BB0F3" w14:textId="0C3A44A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19032D8" w14:textId="7CFFE7A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3FB56C6" w14:textId="30AC196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C3C9649" w14:textId="33F9174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B5E5CBE" w14:textId="2F61433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E189FEC" w14:textId="2536639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1BBCB5E" w14:textId="769B4F3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26.73%</w:t>
            </w:r>
          </w:p>
        </w:tc>
        <w:tc>
          <w:tcPr>
            <w:tcW w:w="412" w:type="pct"/>
            <w:tcBorders>
              <w:top w:val="nil"/>
              <w:left w:val="nil"/>
              <w:bottom w:val="nil"/>
              <w:right w:val="nil"/>
            </w:tcBorders>
            <w:shd w:val="clear" w:color="auto" w:fill="auto"/>
            <w:noWrap/>
            <w:hideMark/>
          </w:tcPr>
          <w:p w14:paraId="7C75BC8C" w14:textId="4EBA1E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BCF3A2C" w14:textId="5655817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2CBB90F7"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0ADE31D" w14:textId="523D02AF" w:rsidR="00DD6114" w:rsidRPr="001A5D41" w:rsidRDefault="00DD6114" w:rsidP="00DD6114">
            <w:pPr>
              <w:rPr>
                <w:rFonts w:ascii="Arial" w:hAnsi="Arial" w:cs="Arial"/>
                <w:color w:val="FF0000"/>
                <w:sz w:val="14"/>
                <w:szCs w:val="14"/>
              </w:rPr>
            </w:pPr>
            <w:r w:rsidRPr="001A5D41">
              <w:rPr>
                <w:rFonts w:ascii="Arial" w:hAnsi="Arial" w:cs="Arial"/>
                <w:sz w:val="14"/>
                <w:szCs w:val="14"/>
              </w:rPr>
              <w:t>Mercy Hospital</w:t>
            </w:r>
          </w:p>
        </w:tc>
        <w:tc>
          <w:tcPr>
            <w:tcW w:w="397" w:type="pct"/>
            <w:tcBorders>
              <w:top w:val="nil"/>
              <w:left w:val="nil"/>
              <w:bottom w:val="nil"/>
              <w:right w:val="nil"/>
            </w:tcBorders>
            <w:shd w:val="clear" w:color="auto" w:fill="auto"/>
            <w:noWrap/>
            <w:hideMark/>
          </w:tcPr>
          <w:p w14:paraId="49EEA5ED" w14:textId="5F0B527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3605F7E" w14:textId="45DD365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033C6248" w14:textId="5A0B40F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E932126" w14:textId="30AE0B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2D6B831A" w14:textId="3882B1D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915431" w14:textId="6D10CBD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325783D0" w14:textId="4E466E7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58.87%</w:t>
            </w:r>
          </w:p>
        </w:tc>
        <w:tc>
          <w:tcPr>
            <w:tcW w:w="412" w:type="pct"/>
            <w:tcBorders>
              <w:top w:val="nil"/>
              <w:left w:val="nil"/>
              <w:bottom w:val="nil"/>
              <w:right w:val="nil"/>
            </w:tcBorders>
            <w:shd w:val="clear" w:color="auto" w:fill="auto"/>
            <w:noWrap/>
            <w:hideMark/>
          </w:tcPr>
          <w:p w14:paraId="62689C40" w14:textId="118ABAD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23F2D59" w14:textId="7986628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BCC33B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2B52135" w14:textId="4856FE8C" w:rsidR="00DD6114" w:rsidRPr="001A5D41" w:rsidRDefault="00DD6114" w:rsidP="00DD6114">
            <w:pPr>
              <w:rPr>
                <w:rFonts w:ascii="Arial" w:hAnsi="Arial" w:cs="Arial"/>
                <w:color w:val="FF0000"/>
                <w:sz w:val="14"/>
                <w:szCs w:val="14"/>
              </w:rPr>
            </w:pPr>
            <w:r w:rsidRPr="001A5D41">
              <w:rPr>
                <w:rFonts w:ascii="Arial" w:hAnsi="Arial" w:cs="Arial"/>
                <w:sz w:val="14"/>
                <w:szCs w:val="14"/>
              </w:rPr>
              <w:t>MetroWest Medical Center</w:t>
            </w:r>
          </w:p>
        </w:tc>
        <w:tc>
          <w:tcPr>
            <w:tcW w:w="397" w:type="pct"/>
            <w:tcBorders>
              <w:top w:val="nil"/>
              <w:left w:val="nil"/>
              <w:bottom w:val="nil"/>
              <w:right w:val="nil"/>
            </w:tcBorders>
            <w:shd w:val="clear" w:color="auto" w:fill="auto"/>
            <w:noWrap/>
            <w:hideMark/>
          </w:tcPr>
          <w:p w14:paraId="69C7C10C" w14:textId="06101BE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F45DE8C" w14:textId="797773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6777DFF" w14:textId="181A3A8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1297102" w14:textId="4A1C21D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DE13D9B" w14:textId="26EEFB6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5054206" w14:textId="142D0C1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5C28412" w14:textId="08A525B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50.20%</w:t>
            </w:r>
          </w:p>
        </w:tc>
        <w:tc>
          <w:tcPr>
            <w:tcW w:w="412" w:type="pct"/>
            <w:tcBorders>
              <w:top w:val="nil"/>
              <w:left w:val="nil"/>
              <w:bottom w:val="nil"/>
              <w:right w:val="nil"/>
            </w:tcBorders>
            <w:shd w:val="clear" w:color="auto" w:fill="auto"/>
            <w:noWrap/>
            <w:hideMark/>
          </w:tcPr>
          <w:p w14:paraId="0251809B" w14:textId="35FF38E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BBF7A87" w14:textId="14C9618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3D36F5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3E88D18" w14:textId="3C7DA16E" w:rsidR="00DD6114" w:rsidRPr="001A5D41" w:rsidRDefault="00DD6114" w:rsidP="00DD6114">
            <w:pPr>
              <w:rPr>
                <w:rFonts w:ascii="Arial" w:hAnsi="Arial" w:cs="Arial"/>
                <w:color w:val="FF0000"/>
                <w:sz w:val="14"/>
                <w:szCs w:val="14"/>
              </w:rPr>
            </w:pPr>
            <w:r w:rsidRPr="001A5D41">
              <w:rPr>
                <w:rFonts w:ascii="Arial" w:hAnsi="Arial" w:cs="Arial"/>
                <w:sz w:val="14"/>
                <w:szCs w:val="14"/>
              </w:rPr>
              <w:t>Milford Regional Medical Center</w:t>
            </w:r>
          </w:p>
        </w:tc>
        <w:tc>
          <w:tcPr>
            <w:tcW w:w="397" w:type="pct"/>
            <w:tcBorders>
              <w:top w:val="nil"/>
              <w:left w:val="nil"/>
              <w:bottom w:val="nil"/>
              <w:right w:val="nil"/>
            </w:tcBorders>
            <w:shd w:val="clear" w:color="auto" w:fill="auto"/>
            <w:noWrap/>
            <w:hideMark/>
          </w:tcPr>
          <w:p w14:paraId="3B79C748" w14:textId="2C1D1DB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9DEEED8" w14:textId="3707529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87DBE92" w14:textId="1368117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B04A24E" w14:textId="343D5F5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5BD37E2C" w14:textId="5F8F656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B9C5724" w14:textId="6CAD0A5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17C7F545" w14:textId="615D2F1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59.94%</w:t>
            </w:r>
          </w:p>
        </w:tc>
        <w:tc>
          <w:tcPr>
            <w:tcW w:w="412" w:type="pct"/>
            <w:tcBorders>
              <w:top w:val="nil"/>
              <w:left w:val="nil"/>
              <w:bottom w:val="nil"/>
              <w:right w:val="nil"/>
            </w:tcBorders>
            <w:shd w:val="clear" w:color="auto" w:fill="auto"/>
            <w:noWrap/>
            <w:hideMark/>
          </w:tcPr>
          <w:p w14:paraId="6D190ED6" w14:textId="14E367A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55B1F7A" w14:textId="35EB17B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3EEC9A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163960E" w14:textId="2682F046" w:rsidR="00DD6114" w:rsidRPr="001A5D41" w:rsidRDefault="00DD6114" w:rsidP="00DD6114">
            <w:pPr>
              <w:rPr>
                <w:rFonts w:ascii="Arial" w:hAnsi="Arial" w:cs="Arial"/>
                <w:color w:val="FF0000"/>
                <w:sz w:val="14"/>
                <w:szCs w:val="14"/>
              </w:rPr>
            </w:pPr>
            <w:r w:rsidRPr="001A5D41">
              <w:rPr>
                <w:rFonts w:ascii="Arial" w:hAnsi="Arial" w:cs="Arial"/>
                <w:sz w:val="14"/>
                <w:szCs w:val="14"/>
              </w:rPr>
              <w:t>Morton Hospital and Medical Center</w:t>
            </w:r>
          </w:p>
        </w:tc>
        <w:tc>
          <w:tcPr>
            <w:tcW w:w="397" w:type="pct"/>
            <w:tcBorders>
              <w:top w:val="nil"/>
              <w:left w:val="nil"/>
              <w:bottom w:val="nil"/>
              <w:right w:val="nil"/>
            </w:tcBorders>
            <w:shd w:val="clear" w:color="auto" w:fill="auto"/>
            <w:noWrap/>
            <w:hideMark/>
          </w:tcPr>
          <w:p w14:paraId="04806012" w14:textId="5F6F0B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BF242DE" w14:textId="0AE3C30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7FC1E8F" w14:textId="490A4AE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E2D1A9C" w14:textId="3BFCA11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629129" w14:textId="6C4CFAD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767BE78" w14:textId="1200DFA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202BCB6" w14:textId="43FB2FC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54.10%</w:t>
            </w:r>
          </w:p>
        </w:tc>
        <w:tc>
          <w:tcPr>
            <w:tcW w:w="412" w:type="pct"/>
            <w:tcBorders>
              <w:top w:val="nil"/>
              <w:left w:val="nil"/>
              <w:bottom w:val="nil"/>
              <w:right w:val="nil"/>
            </w:tcBorders>
            <w:shd w:val="clear" w:color="auto" w:fill="auto"/>
            <w:noWrap/>
            <w:hideMark/>
          </w:tcPr>
          <w:p w14:paraId="4E0E7805" w14:textId="36077ED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C1F32DB" w14:textId="35E95FA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26B4A80"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ABA3008" w14:textId="16B52D15" w:rsidR="00DD6114" w:rsidRPr="001A5D41" w:rsidRDefault="00DD6114" w:rsidP="00DD6114">
            <w:pPr>
              <w:rPr>
                <w:rFonts w:ascii="Arial" w:hAnsi="Arial" w:cs="Arial"/>
                <w:color w:val="FF0000"/>
                <w:sz w:val="14"/>
                <w:szCs w:val="14"/>
              </w:rPr>
            </w:pPr>
            <w:r w:rsidRPr="001A5D41">
              <w:rPr>
                <w:rFonts w:ascii="Arial" w:hAnsi="Arial" w:cs="Arial"/>
                <w:sz w:val="14"/>
                <w:szCs w:val="14"/>
              </w:rPr>
              <w:t>Mount Auburn Hospital</w:t>
            </w:r>
          </w:p>
        </w:tc>
        <w:tc>
          <w:tcPr>
            <w:tcW w:w="397" w:type="pct"/>
            <w:tcBorders>
              <w:top w:val="nil"/>
              <w:left w:val="nil"/>
              <w:bottom w:val="nil"/>
              <w:right w:val="nil"/>
            </w:tcBorders>
            <w:shd w:val="clear" w:color="auto" w:fill="auto"/>
            <w:noWrap/>
            <w:hideMark/>
          </w:tcPr>
          <w:p w14:paraId="43D17733" w14:textId="770B7EB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5D6C6A1" w14:textId="1245FE0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B8EE5EE" w14:textId="5CE77F8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417B454" w14:textId="7DEF656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3C6DBE54" w14:textId="1AA76DC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92B5EC0" w14:textId="16B804F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FDEDB77" w14:textId="1DCB667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67.08%</w:t>
            </w:r>
          </w:p>
        </w:tc>
        <w:tc>
          <w:tcPr>
            <w:tcW w:w="412" w:type="pct"/>
            <w:tcBorders>
              <w:top w:val="nil"/>
              <w:left w:val="nil"/>
              <w:bottom w:val="nil"/>
              <w:right w:val="nil"/>
            </w:tcBorders>
            <w:shd w:val="clear" w:color="auto" w:fill="auto"/>
            <w:noWrap/>
            <w:hideMark/>
          </w:tcPr>
          <w:p w14:paraId="53965DC3" w14:textId="24AD23B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A97F3A8" w14:textId="450D654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60C2073"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915DB81" w14:textId="08115E43" w:rsidR="00DD6114" w:rsidRPr="001A5D41" w:rsidRDefault="00DD6114" w:rsidP="00DD6114">
            <w:pPr>
              <w:rPr>
                <w:rFonts w:ascii="Arial" w:hAnsi="Arial" w:cs="Arial"/>
                <w:color w:val="FF0000"/>
                <w:sz w:val="14"/>
                <w:szCs w:val="14"/>
              </w:rPr>
            </w:pPr>
            <w:r w:rsidRPr="001A5D41">
              <w:rPr>
                <w:rFonts w:ascii="Arial" w:hAnsi="Arial" w:cs="Arial"/>
                <w:sz w:val="14"/>
                <w:szCs w:val="14"/>
              </w:rPr>
              <w:t>Nantucket Cottage Hospital</w:t>
            </w:r>
          </w:p>
        </w:tc>
        <w:tc>
          <w:tcPr>
            <w:tcW w:w="397" w:type="pct"/>
            <w:tcBorders>
              <w:top w:val="nil"/>
              <w:left w:val="nil"/>
              <w:bottom w:val="nil"/>
              <w:right w:val="nil"/>
            </w:tcBorders>
            <w:shd w:val="clear" w:color="auto" w:fill="auto"/>
            <w:noWrap/>
            <w:hideMark/>
          </w:tcPr>
          <w:p w14:paraId="4692B6E2" w14:textId="1F7F585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57EDFD6" w14:textId="1E2BFC6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1.1280 </w:t>
            </w:r>
          </w:p>
        </w:tc>
        <w:tc>
          <w:tcPr>
            <w:tcW w:w="343" w:type="pct"/>
            <w:tcBorders>
              <w:top w:val="nil"/>
              <w:left w:val="nil"/>
              <w:bottom w:val="nil"/>
              <w:right w:val="nil"/>
            </w:tcBorders>
            <w:shd w:val="clear" w:color="auto" w:fill="auto"/>
            <w:noWrap/>
            <w:hideMark/>
          </w:tcPr>
          <w:p w14:paraId="6F5DBF26" w14:textId="67CD7B9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A7B0DA9" w14:textId="17A3AD6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$12,408.22 </w:t>
            </w:r>
          </w:p>
        </w:tc>
        <w:tc>
          <w:tcPr>
            <w:tcW w:w="373" w:type="pct"/>
            <w:tcBorders>
              <w:top w:val="nil"/>
              <w:left w:val="nil"/>
              <w:bottom w:val="nil"/>
              <w:right w:val="nil"/>
            </w:tcBorders>
            <w:shd w:val="clear" w:color="auto" w:fill="auto"/>
            <w:noWrap/>
            <w:hideMark/>
          </w:tcPr>
          <w:p w14:paraId="5DC80C25" w14:textId="78EE969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E86DC1A" w14:textId="64E14DA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$13,183.56 </w:t>
            </w:r>
          </w:p>
        </w:tc>
        <w:tc>
          <w:tcPr>
            <w:tcW w:w="262" w:type="pct"/>
            <w:tcBorders>
              <w:top w:val="nil"/>
              <w:left w:val="nil"/>
              <w:bottom w:val="nil"/>
              <w:right w:val="nil"/>
            </w:tcBorders>
            <w:shd w:val="clear" w:color="auto" w:fill="auto"/>
            <w:noWrap/>
            <w:hideMark/>
          </w:tcPr>
          <w:p w14:paraId="76B6CA87" w14:textId="76BDFD0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104.57%</w:t>
            </w:r>
          </w:p>
        </w:tc>
        <w:tc>
          <w:tcPr>
            <w:tcW w:w="412" w:type="pct"/>
            <w:tcBorders>
              <w:top w:val="nil"/>
              <w:left w:val="nil"/>
              <w:bottom w:val="nil"/>
              <w:right w:val="nil"/>
            </w:tcBorders>
            <w:shd w:val="clear" w:color="auto" w:fill="auto"/>
            <w:noWrap/>
            <w:hideMark/>
          </w:tcPr>
          <w:p w14:paraId="5D848B43" w14:textId="26482AF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0DF6AAC" w14:textId="325C9B3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1B5916A"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A45BF0F" w14:textId="38914D08" w:rsidR="00DD6114" w:rsidRPr="001A5D41" w:rsidRDefault="00DD6114" w:rsidP="00DD6114">
            <w:pPr>
              <w:rPr>
                <w:rFonts w:ascii="Arial" w:hAnsi="Arial" w:cs="Arial"/>
                <w:color w:val="FF0000"/>
                <w:sz w:val="14"/>
                <w:szCs w:val="14"/>
              </w:rPr>
            </w:pPr>
            <w:r w:rsidRPr="001A5D41">
              <w:rPr>
                <w:rFonts w:ascii="Arial" w:hAnsi="Arial" w:cs="Arial"/>
                <w:sz w:val="14"/>
                <w:szCs w:val="14"/>
              </w:rPr>
              <w:t>Nashoba Valley Medical Center</w:t>
            </w:r>
          </w:p>
        </w:tc>
        <w:tc>
          <w:tcPr>
            <w:tcW w:w="397" w:type="pct"/>
            <w:tcBorders>
              <w:top w:val="nil"/>
              <w:left w:val="nil"/>
              <w:bottom w:val="nil"/>
              <w:right w:val="nil"/>
            </w:tcBorders>
            <w:shd w:val="clear" w:color="auto" w:fill="auto"/>
            <w:noWrap/>
            <w:hideMark/>
          </w:tcPr>
          <w:p w14:paraId="50BF6FC6" w14:textId="2986F03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B2FEA27" w14:textId="5893CC5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5836B13C" w14:textId="006C9BE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53A272F" w14:textId="4652CE7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2FE0E7D" w14:textId="0BE490C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77EB823" w14:textId="366309A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36AF1AD" w14:textId="033E03C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54.10%</w:t>
            </w:r>
          </w:p>
        </w:tc>
        <w:tc>
          <w:tcPr>
            <w:tcW w:w="412" w:type="pct"/>
            <w:tcBorders>
              <w:top w:val="nil"/>
              <w:left w:val="nil"/>
              <w:bottom w:val="nil"/>
              <w:right w:val="nil"/>
            </w:tcBorders>
            <w:shd w:val="clear" w:color="auto" w:fill="auto"/>
            <w:noWrap/>
            <w:hideMark/>
          </w:tcPr>
          <w:p w14:paraId="18C66752" w14:textId="00BA082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7676BB" w14:textId="3376E24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59CF77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D987329" w14:textId="53715362" w:rsidR="00DD6114" w:rsidRPr="001A5D41" w:rsidRDefault="00DD6114" w:rsidP="00DD6114">
            <w:pPr>
              <w:rPr>
                <w:rFonts w:ascii="Arial" w:hAnsi="Arial" w:cs="Arial"/>
                <w:color w:val="FF0000"/>
                <w:sz w:val="14"/>
                <w:szCs w:val="14"/>
              </w:rPr>
            </w:pPr>
            <w:r w:rsidRPr="001A5D41">
              <w:rPr>
                <w:rFonts w:ascii="Arial" w:hAnsi="Arial" w:cs="Arial"/>
                <w:sz w:val="14"/>
                <w:szCs w:val="14"/>
              </w:rPr>
              <w:t>New England Baptist Hospital</w:t>
            </w:r>
          </w:p>
        </w:tc>
        <w:tc>
          <w:tcPr>
            <w:tcW w:w="397" w:type="pct"/>
            <w:tcBorders>
              <w:top w:val="nil"/>
              <w:left w:val="nil"/>
              <w:bottom w:val="nil"/>
              <w:right w:val="nil"/>
            </w:tcBorders>
            <w:shd w:val="clear" w:color="auto" w:fill="auto"/>
            <w:noWrap/>
            <w:hideMark/>
          </w:tcPr>
          <w:p w14:paraId="3C86DC36" w14:textId="297B854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CBAE82C" w14:textId="614D39E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969B0AF" w14:textId="2950313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6ABF519" w14:textId="1A6D78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3DE6C3E2" w14:textId="006939E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F57C0F" w14:textId="61E3B09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5CA525D0" w14:textId="6A86760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64.04%</w:t>
            </w:r>
          </w:p>
        </w:tc>
        <w:tc>
          <w:tcPr>
            <w:tcW w:w="412" w:type="pct"/>
            <w:tcBorders>
              <w:top w:val="nil"/>
              <w:left w:val="nil"/>
              <w:bottom w:val="nil"/>
              <w:right w:val="nil"/>
            </w:tcBorders>
            <w:shd w:val="clear" w:color="auto" w:fill="auto"/>
            <w:noWrap/>
            <w:hideMark/>
          </w:tcPr>
          <w:p w14:paraId="46A878A6" w14:textId="1AC4DF9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8295B36" w14:textId="502781F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562BE2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1CE69B2" w14:textId="36DCF7ED" w:rsidR="00DD6114" w:rsidRPr="001A5D41" w:rsidRDefault="00DD6114" w:rsidP="00DD6114">
            <w:pPr>
              <w:rPr>
                <w:rFonts w:ascii="Arial" w:hAnsi="Arial" w:cs="Arial"/>
                <w:color w:val="FF0000"/>
                <w:sz w:val="14"/>
                <w:szCs w:val="14"/>
              </w:rPr>
            </w:pPr>
            <w:r w:rsidRPr="001A5D41">
              <w:rPr>
                <w:rFonts w:ascii="Arial" w:hAnsi="Arial" w:cs="Arial"/>
                <w:sz w:val="14"/>
                <w:szCs w:val="14"/>
              </w:rPr>
              <w:t>Newton-Wellesley Hospital</w:t>
            </w:r>
          </w:p>
        </w:tc>
        <w:tc>
          <w:tcPr>
            <w:tcW w:w="397" w:type="pct"/>
            <w:tcBorders>
              <w:top w:val="nil"/>
              <w:left w:val="nil"/>
              <w:bottom w:val="nil"/>
              <w:right w:val="nil"/>
            </w:tcBorders>
            <w:shd w:val="clear" w:color="auto" w:fill="auto"/>
            <w:noWrap/>
            <w:hideMark/>
          </w:tcPr>
          <w:p w14:paraId="06B9A703" w14:textId="25B1E02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B48CD4C" w14:textId="47F5673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52F8A0B8" w14:textId="1DD80BD6"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73A90F5" w14:textId="4572D1B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0CD7BFE1" w14:textId="1B21B6D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BE8C90B" w14:textId="7FD5DF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3C758E94" w14:textId="7A284B5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43.87%</w:t>
            </w:r>
          </w:p>
        </w:tc>
        <w:tc>
          <w:tcPr>
            <w:tcW w:w="412" w:type="pct"/>
            <w:tcBorders>
              <w:top w:val="nil"/>
              <w:left w:val="nil"/>
              <w:bottom w:val="nil"/>
              <w:right w:val="nil"/>
            </w:tcBorders>
            <w:shd w:val="clear" w:color="auto" w:fill="auto"/>
            <w:noWrap/>
            <w:hideMark/>
          </w:tcPr>
          <w:p w14:paraId="04EB869B" w14:textId="05D297D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A979CAF" w14:textId="64399FE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488E935"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8253961" w14:textId="04B5F9EF" w:rsidR="00DD6114" w:rsidRPr="001A5D41" w:rsidRDefault="00DD6114" w:rsidP="00DD6114">
            <w:pPr>
              <w:rPr>
                <w:rFonts w:ascii="Arial" w:hAnsi="Arial" w:cs="Arial"/>
                <w:color w:val="FF0000"/>
                <w:sz w:val="14"/>
                <w:szCs w:val="14"/>
              </w:rPr>
            </w:pPr>
            <w:r w:rsidRPr="001A5D41">
              <w:rPr>
                <w:rFonts w:ascii="Arial" w:hAnsi="Arial" w:cs="Arial"/>
                <w:sz w:val="14"/>
                <w:szCs w:val="14"/>
              </w:rPr>
              <w:t>North Shore Medical Center</w:t>
            </w:r>
          </w:p>
        </w:tc>
        <w:tc>
          <w:tcPr>
            <w:tcW w:w="397" w:type="pct"/>
            <w:tcBorders>
              <w:top w:val="nil"/>
              <w:left w:val="nil"/>
              <w:bottom w:val="nil"/>
              <w:right w:val="nil"/>
            </w:tcBorders>
            <w:shd w:val="clear" w:color="auto" w:fill="auto"/>
            <w:noWrap/>
            <w:hideMark/>
          </w:tcPr>
          <w:p w14:paraId="071710F7" w14:textId="02FD058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AF2753A" w14:textId="3855338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6287ECF6" w14:textId="26A73F8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39A90BB" w14:textId="4690A95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2BAF16F9" w14:textId="31E5944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7111B68" w14:textId="3201435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66555386" w14:textId="178FE0D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45.43%</w:t>
            </w:r>
          </w:p>
        </w:tc>
        <w:tc>
          <w:tcPr>
            <w:tcW w:w="412" w:type="pct"/>
            <w:tcBorders>
              <w:top w:val="nil"/>
              <w:left w:val="nil"/>
              <w:bottom w:val="nil"/>
              <w:right w:val="nil"/>
            </w:tcBorders>
            <w:shd w:val="clear" w:color="auto" w:fill="auto"/>
            <w:noWrap/>
            <w:hideMark/>
          </w:tcPr>
          <w:p w14:paraId="72722780" w14:textId="66DC6B9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6241F4" w14:textId="0FC2817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E418E3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3677F9A" w14:textId="5E93480F" w:rsidR="00DD6114" w:rsidRPr="001A5D41" w:rsidRDefault="00DD6114" w:rsidP="00DD6114">
            <w:pPr>
              <w:rPr>
                <w:rFonts w:ascii="Arial" w:hAnsi="Arial" w:cs="Arial"/>
                <w:color w:val="FF0000"/>
                <w:sz w:val="14"/>
                <w:szCs w:val="14"/>
              </w:rPr>
            </w:pPr>
            <w:r w:rsidRPr="001A5D41">
              <w:rPr>
                <w:rFonts w:ascii="Arial" w:hAnsi="Arial" w:cs="Arial"/>
                <w:sz w:val="14"/>
                <w:szCs w:val="14"/>
              </w:rPr>
              <w:t>Norwood Hospital</w:t>
            </w:r>
          </w:p>
        </w:tc>
        <w:tc>
          <w:tcPr>
            <w:tcW w:w="397" w:type="pct"/>
            <w:tcBorders>
              <w:top w:val="nil"/>
              <w:left w:val="nil"/>
              <w:bottom w:val="nil"/>
              <w:right w:val="nil"/>
            </w:tcBorders>
            <w:shd w:val="clear" w:color="auto" w:fill="auto"/>
            <w:noWrap/>
            <w:hideMark/>
          </w:tcPr>
          <w:p w14:paraId="74971FC4" w14:textId="62E1C7E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64AAA6D3" w14:textId="3610AE6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01CED9FA" w14:textId="32E60A3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78CFFD1" w14:textId="3A4135D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73EF760" w14:textId="357BC5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45A517C9" w14:textId="2267E95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698E41E0" w14:textId="55ED5E7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61.55%</w:t>
            </w:r>
          </w:p>
        </w:tc>
        <w:tc>
          <w:tcPr>
            <w:tcW w:w="412" w:type="pct"/>
            <w:tcBorders>
              <w:top w:val="nil"/>
              <w:left w:val="nil"/>
              <w:bottom w:val="nil"/>
              <w:right w:val="nil"/>
            </w:tcBorders>
            <w:shd w:val="clear" w:color="auto" w:fill="auto"/>
            <w:noWrap/>
            <w:hideMark/>
          </w:tcPr>
          <w:p w14:paraId="11820FA3" w14:textId="02E1995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59E8AD9" w14:textId="320885F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F8FFB1C"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63FA60BF" w14:textId="580B4645" w:rsidR="00DD6114" w:rsidRPr="001A5D41" w:rsidRDefault="00DD6114" w:rsidP="00DD6114">
            <w:pPr>
              <w:rPr>
                <w:rFonts w:ascii="Arial" w:hAnsi="Arial" w:cs="Arial"/>
                <w:color w:val="FF0000"/>
                <w:sz w:val="14"/>
                <w:szCs w:val="14"/>
              </w:rPr>
            </w:pPr>
            <w:r w:rsidRPr="001A5D41">
              <w:rPr>
                <w:rFonts w:ascii="Arial" w:hAnsi="Arial" w:cs="Arial"/>
                <w:sz w:val="14"/>
                <w:szCs w:val="14"/>
              </w:rPr>
              <w:t>Saint Vincent Hospital</w:t>
            </w:r>
          </w:p>
        </w:tc>
        <w:tc>
          <w:tcPr>
            <w:tcW w:w="397" w:type="pct"/>
            <w:tcBorders>
              <w:top w:val="nil"/>
              <w:left w:val="nil"/>
              <w:bottom w:val="nil"/>
              <w:right w:val="nil"/>
            </w:tcBorders>
            <w:shd w:val="clear" w:color="auto" w:fill="auto"/>
            <w:noWrap/>
            <w:hideMark/>
          </w:tcPr>
          <w:p w14:paraId="175E6E35" w14:textId="105566B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CB6B389" w14:textId="43AE954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28123ECD" w14:textId="4640C08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000282" w14:textId="3900BDD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E6D0C5F" w14:textId="5D41607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8805581" w14:textId="502A456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4E5D0A28" w14:textId="615307C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36.76%</w:t>
            </w:r>
          </w:p>
        </w:tc>
        <w:tc>
          <w:tcPr>
            <w:tcW w:w="412" w:type="pct"/>
            <w:tcBorders>
              <w:top w:val="nil"/>
              <w:left w:val="nil"/>
              <w:bottom w:val="nil"/>
              <w:right w:val="nil"/>
            </w:tcBorders>
            <w:shd w:val="clear" w:color="auto" w:fill="auto"/>
            <w:noWrap/>
            <w:hideMark/>
          </w:tcPr>
          <w:p w14:paraId="625B87A1" w14:textId="3232FDB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C6F294A" w14:textId="3FAC0B1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D5D206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1A14B7F" w14:textId="3719491B" w:rsidR="00DD6114" w:rsidRPr="001A5D41" w:rsidRDefault="00DD6114" w:rsidP="00DD6114">
            <w:pPr>
              <w:rPr>
                <w:rFonts w:ascii="Arial" w:hAnsi="Arial" w:cs="Arial"/>
                <w:color w:val="FF0000"/>
                <w:sz w:val="14"/>
                <w:szCs w:val="14"/>
              </w:rPr>
            </w:pPr>
            <w:r w:rsidRPr="001A5D41">
              <w:rPr>
                <w:rFonts w:ascii="Arial" w:hAnsi="Arial" w:cs="Arial"/>
                <w:sz w:val="14"/>
                <w:szCs w:val="14"/>
              </w:rPr>
              <w:t>Shriners Hospitals for Children - Boston</w:t>
            </w:r>
          </w:p>
        </w:tc>
        <w:tc>
          <w:tcPr>
            <w:tcW w:w="397" w:type="pct"/>
            <w:tcBorders>
              <w:top w:val="nil"/>
              <w:left w:val="nil"/>
              <w:bottom w:val="nil"/>
              <w:right w:val="nil"/>
            </w:tcBorders>
            <w:shd w:val="clear" w:color="auto" w:fill="auto"/>
            <w:noWrap/>
            <w:hideMark/>
          </w:tcPr>
          <w:p w14:paraId="33DA1763" w14:textId="553768C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50BFF90C" w14:textId="55C2903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FC21128" w14:textId="62F284B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03191688" w14:textId="5AD4666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74822191" w14:textId="62C95F3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F4EA06E" w14:textId="0A0BCB4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66D63F8" w14:textId="66BF7D7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141.67%</w:t>
            </w:r>
          </w:p>
        </w:tc>
        <w:tc>
          <w:tcPr>
            <w:tcW w:w="412" w:type="pct"/>
            <w:tcBorders>
              <w:top w:val="nil"/>
              <w:left w:val="nil"/>
              <w:bottom w:val="nil"/>
              <w:right w:val="nil"/>
            </w:tcBorders>
            <w:shd w:val="clear" w:color="auto" w:fill="auto"/>
            <w:noWrap/>
            <w:hideMark/>
          </w:tcPr>
          <w:p w14:paraId="6DA0E9EC" w14:textId="61C5EFE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513AF1DA" w14:textId="3EB13D5B"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2345DE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8B19C1C" w14:textId="76969AA3" w:rsidR="00DD6114" w:rsidRPr="001A5D41" w:rsidRDefault="00DD6114" w:rsidP="00DD6114">
            <w:pPr>
              <w:rPr>
                <w:rFonts w:ascii="Arial" w:hAnsi="Arial" w:cs="Arial"/>
                <w:color w:val="FF0000"/>
                <w:sz w:val="14"/>
                <w:szCs w:val="14"/>
              </w:rPr>
            </w:pPr>
            <w:r w:rsidRPr="001A5D41">
              <w:rPr>
                <w:rFonts w:ascii="Arial" w:hAnsi="Arial" w:cs="Arial"/>
                <w:sz w:val="14"/>
                <w:szCs w:val="14"/>
              </w:rPr>
              <w:t>Shriners Hospitals for Children - Springfield</w:t>
            </w:r>
          </w:p>
        </w:tc>
        <w:tc>
          <w:tcPr>
            <w:tcW w:w="397" w:type="pct"/>
            <w:tcBorders>
              <w:top w:val="nil"/>
              <w:left w:val="nil"/>
              <w:bottom w:val="nil"/>
              <w:right w:val="nil"/>
            </w:tcBorders>
            <w:shd w:val="clear" w:color="auto" w:fill="auto"/>
            <w:noWrap/>
            <w:hideMark/>
          </w:tcPr>
          <w:p w14:paraId="30BEC5F3" w14:textId="38DFB18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1BCC4B6" w14:textId="2A37D38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0.8687 </w:t>
            </w:r>
          </w:p>
        </w:tc>
        <w:tc>
          <w:tcPr>
            <w:tcW w:w="343" w:type="pct"/>
            <w:tcBorders>
              <w:top w:val="nil"/>
              <w:left w:val="nil"/>
              <w:bottom w:val="nil"/>
              <w:right w:val="nil"/>
            </w:tcBorders>
            <w:shd w:val="clear" w:color="auto" w:fill="auto"/>
            <w:noWrap/>
            <w:hideMark/>
          </w:tcPr>
          <w:p w14:paraId="61D32DE4" w14:textId="46150D3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D94715F" w14:textId="71EB283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$10,388.54 </w:t>
            </w:r>
          </w:p>
        </w:tc>
        <w:tc>
          <w:tcPr>
            <w:tcW w:w="373" w:type="pct"/>
            <w:tcBorders>
              <w:top w:val="nil"/>
              <w:left w:val="nil"/>
              <w:bottom w:val="nil"/>
              <w:right w:val="nil"/>
            </w:tcBorders>
            <w:shd w:val="clear" w:color="auto" w:fill="auto"/>
            <w:noWrap/>
            <w:hideMark/>
          </w:tcPr>
          <w:p w14:paraId="42CE38C8" w14:textId="1667FF1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7C652074" w14:textId="2253C02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$11,163.88 </w:t>
            </w:r>
          </w:p>
        </w:tc>
        <w:tc>
          <w:tcPr>
            <w:tcW w:w="262" w:type="pct"/>
            <w:tcBorders>
              <w:top w:val="nil"/>
              <w:left w:val="nil"/>
              <w:bottom w:val="nil"/>
              <w:right w:val="nil"/>
            </w:tcBorders>
            <w:shd w:val="clear" w:color="auto" w:fill="auto"/>
            <w:noWrap/>
            <w:hideMark/>
          </w:tcPr>
          <w:p w14:paraId="4E9AED23" w14:textId="269BCA3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114.18%</w:t>
            </w:r>
          </w:p>
        </w:tc>
        <w:tc>
          <w:tcPr>
            <w:tcW w:w="412" w:type="pct"/>
            <w:tcBorders>
              <w:top w:val="nil"/>
              <w:left w:val="nil"/>
              <w:bottom w:val="nil"/>
              <w:right w:val="nil"/>
            </w:tcBorders>
            <w:shd w:val="clear" w:color="auto" w:fill="auto"/>
            <w:noWrap/>
            <w:hideMark/>
          </w:tcPr>
          <w:p w14:paraId="2888403E" w14:textId="21D8063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0E154CEA" w14:textId="452F43F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6F8EC7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0E048B1F" w14:textId="09BCAB2E" w:rsidR="00DD6114" w:rsidRPr="001A5D41" w:rsidRDefault="00DD6114" w:rsidP="00DD6114">
            <w:pPr>
              <w:rPr>
                <w:rFonts w:ascii="Arial" w:hAnsi="Arial" w:cs="Arial"/>
                <w:color w:val="FF0000"/>
                <w:sz w:val="14"/>
                <w:szCs w:val="14"/>
              </w:rPr>
            </w:pPr>
            <w:r w:rsidRPr="001A5D41">
              <w:rPr>
                <w:rFonts w:ascii="Arial" w:hAnsi="Arial" w:cs="Arial"/>
                <w:sz w:val="14"/>
                <w:szCs w:val="14"/>
              </w:rPr>
              <w:t>Signature Healthcare Brockton Hospital</w:t>
            </w:r>
          </w:p>
        </w:tc>
        <w:tc>
          <w:tcPr>
            <w:tcW w:w="397" w:type="pct"/>
            <w:tcBorders>
              <w:top w:val="nil"/>
              <w:left w:val="nil"/>
              <w:bottom w:val="nil"/>
              <w:right w:val="nil"/>
            </w:tcBorders>
            <w:shd w:val="clear" w:color="auto" w:fill="auto"/>
            <w:noWrap/>
            <w:hideMark/>
          </w:tcPr>
          <w:p w14:paraId="5F59C9F3" w14:textId="5FE9A9A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2A55722" w14:textId="20F2CF9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6C0C5D62" w14:textId="375D17A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316774FC" w14:textId="7D1EBE3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68FFAF1A" w14:textId="25777A4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3ED6431" w14:textId="3AFBF74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35298D49" w14:textId="396F759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42.30%</w:t>
            </w:r>
          </w:p>
        </w:tc>
        <w:tc>
          <w:tcPr>
            <w:tcW w:w="412" w:type="pct"/>
            <w:tcBorders>
              <w:top w:val="nil"/>
              <w:left w:val="nil"/>
              <w:bottom w:val="nil"/>
              <w:right w:val="nil"/>
            </w:tcBorders>
            <w:shd w:val="clear" w:color="auto" w:fill="auto"/>
            <w:noWrap/>
            <w:hideMark/>
          </w:tcPr>
          <w:p w14:paraId="161DE910" w14:textId="44F6C15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1482BF7D" w14:textId="2B3E7CA3"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0467F73"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4695353A" w14:textId="16553913" w:rsidR="00DD6114" w:rsidRPr="001A5D41" w:rsidRDefault="00DD6114" w:rsidP="00DD6114">
            <w:pPr>
              <w:rPr>
                <w:rFonts w:ascii="Arial" w:hAnsi="Arial" w:cs="Arial"/>
                <w:color w:val="FF0000"/>
                <w:sz w:val="14"/>
                <w:szCs w:val="14"/>
              </w:rPr>
            </w:pPr>
            <w:r w:rsidRPr="001A5D41">
              <w:rPr>
                <w:rFonts w:ascii="Arial" w:hAnsi="Arial" w:cs="Arial"/>
                <w:sz w:val="14"/>
                <w:szCs w:val="14"/>
              </w:rPr>
              <w:t>South Shore Hospital</w:t>
            </w:r>
          </w:p>
        </w:tc>
        <w:tc>
          <w:tcPr>
            <w:tcW w:w="397" w:type="pct"/>
            <w:tcBorders>
              <w:top w:val="nil"/>
              <w:left w:val="nil"/>
              <w:bottom w:val="nil"/>
              <w:right w:val="nil"/>
            </w:tcBorders>
            <w:shd w:val="clear" w:color="auto" w:fill="auto"/>
            <w:noWrap/>
            <w:hideMark/>
          </w:tcPr>
          <w:p w14:paraId="6527C65D" w14:textId="3D3C8D3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1F1C4E3" w14:textId="28FBAD6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731B0FE7" w14:textId="3E3AF6EE"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703E1025" w14:textId="1EEE61F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17FE45C4" w14:textId="29652DA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0C74074" w14:textId="70B75C7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47006A39" w14:textId="13FEB2E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54.31%</w:t>
            </w:r>
          </w:p>
        </w:tc>
        <w:tc>
          <w:tcPr>
            <w:tcW w:w="412" w:type="pct"/>
            <w:tcBorders>
              <w:top w:val="nil"/>
              <w:left w:val="nil"/>
              <w:bottom w:val="nil"/>
              <w:right w:val="nil"/>
            </w:tcBorders>
            <w:shd w:val="clear" w:color="auto" w:fill="auto"/>
            <w:noWrap/>
            <w:hideMark/>
          </w:tcPr>
          <w:p w14:paraId="75F7DC81" w14:textId="2E03B84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0D32BDC" w14:textId="102E2807"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0F5C40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B94212A" w14:textId="1A6E4CB0" w:rsidR="00DD6114" w:rsidRPr="001A5D41" w:rsidRDefault="00DD6114" w:rsidP="00DD6114">
            <w:pPr>
              <w:rPr>
                <w:rFonts w:ascii="Arial" w:hAnsi="Arial" w:cs="Arial"/>
                <w:color w:val="FF0000"/>
                <w:sz w:val="14"/>
                <w:szCs w:val="14"/>
              </w:rPr>
            </w:pPr>
            <w:r w:rsidRPr="001A5D41">
              <w:rPr>
                <w:rFonts w:ascii="Arial" w:hAnsi="Arial" w:cs="Arial"/>
                <w:sz w:val="14"/>
                <w:szCs w:val="14"/>
              </w:rPr>
              <w:t>Southcoast Hospitals Group</w:t>
            </w:r>
          </w:p>
        </w:tc>
        <w:tc>
          <w:tcPr>
            <w:tcW w:w="397" w:type="pct"/>
            <w:tcBorders>
              <w:top w:val="nil"/>
              <w:left w:val="nil"/>
              <w:bottom w:val="nil"/>
              <w:right w:val="nil"/>
            </w:tcBorders>
            <w:shd w:val="clear" w:color="auto" w:fill="auto"/>
            <w:noWrap/>
            <w:hideMark/>
          </w:tcPr>
          <w:p w14:paraId="6CC91F8C" w14:textId="29DE8FC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7ACC3D89" w14:textId="270E2D5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1.0305 </w:t>
            </w:r>
          </w:p>
        </w:tc>
        <w:tc>
          <w:tcPr>
            <w:tcW w:w="343" w:type="pct"/>
            <w:tcBorders>
              <w:top w:val="nil"/>
              <w:left w:val="nil"/>
              <w:bottom w:val="nil"/>
              <w:right w:val="nil"/>
            </w:tcBorders>
            <w:shd w:val="clear" w:color="auto" w:fill="auto"/>
            <w:noWrap/>
            <w:hideMark/>
          </w:tcPr>
          <w:p w14:paraId="08619E65" w14:textId="2DA9803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24063247" w14:textId="7FB58A2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$11,648.79 </w:t>
            </w:r>
          </w:p>
        </w:tc>
        <w:tc>
          <w:tcPr>
            <w:tcW w:w="373" w:type="pct"/>
            <w:tcBorders>
              <w:top w:val="nil"/>
              <w:left w:val="nil"/>
              <w:bottom w:val="nil"/>
              <w:right w:val="nil"/>
            </w:tcBorders>
            <w:shd w:val="clear" w:color="auto" w:fill="auto"/>
            <w:noWrap/>
            <w:hideMark/>
          </w:tcPr>
          <w:p w14:paraId="1CC3A05E" w14:textId="26907D7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7EBF012" w14:textId="548109F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$12,424.13 </w:t>
            </w:r>
          </w:p>
        </w:tc>
        <w:tc>
          <w:tcPr>
            <w:tcW w:w="262" w:type="pct"/>
            <w:tcBorders>
              <w:top w:val="nil"/>
              <w:left w:val="nil"/>
              <w:bottom w:val="nil"/>
              <w:right w:val="nil"/>
            </w:tcBorders>
            <w:shd w:val="clear" w:color="auto" w:fill="auto"/>
            <w:noWrap/>
            <w:hideMark/>
          </w:tcPr>
          <w:p w14:paraId="5165A5AD" w14:textId="3A89A41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42.59%</w:t>
            </w:r>
          </w:p>
        </w:tc>
        <w:tc>
          <w:tcPr>
            <w:tcW w:w="412" w:type="pct"/>
            <w:tcBorders>
              <w:top w:val="nil"/>
              <w:left w:val="nil"/>
              <w:bottom w:val="nil"/>
              <w:right w:val="nil"/>
            </w:tcBorders>
            <w:shd w:val="clear" w:color="auto" w:fill="auto"/>
            <w:noWrap/>
            <w:hideMark/>
          </w:tcPr>
          <w:p w14:paraId="4391AE19" w14:textId="5E28581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6D0BD2A" w14:textId="66D13EC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4339D1E"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F6F3814" w14:textId="5A602B3C" w:rsidR="00DD6114" w:rsidRPr="001A5D41" w:rsidRDefault="00DD6114" w:rsidP="00DD6114">
            <w:pPr>
              <w:rPr>
                <w:rFonts w:ascii="Arial" w:hAnsi="Arial" w:cs="Arial"/>
                <w:color w:val="FF0000"/>
                <w:sz w:val="14"/>
                <w:szCs w:val="14"/>
              </w:rPr>
            </w:pPr>
            <w:r w:rsidRPr="001A5D41">
              <w:rPr>
                <w:rFonts w:ascii="Arial" w:hAnsi="Arial" w:cs="Arial"/>
                <w:sz w:val="14"/>
                <w:szCs w:val="14"/>
              </w:rPr>
              <w:t>St. Anne's Hospital</w:t>
            </w:r>
          </w:p>
        </w:tc>
        <w:tc>
          <w:tcPr>
            <w:tcW w:w="397" w:type="pct"/>
            <w:tcBorders>
              <w:top w:val="nil"/>
              <w:left w:val="nil"/>
              <w:bottom w:val="nil"/>
              <w:right w:val="nil"/>
            </w:tcBorders>
            <w:shd w:val="clear" w:color="auto" w:fill="auto"/>
            <w:noWrap/>
            <w:hideMark/>
          </w:tcPr>
          <w:p w14:paraId="68C76627" w14:textId="3DDCB33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4A6CEFE" w14:textId="4D37C61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0.9031 </w:t>
            </w:r>
          </w:p>
        </w:tc>
        <w:tc>
          <w:tcPr>
            <w:tcW w:w="343" w:type="pct"/>
            <w:tcBorders>
              <w:top w:val="nil"/>
              <w:left w:val="nil"/>
              <w:bottom w:val="nil"/>
              <w:right w:val="nil"/>
            </w:tcBorders>
            <w:shd w:val="clear" w:color="auto" w:fill="auto"/>
            <w:noWrap/>
            <w:hideMark/>
          </w:tcPr>
          <w:p w14:paraId="4E5FC488" w14:textId="4CAEA5C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4B038294" w14:textId="1440B70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$10,656.48 </w:t>
            </w:r>
          </w:p>
        </w:tc>
        <w:tc>
          <w:tcPr>
            <w:tcW w:w="373" w:type="pct"/>
            <w:tcBorders>
              <w:top w:val="nil"/>
              <w:left w:val="nil"/>
              <w:bottom w:val="nil"/>
              <w:right w:val="nil"/>
            </w:tcBorders>
            <w:shd w:val="clear" w:color="auto" w:fill="auto"/>
            <w:noWrap/>
            <w:hideMark/>
          </w:tcPr>
          <w:p w14:paraId="60B53431" w14:textId="25CC3B5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2A02022" w14:textId="50D9AA1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$11,431.82 </w:t>
            </w:r>
          </w:p>
        </w:tc>
        <w:tc>
          <w:tcPr>
            <w:tcW w:w="262" w:type="pct"/>
            <w:tcBorders>
              <w:top w:val="nil"/>
              <w:left w:val="nil"/>
              <w:bottom w:val="nil"/>
              <w:right w:val="nil"/>
            </w:tcBorders>
            <w:shd w:val="clear" w:color="auto" w:fill="auto"/>
            <w:noWrap/>
            <w:hideMark/>
          </w:tcPr>
          <w:p w14:paraId="73FD7424" w14:textId="4105FB8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45.14%</w:t>
            </w:r>
          </w:p>
        </w:tc>
        <w:tc>
          <w:tcPr>
            <w:tcW w:w="412" w:type="pct"/>
            <w:tcBorders>
              <w:top w:val="nil"/>
              <w:left w:val="nil"/>
              <w:bottom w:val="nil"/>
              <w:right w:val="nil"/>
            </w:tcBorders>
            <w:shd w:val="clear" w:color="auto" w:fill="auto"/>
            <w:noWrap/>
            <w:hideMark/>
          </w:tcPr>
          <w:p w14:paraId="5D5D8755" w14:textId="09C1DAD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681DA443" w14:textId="4166527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00009591"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5B1F6EA0" w14:textId="275726AC" w:rsidR="00DD6114" w:rsidRPr="001A5D41" w:rsidRDefault="00DD6114" w:rsidP="00DD6114">
            <w:pPr>
              <w:rPr>
                <w:rFonts w:ascii="Arial" w:hAnsi="Arial" w:cs="Arial"/>
                <w:color w:val="FF0000"/>
                <w:sz w:val="14"/>
                <w:szCs w:val="14"/>
              </w:rPr>
            </w:pPr>
            <w:r w:rsidRPr="001A5D41">
              <w:rPr>
                <w:rFonts w:ascii="Arial" w:hAnsi="Arial" w:cs="Arial"/>
                <w:sz w:val="14"/>
                <w:szCs w:val="14"/>
              </w:rPr>
              <w:t>St. Elizabeth's Medical Center</w:t>
            </w:r>
          </w:p>
        </w:tc>
        <w:tc>
          <w:tcPr>
            <w:tcW w:w="397" w:type="pct"/>
            <w:tcBorders>
              <w:top w:val="nil"/>
              <w:left w:val="nil"/>
              <w:bottom w:val="nil"/>
              <w:right w:val="nil"/>
            </w:tcBorders>
            <w:shd w:val="clear" w:color="auto" w:fill="auto"/>
            <w:noWrap/>
            <w:hideMark/>
          </w:tcPr>
          <w:p w14:paraId="5FE3CB16" w14:textId="4337B30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0F2F876" w14:textId="1B80BE5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4432AF2B" w14:textId="46B458B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776D877" w14:textId="25E8786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555B30E2" w14:textId="4091A977"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66F3E45" w14:textId="56C4C30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14B4B3B0" w14:textId="7039380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64.74%</w:t>
            </w:r>
          </w:p>
        </w:tc>
        <w:tc>
          <w:tcPr>
            <w:tcW w:w="412" w:type="pct"/>
            <w:tcBorders>
              <w:top w:val="nil"/>
              <w:left w:val="nil"/>
              <w:bottom w:val="nil"/>
              <w:right w:val="nil"/>
            </w:tcBorders>
            <w:shd w:val="clear" w:color="auto" w:fill="auto"/>
            <w:noWrap/>
            <w:hideMark/>
          </w:tcPr>
          <w:p w14:paraId="735E1983" w14:textId="5615360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C05A7BA" w14:textId="6267CFB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49757576"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1768D0E" w14:textId="31749BDA" w:rsidR="00DD6114" w:rsidRPr="001A5D41" w:rsidRDefault="00DD6114" w:rsidP="00DD6114">
            <w:pPr>
              <w:rPr>
                <w:rFonts w:ascii="Arial" w:hAnsi="Arial" w:cs="Arial"/>
                <w:color w:val="FF0000"/>
                <w:sz w:val="14"/>
                <w:szCs w:val="14"/>
              </w:rPr>
            </w:pPr>
            <w:r w:rsidRPr="001A5D41">
              <w:rPr>
                <w:rFonts w:ascii="Arial" w:hAnsi="Arial" w:cs="Arial"/>
                <w:sz w:val="14"/>
                <w:szCs w:val="14"/>
              </w:rPr>
              <w:t>Sturdy Memorial Hospital</w:t>
            </w:r>
          </w:p>
        </w:tc>
        <w:tc>
          <w:tcPr>
            <w:tcW w:w="397" w:type="pct"/>
            <w:tcBorders>
              <w:top w:val="nil"/>
              <w:left w:val="nil"/>
              <w:bottom w:val="nil"/>
              <w:right w:val="nil"/>
            </w:tcBorders>
            <w:shd w:val="clear" w:color="auto" w:fill="auto"/>
            <w:noWrap/>
            <w:hideMark/>
          </w:tcPr>
          <w:p w14:paraId="2C0E2077" w14:textId="4A6C64C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35003658" w14:textId="7D99758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6431A1E3" w14:textId="7721B24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F1C6C16" w14:textId="458B1C0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606B740A" w14:textId="074C4DC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154F7AA1" w14:textId="61D642F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2520218C" w14:textId="49FAD5C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62.11%</w:t>
            </w:r>
          </w:p>
        </w:tc>
        <w:tc>
          <w:tcPr>
            <w:tcW w:w="412" w:type="pct"/>
            <w:tcBorders>
              <w:top w:val="nil"/>
              <w:left w:val="nil"/>
              <w:bottom w:val="nil"/>
              <w:right w:val="nil"/>
            </w:tcBorders>
            <w:shd w:val="clear" w:color="auto" w:fill="auto"/>
            <w:noWrap/>
            <w:hideMark/>
          </w:tcPr>
          <w:p w14:paraId="5CB3AE08" w14:textId="21D69538"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4284F41" w14:textId="3EF1BCF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59F7FF1B"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3A280BA8" w14:textId="17AD01B2" w:rsidR="00DD6114" w:rsidRPr="001A5D41" w:rsidRDefault="00DD6114" w:rsidP="00DD6114">
            <w:pPr>
              <w:rPr>
                <w:rFonts w:ascii="Arial" w:hAnsi="Arial" w:cs="Arial"/>
                <w:color w:val="FF0000"/>
                <w:sz w:val="14"/>
                <w:szCs w:val="14"/>
              </w:rPr>
            </w:pPr>
            <w:r w:rsidRPr="001A5D41">
              <w:rPr>
                <w:rFonts w:ascii="Arial" w:hAnsi="Arial" w:cs="Arial"/>
                <w:sz w:val="14"/>
                <w:szCs w:val="14"/>
              </w:rPr>
              <w:t>Tufts Medical Center</w:t>
            </w:r>
          </w:p>
        </w:tc>
        <w:tc>
          <w:tcPr>
            <w:tcW w:w="397" w:type="pct"/>
            <w:tcBorders>
              <w:top w:val="nil"/>
              <w:left w:val="nil"/>
              <w:bottom w:val="nil"/>
              <w:right w:val="nil"/>
            </w:tcBorders>
            <w:shd w:val="clear" w:color="auto" w:fill="auto"/>
            <w:noWrap/>
            <w:hideMark/>
          </w:tcPr>
          <w:p w14:paraId="2D53F311" w14:textId="626086A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08A08E26" w14:textId="1E33D4A4"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1.0704 </w:t>
            </w:r>
          </w:p>
        </w:tc>
        <w:tc>
          <w:tcPr>
            <w:tcW w:w="343" w:type="pct"/>
            <w:tcBorders>
              <w:top w:val="nil"/>
              <w:left w:val="nil"/>
              <w:bottom w:val="nil"/>
              <w:right w:val="nil"/>
            </w:tcBorders>
            <w:shd w:val="clear" w:color="auto" w:fill="auto"/>
            <w:noWrap/>
            <w:hideMark/>
          </w:tcPr>
          <w:p w14:paraId="1279F969" w14:textId="2B16332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C61EE0F" w14:textId="285CD87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$11,959.57 </w:t>
            </w:r>
          </w:p>
        </w:tc>
        <w:tc>
          <w:tcPr>
            <w:tcW w:w="373" w:type="pct"/>
            <w:tcBorders>
              <w:top w:val="nil"/>
              <w:left w:val="nil"/>
              <w:bottom w:val="nil"/>
              <w:right w:val="nil"/>
            </w:tcBorders>
            <w:shd w:val="clear" w:color="auto" w:fill="auto"/>
            <w:noWrap/>
            <w:hideMark/>
          </w:tcPr>
          <w:p w14:paraId="03F6A924" w14:textId="4473037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28C38EF0" w14:textId="033BB51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$12,734.91 </w:t>
            </w:r>
          </w:p>
        </w:tc>
        <w:tc>
          <w:tcPr>
            <w:tcW w:w="262" w:type="pct"/>
            <w:tcBorders>
              <w:top w:val="nil"/>
              <w:left w:val="nil"/>
              <w:bottom w:val="nil"/>
              <w:right w:val="nil"/>
            </w:tcBorders>
            <w:shd w:val="clear" w:color="auto" w:fill="auto"/>
            <w:noWrap/>
            <w:hideMark/>
          </w:tcPr>
          <w:p w14:paraId="714F6440" w14:textId="196D5B2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34.95%</w:t>
            </w:r>
          </w:p>
        </w:tc>
        <w:tc>
          <w:tcPr>
            <w:tcW w:w="412" w:type="pct"/>
            <w:tcBorders>
              <w:top w:val="nil"/>
              <w:left w:val="nil"/>
              <w:bottom w:val="nil"/>
              <w:right w:val="nil"/>
            </w:tcBorders>
            <w:shd w:val="clear" w:color="auto" w:fill="auto"/>
            <w:noWrap/>
            <w:hideMark/>
          </w:tcPr>
          <w:p w14:paraId="0DC5EE01" w14:textId="3927DA8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D484E7D" w14:textId="7F007094"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D9B0DB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1A0285A7" w14:textId="483C7599"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 HealthAlliance-Clinton Hospital</w:t>
            </w:r>
          </w:p>
        </w:tc>
        <w:tc>
          <w:tcPr>
            <w:tcW w:w="397" w:type="pct"/>
            <w:tcBorders>
              <w:top w:val="nil"/>
              <w:left w:val="nil"/>
              <w:bottom w:val="nil"/>
              <w:right w:val="nil"/>
            </w:tcBorders>
            <w:shd w:val="clear" w:color="auto" w:fill="auto"/>
            <w:noWrap/>
            <w:hideMark/>
          </w:tcPr>
          <w:p w14:paraId="6DCE1F26" w14:textId="6CB2BB1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178DD996" w14:textId="0D048B69"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37E10ECF" w14:textId="740C47FA"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5001E155" w14:textId="1DB4D01E"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2E5451" w14:textId="0113AE9C"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53658A7B" w14:textId="00ED699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797E6F9D" w14:textId="669681B9"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42.00%</w:t>
            </w:r>
          </w:p>
        </w:tc>
        <w:tc>
          <w:tcPr>
            <w:tcW w:w="412" w:type="pct"/>
            <w:tcBorders>
              <w:top w:val="nil"/>
              <w:left w:val="nil"/>
              <w:bottom w:val="nil"/>
              <w:right w:val="nil"/>
            </w:tcBorders>
            <w:shd w:val="clear" w:color="auto" w:fill="auto"/>
            <w:noWrap/>
            <w:hideMark/>
          </w:tcPr>
          <w:p w14:paraId="028CDF90" w14:textId="6C2962E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71693ECC" w14:textId="1E88559F"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82B483F"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706B500B" w14:textId="72EAE762"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 Marlborough Hospital</w:t>
            </w:r>
          </w:p>
        </w:tc>
        <w:tc>
          <w:tcPr>
            <w:tcW w:w="397" w:type="pct"/>
            <w:tcBorders>
              <w:top w:val="nil"/>
              <w:left w:val="nil"/>
              <w:bottom w:val="nil"/>
              <w:right w:val="nil"/>
            </w:tcBorders>
            <w:shd w:val="clear" w:color="auto" w:fill="auto"/>
            <w:noWrap/>
            <w:hideMark/>
          </w:tcPr>
          <w:p w14:paraId="5FEAB958" w14:textId="0ED5B21B"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4AD54ED8" w14:textId="2513032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743E8131" w14:textId="456F0850"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1CEF3501" w14:textId="16D523B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1FD1391D" w14:textId="2E52480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3888C788" w14:textId="3BFBD80F"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725B7682" w14:textId="5BB27EBC"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39.46%</w:t>
            </w:r>
          </w:p>
        </w:tc>
        <w:tc>
          <w:tcPr>
            <w:tcW w:w="412" w:type="pct"/>
            <w:tcBorders>
              <w:top w:val="nil"/>
              <w:left w:val="nil"/>
              <w:bottom w:val="nil"/>
              <w:right w:val="nil"/>
            </w:tcBorders>
            <w:shd w:val="clear" w:color="auto" w:fill="auto"/>
            <w:noWrap/>
            <w:hideMark/>
          </w:tcPr>
          <w:p w14:paraId="39DE4BB8" w14:textId="5B91A3A6"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200B9A4D" w14:textId="19F04028"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690630C2" w14:textId="77777777" w:rsidTr="0090762F">
        <w:trPr>
          <w:trHeight w:val="255"/>
        </w:trPr>
        <w:tc>
          <w:tcPr>
            <w:tcW w:w="1412" w:type="pct"/>
            <w:tcBorders>
              <w:top w:val="nil"/>
              <w:left w:val="single" w:sz="4" w:space="0" w:color="auto"/>
              <w:bottom w:val="nil"/>
              <w:right w:val="single" w:sz="4" w:space="0" w:color="auto"/>
            </w:tcBorders>
            <w:shd w:val="clear" w:color="auto" w:fill="auto"/>
            <w:noWrap/>
            <w:hideMark/>
          </w:tcPr>
          <w:p w14:paraId="2F7F95A5" w14:textId="3847D8CF" w:rsidR="00DD6114" w:rsidRPr="001A5D41" w:rsidRDefault="00DD6114" w:rsidP="00DD6114">
            <w:pPr>
              <w:rPr>
                <w:rFonts w:ascii="Arial" w:hAnsi="Arial" w:cs="Arial"/>
                <w:color w:val="FF0000"/>
                <w:sz w:val="14"/>
                <w:szCs w:val="14"/>
              </w:rPr>
            </w:pPr>
            <w:r w:rsidRPr="001A5D41">
              <w:rPr>
                <w:rFonts w:ascii="Arial" w:hAnsi="Arial" w:cs="Arial"/>
                <w:sz w:val="14"/>
                <w:szCs w:val="14"/>
              </w:rPr>
              <w:t>UMass Memorial Medical Center</w:t>
            </w:r>
          </w:p>
        </w:tc>
        <w:tc>
          <w:tcPr>
            <w:tcW w:w="397" w:type="pct"/>
            <w:tcBorders>
              <w:top w:val="nil"/>
              <w:left w:val="nil"/>
              <w:bottom w:val="nil"/>
              <w:right w:val="nil"/>
            </w:tcBorders>
            <w:shd w:val="clear" w:color="auto" w:fill="auto"/>
            <w:noWrap/>
            <w:hideMark/>
          </w:tcPr>
          <w:p w14:paraId="4C9C9F0D" w14:textId="5CD9D04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nil"/>
              <w:right w:val="nil"/>
            </w:tcBorders>
            <w:shd w:val="clear" w:color="auto" w:fill="auto"/>
            <w:noWrap/>
            <w:hideMark/>
          </w:tcPr>
          <w:p w14:paraId="2F8E93D5" w14:textId="3736A66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nil"/>
              <w:right w:val="nil"/>
            </w:tcBorders>
            <w:shd w:val="clear" w:color="auto" w:fill="auto"/>
            <w:noWrap/>
            <w:hideMark/>
          </w:tcPr>
          <w:p w14:paraId="0BCA319E" w14:textId="57083945"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nil"/>
              <w:right w:val="nil"/>
            </w:tcBorders>
            <w:shd w:val="clear" w:color="auto" w:fill="auto"/>
            <w:noWrap/>
            <w:hideMark/>
          </w:tcPr>
          <w:p w14:paraId="66DE28B4" w14:textId="55C69E9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nil"/>
              <w:right w:val="nil"/>
            </w:tcBorders>
            <w:shd w:val="clear" w:color="auto" w:fill="auto"/>
            <w:noWrap/>
            <w:hideMark/>
          </w:tcPr>
          <w:p w14:paraId="73CC64F8" w14:textId="2CBB782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nil"/>
              <w:right w:val="nil"/>
            </w:tcBorders>
            <w:shd w:val="clear" w:color="auto" w:fill="auto"/>
            <w:noWrap/>
            <w:hideMark/>
          </w:tcPr>
          <w:p w14:paraId="034A674C" w14:textId="2DC65801"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nil"/>
              <w:right w:val="nil"/>
            </w:tcBorders>
            <w:shd w:val="clear" w:color="auto" w:fill="auto"/>
            <w:noWrap/>
            <w:hideMark/>
          </w:tcPr>
          <w:p w14:paraId="586982FC" w14:textId="6019E74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37.43%</w:t>
            </w:r>
          </w:p>
        </w:tc>
        <w:tc>
          <w:tcPr>
            <w:tcW w:w="412" w:type="pct"/>
            <w:tcBorders>
              <w:top w:val="nil"/>
              <w:left w:val="nil"/>
              <w:bottom w:val="nil"/>
              <w:right w:val="nil"/>
            </w:tcBorders>
            <w:shd w:val="clear" w:color="auto" w:fill="auto"/>
            <w:noWrap/>
            <w:hideMark/>
          </w:tcPr>
          <w:p w14:paraId="62D2D61D" w14:textId="3FEDE522"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nil"/>
              <w:right w:val="single" w:sz="4" w:space="0" w:color="auto"/>
            </w:tcBorders>
            <w:shd w:val="clear" w:color="auto" w:fill="auto"/>
            <w:noWrap/>
            <w:hideMark/>
          </w:tcPr>
          <w:p w14:paraId="4D6CFBD6" w14:textId="472B79D2"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r w:rsidR="00DD6114" w:rsidRPr="0019404D" w14:paraId="79766FCB" w14:textId="77777777" w:rsidTr="0090762F">
        <w:trPr>
          <w:trHeight w:val="255"/>
        </w:trPr>
        <w:tc>
          <w:tcPr>
            <w:tcW w:w="1412" w:type="pct"/>
            <w:tcBorders>
              <w:top w:val="nil"/>
              <w:left w:val="single" w:sz="4" w:space="0" w:color="auto"/>
              <w:bottom w:val="single" w:sz="4" w:space="0" w:color="auto"/>
              <w:right w:val="single" w:sz="4" w:space="0" w:color="auto"/>
            </w:tcBorders>
            <w:shd w:val="clear" w:color="auto" w:fill="auto"/>
            <w:noWrap/>
            <w:hideMark/>
          </w:tcPr>
          <w:p w14:paraId="2D897186" w14:textId="4F0DCBD0" w:rsidR="00DD6114" w:rsidRPr="001A5D41" w:rsidRDefault="00DD6114" w:rsidP="00DD6114">
            <w:pPr>
              <w:rPr>
                <w:rFonts w:ascii="Arial" w:hAnsi="Arial" w:cs="Arial"/>
                <w:color w:val="FF0000"/>
                <w:sz w:val="14"/>
                <w:szCs w:val="14"/>
              </w:rPr>
            </w:pPr>
            <w:r w:rsidRPr="001A5D41">
              <w:rPr>
                <w:rFonts w:ascii="Arial" w:hAnsi="Arial" w:cs="Arial"/>
                <w:sz w:val="14"/>
                <w:szCs w:val="14"/>
              </w:rPr>
              <w:t>Winchester Hospital</w:t>
            </w:r>
          </w:p>
        </w:tc>
        <w:tc>
          <w:tcPr>
            <w:tcW w:w="397" w:type="pct"/>
            <w:tcBorders>
              <w:top w:val="nil"/>
              <w:left w:val="nil"/>
              <w:bottom w:val="single" w:sz="4" w:space="0" w:color="auto"/>
              <w:right w:val="nil"/>
            </w:tcBorders>
            <w:shd w:val="clear" w:color="auto" w:fill="auto"/>
            <w:noWrap/>
            <w:hideMark/>
          </w:tcPr>
          <w:p w14:paraId="0CD4DC80" w14:textId="3C234BB5"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$11,411.23 </w:t>
            </w:r>
          </w:p>
        </w:tc>
        <w:tc>
          <w:tcPr>
            <w:tcW w:w="544" w:type="pct"/>
            <w:tcBorders>
              <w:top w:val="nil"/>
              <w:left w:val="nil"/>
              <w:bottom w:val="single" w:sz="4" w:space="0" w:color="auto"/>
              <w:right w:val="nil"/>
            </w:tcBorders>
            <w:shd w:val="clear" w:color="auto" w:fill="auto"/>
            <w:noWrap/>
            <w:hideMark/>
          </w:tcPr>
          <w:p w14:paraId="5D1BE487" w14:textId="207ACA8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1.0256 </w:t>
            </w:r>
          </w:p>
        </w:tc>
        <w:tc>
          <w:tcPr>
            <w:tcW w:w="343" w:type="pct"/>
            <w:tcBorders>
              <w:top w:val="nil"/>
              <w:left w:val="nil"/>
              <w:bottom w:val="single" w:sz="4" w:space="0" w:color="auto"/>
              <w:right w:val="nil"/>
            </w:tcBorders>
            <w:shd w:val="clear" w:color="auto" w:fill="auto"/>
            <w:noWrap/>
            <w:hideMark/>
          </w:tcPr>
          <w:p w14:paraId="121AFA91" w14:textId="10330E6D"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0.68257</w:t>
            </w:r>
          </w:p>
        </w:tc>
        <w:tc>
          <w:tcPr>
            <w:tcW w:w="457" w:type="pct"/>
            <w:tcBorders>
              <w:top w:val="nil"/>
              <w:left w:val="nil"/>
              <w:bottom w:val="single" w:sz="4" w:space="0" w:color="auto"/>
              <w:right w:val="nil"/>
            </w:tcBorders>
            <w:shd w:val="clear" w:color="auto" w:fill="auto"/>
            <w:noWrap/>
            <w:hideMark/>
          </w:tcPr>
          <w:p w14:paraId="300B5941" w14:textId="1E443A40"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$11,610.63 </w:t>
            </w:r>
          </w:p>
        </w:tc>
        <w:tc>
          <w:tcPr>
            <w:tcW w:w="373" w:type="pct"/>
            <w:tcBorders>
              <w:top w:val="nil"/>
              <w:left w:val="nil"/>
              <w:bottom w:val="single" w:sz="4" w:space="0" w:color="auto"/>
              <w:right w:val="nil"/>
            </w:tcBorders>
            <w:shd w:val="clear" w:color="auto" w:fill="auto"/>
            <w:noWrap/>
            <w:hideMark/>
          </w:tcPr>
          <w:p w14:paraId="3E6BDE84" w14:textId="2C97FB1A"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$775.34 </w:t>
            </w:r>
          </w:p>
        </w:tc>
        <w:tc>
          <w:tcPr>
            <w:tcW w:w="457" w:type="pct"/>
            <w:tcBorders>
              <w:top w:val="nil"/>
              <w:left w:val="nil"/>
              <w:bottom w:val="single" w:sz="4" w:space="0" w:color="auto"/>
              <w:right w:val="nil"/>
            </w:tcBorders>
            <w:shd w:val="clear" w:color="auto" w:fill="auto"/>
            <w:noWrap/>
            <w:hideMark/>
          </w:tcPr>
          <w:p w14:paraId="4B4447DE" w14:textId="670810C3"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$12,385.97 </w:t>
            </w:r>
          </w:p>
        </w:tc>
        <w:tc>
          <w:tcPr>
            <w:tcW w:w="262" w:type="pct"/>
            <w:tcBorders>
              <w:top w:val="nil"/>
              <w:left w:val="nil"/>
              <w:bottom w:val="single" w:sz="4" w:space="0" w:color="auto"/>
              <w:right w:val="nil"/>
            </w:tcBorders>
            <w:shd w:val="clear" w:color="auto" w:fill="auto"/>
            <w:noWrap/>
            <w:hideMark/>
          </w:tcPr>
          <w:p w14:paraId="1585E84B" w14:textId="038A648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65.18%</w:t>
            </w:r>
          </w:p>
        </w:tc>
        <w:tc>
          <w:tcPr>
            <w:tcW w:w="412" w:type="pct"/>
            <w:tcBorders>
              <w:top w:val="nil"/>
              <w:left w:val="nil"/>
              <w:bottom w:val="single" w:sz="4" w:space="0" w:color="auto"/>
              <w:right w:val="nil"/>
            </w:tcBorders>
            <w:shd w:val="clear" w:color="auto" w:fill="auto"/>
            <w:noWrap/>
            <w:hideMark/>
          </w:tcPr>
          <w:p w14:paraId="4D2D3427" w14:textId="46D6825D" w:rsidR="00DD6114" w:rsidRPr="001A5D41" w:rsidRDefault="00DD6114" w:rsidP="00DD6114">
            <w:pPr>
              <w:rPr>
                <w:rFonts w:ascii="Arial" w:hAnsi="Arial" w:cs="Arial"/>
                <w:color w:val="FF0000"/>
                <w:sz w:val="14"/>
                <w:szCs w:val="14"/>
              </w:rPr>
            </w:pPr>
            <w:r w:rsidRPr="001A5D41">
              <w:rPr>
                <w:rFonts w:ascii="Arial" w:hAnsi="Arial" w:cs="Arial"/>
                <w:sz w:val="14"/>
                <w:szCs w:val="14"/>
              </w:rPr>
              <w:t xml:space="preserve"> $38,400.00 </w:t>
            </w:r>
          </w:p>
        </w:tc>
        <w:tc>
          <w:tcPr>
            <w:tcW w:w="342" w:type="pct"/>
            <w:tcBorders>
              <w:top w:val="nil"/>
              <w:left w:val="nil"/>
              <w:bottom w:val="single" w:sz="4" w:space="0" w:color="auto"/>
              <w:right w:val="single" w:sz="4" w:space="0" w:color="auto"/>
            </w:tcBorders>
            <w:shd w:val="clear" w:color="auto" w:fill="auto"/>
            <w:noWrap/>
            <w:hideMark/>
          </w:tcPr>
          <w:p w14:paraId="5A368AC4" w14:textId="6791E901" w:rsidR="00DD6114" w:rsidRPr="001A5D41" w:rsidRDefault="00DD6114" w:rsidP="00DD6114">
            <w:pPr>
              <w:jc w:val="right"/>
              <w:rPr>
                <w:rFonts w:ascii="Arial" w:hAnsi="Arial" w:cs="Arial"/>
                <w:color w:val="FF0000"/>
                <w:sz w:val="14"/>
                <w:szCs w:val="14"/>
              </w:rPr>
            </w:pPr>
            <w:r w:rsidRPr="001A5D41">
              <w:rPr>
                <w:rFonts w:ascii="Arial" w:hAnsi="Arial" w:cs="Arial"/>
                <w:sz w:val="14"/>
                <w:szCs w:val="14"/>
              </w:rPr>
              <w:t>60%</w:t>
            </w:r>
          </w:p>
        </w:tc>
      </w:tr>
    </w:tbl>
    <w:p w14:paraId="039B3196" w14:textId="133D3153" w:rsidR="00DD6114" w:rsidRPr="0090762F" w:rsidRDefault="00DD6114" w:rsidP="00CB7F4B">
      <w:pPr>
        <w:spacing w:before="1440"/>
        <w:jc w:val="center"/>
        <w:rPr>
          <w:b/>
        </w:rPr>
      </w:pPr>
      <w:r w:rsidRPr="0090762F">
        <w:rPr>
          <w:b/>
        </w:rPr>
        <w:lastRenderedPageBreak/>
        <w:t>Other Per Diem Rates</w:t>
      </w:r>
    </w:p>
    <w:tbl>
      <w:tblPr>
        <w:tblW w:w="4966" w:type="pct"/>
        <w:tblLayout w:type="fixed"/>
        <w:tblLook w:val="04A0" w:firstRow="1" w:lastRow="0" w:firstColumn="1" w:lastColumn="0" w:noHBand="0" w:noVBand="1"/>
      </w:tblPr>
      <w:tblGrid>
        <w:gridCol w:w="5513"/>
        <w:gridCol w:w="1951"/>
        <w:gridCol w:w="1951"/>
        <w:gridCol w:w="2570"/>
        <w:gridCol w:w="2532"/>
      </w:tblGrid>
      <w:tr w:rsidR="0090762F" w:rsidRPr="0090762F" w14:paraId="4CB68585" w14:textId="77777777" w:rsidTr="0090762F">
        <w:trPr>
          <w:trHeight w:val="765"/>
          <w:tblHeader/>
        </w:trPr>
        <w:tc>
          <w:tcPr>
            <w:tcW w:w="189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3C9FB31"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In-State Provider</w:t>
            </w:r>
          </w:p>
        </w:tc>
        <w:tc>
          <w:tcPr>
            <w:tcW w:w="672" w:type="pct"/>
            <w:tcBorders>
              <w:top w:val="single" w:sz="4" w:space="0" w:color="auto"/>
              <w:left w:val="nil"/>
              <w:bottom w:val="single" w:sz="4" w:space="0" w:color="auto"/>
              <w:right w:val="nil"/>
            </w:tcBorders>
            <w:shd w:val="clear" w:color="000000" w:fill="D9D9D9"/>
            <w:vAlign w:val="bottom"/>
            <w:hideMark/>
          </w:tcPr>
          <w:p w14:paraId="26B66D61"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Administrative Day without Medicare Part B</w:t>
            </w:r>
          </w:p>
        </w:tc>
        <w:tc>
          <w:tcPr>
            <w:tcW w:w="672" w:type="pct"/>
            <w:tcBorders>
              <w:top w:val="single" w:sz="4" w:space="0" w:color="auto"/>
              <w:left w:val="nil"/>
              <w:bottom w:val="single" w:sz="4" w:space="0" w:color="auto"/>
              <w:right w:val="nil"/>
            </w:tcBorders>
            <w:shd w:val="clear" w:color="000000" w:fill="D9D9D9"/>
            <w:vAlign w:val="bottom"/>
            <w:hideMark/>
          </w:tcPr>
          <w:p w14:paraId="3F8EEF57"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Administrative Day with Medicare Part B</w:t>
            </w:r>
          </w:p>
        </w:tc>
        <w:tc>
          <w:tcPr>
            <w:tcW w:w="885" w:type="pct"/>
            <w:tcBorders>
              <w:top w:val="single" w:sz="4" w:space="0" w:color="auto"/>
              <w:left w:val="nil"/>
              <w:bottom w:val="single" w:sz="4" w:space="0" w:color="auto"/>
              <w:right w:val="nil"/>
            </w:tcBorders>
            <w:shd w:val="clear" w:color="000000" w:fill="D9D9D9"/>
            <w:vAlign w:val="bottom"/>
            <w:hideMark/>
          </w:tcPr>
          <w:p w14:paraId="6980B2EC"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 xml:space="preserve">Psychiatric </w:t>
            </w:r>
            <w:r w:rsidRPr="001A5D41">
              <w:rPr>
                <w:rFonts w:ascii="Arial" w:hAnsi="Arial" w:cs="Arial"/>
                <w:b/>
                <w:bCs/>
                <w:spacing w:val="0"/>
                <w:sz w:val="20"/>
              </w:rPr>
              <w:br/>
              <w:t>per Diem</w:t>
            </w:r>
          </w:p>
        </w:tc>
        <w:tc>
          <w:tcPr>
            <w:tcW w:w="872" w:type="pct"/>
            <w:tcBorders>
              <w:top w:val="single" w:sz="4" w:space="0" w:color="auto"/>
              <w:left w:val="nil"/>
              <w:bottom w:val="single" w:sz="4" w:space="0" w:color="auto"/>
              <w:right w:val="single" w:sz="4" w:space="0" w:color="auto"/>
            </w:tcBorders>
            <w:shd w:val="clear" w:color="000000" w:fill="D9D9D9"/>
            <w:vAlign w:val="bottom"/>
            <w:hideMark/>
          </w:tcPr>
          <w:p w14:paraId="095CEB2B" w14:textId="77777777" w:rsidR="00DD6114" w:rsidRPr="001A5D41" w:rsidRDefault="00DD6114" w:rsidP="0090762F">
            <w:pPr>
              <w:jc w:val="center"/>
              <w:rPr>
                <w:rFonts w:ascii="Arial" w:hAnsi="Arial" w:cs="Arial"/>
                <w:b/>
                <w:bCs/>
                <w:spacing w:val="0"/>
                <w:sz w:val="20"/>
              </w:rPr>
            </w:pPr>
            <w:r w:rsidRPr="001A5D41">
              <w:rPr>
                <w:rFonts w:ascii="Arial" w:hAnsi="Arial" w:cs="Arial"/>
                <w:b/>
                <w:bCs/>
                <w:spacing w:val="0"/>
                <w:sz w:val="20"/>
              </w:rPr>
              <w:t>Rehabilitation Unit  per Diem</w:t>
            </w:r>
          </w:p>
        </w:tc>
      </w:tr>
      <w:tr w:rsidR="0090762F" w:rsidRPr="0090762F" w14:paraId="248181A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12D224D" w14:textId="6F556BC6" w:rsidR="00DD6114" w:rsidRPr="001A5D41" w:rsidRDefault="00DD6114" w:rsidP="00DD6114">
            <w:pPr>
              <w:rPr>
                <w:rFonts w:ascii="Arial" w:hAnsi="Arial" w:cs="Arial"/>
                <w:spacing w:val="0"/>
                <w:sz w:val="20"/>
              </w:rPr>
            </w:pPr>
            <w:r w:rsidRPr="001A5D41">
              <w:rPr>
                <w:rFonts w:ascii="Arial" w:hAnsi="Arial" w:cs="Arial"/>
                <w:sz w:val="20"/>
              </w:rPr>
              <w:t>Anna Jaques Hospital</w:t>
            </w:r>
          </w:p>
        </w:tc>
        <w:tc>
          <w:tcPr>
            <w:tcW w:w="672" w:type="pct"/>
            <w:tcBorders>
              <w:top w:val="nil"/>
              <w:left w:val="nil"/>
              <w:bottom w:val="nil"/>
              <w:right w:val="nil"/>
            </w:tcBorders>
            <w:shd w:val="clear" w:color="auto" w:fill="auto"/>
            <w:noWrap/>
            <w:hideMark/>
          </w:tcPr>
          <w:p w14:paraId="0B89956E" w14:textId="354E31C5"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8364BF1" w14:textId="6471E2E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60C321F" w14:textId="745F385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CEB935E" w14:textId="5AB7FCC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FFB789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7569000" w14:textId="1DF6AB6E" w:rsidR="00DD6114" w:rsidRPr="001A5D41" w:rsidRDefault="00DD6114" w:rsidP="00DD6114">
            <w:pPr>
              <w:rPr>
                <w:rFonts w:ascii="Arial" w:hAnsi="Arial" w:cs="Arial"/>
                <w:spacing w:val="0"/>
                <w:sz w:val="20"/>
              </w:rPr>
            </w:pPr>
            <w:r w:rsidRPr="001A5D41">
              <w:rPr>
                <w:rFonts w:ascii="Arial" w:hAnsi="Arial" w:cs="Arial"/>
                <w:sz w:val="20"/>
              </w:rPr>
              <w:t>Baystate Franklin Medical Center</w:t>
            </w:r>
          </w:p>
        </w:tc>
        <w:tc>
          <w:tcPr>
            <w:tcW w:w="672" w:type="pct"/>
            <w:tcBorders>
              <w:top w:val="nil"/>
              <w:left w:val="nil"/>
              <w:bottom w:val="nil"/>
              <w:right w:val="nil"/>
            </w:tcBorders>
            <w:shd w:val="clear" w:color="auto" w:fill="auto"/>
            <w:noWrap/>
            <w:hideMark/>
          </w:tcPr>
          <w:p w14:paraId="6EDEFE4E" w14:textId="0F1AE182"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BCED9EA" w14:textId="517977D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98ACF48" w14:textId="0727A2B6"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D3EDEEF" w14:textId="248E347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F6E1B2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D4E7681" w14:textId="02354982" w:rsidR="00DD6114" w:rsidRPr="001A5D41" w:rsidRDefault="00DD6114" w:rsidP="00DD6114">
            <w:pPr>
              <w:rPr>
                <w:rFonts w:ascii="Arial" w:hAnsi="Arial" w:cs="Arial"/>
                <w:spacing w:val="0"/>
                <w:sz w:val="20"/>
              </w:rPr>
            </w:pPr>
            <w:r w:rsidRPr="001A5D41">
              <w:rPr>
                <w:rFonts w:ascii="Arial" w:hAnsi="Arial" w:cs="Arial"/>
                <w:sz w:val="20"/>
              </w:rPr>
              <w:t>Baystate Medical Center</w:t>
            </w:r>
          </w:p>
        </w:tc>
        <w:tc>
          <w:tcPr>
            <w:tcW w:w="672" w:type="pct"/>
            <w:tcBorders>
              <w:top w:val="nil"/>
              <w:left w:val="nil"/>
              <w:bottom w:val="nil"/>
              <w:right w:val="nil"/>
            </w:tcBorders>
            <w:shd w:val="clear" w:color="auto" w:fill="auto"/>
            <w:noWrap/>
            <w:hideMark/>
          </w:tcPr>
          <w:p w14:paraId="1624DC14" w14:textId="6E5F4D5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F1B9AFF" w14:textId="32F7CA8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115F72A" w14:textId="23B0C43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2B7C785" w14:textId="37E8009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7B5B45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E1554D4" w14:textId="4819DE89" w:rsidR="00DD6114" w:rsidRPr="001A5D41" w:rsidRDefault="00DD6114" w:rsidP="00DD6114">
            <w:pPr>
              <w:rPr>
                <w:rFonts w:ascii="Arial" w:hAnsi="Arial" w:cs="Arial"/>
                <w:spacing w:val="0"/>
                <w:sz w:val="20"/>
              </w:rPr>
            </w:pPr>
            <w:r w:rsidRPr="001A5D41">
              <w:rPr>
                <w:rFonts w:ascii="Arial" w:hAnsi="Arial" w:cs="Arial"/>
                <w:sz w:val="20"/>
              </w:rPr>
              <w:t>Baystate Noble Hospital</w:t>
            </w:r>
          </w:p>
        </w:tc>
        <w:tc>
          <w:tcPr>
            <w:tcW w:w="672" w:type="pct"/>
            <w:tcBorders>
              <w:top w:val="nil"/>
              <w:left w:val="nil"/>
              <w:bottom w:val="nil"/>
              <w:right w:val="nil"/>
            </w:tcBorders>
            <w:shd w:val="clear" w:color="auto" w:fill="auto"/>
            <w:noWrap/>
            <w:hideMark/>
          </w:tcPr>
          <w:p w14:paraId="73642DCB" w14:textId="59685BF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53DAA59" w14:textId="7243F40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9BCFDDD" w14:textId="4DDE72F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263BF7C" w14:textId="345CCF0D"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581C3A8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0D53617" w14:textId="43FC2508" w:rsidR="00DD6114" w:rsidRPr="001A5D41" w:rsidRDefault="00DD6114" w:rsidP="00DD6114">
            <w:pPr>
              <w:rPr>
                <w:rFonts w:ascii="Arial" w:hAnsi="Arial" w:cs="Arial"/>
                <w:spacing w:val="0"/>
                <w:sz w:val="20"/>
              </w:rPr>
            </w:pPr>
            <w:r w:rsidRPr="001A5D41">
              <w:rPr>
                <w:rFonts w:ascii="Arial" w:hAnsi="Arial" w:cs="Arial"/>
                <w:sz w:val="20"/>
              </w:rPr>
              <w:t>Baystate Wing Hospital</w:t>
            </w:r>
          </w:p>
        </w:tc>
        <w:tc>
          <w:tcPr>
            <w:tcW w:w="672" w:type="pct"/>
            <w:tcBorders>
              <w:top w:val="nil"/>
              <w:left w:val="nil"/>
              <w:bottom w:val="nil"/>
              <w:right w:val="nil"/>
            </w:tcBorders>
            <w:shd w:val="clear" w:color="auto" w:fill="auto"/>
            <w:noWrap/>
            <w:hideMark/>
          </w:tcPr>
          <w:p w14:paraId="1E88F62F" w14:textId="324002B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7593D26" w14:textId="2EB36110"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58B86A4" w14:textId="2AEB4AF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4B8FF05" w14:textId="561E288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E0705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DFF4E53" w14:textId="272527C5" w:rsidR="00DD6114" w:rsidRPr="001A5D41" w:rsidRDefault="00DD6114" w:rsidP="00DD6114">
            <w:pPr>
              <w:rPr>
                <w:rFonts w:ascii="Arial" w:hAnsi="Arial" w:cs="Arial"/>
                <w:spacing w:val="0"/>
                <w:sz w:val="20"/>
              </w:rPr>
            </w:pPr>
            <w:r w:rsidRPr="001A5D41">
              <w:rPr>
                <w:rFonts w:ascii="Arial" w:hAnsi="Arial" w:cs="Arial"/>
                <w:sz w:val="20"/>
              </w:rPr>
              <w:t>Berkshire Medical Center</w:t>
            </w:r>
          </w:p>
        </w:tc>
        <w:tc>
          <w:tcPr>
            <w:tcW w:w="672" w:type="pct"/>
            <w:tcBorders>
              <w:top w:val="nil"/>
              <w:left w:val="nil"/>
              <w:bottom w:val="nil"/>
              <w:right w:val="nil"/>
            </w:tcBorders>
            <w:shd w:val="clear" w:color="auto" w:fill="auto"/>
            <w:noWrap/>
            <w:hideMark/>
          </w:tcPr>
          <w:p w14:paraId="566C9FD7" w14:textId="0EAFAB6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03CE535" w14:textId="56DD7D0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B31DD85" w14:textId="7AA49DF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30C2B28" w14:textId="64F7D974"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0A0525C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1421557" w14:textId="02F9B2D7" w:rsidR="00DD6114" w:rsidRPr="001A5D41" w:rsidRDefault="00DD6114" w:rsidP="00DD6114">
            <w:pPr>
              <w:rPr>
                <w:rFonts w:ascii="Arial" w:hAnsi="Arial" w:cs="Arial"/>
                <w:spacing w:val="0"/>
                <w:sz w:val="20"/>
              </w:rPr>
            </w:pPr>
            <w:r w:rsidRPr="001A5D41">
              <w:rPr>
                <w:rFonts w:ascii="Arial" w:hAnsi="Arial" w:cs="Arial"/>
                <w:sz w:val="20"/>
              </w:rPr>
              <w:t>Beth Israel Deaconess Hospital - Milton</w:t>
            </w:r>
          </w:p>
        </w:tc>
        <w:tc>
          <w:tcPr>
            <w:tcW w:w="672" w:type="pct"/>
            <w:tcBorders>
              <w:top w:val="nil"/>
              <w:left w:val="nil"/>
              <w:bottom w:val="nil"/>
              <w:right w:val="nil"/>
            </w:tcBorders>
            <w:shd w:val="clear" w:color="auto" w:fill="auto"/>
            <w:noWrap/>
            <w:hideMark/>
          </w:tcPr>
          <w:p w14:paraId="6F3987BD" w14:textId="1FCEA48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D195566" w14:textId="4699F3F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FEDE7B9" w14:textId="31ABE02F"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04DF6A7E" w14:textId="6502AB5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1A0E7E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2876AD6" w14:textId="23E3EEC0" w:rsidR="00DD6114" w:rsidRPr="001A5D41" w:rsidRDefault="00DD6114" w:rsidP="00DD6114">
            <w:pPr>
              <w:rPr>
                <w:rFonts w:ascii="Arial" w:hAnsi="Arial" w:cs="Arial"/>
                <w:spacing w:val="0"/>
                <w:sz w:val="20"/>
              </w:rPr>
            </w:pPr>
            <w:r w:rsidRPr="001A5D41">
              <w:rPr>
                <w:rFonts w:ascii="Arial" w:hAnsi="Arial" w:cs="Arial"/>
                <w:sz w:val="20"/>
              </w:rPr>
              <w:t>Beth Israel Deaconess Hospital - Needham</w:t>
            </w:r>
          </w:p>
        </w:tc>
        <w:tc>
          <w:tcPr>
            <w:tcW w:w="672" w:type="pct"/>
            <w:tcBorders>
              <w:top w:val="nil"/>
              <w:left w:val="nil"/>
              <w:bottom w:val="nil"/>
              <w:right w:val="nil"/>
            </w:tcBorders>
            <w:shd w:val="clear" w:color="auto" w:fill="auto"/>
            <w:noWrap/>
            <w:hideMark/>
          </w:tcPr>
          <w:p w14:paraId="201A4CEA" w14:textId="0363E1A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C057731" w14:textId="51233AB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8BA5689" w14:textId="71621EE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4F96A767" w14:textId="58FAD57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EAA935"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74ED0EFC" w14:textId="2B464D86" w:rsidR="00DD6114" w:rsidRPr="001A5D41" w:rsidRDefault="00DD6114" w:rsidP="00DD6114">
            <w:pPr>
              <w:rPr>
                <w:rFonts w:ascii="Arial" w:hAnsi="Arial" w:cs="Arial"/>
                <w:spacing w:val="0"/>
                <w:sz w:val="20"/>
              </w:rPr>
            </w:pPr>
            <w:r w:rsidRPr="001A5D41">
              <w:rPr>
                <w:rFonts w:ascii="Arial" w:hAnsi="Arial" w:cs="Arial"/>
                <w:sz w:val="20"/>
              </w:rPr>
              <w:t>Beth Israel Deaconess Hospital - Plymouth</w:t>
            </w:r>
          </w:p>
        </w:tc>
        <w:tc>
          <w:tcPr>
            <w:tcW w:w="672" w:type="pct"/>
            <w:tcBorders>
              <w:top w:val="nil"/>
              <w:left w:val="nil"/>
              <w:bottom w:val="nil"/>
              <w:right w:val="nil"/>
            </w:tcBorders>
            <w:shd w:val="clear" w:color="auto" w:fill="auto"/>
            <w:noWrap/>
          </w:tcPr>
          <w:p w14:paraId="4564CEBC" w14:textId="58197F0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475BDF6F" w14:textId="55C520E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2A9776B3" w14:textId="4C94244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tcPr>
          <w:p w14:paraId="0FB16E8C" w14:textId="7301CEA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535BEB0"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596A2082" w14:textId="2B0F86AA" w:rsidR="00DD6114" w:rsidRPr="001A5D41" w:rsidRDefault="00DD6114" w:rsidP="00DD6114">
            <w:pPr>
              <w:rPr>
                <w:rFonts w:ascii="Arial" w:hAnsi="Arial" w:cs="Arial"/>
                <w:spacing w:val="0"/>
                <w:sz w:val="20"/>
              </w:rPr>
            </w:pPr>
            <w:r w:rsidRPr="001A5D41">
              <w:rPr>
                <w:rFonts w:ascii="Arial" w:hAnsi="Arial" w:cs="Arial"/>
                <w:sz w:val="20"/>
              </w:rPr>
              <w:t>Beth Israel Deaconess Medical Center</w:t>
            </w:r>
          </w:p>
        </w:tc>
        <w:tc>
          <w:tcPr>
            <w:tcW w:w="672" w:type="pct"/>
            <w:tcBorders>
              <w:top w:val="nil"/>
              <w:left w:val="nil"/>
              <w:bottom w:val="nil"/>
              <w:right w:val="nil"/>
            </w:tcBorders>
            <w:shd w:val="clear" w:color="auto" w:fill="auto"/>
            <w:noWrap/>
          </w:tcPr>
          <w:p w14:paraId="576DF54A" w14:textId="641D562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3067FE76" w14:textId="572C2A1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2099C1E5" w14:textId="60613973"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tcPr>
          <w:p w14:paraId="45B03D8A" w14:textId="6ADC500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70DFCD4" w14:textId="77777777" w:rsidTr="0090762F">
        <w:trPr>
          <w:trHeight w:val="255"/>
        </w:trPr>
        <w:tc>
          <w:tcPr>
            <w:tcW w:w="1899" w:type="pct"/>
            <w:tcBorders>
              <w:top w:val="nil"/>
              <w:left w:val="single" w:sz="4" w:space="0" w:color="auto"/>
              <w:bottom w:val="nil"/>
              <w:right w:val="single" w:sz="4" w:space="0" w:color="auto"/>
            </w:tcBorders>
            <w:shd w:val="clear" w:color="auto" w:fill="auto"/>
            <w:noWrap/>
          </w:tcPr>
          <w:p w14:paraId="49E11A76" w14:textId="675D9DCE" w:rsidR="00DD6114" w:rsidRPr="001A5D41" w:rsidRDefault="00DD6114" w:rsidP="00DD6114">
            <w:pPr>
              <w:rPr>
                <w:rFonts w:ascii="Arial" w:hAnsi="Arial" w:cs="Arial"/>
                <w:spacing w:val="0"/>
                <w:sz w:val="20"/>
              </w:rPr>
            </w:pPr>
            <w:r w:rsidRPr="001A5D41">
              <w:rPr>
                <w:rFonts w:ascii="Arial" w:hAnsi="Arial" w:cs="Arial"/>
                <w:sz w:val="20"/>
              </w:rPr>
              <w:t>Beverly Hospital</w:t>
            </w:r>
          </w:p>
        </w:tc>
        <w:tc>
          <w:tcPr>
            <w:tcW w:w="672" w:type="pct"/>
            <w:tcBorders>
              <w:top w:val="nil"/>
              <w:left w:val="nil"/>
              <w:bottom w:val="nil"/>
              <w:right w:val="nil"/>
            </w:tcBorders>
            <w:shd w:val="clear" w:color="auto" w:fill="auto"/>
            <w:noWrap/>
          </w:tcPr>
          <w:p w14:paraId="5BC1075E" w14:textId="672A5D8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tcPr>
          <w:p w14:paraId="17448D93" w14:textId="13AD9ED2"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tcPr>
          <w:p w14:paraId="3BF7ED82" w14:textId="0F85903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tcPr>
          <w:p w14:paraId="315F7B67" w14:textId="5A51CC0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C21B01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A925C3" w14:textId="615A0927" w:rsidR="00DD6114" w:rsidRPr="001A5D41" w:rsidRDefault="00DD6114" w:rsidP="00DD6114">
            <w:pPr>
              <w:rPr>
                <w:rFonts w:ascii="Arial" w:hAnsi="Arial" w:cs="Arial"/>
                <w:spacing w:val="0"/>
                <w:sz w:val="20"/>
              </w:rPr>
            </w:pPr>
            <w:r w:rsidRPr="001A5D41">
              <w:rPr>
                <w:rFonts w:ascii="Arial" w:hAnsi="Arial" w:cs="Arial"/>
                <w:sz w:val="20"/>
              </w:rPr>
              <w:t>Boston Children's Hospital</w:t>
            </w:r>
          </w:p>
        </w:tc>
        <w:tc>
          <w:tcPr>
            <w:tcW w:w="672" w:type="pct"/>
            <w:tcBorders>
              <w:top w:val="nil"/>
              <w:left w:val="nil"/>
              <w:bottom w:val="nil"/>
              <w:right w:val="nil"/>
            </w:tcBorders>
            <w:shd w:val="clear" w:color="auto" w:fill="auto"/>
            <w:noWrap/>
            <w:hideMark/>
          </w:tcPr>
          <w:p w14:paraId="2A1A6E07" w14:textId="5FF3196E"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52FBC142" w14:textId="482F10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F31DC17" w14:textId="265CD533"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6D53366" w14:textId="0ECC91A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B234632"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36E1D21" w14:textId="5AD2A8C5" w:rsidR="00DD6114" w:rsidRPr="001A5D41" w:rsidRDefault="00DD6114" w:rsidP="00DD6114">
            <w:pPr>
              <w:rPr>
                <w:rFonts w:ascii="Arial" w:hAnsi="Arial" w:cs="Arial"/>
                <w:spacing w:val="0"/>
                <w:sz w:val="20"/>
              </w:rPr>
            </w:pPr>
            <w:r w:rsidRPr="001A5D41">
              <w:rPr>
                <w:rFonts w:ascii="Arial" w:hAnsi="Arial" w:cs="Arial"/>
                <w:sz w:val="20"/>
              </w:rPr>
              <w:t>Boston Medical Center</w:t>
            </w:r>
          </w:p>
        </w:tc>
        <w:tc>
          <w:tcPr>
            <w:tcW w:w="672" w:type="pct"/>
            <w:tcBorders>
              <w:top w:val="nil"/>
              <w:left w:val="nil"/>
              <w:bottom w:val="nil"/>
              <w:right w:val="nil"/>
            </w:tcBorders>
            <w:shd w:val="clear" w:color="auto" w:fill="auto"/>
            <w:noWrap/>
            <w:hideMark/>
          </w:tcPr>
          <w:p w14:paraId="72605799" w14:textId="0C776DB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50D75E6" w14:textId="15FAECF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070F95C" w14:textId="1978B53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291AFB31" w14:textId="1A72E06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CAD0B8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34892E6" w14:textId="74786AE0" w:rsidR="00DD6114" w:rsidRPr="001A5D41" w:rsidRDefault="00DD6114" w:rsidP="00DD6114">
            <w:pPr>
              <w:rPr>
                <w:rFonts w:ascii="Arial" w:hAnsi="Arial" w:cs="Arial"/>
                <w:spacing w:val="0"/>
                <w:sz w:val="20"/>
              </w:rPr>
            </w:pPr>
            <w:r w:rsidRPr="001A5D41">
              <w:rPr>
                <w:rFonts w:ascii="Arial" w:hAnsi="Arial" w:cs="Arial"/>
                <w:sz w:val="20"/>
              </w:rPr>
              <w:t>Brigham &amp; Women's Faulkner Hospital</w:t>
            </w:r>
          </w:p>
        </w:tc>
        <w:tc>
          <w:tcPr>
            <w:tcW w:w="672" w:type="pct"/>
            <w:tcBorders>
              <w:top w:val="nil"/>
              <w:left w:val="nil"/>
              <w:bottom w:val="nil"/>
              <w:right w:val="nil"/>
            </w:tcBorders>
            <w:shd w:val="clear" w:color="auto" w:fill="auto"/>
            <w:noWrap/>
            <w:hideMark/>
          </w:tcPr>
          <w:p w14:paraId="72387E3C" w14:textId="362D201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C4FA739" w14:textId="43C4151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6CF3769" w14:textId="66993EE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68D7ACF" w14:textId="62DA59A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32AE4D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59EFF19" w14:textId="540D5EC0" w:rsidR="00DD6114" w:rsidRPr="001A5D41" w:rsidRDefault="00DD6114" w:rsidP="00DD6114">
            <w:pPr>
              <w:rPr>
                <w:rFonts w:ascii="Arial" w:hAnsi="Arial" w:cs="Arial"/>
                <w:spacing w:val="0"/>
                <w:sz w:val="20"/>
              </w:rPr>
            </w:pPr>
            <w:r w:rsidRPr="001A5D41">
              <w:rPr>
                <w:rFonts w:ascii="Arial" w:hAnsi="Arial" w:cs="Arial"/>
                <w:sz w:val="20"/>
              </w:rPr>
              <w:t>Brigham &amp; Women's Hospital</w:t>
            </w:r>
          </w:p>
        </w:tc>
        <w:tc>
          <w:tcPr>
            <w:tcW w:w="672" w:type="pct"/>
            <w:tcBorders>
              <w:top w:val="nil"/>
              <w:left w:val="nil"/>
              <w:bottom w:val="nil"/>
              <w:right w:val="nil"/>
            </w:tcBorders>
            <w:shd w:val="clear" w:color="auto" w:fill="auto"/>
            <w:noWrap/>
            <w:hideMark/>
          </w:tcPr>
          <w:p w14:paraId="2FAD3481" w14:textId="2CC35B7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2C40B36" w14:textId="2C2CC7D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5EEE1FE" w14:textId="5B5B8FF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4860C323" w14:textId="5C834173"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9D6770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F99DEC0" w14:textId="29EB738D" w:rsidR="00DD6114" w:rsidRPr="001A5D41" w:rsidRDefault="00DD6114" w:rsidP="00DD6114">
            <w:pPr>
              <w:rPr>
                <w:rFonts w:ascii="Arial" w:hAnsi="Arial" w:cs="Arial"/>
                <w:spacing w:val="0"/>
                <w:sz w:val="20"/>
              </w:rPr>
            </w:pPr>
            <w:r w:rsidRPr="001A5D41">
              <w:rPr>
                <w:rFonts w:ascii="Arial" w:hAnsi="Arial" w:cs="Arial"/>
                <w:sz w:val="20"/>
              </w:rPr>
              <w:t>Cambridge Health Alliance</w:t>
            </w:r>
          </w:p>
        </w:tc>
        <w:tc>
          <w:tcPr>
            <w:tcW w:w="672" w:type="pct"/>
            <w:tcBorders>
              <w:top w:val="nil"/>
              <w:left w:val="nil"/>
              <w:bottom w:val="nil"/>
              <w:right w:val="nil"/>
            </w:tcBorders>
            <w:shd w:val="clear" w:color="auto" w:fill="auto"/>
            <w:noWrap/>
            <w:hideMark/>
          </w:tcPr>
          <w:p w14:paraId="2D035301" w14:textId="76BC57B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3940C60" w14:textId="482223E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1ABB5DD" w14:textId="25E8C8A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36CA3D9" w14:textId="504CF16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0393E6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3A10E0D" w14:textId="07744AC8" w:rsidR="00DD6114" w:rsidRPr="001A5D41" w:rsidRDefault="00DD6114" w:rsidP="00DD6114">
            <w:pPr>
              <w:rPr>
                <w:rFonts w:ascii="Arial" w:hAnsi="Arial" w:cs="Arial"/>
                <w:spacing w:val="0"/>
                <w:sz w:val="20"/>
              </w:rPr>
            </w:pPr>
            <w:r w:rsidRPr="001A5D41">
              <w:rPr>
                <w:rFonts w:ascii="Arial" w:hAnsi="Arial" w:cs="Arial"/>
                <w:sz w:val="20"/>
              </w:rPr>
              <w:t>Cape Cod Hospital</w:t>
            </w:r>
          </w:p>
        </w:tc>
        <w:tc>
          <w:tcPr>
            <w:tcW w:w="672" w:type="pct"/>
            <w:tcBorders>
              <w:top w:val="nil"/>
              <w:left w:val="nil"/>
              <w:bottom w:val="nil"/>
              <w:right w:val="nil"/>
            </w:tcBorders>
            <w:shd w:val="clear" w:color="auto" w:fill="auto"/>
            <w:noWrap/>
            <w:hideMark/>
          </w:tcPr>
          <w:p w14:paraId="44A4DFB7" w14:textId="7B9C038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42744E7" w14:textId="7FA5C4C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18B0817" w14:textId="2420BF1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DC240B4" w14:textId="7B1D1B3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9C374E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F1B45B0" w14:textId="379ABC17" w:rsidR="00DD6114" w:rsidRPr="001A5D41" w:rsidRDefault="00DD6114" w:rsidP="00DD6114">
            <w:pPr>
              <w:rPr>
                <w:rFonts w:ascii="Arial" w:hAnsi="Arial" w:cs="Arial"/>
                <w:spacing w:val="0"/>
                <w:sz w:val="20"/>
              </w:rPr>
            </w:pPr>
            <w:r w:rsidRPr="001A5D41">
              <w:rPr>
                <w:rFonts w:ascii="Arial" w:hAnsi="Arial" w:cs="Arial"/>
                <w:sz w:val="20"/>
              </w:rPr>
              <w:t>Carney Hospital</w:t>
            </w:r>
          </w:p>
        </w:tc>
        <w:tc>
          <w:tcPr>
            <w:tcW w:w="672" w:type="pct"/>
            <w:tcBorders>
              <w:top w:val="nil"/>
              <w:left w:val="nil"/>
              <w:bottom w:val="nil"/>
              <w:right w:val="nil"/>
            </w:tcBorders>
            <w:shd w:val="clear" w:color="auto" w:fill="auto"/>
            <w:noWrap/>
            <w:hideMark/>
          </w:tcPr>
          <w:p w14:paraId="644D5617" w14:textId="5CB5D2B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5EC9271" w14:textId="4033F3B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FBAA39C" w14:textId="1834C3C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623781C" w14:textId="4D6E178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C91B2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A67CA1C" w14:textId="00899645" w:rsidR="00DD6114" w:rsidRPr="001A5D41" w:rsidRDefault="00DD6114" w:rsidP="00DD6114">
            <w:pPr>
              <w:rPr>
                <w:rFonts w:ascii="Arial" w:hAnsi="Arial" w:cs="Arial"/>
                <w:spacing w:val="0"/>
                <w:sz w:val="20"/>
              </w:rPr>
            </w:pPr>
            <w:r w:rsidRPr="001A5D41">
              <w:rPr>
                <w:rFonts w:ascii="Arial" w:hAnsi="Arial" w:cs="Arial"/>
                <w:sz w:val="20"/>
              </w:rPr>
              <w:t>Cooley Dickinson Hospital</w:t>
            </w:r>
          </w:p>
        </w:tc>
        <w:tc>
          <w:tcPr>
            <w:tcW w:w="672" w:type="pct"/>
            <w:tcBorders>
              <w:top w:val="nil"/>
              <w:left w:val="nil"/>
              <w:bottom w:val="nil"/>
              <w:right w:val="nil"/>
            </w:tcBorders>
            <w:shd w:val="clear" w:color="auto" w:fill="auto"/>
            <w:noWrap/>
            <w:hideMark/>
          </w:tcPr>
          <w:p w14:paraId="4AC15D00" w14:textId="3BEC62CE"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719B81E" w14:textId="2699250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0B93F0D" w14:textId="795F565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DB49BC8" w14:textId="0CD5E9E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BC5B08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22281CD" w14:textId="452ECBC9" w:rsidR="00DD6114" w:rsidRPr="001A5D41" w:rsidRDefault="00DD6114" w:rsidP="00DD6114">
            <w:pPr>
              <w:rPr>
                <w:rFonts w:ascii="Arial" w:hAnsi="Arial" w:cs="Arial"/>
                <w:spacing w:val="0"/>
                <w:sz w:val="20"/>
              </w:rPr>
            </w:pPr>
            <w:r w:rsidRPr="001A5D41">
              <w:rPr>
                <w:rFonts w:ascii="Arial" w:hAnsi="Arial" w:cs="Arial"/>
                <w:sz w:val="20"/>
              </w:rPr>
              <w:t>Dana Farber Cancer Institute</w:t>
            </w:r>
          </w:p>
        </w:tc>
        <w:tc>
          <w:tcPr>
            <w:tcW w:w="672" w:type="pct"/>
            <w:tcBorders>
              <w:top w:val="nil"/>
              <w:left w:val="nil"/>
              <w:bottom w:val="nil"/>
              <w:right w:val="nil"/>
            </w:tcBorders>
            <w:shd w:val="clear" w:color="auto" w:fill="auto"/>
            <w:noWrap/>
            <w:hideMark/>
          </w:tcPr>
          <w:p w14:paraId="10DA73E3" w14:textId="73B1425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79C79D9" w14:textId="1D26804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8FB3E04" w14:textId="3DED8D6C"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9870489" w14:textId="76D0ED1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343CF5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A11B35D" w14:textId="2C8F8C19" w:rsidR="00DD6114" w:rsidRPr="001A5D41" w:rsidRDefault="00DD6114" w:rsidP="00DD6114">
            <w:pPr>
              <w:rPr>
                <w:rFonts w:ascii="Arial" w:hAnsi="Arial" w:cs="Arial"/>
                <w:spacing w:val="0"/>
                <w:sz w:val="20"/>
              </w:rPr>
            </w:pPr>
            <w:r w:rsidRPr="001A5D41">
              <w:rPr>
                <w:rFonts w:ascii="Arial" w:hAnsi="Arial" w:cs="Arial"/>
                <w:sz w:val="20"/>
              </w:rPr>
              <w:t>Emerson Hospital</w:t>
            </w:r>
          </w:p>
        </w:tc>
        <w:tc>
          <w:tcPr>
            <w:tcW w:w="672" w:type="pct"/>
            <w:tcBorders>
              <w:top w:val="nil"/>
              <w:left w:val="nil"/>
              <w:bottom w:val="nil"/>
              <w:right w:val="nil"/>
            </w:tcBorders>
            <w:shd w:val="clear" w:color="auto" w:fill="auto"/>
            <w:noWrap/>
            <w:hideMark/>
          </w:tcPr>
          <w:p w14:paraId="341AB08E" w14:textId="547CB0A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F41325" w14:textId="5B7D3EA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48F714B" w14:textId="3092B86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DFA3804" w14:textId="6D72C89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AF65AE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B7606F0" w14:textId="4D5A8723" w:rsidR="00DD6114" w:rsidRPr="001A5D41" w:rsidRDefault="00DD6114" w:rsidP="00DD6114">
            <w:pPr>
              <w:rPr>
                <w:rFonts w:ascii="Arial" w:hAnsi="Arial" w:cs="Arial"/>
                <w:spacing w:val="0"/>
                <w:sz w:val="20"/>
              </w:rPr>
            </w:pPr>
            <w:r w:rsidRPr="001A5D41">
              <w:rPr>
                <w:rFonts w:ascii="Arial" w:hAnsi="Arial" w:cs="Arial"/>
                <w:sz w:val="20"/>
              </w:rPr>
              <w:t>Falmouth Hospital</w:t>
            </w:r>
          </w:p>
        </w:tc>
        <w:tc>
          <w:tcPr>
            <w:tcW w:w="672" w:type="pct"/>
            <w:tcBorders>
              <w:top w:val="nil"/>
              <w:left w:val="nil"/>
              <w:bottom w:val="nil"/>
              <w:right w:val="nil"/>
            </w:tcBorders>
            <w:shd w:val="clear" w:color="auto" w:fill="auto"/>
            <w:noWrap/>
            <w:hideMark/>
          </w:tcPr>
          <w:p w14:paraId="19F4DFDC" w14:textId="309D583C"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23CB703" w14:textId="2ADCF04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E45E1DA" w14:textId="453A022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69F65A62" w14:textId="47BB57C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9EAE72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80A7968" w14:textId="6AC4931A" w:rsidR="00DD6114" w:rsidRPr="001A5D41" w:rsidRDefault="00DD6114" w:rsidP="00DD6114">
            <w:pPr>
              <w:rPr>
                <w:rFonts w:ascii="Arial" w:hAnsi="Arial" w:cs="Arial"/>
                <w:spacing w:val="0"/>
                <w:sz w:val="20"/>
              </w:rPr>
            </w:pPr>
            <w:r w:rsidRPr="001A5D41">
              <w:rPr>
                <w:rFonts w:ascii="Arial" w:hAnsi="Arial" w:cs="Arial"/>
                <w:sz w:val="20"/>
              </w:rPr>
              <w:t>Good Samaritan Hospital</w:t>
            </w:r>
          </w:p>
        </w:tc>
        <w:tc>
          <w:tcPr>
            <w:tcW w:w="672" w:type="pct"/>
            <w:tcBorders>
              <w:top w:val="nil"/>
              <w:left w:val="nil"/>
              <w:bottom w:val="nil"/>
              <w:right w:val="nil"/>
            </w:tcBorders>
            <w:shd w:val="clear" w:color="auto" w:fill="auto"/>
            <w:noWrap/>
            <w:hideMark/>
          </w:tcPr>
          <w:p w14:paraId="54E05FAD" w14:textId="45E3160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EC341F8" w14:textId="11CACE32"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3C6A3EE" w14:textId="55E7A6A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68BBD52" w14:textId="1209B0D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85D6A8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3B2A061" w14:textId="106AF8FE" w:rsidR="00DD6114" w:rsidRPr="001A5D41" w:rsidRDefault="00DD6114" w:rsidP="00DD6114">
            <w:pPr>
              <w:rPr>
                <w:rFonts w:ascii="Arial" w:hAnsi="Arial" w:cs="Arial"/>
                <w:spacing w:val="0"/>
                <w:sz w:val="20"/>
              </w:rPr>
            </w:pPr>
            <w:r w:rsidRPr="001A5D41">
              <w:rPr>
                <w:rFonts w:ascii="Arial" w:hAnsi="Arial" w:cs="Arial"/>
                <w:sz w:val="20"/>
              </w:rPr>
              <w:t>Hallmark Health Systems</w:t>
            </w:r>
          </w:p>
        </w:tc>
        <w:tc>
          <w:tcPr>
            <w:tcW w:w="672" w:type="pct"/>
            <w:tcBorders>
              <w:top w:val="nil"/>
              <w:left w:val="nil"/>
              <w:bottom w:val="nil"/>
              <w:right w:val="nil"/>
            </w:tcBorders>
            <w:shd w:val="clear" w:color="auto" w:fill="auto"/>
            <w:noWrap/>
            <w:hideMark/>
          </w:tcPr>
          <w:p w14:paraId="06BF8195" w14:textId="1CB7CEE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BDAEA85" w14:textId="02CD662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863F5C4" w14:textId="40C18AF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DD82703" w14:textId="6A6253D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C299A3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2CC2E49" w14:textId="69ACD16A" w:rsidR="00DD6114" w:rsidRPr="001A5D41" w:rsidRDefault="00DD6114" w:rsidP="00DD6114">
            <w:pPr>
              <w:rPr>
                <w:rFonts w:ascii="Arial" w:hAnsi="Arial" w:cs="Arial"/>
                <w:spacing w:val="0"/>
                <w:sz w:val="20"/>
              </w:rPr>
            </w:pPr>
            <w:r w:rsidRPr="001A5D41">
              <w:rPr>
                <w:rFonts w:ascii="Arial" w:hAnsi="Arial" w:cs="Arial"/>
                <w:sz w:val="20"/>
              </w:rPr>
              <w:t>Harrington Memorial Hospital</w:t>
            </w:r>
          </w:p>
        </w:tc>
        <w:tc>
          <w:tcPr>
            <w:tcW w:w="672" w:type="pct"/>
            <w:tcBorders>
              <w:top w:val="nil"/>
              <w:left w:val="nil"/>
              <w:bottom w:val="nil"/>
              <w:right w:val="nil"/>
            </w:tcBorders>
            <w:shd w:val="clear" w:color="auto" w:fill="auto"/>
            <w:noWrap/>
            <w:hideMark/>
          </w:tcPr>
          <w:p w14:paraId="5E186263" w14:textId="260C0BD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8834ED2" w14:textId="0CB38E10"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073CCD9" w14:textId="262EF1AC"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5864C4A" w14:textId="21F7E56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27EEC3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30DCF99" w14:textId="3721C4FD" w:rsidR="00DD6114" w:rsidRPr="001A5D41" w:rsidRDefault="00DD6114" w:rsidP="00DD6114">
            <w:pPr>
              <w:rPr>
                <w:rFonts w:ascii="Arial" w:hAnsi="Arial" w:cs="Arial"/>
                <w:spacing w:val="0"/>
                <w:sz w:val="20"/>
              </w:rPr>
            </w:pPr>
            <w:r w:rsidRPr="001A5D41">
              <w:rPr>
                <w:rFonts w:ascii="Arial" w:hAnsi="Arial" w:cs="Arial"/>
                <w:sz w:val="20"/>
              </w:rPr>
              <w:t>Heywood Hospital</w:t>
            </w:r>
          </w:p>
        </w:tc>
        <w:tc>
          <w:tcPr>
            <w:tcW w:w="672" w:type="pct"/>
            <w:tcBorders>
              <w:top w:val="nil"/>
              <w:left w:val="nil"/>
              <w:bottom w:val="nil"/>
              <w:right w:val="nil"/>
            </w:tcBorders>
            <w:shd w:val="clear" w:color="auto" w:fill="auto"/>
            <w:noWrap/>
            <w:hideMark/>
          </w:tcPr>
          <w:p w14:paraId="73E21372" w14:textId="05D1C36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310E7C9" w14:textId="748B32D3"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A98EF18" w14:textId="2D33897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8196D32" w14:textId="6FDD0C9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A5E577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A388D50" w14:textId="74E67EE8" w:rsidR="00DD6114" w:rsidRPr="001A5D41" w:rsidRDefault="00DD6114" w:rsidP="00DD6114">
            <w:pPr>
              <w:rPr>
                <w:rFonts w:ascii="Arial" w:hAnsi="Arial" w:cs="Arial"/>
                <w:spacing w:val="0"/>
                <w:sz w:val="20"/>
              </w:rPr>
            </w:pPr>
            <w:r w:rsidRPr="001A5D41">
              <w:rPr>
                <w:rFonts w:ascii="Arial" w:hAnsi="Arial" w:cs="Arial"/>
                <w:sz w:val="20"/>
              </w:rPr>
              <w:t>Holy Family Hospital</w:t>
            </w:r>
          </w:p>
        </w:tc>
        <w:tc>
          <w:tcPr>
            <w:tcW w:w="672" w:type="pct"/>
            <w:tcBorders>
              <w:top w:val="nil"/>
              <w:left w:val="nil"/>
              <w:bottom w:val="nil"/>
              <w:right w:val="nil"/>
            </w:tcBorders>
            <w:shd w:val="clear" w:color="auto" w:fill="auto"/>
            <w:noWrap/>
            <w:hideMark/>
          </w:tcPr>
          <w:p w14:paraId="26920AA9" w14:textId="4E9E3BF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BAFABA4" w14:textId="6C56453A"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D589FE6" w14:textId="651432CD"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BFB14EB" w14:textId="05A037C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291412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04E066A" w14:textId="083A4CAD" w:rsidR="00DD6114" w:rsidRPr="001A5D41" w:rsidRDefault="00DD6114" w:rsidP="00DD6114">
            <w:pPr>
              <w:rPr>
                <w:rFonts w:ascii="Arial" w:hAnsi="Arial" w:cs="Arial"/>
                <w:spacing w:val="0"/>
                <w:sz w:val="20"/>
              </w:rPr>
            </w:pPr>
            <w:r w:rsidRPr="001A5D41">
              <w:rPr>
                <w:rFonts w:ascii="Arial" w:hAnsi="Arial" w:cs="Arial"/>
                <w:sz w:val="20"/>
              </w:rPr>
              <w:t>Holyoke Medical Center</w:t>
            </w:r>
          </w:p>
        </w:tc>
        <w:tc>
          <w:tcPr>
            <w:tcW w:w="672" w:type="pct"/>
            <w:tcBorders>
              <w:top w:val="nil"/>
              <w:left w:val="nil"/>
              <w:bottom w:val="nil"/>
              <w:right w:val="nil"/>
            </w:tcBorders>
            <w:shd w:val="clear" w:color="auto" w:fill="auto"/>
            <w:noWrap/>
            <w:hideMark/>
          </w:tcPr>
          <w:p w14:paraId="4C58BAFE" w14:textId="71BB9DD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30A7BBE" w14:textId="0950EDD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439E53D" w14:textId="2C88934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C1C3E5C" w14:textId="7F394C7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7961748"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97DB7E7" w14:textId="6A04D3D4" w:rsidR="00DD6114" w:rsidRPr="001A5D41" w:rsidRDefault="00DD6114" w:rsidP="00DD6114">
            <w:pPr>
              <w:rPr>
                <w:rFonts w:ascii="Arial" w:hAnsi="Arial" w:cs="Arial"/>
                <w:spacing w:val="0"/>
                <w:sz w:val="20"/>
              </w:rPr>
            </w:pPr>
            <w:r w:rsidRPr="001A5D41">
              <w:rPr>
                <w:rFonts w:ascii="Arial" w:hAnsi="Arial" w:cs="Arial"/>
                <w:sz w:val="20"/>
              </w:rPr>
              <w:t>Lahey Hospital &amp; Medical Center</w:t>
            </w:r>
          </w:p>
        </w:tc>
        <w:tc>
          <w:tcPr>
            <w:tcW w:w="672" w:type="pct"/>
            <w:tcBorders>
              <w:top w:val="nil"/>
              <w:left w:val="nil"/>
              <w:bottom w:val="nil"/>
              <w:right w:val="nil"/>
            </w:tcBorders>
            <w:shd w:val="clear" w:color="auto" w:fill="auto"/>
            <w:noWrap/>
            <w:hideMark/>
          </w:tcPr>
          <w:p w14:paraId="67051C57" w14:textId="51F0F48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A1D2686" w14:textId="3B4FAC7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B5BB241" w14:textId="648121F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67D23DB4" w14:textId="64DEC55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55291C4"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407E66C" w14:textId="56AF39FA" w:rsidR="00DD6114" w:rsidRPr="001A5D41" w:rsidRDefault="00DD6114" w:rsidP="00DD6114">
            <w:pPr>
              <w:rPr>
                <w:rFonts w:ascii="Arial" w:hAnsi="Arial" w:cs="Arial"/>
                <w:spacing w:val="0"/>
                <w:sz w:val="20"/>
              </w:rPr>
            </w:pPr>
            <w:r w:rsidRPr="001A5D41">
              <w:rPr>
                <w:rFonts w:ascii="Arial" w:hAnsi="Arial" w:cs="Arial"/>
                <w:sz w:val="20"/>
              </w:rPr>
              <w:t>Lawrence General Hospital</w:t>
            </w:r>
          </w:p>
        </w:tc>
        <w:tc>
          <w:tcPr>
            <w:tcW w:w="672" w:type="pct"/>
            <w:tcBorders>
              <w:top w:val="nil"/>
              <w:left w:val="nil"/>
              <w:bottom w:val="nil"/>
              <w:right w:val="nil"/>
            </w:tcBorders>
            <w:shd w:val="clear" w:color="auto" w:fill="auto"/>
            <w:noWrap/>
            <w:hideMark/>
          </w:tcPr>
          <w:p w14:paraId="5E1F78BA" w14:textId="4DC7DBB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86759F3" w14:textId="17F4FDA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FF2AC13" w14:textId="0E22CE6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0BC024DB" w14:textId="12DF44F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651E50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BAEEC7D" w14:textId="69014A09" w:rsidR="00DD6114" w:rsidRPr="001A5D41" w:rsidRDefault="00DD6114" w:rsidP="00DD6114">
            <w:pPr>
              <w:rPr>
                <w:rFonts w:ascii="Arial" w:hAnsi="Arial" w:cs="Arial"/>
                <w:spacing w:val="0"/>
                <w:sz w:val="20"/>
              </w:rPr>
            </w:pPr>
            <w:r w:rsidRPr="001A5D41">
              <w:rPr>
                <w:rFonts w:ascii="Arial" w:hAnsi="Arial" w:cs="Arial"/>
                <w:sz w:val="20"/>
              </w:rPr>
              <w:t>Lowell General Hospital</w:t>
            </w:r>
          </w:p>
        </w:tc>
        <w:tc>
          <w:tcPr>
            <w:tcW w:w="672" w:type="pct"/>
            <w:tcBorders>
              <w:top w:val="nil"/>
              <w:left w:val="nil"/>
              <w:bottom w:val="nil"/>
              <w:right w:val="nil"/>
            </w:tcBorders>
            <w:shd w:val="clear" w:color="auto" w:fill="auto"/>
            <w:noWrap/>
            <w:hideMark/>
          </w:tcPr>
          <w:p w14:paraId="70B33A8B" w14:textId="60A9678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6D9DD1C" w14:textId="20D56CE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F044355" w14:textId="1BD1D952"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3197C449" w14:textId="5501C8C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972BEC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CC4CCF" w14:textId="2C2D82C2" w:rsidR="00DD6114" w:rsidRPr="001A5D41" w:rsidRDefault="00DD6114" w:rsidP="00DD6114">
            <w:pPr>
              <w:rPr>
                <w:rFonts w:ascii="Arial" w:hAnsi="Arial" w:cs="Arial"/>
                <w:spacing w:val="0"/>
                <w:sz w:val="20"/>
              </w:rPr>
            </w:pPr>
            <w:r w:rsidRPr="001A5D41">
              <w:rPr>
                <w:rFonts w:ascii="Arial" w:hAnsi="Arial" w:cs="Arial"/>
                <w:sz w:val="20"/>
              </w:rPr>
              <w:t>Massachusetts Eye &amp; Ear Infirmary</w:t>
            </w:r>
          </w:p>
        </w:tc>
        <w:tc>
          <w:tcPr>
            <w:tcW w:w="672" w:type="pct"/>
            <w:tcBorders>
              <w:top w:val="nil"/>
              <w:left w:val="nil"/>
              <w:bottom w:val="nil"/>
              <w:right w:val="nil"/>
            </w:tcBorders>
            <w:shd w:val="clear" w:color="auto" w:fill="auto"/>
            <w:noWrap/>
            <w:hideMark/>
          </w:tcPr>
          <w:p w14:paraId="6EAB6010" w14:textId="738D3C9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F912EDD" w14:textId="15B1DF6A"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BFA13D" w14:textId="7233BCB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3599698B" w14:textId="1D569490"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B3AC13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20EBF5A" w14:textId="79A07CA1" w:rsidR="00DD6114" w:rsidRPr="001A5D41" w:rsidRDefault="00DD6114" w:rsidP="00DD6114">
            <w:pPr>
              <w:rPr>
                <w:rFonts w:ascii="Arial" w:hAnsi="Arial" w:cs="Arial"/>
                <w:spacing w:val="0"/>
                <w:sz w:val="20"/>
              </w:rPr>
            </w:pPr>
            <w:r w:rsidRPr="001A5D41">
              <w:rPr>
                <w:rFonts w:ascii="Arial" w:hAnsi="Arial" w:cs="Arial"/>
                <w:sz w:val="20"/>
              </w:rPr>
              <w:t>Massachusetts General Hospital</w:t>
            </w:r>
          </w:p>
        </w:tc>
        <w:tc>
          <w:tcPr>
            <w:tcW w:w="672" w:type="pct"/>
            <w:tcBorders>
              <w:top w:val="nil"/>
              <w:left w:val="nil"/>
              <w:bottom w:val="nil"/>
              <w:right w:val="nil"/>
            </w:tcBorders>
            <w:shd w:val="clear" w:color="auto" w:fill="auto"/>
            <w:noWrap/>
            <w:hideMark/>
          </w:tcPr>
          <w:p w14:paraId="2ACFA35B" w14:textId="6E9AA83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ABAB4B8" w14:textId="738CCC3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7B3EECD" w14:textId="1A8F2E2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CDD2754" w14:textId="1757756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8FC322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812626C" w14:textId="76BDED64" w:rsidR="00DD6114" w:rsidRPr="001A5D41" w:rsidRDefault="00DD6114" w:rsidP="00DD6114">
            <w:pPr>
              <w:rPr>
                <w:rFonts w:ascii="Arial" w:hAnsi="Arial" w:cs="Arial"/>
                <w:spacing w:val="0"/>
                <w:sz w:val="20"/>
              </w:rPr>
            </w:pPr>
            <w:r w:rsidRPr="001A5D41">
              <w:rPr>
                <w:rFonts w:ascii="Arial" w:hAnsi="Arial" w:cs="Arial"/>
                <w:sz w:val="20"/>
              </w:rPr>
              <w:t>Mercy Hospital</w:t>
            </w:r>
          </w:p>
        </w:tc>
        <w:tc>
          <w:tcPr>
            <w:tcW w:w="672" w:type="pct"/>
            <w:tcBorders>
              <w:top w:val="nil"/>
              <w:left w:val="nil"/>
              <w:bottom w:val="nil"/>
              <w:right w:val="nil"/>
            </w:tcBorders>
            <w:shd w:val="clear" w:color="auto" w:fill="auto"/>
            <w:noWrap/>
            <w:hideMark/>
          </w:tcPr>
          <w:p w14:paraId="6456991B" w14:textId="5414931F"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93C92C6" w14:textId="6B36622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3D79A55" w14:textId="1B0B3EC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1489802" w14:textId="113415ED"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4B91F8E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E1C1F09" w14:textId="6316655B" w:rsidR="00DD6114" w:rsidRPr="001A5D41" w:rsidRDefault="00DD6114" w:rsidP="00DD6114">
            <w:pPr>
              <w:rPr>
                <w:rFonts w:ascii="Arial" w:hAnsi="Arial" w:cs="Arial"/>
                <w:spacing w:val="0"/>
                <w:sz w:val="20"/>
              </w:rPr>
            </w:pPr>
            <w:r w:rsidRPr="001A5D41">
              <w:rPr>
                <w:rFonts w:ascii="Arial" w:hAnsi="Arial" w:cs="Arial"/>
                <w:sz w:val="20"/>
              </w:rPr>
              <w:t>MetroWest Medical Center</w:t>
            </w:r>
          </w:p>
        </w:tc>
        <w:tc>
          <w:tcPr>
            <w:tcW w:w="672" w:type="pct"/>
            <w:tcBorders>
              <w:top w:val="nil"/>
              <w:left w:val="nil"/>
              <w:bottom w:val="nil"/>
              <w:right w:val="nil"/>
            </w:tcBorders>
            <w:shd w:val="clear" w:color="auto" w:fill="auto"/>
            <w:noWrap/>
            <w:hideMark/>
          </w:tcPr>
          <w:p w14:paraId="47DF908F" w14:textId="45F99CC5"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6B99431" w14:textId="61777E4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876F842" w14:textId="5996716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71F01BA" w14:textId="63A15B6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1E9CBA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A05FEC5" w14:textId="125CA23B" w:rsidR="00DD6114" w:rsidRPr="001A5D41" w:rsidRDefault="00DD6114" w:rsidP="00DD6114">
            <w:pPr>
              <w:rPr>
                <w:rFonts w:ascii="Arial" w:hAnsi="Arial" w:cs="Arial"/>
                <w:spacing w:val="0"/>
                <w:sz w:val="20"/>
              </w:rPr>
            </w:pPr>
            <w:r w:rsidRPr="001A5D41">
              <w:rPr>
                <w:rFonts w:ascii="Arial" w:hAnsi="Arial" w:cs="Arial"/>
                <w:sz w:val="20"/>
              </w:rPr>
              <w:lastRenderedPageBreak/>
              <w:t>Milford Regional Medical Center</w:t>
            </w:r>
          </w:p>
        </w:tc>
        <w:tc>
          <w:tcPr>
            <w:tcW w:w="672" w:type="pct"/>
            <w:tcBorders>
              <w:top w:val="nil"/>
              <w:left w:val="nil"/>
              <w:bottom w:val="nil"/>
              <w:right w:val="nil"/>
            </w:tcBorders>
            <w:shd w:val="clear" w:color="auto" w:fill="auto"/>
            <w:noWrap/>
            <w:hideMark/>
          </w:tcPr>
          <w:p w14:paraId="130BB166" w14:textId="5654A2F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2A143C3" w14:textId="02C5489D"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B16209" w14:textId="64DBB74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c>
          <w:tcPr>
            <w:tcW w:w="872" w:type="pct"/>
            <w:tcBorders>
              <w:top w:val="nil"/>
              <w:left w:val="nil"/>
              <w:bottom w:val="nil"/>
              <w:right w:val="single" w:sz="4" w:space="0" w:color="auto"/>
            </w:tcBorders>
            <w:shd w:val="clear" w:color="auto" w:fill="auto"/>
            <w:noWrap/>
            <w:hideMark/>
          </w:tcPr>
          <w:p w14:paraId="130AD714" w14:textId="60B93AE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8437B7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1364752" w14:textId="50C890D5" w:rsidR="00DD6114" w:rsidRPr="001A5D41" w:rsidRDefault="00DD6114" w:rsidP="00DD6114">
            <w:pPr>
              <w:rPr>
                <w:rFonts w:ascii="Arial" w:hAnsi="Arial" w:cs="Arial"/>
                <w:spacing w:val="0"/>
                <w:sz w:val="20"/>
              </w:rPr>
            </w:pPr>
            <w:r w:rsidRPr="001A5D41">
              <w:rPr>
                <w:rFonts w:ascii="Arial" w:hAnsi="Arial" w:cs="Arial"/>
                <w:sz w:val="20"/>
              </w:rPr>
              <w:t>Morton Hospital and Medical Center</w:t>
            </w:r>
          </w:p>
        </w:tc>
        <w:tc>
          <w:tcPr>
            <w:tcW w:w="672" w:type="pct"/>
            <w:tcBorders>
              <w:top w:val="nil"/>
              <w:left w:val="nil"/>
              <w:bottom w:val="nil"/>
              <w:right w:val="nil"/>
            </w:tcBorders>
            <w:shd w:val="clear" w:color="auto" w:fill="auto"/>
            <w:noWrap/>
            <w:hideMark/>
          </w:tcPr>
          <w:p w14:paraId="3A5AC81E" w14:textId="2118F8A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7BBEAA2" w14:textId="6454C05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0F252A7D" w14:textId="7C725ED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FDBA486" w14:textId="05DA4F53"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DF148B7"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FE4C625" w14:textId="11C6FB58" w:rsidR="00DD6114" w:rsidRPr="001A5D41" w:rsidRDefault="00DD6114" w:rsidP="00DD6114">
            <w:pPr>
              <w:rPr>
                <w:rFonts w:ascii="Arial" w:hAnsi="Arial" w:cs="Arial"/>
                <w:spacing w:val="0"/>
                <w:sz w:val="20"/>
              </w:rPr>
            </w:pPr>
            <w:r w:rsidRPr="001A5D41">
              <w:rPr>
                <w:rFonts w:ascii="Arial" w:hAnsi="Arial" w:cs="Arial"/>
                <w:sz w:val="20"/>
              </w:rPr>
              <w:t>Mount Auburn Hospital</w:t>
            </w:r>
          </w:p>
        </w:tc>
        <w:tc>
          <w:tcPr>
            <w:tcW w:w="672" w:type="pct"/>
            <w:tcBorders>
              <w:top w:val="nil"/>
              <w:left w:val="nil"/>
              <w:bottom w:val="nil"/>
              <w:right w:val="nil"/>
            </w:tcBorders>
            <w:shd w:val="clear" w:color="auto" w:fill="auto"/>
            <w:noWrap/>
            <w:hideMark/>
          </w:tcPr>
          <w:p w14:paraId="66925693" w14:textId="64DD488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7103D24" w14:textId="2ACDB0B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65064B98" w14:textId="2F4D4F8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D8EE4EE" w14:textId="130F521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B4AF78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C7F6E8C" w14:textId="6CC17115" w:rsidR="00DD6114" w:rsidRPr="001A5D41" w:rsidRDefault="00DD6114" w:rsidP="00DD6114">
            <w:pPr>
              <w:rPr>
                <w:rFonts w:ascii="Arial" w:hAnsi="Arial" w:cs="Arial"/>
                <w:spacing w:val="0"/>
                <w:sz w:val="20"/>
              </w:rPr>
            </w:pPr>
            <w:r w:rsidRPr="001A5D41">
              <w:rPr>
                <w:rFonts w:ascii="Arial" w:hAnsi="Arial" w:cs="Arial"/>
                <w:sz w:val="20"/>
              </w:rPr>
              <w:t>Nantucket Cottage Hospital</w:t>
            </w:r>
          </w:p>
        </w:tc>
        <w:tc>
          <w:tcPr>
            <w:tcW w:w="672" w:type="pct"/>
            <w:tcBorders>
              <w:top w:val="nil"/>
              <w:left w:val="nil"/>
              <w:bottom w:val="nil"/>
              <w:right w:val="nil"/>
            </w:tcBorders>
            <w:shd w:val="clear" w:color="auto" w:fill="auto"/>
            <w:noWrap/>
            <w:hideMark/>
          </w:tcPr>
          <w:p w14:paraId="5FC0B112" w14:textId="3B66D95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55F2ED" w14:textId="41E539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25563CF" w14:textId="491B2C8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60E2E3D3" w14:textId="3567B0BD"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6580D351"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0606189C" w14:textId="58C5A7E7" w:rsidR="00DD6114" w:rsidRPr="001A5D41" w:rsidRDefault="00DD6114" w:rsidP="00DD6114">
            <w:pPr>
              <w:rPr>
                <w:rFonts w:ascii="Arial" w:hAnsi="Arial" w:cs="Arial"/>
                <w:spacing w:val="0"/>
                <w:sz w:val="20"/>
              </w:rPr>
            </w:pPr>
            <w:r w:rsidRPr="001A5D41">
              <w:rPr>
                <w:rFonts w:ascii="Arial" w:hAnsi="Arial" w:cs="Arial"/>
                <w:sz w:val="20"/>
              </w:rPr>
              <w:t>Nashoba Valley Medical Center</w:t>
            </w:r>
          </w:p>
        </w:tc>
        <w:tc>
          <w:tcPr>
            <w:tcW w:w="672" w:type="pct"/>
            <w:tcBorders>
              <w:top w:val="nil"/>
              <w:left w:val="nil"/>
              <w:bottom w:val="nil"/>
              <w:right w:val="nil"/>
            </w:tcBorders>
            <w:shd w:val="clear" w:color="auto" w:fill="auto"/>
            <w:noWrap/>
            <w:hideMark/>
          </w:tcPr>
          <w:p w14:paraId="32EADF2E" w14:textId="61FEA04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780BEA0" w14:textId="37229CC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11DF4F1" w14:textId="6908714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154A7BEC" w14:textId="7A3393D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F4B14E8"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A37A850" w14:textId="3E7C2A6F" w:rsidR="00DD6114" w:rsidRPr="001A5D41" w:rsidRDefault="00DD6114" w:rsidP="00DD6114">
            <w:pPr>
              <w:rPr>
                <w:rFonts w:ascii="Arial" w:hAnsi="Arial" w:cs="Arial"/>
                <w:spacing w:val="0"/>
                <w:sz w:val="20"/>
              </w:rPr>
            </w:pPr>
            <w:r w:rsidRPr="001A5D41">
              <w:rPr>
                <w:rFonts w:ascii="Arial" w:hAnsi="Arial" w:cs="Arial"/>
                <w:sz w:val="20"/>
              </w:rPr>
              <w:t>New England Baptist Hospital</w:t>
            </w:r>
          </w:p>
        </w:tc>
        <w:tc>
          <w:tcPr>
            <w:tcW w:w="672" w:type="pct"/>
            <w:tcBorders>
              <w:top w:val="nil"/>
              <w:left w:val="nil"/>
              <w:bottom w:val="nil"/>
              <w:right w:val="nil"/>
            </w:tcBorders>
            <w:shd w:val="clear" w:color="auto" w:fill="auto"/>
            <w:noWrap/>
            <w:hideMark/>
          </w:tcPr>
          <w:p w14:paraId="6440CF64" w14:textId="5C5B41D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561105D" w14:textId="068F329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17BD7BE1" w14:textId="6188B70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B463423" w14:textId="6F2B276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D0FA4CA"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6E6DDB39" w14:textId="66CCB620" w:rsidR="00DD6114" w:rsidRPr="001A5D41" w:rsidRDefault="00DD6114" w:rsidP="00DD6114">
            <w:pPr>
              <w:rPr>
                <w:rFonts w:ascii="Arial" w:hAnsi="Arial" w:cs="Arial"/>
                <w:spacing w:val="0"/>
                <w:sz w:val="20"/>
              </w:rPr>
            </w:pPr>
            <w:r w:rsidRPr="001A5D41">
              <w:rPr>
                <w:rFonts w:ascii="Arial" w:hAnsi="Arial" w:cs="Arial"/>
                <w:sz w:val="20"/>
              </w:rPr>
              <w:t>Newton-Wellesley Hospital</w:t>
            </w:r>
          </w:p>
        </w:tc>
        <w:tc>
          <w:tcPr>
            <w:tcW w:w="672" w:type="pct"/>
            <w:tcBorders>
              <w:top w:val="nil"/>
              <w:left w:val="nil"/>
              <w:bottom w:val="nil"/>
              <w:right w:val="nil"/>
            </w:tcBorders>
            <w:shd w:val="clear" w:color="auto" w:fill="auto"/>
            <w:noWrap/>
            <w:hideMark/>
          </w:tcPr>
          <w:p w14:paraId="07801CD6" w14:textId="6CCA5E79"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58DEEC6C" w14:textId="0470EFFE"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20CB4A" w14:textId="354622E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423D0D7" w14:textId="2658DA3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5BCFEC0"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C31CDAC" w14:textId="3426C67F" w:rsidR="00DD6114" w:rsidRPr="001A5D41" w:rsidRDefault="00DD6114" w:rsidP="00DD6114">
            <w:pPr>
              <w:rPr>
                <w:rFonts w:ascii="Arial" w:hAnsi="Arial" w:cs="Arial"/>
                <w:spacing w:val="0"/>
                <w:sz w:val="20"/>
              </w:rPr>
            </w:pPr>
            <w:r w:rsidRPr="001A5D41">
              <w:rPr>
                <w:rFonts w:ascii="Arial" w:hAnsi="Arial" w:cs="Arial"/>
                <w:sz w:val="20"/>
              </w:rPr>
              <w:t>North Shore Medical Center</w:t>
            </w:r>
          </w:p>
        </w:tc>
        <w:tc>
          <w:tcPr>
            <w:tcW w:w="672" w:type="pct"/>
            <w:tcBorders>
              <w:top w:val="nil"/>
              <w:left w:val="nil"/>
              <w:bottom w:val="nil"/>
              <w:right w:val="nil"/>
            </w:tcBorders>
            <w:shd w:val="clear" w:color="auto" w:fill="auto"/>
            <w:noWrap/>
            <w:hideMark/>
          </w:tcPr>
          <w:p w14:paraId="5DAC15BA" w14:textId="703F3493"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2DCA5D09" w14:textId="4158A62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75FDB4A" w14:textId="41AE3F39"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436C887D" w14:textId="56F4B8C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8EAC69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2E85CF56" w14:textId="7B2EB99F" w:rsidR="00DD6114" w:rsidRPr="001A5D41" w:rsidRDefault="00DD6114" w:rsidP="00DD6114">
            <w:pPr>
              <w:rPr>
                <w:rFonts w:ascii="Arial" w:hAnsi="Arial" w:cs="Arial"/>
                <w:spacing w:val="0"/>
                <w:sz w:val="20"/>
              </w:rPr>
            </w:pPr>
            <w:r w:rsidRPr="001A5D41">
              <w:rPr>
                <w:rFonts w:ascii="Arial" w:hAnsi="Arial" w:cs="Arial"/>
                <w:sz w:val="20"/>
              </w:rPr>
              <w:t>Norwood Hospital</w:t>
            </w:r>
          </w:p>
        </w:tc>
        <w:tc>
          <w:tcPr>
            <w:tcW w:w="672" w:type="pct"/>
            <w:tcBorders>
              <w:top w:val="nil"/>
              <w:left w:val="nil"/>
              <w:bottom w:val="nil"/>
              <w:right w:val="nil"/>
            </w:tcBorders>
            <w:shd w:val="clear" w:color="auto" w:fill="auto"/>
            <w:noWrap/>
            <w:hideMark/>
          </w:tcPr>
          <w:p w14:paraId="5E6FE9F0" w14:textId="0AC60AA1"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6E71E9" w14:textId="0F0C5EA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614A354" w14:textId="52B37472"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0CAA361" w14:textId="60E5D4A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2E232AC"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1D13631" w14:textId="2C429C3D" w:rsidR="00DD6114" w:rsidRPr="001A5D41" w:rsidRDefault="00DD6114" w:rsidP="00DD6114">
            <w:pPr>
              <w:rPr>
                <w:rFonts w:ascii="Arial" w:hAnsi="Arial" w:cs="Arial"/>
                <w:spacing w:val="0"/>
                <w:sz w:val="20"/>
              </w:rPr>
            </w:pPr>
            <w:r w:rsidRPr="001A5D41">
              <w:rPr>
                <w:rFonts w:ascii="Arial" w:hAnsi="Arial" w:cs="Arial"/>
                <w:sz w:val="20"/>
              </w:rPr>
              <w:t>Saint Vincent Hospital</w:t>
            </w:r>
          </w:p>
        </w:tc>
        <w:tc>
          <w:tcPr>
            <w:tcW w:w="672" w:type="pct"/>
            <w:tcBorders>
              <w:top w:val="nil"/>
              <w:left w:val="nil"/>
              <w:bottom w:val="nil"/>
              <w:right w:val="nil"/>
            </w:tcBorders>
            <w:shd w:val="clear" w:color="auto" w:fill="auto"/>
            <w:noWrap/>
            <w:hideMark/>
          </w:tcPr>
          <w:p w14:paraId="6218DD80" w14:textId="10EFD89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EF66052" w14:textId="409677DB"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CDA2E69" w14:textId="566170BE"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9335F77" w14:textId="7147FF0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09B6D1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ABEAD2D" w14:textId="07563241" w:rsidR="00DD6114" w:rsidRPr="001A5D41" w:rsidRDefault="00DD6114" w:rsidP="00DD6114">
            <w:pPr>
              <w:rPr>
                <w:rFonts w:ascii="Arial" w:hAnsi="Arial" w:cs="Arial"/>
                <w:spacing w:val="0"/>
                <w:sz w:val="20"/>
              </w:rPr>
            </w:pPr>
            <w:r w:rsidRPr="001A5D41">
              <w:rPr>
                <w:rFonts w:ascii="Arial" w:hAnsi="Arial" w:cs="Arial"/>
                <w:sz w:val="20"/>
              </w:rPr>
              <w:t>Shriners Hospitals for Children - Boston</w:t>
            </w:r>
          </w:p>
        </w:tc>
        <w:tc>
          <w:tcPr>
            <w:tcW w:w="672" w:type="pct"/>
            <w:tcBorders>
              <w:top w:val="nil"/>
              <w:left w:val="nil"/>
              <w:bottom w:val="nil"/>
              <w:right w:val="nil"/>
            </w:tcBorders>
            <w:shd w:val="clear" w:color="auto" w:fill="auto"/>
            <w:noWrap/>
            <w:hideMark/>
          </w:tcPr>
          <w:p w14:paraId="60067621" w14:textId="4F79B50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2EEC792" w14:textId="6EB296B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D6B2858" w14:textId="153B8C78"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2F79EFF" w14:textId="18F2E739"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784E6E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5B5A829" w14:textId="7977FFD4" w:rsidR="00DD6114" w:rsidRPr="001A5D41" w:rsidRDefault="00DD6114" w:rsidP="00DD6114">
            <w:pPr>
              <w:rPr>
                <w:rFonts w:ascii="Arial" w:hAnsi="Arial" w:cs="Arial"/>
                <w:spacing w:val="0"/>
                <w:sz w:val="20"/>
              </w:rPr>
            </w:pPr>
            <w:r w:rsidRPr="001A5D41">
              <w:rPr>
                <w:rFonts w:ascii="Arial" w:hAnsi="Arial" w:cs="Arial"/>
                <w:sz w:val="20"/>
              </w:rPr>
              <w:t>Shriners Hospitals for Children - Springfield</w:t>
            </w:r>
          </w:p>
        </w:tc>
        <w:tc>
          <w:tcPr>
            <w:tcW w:w="672" w:type="pct"/>
            <w:tcBorders>
              <w:top w:val="nil"/>
              <w:left w:val="nil"/>
              <w:bottom w:val="nil"/>
              <w:right w:val="nil"/>
            </w:tcBorders>
            <w:shd w:val="clear" w:color="auto" w:fill="auto"/>
            <w:noWrap/>
            <w:hideMark/>
          </w:tcPr>
          <w:p w14:paraId="1500F055" w14:textId="5F164CAA"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6010B2A3" w14:textId="7DBFD291"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A1F52C" w14:textId="242B133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0F4790A6" w14:textId="6E97E3D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092F4D4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09BFBE5" w14:textId="54E63720" w:rsidR="00DD6114" w:rsidRPr="001A5D41" w:rsidRDefault="00DD6114" w:rsidP="00DD6114">
            <w:pPr>
              <w:rPr>
                <w:rFonts w:ascii="Arial" w:hAnsi="Arial" w:cs="Arial"/>
                <w:spacing w:val="0"/>
                <w:sz w:val="20"/>
              </w:rPr>
            </w:pPr>
            <w:r w:rsidRPr="001A5D41">
              <w:rPr>
                <w:rFonts w:ascii="Arial" w:hAnsi="Arial" w:cs="Arial"/>
                <w:sz w:val="20"/>
              </w:rPr>
              <w:t>Signature Healthcare Brockton Hospital</w:t>
            </w:r>
          </w:p>
        </w:tc>
        <w:tc>
          <w:tcPr>
            <w:tcW w:w="672" w:type="pct"/>
            <w:tcBorders>
              <w:top w:val="nil"/>
              <w:left w:val="nil"/>
              <w:bottom w:val="nil"/>
              <w:right w:val="nil"/>
            </w:tcBorders>
            <w:shd w:val="clear" w:color="auto" w:fill="auto"/>
            <w:noWrap/>
            <w:hideMark/>
          </w:tcPr>
          <w:p w14:paraId="0B1B6C51" w14:textId="638EA464"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6171706" w14:textId="6E9347EF"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EDB127A" w14:textId="3E98E46A"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560AF3C" w14:textId="5A10E0AB"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C945FB5"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6B3F394" w14:textId="37DD6158" w:rsidR="00DD6114" w:rsidRPr="001A5D41" w:rsidRDefault="00DD6114" w:rsidP="00DD6114">
            <w:pPr>
              <w:rPr>
                <w:rFonts w:ascii="Arial" w:hAnsi="Arial" w:cs="Arial"/>
                <w:spacing w:val="0"/>
                <w:sz w:val="20"/>
              </w:rPr>
            </w:pPr>
            <w:r w:rsidRPr="001A5D41">
              <w:rPr>
                <w:rFonts w:ascii="Arial" w:hAnsi="Arial" w:cs="Arial"/>
                <w:sz w:val="20"/>
              </w:rPr>
              <w:t>South Shore Hospital</w:t>
            </w:r>
          </w:p>
        </w:tc>
        <w:tc>
          <w:tcPr>
            <w:tcW w:w="672" w:type="pct"/>
            <w:tcBorders>
              <w:top w:val="nil"/>
              <w:left w:val="nil"/>
              <w:bottom w:val="nil"/>
              <w:right w:val="nil"/>
            </w:tcBorders>
            <w:shd w:val="clear" w:color="auto" w:fill="auto"/>
            <w:noWrap/>
            <w:hideMark/>
          </w:tcPr>
          <w:p w14:paraId="709478B6" w14:textId="7BD297C0"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AE7D961" w14:textId="063070A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B8B0A11" w14:textId="5C5839DB"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00E3859" w14:textId="71292447"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40EC123"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4328977E" w14:textId="79C4CEA4" w:rsidR="00DD6114" w:rsidRPr="001A5D41" w:rsidRDefault="00DD6114" w:rsidP="00DD6114">
            <w:pPr>
              <w:rPr>
                <w:rFonts w:ascii="Arial" w:hAnsi="Arial" w:cs="Arial"/>
                <w:spacing w:val="0"/>
                <w:sz w:val="20"/>
              </w:rPr>
            </w:pPr>
            <w:r w:rsidRPr="001A5D41">
              <w:rPr>
                <w:rFonts w:ascii="Arial" w:hAnsi="Arial" w:cs="Arial"/>
                <w:sz w:val="20"/>
              </w:rPr>
              <w:t>Southcoast Hospitals Group</w:t>
            </w:r>
          </w:p>
        </w:tc>
        <w:tc>
          <w:tcPr>
            <w:tcW w:w="672" w:type="pct"/>
            <w:tcBorders>
              <w:top w:val="nil"/>
              <w:left w:val="nil"/>
              <w:bottom w:val="nil"/>
              <w:right w:val="nil"/>
            </w:tcBorders>
            <w:shd w:val="clear" w:color="auto" w:fill="auto"/>
            <w:noWrap/>
            <w:hideMark/>
          </w:tcPr>
          <w:p w14:paraId="07489677" w14:textId="0880B31C"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C116F8" w14:textId="327CF6D4"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89AE35D" w14:textId="08309F24"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29113443" w14:textId="15FF9AD0" w:rsidR="00DD6114" w:rsidRPr="001A5D41" w:rsidRDefault="00DD6114" w:rsidP="00DD6114">
            <w:pPr>
              <w:jc w:val="center"/>
              <w:rPr>
                <w:rFonts w:ascii="Arial" w:hAnsi="Arial" w:cs="Arial"/>
                <w:spacing w:val="0"/>
                <w:sz w:val="20"/>
              </w:rPr>
            </w:pPr>
            <w:r w:rsidRPr="001A5D41">
              <w:rPr>
                <w:rFonts w:ascii="Arial" w:hAnsi="Arial" w:cs="Arial"/>
                <w:sz w:val="20"/>
              </w:rPr>
              <w:t xml:space="preserve"> $1,091.28 </w:t>
            </w:r>
          </w:p>
        </w:tc>
      </w:tr>
      <w:tr w:rsidR="0090762F" w:rsidRPr="0090762F" w14:paraId="1A316639"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5142A8B" w14:textId="2370244D" w:rsidR="00DD6114" w:rsidRPr="001A5D41" w:rsidRDefault="00DD6114" w:rsidP="00DD6114">
            <w:pPr>
              <w:rPr>
                <w:rFonts w:ascii="Arial" w:hAnsi="Arial" w:cs="Arial"/>
                <w:spacing w:val="0"/>
                <w:sz w:val="20"/>
              </w:rPr>
            </w:pPr>
            <w:r w:rsidRPr="001A5D41">
              <w:rPr>
                <w:rFonts w:ascii="Arial" w:hAnsi="Arial" w:cs="Arial"/>
                <w:sz w:val="20"/>
              </w:rPr>
              <w:t>St. Anne's Hospital</w:t>
            </w:r>
          </w:p>
        </w:tc>
        <w:tc>
          <w:tcPr>
            <w:tcW w:w="672" w:type="pct"/>
            <w:tcBorders>
              <w:top w:val="nil"/>
              <w:left w:val="nil"/>
              <w:bottom w:val="nil"/>
              <w:right w:val="nil"/>
            </w:tcBorders>
            <w:shd w:val="clear" w:color="auto" w:fill="auto"/>
            <w:noWrap/>
            <w:hideMark/>
          </w:tcPr>
          <w:p w14:paraId="41B0CD45" w14:textId="5C6C0A7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36BFA170" w14:textId="4823ADB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0A12990" w14:textId="1F1A420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1C47E62" w14:textId="374BEA7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148D6C5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42B4C7B" w14:textId="0951EFA5" w:rsidR="00DD6114" w:rsidRPr="001A5D41" w:rsidRDefault="00DD6114" w:rsidP="00DD6114">
            <w:pPr>
              <w:rPr>
                <w:rFonts w:ascii="Arial" w:hAnsi="Arial" w:cs="Arial"/>
                <w:spacing w:val="0"/>
                <w:sz w:val="20"/>
              </w:rPr>
            </w:pPr>
            <w:r w:rsidRPr="001A5D41">
              <w:rPr>
                <w:rFonts w:ascii="Arial" w:hAnsi="Arial" w:cs="Arial"/>
                <w:sz w:val="20"/>
              </w:rPr>
              <w:t>St. Elizabeth's Medical Center</w:t>
            </w:r>
          </w:p>
        </w:tc>
        <w:tc>
          <w:tcPr>
            <w:tcW w:w="672" w:type="pct"/>
            <w:tcBorders>
              <w:top w:val="nil"/>
              <w:left w:val="nil"/>
              <w:bottom w:val="nil"/>
              <w:right w:val="nil"/>
            </w:tcBorders>
            <w:shd w:val="clear" w:color="auto" w:fill="auto"/>
            <w:noWrap/>
            <w:hideMark/>
          </w:tcPr>
          <w:p w14:paraId="3C21F83B" w14:textId="003541E0"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7E3CB87C" w14:textId="514ECBF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7A7E7111" w14:textId="689947B0"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5FC49B79" w14:textId="12FF3A48"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4AB15B5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0830BD9" w14:textId="28265DF7" w:rsidR="00DD6114" w:rsidRPr="001A5D41" w:rsidRDefault="00DD6114" w:rsidP="00DD6114">
            <w:pPr>
              <w:rPr>
                <w:rFonts w:ascii="Arial" w:hAnsi="Arial" w:cs="Arial"/>
                <w:spacing w:val="0"/>
                <w:sz w:val="20"/>
              </w:rPr>
            </w:pPr>
            <w:r w:rsidRPr="001A5D41">
              <w:rPr>
                <w:rFonts w:ascii="Arial" w:hAnsi="Arial" w:cs="Arial"/>
                <w:sz w:val="20"/>
              </w:rPr>
              <w:t>Sturdy Memorial Hospital</w:t>
            </w:r>
          </w:p>
        </w:tc>
        <w:tc>
          <w:tcPr>
            <w:tcW w:w="672" w:type="pct"/>
            <w:tcBorders>
              <w:top w:val="nil"/>
              <w:left w:val="nil"/>
              <w:bottom w:val="nil"/>
              <w:right w:val="nil"/>
            </w:tcBorders>
            <w:shd w:val="clear" w:color="auto" w:fill="auto"/>
            <w:noWrap/>
            <w:hideMark/>
          </w:tcPr>
          <w:p w14:paraId="0E6A3211" w14:textId="0BFF3C36"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B0F6C6D" w14:textId="258F2F9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9BF588E" w14:textId="56A3F3CC" w:rsidR="00DD6114" w:rsidRPr="001A5D41" w:rsidRDefault="00DD6114" w:rsidP="000C6EF3">
            <w:pPr>
              <w:jc w:val="center"/>
              <w:rPr>
                <w:rFonts w:ascii="Arial" w:hAnsi="Arial" w:cs="Arial"/>
                <w:spacing w:val="0"/>
                <w:sz w:val="20"/>
              </w:rPr>
            </w:pPr>
            <w:r w:rsidRPr="001A5D41">
              <w:rPr>
                <w:rFonts w:ascii="Arial" w:hAnsi="Arial" w:cs="Arial"/>
                <w:sz w:val="20"/>
              </w:rPr>
              <w:t xml:space="preserve"> </w:t>
            </w:r>
            <w:r w:rsidR="000C6EF3">
              <w:rPr>
                <w:rFonts w:ascii="Arial" w:hAnsi="Arial" w:cs="Arial"/>
                <w:sz w:val="20"/>
              </w:rPr>
              <w:t>Not Applicable</w:t>
            </w:r>
            <w:r w:rsidRPr="001A5D41">
              <w:rPr>
                <w:rFonts w:ascii="Arial" w:hAnsi="Arial" w:cs="Arial"/>
                <w:sz w:val="20"/>
              </w:rPr>
              <w:t xml:space="preserve"> </w:t>
            </w:r>
          </w:p>
        </w:tc>
        <w:tc>
          <w:tcPr>
            <w:tcW w:w="872" w:type="pct"/>
            <w:tcBorders>
              <w:top w:val="nil"/>
              <w:left w:val="nil"/>
              <w:bottom w:val="nil"/>
              <w:right w:val="single" w:sz="4" w:space="0" w:color="auto"/>
            </w:tcBorders>
            <w:shd w:val="clear" w:color="auto" w:fill="auto"/>
            <w:noWrap/>
            <w:hideMark/>
          </w:tcPr>
          <w:p w14:paraId="7CB519F2" w14:textId="382FDC1E"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78F7E3B6"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110AE1C5" w14:textId="1A835281" w:rsidR="00DD6114" w:rsidRPr="001A5D41" w:rsidRDefault="00DD6114" w:rsidP="00DD6114">
            <w:pPr>
              <w:rPr>
                <w:rFonts w:ascii="Arial" w:hAnsi="Arial" w:cs="Arial"/>
                <w:spacing w:val="0"/>
                <w:sz w:val="20"/>
              </w:rPr>
            </w:pPr>
            <w:r w:rsidRPr="001A5D41">
              <w:rPr>
                <w:rFonts w:ascii="Arial" w:hAnsi="Arial" w:cs="Arial"/>
                <w:sz w:val="20"/>
              </w:rPr>
              <w:t>Tufts Medical Center</w:t>
            </w:r>
          </w:p>
        </w:tc>
        <w:tc>
          <w:tcPr>
            <w:tcW w:w="672" w:type="pct"/>
            <w:tcBorders>
              <w:top w:val="nil"/>
              <w:left w:val="nil"/>
              <w:bottom w:val="nil"/>
              <w:right w:val="nil"/>
            </w:tcBorders>
            <w:shd w:val="clear" w:color="auto" w:fill="auto"/>
            <w:noWrap/>
            <w:hideMark/>
          </w:tcPr>
          <w:p w14:paraId="6983F404" w14:textId="18D81BA2"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635392A" w14:textId="27013009"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42DEAF76" w14:textId="576FE5C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3FE2C56" w14:textId="70CC0791"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3E0E1A8D"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58E7C2B7" w14:textId="2B8EEE63" w:rsidR="00DD6114" w:rsidRPr="001A5D41" w:rsidRDefault="00DD6114" w:rsidP="00DD6114">
            <w:pPr>
              <w:rPr>
                <w:rFonts w:ascii="Arial" w:hAnsi="Arial" w:cs="Arial"/>
                <w:spacing w:val="0"/>
                <w:sz w:val="20"/>
              </w:rPr>
            </w:pPr>
            <w:r w:rsidRPr="001A5D41">
              <w:rPr>
                <w:rFonts w:ascii="Arial" w:hAnsi="Arial" w:cs="Arial"/>
                <w:sz w:val="20"/>
              </w:rPr>
              <w:t>UMass Memorial - HealthAlliance-Clinton Hospital</w:t>
            </w:r>
          </w:p>
        </w:tc>
        <w:tc>
          <w:tcPr>
            <w:tcW w:w="672" w:type="pct"/>
            <w:tcBorders>
              <w:top w:val="nil"/>
              <w:left w:val="nil"/>
              <w:bottom w:val="nil"/>
              <w:right w:val="nil"/>
            </w:tcBorders>
            <w:shd w:val="clear" w:color="auto" w:fill="auto"/>
            <w:noWrap/>
            <w:hideMark/>
          </w:tcPr>
          <w:p w14:paraId="4E25BB39" w14:textId="082F2137"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188C6442" w14:textId="63768057"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5CEEF6B1" w14:textId="26BA9FAD" w:rsidR="00DD6114" w:rsidRPr="001A5D41" w:rsidRDefault="000B5A81" w:rsidP="00DD6114">
            <w:pPr>
              <w:jc w:val="center"/>
              <w:rPr>
                <w:rFonts w:ascii="Arial" w:hAnsi="Arial" w:cs="Arial"/>
                <w:spacing w:val="0"/>
                <w:sz w:val="20"/>
              </w:rPr>
            </w:pPr>
            <w:r w:rsidRPr="001A5D41">
              <w:rPr>
                <w:rFonts w:ascii="Arial" w:hAnsi="Arial" w:cs="Arial"/>
                <w:sz w:val="20"/>
              </w:rPr>
              <w:t>$941.10</w:t>
            </w:r>
          </w:p>
        </w:tc>
        <w:tc>
          <w:tcPr>
            <w:tcW w:w="872" w:type="pct"/>
            <w:tcBorders>
              <w:top w:val="nil"/>
              <w:left w:val="nil"/>
              <w:bottom w:val="nil"/>
              <w:right w:val="single" w:sz="4" w:space="0" w:color="auto"/>
            </w:tcBorders>
            <w:shd w:val="clear" w:color="auto" w:fill="auto"/>
            <w:noWrap/>
            <w:hideMark/>
          </w:tcPr>
          <w:p w14:paraId="567ABF6A" w14:textId="0612F805"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24B95E0E"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3E1D7348" w14:textId="5AFDC330" w:rsidR="00DD6114" w:rsidRPr="001A5D41" w:rsidRDefault="00DD6114" w:rsidP="00DD6114">
            <w:pPr>
              <w:rPr>
                <w:rFonts w:ascii="Arial" w:hAnsi="Arial" w:cs="Arial"/>
                <w:spacing w:val="0"/>
                <w:sz w:val="20"/>
              </w:rPr>
            </w:pPr>
            <w:r w:rsidRPr="001A5D41">
              <w:rPr>
                <w:rFonts w:ascii="Arial" w:hAnsi="Arial" w:cs="Arial"/>
                <w:sz w:val="20"/>
              </w:rPr>
              <w:t>UMass Memorial - Marlborough Hospital</w:t>
            </w:r>
          </w:p>
        </w:tc>
        <w:tc>
          <w:tcPr>
            <w:tcW w:w="672" w:type="pct"/>
            <w:tcBorders>
              <w:top w:val="nil"/>
              <w:left w:val="nil"/>
              <w:bottom w:val="nil"/>
              <w:right w:val="nil"/>
            </w:tcBorders>
            <w:shd w:val="clear" w:color="auto" w:fill="auto"/>
            <w:noWrap/>
            <w:hideMark/>
          </w:tcPr>
          <w:p w14:paraId="0ADC65C1" w14:textId="3C82487D"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4438535D" w14:textId="0C1DB496"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3FE2DDBE" w14:textId="6B9BB73F"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7D619C62" w14:textId="4377BECF"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9A59C4B" w14:textId="77777777" w:rsidTr="0090762F">
        <w:trPr>
          <w:trHeight w:val="255"/>
        </w:trPr>
        <w:tc>
          <w:tcPr>
            <w:tcW w:w="1899" w:type="pct"/>
            <w:tcBorders>
              <w:top w:val="nil"/>
              <w:left w:val="single" w:sz="4" w:space="0" w:color="auto"/>
              <w:bottom w:val="nil"/>
              <w:right w:val="single" w:sz="4" w:space="0" w:color="auto"/>
            </w:tcBorders>
            <w:shd w:val="clear" w:color="auto" w:fill="auto"/>
            <w:noWrap/>
            <w:hideMark/>
          </w:tcPr>
          <w:p w14:paraId="7659FBB3" w14:textId="346CD5FD" w:rsidR="00DD6114" w:rsidRPr="001A5D41" w:rsidRDefault="00DD6114" w:rsidP="00DD6114">
            <w:pPr>
              <w:rPr>
                <w:rFonts w:ascii="Arial" w:hAnsi="Arial" w:cs="Arial"/>
                <w:spacing w:val="0"/>
                <w:sz w:val="20"/>
              </w:rPr>
            </w:pPr>
            <w:r w:rsidRPr="001A5D41">
              <w:rPr>
                <w:rFonts w:ascii="Arial" w:hAnsi="Arial" w:cs="Arial"/>
                <w:sz w:val="20"/>
              </w:rPr>
              <w:t>UMass Memorial Medical Center</w:t>
            </w:r>
          </w:p>
        </w:tc>
        <w:tc>
          <w:tcPr>
            <w:tcW w:w="672" w:type="pct"/>
            <w:tcBorders>
              <w:top w:val="nil"/>
              <w:left w:val="nil"/>
              <w:bottom w:val="nil"/>
              <w:right w:val="nil"/>
            </w:tcBorders>
            <w:shd w:val="clear" w:color="auto" w:fill="auto"/>
            <w:noWrap/>
            <w:hideMark/>
          </w:tcPr>
          <w:p w14:paraId="751A0034" w14:textId="1FEF5BF8"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nil"/>
              <w:right w:val="nil"/>
            </w:tcBorders>
            <w:shd w:val="clear" w:color="auto" w:fill="auto"/>
            <w:noWrap/>
            <w:hideMark/>
          </w:tcPr>
          <w:p w14:paraId="0186C69A" w14:textId="1555DEBC"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nil"/>
              <w:right w:val="nil"/>
            </w:tcBorders>
            <w:shd w:val="clear" w:color="auto" w:fill="auto"/>
            <w:noWrap/>
            <w:hideMark/>
          </w:tcPr>
          <w:p w14:paraId="2A7DB13A" w14:textId="523525AD"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nil"/>
              <w:right w:val="single" w:sz="4" w:space="0" w:color="auto"/>
            </w:tcBorders>
            <w:shd w:val="clear" w:color="auto" w:fill="auto"/>
            <w:noWrap/>
            <w:hideMark/>
          </w:tcPr>
          <w:p w14:paraId="3304C927" w14:textId="1FFC2676"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r w:rsidR="0090762F" w:rsidRPr="0090762F" w14:paraId="540784B1" w14:textId="77777777" w:rsidTr="0090762F">
        <w:trPr>
          <w:trHeight w:val="255"/>
        </w:trPr>
        <w:tc>
          <w:tcPr>
            <w:tcW w:w="1899" w:type="pct"/>
            <w:tcBorders>
              <w:top w:val="nil"/>
              <w:left w:val="single" w:sz="4" w:space="0" w:color="auto"/>
              <w:bottom w:val="single" w:sz="4" w:space="0" w:color="auto"/>
              <w:right w:val="single" w:sz="4" w:space="0" w:color="auto"/>
            </w:tcBorders>
            <w:shd w:val="clear" w:color="auto" w:fill="auto"/>
            <w:noWrap/>
            <w:hideMark/>
          </w:tcPr>
          <w:p w14:paraId="4169D781" w14:textId="7240D6EE" w:rsidR="00DD6114" w:rsidRPr="001A5D41" w:rsidRDefault="00DD6114" w:rsidP="00DD6114">
            <w:pPr>
              <w:rPr>
                <w:rFonts w:ascii="Arial" w:hAnsi="Arial" w:cs="Arial"/>
                <w:spacing w:val="0"/>
                <w:sz w:val="20"/>
              </w:rPr>
            </w:pPr>
            <w:r w:rsidRPr="001A5D41">
              <w:rPr>
                <w:rFonts w:ascii="Arial" w:hAnsi="Arial" w:cs="Arial"/>
                <w:sz w:val="20"/>
              </w:rPr>
              <w:t>Winchester Hospital</w:t>
            </w:r>
          </w:p>
        </w:tc>
        <w:tc>
          <w:tcPr>
            <w:tcW w:w="672" w:type="pct"/>
            <w:tcBorders>
              <w:top w:val="nil"/>
              <w:left w:val="nil"/>
              <w:bottom w:val="single" w:sz="4" w:space="0" w:color="auto"/>
              <w:right w:val="nil"/>
            </w:tcBorders>
            <w:shd w:val="clear" w:color="auto" w:fill="auto"/>
            <w:noWrap/>
            <w:hideMark/>
          </w:tcPr>
          <w:p w14:paraId="147D4163" w14:textId="186F3DDB" w:rsidR="00DD6114" w:rsidRPr="001A5D41" w:rsidRDefault="00DD6114" w:rsidP="00DD6114">
            <w:pPr>
              <w:rPr>
                <w:rFonts w:ascii="Arial" w:hAnsi="Arial" w:cs="Arial"/>
                <w:spacing w:val="0"/>
                <w:sz w:val="20"/>
              </w:rPr>
            </w:pPr>
            <w:r w:rsidRPr="001A5D41">
              <w:rPr>
                <w:rFonts w:ascii="Arial" w:hAnsi="Arial" w:cs="Arial"/>
                <w:sz w:val="20"/>
              </w:rPr>
              <w:t xml:space="preserve"> $302.85 </w:t>
            </w:r>
          </w:p>
        </w:tc>
        <w:tc>
          <w:tcPr>
            <w:tcW w:w="672" w:type="pct"/>
            <w:tcBorders>
              <w:top w:val="nil"/>
              <w:left w:val="nil"/>
              <w:bottom w:val="single" w:sz="4" w:space="0" w:color="auto"/>
              <w:right w:val="nil"/>
            </w:tcBorders>
            <w:shd w:val="clear" w:color="auto" w:fill="auto"/>
            <w:noWrap/>
            <w:hideMark/>
          </w:tcPr>
          <w:p w14:paraId="24423E6B" w14:textId="11E2DC58" w:rsidR="00DD6114" w:rsidRPr="001A5D41" w:rsidRDefault="00DD6114" w:rsidP="00DD6114">
            <w:pPr>
              <w:rPr>
                <w:rFonts w:ascii="Arial" w:hAnsi="Arial" w:cs="Arial"/>
                <w:spacing w:val="0"/>
                <w:sz w:val="20"/>
              </w:rPr>
            </w:pPr>
            <w:r w:rsidRPr="001A5D41">
              <w:rPr>
                <w:rFonts w:ascii="Arial" w:hAnsi="Arial" w:cs="Arial"/>
                <w:sz w:val="20"/>
              </w:rPr>
              <w:t xml:space="preserve"> $280.06 </w:t>
            </w:r>
          </w:p>
        </w:tc>
        <w:tc>
          <w:tcPr>
            <w:tcW w:w="885" w:type="pct"/>
            <w:tcBorders>
              <w:top w:val="nil"/>
              <w:left w:val="nil"/>
              <w:bottom w:val="single" w:sz="4" w:space="0" w:color="auto"/>
              <w:right w:val="nil"/>
            </w:tcBorders>
            <w:shd w:val="clear" w:color="auto" w:fill="auto"/>
            <w:noWrap/>
            <w:hideMark/>
          </w:tcPr>
          <w:p w14:paraId="1C616557" w14:textId="7A263307" w:rsidR="00DD6114" w:rsidRPr="001A5D41" w:rsidRDefault="00DD6114" w:rsidP="00DD6114">
            <w:pPr>
              <w:jc w:val="center"/>
              <w:rPr>
                <w:rFonts w:ascii="Arial" w:hAnsi="Arial" w:cs="Arial"/>
                <w:spacing w:val="0"/>
                <w:sz w:val="20"/>
              </w:rPr>
            </w:pPr>
            <w:r w:rsidRPr="001A5D41">
              <w:rPr>
                <w:rFonts w:ascii="Arial" w:hAnsi="Arial" w:cs="Arial"/>
                <w:sz w:val="20"/>
              </w:rPr>
              <w:t xml:space="preserve"> $941.10 </w:t>
            </w:r>
          </w:p>
        </w:tc>
        <w:tc>
          <w:tcPr>
            <w:tcW w:w="872" w:type="pct"/>
            <w:tcBorders>
              <w:top w:val="nil"/>
              <w:left w:val="nil"/>
              <w:bottom w:val="single" w:sz="4" w:space="0" w:color="auto"/>
              <w:right w:val="single" w:sz="4" w:space="0" w:color="auto"/>
            </w:tcBorders>
            <w:shd w:val="clear" w:color="auto" w:fill="auto"/>
            <w:noWrap/>
            <w:hideMark/>
          </w:tcPr>
          <w:p w14:paraId="5F79859B" w14:textId="2B15F624" w:rsidR="00DD6114" w:rsidRPr="001A5D41" w:rsidRDefault="00DD6114" w:rsidP="00DD6114">
            <w:pPr>
              <w:jc w:val="center"/>
              <w:rPr>
                <w:rFonts w:ascii="Arial" w:hAnsi="Arial" w:cs="Arial"/>
                <w:spacing w:val="0"/>
                <w:sz w:val="20"/>
              </w:rPr>
            </w:pPr>
            <w:r w:rsidRPr="001A5D41">
              <w:rPr>
                <w:rFonts w:ascii="Arial" w:hAnsi="Arial" w:cs="Arial"/>
                <w:sz w:val="20"/>
              </w:rPr>
              <w:t xml:space="preserve"> Not Applicable </w:t>
            </w:r>
          </w:p>
        </w:tc>
      </w:tr>
    </w:tbl>
    <w:p w14:paraId="3F7A5E08" w14:textId="77777777" w:rsidR="00DD6114" w:rsidRPr="00DD6114" w:rsidRDefault="00DD6114" w:rsidP="00DD6114">
      <w:pPr>
        <w:rPr>
          <w:b/>
          <w:color w:val="FF0000"/>
        </w:rPr>
      </w:pPr>
    </w:p>
    <w:p w14:paraId="1C1FC347" w14:textId="77777777" w:rsidR="004469BC" w:rsidRPr="00DD6114" w:rsidRDefault="004469BC" w:rsidP="00E131AC">
      <w:pPr>
        <w:rPr>
          <w:b/>
          <w:color w:val="FF0000"/>
        </w:rPr>
      </w:pPr>
    </w:p>
    <w:p w14:paraId="5439F21B" w14:textId="77777777" w:rsidR="004469BC" w:rsidRDefault="004469BC" w:rsidP="00E131AC">
      <w:pPr>
        <w:rPr>
          <w:b/>
        </w:rPr>
      </w:pPr>
    </w:p>
    <w:p w14:paraId="4E09DEA2" w14:textId="1248B658" w:rsidR="00236522" w:rsidRDefault="00C7728B" w:rsidP="00C7728B">
      <w:pP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w:t>
      </w:r>
      <w:r w:rsidR="00181DC5" w:rsidRPr="001A631F">
        <w:rPr>
          <w:rFonts w:ascii="Arial Narrow" w:hAnsi="Arial Narrow"/>
          <w:sz w:val="22"/>
          <w:szCs w:val="22"/>
        </w:rPr>
        <w:t>RY</w:t>
      </w:r>
      <w:r w:rsidR="00181DC5">
        <w:rPr>
          <w:rFonts w:ascii="Arial Narrow" w:hAnsi="Arial Narrow"/>
          <w:sz w:val="22"/>
          <w:szCs w:val="22"/>
        </w:rPr>
        <w:t>21</w:t>
      </w:r>
      <w:r w:rsidR="00181DC5" w:rsidRPr="001A631F">
        <w:rPr>
          <w:rFonts w:ascii="Arial Narrow" w:hAnsi="Arial Narrow"/>
          <w:sz w:val="22"/>
          <w:szCs w:val="22"/>
        </w:rPr>
        <w:t xml:space="preserve"> </w:t>
      </w:r>
      <w:r w:rsidRPr="001A631F">
        <w:rPr>
          <w:rFonts w:ascii="Arial Narrow" w:hAnsi="Arial Narrow"/>
          <w:sz w:val="22"/>
          <w:szCs w:val="22"/>
        </w:rPr>
        <w:t>MassHealth DRG Weights and Mean All Payer Lengths of Stay</w:t>
      </w:r>
      <w:r w:rsidR="00181659" w:rsidRPr="001A631F">
        <w:rPr>
          <w:rFonts w:ascii="Arial Narrow" w:hAnsi="Arial Narrow"/>
          <w:sz w:val="22"/>
          <w:szCs w:val="22"/>
        </w:rPr>
        <w:t xml:space="preserve">. </w:t>
      </w:r>
    </w:p>
    <w:p w14:paraId="6BAECB1C" w14:textId="77777777" w:rsidR="00236522" w:rsidRDefault="00236522" w:rsidP="00C7728B">
      <w:pPr>
        <w:rPr>
          <w:rFonts w:ascii="Arial Narrow" w:hAnsi="Arial Narrow"/>
          <w:sz w:val="22"/>
          <w:szCs w:val="22"/>
        </w:rPr>
      </w:pPr>
    </w:p>
    <w:p w14:paraId="2BB2DE58" w14:textId="0A87F8FB" w:rsidR="00D34EF8" w:rsidRPr="001A631F" w:rsidRDefault="00C7728B" w:rsidP="00C7728B">
      <w:pPr>
        <w:rPr>
          <w:rFonts w:ascii="Arial Narrow" w:hAnsi="Arial Narrow"/>
          <w:sz w:val="22"/>
          <w:szCs w:val="22"/>
        </w:rPr>
      </w:pP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39" w:history="1">
        <w:r w:rsidR="00D34EF8" w:rsidRPr="00767102">
          <w:rPr>
            <w:rFonts w:ascii="Arial Narrow" w:hAnsi="Arial Narrow"/>
            <w:sz w:val="22"/>
            <w:szCs w:val="22"/>
            <w:u w:val="single"/>
          </w:rPr>
          <w:t xml:space="preserve">Chart C- Acute Hospital </w:t>
        </w:r>
        <w:r w:rsidR="00181DC5" w:rsidRPr="00767102">
          <w:rPr>
            <w:rFonts w:ascii="Arial Narrow" w:hAnsi="Arial Narrow"/>
            <w:sz w:val="22"/>
            <w:szCs w:val="22"/>
            <w:u w:val="single"/>
          </w:rPr>
          <w:t>RY</w:t>
        </w:r>
        <w:r w:rsidR="00181DC5">
          <w:rPr>
            <w:rFonts w:ascii="Arial Narrow" w:hAnsi="Arial Narrow"/>
            <w:sz w:val="22"/>
            <w:szCs w:val="22"/>
            <w:u w:val="single"/>
          </w:rPr>
          <w:t>21</w:t>
        </w:r>
        <w:r w:rsidR="00181DC5" w:rsidRPr="00767102">
          <w:rPr>
            <w:rFonts w:ascii="Arial Narrow" w:hAnsi="Arial Narrow"/>
            <w:sz w:val="22"/>
            <w:szCs w:val="22"/>
            <w:u w:val="single"/>
          </w:rPr>
          <w:t xml:space="preserve"> </w:t>
        </w:r>
        <w:r w:rsidR="00D34EF8" w:rsidRPr="00767102">
          <w:rPr>
            <w:rFonts w:ascii="Arial Narrow" w:hAnsi="Arial Narrow"/>
            <w:sz w:val="22"/>
            <w:szCs w:val="22"/>
            <w:u w:val="single"/>
          </w:rPr>
          <w:t>MassHealth DRG Weights and Mean All Payer Lengths of Stay</w:t>
        </w:r>
      </w:hyperlink>
    </w:p>
    <w:p w14:paraId="0808A279" w14:textId="77777777" w:rsidR="00D34EF8" w:rsidRPr="001A631F" w:rsidRDefault="00D34EF8" w:rsidP="00C7728B">
      <w:pPr>
        <w:rPr>
          <w:rFonts w:ascii="Arial Narrow" w:hAnsi="Arial Narrow"/>
          <w:sz w:val="22"/>
          <w:szCs w:val="22"/>
        </w:rPr>
      </w:pPr>
    </w:p>
    <w:p w14:paraId="17EDC8DE" w14:textId="6EDEFEB4" w:rsidR="008D1A8B" w:rsidRPr="001A631F" w:rsidRDefault="008D1A8B" w:rsidP="00CB7F4B">
      <w:pPr>
        <w:spacing w:after="600"/>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for discharges assigned a MassHealth DRG Weight of 3.5 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C9179E" w:rsidRPr="001A5D41">
        <w:rPr>
          <w:rFonts w:ascii="Arial Narrow" w:hAnsi="Arial Narrow"/>
          <w:sz w:val="22"/>
          <w:szCs w:val="22"/>
        </w:rPr>
        <w:t>19,993.81</w:t>
      </w:r>
      <w:r w:rsidR="00C9179E">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xml:space="preserve">; and </w:t>
      </w:r>
      <w:r w:rsidR="00C9179E">
        <w:rPr>
          <w:rFonts w:ascii="Arial Narrow" w:hAnsi="Arial Narrow"/>
          <w:sz w:val="22"/>
          <w:szCs w:val="22"/>
        </w:rPr>
        <w:t>$</w:t>
      </w:r>
      <w:r w:rsidR="00C9179E" w:rsidRPr="00C9179E">
        <w:rPr>
          <w:rFonts w:ascii="Arial Narrow" w:hAnsi="Arial Narrow"/>
          <w:sz w:val="22"/>
          <w:szCs w:val="22"/>
        </w:rPr>
        <w:t>17</w:t>
      </w:r>
      <w:r w:rsidR="00C9179E">
        <w:rPr>
          <w:rFonts w:ascii="Arial Narrow" w:hAnsi="Arial Narrow"/>
          <w:sz w:val="22"/>
          <w:szCs w:val="22"/>
        </w:rPr>
        <w:t>,</w:t>
      </w:r>
      <w:r w:rsidR="00C9179E" w:rsidRPr="00C9179E">
        <w:rPr>
          <w:rFonts w:ascii="Arial Narrow" w:hAnsi="Arial Narrow"/>
          <w:sz w:val="22"/>
          <w:szCs w:val="22"/>
        </w:rPr>
        <w:t>527.29</w:t>
      </w:r>
      <w:r w:rsidR="00C9179E">
        <w:rPr>
          <w:rFonts w:ascii="Arial Narrow" w:hAnsi="Arial Narrow"/>
          <w:sz w:val="22"/>
          <w:szCs w:val="22"/>
        </w:rPr>
        <w:t xml:space="preserve"> </w:t>
      </w:r>
      <w:r w:rsidRPr="001A631F">
        <w:rPr>
          <w:rFonts w:ascii="Arial Narrow" w:hAnsi="Arial Narrow"/>
          <w:sz w:val="22"/>
          <w:szCs w:val="22"/>
        </w:rPr>
        <w:t>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D44B9">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(Tufts Medical Center)</w:t>
      </w:r>
      <w:r w:rsidR="00303D58" w:rsidRPr="001A631F">
        <w:rPr>
          <w:rFonts w:ascii="Arial Narrow" w:hAnsi="Arial Narrow"/>
          <w:sz w:val="22"/>
          <w:szCs w:val="22"/>
        </w:rPr>
        <w:t xml:space="preserve">-- for discharges assigned a MassHealth DRG Weight of 3.5 or greater, the APAD Base Payment will be </w:t>
      </w:r>
      <w:r w:rsidR="00C9179E" w:rsidRPr="001A5D41">
        <w:rPr>
          <w:rFonts w:ascii="Arial Narrow" w:hAnsi="Arial Narrow"/>
          <w:sz w:val="22"/>
          <w:szCs w:val="22"/>
        </w:rPr>
        <w:t>$19,993.81</w:t>
      </w:r>
      <w:r w:rsidR="00B66780" w:rsidRPr="001A5D41">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CB7F4B" w:rsidRPr="001A631F">
        <w:rPr>
          <w:rFonts w:ascii="Arial Narrow" w:hAnsi="Arial Narrow"/>
          <w:sz w:val="22"/>
          <w:szCs w:val="22"/>
        </w:rPr>
        <w:t xml:space="preserve"> </w:t>
      </w:r>
    </w:p>
    <w:p w14:paraId="5BB26003" w14:textId="77777777" w:rsidR="00BF2952" w:rsidRDefault="0069359B" w:rsidP="006D0863">
      <w:pPr>
        <w:jc w:val="center"/>
        <w:rPr>
          <w:rFonts w:ascii="Arial Narrow" w:hAnsi="Arial Narrow"/>
          <w:b/>
          <w:sz w:val="28"/>
          <w:szCs w:val="28"/>
        </w:rPr>
      </w:pPr>
      <w:r w:rsidRPr="001406D6">
        <w:rPr>
          <w:rFonts w:ascii="Arial Narrow" w:hAnsi="Arial Narrow"/>
          <w:b/>
          <w:sz w:val="28"/>
          <w:szCs w:val="28"/>
        </w:rPr>
        <w:lastRenderedPageBreak/>
        <w:t>Critical Access Hospitals</w:t>
      </w:r>
    </w:p>
    <w:p w14:paraId="651A364B" w14:textId="77777777" w:rsidR="00D7561F" w:rsidRDefault="00D7561F" w:rsidP="00D7561F">
      <w:pPr>
        <w:jc w:val="center"/>
        <w:rPr>
          <w:rFonts w:ascii="Arial" w:hAnsi="Arial" w:cs="Arial"/>
          <w:b/>
          <w:sz w:val="28"/>
          <w:szCs w:val="28"/>
        </w:rPr>
      </w:pPr>
    </w:p>
    <w:p w14:paraId="39A1C7F8" w14:textId="2BECC472" w:rsidR="0073172C" w:rsidRDefault="0073172C" w:rsidP="0073172C">
      <w:pPr>
        <w:rPr>
          <w:rFonts w:ascii="Arial" w:hAnsi="Arial" w:cs="Arial"/>
          <w:b/>
          <w:sz w:val="20"/>
        </w:rPr>
      </w:pPr>
      <w:r w:rsidRPr="0073172C">
        <w:rPr>
          <w:rFonts w:ascii="Arial" w:hAnsi="Arial" w:cs="Arial"/>
          <w:b/>
          <w:sz w:val="20"/>
        </w:rPr>
        <w:t>Components of Adjudicated Payment Amount per Discharge (APAD), Outlier Payment, &amp; Transfer Per Diem Rates*</w:t>
      </w:r>
    </w:p>
    <w:p w14:paraId="353926A0" w14:textId="6C8BA077" w:rsidR="00D61B40" w:rsidRDefault="00D61B40" w:rsidP="0073172C">
      <w:pPr>
        <w:rPr>
          <w:rFonts w:ascii="Arial" w:hAnsi="Arial" w:cs="Arial"/>
          <w:b/>
          <w:sz w:val="20"/>
        </w:rPr>
      </w:pPr>
    </w:p>
    <w:tbl>
      <w:tblPr>
        <w:tblW w:w="4753" w:type="pct"/>
        <w:tblLook w:val="04A0" w:firstRow="1" w:lastRow="0" w:firstColumn="1" w:lastColumn="0" w:noHBand="0" w:noVBand="1"/>
      </w:tblPr>
      <w:tblGrid>
        <w:gridCol w:w="4868"/>
        <w:gridCol w:w="2490"/>
        <w:gridCol w:w="2490"/>
        <w:gridCol w:w="2490"/>
        <w:gridCol w:w="1556"/>
      </w:tblGrid>
      <w:tr w:rsidR="00D61B40" w:rsidRPr="001A5D41" w14:paraId="1672B305" w14:textId="77777777" w:rsidTr="0090762F">
        <w:trPr>
          <w:trHeight w:val="1108"/>
        </w:trPr>
        <w:tc>
          <w:tcPr>
            <w:tcW w:w="17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D2CD25"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Critical Access Hospitals**</w:t>
            </w:r>
            <w:r w:rsidRPr="001A5D41">
              <w:rPr>
                <w:rFonts w:ascii="Arial" w:hAnsi="Arial" w:cs="Arial"/>
                <w:b/>
                <w:bCs/>
                <w:spacing w:val="0"/>
                <w:sz w:val="20"/>
              </w:rPr>
              <w:br/>
              <w:t>In-State Provider</w:t>
            </w:r>
          </w:p>
        </w:tc>
        <w:tc>
          <w:tcPr>
            <w:tcW w:w="896" w:type="pct"/>
            <w:tcBorders>
              <w:top w:val="single" w:sz="4" w:space="0" w:color="auto"/>
              <w:left w:val="nil"/>
              <w:bottom w:val="single" w:sz="4" w:space="0" w:color="auto"/>
              <w:right w:val="nil"/>
            </w:tcBorders>
            <w:shd w:val="clear" w:color="000000" w:fill="D9D9D9"/>
            <w:vAlign w:val="bottom"/>
            <w:hideMark/>
          </w:tcPr>
          <w:p w14:paraId="5C14D91C"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 xml:space="preserve"> CAH-Specific Total Standard Rate per Discharge </w:t>
            </w:r>
          </w:p>
        </w:tc>
        <w:tc>
          <w:tcPr>
            <w:tcW w:w="896" w:type="pct"/>
            <w:tcBorders>
              <w:top w:val="single" w:sz="4" w:space="0" w:color="auto"/>
              <w:left w:val="nil"/>
              <w:bottom w:val="single" w:sz="4" w:space="0" w:color="auto"/>
              <w:right w:val="nil"/>
            </w:tcBorders>
            <w:shd w:val="clear" w:color="000000" w:fill="D9D9D9"/>
            <w:vAlign w:val="bottom"/>
            <w:hideMark/>
          </w:tcPr>
          <w:p w14:paraId="26D9EAC1"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Hospital Cost-to-Charge Ratio</w:t>
            </w:r>
          </w:p>
        </w:tc>
        <w:tc>
          <w:tcPr>
            <w:tcW w:w="896" w:type="pct"/>
            <w:tcBorders>
              <w:top w:val="single" w:sz="4" w:space="0" w:color="auto"/>
              <w:left w:val="nil"/>
              <w:bottom w:val="single" w:sz="4" w:space="0" w:color="auto"/>
              <w:right w:val="nil"/>
            </w:tcBorders>
            <w:shd w:val="clear" w:color="000000" w:fill="D9D9D9"/>
            <w:vAlign w:val="bottom"/>
            <w:hideMark/>
          </w:tcPr>
          <w:p w14:paraId="110FB0F4"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 xml:space="preserve"> Fixed Outlier Threshold </w:t>
            </w:r>
          </w:p>
        </w:tc>
        <w:tc>
          <w:tcPr>
            <w:tcW w:w="560" w:type="pct"/>
            <w:tcBorders>
              <w:top w:val="single" w:sz="4" w:space="0" w:color="auto"/>
              <w:left w:val="nil"/>
              <w:bottom w:val="single" w:sz="4" w:space="0" w:color="auto"/>
              <w:right w:val="single" w:sz="4" w:space="0" w:color="auto"/>
            </w:tcBorders>
            <w:shd w:val="clear" w:color="000000" w:fill="D9D9D9"/>
            <w:vAlign w:val="bottom"/>
            <w:hideMark/>
          </w:tcPr>
          <w:p w14:paraId="22043505" w14:textId="77777777" w:rsidR="00D61B40" w:rsidRPr="001A5D41" w:rsidRDefault="00D61B40" w:rsidP="0090762F">
            <w:pPr>
              <w:jc w:val="center"/>
              <w:rPr>
                <w:rFonts w:ascii="Arial" w:hAnsi="Arial" w:cs="Arial"/>
                <w:b/>
                <w:bCs/>
                <w:spacing w:val="0"/>
                <w:sz w:val="20"/>
              </w:rPr>
            </w:pPr>
            <w:r w:rsidRPr="001A5D41">
              <w:rPr>
                <w:rFonts w:ascii="Arial" w:hAnsi="Arial" w:cs="Arial"/>
                <w:b/>
                <w:bCs/>
                <w:spacing w:val="0"/>
                <w:sz w:val="20"/>
              </w:rPr>
              <w:t>Marginal Cost Factor</w:t>
            </w:r>
          </w:p>
        </w:tc>
      </w:tr>
      <w:tr w:rsidR="00D61B40" w:rsidRPr="001A5D41" w14:paraId="5219D0F1" w14:textId="77777777" w:rsidTr="0090762F">
        <w:trPr>
          <w:trHeight w:val="286"/>
        </w:trPr>
        <w:tc>
          <w:tcPr>
            <w:tcW w:w="1752" w:type="pct"/>
            <w:tcBorders>
              <w:top w:val="nil"/>
              <w:left w:val="single" w:sz="4" w:space="0" w:color="auto"/>
              <w:bottom w:val="nil"/>
              <w:right w:val="single" w:sz="4" w:space="0" w:color="auto"/>
            </w:tcBorders>
            <w:shd w:val="clear" w:color="auto" w:fill="auto"/>
            <w:noWrap/>
            <w:vAlign w:val="bottom"/>
            <w:hideMark/>
          </w:tcPr>
          <w:p w14:paraId="494A951E" w14:textId="2E303375" w:rsidR="00D61B40" w:rsidRPr="001A5D41" w:rsidRDefault="00D61B40" w:rsidP="00D61B40">
            <w:pPr>
              <w:rPr>
                <w:rFonts w:ascii="Arial" w:hAnsi="Arial" w:cs="Arial"/>
                <w:spacing w:val="0"/>
                <w:sz w:val="20"/>
              </w:rPr>
            </w:pPr>
            <w:r w:rsidRPr="001A5D41">
              <w:rPr>
                <w:rFonts w:ascii="Arial" w:hAnsi="Arial" w:cs="Arial"/>
                <w:sz w:val="20"/>
              </w:rPr>
              <w:t>Athol Memorial Hospital**</w:t>
            </w:r>
          </w:p>
        </w:tc>
        <w:tc>
          <w:tcPr>
            <w:tcW w:w="896" w:type="pct"/>
            <w:tcBorders>
              <w:top w:val="nil"/>
              <w:left w:val="nil"/>
              <w:bottom w:val="nil"/>
              <w:right w:val="nil"/>
            </w:tcBorders>
            <w:shd w:val="clear" w:color="auto" w:fill="auto"/>
            <w:noWrap/>
            <w:vAlign w:val="bottom"/>
            <w:hideMark/>
          </w:tcPr>
          <w:p w14:paraId="4D47729E" w14:textId="3D496B50" w:rsidR="00D61B40" w:rsidRPr="001A5D41" w:rsidRDefault="00D61B40" w:rsidP="00643369">
            <w:pPr>
              <w:ind w:firstLine="532"/>
              <w:rPr>
                <w:rFonts w:ascii="Arial" w:hAnsi="Arial" w:cs="Arial"/>
                <w:spacing w:val="0"/>
                <w:sz w:val="20"/>
              </w:rPr>
            </w:pPr>
            <w:r w:rsidRPr="001A5D41">
              <w:rPr>
                <w:rFonts w:ascii="Arial" w:hAnsi="Arial" w:cs="Arial"/>
                <w:sz w:val="20"/>
              </w:rPr>
              <w:t xml:space="preserve"> </w:t>
            </w:r>
            <w:r w:rsidR="00643369">
              <w:rPr>
                <w:rFonts w:ascii="Arial" w:hAnsi="Arial" w:cs="Arial"/>
                <w:sz w:val="20"/>
              </w:rPr>
              <w:t xml:space="preserve">  </w:t>
            </w:r>
            <w:r w:rsidRPr="001A5D41">
              <w:rPr>
                <w:rFonts w:ascii="Arial" w:hAnsi="Arial" w:cs="Arial"/>
                <w:sz w:val="20"/>
              </w:rPr>
              <w:t xml:space="preserve">$16,006.52 </w:t>
            </w:r>
          </w:p>
        </w:tc>
        <w:tc>
          <w:tcPr>
            <w:tcW w:w="896" w:type="pct"/>
            <w:tcBorders>
              <w:top w:val="nil"/>
              <w:left w:val="nil"/>
              <w:bottom w:val="nil"/>
              <w:right w:val="nil"/>
            </w:tcBorders>
            <w:shd w:val="clear" w:color="auto" w:fill="auto"/>
            <w:noWrap/>
            <w:vAlign w:val="bottom"/>
            <w:hideMark/>
          </w:tcPr>
          <w:p w14:paraId="4905059E" w14:textId="5D8E449A" w:rsidR="00D61B40" w:rsidRPr="001A5D41" w:rsidRDefault="00D61B40" w:rsidP="00D61B40">
            <w:pPr>
              <w:jc w:val="center"/>
              <w:rPr>
                <w:rFonts w:ascii="Arial" w:hAnsi="Arial" w:cs="Arial"/>
                <w:spacing w:val="0"/>
                <w:sz w:val="20"/>
              </w:rPr>
            </w:pPr>
            <w:r w:rsidRPr="001A5D41">
              <w:rPr>
                <w:rFonts w:ascii="Arial" w:hAnsi="Arial" w:cs="Arial"/>
                <w:sz w:val="20"/>
              </w:rPr>
              <w:t>85.07%</w:t>
            </w:r>
          </w:p>
        </w:tc>
        <w:tc>
          <w:tcPr>
            <w:tcW w:w="896" w:type="pct"/>
            <w:tcBorders>
              <w:top w:val="nil"/>
              <w:left w:val="nil"/>
              <w:bottom w:val="nil"/>
              <w:right w:val="nil"/>
            </w:tcBorders>
            <w:shd w:val="clear" w:color="auto" w:fill="auto"/>
            <w:noWrap/>
            <w:vAlign w:val="bottom"/>
            <w:hideMark/>
          </w:tcPr>
          <w:p w14:paraId="60B55FA7" w14:textId="7C629E0D" w:rsidR="00D61B40" w:rsidRPr="001A5D41" w:rsidRDefault="00D61B40" w:rsidP="00643369">
            <w:pPr>
              <w:ind w:firstLine="682"/>
              <w:rPr>
                <w:rFonts w:ascii="Arial" w:hAnsi="Arial" w:cs="Arial"/>
                <w:spacing w:val="0"/>
                <w:sz w:val="20"/>
              </w:rPr>
            </w:pPr>
            <w:r w:rsidRPr="001A5D41">
              <w:rPr>
                <w:rFonts w:ascii="Arial" w:hAnsi="Arial" w:cs="Arial"/>
                <w:sz w:val="20"/>
              </w:rPr>
              <w:t xml:space="preserve">$38,400.00 </w:t>
            </w:r>
          </w:p>
        </w:tc>
        <w:tc>
          <w:tcPr>
            <w:tcW w:w="560" w:type="pct"/>
            <w:tcBorders>
              <w:top w:val="nil"/>
              <w:left w:val="nil"/>
              <w:bottom w:val="nil"/>
              <w:right w:val="single" w:sz="4" w:space="0" w:color="auto"/>
            </w:tcBorders>
            <w:shd w:val="clear" w:color="auto" w:fill="auto"/>
            <w:noWrap/>
            <w:vAlign w:val="bottom"/>
            <w:hideMark/>
          </w:tcPr>
          <w:p w14:paraId="29238108" w14:textId="20BBD5EE" w:rsidR="00D61B40" w:rsidRPr="001A5D41" w:rsidRDefault="00D61B40" w:rsidP="00D61B40">
            <w:pPr>
              <w:jc w:val="right"/>
              <w:rPr>
                <w:rFonts w:ascii="Arial" w:hAnsi="Arial" w:cs="Arial"/>
                <w:spacing w:val="0"/>
                <w:sz w:val="20"/>
              </w:rPr>
            </w:pPr>
            <w:r w:rsidRPr="001A5D41">
              <w:rPr>
                <w:rFonts w:ascii="Arial" w:hAnsi="Arial" w:cs="Arial"/>
                <w:sz w:val="20"/>
              </w:rPr>
              <w:t>60%</w:t>
            </w:r>
          </w:p>
        </w:tc>
      </w:tr>
      <w:tr w:rsidR="00D61B40" w:rsidRPr="001A5D41" w14:paraId="2CF302AB" w14:textId="77777777" w:rsidTr="0090762F">
        <w:trPr>
          <w:trHeight w:val="286"/>
        </w:trPr>
        <w:tc>
          <w:tcPr>
            <w:tcW w:w="1752" w:type="pct"/>
            <w:tcBorders>
              <w:top w:val="nil"/>
              <w:left w:val="single" w:sz="4" w:space="0" w:color="auto"/>
              <w:bottom w:val="nil"/>
              <w:right w:val="single" w:sz="4" w:space="0" w:color="auto"/>
            </w:tcBorders>
            <w:shd w:val="clear" w:color="auto" w:fill="auto"/>
            <w:noWrap/>
            <w:vAlign w:val="bottom"/>
            <w:hideMark/>
          </w:tcPr>
          <w:p w14:paraId="4371A0DE" w14:textId="76A1B3F5" w:rsidR="00D61B40" w:rsidRPr="001A5D41" w:rsidRDefault="00D61B40" w:rsidP="00D61B40">
            <w:pPr>
              <w:rPr>
                <w:rFonts w:ascii="Arial" w:hAnsi="Arial" w:cs="Arial"/>
                <w:spacing w:val="0"/>
                <w:sz w:val="20"/>
              </w:rPr>
            </w:pPr>
            <w:r w:rsidRPr="001A5D41">
              <w:rPr>
                <w:rFonts w:ascii="Arial" w:hAnsi="Arial" w:cs="Arial"/>
                <w:sz w:val="20"/>
              </w:rPr>
              <w:t>Fairview Hospital**</w:t>
            </w:r>
          </w:p>
        </w:tc>
        <w:tc>
          <w:tcPr>
            <w:tcW w:w="896" w:type="pct"/>
            <w:tcBorders>
              <w:top w:val="nil"/>
              <w:left w:val="nil"/>
              <w:bottom w:val="nil"/>
              <w:right w:val="nil"/>
            </w:tcBorders>
            <w:shd w:val="clear" w:color="auto" w:fill="auto"/>
            <w:noWrap/>
            <w:vAlign w:val="bottom"/>
            <w:hideMark/>
          </w:tcPr>
          <w:p w14:paraId="79352D07" w14:textId="6E564272" w:rsidR="00D61B40" w:rsidRPr="001A5D41" w:rsidRDefault="00D61B40" w:rsidP="00643369">
            <w:pPr>
              <w:ind w:firstLine="622"/>
              <w:rPr>
                <w:rFonts w:ascii="Arial" w:hAnsi="Arial" w:cs="Arial"/>
                <w:spacing w:val="0"/>
                <w:sz w:val="20"/>
              </w:rPr>
            </w:pPr>
            <w:r w:rsidRPr="001A5D41">
              <w:rPr>
                <w:rFonts w:ascii="Arial" w:hAnsi="Arial" w:cs="Arial"/>
                <w:sz w:val="20"/>
              </w:rPr>
              <w:t xml:space="preserve"> $19,257.76 </w:t>
            </w:r>
          </w:p>
        </w:tc>
        <w:tc>
          <w:tcPr>
            <w:tcW w:w="896" w:type="pct"/>
            <w:tcBorders>
              <w:top w:val="nil"/>
              <w:left w:val="nil"/>
              <w:bottom w:val="nil"/>
              <w:right w:val="nil"/>
            </w:tcBorders>
            <w:shd w:val="clear" w:color="auto" w:fill="auto"/>
            <w:noWrap/>
            <w:vAlign w:val="bottom"/>
            <w:hideMark/>
          </w:tcPr>
          <w:p w14:paraId="080D5138" w14:textId="1103BFA0" w:rsidR="00D61B40" w:rsidRPr="001A5D41" w:rsidRDefault="00D61B40" w:rsidP="00D61B40">
            <w:pPr>
              <w:jc w:val="center"/>
              <w:rPr>
                <w:rFonts w:ascii="Arial" w:hAnsi="Arial" w:cs="Arial"/>
                <w:spacing w:val="0"/>
                <w:sz w:val="20"/>
              </w:rPr>
            </w:pPr>
            <w:r w:rsidRPr="001A5D41">
              <w:rPr>
                <w:rFonts w:ascii="Arial" w:hAnsi="Arial" w:cs="Arial"/>
                <w:sz w:val="20"/>
              </w:rPr>
              <w:t>93.66%</w:t>
            </w:r>
          </w:p>
        </w:tc>
        <w:tc>
          <w:tcPr>
            <w:tcW w:w="896" w:type="pct"/>
            <w:tcBorders>
              <w:top w:val="nil"/>
              <w:left w:val="nil"/>
              <w:bottom w:val="nil"/>
              <w:right w:val="nil"/>
            </w:tcBorders>
            <w:shd w:val="clear" w:color="auto" w:fill="auto"/>
            <w:noWrap/>
            <w:vAlign w:val="bottom"/>
            <w:hideMark/>
          </w:tcPr>
          <w:p w14:paraId="01F18593" w14:textId="2B105DE4" w:rsidR="00D61B40" w:rsidRPr="001A5D41" w:rsidRDefault="00D61B40" w:rsidP="00643369">
            <w:pPr>
              <w:ind w:firstLine="682"/>
              <w:rPr>
                <w:rFonts w:ascii="Arial" w:hAnsi="Arial" w:cs="Arial"/>
                <w:spacing w:val="0"/>
                <w:sz w:val="20"/>
              </w:rPr>
            </w:pPr>
            <w:r w:rsidRPr="001A5D41">
              <w:rPr>
                <w:rFonts w:ascii="Arial" w:hAnsi="Arial" w:cs="Arial"/>
                <w:sz w:val="20"/>
              </w:rPr>
              <w:t xml:space="preserve">$38,400.00 </w:t>
            </w:r>
          </w:p>
        </w:tc>
        <w:tc>
          <w:tcPr>
            <w:tcW w:w="560" w:type="pct"/>
            <w:tcBorders>
              <w:top w:val="nil"/>
              <w:left w:val="nil"/>
              <w:bottom w:val="nil"/>
              <w:right w:val="single" w:sz="4" w:space="0" w:color="auto"/>
            </w:tcBorders>
            <w:shd w:val="clear" w:color="auto" w:fill="auto"/>
            <w:noWrap/>
            <w:vAlign w:val="bottom"/>
            <w:hideMark/>
          </w:tcPr>
          <w:p w14:paraId="299DFCAB" w14:textId="67B6F2E7" w:rsidR="00D61B40" w:rsidRPr="001A5D41" w:rsidRDefault="00D61B40" w:rsidP="00D61B40">
            <w:pPr>
              <w:jc w:val="right"/>
              <w:rPr>
                <w:rFonts w:ascii="Arial" w:hAnsi="Arial" w:cs="Arial"/>
                <w:spacing w:val="0"/>
                <w:sz w:val="20"/>
              </w:rPr>
            </w:pPr>
            <w:r w:rsidRPr="001A5D41">
              <w:rPr>
                <w:rFonts w:ascii="Arial" w:hAnsi="Arial" w:cs="Arial"/>
                <w:sz w:val="20"/>
              </w:rPr>
              <w:t>60%</w:t>
            </w:r>
          </w:p>
        </w:tc>
      </w:tr>
      <w:tr w:rsidR="00D61B40" w:rsidRPr="001A5D41" w14:paraId="0EB6AF30" w14:textId="77777777" w:rsidTr="0090762F">
        <w:trPr>
          <w:trHeight w:val="286"/>
        </w:trPr>
        <w:tc>
          <w:tcPr>
            <w:tcW w:w="1752" w:type="pct"/>
            <w:tcBorders>
              <w:top w:val="nil"/>
              <w:left w:val="single" w:sz="4" w:space="0" w:color="auto"/>
              <w:bottom w:val="single" w:sz="4" w:space="0" w:color="auto"/>
              <w:right w:val="single" w:sz="4" w:space="0" w:color="auto"/>
            </w:tcBorders>
            <w:shd w:val="clear" w:color="auto" w:fill="auto"/>
            <w:noWrap/>
            <w:vAlign w:val="bottom"/>
            <w:hideMark/>
          </w:tcPr>
          <w:p w14:paraId="01BA1CBD" w14:textId="158833D5" w:rsidR="00D61B40" w:rsidRPr="001A5D41" w:rsidRDefault="00D61B40" w:rsidP="00D61B40">
            <w:pPr>
              <w:rPr>
                <w:rFonts w:ascii="Arial" w:hAnsi="Arial" w:cs="Arial"/>
                <w:spacing w:val="0"/>
                <w:sz w:val="20"/>
              </w:rPr>
            </w:pPr>
            <w:r w:rsidRPr="001A5D41">
              <w:rPr>
                <w:rFonts w:ascii="Arial" w:hAnsi="Arial" w:cs="Arial"/>
                <w:sz w:val="20"/>
              </w:rPr>
              <w:t>Martha's Vineyard Hospital**</w:t>
            </w:r>
          </w:p>
        </w:tc>
        <w:tc>
          <w:tcPr>
            <w:tcW w:w="896" w:type="pct"/>
            <w:tcBorders>
              <w:top w:val="nil"/>
              <w:left w:val="nil"/>
              <w:bottom w:val="single" w:sz="4" w:space="0" w:color="auto"/>
              <w:right w:val="nil"/>
            </w:tcBorders>
            <w:shd w:val="clear" w:color="auto" w:fill="auto"/>
            <w:noWrap/>
            <w:vAlign w:val="bottom"/>
            <w:hideMark/>
          </w:tcPr>
          <w:p w14:paraId="5BED1E21" w14:textId="2DEECD5E" w:rsidR="00D61B40" w:rsidRPr="001A5D41" w:rsidRDefault="00D61B40" w:rsidP="00643369">
            <w:pPr>
              <w:ind w:firstLine="622"/>
              <w:rPr>
                <w:rFonts w:ascii="Arial" w:hAnsi="Arial" w:cs="Arial"/>
                <w:spacing w:val="0"/>
                <w:sz w:val="20"/>
              </w:rPr>
            </w:pPr>
            <w:r w:rsidRPr="001A5D41">
              <w:rPr>
                <w:rFonts w:ascii="Arial" w:hAnsi="Arial" w:cs="Arial"/>
                <w:sz w:val="20"/>
              </w:rPr>
              <w:t xml:space="preserve"> $25,311.41 </w:t>
            </w:r>
          </w:p>
        </w:tc>
        <w:tc>
          <w:tcPr>
            <w:tcW w:w="896" w:type="pct"/>
            <w:tcBorders>
              <w:top w:val="nil"/>
              <w:left w:val="nil"/>
              <w:bottom w:val="single" w:sz="4" w:space="0" w:color="auto"/>
              <w:right w:val="nil"/>
            </w:tcBorders>
            <w:shd w:val="clear" w:color="auto" w:fill="auto"/>
            <w:noWrap/>
            <w:vAlign w:val="bottom"/>
            <w:hideMark/>
          </w:tcPr>
          <w:p w14:paraId="32A9BCEC" w14:textId="300B292C" w:rsidR="00D61B40" w:rsidRPr="001A5D41" w:rsidRDefault="00D61B40" w:rsidP="00D61B40">
            <w:pPr>
              <w:jc w:val="center"/>
              <w:rPr>
                <w:rFonts w:ascii="Arial" w:hAnsi="Arial" w:cs="Arial"/>
                <w:spacing w:val="0"/>
                <w:sz w:val="20"/>
              </w:rPr>
            </w:pPr>
            <w:r w:rsidRPr="001A5D41">
              <w:rPr>
                <w:rFonts w:ascii="Arial" w:hAnsi="Arial" w:cs="Arial"/>
                <w:sz w:val="20"/>
              </w:rPr>
              <w:t>87.92%</w:t>
            </w:r>
          </w:p>
        </w:tc>
        <w:tc>
          <w:tcPr>
            <w:tcW w:w="896" w:type="pct"/>
            <w:tcBorders>
              <w:top w:val="nil"/>
              <w:left w:val="nil"/>
              <w:bottom w:val="single" w:sz="4" w:space="0" w:color="auto"/>
              <w:right w:val="nil"/>
            </w:tcBorders>
            <w:shd w:val="clear" w:color="auto" w:fill="auto"/>
            <w:noWrap/>
            <w:vAlign w:val="bottom"/>
            <w:hideMark/>
          </w:tcPr>
          <w:p w14:paraId="34C1678D" w14:textId="44A69F93" w:rsidR="00D61B40" w:rsidRPr="001A5D41" w:rsidRDefault="00D61B40" w:rsidP="00643369">
            <w:pPr>
              <w:tabs>
                <w:tab w:val="left" w:pos="772"/>
              </w:tabs>
              <w:ind w:firstLine="682"/>
              <w:rPr>
                <w:rFonts w:ascii="Arial" w:hAnsi="Arial" w:cs="Arial"/>
                <w:spacing w:val="0"/>
                <w:sz w:val="20"/>
              </w:rPr>
            </w:pPr>
            <w:r w:rsidRPr="001A5D41">
              <w:rPr>
                <w:rFonts w:ascii="Arial" w:hAnsi="Arial" w:cs="Arial"/>
                <w:sz w:val="20"/>
              </w:rPr>
              <w:t xml:space="preserve"> $38,400.00 </w:t>
            </w:r>
          </w:p>
        </w:tc>
        <w:tc>
          <w:tcPr>
            <w:tcW w:w="560" w:type="pct"/>
            <w:tcBorders>
              <w:top w:val="nil"/>
              <w:left w:val="nil"/>
              <w:bottom w:val="single" w:sz="4" w:space="0" w:color="auto"/>
              <w:right w:val="single" w:sz="4" w:space="0" w:color="auto"/>
            </w:tcBorders>
            <w:shd w:val="clear" w:color="auto" w:fill="auto"/>
            <w:noWrap/>
            <w:vAlign w:val="bottom"/>
            <w:hideMark/>
          </w:tcPr>
          <w:p w14:paraId="7AAE6070" w14:textId="667B324A" w:rsidR="00D61B40" w:rsidRPr="001A5D41" w:rsidRDefault="00D61B40" w:rsidP="00D61B40">
            <w:pPr>
              <w:jc w:val="right"/>
              <w:rPr>
                <w:rFonts w:ascii="Arial" w:hAnsi="Arial" w:cs="Arial"/>
                <w:spacing w:val="0"/>
                <w:sz w:val="20"/>
              </w:rPr>
            </w:pPr>
            <w:r w:rsidRPr="001A5D41">
              <w:rPr>
                <w:rFonts w:ascii="Arial" w:hAnsi="Arial" w:cs="Arial"/>
                <w:sz w:val="20"/>
              </w:rPr>
              <w:t>60%</w:t>
            </w:r>
          </w:p>
        </w:tc>
      </w:tr>
    </w:tbl>
    <w:p w14:paraId="4397D4FD" w14:textId="77777777" w:rsidR="00D61B40" w:rsidRPr="001A5D41" w:rsidRDefault="00D61B40" w:rsidP="0073172C">
      <w:pPr>
        <w:rPr>
          <w:rFonts w:ascii="Arial" w:hAnsi="Arial" w:cs="Arial"/>
          <w:b/>
          <w:sz w:val="20"/>
        </w:rPr>
      </w:pPr>
    </w:p>
    <w:p w14:paraId="0E813E14" w14:textId="77777777" w:rsidR="0073172C" w:rsidRPr="001A5D41" w:rsidRDefault="0073172C" w:rsidP="0073172C">
      <w:pPr>
        <w:rPr>
          <w:rFonts w:ascii="Arial" w:hAnsi="Arial" w:cs="Arial"/>
          <w:b/>
          <w:sz w:val="20"/>
        </w:rPr>
      </w:pPr>
    </w:p>
    <w:p w14:paraId="6DF94578" w14:textId="4A1A3DEC" w:rsidR="006D0863" w:rsidRPr="001A5D41" w:rsidRDefault="0073172C" w:rsidP="0073172C">
      <w:pPr>
        <w:rPr>
          <w:rFonts w:ascii="Arial" w:hAnsi="Arial" w:cs="Arial"/>
          <w:b/>
          <w:sz w:val="20"/>
        </w:rPr>
      </w:pPr>
      <w:r w:rsidRPr="001A5D41">
        <w:rPr>
          <w:rFonts w:ascii="Arial" w:hAnsi="Arial" w:cs="Arial"/>
          <w:b/>
          <w:sz w:val="20"/>
        </w:rPr>
        <w:t>Other Per Diem Rates</w:t>
      </w:r>
    </w:p>
    <w:p w14:paraId="6BC667EA" w14:textId="77777777" w:rsidR="006B5790" w:rsidRPr="001A5D41" w:rsidRDefault="006B5790" w:rsidP="0073172C">
      <w:pPr>
        <w:rPr>
          <w:rFonts w:ascii="Arial" w:hAnsi="Arial" w:cs="Arial"/>
          <w:b/>
          <w:sz w:val="20"/>
        </w:rPr>
      </w:pPr>
    </w:p>
    <w:tbl>
      <w:tblPr>
        <w:tblW w:w="9020" w:type="dxa"/>
        <w:tblInd w:w="103" w:type="dxa"/>
        <w:tblLook w:val="04A0" w:firstRow="1" w:lastRow="0" w:firstColumn="1" w:lastColumn="0" w:noHBand="0" w:noVBand="1"/>
      </w:tblPr>
      <w:tblGrid>
        <w:gridCol w:w="3560"/>
        <w:gridCol w:w="1820"/>
        <w:gridCol w:w="1820"/>
        <w:gridCol w:w="1820"/>
      </w:tblGrid>
      <w:tr w:rsidR="006B5790" w:rsidRPr="001A5D41" w14:paraId="0205B5E5" w14:textId="77777777" w:rsidTr="0090762F">
        <w:trPr>
          <w:trHeight w:val="792"/>
        </w:trPr>
        <w:tc>
          <w:tcPr>
            <w:tcW w:w="3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3E7674"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Critical Access Hospitals**</w:t>
            </w:r>
            <w:r w:rsidRPr="001A5D41">
              <w:rPr>
                <w:rFonts w:ascii="Arial" w:hAnsi="Arial" w:cs="Arial"/>
                <w:b/>
                <w:bCs/>
                <w:spacing w:val="0"/>
                <w:sz w:val="20"/>
              </w:rPr>
              <w:br/>
              <w:t>In-State Provider</w:t>
            </w:r>
          </w:p>
        </w:tc>
        <w:tc>
          <w:tcPr>
            <w:tcW w:w="1820" w:type="dxa"/>
            <w:tcBorders>
              <w:top w:val="single" w:sz="4" w:space="0" w:color="auto"/>
              <w:left w:val="nil"/>
              <w:bottom w:val="single" w:sz="4" w:space="0" w:color="auto"/>
              <w:right w:val="nil"/>
            </w:tcBorders>
            <w:shd w:val="clear" w:color="000000" w:fill="D9D9D9"/>
            <w:vAlign w:val="bottom"/>
            <w:hideMark/>
          </w:tcPr>
          <w:p w14:paraId="36531436"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Administrative Day without Medicare Part B</w:t>
            </w:r>
          </w:p>
        </w:tc>
        <w:tc>
          <w:tcPr>
            <w:tcW w:w="1820" w:type="dxa"/>
            <w:tcBorders>
              <w:top w:val="single" w:sz="4" w:space="0" w:color="auto"/>
              <w:left w:val="nil"/>
              <w:bottom w:val="single" w:sz="4" w:space="0" w:color="auto"/>
              <w:right w:val="nil"/>
            </w:tcBorders>
            <w:shd w:val="clear" w:color="000000" w:fill="D9D9D9"/>
            <w:vAlign w:val="bottom"/>
            <w:hideMark/>
          </w:tcPr>
          <w:p w14:paraId="2C3B2DD1"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Administrative Day with Medicare Part B</w:t>
            </w:r>
          </w:p>
        </w:tc>
        <w:tc>
          <w:tcPr>
            <w:tcW w:w="1820" w:type="dxa"/>
            <w:tcBorders>
              <w:top w:val="single" w:sz="4" w:space="0" w:color="auto"/>
              <w:left w:val="nil"/>
              <w:bottom w:val="single" w:sz="4" w:space="0" w:color="auto"/>
              <w:right w:val="single" w:sz="4" w:space="0" w:color="auto"/>
            </w:tcBorders>
            <w:shd w:val="clear" w:color="000000" w:fill="D9D9D9"/>
            <w:vAlign w:val="bottom"/>
            <w:hideMark/>
          </w:tcPr>
          <w:p w14:paraId="7559685D" w14:textId="77777777" w:rsidR="006B5790" w:rsidRPr="001A5D41" w:rsidRDefault="006B5790" w:rsidP="0090762F">
            <w:pPr>
              <w:jc w:val="center"/>
              <w:rPr>
                <w:rFonts w:ascii="Arial" w:hAnsi="Arial" w:cs="Arial"/>
                <w:b/>
                <w:bCs/>
                <w:spacing w:val="0"/>
                <w:sz w:val="20"/>
              </w:rPr>
            </w:pPr>
            <w:r w:rsidRPr="001A5D41">
              <w:rPr>
                <w:rFonts w:ascii="Arial" w:hAnsi="Arial" w:cs="Arial"/>
                <w:b/>
                <w:bCs/>
                <w:spacing w:val="0"/>
                <w:sz w:val="20"/>
              </w:rPr>
              <w:t xml:space="preserve"> Psychiatric per Diem </w:t>
            </w:r>
          </w:p>
        </w:tc>
      </w:tr>
      <w:tr w:rsidR="00241DD4" w:rsidRPr="001A5D41" w14:paraId="149D98BA" w14:textId="77777777" w:rsidTr="0090762F">
        <w:trPr>
          <w:trHeight w:val="264"/>
        </w:trPr>
        <w:tc>
          <w:tcPr>
            <w:tcW w:w="3560" w:type="dxa"/>
            <w:tcBorders>
              <w:top w:val="nil"/>
              <w:left w:val="single" w:sz="4" w:space="0" w:color="auto"/>
              <w:bottom w:val="nil"/>
              <w:right w:val="single" w:sz="4" w:space="0" w:color="auto"/>
            </w:tcBorders>
            <w:shd w:val="clear" w:color="auto" w:fill="auto"/>
            <w:noWrap/>
            <w:vAlign w:val="bottom"/>
            <w:hideMark/>
          </w:tcPr>
          <w:p w14:paraId="301FBA48" w14:textId="77777777" w:rsidR="00241DD4" w:rsidRPr="001A5D41" w:rsidRDefault="00241DD4" w:rsidP="00241DD4">
            <w:pPr>
              <w:rPr>
                <w:rFonts w:ascii="Arial" w:hAnsi="Arial" w:cs="Arial"/>
                <w:spacing w:val="0"/>
                <w:sz w:val="20"/>
              </w:rPr>
            </w:pPr>
            <w:r w:rsidRPr="001A5D41">
              <w:rPr>
                <w:rFonts w:ascii="Arial" w:hAnsi="Arial" w:cs="Arial"/>
                <w:spacing w:val="0"/>
                <w:sz w:val="20"/>
              </w:rPr>
              <w:t>Athol Memorial Hospital**</w:t>
            </w:r>
          </w:p>
        </w:tc>
        <w:tc>
          <w:tcPr>
            <w:tcW w:w="1820" w:type="dxa"/>
            <w:tcBorders>
              <w:top w:val="nil"/>
              <w:left w:val="nil"/>
              <w:bottom w:val="nil"/>
              <w:right w:val="nil"/>
            </w:tcBorders>
            <w:shd w:val="clear" w:color="auto" w:fill="auto"/>
            <w:noWrap/>
            <w:hideMark/>
          </w:tcPr>
          <w:p w14:paraId="4C3A1674" w14:textId="27434A7D"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nil"/>
              <w:right w:val="nil"/>
            </w:tcBorders>
            <w:shd w:val="clear" w:color="auto" w:fill="auto"/>
            <w:noWrap/>
            <w:hideMark/>
          </w:tcPr>
          <w:p w14:paraId="6B7C36C1" w14:textId="5BBD5416"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nil"/>
              <w:right w:val="single" w:sz="4" w:space="0" w:color="auto"/>
            </w:tcBorders>
            <w:shd w:val="clear" w:color="auto" w:fill="auto"/>
            <w:noWrap/>
            <w:hideMark/>
          </w:tcPr>
          <w:p w14:paraId="174D896B" w14:textId="52976681" w:rsidR="00241DD4" w:rsidRPr="001A5D41" w:rsidRDefault="00241DD4" w:rsidP="00241DD4">
            <w:pPr>
              <w:jc w:val="right"/>
              <w:rPr>
                <w:rFonts w:ascii="Arial" w:hAnsi="Arial" w:cs="Arial"/>
                <w:spacing w:val="0"/>
                <w:sz w:val="20"/>
              </w:rPr>
            </w:pPr>
            <w:r w:rsidRPr="001A5D41">
              <w:rPr>
                <w:rFonts w:ascii="Arial" w:hAnsi="Arial" w:cs="Arial"/>
                <w:sz w:val="20"/>
              </w:rPr>
              <w:t xml:space="preserve"> $941.10 </w:t>
            </w:r>
          </w:p>
        </w:tc>
      </w:tr>
      <w:tr w:rsidR="00241DD4" w:rsidRPr="001A5D41" w14:paraId="4C92E4F8" w14:textId="77777777" w:rsidTr="0090762F">
        <w:trPr>
          <w:trHeight w:val="264"/>
        </w:trPr>
        <w:tc>
          <w:tcPr>
            <w:tcW w:w="3560" w:type="dxa"/>
            <w:tcBorders>
              <w:top w:val="nil"/>
              <w:left w:val="single" w:sz="4" w:space="0" w:color="auto"/>
              <w:bottom w:val="nil"/>
              <w:right w:val="single" w:sz="4" w:space="0" w:color="auto"/>
            </w:tcBorders>
            <w:shd w:val="clear" w:color="auto" w:fill="auto"/>
            <w:noWrap/>
            <w:vAlign w:val="bottom"/>
            <w:hideMark/>
          </w:tcPr>
          <w:p w14:paraId="7CF8DCA7" w14:textId="77777777" w:rsidR="00241DD4" w:rsidRPr="001A5D41" w:rsidRDefault="00241DD4" w:rsidP="00241DD4">
            <w:pPr>
              <w:rPr>
                <w:rFonts w:ascii="Arial" w:hAnsi="Arial" w:cs="Arial"/>
                <w:spacing w:val="0"/>
                <w:sz w:val="20"/>
              </w:rPr>
            </w:pPr>
            <w:r w:rsidRPr="001A5D41">
              <w:rPr>
                <w:rFonts w:ascii="Arial" w:hAnsi="Arial" w:cs="Arial"/>
                <w:spacing w:val="0"/>
                <w:sz w:val="20"/>
              </w:rPr>
              <w:t>Fairview Hospital**</w:t>
            </w:r>
          </w:p>
        </w:tc>
        <w:tc>
          <w:tcPr>
            <w:tcW w:w="1820" w:type="dxa"/>
            <w:tcBorders>
              <w:top w:val="nil"/>
              <w:left w:val="nil"/>
              <w:bottom w:val="nil"/>
              <w:right w:val="nil"/>
            </w:tcBorders>
            <w:shd w:val="clear" w:color="auto" w:fill="auto"/>
            <w:noWrap/>
            <w:hideMark/>
          </w:tcPr>
          <w:p w14:paraId="7235DEA3" w14:textId="7677AFF2"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nil"/>
              <w:right w:val="nil"/>
            </w:tcBorders>
            <w:shd w:val="clear" w:color="auto" w:fill="auto"/>
            <w:noWrap/>
            <w:hideMark/>
          </w:tcPr>
          <w:p w14:paraId="17AB09AE" w14:textId="3DB04645"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nil"/>
              <w:right w:val="single" w:sz="4" w:space="0" w:color="auto"/>
            </w:tcBorders>
            <w:shd w:val="clear" w:color="auto" w:fill="auto"/>
            <w:noWrap/>
            <w:hideMark/>
          </w:tcPr>
          <w:p w14:paraId="179F126F" w14:textId="2E6CB780" w:rsidR="00241DD4" w:rsidRPr="001A5D41" w:rsidRDefault="00241DD4" w:rsidP="00241DD4">
            <w:pPr>
              <w:jc w:val="right"/>
              <w:rPr>
                <w:rFonts w:ascii="Arial" w:hAnsi="Arial" w:cs="Arial"/>
                <w:spacing w:val="0"/>
                <w:sz w:val="20"/>
              </w:rPr>
            </w:pPr>
            <w:r w:rsidRPr="001A5D41">
              <w:rPr>
                <w:rFonts w:ascii="Arial" w:hAnsi="Arial" w:cs="Arial"/>
                <w:sz w:val="20"/>
              </w:rPr>
              <w:t xml:space="preserve"> Not Applicable </w:t>
            </w:r>
          </w:p>
        </w:tc>
      </w:tr>
      <w:tr w:rsidR="00241DD4" w:rsidRPr="0073172C" w14:paraId="4B95BA55" w14:textId="77777777" w:rsidTr="0090762F">
        <w:trPr>
          <w:trHeight w:val="264"/>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A66E439" w14:textId="77777777" w:rsidR="00241DD4" w:rsidRPr="001A5D41" w:rsidRDefault="00241DD4" w:rsidP="00241DD4">
            <w:pPr>
              <w:rPr>
                <w:rFonts w:ascii="Arial" w:hAnsi="Arial" w:cs="Arial"/>
                <w:spacing w:val="0"/>
                <w:sz w:val="20"/>
              </w:rPr>
            </w:pPr>
            <w:r w:rsidRPr="001A5D41">
              <w:rPr>
                <w:rFonts w:ascii="Arial" w:hAnsi="Arial" w:cs="Arial"/>
                <w:spacing w:val="0"/>
                <w:sz w:val="20"/>
              </w:rPr>
              <w:t>Martha's Vineyard Hospital**</w:t>
            </w:r>
          </w:p>
        </w:tc>
        <w:tc>
          <w:tcPr>
            <w:tcW w:w="1820" w:type="dxa"/>
            <w:tcBorders>
              <w:top w:val="nil"/>
              <w:left w:val="nil"/>
              <w:bottom w:val="single" w:sz="4" w:space="0" w:color="auto"/>
              <w:right w:val="nil"/>
            </w:tcBorders>
            <w:shd w:val="clear" w:color="auto" w:fill="auto"/>
            <w:noWrap/>
            <w:hideMark/>
          </w:tcPr>
          <w:p w14:paraId="184E284A" w14:textId="75A2DAF0" w:rsidR="00241DD4" w:rsidRPr="001A5D41" w:rsidRDefault="00241DD4" w:rsidP="00241DD4">
            <w:pPr>
              <w:rPr>
                <w:rFonts w:ascii="Arial" w:hAnsi="Arial" w:cs="Arial"/>
                <w:spacing w:val="0"/>
                <w:sz w:val="20"/>
              </w:rPr>
            </w:pPr>
            <w:r w:rsidRPr="001A5D41">
              <w:rPr>
                <w:rFonts w:ascii="Arial" w:hAnsi="Arial" w:cs="Arial"/>
                <w:sz w:val="20"/>
              </w:rPr>
              <w:t xml:space="preserve"> $302.85 </w:t>
            </w:r>
          </w:p>
        </w:tc>
        <w:tc>
          <w:tcPr>
            <w:tcW w:w="1820" w:type="dxa"/>
            <w:tcBorders>
              <w:top w:val="nil"/>
              <w:left w:val="nil"/>
              <w:bottom w:val="single" w:sz="4" w:space="0" w:color="auto"/>
              <w:right w:val="nil"/>
            </w:tcBorders>
            <w:shd w:val="clear" w:color="auto" w:fill="auto"/>
            <w:noWrap/>
            <w:hideMark/>
          </w:tcPr>
          <w:p w14:paraId="096C6099" w14:textId="7F6FC6DC" w:rsidR="00241DD4" w:rsidRPr="001A5D41" w:rsidRDefault="00241DD4" w:rsidP="00241DD4">
            <w:pPr>
              <w:rPr>
                <w:rFonts w:ascii="Arial" w:hAnsi="Arial" w:cs="Arial"/>
                <w:spacing w:val="0"/>
                <w:sz w:val="20"/>
              </w:rPr>
            </w:pPr>
            <w:r w:rsidRPr="001A5D41">
              <w:rPr>
                <w:rFonts w:ascii="Arial" w:hAnsi="Arial" w:cs="Arial"/>
                <w:sz w:val="20"/>
              </w:rPr>
              <w:t xml:space="preserve"> $280.06 </w:t>
            </w:r>
          </w:p>
        </w:tc>
        <w:tc>
          <w:tcPr>
            <w:tcW w:w="1820" w:type="dxa"/>
            <w:tcBorders>
              <w:top w:val="nil"/>
              <w:left w:val="nil"/>
              <w:bottom w:val="single" w:sz="4" w:space="0" w:color="auto"/>
              <w:right w:val="single" w:sz="4" w:space="0" w:color="auto"/>
            </w:tcBorders>
            <w:shd w:val="clear" w:color="auto" w:fill="auto"/>
            <w:noWrap/>
            <w:hideMark/>
          </w:tcPr>
          <w:p w14:paraId="1DC28C86" w14:textId="1C5CC1C0" w:rsidR="00241DD4" w:rsidRPr="00241DD4" w:rsidRDefault="00241DD4" w:rsidP="00241DD4">
            <w:pPr>
              <w:jc w:val="right"/>
              <w:rPr>
                <w:rFonts w:ascii="Arial" w:hAnsi="Arial" w:cs="Arial"/>
                <w:spacing w:val="0"/>
                <w:sz w:val="20"/>
              </w:rPr>
            </w:pPr>
            <w:r w:rsidRPr="001A5D41">
              <w:rPr>
                <w:rFonts w:ascii="Arial" w:hAnsi="Arial" w:cs="Arial"/>
                <w:sz w:val="20"/>
              </w:rPr>
              <w:t xml:space="preserve"> Not Applicable</w:t>
            </w:r>
            <w:r w:rsidRPr="00241DD4">
              <w:rPr>
                <w:rFonts w:ascii="Arial" w:hAnsi="Arial" w:cs="Arial"/>
                <w:sz w:val="20"/>
              </w:rPr>
              <w:t xml:space="preserve"> </w:t>
            </w:r>
          </w:p>
        </w:tc>
      </w:tr>
    </w:tbl>
    <w:p w14:paraId="0064225E" w14:textId="603CEBEA" w:rsidR="00236522" w:rsidRDefault="000F441F" w:rsidP="008840DB">
      <w:pPr>
        <w:spacing w:before="600"/>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Pr="001A631F">
        <w:rPr>
          <w:rFonts w:ascii="Arial Narrow" w:hAnsi="Arial Narrow"/>
          <w:sz w:val="22"/>
          <w:szCs w:val="22"/>
        </w:rPr>
        <w:t xml:space="preserve"> for </w:t>
      </w:r>
      <w:r w:rsidR="00181DC5" w:rsidRPr="001A631F">
        <w:rPr>
          <w:rFonts w:ascii="Arial Narrow" w:hAnsi="Arial Narrow"/>
          <w:sz w:val="22"/>
          <w:szCs w:val="22"/>
        </w:rPr>
        <w:t>RY</w:t>
      </w:r>
      <w:r w:rsidR="00181DC5">
        <w:rPr>
          <w:rFonts w:ascii="Arial Narrow" w:hAnsi="Arial Narrow"/>
          <w:sz w:val="22"/>
          <w:szCs w:val="22"/>
        </w:rPr>
        <w:t>21</w:t>
      </w:r>
      <w:r w:rsidR="00181DC5" w:rsidRPr="001A631F">
        <w:rPr>
          <w:rFonts w:ascii="Arial Narrow" w:hAnsi="Arial Narrow"/>
          <w:sz w:val="22"/>
          <w:szCs w:val="22"/>
        </w:rPr>
        <w:t xml:space="preserve"> </w:t>
      </w:r>
      <w:r w:rsidRPr="001A631F">
        <w:rPr>
          <w:rFonts w:ascii="Arial Narrow" w:hAnsi="Arial Narrow"/>
          <w:sz w:val="22"/>
          <w:szCs w:val="22"/>
        </w:rPr>
        <w:t xml:space="preserve">MassHealth DRG Weights and Mean All Payer Lengths of Stay. </w:t>
      </w:r>
    </w:p>
    <w:p w14:paraId="1C8714B7" w14:textId="77777777" w:rsidR="00236522" w:rsidRDefault="00236522" w:rsidP="000F441F">
      <w:pPr>
        <w:rPr>
          <w:rFonts w:ascii="Arial Narrow" w:hAnsi="Arial Narrow"/>
          <w:sz w:val="22"/>
          <w:szCs w:val="22"/>
        </w:rPr>
      </w:pPr>
    </w:p>
    <w:p w14:paraId="05327C8A" w14:textId="1C334A13" w:rsidR="000F441F" w:rsidRPr="001A631F" w:rsidRDefault="000F441F" w:rsidP="000F441F">
      <w:pPr>
        <w:rPr>
          <w:rFonts w:ascii="Arial Narrow" w:hAnsi="Arial Narrow"/>
          <w:sz w:val="22"/>
          <w:szCs w:val="22"/>
        </w:rPr>
      </w:pPr>
      <w:r w:rsidRPr="001A631F">
        <w:rPr>
          <w:rFonts w:ascii="Arial Narrow" w:hAnsi="Arial Narrow"/>
          <w:sz w:val="22"/>
          <w:szCs w:val="22"/>
        </w:rPr>
        <w:t xml:space="preserve">Click here: </w:t>
      </w:r>
      <w:hyperlink r:id="rId40" w:history="1">
        <w:r w:rsidRPr="00767102">
          <w:rPr>
            <w:rFonts w:ascii="Arial Narrow" w:hAnsi="Arial Narrow"/>
            <w:sz w:val="22"/>
            <w:szCs w:val="22"/>
            <w:u w:val="single"/>
          </w:rPr>
          <w:t xml:space="preserve">Chart C- Acute Hospital </w:t>
        </w:r>
        <w:r w:rsidR="00181DC5" w:rsidRPr="00767102">
          <w:rPr>
            <w:rFonts w:ascii="Arial Narrow" w:hAnsi="Arial Narrow"/>
            <w:sz w:val="22"/>
            <w:szCs w:val="22"/>
            <w:u w:val="single"/>
          </w:rPr>
          <w:t>RY2</w:t>
        </w:r>
        <w:r w:rsidR="00181DC5">
          <w:rPr>
            <w:rFonts w:ascii="Arial Narrow" w:hAnsi="Arial Narrow"/>
            <w:sz w:val="22"/>
            <w:szCs w:val="22"/>
            <w:u w:val="single"/>
          </w:rPr>
          <w:t xml:space="preserve">1 </w:t>
        </w:r>
        <w:r w:rsidRPr="00767102">
          <w:rPr>
            <w:rFonts w:ascii="Arial Narrow" w:hAnsi="Arial Narrow"/>
            <w:sz w:val="22"/>
            <w:szCs w:val="22"/>
            <w:u w:val="single"/>
          </w:rPr>
          <w:t>MassHealth DRG Weights and Mean All Payer Lengths of Stay</w:t>
        </w:r>
      </w:hyperlink>
    </w:p>
    <w:p w14:paraId="7CE063A4" w14:textId="77777777" w:rsidR="00BF2952" w:rsidRDefault="00BF2952" w:rsidP="00C7728B">
      <w:pPr>
        <w:rPr>
          <w:rFonts w:ascii="Arial Narrow" w:hAnsi="Arial Narrow"/>
          <w:b/>
          <w:i/>
          <w:sz w:val="22"/>
          <w:szCs w:val="22"/>
        </w:rPr>
      </w:pPr>
    </w:p>
    <w:p w14:paraId="475B7C8B" w14:textId="77777777" w:rsidR="000F441F" w:rsidRDefault="000F441F" w:rsidP="00C7728B">
      <w:pPr>
        <w:rPr>
          <w:rFonts w:ascii="Arial Narrow" w:hAnsi="Arial Narrow"/>
          <w:b/>
          <w:i/>
          <w:sz w:val="22"/>
          <w:szCs w:val="22"/>
        </w:rPr>
      </w:pPr>
    </w:p>
    <w:p w14:paraId="1BC5C4FA" w14:textId="77777777" w:rsidR="000F441F" w:rsidRPr="006C4566" w:rsidRDefault="000F441F" w:rsidP="000F441F">
      <w:pPr>
        <w:rPr>
          <w:rStyle w:val="Hyperlink"/>
          <w:rFonts w:ascii="Arial Narrow" w:hAnsi="Arial Narrow" w:cs="Arial"/>
          <w:sz w:val="22"/>
          <w:szCs w:val="22"/>
          <w:lang w:val="en"/>
        </w:r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reconciliation</w:t>
      </w:r>
    </w:p>
    <w:p w14:paraId="0D22748E" w14:textId="77777777" w:rsidR="000F441F" w:rsidRDefault="000F441F" w:rsidP="00C7728B">
      <w:pPr>
        <w:rPr>
          <w:rFonts w:ascii="Arial Narrow" w:hAnsi="Arial Narrow"/>
          <w:b/>
          <w:i/>
          <w:sz w:val="22"/>
          <w:szCs w:val="22"/>
        </w:rPr>
        <w:sectPr w:rsidR="000F441F" w:rsidSect="004E22C7">
          <w:headerReference w:type="default" r:id="rId41"/>
          <w:footerReference w:type="default" r:id="rId42"/>
          <w:headerReference w:type="first" r:id="rId43"/>
          <w:footerReference w:type="first" r:id="rId44"/>
          <w:pgSz w:w="15840" w:h="12240" w:orient="landscape" w:code="1"/>
          <w:pgMar w:top="720" w:right="720" w:bottom="720" w:left="720" w:header="864" w:footer="144" w:gutter="0"/>
          <w:cols w:space="720"/>
          <w:titlePg/>
          <w:docGrid w:linePitch="360"/>
        </w:sectPr>
      </w:pPr>
    </w:p>
    <w:p w14:paraId="7DDE14DE" w14:textId="77777777" w:rsidR="00603279" w:rsidRDefault="00603279" w:rsidP="007C3969">
      <w:pPr>
        <w:tabs>
          <w:tab w:val="left" w:pos="3645"/>
        </w:tabs>
        <w:jc w:val="center"/>
        <w:rPr>
          <w:rFonts w:ascii="Arial Black" w:hAnsi="Arial Black"/>
          <w:b/>
          <w:sz w:val="28"/>
          <w:szCs w:val="28"/>
        </w:rPr>
      </w:pPr>
    </w:p>
    <w:p w14:paraId="4BD38C13" w14:textId="77777777" w:rsidR="007C3969" w:rsidRDefault="00010A65" w:rsidP="007C3969">
      <w:pPr>
        <w:tabs>
          <w:tab w:val="left" w:pos="3645"/>
        </w:tabs>
        <w:jc w:val="center"/>
        <w:rPr>
          <w:rFonts w:ascii="Arial Black" w:hAnsi="Arial Black"/>
          <w:b/>
          <w:sz w:val="28"/>
          <w:szCs w:val="28"/>
        </w:rPr>
      </w:pPr>
      <w:r w:rsidRPr="007C3969">
        <w:rPr>
          <w:rFonts w:ascii="Arial Black" w:hAnsi="Arial Black"/>
          <w:b/>
          <w:sz w:val="28"/>
          <w:szCs w:val="28"/>
        </w:rPr>
        <w:t xml:space="preserve">Public Notice – In-State Acute </w:t>
      </w:r>
      <w:r w:rsidR="00E95D2A" w:rsidRPr="007C3969">
        <w:rPr>
          <w:rFonts w:ascii="Arial Black" w:hAnsi="Arial Black"/>
          <w:b/>
          <w:sz w:val="28"/>
          <w:szCs w:val="28"/>
        </w:rPr>
        <w:t>Hospitals (Outpatient)</w:t>
      </w:r>
    </w:p>
    <w:p w14:paraId="0DB17F76" w14:textId="77777777" w:rsidR="007C3969" w:rsidRPr="007C3969" w:rsidRDefault="007C3969" w:rsidP="007C3969">
      <w:pPr>
        <w:tabs>
          <w:tab w:val="left" w:pos="3645"/>
        </w:tabs>
        <w:jc w:val="center"/>
        <w:rPr>
          <w:rFonts w:ascii="Arial Black" w:hAnsi="Arial Black"/>
          <w:b/>
          <w:sz w:val="28"/>
          <w:szCs w:val="28"/>
        </w:rPr>
      </w:pPr>
    </w:p>
    <w:p w14:paraId="6D737B13" w14:textId="77777777" w:rsidR="007E5232" w:rsidRDefault="00760E7F" w:rsidP="00760E7F">
      <w:pP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14:paraId="0245845D" w14:textId="46C6577D" w:rsidR="00760E7F" w:rsidRDefault="00181DC5" w:rsidP="00760E7F">
      <w:pPr>
        <w:jc w:val="center"/>
        <w:rPr>
          <w:rFonts w:ascii="Arial Narrow" w:hAnsi="Arial Narrow"/>
          <w:b/>
          <w:i/>
          <w:color w:val="FF0000"/>
          <w:sz w:val="28"/>
          <w:szCs w:val="28"/>
        </w:rPr>
      </w:pPr>
      <w:r w:rsidRPr="007C3969">
        <w:rPr>
          <w:rFonts w:ascii="Arial Narrow" w:hAnsi="Arial Narrow"/>
          <w:b/>
          <w:color w:val="FF0000"/>
          <w:sz w:val="28"/>
          <w:szCs w:val="28"/>
        </w:rPr>
        <w:t>RY</w:t>
      </w:r>
      <w:r>
        <w:rPr>
          <w:rFonts w:ascii="Arial Narrow" w:hAnsi="Arial Narrow"/>
          <w:b/>
          <w:color w:val="FF0000"/>
          <w:sz w:val="28"/>
          <w:szCs w:val="28"/>
        </w:rPr>
        <w:t>21</w:t>
      </w:r>
      <w:r w:rsidRPr="007C3969">
        <w:rPr>
          <w:rFonts w:ascii="Arial Narrow" w:hAnsi="Arial Narrow"/>
          <w:b/>
          <w:color w:val="FF0000"/>
          <w:sz w:val="28"/>
          <w:szCs w:val="28"/>
        </w:rPr>
        <w:t xml:space="preserve"> </w:t>
      </w:r>
      <w:r w:rsidR="00760E7F" w:rsidRPr="007C3969">
        <w:rPr>
          <w:rFonts w:ascii="Arial Narrow" w:hAnsi="Arial Narrow"/>
          <w:b/>
          <w:color w:val="C00000"/>
          <w:sz w:val="28"/>
          <w:szCs w:val="28"/>
        </w:rPr>
        <w:t>–</w:t>
      </w:r>
      <w:r w:rsidR="00760E7F" w:rsidRPr="007C3969">
        <w:rPr>
          <w:rFonts w:ascii="Arial Narrow" w:hAnsi="Arial Narrow"/>
          <w:b/>
          <w:sz w:val="28"/>
          <w:szCs w:val="28"/>
        </w:rPr>
        <w:t xml:space="preserve"> </w:t>
      </w:r>
      <w:r w:rsidR="00760E7F" w:rsidRPr="007C3969">
        <w:rPr>
          <w:rFonts w:ascii="Arial Narrow" w:hAnsi="Arial Narrow"/>
          <w:b/>
          <w:i/>
          <w:color w:val="FF0000"/>
          <w:sz w:val="28"/>
          <w:szCs w:val="28"/>
        </w:rPr>
        <w:t>Effective 11/1/</w:t>
      </w:r>
      <w:r>
        <w:rPr>
          <w:rFonts w:ascii="Arial Narrow" w:hAnsi="Arial Narrow"/>
          <w:b/>
          <w:i/>
          <w:color w:val="FF0000"/>
          <w:sz w:val="28"/>
          <w:szCs w:val="28"/>
        </w:rPr>
        <w:t>20</w:t>
      </w:r>
    </w:p>
    <w:p w14:paraId="3FF38C06" w14:textId="77777777" w:rsidR="000F441F" w:rsidRDefault="000F441F" w:rsidP="00760E7F">
      <w:pPr>
        <w:jc w:val="center"/>
        <w:rPr>
          <w:rFonts w:ascii="Arial Narrow" w:hAnsi="Arial Narrow"/>
          <w:b/>
          <w:i/>
          <w:color w:val="FF0000"/>
          <w:sz w:val="28"/>
          <w:szCs w:val="28"/>
        </w:rPr>
      </w:pPr>
    </w:p>
    <w:p w14:paraId="7D4F8A69" w14:textId="77777777" w:rsidR="000F441F" w:rsidRPr="00767102" w:rsidRDefault="000F441F" w:rsidP="00760E7F">
      <w:pPr>
        <w:jc w:val="center"/>
        <w:rPr>
          <w:rFonts w:ascii="Arial Narrow" w:hAnsi="Arial Narrow"/>
          <w:b/>
          <w:sz w:val="28"/>
          <w:szCs w:val="28"/>
        </w:rPr>
      </w:pPr>
      <w:r w:rsidRPr="00767102">
        <w:rPr>
          <w:rFonts w:ascii="Arial Narrow" w:hAnsi="Arial Narrow"/>
          <w:b/>
          <w:sz w:val="28"/>
          <w:szCs w:val="28"/>
        </w:rPr>
        <w:t>Components of Adjudicated Payment per Episode of Care (APEC)*</w:t>
      </w:r>
    </w:p>
    <w:p w14:paraId="6F7DD2E1" w14:textId="421738CB" w:rsidR="00767102" w:rsidRPr="00767102" w:rsidRDefault="00767102" w:rsidP="00760E7F">
      <w:pPr>
        <w:jc w:val="center"/>
        <w:rPr>
          <w:rFonts w:ascii="Arial Narrow" w:hAnsi="Arial Narrow"/>
          <w:b/>
          <w:sz w:val="28"/>
          <w:szCs w:val="28"/>
        </w:rPr>
      </w:pPr>
      <w:r w:rsidRPr="00767102">
        <w:rPr>
          <w:rFonts w:ascii="Arial Narrow" w:hAnsi="Arial Narrow"/>
          <w:b/>
          <w:sz w:val="28"/>
          <w:szCs w:val="28"/>
        </w:rPr>
        <w:t xml:space="preserve">(*See link at end for Chart D – </w:t>
      </w:r>
      <w:r w:rsidR="00181DC5" w:rsidRPr="00767102">
        <w:rPr>
          <w:rFonts w:ascii="Arial Narrow" w:hAnsi="Arial Narrow"/>
          <w:b/>
          <w:sz w:val="28"/>
          <w:szCs w:val="28"/>
        </w:rPr>
        <w:t>RY202</w:t>
      </w:r>
      <w:r w:rsidR="00181DC5">
        <w:rPr>
          <w:rFonts w:ascii="Arial Narrow" w:hAnsi="Arial Narrow"/>
          <w:b/>
          <w:sz w:val="28"/>
          <w:szCs w:val="28"/>
        </w:rPr>
        <w:t>1</w:t>
      </w:r>
      <w:r w:rsidR="00181DC5" w:rsidRPr="00767102">
        <w:rPr>
          <w:rFonts w:ascii="Arial Narrow" w:hAnsi="Arial Narrow"/>
          <w:b/>
          <w:sz w:val="28"/>
          <w:szCs w:val="28"/>
        </w:rPr>
        <w:t xml:space="preserve"> </w:t>
      </w:r>
      <w:r w:rsidRPr="00767102">
        <w:rPr>
          <w:rFonts w:ascii="Arial Narrow" w:hAnsi="Arial Narrow"/>
          <w:b/>
          <w:sz w:val="28"/>
          <w:szCs w:val="28"/>
        </w:rPr>
        <w:t>EAPGs and MassHealth EAPG Weights)</w:t>
      </w:r>
    </w:p>
    <w:p w14:paraId="491001F1" w14:textId="77777777" w:rsidR="00CC28C4" w:rsidRDefault="00CC28C4" w:rsidP="00693745">
      <w:pPr>
        <w:spacing w:line="276" w:lineRule="auto"/>
        <w:rPr>
          <w:rFonts w:ascii="Arial Narrow" w:eastAsia="Calibri" w:hAnsi="Arial Narrow" w:cs="Arial"/>
          <w:b/>
          <w:spacing w:val="0"/>
          <w:sz w:val="20"/>
        </w:rPr>
      </w:pPr>
    </w:p>
    <w:tbl>
      <w:tblPr>
        <w:tblW w:w="10790" w:type="dxa"/>
        <w:tblLayout w:type="fixed"/>
        <w:tblCellMar>
          <w:left w:w="0" w:type="dxa"/>
          <w:right w:w="0" w:type="dxa"/>
        </w:tblCellMar>
        <w:tblLook w:val="04A0" w:firstRow="1" w:lastRow="0" w:firstColumn="1" w:lastColumn="0" w:noHBand="0" w:noVBand="1"/>
      </w:tblPr>
      <w:tblGrid>
        <w:gridCol w:w="3462"/>
        <w:gridCol w:w="1105"/>
        <w:gridCol w:w="1201"/>
        <w:gridCol w:w="22"/>
        <w:gridCol w:w="1084"/>
        <w:gridCol w:w="1113"/>
        <w:gridCol w:w="899"/>
        <w:gridCol w:w="1090"/>
        <w:gridCol w:w="814"/>
      </w:tblGrid>
      <w:tr w:rsidR="0090762F" w:rsidRPr="002235BC" w14:paraId="147F28B1" w14:textId="77777777" w:rsidTr="0090762F">
        <w:trPr>
          <w:trHeight w:val="1020"/>
          <w:tblHeader/>
        </w:trPr>
        <w:tc>
          <w:tcPr>
            <w:tcW w:w="346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0289C0" w14:textId="77777777" w:rsidR="0090762F" w:rsidRPr="001A5D41" w:rsidRDefault="0090762F" w:rsidP="0090762F">
            <w:pPr>
              <w:jc w:val="center"/>
              <w:rPr>
                <w:rFonts w:ascii="Arial" w:hAnsi="Arial" w:cs="Arial"/>
                <w:b/>
                <w:bCs/>
                <w:sz w:val="20"/>
              </w:rPr>
            </w:pPr>
            <w:r w:rsidRPr="001A5D41">
              <w:rPr>
                <w:rFonts w:ascii="Arial" w:hAnsi="Arial" w:cs="Arial"/>
                <w:b/>
                <w:bCs/>
                <w:sz w:val="20"/>
              </w:rPr>
              <w:t>In-State Provider</w:t>
            </w:r>
          </w:p>
        </w:tc>
        <w:tc>
          <w:tcPr>
            <w:tcW w:w="1105" w:type="dxa"/>
            <w:tcBorders>
              <w:top w:val="single" w:sz="4" w:space="0" w:color="auto"/>
              <w:left w:val="nil"/>
              <w:bottom w:val="single" w:sz="4" w:space="0" w:color="auto"/>
              <w:right w:val="nil"/>
            </w:tcBorders>
            <w:shd w:val="clear" w:color="000000" w:fill="D9D9D9"/>
            <w:vAlign w:val="bottom"/>
            <w:hideMark/>
          </w:tcPr>
          <w:p w14:paraId="3B6B5CA6"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APEC Outpatient Statewide Standard</w:t>
            </w:r>
          </w:p>
        </w:tc>
        <w:tc>
          <w:tcPr>
            <w:tcW w:w="1201" w:type="dxa"/>
            <w:tcBorders>
              <w:top w:val="single" w:sz="4" w:space="0" w:color="auto"/>
              <w:left w:val="nil"/>
              <w:bottom w:val="single" w:sz="4" w:space="0" w:color="auto"/>
              <w:right w:val="nil"/>
            </w:tcBorders>
            <w:shd w:val="clear" w:color="000000" w:fill="D9D9D9"/>
            <w:vAlign w:val="bottom"/>
            <w:hideMark/>
          </w:tcPr>
          <w:p w14:paraId="20CE143D"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 xml:space="preserve"> Hospital's Massachusetts-specific wage area index </w:t>
            </w:r>
          </w:p>
        </w:tc>
        <w:tc>
          <w:tcPr>
            <w:tcW w:w="22" w:type="dxa"/>
            <w:tcBorders>
              <w:top w:val="single" w:sz="4" w:space="0" w:color="auto"/>
              <w:left w:val="nil"/>
              <w:bottom w:val="single" w:sz="4" w:space="0" w:color="auto"/>
              <w:right w:val="nil"/>
            </w:tcBorders>
            <w:shd w:val="clear" w:color="000000" w:fill="D9D9D9"/>
          </w:tcPr>
          <w:p w14:paraId="1CEB2A06" w14:textId="77777777" w:rsidR="0090762F" w:rsidRPr="001A5D41" w:rsidRDefault="0090762F" w:rsidP="0090762F">
            <w:pPr>
              <w:jc w:val="center"/>
              <w:rPr>
                <w:rFonts w:ascii="Arial" w:hAnsi="Arial" w:cs="Arial"/>
                <w:b/>
                <w:bCs/>
                <w:sz w:val="16"/>
                <w:szCs w:val="16"/>
              </w:rPr>
            </w:pPr>
          </w:p>
        </w:tc>
        <w:tc>
          <w:tcPr>
            <w:tcW w:w="1084" w:type="dxa"/>
            <w:tcBorders>
              <w:top w:val="single" w:sz="4" w:space="0" w:color="auto"/>
              <w:left w:val="nil"/>
              <w:bottom w:val="single" w:sz="4" w:space="0" w:color="auto"/>
              <w:right w:val="nil"/>
            </w:tcBorders>
            <w:shd w:val="clear" w:color="000000" w:fill="D9D9D9"/>
            <w:vAlign w:val="bottom"/>
            <w:hideMark/>
          </w:tcPr>
          <w:p w14:paraId="04B7F50F"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Labor Factor</w:t>
            </w:r>
          </w:p>
        </w:tc>
        <w:tc>
          <w:tcPr>
            <w:tcW w:w="1113" w:type="dxa"/>
            <w:tcBorders>
              <w:top w:val="single" w:sz="4" w:space="0" w:color="auto"/>
              <w:left w:val="nil"/>
              <w:bottom w:val="single" w:sz="4" w:space="0" w:color="auto"/>
              <w:right w:val="nil"/>
            </w:tcBorders>
            <w:shd w:val="clear" w:color="000000" w:fill="D9D9D9"/>
            <w:vAlign w:val="bottom"/>
            <w:hideMark/>
          </w:tcPr>
          <w:p w14:paraId="204101DD"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Wage Adjusted Outpatient Standard</w:t>
            </w:r>
          </w:p>
        </w:tc>
        <w:tc>
          <w:tcPr>
            <w:tcW w:w="899" w:type="dxa"/>
            <w:tcBorders>
              <w:top w:val="single" w:sz="4" w:space="0" w:color="auto"/>
              <w:left w:val="nil"/>
              <w:bottom w:val="single" w:sz="4" w:space="0" w:color="auto"/>
              <w:right w:val="nil"/>
            </w:tcBorders>
            <w:shd w:val="clear" w:color="000000" w:fill="D9D9D9"/>
            <w:vAlign w:val="bottom"/>
            <w:hideMark/>
          </w:tcPr>
          <w:p w14:paraId="78F144B6"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Hospital Cost-to-Charge Ratio</w:t>
            </w:r>
          </w:p>
        </w:tc>
        <w:tc>
          <w:tcPr>
            <w:tcW w:w="1090" w:type="dxa"/>
            <w:tcBorders>
              <w:top w:val="single" w:sz="4" w:space="0" w:color="auto"/>
              <w:left w:val="nil"/>
              <w:bottom w:val="single" w:sz="4" w:space="0" w:color="auto"/>
              <w:right w:val="nil"/>
            </w:tcBorders>
            <w:shd w:val="clear" w:color="000000" w:fill="D9D9D9"/>
            <w:vAlign w:val="bottom"/>
            <w:hideMark/>
          </w:tcPr>
          <w:p w14:paraId="5AE5FA9E"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 xml:space="preserve"> Fixed Outlier Threshold </w:t>
            </w:r>
          </w:p>
        </w:tc>
        <w:tc>
          <w:tcPr>
            <w:tcW w:w="814" w:type="dxa"/>
            <w:tcBorders>
              <w:top w:val="single" w:sz="4" w:space="0" w:color="auto"/>
              <w:left w:val="nil"/>
              <w:bottom w:val="single" w:sz="4" w:space="0" w:color="auto"/>
              <w:right w:val="single" w:sz="4" w:space="0" w:color="auto"/>
            </w:tcBorders>
            <w:shd w:val="clear" w:color="000000" w:fill="D9D9D9"/>
            <w:vAlign w:val="bottom"/>
            <w:hideMark/>
          </w:tcPr>
          <w:p w14:paraId="43CC6D05" w14:textId="77777777" w:rsidR="0090762F" w:rsidRPr="001A5D41" w:rsidRDefault="0090762F" w:rsidP="0090762F">
            <w:pPr>
              <w:jc w:val="center"/>
              <w:rPr>
                <w:rFonts w:ascii="Arial" w:hAnsi="Arial" w:cs="Arial"/>
                <w:b/>
                <w:bCs/>
                <w:sz w:val="16"/>
                <w:szCs w:val="16"/>
              </w:rPr>
            </w:pPr>
            <w:r w:rsidRPr="001A5D41">
              <w:rPr>
                <w:rFonts w:ascii="Arial" w:hAnsi="Arial" w:cs="Arial"/>
                <w:b/>
                <w:bCs/>
                <w:sz w:val="16"/>
                <w:szCs w:val="16"/>
              </w:rPr>
              <w:t>Marginal Cost Factor</w:t>
            </w:r>
          </w:p>
        </w:tc>
      </w:tr>
      <w:tr w:rsidR="003E194A" w:rsidRPr="002F6DB4" w14:paraId="48933B1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D48D9E7" w14:textId="566BD19E" w:rsidR="003E194A" w:rsidRPr="001A5D41" w:rsidRDefault="003E194A" w:rsidP="003E194A">
            <w:pPr>
              <w:rPr>
                <w:rFonts w:ascii="Arial" w:hAnsi="Arial" w:cs="Arial"/>
                <w:sz w:val="14"/>
                <w:szCs w:val="14"/>
              </w:rPr>
            </w:pPr>
            <w:r w:rsidRPr="001A5D41">
              <w:rPr>
                <w:rFonts w:ascii="Arial" w:hAnsi="Arial" w:cs="Arial"/>
                <w:sz w:val="14"/>
                <w:szCs w:val="14"/>
              </w:rPr>
              <w:t>Anna Jaques Hospital</w:t>
            </w:r>
          </w:p>
        </w:tc>
        <w:tc>
          <w:tcPr>
            <w:tcW w:w="1105" w:type="dxa"/>
            <w:tcBorders>
              <w:top w:val="nil"/>
              <w:left w:val="nil"/>
              <w:bottom w:val="nil"/>
              <w:right w:val="nil"/>
            </w:tcBorders>
            <w:shd w:val="clear" w:color="auto" w:fill="auto"/>
            <w:noWrap/>
            <w:hideMark/>
          </w:tcPr>
          <w:p w14:paraId="1EDC5753" w14:textId="2D5D600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60ECDEB" w14:textId="0FFB341F"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00FE5DC8"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96077FB" w14:textId="145DA3C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4E7A61C" w14:textId="4D23D56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05DC61E2" w14:textId="2A80762B" w:rsidR="003E194A" w:rsidRPr="001A5D41" w:rsidRDefault="003E194A" w:rsidP="003E194A">
            <w:pPr>
              <w:jc w:val="center"/>
              <w:rPr>
                <w:rFonts w:ascii="Arial" w:hAnsi="Arial" w:cs="Arial"/>
                <w:sz w:val="14"/>
                <w:szCs w:val="14"/>
              </w:rPr>
            </w:pPr>
            <w:r w:rsidRPr="001A5D41">
              <w:rPr>
                <w:rFonts w:ascii="Arial" w:hAnsi="Arial" w:cs="Arial"/>
                <w:sz w:val="14"/>
                <w:szCs w:val="14"/>
              </w:rPr>
              <w:t>37.59%</w:t>
            </w:r>
          </w:p>
        </w:tc>
        <w:tc>
          <w:tcPr>
            <w:tcW w:w="1090" w:type="dxa"/>
            <w:tcBorders>
              <w:top w:val="nil"/>
              <w:left w:val="nil"/>
              <w:bottom w:val="nil"/>
              <w:right w:val="nil"/>
            </w:tcBorders>
            <w:shd w:val="clear" w:color="auto" w:fill="auto"/>
            <w:noWrap/>
            <w:hideMark/>
          </w:tcPr>
          <w:p w14:paraId="72A3C92E" w14:textId="68AA1D3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069DEC1" w14:textId="23F5818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712C0D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34F15A2" w14:textId="47646DCE" w:rsidR="003E194A" w:rsidRPr="001A5D41" w:rsidRDefault="003E194A" w:rsidP="003E194A">
            <w:pPr>
              <w:rPr>
                <w:rFonts w:ascii="Arial" w:hAnsi="Arial" w:cs="Arial"/>
                <w:sz w:val="14"/>
                <w:szCs w:val="14"/>
              </w:rPr>
            </w:pPr>
            <w:r w:rsidRPr="001A5D41">
              <w:rPr>
                <w:rFonts w:ascii="Arial" w:hAnsi="Arial" w:cs="Arial"/>
                <w:sz w:val="14"/>
                <w:szCs w:val="14"/>
              </w:rPr>
              <w:t>Baystate Franklin Medical Center</w:t>
            </w:r>
          </w:p>
        </w:tc>
        <w:tc>
          <w:tcPr>
            <w:tcW w:w="1105" w:type="dxa"/>
            <w:tcBorders>
              <w:top w:val="nil"/>
              <w:left w:val="nil"/>
              <w:bottom w:val="nil"/>
              <w:right w:val="nil"/>
            </w:tcBorders>
            <w:shd w:val="clear" w:color="auto" w:fill="auto"/>
            <w:noWrap/>
            <w:hideMark/>
          </w:tcPr>
          <w:p w14:paraId="1BFDC2BE" w14:textId="1FEEEB5F"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124B329" w14:textId="4F852315"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27FA185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083AEF9" w14:textId="6B29CF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6DC4E3E" w14:textId="1C4C51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1CB25474" w14:textId="0C26BD99" w:rsidR="003E194A" w:rsidRPr="001A5D41" w:rsidRDefault="003E194A" w:rsidP="003E194A">
            <w:pPr>
              <w:jc w:val="center"/>
              <w:rPr>
                <w:rFonts w:ascii="Arial" w:hAnsi="Arial" w:cs="Arial"/>
                <w:sz w:val="14"/>
                <w:szCs w:val="14"/>
              </w:rPr>
            </w:pPr>
            <w:r w:rsidRPr="001A5D41">
              <w:rPr>
                <w:rFonts w:ascii="Arial" w:hAnsi="Arial" w:cs="Arial"/>
                <w:sz w:val="14"/>
                <w:szCs w:val="14"/>
              </w:rPr>
              <w:t>33.01%</w:t>
            </w:r>
          </w:p>
        </w:tc>
        <w:tc>
          <w:tcPr>
            <w:tcW w:w="1090" w:type="dxa"/>
            <w:tcBorders>
              <w:top w:val="nil"/>
              <w:left w:val="nil"/>
              <w:bottom w:val="nil"/>
              <w:right w:val="nil"/>
            </w:tcBorders>
            <w:shd w:val="clear" w:color="auto" w:fill="auto"/>
            <w:noWrap/>
            <w:hideMark/>
          </w:tcPr>
          <w:p w14:paraId="005E94E6" w14:textId="702FC91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782FC38" w14:textId="7C0CD79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592A8FE"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57BFD4C" w14:textId="7CA8571C" w:rsidR="003E194A" w:rsidRPr="001A5D41" w:rsidRDefault="003E194A" w:rsidP="003E194A">
            <w:pPr>
              <w:rPr>
                <w:rFonts w:ascii="Arial" w:hAnsi="Arial" w:cs="Arial"/>
                <w:sz w:val="14"/>
                <w:szCs w:val="14"/>
              </w:rPr>
            </w:pPr>
            <w:r w:rsidRPr="001A5D41">
              <w:rPr>
                <w:rFonts w:ascii="Arial" w:hAnsi="Arial" w:cs="Arial"/>
                <w:sz w:val="14"/>
                <w:szCs w:val="14"/>
              </w:rPr>
              <w:t>Baystate Medical Center</w:t>
            </w:r>
          </w:p>
        </w:tc>
        <w:tc>
          <w:tcPr>
            <w:tcW w:w="1105" w:type="dxa"/>
            <w:tcBorders>
              <w:top w:val="nil"/>
              <w:left w:val="nil"/>
              <w:bottom w:val="nil"/>
              <w:right w:val="nil"/>
            </w:tcBorders>
            <w:shd w:val="clear" w:color="auto" w:fill="auto"/>
            <w:noWrap/>
            <w:hideMark/>
          </w:tcPr>
          <w:p w14:paraId="30B1319D" w14:textId="424566A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8C9282F" w14:textId="2A66A5E4" w:rsidR="003E194A" w:rsidRPr="001A5D41" w:rsidRDefault="003E194A" w:rsidP="003E194A">
            <w:pPr>
              <w:rPr>
                <w:rFonts w:ascii="Arial" w:hAnsi="Arial" w:cs="Arial"/>
                <w:sz w:val="14"/>
                <w:szCs w:val="14"/>
              </w:rPr>
            </w:pPr>
            <w:r w:rsidRPr="001A5D41">
              <w:rPr>
                <w:rFonts w:ascii="Arial" w:hAnsi="Arial" w:cs="Arial"/>
                <w:sz w:val="14"/>
                <w:szCs w:val="14"/>
              </w:rPr>
              <w:t xml:space="preserve"> 0.9555 </w:t>
            </w:r>
          </w:p>
        </w:tc>
        <w:tc>
          <w:tcPr>
            <w:tcW w:w="22" w:type="dxa"/>
            <w:tcBorders>
              <w:top w:val="nil"/>
              <w:left w:val="nil"/>
              <w:bottom w:val="nil"/>
              <w:right w:val="nil"/>
            </w:tcBorders>
          </w:tcPr>
          <w:p w14:paraId="781745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FE0820F" w14:textId="5D52FD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EA51A4" w14:textId="5400C0E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$622.61 </w:t>
            </w:r>
          </w:p>
        </w:tc>
        <w:tc>
          <w:tcPr>
            <w:tcW w:w="899" w:type="dxa"/>
            <w:tcBorders>
              <w:top w:val="nil"/>
              <w:left w:val="nil"/>
              <w:bottom w:val="nil"/>
              <w:right w:val="nil"/>
            </w:tcBorders>
            <w:shd w:val="clear" w:color="auto" w:fill="auto"/>
            <w:noWrap/>
            <w:hideMark/>
          </w:tcPr>
          <w:p w14:paraId="024AD267" w14:textId="67ABF530" w:rsidR="003E194A" w:rsidRPr="001A5D41" w:rsidRDefault="003E194A" w:rsidP="003E194A">
            <w:pPr>
              <w:jc w:val="center"/>
              <w:rPr>
                <w:rFonts w:ascii="Arial" w:hAnsi="Arial" w:cs="Arial"/>
                <w:sz w:val="14"/>
                <w:szCs w:val="14"/>
              </w:rPr>
            </w:pPr>
            <w:r w:rsidRPr="001A5D41">
              <w:rPr>
                <w:rFonts w:ascii="Arial" w:hAnsi="Arial" w:cs="Arial"/>
                <w:sz w:val="14"/>
                <w:szCs w:val="14"/>
              </w:rPr>
              <w:t>38.26%</w:t>
            </w:r>
          </w:p>
        </w:tc>
        <w:tc>
          <w:tcPr>
            <w:tcW w:w="1090" w:type="dxa"/>
            <w:tcBorders>
              <w:top w:val="nil"/>
              <w:left w:val="nil"/>
              <w:bottom w:val="nil"/>
              <w:right w:val="nil"/>
            </w:tcBorders>
            <w:shd w:val="clear" w:color="auto" w:fill="auto"/>
            <w:noWrap/>
            <w:hideMark/>
          </w:tcPr>
          <w:p w14:paraId="0B767A62" w14:textId="2CCD788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41C796" w14:textId="393E454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A0BD4E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669C4DB" w14:textId="0E8CB4DE" w:rsidR="003E194A" w:rsidRPr="001A5D41" w:rsidRDefault="003E194A" w:rsidP="003E194A">
            <w:pPr>
              <w:rPr>
                <w:rFonts w:ascii="Arial" w:hAnsi="Arial" w:cs="Arial"/>
                <w:sz w:val="14"/>
                <w:szCs w:val="14"/>
              </w:rPr>
            </w:pPr>
            <w:r w:rsidRPr="001A5D41">
              <w:rPr>
                <w:rFonts w:ascii="Arial" w:hAnsi="Arial" w:cs="Arial"/>
                <w:sz w:val="14"/>
                <w:szCs w:val="14"/>
              </w:rPr>
              <w:t>Baystate Noble Hospital</w:t>
            </w:r>
          </w:p>
        </w:tc>
        <w:tc>
          <w:tcPr>
            <w:tcW w:w="1105" w:type="dxa"/>
            <w:tcBorders>
              <w:top w:val="nil"/>
              <w:left w:val="nil"/>
              <w:bottom w:val="nil"/>
              <w:right w:val="nil"/>
            </w:tcBorders>
            <w:shd w:val="clear" w:color="auto" w:fill="auto"/>
            <w:noWrap/>
            <w:hideMark/>
          </w:tcPr>
          <w:p w14:paraId="02B1E253" w14:textId="6C4B71D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4438AE" w14:textId="22E8168C"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3D3F63B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3E09794" w14:textId="3EF9765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A23E288" w14:textId="3EA71B0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6DB6461B" w14:textId="13F662A7" w:rsidR="003E194A" w:rsidRPr="001A5D41" w:rsidRDefault="003E194A" w:rsidP="003E194A">
            <w:pPr>
              <w:jc w:val="center"/>
              <w:rPr>
                <w:rFonts w:ascii="Arial" w:hAnsi="Arial" w:cs="Arial"/>
                <w:sz w:val="14"/>
                <w:szCs w:val="14"/>
              </w:rPr>
            </w:pPr>
            <w:r w:rsidRPr="001A5D41">
              <w:rPr>
                <w:rFonts w:ascii="Arial" w:hAnsi="Arial" w:cs="Arial"/>
                <w:sz w:val="14"/>
                <w:szCs w:val="14"/>
              </w:rPr>
              <w:t>28.05%</w:t>
            </w:r>
          </w:p>
        </w:tc>
        <w:tc>
          <w:tcPr>
            <w:tcW w:w="1090" w:type="dxa"/>
            <w:tcBorders>
              <w:top w:val="nil"/>
              <w:left w:val="nil"/>
              <w:bottom w:val="nil"/>
              <w:right w:val="nil"/>
            </w:tcBorders>
            <w:shd w:val="clear" w:color="auto" w:fill="auto"/>
            <w:noWrap/>
            <w:hideMark/>
          </w:tcPr>
          <w:p w14:paraId="04AC7DB0" w14:textId="4D2EDA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85E706C" w14:textId="49A5520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DB3A95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2F24F99" w14:textId="68031D02" w:rsidR="003E194A" w:rsidRPr="001A5D41" w:rsidRDefault="003E194A" w:rsidP="003E194A">
            <w:pPr>
              <w:rPr>
                <w:rFonts w:ascii="Arial" w:hAnsi="Arial" w:cs="Arial"/>
                <w:sz w:val="14"/>
                <w:szCs w:val="14"/>
              </w:rPr>
            </w:pPr>
            <w:r w:rsidRPr="001A5D41">
              <w:rPr>
                <w:rFonts w:ascii="Arial" w:hAnsi="Arial" w:cs="Arial"/>
                <w:sz w:val="14"/>
                <w:szCs w:val="14"/>
              </w:rPr>
              <w:t>Baystate Wing Hospital</w:t>
            </w:r>
          </w:p>
        </w:tc>
        <w:tc>
          <w:tcPr>
            <w:tcW w:w="1105" w:type="dxa"/>
            <w:tcBorders>
              <w:top w:val="nil"/>
              <w:left w:val="nil"/>
              <w:bottom w:val="nil"/>
              <w:right w:val="nil"/>
            </w:tcBorders>
            <w:shd w:val="clear" w:color="auto" w:fill="auto"/>
            <w:noWrap/>
            <w:hideMark/>
          </w:tcPr>
          <w:p w14:paraId="24E4593B" w14:textId="5163A63D"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73FEC33" w14:textId="21398A10"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1A55411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3AFAE2E" w14:textId="67322E5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5BA00D7" w14:textId="4AD8C02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1BBF01B0" w14:textId="42C55A63" w:rsidR="003E194A" w:rsidRPr="001A5D41" w:rsidRDefault="003E194A" w:rsidP="003E194A">
            <w:pPr>
              <w:jc w:val="center"/>
              <w:rPr>
                <w:rFonts w:ascii="Arial" w:hAnsi="Arial" w:cs="Arial"/>
                <w:sz w:val="14"/>
                <w:szCs w:val="14"/>
              </w:rPr>
            </w:pPr>
            <w:r w:rsidRPr="001A5D41">
              <w:rPr>
                <w:rFonts w:ascii="Arial" w:hAnsi="Arial" w:cs="Arial"/>
                <w:sz w:val="14"/>
                <w:szCs w:val="14"/>
              </w:rPr>
              <w:t>44.23%</w:t>
            </w:r>
          </w:p>
        </w:tc>
        <w:tc>
          <w:tcPr>
            <w:tcW w:w="1090" w:type="dxa"/>
            <w:tcBorders>
              <w:top w:val="nil"/>
              <w:left w:val="nil"/>
              <w:bottom w:val="nil"/>
              <w:right w:val="nil"/>
            </w:tcBorders>
            <w:shd w:val="clear" w:color="auto" w:fill="auto"/>
            <w:noWrap/>
            <w:hideMark/>
          </w:tcPr>
          <w:p w14:paraId="09B07EA7" w14:textId="67D62C2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2F78B9B" w14:textId="2BBDF68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D5E89B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073C432" w14:textId="00E8CB7E" w:rsidR="003E194A" w:rsidRPr="001A5D41" w:rsidRDefault="003E194A" w:rsidP="003E194A">
            <w:pPr>
              <w:rPr>
                <w:rFonts w:ascii="Arial" w:hAnsi="Arial" w:cs="Arial"/>
                <w:sz w:val="14"/>
                <w:szCs w:val="14"/>
              </w:rPr>
            </w:pPr>
            <w:r w:rsidRPr="001A5D41">
              <w:rPr>
                <w:rFonts w:ascii="Arial" w:hAnsi="Arial" w:cs="Arial"/>
                <w:sz w:val="14"/>
                <w:szCs w:val="14"/>
              </w:rPr>
              <w:t>Berkshire Medical Center</w:t>
            </w:r>
          </w:p>
        </w:tc>
        <w:tc>
          <w:tcPr>
            <w:tcW w:w="1105" w:type="dxa"/>
            <w:tcBorders>
              <w:top w:val="nil"/>
              <w:left w:val="nil"/>
              <w:bottom w:val="nil"/>
              <w:right w:val="nil"/>
            </w:tcBorders>
            <w:shd w:val="clear" w:color="auto" w:fill="auto"/>
            <w:noWrap/>
            <w:hideMark/>
          </w:tcPr>
          <w:p w14:paraId="243A937F" w14:textId="0BD9678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639472D" w14:textId="360B6407" w:rsidR="003E194A" w:rsidRPr="001A5D41" w:rsidRDefault="003E194A" w:rsidP="003E194A">
            <w:pPr>
              <w:rPr>
                <w:rFonts w:ascii="Arial" w:hAnsi="Arial" w:cs="Arial"/>
                <w:sz w:val="14"/>
                <w:szCs w:val="14"/>
              </w:rPr>
            </w:pPr>
            <w:r w:rsidRPr="001A5D41">
              <w:rPr>
                <w:rFonts w:ascii="Arial" w:hAnsi="Arial" w:cs="Arial"/>
                <w:sz w:val="14"/>
                <w:szCs w:val="14"/>
              </w:rPr>
              <w:t xml:space="preserve"> 0.9164 </w:t>
            </w:r>
          </w:p>
        </w:tc>
        <w:tc>
          <w:tcPr>
            <w:tcW w:w="22" w:type="dxa"/>
            <w:tcBorders>
              <w:top w:val="nil"/>
              <w:left w:val="nil"/>
              <w:bottom w:val="nil"/>
              <w:right w:val="nil"/>
            </w:tcBorders>
          </w:tcPr>
          <w:p w14:paraId="0E6C739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19B7DEF" w14:textId="28CE411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53B335B" w14:textId="2D80AB3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$607.60 </w:t>
            </w:r>
          </w:p>
        </w:tc>
        <w:tc>
          <w:tcPr>
            <w:tcW w:w="899" w:type="dxa"/>
            <w:tcBorders>
              <w:top w:val="nil"/>
              <w:left w:val="nil"/>
              <w:bottom w:val="nil"/>
              <w:right w:val="nil"/>
            </w:tcBorders>
            <w:shd w:val="clear" w:color="auto" w:fill="auto"/>
            <w:noWrap/>
            <w:hideMark/>
          </w:tcPr>
          <w:p w14:paraId="7B2E1BDF" w14:textId="58EFD29B" w:rsidR="003E194A" w:rsidRPr="001A5D41" w:rsidRDefault="003E194A" w:rsidP="003E194A">
            <w:pPr>
              <w:jc w:val="center"/>
              <w:rPr>
                <w:rFonts w:ascii="Arial" w:hAnsi="Arial" w:cs="Arial"/>
                <w:sz w:val="14"/>
                <w:szCs w:val="14"/>
              </w:rPr>
            </w:pPr>
            <w:r w:rsidRPr="001A5D41">
              <w:rPr>
                <w:rFonts w:ascii="Arial" w:hAnsi="Arial" w:cs="Arial"/>
                <w:sz w:val="14"/>
                <w:szCs w:val="14"/>
              </w:rPr>
              <w:t>38.00%</w:t>
            </w:r>
          </w:p>
        </w:tc>
        <w:tc>
          <w:tcPr>
            <w:tcW w:w="1090" w:type="dxa"/>
            <w:tcBorders>
              <w:top w:val="nil"/>
              <w:left w:val="nil"/>
              <w:bottom w:val="nil"/>
              <w:right w:val="nil"/>
            </w:tcBorders>
            <w:shd w:val="clear" w:color="auto" w:fill="auto"/>
            <w:noWrap/>
            <w:hideMark/>
          </w:tcPr>
          <w:p w14:paraId="32F036EB" w14:textId="3FF427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477A76B" w14:textId="225F2D2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95DBF2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ED6F7A4" w14:textId="2ED292BE"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Milton</w:t>
            </w:r>
          </w:p>
        </w:tc>
        <w:tc>
          <w:tcPr>
            <w:tcW w:w="1105" w:type="dxa"/>
            <w:tcBorders>
              <w:top w:val="nil"/>
              <w:left w:val="nil"/>
              <w:bottom w:val="nil"/>
              <w:right w:val="nil"/>
            </w:tcBorders>
            <w:shd w:val="clear" w:color="auto" w:fill="auto"/>
            <w:noWrap/>
            <w:hideMark/>
          </w:tcPr>
          <w:p w14:paraId="47E74291" w14:textId="7D230349"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DF19569" w14:textId="71BB82A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07FDA3B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87EF475" w14:textId="107F5CF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974F6D6" w14:textId="7F9981F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072E2A6A" w14:textId="66303ECC" w:rsidR="003E194A" w:rsidRPr="001A5D41" w:rsidRDefault="003E194A" w:rsidP="003E194A">
            <w:pPr>
              <w:jc w:val="center"/>
              <w:rPr>
                <w:rFonts w:ascii="Arial" w:hAnsi="Arial" w:cs="Arial"/>
                <w:sz w:val="14"/>
                <w:szCs w:val="14"/>
              </w:rPr>
            </w:pPr>
            <w:r w:rsidRPr="001A5D41">
              <w:rPr>
                <w:rFonts w:ascii="Arial" w:hAnsi="Arial" w:cs="Arial"/>
                <w:sz w:val="14"/>
                <w:szCs w:val="14"/>
              </w:rPr>
              <w:t>31.80%</w:t>
            </w:r>
          </w:p>
        </w:tc>
        <w:tc>
          <w:tcPr>
            <w:tcW w:w="1090" w:type="dxa"/>
            <w:tcBorders>
              <w:top w:val="nil"/>
              <w:left w:val="nil"/>
              <w:bottom w:val="nil"/>
              <w:right w:val="nil"/>
            </w:tcBorders>
            <w:shd w:val="clear" w:color="auto" w:fill="auto"/>
            <w:noWrap/>
            <w:hideMark/>
          </w:tcPr>
          <w:p w14:paraId="111DE09A" w14:textId="7D44015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23E4159" w14:textId="6BBDE7E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FC19BA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C7B5AD7" w14:textId="433353AE"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Needham</w:t>
            </w:r>
          </w:p>
        </w:tc>
        <w:tc>
          <w:tcPr>
            <w:tcW w:w="1105" w:type="dxa"/>
            <w:tcBorders>
              <w:top w:val="nil"/>
              <w:left w:val="nil"/>
              <w:bottom w:val="nil"/>
              <w:right w:val="nil"/>
            </w:tcBorders>
            <w:shd w:val="clear" w:color="auto" w:fill="auto"/>
            <w:noWrap/>
            <w:hideMark/>
          </w:tcPr>
          <w:p w14:paraId="3358C6DE" w14:textId="53FEBAA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FD2078A" w14:textId="60478754"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778319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914573D" w14:textId="2A20693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C6374A8" w14:textId="46448F0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3E7F4565" w14:textId="0A992542" w:rsidR="003E194A" w:rsidRPr="001A5D41" w:rsidRDefault="003E194A" w:rsidP="003E194A">
            <w:pPr>
              <w:jc w:val="center"/>
              <w:rPr>
                <w:rFonts w:ascii="Arial" w:hAnsi="Arial" w:cs="Arial"/>
                <w:sz w:val="14"/>
                <w:szCs w:val="14"/>
              </w:rPr>
            </w:pPr>
            <w:r w:rsidRPr="001A5D41">
              <w:rPr>
                <w:rFonts w:ascii="Arial" w:hAnsi="Arial" w:cs="Arial"/>
                <w:sz w:val="14"/>
                <w:szCs w:val="14"/>
              </w:rPr>
              <w:t>38.95%</w:t>
            </w:r>
          </w:p>
        </w:tc>
        <w:tc>
          <w:tcPr>
            <w:tcW w:w="1090" w:type="dxa"/>
            <w:tcBorders>
              <w:top w:val="nil"/>
              <w:left w:val="nil"/>
              <w:bottom w:val="nil"/>
              <w:right w:val="nil"/>
            </w:tcBorders>
            <w:shd w:val="clear" w:color="auto" w:fill="auto"/>
            <w:noWrap/>
            <w:hideMark/>
          </w:tcPr>
          <w:p w14:paraId="339610FA" w14:textId="22B0BB9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F162622" w14:textId="267EDA70"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962333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17C2896" w14:textId="549AC0E5" w:rsidR="003E194A" w:rsidRPr="001A5D41" w:rsidRDefault="003E194A" w:rsidP="003E194A">
            <w:pPr>
              <w:rPr>
                <w:rFonts w:ascii="Arial" w:hAnsi="Arial" w:cs="Arial"/>
                <w:sz w:val="14"/>
                <w:szCs w:val="14"/>
              </w:rPr>
            </w:pPr>
            <w:r w:rsidRPr="001A5D41">
              <w:rPr>
                <w:rFonts w:ascii="Arial" w:hAnsi="Arial" w:cs="Arial"/>
                <w:sz w:val="14"/>
                <w:szCs w:val="14"/>
              </w:rPr>
              <w:t>Beth Israel Deaconess Hospital - Plymouth</w:t>
            </w:r>
          </w:p>
        </w:tc>
        <w:tc>
          <w:tcPr>
            <w:tcW w:w="1105" w:type="dxa"/>
            <w:tcBorders>
              <w:top w:val="nil"/>
              <w:left w:val="nil"/>
              <w:bottom w:val="nil"/>
              <w:right w:val="nil"/>
            </w:tcBorders>
            <w:shd w:val="clear" w:color="auto" w:fill="auto"/>
            <w:noWrap/>
            <w:hideMark/>
          </w:tcPr>
          <w:p w14:paraId="032DC5B5" w14:textId="0B985A8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E06619C" w14:textId="5D6C99F5"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5DB61A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C3D6B07" w14:textId="12951C0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B3FC9F5" w14:textId="0397C45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29336A63" w14:textId="4C40454F" w:rsidR="003E194A" w:rsidRPr="001A5D41" w:rsidRDefault="003E194A" w:rsidP="003E194A">
            <w:pPr>
              <w:jc w:val="center"/>
              <w:rPr>
                <w:rFonts w:ascii="Arial" w:hAnsi="Arial" w:cs="Arial"/>
                <w:sz w:val="14"/>
                <w:szCs w:val="14"/>
              </w:rPr>
            </w:pPr>
            <w:r w:rsidRPr="001A5D41">
              <w:rPr>
                <w:rFonts w:ascii="Arial" w:hAnsi="Arial" w:cs="Arial"/>
                <w:sz w:val="14"/>
                <w:szCs w:val="14"/>
              </w:rPr>
              <w:t>33.66%</w:t>
            </w:r>
          </w:p>
        </w:tc>
        <w:tc>
          <w:tcPr>
            <w:tcW w:w="1090" w:type="dxa"/>
            <w:tcBorders>
              <w:top w:val="nil"/>
              <w:left w:val="nil"/>
              <w:bottom w:val="nil"/>
              <w:right w:val="nil"/>
            </w:tcBorders>
            <w:shd w:val="clear" w:color="auto" w:fill="auto"/>
            <w:noWrap/>
            <w:hideMark/>
          </w:tcPr>
          <w:p w14:paraId="34851C27" w14:textId="4D8CA06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195C2E1" w14:textId="5D7CBEC1"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A6B133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539A06" w14:textId="676EF39D" w:rsidR="003E194A" w:rsidRPr="001A5D41" w:rsidRDefault="003E194A" w:rsidP="003E194A">
            <w:pPr>
              <w:rPr>
                <w:rFonts w:ascii="Arial" w:hAnsi="Arial" w:cs="Arial"/>
                <w:sz w:val="14"/>
                <w:szCs w:val="14"/>
              </w:rPr>
            </w:pPr>
            <w:r w:rsidRPr="001A5D41">
              <w:rPr>
                <w:rFonts w:ascii="Arial" w:hAnsi="Arial" w:cs="Arial"/>
                <w:sz w:val="14"/>
                <w:szCs w:val="14"/>
              </w:rPr>
              <w:t>Beth Israel Deaconess Medical Center</w:t>
            </w:r>
          </w:p>
        </w:tc>
        <w:tc>
          <w:tcPr>
            <w:tcW w:w="1105" w:type="dxa"/>
            <w:tcBorders>
              <w:top w:val="nil"/>
              <w:left w:val="nil"/>
              <w:bottom w:val="nil"/>
              <w:right w:val="nil"/>
            </w:tcBorders>
            <w:shd w:val="clear" w:color="auto" w:fill="auto"/>
            <w:noWrap/>
            <w:hideMark/>
          </w:tcPr>
          <w:p w14:paraId="0D48B83E" w14:textId="0D18751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9D0D0C1" w14:textId="0773EDE0"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AE558B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B899E86" w14:textId="2B56F0E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937B69" w14:textId="61570D2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49F22105" w14:textId="6B558925" w:rsidR="003E194A" w:rsidRPr="001A5D41" w:rsidRDefault="003E194A" w:rsidP="003E194A">
            <w:pPr>
              <w:jc w:val="center"/>
              <w:rPr>
                <w:rFonts w:ascii="Arial" w:hAnsi="Arial" w:cs="Arial"/>
                <w:sz w:val="14"/>
                <w:szCs w:val="14"/>
              </w:rPr>
            </w:pPr>
            <w:r w:rsidRPr="001A5D41">
              <w:rPr>
                <w:rFonts w:ascii="Arial" w:hAnsi="Arial" w:cs="Arial"/>
                <w:sz w:val="14"/>
                <w:szCs w:val="14"/>
              </w:rPr>
              <w:t>34.94%</w:t>
            </w:r>
          </w:p>
        </w:tc>
        <w:tc>
          <w:tcPr>
            <w:tcW w:w="1090" w:type="dxa"/>
            <w:tcBorders>
              <w:top w:val="nil"/>
              <w:left w:val="nil"/>
              <w:bottom w:val="nil"/>
              <w:right w:val="nil"/>
            </w:tcBorders>
            <w:shd w:val="clear" w:color="auto" w:fill="auto"/>
            <w:noWrap/>
            <w:hideMark/>
          </w:tcPr>
          <w:p w14:paraId="68E9874B" w14:textId="55487FF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1F83737" w14:textId="6F2C11C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41C160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8CC3350" w14:textId="4BEF399D" w:rsidR="003E194A" w:rsidRPr="001A5D41" w:rsidRDefault="003E194A" w:rsidP="003E194A">
            <w:pPr>
              <w:rPr>
                <w:rFonts w:ascii="Arial" w:hAnsi="Arial" w:cs="Arial"/>
                <w:sz w:val="14"/>
                <w:szCs w:val="14"/>
              </w:rPr>
            </w:pPr>
            <w:r w:rsidRPr="001A5D41">
              <w:rPr>
                <w:rFonts w:ascii="Arial" w:hAnsi="Arial" w:cs="Arial"/>
                <w:sz w:val="14"/>
                <w:szCs w:val="14"/>
              </w:rPr>
              <w:t>Beverly Hospital</w:t>
            </w:r>
          </w:p>
        </w:tc>
        <w:tc>
          <w:tcPr>
            <w:tcW w:w="1105" w:type="dxa"/>
            <w:tcBorders>
              <w:top w:val="nil"/>
              <w:left w:val="nil"/>
              <w:bottom w:val="nil"/>
              <w:right w:val="nil"/>
            </w:tcBorders>
            <w:shd w:val="clear" w:color="auto" w:fill="auto"/>
            <w:noWrap/>
            <w:hideMark/>
          </w:tcPr>
          <w:p w14:paraId="5CD96F35" w14:textId="753A20C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C8C3AB8" w14:textId="1BF86709"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4AB55EF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B09E7F4" w14:textId="2FE5A45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6143F87" w14:textId="1AD74D2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41D5E740" w14:textId="52DD7231" w:rsidR="003E194A" w:rsidRPr="001A5D41" w:rsidRDefault="003E194A" w:rsidP="003E194A">
            <w:pPr>
              <w:jc w:val="center"/>
              <w:rPr>
                <w:rFonts w:ascii="Arial" w:hAnsi="Arial" w:cs="Arial"/>
                <w:sz w:val="14"/>
                <w:szCs w:val="14"/>
              </w:rPr>
            </w:pPr>
            <w:r w:rsidRPr="001A5D41">
              <w:rPr>
                <w:rFonts w:ascii="Arial" w:hAnsi="Arial" w:cs="Arial"/>
                <w:sz w:val="14"/>
                <w:szCs w:val="14"/>
              </w:rPr>
              <w:t>28.93%</w:t>
            </w:r>
          </w:p>
        </w:tc>
        <w:tc>
          <w:tcPr>
            <w:tcW w:w="1090" w:type="dxa"/>
            <w:tcBorders>
              <w:top w:val="nil"/>
              <w:left w:val="nil"/>
              <w:bottom w:val="nil"/>
              <w:right w:val="nil"/>
            </w:tcBorders>
            <w:shd w:val="clear" w:color="auto" w:fill="auto"/>
            <w:noWrap/>
            <w:hideMark/>
          </w:tcPr>
          <w:p w14:paraId="4615477C" w14:textId="7E2FB52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9643398" w14:textId="67CF6FC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0C72B8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484D84A" w14:textId="20A50304" w:rsidR="003E194A" w:rsidRPr="001A5D41" w:rsidRDefault="003E194A" w:rsidP="003E194A">
            <w:pPr>
              <w:rPr>
                <w:rFonts w:ascii="Arial" w:hAnsi="Arial" w:cs="Arial"/>
                <w:sz w:val="14"/>
                <w:szCs w:val="14"/>
              </w:rPr>
            </w:pPr>
            <w:r w:rsidRPr="001A5D41">
              <w:rPr>
                <w:rFonts w:ascii="Arial" w:hAnsi="Arial" w:cs="Arial"/>
                <w:sz w:val="14"/>
                <w:szCs w:val="14"/>
              </w:rPr>
              <w:t>Boston Children's Hospital</w:t>
            </w:r>
          </w:p>
        </w:tc>
        <w:tc>
          <w:tcPr>
            <w:tcW w:w="1105" w:type="dxa"/>
            <w:tcBorders>
              <w:top w:val="nil"/>
              <w:left w:val="nil"/>
              <w:bottom w:val="nil"/>
              <w:right w:val="nil"/>
            </w:tcBorders>
            <w:shd w:val="clear" w:color="auto" w:fill="auto"/>
            <w:noWrap/>
            <w:hideMark/>
          </w:tcPr>
          <w:p w14:paraId="076A6401" w14:textId="2397038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78B3B07" w14:textId="37DD8F0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3644C0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C51270" w14:textId="20B79B7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8613C7D" w14:textId="5430A9E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355A4D2B" w14:textId="0AFD9D70" w:rsidR="003E194A" w:rsidRPr="001A5D41" w:rsidRDefault="003E194A" w:rsidP="003E194A">
            <w:pPr>
              <w:jc w:val="center"/>
              <w:rPr>
                <w:rFonts w:ascii="Arial" w:hAnsi="Arial" w:cs="Arial"/>
                <w:sz w:val="14"/>
                <w:szCs w:val="14"/>
              </w:rPr>
            </w:pPr>
            <w:r w:rsidRPr="001A5D41">
              <w:rPr>
                <w:rFonts w:ascii="Arial" w:hAnsi="Arial" w:cs="Arial"/>
                <w:sz w:val="14"/>
                <w:szCs w:val="14"/>
              </w:rPr>
              <w:t>49.81%</w:t>
            </w:r>
          </w:p>
        </w:tc>
        <w:tc>
          <w:tcPr>
            <w:tcW w:w="1090" w:type="dxa"/>
            <w:tcBorders>
              <w:top w:val="nil"/>
              <w:left w:val="nil"/>
              <w:bottom w:val="nil"/>
              <w:right w:val="nil"/>
            </w:tcBorders>
            <w:shd w:val="clear" w:color="auto" w:fill="auto"/>
            <w:noWrap/>
            <w:hideMark/>
          </w:tcPr>
          <w:p w14:paraId="644F4894" w14:textId="772730A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0A04D6D" w14:textId="4003BC8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36E720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3DCFD0E" w14:textId="1AD12A9A" w:rsidR="003E194A" w:rsidRPr="001A5D41" w:rsidRDefault="003E194A" w:rsidP="003E194A">
            <w:pPr>
              <w:rPr>
                <w:rFonts w:ascii="Arial" w:hAnsi="Arial" w:cs="Arial"/>
                <w:sz w:val="14"/>
                <w:szCs w:val="14"/>
              </w:rPr>
            </w:pPr>
            <w:r w:rsidRPr="001A5D41">
              <w:rPr>
                <w:rFonts w:ascii="Arial" w:hAnsi="Arial" w:cs="Arial"/>
                <w:sz w:val="14"/>
                <w:szCs w:val="14"/>
              </w:rPr>
              <w:t>Boston Medical Center</w:t>
            </w:r>
          </w:p>
        </w:tc>
        <w:tc>
          <w:tcPr>
            <w:tcW w:w="1105" w:type="dxa"/>
            <w:tcBorders>
              <w:top w:val="nil"/>
              <w:left w:val="nil"/>
              <w:bottom w:val="nil"/>
              <w:right w:val="nil"/>
            </w:tcBorders>
            <w:shd w:val="clear" w:color="auto" w:fill="auto"/>
            <w:noWrap/>
            <w:hideMark/>
          </w:tcPr>
          <w:p w14:paraId="2FE4F254" w14:textId="7413F635"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315E19" w14:textId="283795AB"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9F3E04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BEF5BDB" w14:textId="0CD4486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8A3C184" w14:textId="24149B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$702.71 </w:t>
            </w:r>
          </w:p>
        </w:tc>
        <w:tc>
          <w:tcPr>
            <w:tcW w:w="899" w:type="dxa"/>
            <w:tcBorders>
              <w:top w:val="nil"/>
              <w:left w:val="nil"/>
              <w:bottom w:val="nil"/>
              <w:right w:val="nil"/>
            </w:tcBorders>
            <w:shd w:val="clear" w:color="auto" w:fill="auto"/>
            <w:noWrap/>
            <w:hideMark/>
          </w:tcPr>
          <w:p w14:paraId="7D43C070" w14:textId="54042768" w:rsidR="003E194A" w:rsidRPr="001A5D41" w:rsidRDefault="003E194A" w:rsidP="003E194A">
            <w:pPr>
              <w:jc w:val="center"/>
              <w:rPr>
                <w:rFonts w:ascii="Arial" w:hAnsi="Arial" w:cs="Arial"/>
                <w:sz w:val="14"/>
                <w:szCs w:val="14"/>
              </w:rPr>
            </w:pPr>
            <w:r w:rsidRPr="001A5D41">
              <w:rPr>
                <w:rFonts w:ascii="Arial" w:hAnsi="Arial" w:cs="Arial"/>
                <w:sz w:val="14"/>
                <w:szCs w:val="14"/>
              </w:rPr>
              <w:t>40.64%</w:t>
            </w:r>
          </w:p>
        </w:tc>
        <w:tc>
          <w:tcPr>
            <w:tcW w:w="1090" w:type="dxa"/>
            <w:tcBorders>
              <w:top w:val="nil"/>
              <w:left w:val="nil"/>
              <w:bottom w:val="nil"/>
              <w:right w:val="nil"/>
            </w:tcBorders>
            <w:shd w:val="clear" w:color="auto" w:fill="auto"/>
            <w:noWrap/>
            <w:hideMark/>
          </w:tcPr>
          <w:p w14:paraId="2B3A8093" w14:textId="6F6F319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E6352DA" w14:textId="56311A90"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D62688F"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F1941B1" w14:textId="164CCCA2" w:rsidR="003E194A" w:rsidRPr="001A5D41" w:rsidRDefault="003E194A" w:rsidP="003E194A">
            <w:pPr>
              <w:rPr>
                <w:rFonts w:ascii="Arial" w:hAnsi="Arial" w:cs="Arial"/>
                <w:sz w:val="14"/>
                <w:szCs w:val="14"/>
              </w:rPr>
            </w:pPr>
            <w:r w:rsidRPr="001A5D41">
              <w:rPr>
                <w:rFonts w:ascii="Arial" w:hAnsi="Arial" w:cs="Arial"/>
                <w:sz w:val="14"/>
                <w:szCs w:val="14"/>
              </w:rPr>
              <w:t>Brigham &amp; Women's Faulkner Hospital</w:t>
            </w:r>
          </w:p>
        </w:tc>
        <w:tc>
          <w:tcPr>
            <w:tcW w:w="1105" w:type="dxa"/>
            <w:tcBorders>
              <w:top w:val="nil"/>
              <w:left w:val="nil"/>
              <w:bottom w:val="nil"/>
              <w:right w:val="nil"/>
            </w:tcBorders>
            <w:shd w:val="clear" w:color="auto" w:fill="auto"/>
            <w:noWrap/>
            <w:hideMark/>
          </w:tcPr>
          <w:p w14:paraId="06FA2AA0" w14:textId="76B059E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641F166" w14:textId="744E11FA"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AD6B58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FE4C2A" w14:textId="3E6EE3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BBCBE8D" w14:textId="14A629F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2E6F226" w14:textId="4EDDED7A" w:rsidR="003E194A" w:rsidRPr="001A5D41" w:rsidRDefault="003E194A" w:rsidP="003E194A">
            <w:pPr>
              <w:jc w:val="center"/>
              <w:rPr>
                <w:rFonts w:ascii="Arial" w:hAnsi="Arial" w:cs="Arial"/>
                <w:sz w:val="14"/>
                <w:szCs w:val="14"/>
              </w:rPr>
            </w:pPr>
            <w:r w:rsidRPr="001A5D41">
              <w:rPr>
                <w:rFonts w:ascii="Arial" w:hAnsi="Arial" w:cs="Arial"/>
                <w:sz w:val="14"/>
                <w:szCs w:val="14"/>
              </w:rPr>
              <w:t>25.37%</w:t>
            </w:r>
          </w:p>
        </w:tc>
        <w:tc>
          <w:tcPr>
            <w:tcW w:w="1090" w:type="dxa"/>
            <w:tcBorders>
              <w:top w:val="nil"/>
              <w:left w:val="nil"/>
              <w:bottom w:val="nil"/>
              <w:right w:val="nil"/>
            </w:tcBorders>
            <w:shd w:val="clear" w:color="auto" w:fill="auto"/>
            <w:noWrap/>
            <w:hideMark/>
          </w:tcPr>
          <w:p w14:paraId="00E48E39" w14:textId="03D1C8A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30E231" w14:textId="6629640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7ADA5E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3523DCB" w14:textId="60D9802A" w:rsidR="003E194A" w:rsidRPr="001A5D41" w:rsidRDefault="003E194A" w:rsidP="003E194A">
            <w:pPr>
              <w:rPr>
                <w:rFonts w:ascii="Arial" w:hAnsi="Arial" w:cs="Arial"/>
                <w:sz w:val="14"/>
                <w:szCs w:val="14"/>
              </w:rPr>
            </w:pPr>
            <w:r w:rsidRPr="001A5D41">
              <w:rPr>
                <w:rFonts w:ascii="Arial" w:hAnsi="Arial" w:cs="Arial"/>
                <w:sz w:val="14"/>
                <w:szCs w:val="14"/>
              </w:rPr>
              <w:t>Brigham &amp; Women's Hospital</w:t>
            </w:r>
          </w:p>
        </w:tc>
        <w:tc>
          <w:tcPr>
            <w:tcW w:w="1105" w:type="dxa"/>
            <w:tcBorders>
              <w:top w:val="nil"/>
              <w:left w:val="nil"/>
              <w:bottom w:val="nil"/>
              <w:right w:val="nil"/>
            </w:tcBorders>
            <w:shd w:val="clear" w:color="auto" w:fill="auto"/>
            <w:noWrap/>
            <w:hideMark/>
          </w:tcPr>
          <w:p w14:paraId="45197AB9" w14:textId="70FDE6E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D85ED36" w14:textId="1D4147CA"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5EA20F0"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1FE5574" w14:textId="15C0604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5211ACF" w14:textId="48D252A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020E3E9C" w14:textId="2A059852" w:rsidR="003E194A" w:rsidRPr="001A5D41" w:rsidRDefault="003E194A" w:rsidP="003E194A">
            <w:pPr>
              <w:jc w:val="center"/>
              <w:rPr>
                <w:rFonts w:ascii="Arial" w:hAnsi="Arial" w:cs="Arial"/>
                <w:sz w:val="14"/>
                <w:szCs w:val="14"/>
              </w:rPr>
            </w:pPr>
            <w:r w:rsidRPr="001A5D41">
              <w:rPr>
                <w:rFonts w:ascii="Arial" w:hAnsi="Arial" w:cs="Arial"/>
                <w:sz w:val="14"/>
                <w:szCs w:val="14"/>
              </w:rPr>
              <w:t>22.85%</w:t>
            </w:r>
          </w:p>
        </w:tc>
        <w:tc>
          <w:tcPr>
            <w:tcW w:w="1090" w:type="dxa"/>
            <w:tcBorders>
              <w:top w:val="nil"/>
              <w:left w:val="nil"/>
              <w:bottom w:val="nil"/>
              <w:right w:val="nil"/>
            </w:tcBorders>
            <w:shd w:val="clear" w:color="auto" w:fill="auto"/>
            <w:noWrap/>
            <w:hideMark/>
          </w:tcPr>
          <w:p w14:paraId="77849E1E" w14:textId="4740436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5B2CEA0" w14:textId="56032D7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206AFD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BC30163" w14:textId="691E66DA" w:rsidR="003E194A" w:rsidRPr="001A5D41" w:rsidRDefault="003E194A" w:rsidP="003E194A">
            <w:pPr>
              <w:rPr>
                <w:rFonts w:ascii="Arial" w:hAnsi="Arial" w:cs="Arial"/>
                <w:sz w:val="14"/>
                <w:szCs w:val="14"/>
              </w:rPr>
            </w:pPr>
            <w:r w:rsidRPr="001A5D41">
              <w:rPr>
                <w:rFonts w:ascii="Arial" w:hAnsi="Arial" w:cs="Arial"/>
                <w:sz w:val="14"/>
                <w:szCs w:val="14"/>
              </w:rPr>
              <w:t>Cambridge Health Alliance</w:t>
            </w:r>
          </w:p>
        </w:tc>
        <w:tc>
          <w:tcPr>
            <w:tcW w:w="1105" w:type="dxa"/>
            <w:tcBorders>
              <w:top w:val="nil"/>
              <w:left w:val="nil"/>
              <w:bottom w:val="nil"/>
              <w:right w:val="nil"/>
            </w:tcBorders>
            <w:shd w:val="clear" w:color="auto" w:fill="auto"/>
            <w:noWrap/>
            <w:hideMark/>
          </w:tcPr>
          <w:p w14:paraId="131904B7" w14:textId="4EE5AB02"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1D69A7A" w14:textId="017E6FF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60F1046C"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94395BA" w14:textId="1EB2E5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0D3C906" w14:textId="38B80FE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7D3DDD1" w14:textId="3393FE00" w:rsidR="003E194A" w:rsidRPr="001A5D41" w:rsidRDefault="003E194A" w:rsidP="003E194A">
            <w:pPr>
              <w:jc w:val="center"/>
              <w:rPr>
                <w:rFonts w:ascii="Arial" w:hAnsi="Arial" w:cs="Arial"/>
                <w:sz w:val="14"/>
                <w:szCs w:val="14"/>
              </w:rPr>
            </w:pPr>
            <w:r w:rsidRPr="001A5D41">
              <w:rPr>
                <w:rFonts w:ascii="Arial" w:hAnsi="Arial" w:cs="Arial"/>
                <w:sz w:val="14"/>
                <w:szCs w:val="14"/>
              </w:rPr>
              <w:t>60.85%</w:t>
            </w:r>
          </w:p>
        </w:tc>
        <w:tc>
          <w:tcPr>
            <w:tcW w:w="1090" w:type="dxa"/>
            <w:tcBorders>
              <w:top w:val="nil"/>
              <w:left w:val="nil"/>
              <w:bottom w:val="nil"/>
              <w:right w:val="nil"/>
            </w:tcBorders>
            <w:shd w:val="clear" w:color="auto" w:fill="auto"/>
            <w:noWrap/>
            <w:hideMark/>
          </w:tcPr>
          <w:p w14:paraId="45F197AE" w14:textId="5DAD12F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054D89C" w14:textId="1687DFE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AD553C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593A1EB" w14:textId="54362743" w:rsidR="003E194A" w:rsidRPr="001A5D41" w:rsidRDefault="003E194A" w:rsidP="003E194A">
            <w:pPr>
              <w:rPr>
                <w:rFonts w:ascii="Arial" w:hAnsi="Arial" w:cs="Arial"/>
                <w:sz w:val="14"/>
                <w:szCs w:val="14"/>
              </w:rPr>
            </w:pPr>
            <w:r w:rsidRPr="001A5D41">
              <w:rPr>
                <w:rFonts w:ascii="Arial" w:hAnsi="Arial" w:cs="Arial"/>
                <w:sz w:val="14"/>
                <w:szCs w:val="14"/>
              </w:rPr>
              <w:t>Cape Cod Hospital</w:t>
            </w:r>
          </w:p>
        </w:tc>
        <w:tc>
          <w:tcPr>
            <w:tcW w:w="1105" w:type="dxa"/>
            <w:tcBorders>
              <w:top w:val="nil"/>
              <w:left w:val="nil"/>
              <w:bottom w:val="nil"/>
              <w:right w:val="nil"/>
            </w:tcBorders>
            <w:shd w:val="clear" w:color="auto" w:fill="auto"/>
            <w:noWrap/>
            <w:hideMark/>
          </w:tcPr>
          <w:p w14:paraId="4BB788AA" w14:textId="7A6A2E79"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B02C8DC" w14:textId="3BBB7AE1" w:rsidR="003E194A" w:rsidRPr="001A5D41" w:rsidRDefault="003E194A" w:rsidP="003E194A">
            <w:pPr>
              <w:rPr>
                <w:rFonts w:ascii="Arial" w:hAnsi="Arial" w:cs="Arial"/>
                <w:sz w:val="14"/>
                <w:szCs w:val="14"/>
              </w:rPr>
            </w:pPr>
            <w:r w:rsidRPr="001A5D41">
              <w:rPr>
                <w:rFonts w:ascii="Arial" w:hAnsi="Arial" w:cs="Arial"/>
                <w:sz w:val="14"/>
                <w:szCs w:val="14"/>
              </w:rPr>
              <w:t xml:space="preserve"> 1.0635 </w:t>
            </w:r>
          </w:p>
        </w:tc>
        <w:tc>
          <w:tcPr>
            <w:tcW w:w="22" w:type="dxa"/>
            <w:tcBorders>
              <w:top w:val="nil"/>
              <w:left w:val="nil"/>
              <w:bottom w:val="nil"/>
              <w:right w:val="nil"/>
            </w:tcBorders>
          </w:tcPr>
          <w:p w14:paraId="14E0775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25003A7" w14:textId="60EE10F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A8E17A" w14:textId="50C69E8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$664.06 </w:t>
            </w:r>
          </w:p>
        </w:tc>
        <w:tc>
          <w:tcPr>
            <w:tcW w:w="899" w:type="dxa"/>
            <w:tcBorders>
              <w:top w:val="nil"/>
              <w:left w:val="nil"/>
              <w:bottom w:val="nil"/>
              <w:right w:val="nil"/>
            </w:tcBorders>
            <w:shd w:val="clear" w:color="auto" w:fill="auto"/>
            <w:noWrap/>
            <w:hideMark/>
          </w:tcPr>
          <w:p w14:paraId="33DEEDEC" w14:textId="1A72F088" w:rsidR="003E194A" w:rsidRPr="001A5D41" w:rsidRDefault="003E194A" w:rsidP="003E194A">
            <w:pPr>
              <w:jc w:val="center"/>
              <w:rPr>
                <w:rFonts w:ascii="Arial" w:hAnsi="Arial" w:cs="Arial"/>
                <w:sz w:val="14"/>
                <w:szCs w:val="14"/>
              </w:rPr>
            </w:pPr>
            <w:r w:rsidRPr="001A5D41">
              <w:rPr>
                <w:rFonts w:ascii="Arial" w:hAnsi="Arial" w:cs="Arial"/>
                <w:sz w:val="14"/>
                <w:szCs w:val="14"/>
              </w:rPr>
              <w:t>32.21%</w:t>
            </w:r>
          </w:p>
        </w:tc>
        <w:tc>
          <w:tcPr>
            <w:tcW w:w="1090" w:type="dxa"/>
            <w:tcBorders>
              <w:top w:val="nil"/>
              <w:left w:val="nil"/>
              <w:bottom w:val="nil"/>
              <w:right w:val="nil"/>
            </w:tcBorders>
            <w:shd w:val="clear" w:color="auto" w:fill="auto"/>
            <w:noWrap/>
            <w:hideMark/>
          </w:tcPr>
          <w:p w14:paraId="0A5A5719" w14:textId="497F907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6CBFDD3" w14:textId="64D3FF2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8CE416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4FBE81E" w14:textId="0DA585B1" w:rsidR="003E194A" w:rsidRPr="001A5D41" w:rsidRDefault="003E194A" w:rsidP="003E194A">
            <w:pPr>
              <w:rPr>
                <w:rFonts w:ascii="Arial" w:hAnsi="Arial" w:cs="Arial"/>
                <w:sz w:val="14"/>
                <w:szCs w:val="14"/>
              </w:rPr>
            </w:pPr>
            <w:r w:rsidRPr="001A5D41">
              <w:rPr>
                <w:rFonts w:ascii="Arial" w:hAnsi="Arial" w:cs="Arial"/>
                <w:sz w:val="14"/>
                <w:szCs w:val="14"/>
              </w:rPr>
              <w:t>Carney Hospital</w:t>
            </w:r>
          </w:p>
        </w:tc>
        <w:tc>
          <w:tcPr>
            <w:tcW w:w="1105" w:type="dxa"/>
            <w:tcBorders>
              <w:top w:val="nil"/>
              <w:left w:val="nil"/>
              <w:bottom w:val="nil"/>
              <w:right w:val="nil"/>
            </w:tcBorders>
            <w:shd w:val="clear" w:color="auto" w:fill="auto"/>
            <w:noWrap/>
            <w:hideMark/>
          </w:tcPr>
          <w:p w14:paraId="4F046CD0" w14:textId="65A8E6C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7CF3DF4" w14:textId="3B00891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488A40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909EAC6" w14:textId="0ED1076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C809149" w14:textId="40A0301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$731.71 </w:t>
            </w:r>
          </w:p>
        </w:tc>
        <w:tc>
          <w:tcPr>
            <w:tcW w:w="899" w:type="dxa"/>
            <w:tcBorders>
              <w:top w:val="nil"/>
              <w:left w:val="nil"/>
              <w:bottom w:val="nil"/>
              <w:right w:val="nil"/>
            </w:tcBorders>
            <w:shd w:val="clear" w:color="auto" w:fill="auto"/>
            <w:noWrap/>
            <w:hideMark/>
          </w:tcPr>
          <w:p w14:paraId="2B5271D1" w14:textId="0F31BCEC" w:rsidR="003E194A" w:rsidRPr="001A5D41" w:rsidRDefault="003E194A" w:rsidP="003E194A">
            <w:pPr>
              <w:jc w:val="center"/>
              <w:rPr>
                <w:rFonts w:ascii="Arial" w:hAnsi="Arial" w:cs="Arial"/>
                <w:sz w:val="14"/>
                <w:szCs w:val="14"/>
              </w:rPr>
            </w:pPr>
            <w:r w:rsidRPr="001A5D41">
              <w:rPr>
                <w:rFonts w:ascii="Arial" w:hAnsi="Arial" w:cs="Arial"/>
                <w:sz w:val="14"/>
                <w:szCs w:val="14"/>
              </w:rPr>
              <w:t>50.00%</w:t>
            </w:r>
          </w:p>
        </w:tc>
        <w:tc>
          <w:tcPr>
            <w:tcW w:w="1090" w:type="dxa"/>
            <w:tcBorders>
              <w:top w:val="nil"/>
              <w:left w:val="nil"/>
              <w:bottom w:val="nil"/>
              <w:right w:val="nil"/>
            </w:tcBorders>
            <w:shd w:val="clear" w:color="auto" w:fill="auto"/>
            <w:noWrap/>
            <w:hideMark/>
          </w:tcPr>
          <w:p w14:paraId="14E51FAB" w14:textId="6984226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4FC9433" w14:textId="1AB9C0FC"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E703850"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AF8380" w14:textId="71FAEF76" w:rsidR="003E194A" w:rsidRPr="001A5D41" w:rsidRDefault="003E194A" w:rsidP="003E194A">
            <w:pPr>
              <w:rPr>
                <w:rFonts w:ascii="Arial" w:hAnsi="Arial" w:cs="Arial"/>
                <w:sz w:val="14"/>
                <w:szCs w:val="14"/>
              </w:rPr>
            </w:pPr>
            <w:r w:rsidRPr="001A5D41">
              <w:rPr>
                <w:rFonts w:ascii="Arial" w:hAnsi="Arial" w:cs="Arial"/>
                <w:sz w:val="14"/>
                <w:szCs w:val="14"/>
              </w:rPr>
              <w:t>Cooley Dickinson Hospital</w:t>
            </w:r>
          </w:p>
        </w:tc>
        <w:tc>
          <w:tcPr>
            <w:tcW w:w="1105" w:type="dxa"/>
            <w:tcBorders>
              <w:top w:val="nil"/>
              <w:left w:val="nil"/>
              <w:bottom w:val="nil"/>
              <w:right w:val="nil"/>
            </w:tcBorders>
            <w:shd w:val="clear" w:color="auto" w:fill="auto"/>
            <w:noWrap/>
            <w:hideMark/>
          </w:tcPr>
          <w:p w14:paraId="1754AE1A" w14:textId="44B6E67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6A7E4CD" w14:textId="72A6925F" w:rsidR="003E194A" w:rsidRPr="001A5D41" w:rsidRDefault="003E194A" w:rsidP="003E194A">
            <w:pPr>
              <w:rPr>
                <w:rFonts w:ascii="Arial" w:hAnsi="Arial" w:cs="Arial"/>
                <w:sz w:val="14"/>
                <w:szCs w:val="14"/>
              </w:rPr>
            </w:pPr>
            <w:r w:rsidRPr="001A5D41">
              <w:rPr>
                <w:rFonts w:ascii="Arial" w:hAnsi="Arial" w:cs="Arial"/>
                <w:sz w:val="14"/>
                <w:szCs w:val="14"/>
              </w:rPr>
              <w:t xml:space="preserve"> 0.9555 </w:t>
            </w:r>
          </w:p>
        </w:tc>
        <w:tc>
          <w:tcPr>
            <w:tcW w:w="22" w:type="dxa"/>
            <w:tcBorders>
              <w:top w:val="nil"/>
              <w:left w:val="nil"/>
              <w:bottom w:val="nil"/>
              <w:right w:val="nil"/>
            </w:tcBorders>
          </w:tcPr>
          <w:p w14:paraId="12015FA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9BF083E" w14:textId="6229DC2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0AC216C" w14:textId="4251A06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$622.61 </w:t>
            </w:r>
          </w:p>
        </w:tc>
        <w:tc>
          <w:tcPr>
            <w:tcW w:w="899" w:type="dxa"/>
            <w:tcBorders>
              <w:top w:val="nil"/>
              <w:left w:val="nil"/>
              <w:bottom w:val="nil"/>
              <w:right w:val="nil"/>
            </w:tcBorders>
            <w:shd w:val="clear" w:color="auto" w:fill="auto"/>
            <w:noWrap/>
            <w:hideMark/>
          </w:tcPr>
          <w:p w14:paraId="368AD91E" w14:textId="099BBEC4" w:rsidR="003E194A" w:rsidRPr="001A5D41" w:rsidRDefault="003E194A" w:rsidP="003E194A">
            <w:pPr>
              <w:jc w:val="center"/>
              <w:rPr>
                <w:rFonts w:ascii="Arial" w:hAnsi="Arial" w:cs="Arial"/>
                <w:sz w:val="14"/>
                <w:szCs w:val="14"/>
              </w:rPr>
            </w:pPr>
            <w:r w:rsidRPr="001A5D41">
              <w:rPr>
                <w:rFonts w:ascii="Arial" w:hAnsi="Arial" w:cs="Arial"/>
                <w:sz w:val="14"/>
                <w:szCs w:val="14"/>
              </w:rPr>
              <w:t>37.01%</w:t>
            </w:r>
          </w:p>
        </w:tc>
        <w:tc>
          <w:tcPr>
            <w:tcW w:w="1090" w:type="dxa"/>
            <w:tcBorders>
              <w:top w:val="nil"/>
              <w:left w:val="nil"/>
              <w:bottom w:val="nil"/>
              <w:right w:val="nil"/>
            </w:tcBorders>
            <w:shd w:val="clear" w:color="auto" w:fill="auto"/>
            <w:noWrap/>
            <w:hideMark/>
          </w:tcPr>
          <w:p w14:paraId="07B8262C" w14:textId="18CD7DA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E9D2A65" w14:textId="5C3C897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722441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22D23D0" w14:textId="109CECD9" w:rsidR="003E194A" w:rsidRPr="001A5D41" w:rsidRDefault="003E194A" w:rsidP="003E194A">
            <w:pPr>
              <w:rPr>
                <w:rFonts w:ascii="Arial" w:hAnsi="Arial" w:cs="Arial"/>
                <w:sz w:val="14"/>
                <w:szCs w:val="14"/>
              </w:rPr>
            </w:pPr>
            <w:r w:rsidRPr="001A5D41">
              <w:rPr>
                <w:rFonts w:ascii="Arial" w:hAnsi="Arial" w:cs="Arial"/>
                <w:sz w:val="14"/>
                <w:szCs w:val="14"/>
              </w:rPr>
              <w:t>Dana Farber Cancer Institute</w:t>
            </w:r>
          </w:p>
        </w:tc>
        <w:tc>
          <w:tcPr>
            <w:tcW w:w="1105" w:type="dxa"/>
            <w:tcBorders>
              <w:top w:val="nil"/>
              <w:left w:val="nil"/>
              <w:bottom w:val="nil"/>
              <w:right w:val="nil"/>
            </w:tcBorders>
            <w:shd w:val="clear" w:color="auto" w:fill="auto"/>
            <w:noWrap/>
            <w:hideMark/>
          </w:tcPr>
          <w:p w14:paraId="38C3B8BB" w14:textId="342E4F75" w:rsidR="003E194A" w:rsidRPr="001A5D41" w:rsidRDefault="003E194A" w:rsidP="003E194A">
            <w:pPr>
              <w:rPr>
                <w:rFonts w:ascii="Arial" w:hAnsi="Arial" w:cs="Arial"/>
                <w:sz w:val="14"/>
                <w:szCs w:val="14"/>
              </w:rPr>
            </w:pPr>
            <w:r w:rsidRPr="001A5D41">
              <w:rPr>
                <w:rFonts w:ascii="Arial" w:hAnsi="Arial" w:cs="Arial"/>
                <w:sz w:val="14"/>
                <w:szCs w:val="14"/>
              </w:rPr>
              <w:t xml:space="preserve"> $791.69 </w:t>
            </w:r>
          </w:p>
        </w:tc>
        <w:tc>
          <w:tcPr>
            <w:tcW w:w="1201" w:type="dxa"/>
            <w:tcBorders>
              <w:top w:val="nil"/>
              <w:left w:val="nil"/>
              <w:bottom w:val="nil"/>
              <w:right w:val="nil"/>
            </w:tcBorders>
            <w:shd w:val="clear" w:color="auto" w:fill="auto"/>
            <w:noWrap/>
            <w:hideMark/>
          </w:tcPr>
          <w:p w14:paraId="4792B36D" w14:textId="6C8D4088"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61FA401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87A07AD" w14:textId="33E987D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C8556B5" w14:textId="7FD402C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$825.13 </w:t>
            </w:r>
          </w:p>
        </w:tc>
        <w:tc>
          <w:tcPr>
            <w:tcW w:w="899" w:type="dxa"/>
            <w:tcBorders>
              <w:top w:val="nil"/>
              <w:left w:val="nil"/>
              <w:bottom w:val="nil"/>
              <w:right w:val="nil"/>
            </w:tcBorders>
            <w:shd w:val="clear" w:color="auto" w:fill="auto"/>
            <w:noWrap/>
            <w:hideMark/>
          </w:tcPr>
          <w:p w14:paraId="025C35F3" w14:textId="7F53A343" w:rsidR="003E194A" w:rsidRPr="001A5D41" w:rsidRDefault="003E194A" w:rsidP="003E194A">
            <w:pPr>
              <w:jc w:val="center"/>
              <w:rPr>
                <w:rFonts w:ascii="Arial" w:hAnsi="Arial" w:cs="Arial"/>
                <w:sz w:val="14"/>
                <w:szCs w:val="14"/>
              </w:rPr>
            </w:pPr>
            <w:r w:rsidRPr="001A5D41">
              <w:rPr>
                <w:rFonts w:ascii="Arial" w:hAnsi="Arial" w:cs="Arial"/>
                <w:sz w:val="14"/>
                <w:szCs w:val="14"/>
              </w:rPr>
              <w:t>28.08%</w:t>
            </w:r>
          </w:p>
        </w:tc>
        <w:tc>
          <w:tcPr>
            <w:tcW w:w="1090" w:type="dxa"/>
            <w:tcBorders>
              <w:top w:val="nil"/>
              <w:left w:val="nil"/>
              <w:bottom w:val="nil"/>
              <w:right w:val="nil"/>
            </w:tcBorders>
            <w:shd w:val="clear" w:color="auto" w:fill="auto"/>
            <w:noWrap/>
            <w:hideMark/>
          </w:tcPr>
          <w:p w14:paraId="268E56BD" w14:textId="7EAAA62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DA251A0" w14:textId="5A623F9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F6EFF6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89BCFF9" w14:textId="295E76D9" w:rsidR="003E194A" w:rsidRPr="001A5D41" w:rsidRDefault="003E194A" w:rsidP="003E194A">
            <w:pPr>
              <w:rPr>
                <w:rFonts w:ascii="Arial" w:hAnsi="Arial" w:cs="Arial"/>
                <w:sz w:val="14"/>
                <w:szCs w:val="14"/>
              </w:rPr>
            </w:pPr>
            <w:r w:rsidRPr="001A5D41">
              <w:rPr>
                <w:rFonts w:ascii="Arial" w:hAnsi="Arial" w:cs="Arial"/>
                <w:sz w:val="14"/>
                <w:szCs w:val="14"/>
              </w:rPr>
              <w:t>Emerson Hospital</w:t>
            </w:r>
          </w:p>
        </w:tc>
        <w:tc>
          <w:tcPr>
            <w:tcW w:w="1105" w:type="dxa"/>
            <w:tcBorders>
              <w:top w:val="nil"/>
              <w:left w:val="nil"/>
              <w:bottom w:val="nil"/>
              <w:right w:val="nil"/>
            </w:tcBorders>
            <w:shd w:val="clear" w:color="auto" w:fill="auto"/>
            <w:noWrap/>
            <w:hideMark/>
          </w:tcPr>
          <w:p w14:paraId="2C864937" w14:textId="11AC3F2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6B3A0F1" w14:textId="2B64CB5B"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4320ED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F7077BF" w14:textId="2ADE01E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8AE96DC" w14:textId="0E93F97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CDE1970" w14:textId="33C77A31" w:rsidR="003E194A" w:rsidRPr="001A5D41" w:rsidRDefault="003E194A" w:rsidP="003E194A">
            <w:pPr>
              <w:jc w:val="center"/>
              <w:rPr>
                <w:rFonts w:ascii="Arial" w:hAnsi="Arial" w:cs="Arial"/>
                <w:sz w:val="14"/>
                <w:szCs w:val="14"/>
              </w:rPr>
            </w:pPr>
            <w:r w:rsidRPr="001A5D41">
              <w:rPr>
                <w:rFonts w:ascii="Arial" w:hAnsi="Arial" w:cs="Arial"/>
                <w:sz w:val="14"/>
                <w:szCs w:val="14"/>
              </w:rPr>
              <w:t>30.00%</w:t>
            </w:r>
          </w:p>
        </w:tc>
        <w:tc>
          <w:tcPr>
            <w:tcW w:w="1090" w:type="dxa"/>
            <w:tcBorders>
              <w:top w:val="nil"/>
              <w:left w:val="nil"/>
              <w:bottom w:val="nil"/>
              <w:right w:val="nil"/>
            </w:tcBorders>
            <w:shd w:val="clear" w:color="auto" w:fill="auto"/>
            <w:noWrap/>
            <w:hideMark/>
          </w:tcPr>
          <w:p w14:paraId="5F82BB45" w14:textId="1086950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5574140" w14:textId="4E87EF9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007D09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048F361" w14:textId="77183896" w:rsidR="003E194A" w:rsidRPr="001A5D41" w:rsidRDefault="003E194A" w:rsidP="003E194A">
            <w:pPr>
              <w:rPr>
                <w:rFonts w:ascii="Arial" w:hAnsi="Arial" w:cs="Arial"/>
                <w:sz w:val="14"/>
                <w:szCs w:val="14"/>
              </w:rPr>
            </w:pPr>
            <w:r w:rsidRPr="001A5D41">
              <w:rPr>
                <w:rFonts w:ascii="Arial" w:hAnsi="Arial" w:cs="Arial"/>
                <w:sz w:val="14"/>
                <w:szCs w:val="14"/>
              </w:rPr>
              <w:t>Falmouth Hospital</w:t>
            </w:r>
          </w:p>
        </w:tc>
        <w:tc>
          <w:tcPr>
            <w:tcW w:w="1105" w:type="dxa"/>
            <w:tcBorders>
              <w:top w:val="nil"/>
              <w:left w:val="nil"/>
              <w:bottom w:val="nil"/>
              <w:right w:val="nil"/>
            </w:tcBorders>
            <w:shd w:val="clear" w:color="auto" w:fill="auto"/>
            <w:noWrap/>
            <w:hideMark/>
          </w:tcPr>
          <w:p w14:paraId="59AD8583" w14:textId="3DC8BBA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0E7D20C" w14:textId="4F9E18BE" w:rsidR="003E194A" w:rsidRPr="001A5D41" w:rsidRDefault="003E194A" w:rsidP="003E194A">
            <w:pPr>
              <w:rPr>
                <w:rFonts w:ascii="Arial" w:hAnsi="Arial" w:cs="Arial"/>
                <w:sz w:val="14"/>
                <w:szCs w:val="14"/>
              </w:rPr>
            </w:pPr>
            <w:r w:rsidRPr="001A5D41">
              <w:rPr>
                <w:rFonts w:ascii="Arial" w:hAnsi="Arial" w:cs="Arial"/>
                <w:sz w:val="14"/>
                <w:szCs w:val="14"/>
              </w:rPr>
              <w:t xml:space="preserve"> 1.0635 </w:t>
            </w:r>
          </w:p>
        </w:tc>
        <w:tc>
          <w:tcPr>
            <w:tcW w:w="22" w:type="dxa"/>
            <w:tcBorders>
              <w:top w:val="nil"/>
              <w:left w:val="nil"/>
              <w:bottom w:val="nil"/>
              <w:right w:val="nil"/>
            </w:tcBorders>
          </w:tcPr>
          <w:p w14:paraId="0871FFF0"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8744B1E" w14:textId="4668519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07288D4" w14:textId="1F5797E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$664.06 </w:t>
            </w:r>
          </w:p>
        </w:tc>
        <w:tc>
          <w:tcPr>
            <w:tcW w:w="899" w:type="dxa"/>
            <w:tcBorders>
              <w:top w:val="nil"/>
              <w:left w:val="nil"/>
              <w:bottom w:val="nil"/>
              <w:right w:val="nil"/>
            </w:tcBorders>
            <w:shd w:val="clear" w:color="auto" w:fill="auto"/>
            <w:noWrap/>
            <w:hideMark/>
          </w:tcPr>
          <w:p w14:paraId="04F7F912" w14:textId="616F7366" w:rsidR="003E194A" w:rsidRPr="001A5D41" w:rsidRDefault="003E194A" w:rsidP="003E194A">
            <w:pPr>
              <w:jc w:val="center"/>
              <w:rPr>
                <w:rFonts w:ascii="Arial" w:hAnsi="Arial" w:cs="Arial"/>
                <w:sz w:val="14"/>
                <w:szCs w:val="14"/>
              </w:rPr>
            </w:pPr>
            <w:r w:rsidRPr="001A5D41">
              <w:rPr>
                <w:rFonts w:ascii="Arial" w:hAnsi="Arial" w:cs="Arial"/>
                <w:sz w:val="14"/>
                <w:szCs w:val="14"/>
              </w:rPr>
              <w:t>29.14%</w:t>
            </w:r>
          </w:p>
        </w:tc>
        <w:tc>
          <w:tcPr>
            <w:tcW w:w="1090" w:type="dxa"/>
            <w:tcBorders>
              <w:top w:val="nil"/>
              <w:left w:val="nil"/>
              <w:bottom w:val="nil"/>
              <w:right w:val="nil"/>
            </w:tcBorders>
            <w:shd w:val="clear" w:color="auto" w:fill="auto"/>
            <w:noWrap/>
            <w:hideMark/>
          </w:tcPr>
          <w:p w14:paraId="381AE907" w14:textId="5ABC391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B6A81F0" w14:textId="3D38B24B"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699988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D93899" w14:textId="66494AFF" w:rsidR="003E194A" w:rsidRPr="001A5D41" w:rsidRDefault="003E194A" w:rsidP="003E194A">
            <w:pPr>
              <w:rPr>
                <w:rFonts w:ascii="Arial" w:hAnsi="Arial" w:cs="Arial"/>
                <w:sz w:val="14"/>
                <w:szCs w:val="14"/>
              </w:rPr>
            </w:pPr>
            <w:r w:rsidRPr="001A5D41">
              <w:rPr>
                <w:rFonts w:ascii="Arial" w:hAnsi="Arial" w:cs="Arial"/>
                <w:sz w:val="14"/>
                <w:szCs w:val="14"/>
              </w:rPr>
              <w:t>Good Samaritan Hospital</w:t>
            </w:r>
          </w:p>
        </w:tc>
        <w:tc>
          <w:tcPr>
            <w:tcW w:w="1105" w:type="dxa"/>
            <w:tcBorders>
              <w:top w:val="nil"/>
              <w:left w:val="nil"/>
              <w:bottom w:val="nil"/>
              <w:right w:val="nil"/>
            </w:tcBorders>
            <w:shd w:val="clear" w:color="auto" w:fill="auto"/>
            <w:noWrap/>
            <w:hideMark/>
          </w:tcPr>
          <w:p w14:paraId="565D0AF7" w14:textId="6250B62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A7A8736" w14:textId="3F8E8270"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9A2088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82DB15B" w14:textId="51B389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BF9BE22" w14:textId="02F47CA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47000288" w14:textId="381AD982" w:rsidR="003E194A" w:rsidRPr="001A5D41" w:rsidRDefault="003E194A" w:rsidP="003E194A">
            <w:pPr>
              <w:jc w:val="center"/>
              <w:rPr>
                <w:rFonts w:ascii="Arial" w:hAnsi="Arial" w:cs="Arial"/>
                <w:sz w:val="14"/>
                <w:szCs w:val="14"/>
              </w:rPr>
            </w:pPr>
            <w:r w:rsidRPr="001A5D41">
              <w:rPr>
                <w:rFonts w:ascii="Arial" w:hAnsi="Arial" w:cs="Arial"/>
                <w:sz w:val="14"/>
                <w:szCs w:val="14"/>
              </w:rPr>
              <w:t>30.34%</w:t>
            </w:r>
          </w:p>
        </w:tc>
        <w:tc>
          <w:tcPr>
            <w:tcW w:w="1090" w:type="dxa"/>
            <w:tcBorders>
              <w:top w:val="nil"/>
              <w:left w:val="nil"/>
              <w:bottom w:val="nil"/>
              <w:right w:val="nil"/>
            </w:tcBorders>
            <w:shd w:val="clear" w:color="auto" w:fill="auto"/>
            <w:noWrap/>
            <w:hideMark/>
          </w:tcPr>
          <w:p w14:paraId="666DEFA0" w14:textId="3F89102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28EAD43" w14:textId="3E5F5AB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54C0E9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D7DBE9F" w14:textId="34106EC9" w:rsidR="003E194A" w:rsidRPr="001A5D41" w:rsidRDefault="003E194A" w:rsidP="003E194A">
            <w:pPr>
              <w:rPr>
                <w:rFonts w:ascii="Arial" w:hAnsi="Arial" w:cs="Arial"/>
                <w:sz w:val="14"/>
                <w:szCs w:val="14"/>
              </w:rPr>
            </w:pPr>
            <w:r w:rsidRPr="001A5D41">
              <w:rPr>
                <w:rFonts w:ascii="Arial" w:hAnsi="Arial" w:cs="Arial"/>
                <w:sz w:val="14"/>
                <w:szCs w:val="14"/>
              </w:rPr>
              <w:t>Hallmark Health Systems</w:t>
            </w:r>
          </w:p>
        </w:tc>
        <w:tc>
          <w:tcPr>
            <w:tcW w:w="1105" w:type="dxa"/>
            <w:tcBorders>
              <w:top w:val="nil"/>
              <w:left w:val="nil"/>
              <w:bottom w:val="nil"/>
              <w:right w:val="nil"/>
            </w:tcBorders>
            <w:shd w:val="clear" w:color="auto" w:fill="auto"/>
            <w:noWrap/>
            <w:hideMark/>
          </w:tcPr>
          <w:p w14:paraId="3C06C775" w14:textId="459C957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B1EAA58" w14:textId="766471F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279DFD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88C137D" w14:textId="265005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0D495F3" w14:textId="7332BD5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56896890" w14:textId="09147B95" w:rsidR="003E194A" w:rsidRPr="001A5D41" w:rsidRDefault="003E194A" w:rsidP="003E194A">
            <w:pPr>
              <w:jc w:val="center"/>
              <w:rPr>
                <w:rFonts w:ascii="Arial" w:hAnsi="Arial" w:cs="Arial"/>
                <w:sz w:val="14"/>
                <w:szCs w:val="14"/>
              </w:rPr>
            </w:pPr>
            <w:r w:rsidRPr="001A5D41">
              <w:rPr>
                <w:rFonts w:ascii="Arial" w:hAnsi="Arial" w:cs="Arial"/>
                <w:sz w:val="14"/>
                <w:szCs w:val="14"/>
              </w:rPr>
              <w:t>32.27%</w:t>
            </w:r>
          </w:p>
        </w:tc>
        <w:tc>
          <w:tcPr>
            <w:tcW w:w="1090" w:type="dxa"/>
            <w:tcBorders>
              <w:top w:val="nil"/>
              <w:left w:val="nil"/>
              <w:bottom w:val="nil"/>
              <w:right w:val="nil"/>
            </w:tcBorders>
            <w:shd w:val="clear" w:color="auto" w:fill="auto"/>
            <w:noWrap/>
            <w:hideMark/>
          </w:tcPr>
          <w:p w14:paraId="707D3B9E" w14:textId="29A033F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F651E67" w14:textId="17CA7EB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37ABC3C"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1D88109" w14:textId="6B18A93C" w:rsidR="003E194A" w:rsidRPr="001A5D41" w:rsidRDefault="003E194A" w:rsidP="003E194A">
            <w:pPr>
              <w:rPr>
                <w:rFonts w:ascii="Arial" w:hAnsi="Arial" w:cs="Arial"/>
                <w:sz w:val="14"/>
                <w:szCs w:val="14"/>
              </w:rPr>
            </w:pPr>
            <w:r w:rsidRPr="001A5D41">
              <w:rPr>
                <w:rFonts w:ascii="Arial" w:hAnsi="Arial" w:cs="Arial"/>
                <w:sz w:val="14"/>
                <w:szCs w:val="14"/>
              </w:rPr>
              <w:t>Harrington Memorial Hospital</w:t>
            </w:r>
          </w:p>
        </w:tc>
        <w:tc>
          <w:tcPr>
            <w:tcW w:w="1105" w:type="dxa"/>
            <w:tcBorders>
              <w:top w:val="nil"/>
              <w:left w:val="nil"/>
              <w:bottom w:val="nil"/>
              <w:right w:val="nil"/>
            </w:tcBorders>
            <w:shd w:val="clear" w:color="auto" w:fill="auto"/>
            <w:noWrap/>
            <w:hideMark/>
          </w:tcPr>
          <w:p w14:paraId="29DB095E" w14:textId="615A3E6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3031F7B" w14:textId="73264CDA"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9DBA4B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A4A39E6" w14:textId="33099E0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C9C0259" w14:textId="697FB8C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812E959" w14:textId="315A8C7F" w:rsidR="003E194A" w:rsidRPr="001A5D41" w:rsidRDefault="003E194A" w:rsidP="003E194A">
            <w:pPr>
              <w:jc w:val="center"/>
              <w:rPr>
                <w:rFonts w:ascii="Arial" w:hAnsi="Arial" w:cs="Arial"/>
                <w:sz w:val="14"/>
                <w:szCs w:val="14"/>
              </w:rPr>
            </w:pPr>
            <w:r w:rsidRPr="001A5D41">
              <w:rPr>
                <w:rFonts w:ascii="Arial" w:hAnsi="Arial" w:cs="Arial"/>
                <w:sz w:val="14"/>
                <w:szCs w:val="14"/>
              </w:rPr>
              <w:t>28.24%</w:t>
            </w:r>
          </w:p>
        </w:tc>
        <w:tc>
          <w:tcPr>
            <w:tcW w:w="1090" w:type="dxa"/>
            <w:tcBorders>
              <w:top w:val="nil"/>
              <w:left w:val="nil"/>
              <w:bottom w:val="nil"/>
              <w:right w:val="nil"/>
            </w:tcBorders>
            <w:shd w:val="clear" w:color="auto" w:fill="auto"/>
            <w:noWrap/>
            <w:hideMark/>
          </w:tcPr>
          <w:p w14:paraId="288ECD15" w14:textId="75ED1DD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95E58A1" w14:textId="4CAA0D9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5D2844B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693EF90" w14:textId="1572E4AF" w:rsidR="003E194A" w:rsidRPr="001A5D41" w:rsidRDefault="003E194A" w:rsidP="003E194A">
            <w:pPr>
              <w:rPr>
                <w:rFonts w:ascii="Arial" w:hAnsi="Arial" w:cs="Arial"/>
                <w:sz w:val="14"/>
                <w:szCs w:val="14"/>
              </w:rPr>
            </w:pPr>
            <w:r w:rsidRPr="001A5D41">
              <w:rPr>
                <w:rFonts w:ascii="Arial" w:hAnsi="Arial" w:cs="Arial"/>
                <w:sz w:val="14"/>
                <w:szCs w:val="14"/>
              </w:rPr>
              <w:t>Heywood Hospital</w:t>
            </w:r>
          </w:p>
        </w:tc>
        <w:tc>
          <w:tcPr>
            <w:tcW w:w="1105" w:type="dxa"/>
            <w:tcBorders>
              <w:top w:val="nil"/>
              <w:left w:val="nil"/>
              <w:bottom w:val="nil"/>
              <w:right w:val="nil"/>
            </w:tcBorders>
            <w:shd w:val="clear" w:color="auto" w:fill="auto"/>
            <w:noWrap/>
            <w:hideMark/>
          </w:tcPr>
          <w:p w14:paraId="445A2FC5" w14:textId="7ADF111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2E764D8" w14:textId="257F430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21488D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8D34A52" w14:textId="357E10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CD702EF" w14:textId="54AACAE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7F9847D0" w14:textId="3BC1129A" w:rsidR="003E194A" w:rsidRPr="001A5D41" w:rsidRDefault="003E194A" w:rsidP="003E194A">
            <w:pPr>
              <w:jc w:val="center"/>
              <w:rPr>
                <w:rFonts w:ascii="Arial" w:hAnsi="Arial" w:cs="Arial"/>
                <w:sz w:val="14"/>
                <w:szCs w:val="14"/>
              </w:rPr>
            </w:pPr>
            <w:r w:rsidRPr="001A5D41">
              <w:rPr>
                <w:rFonts w:ascii="Arial" w:hAnsi="Arial" w:cs="Arial"/>
                <w:sz w:val="14"/>
                <w:szCs w:val="14"/>
              </w:rPr>
              <w:t>33.48%</w:t>
            </w:r>
          </w:p>
        </w:tc>
        <w:tc>
          <w:tcPr>
            <w:tcW w:w="1090" w:type="dxa"/>
            <w:tcBorders>
              <w:top w:val="nil"/>
              <w:left w:val="nil"/>
              <w:bottom w:val="nil"/>
              <w:right w:val="nil"/>
            </w:tcBorders>
            <w:shd w:val="clear" w:color="auto" w:fill="auto"/>
            <w:noWrap/>
            <w:hideMark/>
          </w:tcPr>
          <w:p w14:paraId="1007F139" w14:textId="1CD7E46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BBDD886" w14:textId="14B2494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4272289"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CE16850" w14:textId="070EE8B2" w:rsidR="003E194A" w:rsidRPr="001A5D41" w:rsidRDefault="003E194A" w:rsidP="003E194A">
            <w:pPr>
              <w:rPr>
                <w:rFonts w:ascii="Arial" w:hAnsi="Arial" w:cs="Arial"/>
                <w:sz w:val="14"/>
                <w:szCs w:val="14"/>
              </w:rPr>
            </w:pPr>
            <w:r w:rsidRPr="001A5D41">
              <w:rPr>
                <w:rFonts w:ascii="Arial" w:hAnsi="Arial" w:cs="Arial"/>
                <w:sz w:val="14"/>
                <w:szCs w:val="14"/>
              </w:rPr>
              <w:t>Holy Family Hospital</w:t>
            </w:r>
          </w:p>
        </w:tc>
        <w:tc>
          <w:tcPr>
            <w:tcW w:w="1105" w:type="dxa"/>
            <w:tcBorders>
              <w:top w:val="nil"/>
              <w:left w:val="nil"/>
              <w:bottom w:val="nil"/>
              <w:right w:val="nil"/>
            </w:tcBorders>
            <w:shd w:val="clear" w:color="auto" w:fill="auto"/>
            <w:noWrap/>
            <w:hideMark/>
          </w:tcPr>
          <w:p w14:paraId="1E6BAF9D" w14:textId="523BDCD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43CD8E7" w14:textId="4925E4DA"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4D59D89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AD77F1D" w14:textId="61753B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83435FC" w14:textId="786DD3E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$621.54 </w:t>
            </w:r>
          </w:p>
        </w:tc>
        <w:tc>
          <w:tcPr>
            <w:tcW w:w="899" w:type="dxa"/>
            <w:tcBorders>
              <w:top w:val="nil"/>
              <w:left w:val="nil"/>
              <w:bottom w:val="nil"/>
              <w:right w:val="nil"/>
            </w:tcBorders>
            <w:shd w:val="clear" w:color="auto" w:fill="auto"/>
            <w:noWrap/>
            <w:hideMark/>
          </w:tcPr>
          <w:p w14:paraId="5607ABBC" w14:textId="2C5BCD51" w:rsidR="003E194A" w:rsidRPr="001A5D41" w:rsidRDefault="003E194A" w:rsidP="003E194A">
            <w:pPr>
              <w:jc w:val="center"/>
              <w:rPr>
                <w:rFonts w:ascii="Arial" w:hAnsi="Arial" w:cs="Arial"/>
                <w:sz w:val="14"/>
                <w:szCs w:val="14"/>
              </w:rPr>
            </w:pPr>
            <w:r w:rsidRPr="001A5D41">
              <w:rPr>
                <w:rFonts w:ascii="Arial" w:hAnsi="Arial" w:cs="Arial"/>
                <w:sz w:val="14"/>
                <w:szCs w:val="14"/>
              </w:rPr>
              <w:t>34.09%</w:t>
            </w:r>
          </w:p>
        </w:tc>
        <w:tc>
          <w:tcPr>
            <w:tcW w:w="1090" w:type="dxa"/>
            <w:tcBorders>
              <w:top w:val="nil"/>
              <w:left w:val="nil"/>
              <w:bottom w:val="nil"/>
              <w:right w:val="nil"/>
            </w:tcBorders>
            <w:shd w:val="clear" w:color="auto" w:fill="auto"/>
            <w:noWrap/>
            <w:hideMark/>
          </w:tcPr>
          <w:p w14:paraId="7F54250F" w14:textId="6EA1903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A1EA184" w14:textId="4B51968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3C54FAF"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C64DCF4" w14:textId="7753DF73" w:rsidR="003E194A" w:rsidRPr="001A5D41" w:rsidRDefault="003E194A" w:rsidP="003E194A">
            <w:pPr>
              <w:rPr>
                <w:rFonts w:ascii="Arial" w:hAnsi="Arial" w:cs="Arial"/>
                <w:sz w:val="14"/>
                <w:szCs w:val="14"/>
              </w:rPr>
            </w:pPr>
            <w:r w:rsidRPr="001A5D41">
              <w:rPr>
                <w:rFonts w:ascii="Arial" w:hAnsi="Arial" w:cs="Arial"/>
                <w:sz w:val="14"/>
                <w:szCs w:val="14"/>
              </w:rPr>
              <w:t>Holyoke Medical Center</w:t>
            </w:r>
          </w:p>
        </w:tc>
        <w:tc>
          <w:tcPr>
            <w:tcW w:w="1105" w:type="dxa"/>
            <w:tcBorders>
              <w:top w:val="nil"/>
              <w:left w:val="nil"/>
              <w:bottom w:val="nil"/>
              <w:right w:val="nil"/>
            </w:tcBorders>
            <w:shd w:val="clear" w:color="auto" w:fill="auto"/>
            <w:noWrap/>
            <w:hideMark/>
          </w:tcPr>
          <w:p w14:paraId="547D47CB" w14:textId="3A5E47F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53817B4" w14:textId="3EB77378"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33F22FE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D239C42" w14:textId="5835947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A2E81CC" w14:textId="2DBC853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$654.30 </w:t>
            </w:r>
          </w:p>
        </w:tc>
        <w:tc>
          <w:tcPr>
            <w:tcW w:w="899" w:type="dxa"/>
            <w:tcBorders>
              <w:top w:val="nil"/>
              <w:left w:val="nil"/>
              <w:bottom w:val="nil"/>
              <w:right w:val="nil"/>
            </w:tcBorders>
            <w:shd w:val="clear" w:color="auto" w:fill="auto"/>
            <w:noWrap/>
            <w:hideMark/>
          </w:tcPr>
          <w:p w14:paraId="35361F4A" w14:textId="35B2E58D" w:rsidR="003E194A" w:rsidRPr="001A5D41" w:rsidRDefault="003E194A" w:rsidP="003E194A">
            <w:pPr>
              <w:jc w:val="center"/>
              <w:rPr>
                <w:rFonts w:ascii="Arial" w:hAnsi="Arial" w:cs="Arial"/>
                <w:sz w:val="14"/>
                <w:szCs w:val="14"/>
              </w:rPr>
            </w:pPr>
            <w:r w:rsidRPr="001A5D41">
              <w:rPr>
                <w:rFonts w:ascii="Arial" w:hAnsi="Arial" w:cs="Arial"/>
                <w:sz w:val="14"/>
                <w:szCs w:val="14"/>
              </w:rPr>
              <w:t>37.74%</w:t>
            </w:r>
          </w:p>
        </w:tc>
        <w:tc>
          <w:tcPr>
            <w:tcW w:w="1090" w:type="dxa"/>
            <w:tcBorders>
              <w:top w:val="nil"/>
              <w:left w:val="nil"/>
              <w:bottom w:val="nil"/>
              <w:right w:val="nil"/>
            </w:tcBorders>
            <w:shd w:val="clear" w:color="auto" w:fill="auto"/>
            <w:noWrap/>
            <w:hideMark/>
          </w:tcPr>
          <w:p w14:paraId="785B2BDA" w14:textId="0ACA9EC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CAE3F75" w14:textId="178D36D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576BF1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38EC0CB" w14:textId="6F617572" w:rsidR="003E194A" w:rsidRPr="001A5D41" w:rsidRDefault="003E194A" w:rsidP="003E194A">
            <w:pPr>
              <w:rPr>
                <w:rFonts w:ascii="Arial" w:hAnsi="Arial" w:cs="Arial"/>
                <w:sz w:val="14"/>
                <w:szCs w:val="14"/>
              </w:rPr>
            </w:pPr>
            <w:r w:rsidRPr="001A5D41">
              <w:rPr>
                <w:rFonts w:ascii="Arial" w:hAnsi="Arial" w:cs="Arial"/>
                <w:sz w:val="14"/>
                <w:szCs w:val="14"/>
              </w:rPr>
              <w:t>Lahey Hospital &amp; Medical Center</w:t>
            </w:r>
          </w:p>
        </w:tc>
        <w:tc>
          <w:tcPr>
            <w:tcW w:w="1105" w:type="dxa"/>
            <w:tcBorders>
              <w:top w:val="nil"/>
              <w:left w:val="nil"/>
              <w:bottom w:val="nil"/>
              <w:right w:val="nil"/>
            </w:tcBorders>
            <w:shd w:val="clear" w:color="auto" w:fill="auto"/>
            <w:noWrap/>
            <w:hideMark/>
          </w:tcPr>
          <w:p w14:paraId="76870BE0" w14:textId="50B4533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5DF924D" w14:textId="0512B22A"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5CFC6C9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ADF984D" w14:textId="4BA4BF8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EE2B6EF" w14:textId="0FF5087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A90DD6B" w14:textId="151422D2" w:rsidR="003E194A" w:rsidRPr="001A5D41" w:rsidRDefault="003E194A" w:rsidP="003E194A">
            <w:pPr>
              <w:jc w:val="center"/>
              <w:rPr>
                <w:rFonts w:ascii="Arial" w:hAnsi="Arial" w:cs="Arial"/>
                <w:sz w:val="14"/>
                <w:szCs w:val="14"/>
              </w:rPr>
            </w:pPr>
            <w:r w:rsidRPr="001A5D41">
              <w:rPr>
                <w:rFonts w:ascii="Arial" w:hAnsi="Arial" w:cs="Arial"/>
                <w:sz w:val="14"/>
                <w:szCs w:val="14"/>
              </w:rPr>
              <w:t>38.14%</w:t>
            </w:r>
          </w:p>
        </w:tc>
        <w:tc>
          <w:tcPr>
            <w:tcW w:w="1090" w:type="dxa"/>
            <w:tcBorders>
              <w:top w:val="nil"/>
              <w:left w:val="nil"/>
              <w:bottom w:val="nil"/>
              <w:right w:val="nil"/>
            </w:tcBorders>
            <w:shd w:val="clear" w:color="auto" w:fill="auto"/>
            <w:noWrap/>
            <w:hideMark/>
          </w:tcPr>
          <w:p w14:paraId="528B2F9B" w14:textId="2AD191A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0AE3010" w14:textId="3F8CA19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7134E6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8D90B2" w14:textId="1BC8B7BC" w:rsidR="003E194A" w:rsidRPr="001A5D41" w:rsidRDefault="003E194A" w:rsidP="003E194A">
            <w:pPr>
              <w:rPr>
                <w:rFonts w:ascii="Arial" w:hAnsi="Arial" w:cs="Arial"/>
                <w:sz w:val="14"/>
                <w:szCs w:val="14"/>
              </w:rPr>
            </w:pPr>
            <w:r w:rsidRPr="001A5D41">
              <w:rPr>
                <w:rFonts w:ascii="Arial" w:hAnsi="Arial" w:cs="Arial"/>
                <w:sz w:val="14"/>
                <w:szCs w:val="14"/>
              </w:rPr>
              <w:t>Lawrence General Hospital</w:t>
            </w:r>
          </w:p>
        </w:tc>
        <w:tc>
          <w:tcPr>
            <w:tcW w:w="1105" w:type="dxa"/>
            <w:tcBorders>
              <w:top w:val="nil"/>
              <w:left w:val="nil"/>
              <w:bottom w:val="nil"/>
              <w:right w:val="nil"/>
            </w:tcBorders>
            <w:shd w:val="clear" w:color="auto" w:fill="auto"/>
            <w:noWrap/>
            <w:hideMark/>
          </w:tcPr>
          <w:p w14:paraId="3CF4F779" w14:textId="5FF8D69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CC6ABA2" w14:textId="56F28777" w:rsidR="003E194A" w:rsidRPr="001A5D41" w:rsidRDefault="003E194A" w:rsidP="003E194A">
            <w:pPr>
              <w:rPr>
                <w:rFonts w:ascii="Arial" w:hAnsi="Arial" w:cs="Arial"/>
                <w:sz w:val="14"/>
                <w:szCs w:val="14"/>
              </w:rPr>
            </w:pPr>
            <w:r w:rsidRPr="001A5D41">
              <w:rPr>
                <w:rFonts w:ascii="Arial" w:hAnsi="Arial" w:cs="Arial"/>
                <w:sz w:val="14"/>
                <w:szCs w:val="14"/>
              </w:rPr>
              <w:t xml:space="preserve"> 0.9527 </w:t>
            </w:r>
          </w:p>
        </w:tc>
        <w:tc>
          <w:tcPr>
            <w:tcW w:w="22" w:type="dxa"/>
            <w:tcBorders>
              <w:top w:val="nil"/>
              <w:left w:val="nil"/>
              <w:bottom w:val="nil"/>
              <w:right w:val="nil"/>
            </w:tcBorders>
          </w:tcPr>
          <w:p w14:paraId="0CB3350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2070D56" w14:textId="769EE5F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3977F5F" w14:textId="6602272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$686.54 </w:t>
            </w:r>
          </w:p>
        </w:tc>
        <w:tc>
          <w:tcPr>
            <w:tcW w:w="899" w:type="dxa"/>
            <w:tcBorders>
              <w:top w:val="nil"/>
              <w:left w:val="nil"/>
              <w:bottom w:val="nil"/>
              <w:right w:val="nil"/>
            </w:tcBorders>
            <w:shd w:val="clear" w:color="auto" w:fill="auto"/>
            <w:noWrap/>
            <w:hideMark/>
          </w:tcPr>
          <w:p w14:paraId="15FE4544" w14:textId="5240EDB3" w:rsidR="003E194A" w:rsidRPr="001A5D41" w:rsidRDefault="003E194A" w:rsidP="003E194A">
            <w:pPr>
              <w:jc w:val="center"/>
              <w:rPr>
                <w:rFonts w:ascii="Arial" w:hAnsi="Arial" w:cs="Arial"/>
                <w:sz w:val="14"/>
                <w:szCs w:val="14"/>
              </w:rPr>
            </w:pPr>
            <w:r w:rsidRPr="001A5D41">
              <w:rPr>
                <w:rFonts w:ascii="Arial" w:hAnsi="Arial" w:cs="Arial"/>
                <w:sz w:val="14"/>
                <w:szCs w:val="14"/>
              </w:rPr>
              <w:t>34.77%</w:t>
            </w:r>
          </w:p>
        </w:tc>
        <w:tc>
          <w:tcPr>
            <w:tcW w:w="1090" w:type="dxa"/>
            <w:tcBorders>
              <w:top w:val="nil"/>
              <w:left w:val="nil"/>
              <w:bottom w:val="nil"/>
              <w:right w:val="nil"/>
            </w:tcBorders>
            <w:shd w:val="clear" w:color="auto" w:fill="auto"/>
            <w:noWrap/>
            <w:hideMark/>
          </w:tcPr>
          <w:p w14:paraId="56B40EF4" w14:textId="7DEDC8A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4AE8AE5" w14:textId="74C3CF0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C08BD3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AB2BB40" w14:textId="14F536E7" w:rsidR="003E194A" w:rsidRPr="001A5D41" w:rsidRDefault="003E194A" w:rsidP="003E194A">
            <w:pPr>
              <w:rPr>
                <w:rFonts w:ascii="Arial" w:hAnsi="Arial" w:cs="Arial"/>
                <w:sz w:val="14"/>
                <w:szCs w:val="14"/>
              </w:rPr>
            </w:pPr>
            <w:r w:rsidRPr="001A5D41">
              <w:rPr>
                <w:rFonts w:ascii="Arial" w:hAnsi="Arial" w:cs="Arial"/>
                <w:sz w:val="14"/>
                <w:szCs w:val="14"/>
              </w:rPr>
              <w:t>Lowell General Hospital</w:t>
            </w:r>
          </w:p>
        </w:tc>
        <w:tc>
          <w:tcPr>
            <w:tcW w:w="1105" w:type="dxa"/>
            <w:tcBorders>
              <w:top w:val="nil"/>
              <w:left w:val="nil"/>
              <w:bottom w:val="nil"/>
              <w:right w:val="nil"/>
            </w:tcBorders>
            <w:shd w:val="clear" w:color="auto" w:fill="auto"/>
            <w:noWrap/>
            <w:hideMark/>
          </w:tcPr>
          <w:p w14:paraId="45C66230" w14:textId="6944C36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6B1A067" w14:textId="0D2F42C2"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47638E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16CD9BA" w14:textId="0A76F7B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7E990CE" w14:textId="1C89704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36651FAE" w14:textId="3465D810" w:rsidR="003E194A" w:rsidRPr="001A5D41" w:rsidRDefault="003E194A" w:rsidP="003E194A">
            <w:pPr>
              <w:jc w:val="center"/>
              <w:rPr>
                <w:rFonts w:ascii="Arial" w:hAnsi="Arial" w:cs="Arial"/>
                <w:sz w:val="14"/>
                <w:szCs w:val="14"/>
              </w:rPr>
            </w:pPr>
            <w:r w:rsidRPr="001A5D41">
              <w:rPr>
                <w:rFonts w:ascii="Arial" w:hAnsi="Arial" w:cs="Arial"/>
                <w:sz w:val="14"/>
                <w:szCs w:val="14"/>
              </w:rPr>
              <w:t>25.98%</w:t>
            </w:r>
          </w:p>
        </w:tc>
        <w:tc>
          <w:tcPr>
            <w:tcW w:w="1090" w:type="dxa"/>
            <w:tcBorders>
              <w:top w:val="nil"/>
              <w:left w:val="nil"/>
              <w:bottom w:val="nil"/>
              <w:right w:val="nil"/>
            </w:tcBorders>
            <w:shd w:val="clear" w:color="auto" w:fill="auto"/>
            <w:noWrap/>
            <w:hideMark/>
          </w:tcPr>
          <w:p w14:paraId="607D1ED1" w14:textId="283533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B141224" w14:textId="1B726A7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832874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6504538" w14:textId="4B6F6811" w:rsidR="003E194A" w:rsidRPr="001A5D41" w:rsidRDefault="003E194A" w:rsidP="003E194A">
            <w:pPr>
              <w:rPr>
                <w:rFonts w:ascii="Arial" w:hAnsi="Arial" w:cs="Arial"/>
                <w:sz w:val="14"/>
                <w:szCs w:val="14"/>
              </w:rPr>
            </w:pPr>
            <w:r w:rsidRPr="001A5D41">
              <w:rPr>
                <w:rFonts w:ascii="Arial" w:hAnsi="Arial" w:cs="Arial"/>
                <w:sz w:val="14"/>
                <w:szCs w:val="14"/>
              </w:rPr>
              <w:t>Massachusetts Eye &amp; Ear Infirmary</w:t>
            </w:r>
          </w:p>
        </w:tc>
        <w:tc>
          <w:tcPr>
            <w:tcW w:w="1105" w:type="dxa"/>
            <w:tcBorders>
              <w:top w:val="nil"/>
              <w:left w:val="nil"/>
              <w:bottom w:val="nil"/>
              <w:right w:val="nil"/>
            </w:tcBorders>
            <w:shd w:val="clear" w:color="auto" w:fill="auto"/>
            <w:noWrap/>
            <w:hideMark/>
          </w:tcPr>
          <w:p w14:paraId="107C4572" w14:textId="387699D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A80E090" w14:textId="2AC98A49"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0D33A5FE"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173C529" w14:textId="31751AB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15F7F1A" w14:textId="7B93267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79BCDAD" w14:textId="2B8480DD" w:rsidR="003E194A" w:rsidRPr="001A5D41" w:rsidRDefault="003E194A" w:rsidP="003E194A">
            <w:pPr>
              <w:jc w:val="center"/>
              <w:rPr>
                <w:rFonts w:ascii="Arial" w:hAnsi="Arial" w:cs="Arial"/>
                <w:sz w:val="14"/>
                <w:szCs w:val="14"/>
              </w:rPr>
            </w:pPr>
            <w:r w:rsidRPr="001A5D41">
              <w:rPr>
                <w:rFonts w:ascii="Arial" w:hAnsi="Arial" w:cs="Arial"/>
                <w:sz w:val="14"/>
                <w:szCs w:val="14"/>
              </w:rPr>
              <w:t>38.92%</w:t>
            </w:r>
          </w:p>
        </w:tc>
        <w:tc>
          <w:tcPr>
            <w:tcW w:w="1090" w:type="dxa"/>
            <w:tcBorders>
              <w:top w:val="nil"/>
              <w:left w:val="nil"/>
              <w:bottom w:val="nil"/>
              <w:right w:val="nil"/>
            </w:tcBorders>
            <w:shd w:val="clear" w:color="auto" w:fill="auto"/>
            <w:noWrap/>
            <w:hideMark/>
          </w:tcPr>
          <w:p w14:paraId="5F2E5FC1" w14:textId="50C55DC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11C5D43" w14:textId="7DBEE7D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44DBC8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57C10D3" w14:textId="4AFEA1A4" w:rsidR="003E194A" w:rsidRPr="001A5D41" w:rsidRDefault="003E194A" w:rsidP="003E194A">
            <w:pPr>
              <w:rPr>
                <w:rFonts w:ascii="Arial" w:hAnsi="Arial" w:cs="Arial"/>
                <w:sz w:val="14"/>
                <w:szCs w:val="14"/>
              </w:rPr>
            </w:pPr>
            <w:r w:rsidRPr="001A5D41">
              <w:rPr>
                <w:rFonts w:ascii="Arial" w:hAnsi="Arial" w:cs="Arial"/>
                <w:sz w:val="14"/>
                <w:szCs w:val="14"/>
              </w:rPr>
              <w:t>Massachusetts General Hospital</w:t>
            </w:r>
          </w:p>
        </w:tc>
        <w:tc>
          <w:tcPr>
            <w:tcW w:w="1105" w:type="dxa"/>
            <w:tcBorders>
              <w:top w:val="nil"/>
              <w:left w:val="nil"/>
              <w:bottom w:val="nil"/>
              <w:right w:val="nil"/>
            </w:tcBorders>
            <w:shd w:val="clear" w:color="auto" w:fill="auto"/>
            <w:noWrap/>
            <w:hideMark/>
          </w:tcPr>
          <w:p w14:paraId="539E2F51" w14:textId="51A906D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68A06E5" w14:textId="513115B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837828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497D201" w14:textId="30AFAD4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F606373" w14:textId="6FB5B6E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2FD432FB" w14:textId="49F8027D" w:rsidR="003E194A" w:rsidRPr="001A5D41" w:rsidRDefault="003E194A" w:rsidP="003E194A">
            <w:pPr>
              <w:jc w:val="center"/>
              <w:rPr>
                <w:rFonts w:ascii="Arial" w:hAnsi="Arial" w:cs="Arial"/>
                <w:sz w:val="14"/>
                <w:szCs w:val="14"/>
              </w:rPr>
            </w:pPr>
            <w:r w:rsidRPr="001A5D41">
              <w:rPr>
                <w:rFonts w:ascii="Arial" w:hAnsi="Arial" w:cs="Arial"/>
                <w:sz w:val="14"/>
                <w:szCs w:val="14"/>
              </w:rPr>
              <w:t>26.22%</w:t>
            </w:r>
          </w:p>
        </w:tc>
        <w:tc>
          <w:tcPr>
            <w:tcW w:w="1090" w:type="dxa"/>
            <w:tcBorders>
              <w:top w:val="nil"/>
              <w:left w:val="nil"/>
              <w:bottom w:val="nil"/>
              <w:right w:val="nil"/>
            </w:tcBorders>
            <w:shd w:val="clear" w:color="auto" w:fill="auto"/>
            <w:noWrap/>
            <w:hideMark/>
          </w:tcPr>
          <w:p w14:paraId="7AB498ED" w14:textId="48C3BDB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7D5BC2D1" w14:textId="58D9A58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EE3D9C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546FAA2" w14:textId="061400DF" w:rsidR="003E194A" w:rsidRPr="001A5D41" w:rsidRDefault="003E194A" w:rsidP="003E194A">
            <w:pPr>
              <w:rPr>
                <w:rFonts w:ascii="Arial" w:hAnsi="Arial" w:cs="Arial"/>
                <w:sz w:val="14"/>
                <w:szCs w:val="14"/>
              </w:rPr>
            </w:pPr>
            <w:r w:rsidRPr="001A5D41">
              <w:rPr>
                <w:rFonts w:ascii="Arial" w:hAnsi="Arial" w:cs="Arial"/>
                <w:sz w:val="14"/>
                <w:szCs w:val="14"/>
              </w:rPr>
              <w:t>Mercy Hospital</w:t>
            </w:r>
          </w:p>
        </w:tc>
        <w:tc>
          <w:tcPr>
            <w:tcW w:w="1105" w:type="dxa"/>
            <w:tcBorders>
              <w:top w:val="nil"/>
              <w:left w:val="nil"/>
              <w:bottom w:val="nil"/>
              <w:right w:val="nil"/>
            </w:tcBorders>
            <w:shd w:val="clear" w:color="auto" w:fill="auto"/>
            <w:noWrap/>
            <w:hideMark/>
          </w:tcPr>
          <w:p w14:paraId="3F0A0666" w14:textId="33F6CEE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EA4401B" w14:textId="44F97957"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7E3C4FD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ACF7A50" w14:textId="6E9E59A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4944A78" w14:textId="49C9A65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$654.30 </w:t>
            </w:r>
          </w:p>
        </w:tc>
        <w:tc>
          <w:tcPr>
            <w:tcW w:w="899" w:type="dxa"/>
            <w:tcBorders>
              <w:top w:val="nil"/>
              <w:left w:val="nil"/>
              <w:bottom w:val="nil"/>
              <w:right w:val="nil"/>
            </w:tcBorders>
            <w:shd w:val="clear" w:color="auto" w:fill="auto"/>
            <w:noWrap/>
            <w:hideMark/>
          </w:tcPr>
          <w:p w14:paraId="37F9BDBA" w14:textId="50909F8B" w:rsidR="003E194A" w:rsidRPr="001A5D41" w:rsidRDefault="003E194A" w:rsidP="003E194A">
            <w:pPr>
              <w:jc w:val="center"/>
              <w:rPr>
                <w:rFonts w:ascii="Arial" w:hAnsi="Arial" w:cs="Arial"/>
                <w:sz w:val="14"/>
                <w:szCs w:val="14"/>
              </w:rPr>
            </w:pPr>
            <w:r w:rsidRPr="001A5D41">
              <w:rPr>
                <w:rFonts w:ascii="Arial" w:hAnsi="Arial" w:cs="Arial"/>
                <w:sz w:val="14"/>
                <w:szCs w:val="14"/>
              </w:rPr>
              <w:t>41.07%</w:t>
            </w:r>
          </w:p>
        </w:tc>
        <w:tc>
          <w:tcPr>
            <w:tcW w:w="1090" w:type="dxa"/>
            <w:tcBorders>
              <w:top w:val="nil"/>
              <w:left w:val="nil"/>
              <w:bottom w:val="nil"/>
              <w:right w:val="nil"/>
            </w:tcBorders>
            <w:shd w:val="clear" w:color="auto" w:fill="auto"/>
            <w:noWrap/>
            <w:hideMark/>
          </w:tcPr>
          <w:p w14:paraId="02F06423" w14:textId="38A5316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B3E44D7" w14:textId="7AA276B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81B554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277B52" w14:textId="5D087315" w:rsidR="003E194A" w:rsidRPr="001A5D41" w:rsidRDefault="003E194A" w:rsidP="003E194A">
            <w:pPr>
              <w:rPr>
                <w:rFonts w:ascii="Arial" w:hAnsi="Arial" w:cs="Arial"/>
                <w:sz w:val="14"/>
                <w:szCs w:val="14"/>
              </w:rPr>
            </w:pPr>
            <w:r w:rsidRPr="001A5D41">
              <w:rPr>
                <w:rFonts w:ascii="Arial" w:hAnsi="Arial" w:cs="Arial"/>
                <w:sz w:val="14"/>
                <w:szCs w:val="14"/>
              </w:rPr>
              <w:t>MetroWest Medical Center</w:t>
            </w:r>
          </w:p>
        </w:tc>
        <w:tc>
          <w:tcPr>
            <w:tcW w:w="1105" w:type="dxa"/>
            <w:tcBorders>
              <w:top w:val="nil"/>
              <w:left w:val="nil"/>
              <w:bottom w:val="nil"/>
              <w:right w:val="nil"/>
            </w:tcBorders>
            <w:shd w:val="clear" w:color="auto" w:fill="auto"/>
            <w:noWrap/>
            <w:hideMark/>
          </w:tcPr>
          <w:p w14:paraId="33B2B75B" w14:textId="3AEA48E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A30EB3C" w14:textId="6AA8655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1BD3A14"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36A16F1" w14:textId="1B2EF7F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7FED0D4" w14:textId="11F3FC3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59E0E1D" w14:textId="1E14022D" w:rsidR="003E194A" w:rsidRPr="001A5D41" w:rsidRDefault="003E194A" w:rsidP="003E194A">
            <w:pPr>
              <w:jc w:val="center"/>
              <w:rPr>
                <w:rFonts w:ascii="Arial" w:hAnsi="Arial" w:cs="Arial"/>
                <w:sz w:val="14"/>
                <w:szCs w:val="14"/>
              </w:rPr>
            </w:pPr>
            <w:r w:rsidRPr="001A5D41">
              <w:rPr>
                <w:rFonts w:ascii="Arial" w:hAnsi="Arial" w:cs="Arial"/>
                <w:sz w:val="14"/>
                <w:szCs w:val="14"/>
              </w:rPr>
              <w:t>22.45%</w:t>
            </w:r>
          </w:p>
        </w:tc>
        <w:tc>
          <w:tcPr>
            <w:tcW w:w="1090" w:type="dxa"/>
            <w:tcBorders>
              <w:top w:val="nil"/>
              <w:left w:val="nil"/>
              <w:bottom w:val="nil"/>
              <w:right w:val="nil"/>
            </w:tcBorders>
            <w:shd w:val="clear" w:color="auto" w:fill="auto"/>
            <w:noWrap/>
            <w:hideMark/>
          </w:tcPr>
          <w:p w14:paraId="3B9031BF" w14:textId="30E68B7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5D1439B" w14:textId="307BE3A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3A5768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A3083D" w14:textId="65407C0A" w:rsidR="003E194A" w:rsidRPr="001A5D41" w:rsidRDefault="003E194A" w:rsidP="003E194A">
            <w:pPr>
              <w:rPr>
                <w:rFonts w:ascii="Arial" w:hAnsi="Arial" w:cs="Arial"/>
                <w:sz w:val="14"/>
                <w:szCs w:val="14"/>
              </w:rPr>
            </w:pPr>
            <w:r w:rsidRPr="001A5D41">
              <w:rPr>
                <w:rFonts w:ascii="Arial" w:hAnsi="Arial" w:cs="Arial"/>
                <w:sz w:val="14"/>
                <w:szCs w:val="14"/>
              </w:rPr>
              <w:t>Milford Regional Medical Center</w:t>
            </w:r>
          </w:p>
        </w:tc>
        <w:tc>
          <w:tcPr>
            <w:tcW w:w="1105" w:type="dxa"/>
            <w:tcBorders>
              <w:top w:val="nil"/>
              <w:left w:val="nil"/>
              <w:bottom w:val="nil"/>
              <w:right w:val="nil"/>
            </w:tcBorders>
            <w:shd w:val="clear" w:color="auto" w:fill="auto"/>
            <w:noWrap/>
            <w:hideMark/>
          </w:tcPr>
          <w:p w14:paraId="387FF3A3" w14:textId="0DCFCDF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FB28836" w14:textId="4602DE2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F204AD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4E42865" w14:textId="3BE2451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FEE820F" w14:textId="47654DF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6C004B58" w14:textId="365D01E0" w:rsidR="003E194A" w:rsidRPr="001A5D41" w:rsidRDefault="003E194A" w:rsidP="003E194A">
            <w:pPr>
              <w:jc w:val="center"/>
              <w:rPr>
                <w:rFonts w:ascii="Arial" w:hAnsi="Arial" w:cs="Arial"/>
                <w:sz w:val="14"/>
                <w:szCs w:val="14"/>
              </w:rPr>
            </w:pPr>
            <w:r w:rsidRPr="001A5D41">
              <w:rPr>
                <w:rFonts w:ascii="Arial" w:hAnsi="Arial" w:cs="Arial"/>
                <w:sz w:val="14"/>
                <w:szCs w:val="14"/>
              </w:rPr>
              <w:t>31.08%</w:t>
            </w:r>
          </w:p>
        </w:tc>
        <w:tc>
          <w:tcPr>
            <w:tcW w:w="1090" w:type="dxa"/>
            <w:tcBorders>
              <w:top w:val="nil"/>
              <w:left w:val="nil"/>
              <w:bottom w:val="nil"/>
              <w:right w:val="nil"/>
            </w:tcBorders>
            <w:shd w:val="clear" w:color="auto" w:fill="auto"/>
            <w:noWrap/>
            <w:hideMark/>
          </w:tcPr>
          <w:p w14:paraId="62575D43" w14:textId="56D6206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CA1BB91" w14:textId="7B890D3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708841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DC1E700" w14:textId="335BFABA" w:rsidR="003E194A" w:rsidRPr="001A5D41" w:rsidRDefault="003E194A" w:rsidP="003E194A">
            <w:pPr>
              <w:rPr>
                <w:rFonts w:ascii="Arial" w:hAnsi="Arial" w:cs="Arial"/>
                <w:sz w:val="14"/>
                <w:szCs w:val="14"/>
              </w:rPr>
            </w:pPr>
            <w:r w:rsidRPr="001A5D41">
              <w:rPr>
                <w:rFonts w:ascii="Arial" w:hAnsi="Arial" w:cs="Arial"/>
                <w:sz w:val="14"/>
                <w:szCs w:val="14"/>
              </w:rPr>
              <w:t>Morton Hospital and Medical Center</w:t>
            </w:r>
          </w:p>
        </w:tc>
        <w:tc>
          <w:tcPr>
            <w:tcW w:w="1105" w:type="dxa"/>
            <w:tcBorders>
              <w:top w:val="nil"/>
              <w:left w:val="nil"/>
              <w:bottom w:val="nil"/>
              <w:right w:val="nil"/>
            </w:tcBorders>
            <w:shd w:val="clear" w:color="auto" w:fill="auto"/>
            <w:noWrap/>
            <w:hideMark/>
          </w:tcPr>
          <w:p w14:paraId="02C7B482" w14:textId="703CA11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26499F8" w14:textId="140210EE"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873A88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814D699" w14:textId="1041C7C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2799515" w14:textId="489163C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D5916E1" w14:textId="75888F45" w:rsidR="003E194A" w:rsidRPr="001A5D41" w:rsidRDefault="003E194A" w:rsidP="003E194A">
            <w:pPr>
              <w:jc w:val="center"/>
              <w:rPr>
                <w:rFonts w:ascii="Arial" w:hAnsi="Arial" w:cs="Arial"/>
                <w:sz w:val="14"/>
                <w:szCs w:val="14"/>
              </w:rPr>
            </w:pPr>
            <w:r w:rsidRPr="001A5D41">
              <w:rPr>
                <w:rFonts w:ascii="Arial" w:hAnsi="Arial" w:cs="Arial"/>
                <w:sz w:val="14"/>
                <w:szCs w:val="14"/>
              </w:rPr>
              <w:t>48.76%</w:t>
            </w:r>
          </w:p>
        </w:tc>
        <w:tc>
          <w:tcPr>
            <w:tcW w:w="1090" w:type="dxa"/>
            <w:tcBorders>
              <w:top w:val="nil"/>
              <w:left w:val="nil"/>
              <w:bottom w:val="nil"/>
              <w:right w:val="nil"/>
            </w:tcBorders>
            <w:shd w:val="clear" w:color="auto" w:fill="auto"/>
            <w:noWrap/>
            <w:hideMark/>
          </w:tcPr>
          <w:p w14:paraId="7DCF7DD1" w14:textId="4AC73C9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C1AB117" w14:textId="5EB6A8D3"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48BC9F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CBF494F" w14:textId="463B0067" w:rsidR="003E194A" w:rsidRPr="001A5D41" w:rsidRDefault="003E194A" w:rsidP="003E194A">
            <w:pPr>
              <w:rPr>
                <w:rFonts w:ascii="Arial" w:hAnsi="Arial" w:cs="Arial"/>
                <w:sz w:val="14"/>
                <w:szCs w:val="14"/>
              </w:rPr>
            </w:pPr>
            <w:r w:rsidRPr="001A5D41">
              <w:rPr>
                <w:rFonts w:ascii="Arial" w:hAnsi="Arial" w:cs="Arial"/>
                <w:sz w:val="14"/>
                <w:szCs w:val="14"/>
              </w:rPr>
              <w:lastRenderedPageBreak/>
              <w:t>Mount Auburn Hospital</w:t>
            </w:r>
          </w:p>
        </w:tc>
        <w:tc>
          <w:tcPr>
            <w:tcW w:w="1105" w:type="dxa"/>
            <w:tcBorders>
              <w:top w:val="nil"/>
              <w:left w:val="nil"/>
              <w:bottom w:val="nil"/>
              <w:right w:val="nil"/>
            </w:tcBorders>
            <w:shd w:val="clear" w:color="auto" w:fill="auto"/>
            <w:noWrap/>
            <w:hideMark/>
          </w:tcPr>
          <w:p w14:paraId="416C19F7" w14:textId="0941D444"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B2CF065" w14:textId="546F685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60F407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228CCC2" w14:textId="1FB5767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7243D270" w14:textId="70F2844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EED1A16" w14:textId="3391F2E3" w:rsidR="003E194A" w:rsidRPr="001A5D41" w:rsidRDefault="003E194A" w:rsidP="003E194A">
            <w:pPr>
              <w:jc w:val="center"/>
              <w:rPr>
                <w:rFonts w:ascii="Arial" w:hAnsi="Arial" w:cs="Arial"/>
                <w:sz w:val="14"/>
                <w:szCs w:val="14"/>
              </w:rPr>
            </w:pPr>
            <w:r w:rsidRPr="001A5D41">
              <w:rPr>
                <w:rFonts w:ascii="Arial" w:hAnsi="Arial" w:cs="Arial"/>
                <w:sz w:val="14"/>
                <w:szCs w:val="14"/>
              </w:rPr>
              <w:t>39.91%</w:t>
            </w:r>
          </w:p>
        </w:tc>
        <w:tc>
          <w:tcPr>
            <w:tcW w:w="1090" w:type="dxa"/>
            <w:tcBorders>
              <w:top w:val="nil"/>
              <w:left w:val="nil"/>
              <w:bottom w:val="nil"/>
              <w:right w:val="nil"/>
            </w:tcBorders>
            <w:shd w:val="clear" w:color="auto" w:fill="auto"/>
            <w:noWrap/>
            <w:hideMark/>
          </w:tcPr>
          <w:p w14:paraId="590E9116" w14:textId="4A9686B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EE0E3B1" w14:textId="25D0B93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858307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1CF6882" w14:textId="58A9101E" w:rsidR="003E194A" w:rsidRPr="001A5D41" w:rsidRDefault="003E194A" w:rsidP="003E194A">
            <w:pPr>
              <w:rPr>
                <w:rFonts w:ascii="Arial" w:hAnsi="Arial" w:cs="Arial"/>
                <w:sz w:val="14"/>
                <w:szCs w:val="14"/>
              </w:rPr>
            </w:pPr>
            <w:r w:rsidRPr="001A5D41">
              <w:rPr>
                <w:rFonts w:ascii="Arial" w:hAnsi="Arial" w:cs="Arial"/>
                <w:sz w:val="14"/>
                <w:szCs w:val="14"/>
              </w:rPr>
              <w:t>Nantucket Cottage Hospital</w:t>
            </w:r>
          </w:p>
        </w:tc>
        <w:tc>
          <w:tcPr>
            <w:tcW w:w="1105" w:type="dxa"/>
            <w:tcBorders>
              <w:top w:val="nil"/>
              <w:left w:val="nil"/>
              <w:bottom w:val="nil"/>
              <w:right w:val="nil"/>
            </w:tcBorders>
            <w:shd w:val="clear" w:color="auto" w:fill="auto"/>
            <w:noWrap/>
            <w:hideMark/>
          </w:tcPr>
          <w:p w14:paraId="3CE93F62" w14:textId="6472873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B316BB1" w14:textId="5989F726" w:rsidR="003E194A" w:rsidRPr="001A5D41" w:rsidRDefault="003E194A" w:rsidP="003E194A">
            <w:pPr>
              <w:rPr>
                <w:rFonts w:ascii="Arial" w:hAnsi="Arial" w:cs="Arial"/>
                <w:sz w:val="14"/>
                <w:szCs w:val="14"/>
              </w:rPr>
            </w:pPr>
            <w:r w:rsidRPr="001A5D41">
              <w:rPr>
                <w:rFonts w:ascii="Arial" w:hAnsi="Arial" w:cs="Arial"/>
                <w:sz w:val="14"/>
                <w:szCs w:val="14"/>
              </w:rPr>
              <w:t xml:space="preserve"> 1.1280 </w:t>
            </w:r>
          </w:p>
        </w:tc>
        <w:tc>
          <w:tcPr>
            <w:tcW w:w="22" w:type="dxa"/>
            <w:tcBorders>
              <w:top w:val="nil"/>
              <w:left w:val="nil"/>
              <w:bottom w:val="nil"/>
              <w:right w:val="nil"/>
            </w:tcBorders>
          </w:tcPr>
          <w:p w14:paraId="11FD3E0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B40FBB1" w14:textId="6C98684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7047FC8" w14:textId="3677FD9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$688.82 </w:t>
            </w:r>
          </w:p>
        </w:tc>
        <w:tc>
          <w:tcPr>
            <w:tcW w:w="899" w:type="dxa"/>
            <w:tcBorders>
              <w:top w:val="nil"/>
              <w:left w:val="nil"/>
              <w:bottom w:val="nil"/>
              <w:right w:val="nil"/>
            </w:tcBorders>
            <w:shd w:val="clear" w:color="auto" w:fill="auto"/>
            <w:noWrap/>
            <w:hideMark/>
          </w:tcPr>
          <w:p w14:paraId="12A6E444" w14:textId="39ECDA2D" w:rsidR="003E194A" w:rsidRPr="001A5D41" w:rsidRDefault="003E194A" w:rsidP="003E194A">
            <w:pPr>
              <w:jc w:val="center"/>
              <w:rPr>
                <w:rFonts w:ascii="Arial" w:hAnsi="Arial" w:cs="Arial"/>
                <w:sz w:val="14"/>
                <w:szCs w:val="14"/>
              </w:rPr>
            </w:pPr>
            <w:r w:rsidRPr="001A5D41">
              <w:rPr>
                <w:rFonts w:ascii="Arial" w:hAnsi="Arial" w:cs="Arial"/>
                <w:sz w:val="14"/>
                <w:szCs w:val="14"/>
              </w:rPr>
              <w:t>53.51%</w:t>
            </w:r>
          </w:p>
        </w:tc>
        <w:tc>
          <w:tcPr>
            <w:tcW w:w="1090" w:type="dxa"/>
            <w:tcBorders>
              <w:top w:val="nil"/>
              <w:left w:val="nil"/>
              <w:bottom w:val="nil"/>
              <w:right w:val="nil"/>
            </w:tcBorders>
            <w:shd w:val="clear" w:color="auto" w:fill="auto"/>
            <w:noWrap/>
            <w:hideMark/>
          </w:tcPr>
          <w:p w14:paraId="278FB88E" w14:textId="236BC3B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FA7EDBC" w14:textId="4242C73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5122E2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A475583" w14:textId="600B383A" w:rsidR="003E194A" w:rsidRPr="001A5D41" w:rsidRDefault="003E194A" w:rsidP="003E194A">
            <w:pPr>
              <w:rPr>
                <w:rFonts w:ascii="Arial" w:hAnsi="Arial" w:cs="Arial"/>
                <w:sz w:val="14"/>
                <w:szCs w:val="14"/>
              </w:rPr>
            </w:pPr>
            <w:r w:rsidRPr="001A5D41">
              <w:rPr>
                <w:rFonts w:ascii="Arial" w:hAnsi="Arial" w:cs="Arial"/>
                <w:sz w:val="14"/>
                <w:szCs w:val="14"/>
              </w:rPr>
              <w:t>Nashoba Valley Medical Center</w:t>
            </w:r>
          </w:p>
        </w:tc>
        <w:tc>
          <w:tcPr>
            <w:tcW w:w="1105" w:type="dxa"/>
            <w:tcBorders>
              <w:top w:val="nil"/>
              <w:left w:val="nil"/>
              <w:bottom w:val="nil"/>
              <w:right w:val="nil"/>
            </w:tcBorders>
            <w:shd w:val="clear" w:color="auto" w:fill="auto"/>
            <w:noWrap/>
            <w:hideMark/>
          </w:tcPr>
          <w:p w14:paraId="4DA8632C" w14:textId="5333C8C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FF16DFE" w14:textId="2479AADF"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C158F66"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22B2BFF" w14:textId="364CCDE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D43BDDD" w14:textId="701E8139"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AD7942A" w14:textId="544FF73E" w:rsidR="003E194A" w:rsidRPr="001A5D41" w:rsidRDefault="003E194A" w:rsidP="003E194A">
            <w:pPr>
              <w:jc w:val="center"/>
              <w:rPr>
                <w:rFonts w:ascii="Arial" w:hAnsi="Arial" w:cs="Arial"/>
                <w:sz w:val="14"/>
                <w:szCs w:val="14"/>
              </w:rPr>
            </w:pPr>
            <w:r w:rsidRPr="001A5D41">
              <w:rPr>
                <w:rFonts w:ascii="Arial" w:hAnsi="Arial" w:cs="Arial"/>
                <w:sz w:val="14"/>
                <w:szCs w:val="14"/>
              </w:rPr>
              <w:t>33.88%</w:t>
            </w:r>
          </w:p>
        </w:tc>
        <w:tc>
          <w:tcPr>
            <w:tcW w:w="1090" w:type="dxa"/>
            <w:tcBorders>
              <w:top w:val="nil"/>
              <w:left w:val="nil"/>
              <w:bottom w:val="nil"/>
              <w:right w:val="nil"/>
            </w:tcBorders>
            <w:shd w:val="clear" w:color="auto" w:fill="auto"/>
            <w:noWrap/>
            <w:hideMark/>
          </w:tcPr>
          <w:p w14:paraId="5B5BD0AB" w14:textId="4B02CEE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C611FE9" w14:textId="6B157FA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B1E4458"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5812F11" w14:textId="22A7DCA4" w:rsidR="003E194A" w:rsidRPr="001A5D41" w:rsidRDefault="003E194A" w:rsidP="003E194A">
            <w:pPr>
              <w:rPr>
                <w:rFonts w:ascii="Arial" w:hAnsi="Arial" w:cs="Arial"/>
                <w:sz w:val="14"/>
                <w:szCs w:val="14"/>
              </w:rPr>
            </w:pPr>
            <w:r w:rsidRPr="001A5D41">
              <w:rPr>
                <w:rFonts w:ascii="Arial" w:hAnsi="Arial" w:cs="Arial"/>
                <w:sz w:val="14"/>
                <w:szCs w:val="14"/>
              </w:rPr>
              <w:t>New England Baptist Hospital</w:t>
            </w:r>
          </w:p>
        </w:tc>
        <w:tc>
          <w:tcPr>
            <w:tcW w:w="1105" w:type="dxa"/>
            <w:tcBorders>
              <w:top w:val="nil"/>
              <w:left w:val="nil"/>
              <w:bottom w:val="nil"/>
              <w:right w:val="nil"/>
            </w:tcBorders>
            <w:shd w:val="clear" w:color="auto" w:fill="auto"/>
            <w:noWrap/>
            <w:hideMark/>
          </w:tcPr>
          <w:p w14:paraId="47F748B0" w14:textId="2D9177D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4AC538A" w14:textId="23A13BF1"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120DB98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393A5E5" w14:textId="2726876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25015F6" w14:textId="6EA11EF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15675B0E" w14:textId="400C4B2F" w:rsidR="003E194A" w:rsidRPr="001A5D41" w:rsidRDefault="003E194A" w:rsidP="003E194A">
            <w:pPr>
              <w:jc w:val="center"/>
              <w:rPr>
                <w:rFonts w:ascii="Arial" w:hAnsi="Arial" w:cs="Arial"/>
                <w:sz w:val="14"/>
                <w:szCs w:val="14"/>
              </w:rPr>
            </w:pPr>
            <w:r w:rsidRPr="001A5D41">
              <w:rPr>
                <w:rFonts w:ascii="Arial" w:hAnsi="Arial" w:cs="Arial"/>
                <w:sz w:val="14"/>
                <w:szCs w:val="14"/>
              </w:rPr>
              <w:t>48.44%</w:t>
            </w:r>
          </w:p>
        </w:tc>
        <w:tc>
          <w:tcPr>
            <w:tcW w:w="1090" w:type="dxa"/>
            <w:tcBorders>
              <w:top w:val="nil"/>
              <w:left w:val="nil"/>
              <w:bottom w:val="nil"/>
              <w:right w:val="nil"/>
            </w:tcBorders>
            <w:shd w:val="clear" w:color="auto" w:fill="auto"/>
            <w:noWrap/>
            <w:hideMark/>
          </w:tcPr>
          <w:p w14:paraId="391CF603" w14:textId="0F2ADB7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716A756" w14:textId="56D2B921"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DB31286"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3309CFD" w14:textId="47CE6C96" w:rsidR="003E194A" w:rsidRPr="001A5D41" w:rsidRDefault="003E194A" w:rsidP="003E194A">
            <w:pPr>
              <w:rPr>
                <w:rFonts w:ascii="Arial" w:hAnsi="Arial" w:cs="Arial"/>
                <w:sz w:val="14"/>
                <w:szCs w:val="14"/>
              </w:rPr>
            </w:pPr>
            <w:r w:rsidRPr="001A5D41">
              <w:rPr>
                <w:rFonts w:ascii="Arial" w:hAnsi="Arial" w:cs="Arial"/>
                <w:sz w:val="14"/>
                <w:szCs w:val="14"/>
              </w:rPr>
              <w:t>Newton-Wellesley Hospital</w:t>
            </w:r>
          </w:p>
        </w:tc>
        <w:tc>
          <w:tcPr>
            <w:tcW w:w="1105" w:type="dxa"/>
            <w:tcBorders>
              <w:top w:val="nil"/>
              <w:left w:val="nil"/>
              <w:bottom w:val="nil"/>
              <w:right w:val="nil"/>
            </w:tcBorders>
            <w:shd w:val="clear" w:color="auto" w:fill="auto"/>
            <w:noWrap/>
            <w:hideMark/>
          </w:tcPr>
          <w:p w14:paraId="3B037884" w14:textId="2577546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F333B4B" w14:textId="42ED5318"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3B766FD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9AD1213" w14:textId="0FB692C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F9B38A0" w14:textId="2F6AF63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50D7FDCF" w14:textId="34D4F5E0" w:rsidR="003E194A" w:rsidRPr="001A5D41" w:rsidRDefault="003E194A" w:rsidP="003E194A">
            <w:pPr>
              <w:jc w:val="center"/>
              <w:rPr>
                <w:rFonts w:ascii="Arial" w:hAnsi="Arial" w:cs="Arial"/>
                <w:sz w:val="14"/>
                <w:szCs w:val="14"/>
              </w:rPr>
            </w:pPr>
            <w:r w:rsidRPr="001A5D41">
              <w:rPr>
                <w:rFonts w:ascii="Arial" w:hAnsi="Arial" w:cs="Arial"/>
                <w:sz w:val="14"/>
                <w:szCs w:val="14"/>
              </w:rPr>
              <w:t>26.63%</w:t>
            </w:r>
          </w:p>
        </w:tc>
        <w:tc>
          <w:tcPr>
            <w:tcW w:w="1090" w:type="dxa"/>
            <w:tcBorders>
              <w:top w:val="nil"/>
              <w:left w:val="nil"/>
              <w:bottom w:val="nil"/>
              <w:right w:val="nil"/>
            </w:tcBorders>
            <w:shd w:val="clear" w:color="auto" w:fill="auto"/>
            <w:noWrap/>
            <w:hideMark/>
          </w:tcPr>
          <w:p w14:paraId="0930C412" w14:textId="498E390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EDEA029" w14:textId="5DF806B5"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4F35ADF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9DA590C" w14:textId="0E6FB2FD" w:rsidR="003E194A" w:rsidRPr="001A5D41" w:rsidRDefault="003E194A" w:rsidP="003E194A">
            <w:pPr>
              <w:rPr>
                <w:rFonts w:ascii="Arial" w:hAnsi="Arial" w:cs="Arial"/>
                <w:sz w:val="14"/>
                <w:szCs w:val="14"/>
              </w:rPr>
            </w:pPr>
            <w:r w:rsidRPr="001A5D41">
              <w:rPr>
                <w:rFonts w:ascii="Arial" w:hAnsi="Arial" w:cs="Arial"/>
                <w:sz w:val="14"/>
                <w:szCs w:val="14"/>
              </w:rPr>
              <w:t>North Shore Medical Center</w:t>
            </w:r>
          </w:p>
        </w:tc>
        <w:tc>
          <w:tcPr>
            <w:tcW w:w="1105" w:type="dxa"/>
            <w:tcBorders>
              <w:top w:val="nil"/>
              <w:left w:val="nil"/>
              <w:bottom w:val="nil"/>
              <w:right w:val="nil"/>
            </w:tcBorders>
            <w:shd w:val="clear" w:color="auto" w:fill="auto"/>
            <w:noWrap/>
            <w:hideMark/>
          </w:tcPr>
          <w:p w14:paraId="58970E4E" w14:textId="692CFC3C"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60CA439" w14:textId="0F34E52E"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1E04E90A"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D6CDF4D" w14:textId="75EE0BA2"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4BF6F6E" w14:textId="31EC43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0F229C5D" w14:textId="5A7F72F7" w:rsidR="003E194A" w:rsidRPr="001A5D41" w:rsidRDefault="003E194A" w:rsidP="003E194A">
            <w:pPr>
              <w:jc w:val="center"/>
              <w:rPr>
                <w:rFonts w:ascii="Arial" w:hAnsi="Arial" w:cs="Arial"/>
                <w:sz w:val="14"/>
                <w:szCs w:val="14"/>
              </w:rPr>
            </w:pPr>
            <w:r w:rsidRPr="001A5D41">
              <w:rPr>
                <w:rFonts w:ascii="Arial" w:hAnsi="Arial" w:cs="Arial"/>
                <w:sz w:val="14"/>
                <w:szCs w:val="14"/>
              </w:rPr>
              <w:t>23.88%</w:t>
            </w:r>
          </w:p>
        </w:tc>
        <w:tc>
          <w:tcPr>
            <w:tcW w:w="1090" w:type="dxa"/>
            <w:tcBorders>
              <w:top w:val="nil"/>
              <w:left w:val="nil"/>
              <w:bottom w:val="nil"/>
              <w:right w:val="nil"/>
            </w:tcBorders>
            <w:shd w:val="clear" w:color="auto" w:fill="auto"/>
            <w:noWrap/>
            <w:hideMark/>
          </w:tcPr>
          <w:p w14:paraId="3DD5679D" w14:textId="2FF5DA2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EF4C4FB" w14:textId="4692FAD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95FB19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95EF1CE" w14:textId="19AFF53A" w:rsidR="003E194A" w:rsidRPr="001A5D41" w:rsidRDefault="003E194A" w:rsidP="003E194A">
            <w:pPr>
              <w:rPr>
                <w:rFonts w:ascii="Arial" w:hAnsi="Arial" w:cs="Arial"/>
                <w:sz w:val="14"/>
                <w:szCs w:val="14"/>
              </w:rPr>
            </w:pPr>
            <w:r w:rsidRPr="001A5D41">
              <w:rPr>
                <w:rFonts w:ascii="Arial" w:hAnsi="Arial" w:cs="Arial"/>
                <w:sz w:val="14"/>
                <w:szCs w:val="14"/>
              </w:rPr>
              <w:t>Norwood Hospital</w:t>
            </w:r>
          </w:p>
        </w:tc>
        <w:tc>
          <w:tcPr>
            <w:tcW w:w="1105" w:type="dxa"/>
            <w:tcBorders>
              <w:top w:val="nil"/>
              <w:left w:val="nil"/>
              <w:bottom w:val="nil"/>
              <w:right w:val="nil"/>
            </w:tcBorders>
            <w:shd w:val="clear" w:color="auto" w:fill="auto"/>
            <w:noWrap/>
            <w:hideMark/>
          </w:tcPr>
          <w:p w14:paraId="2A6F6453" w14:textId="7F9867A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E687AA1" w14:textId="30D9D971"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593527FC"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74BE2E9" w14:textId="09D3482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654CE1DA" w14:textId="7C26AC5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18166E6" w14:textId="19FD1309" w:rsidR="003E194A" w:rsidRPr="001A5D41" w:rsidRDefault="003E194A" w:rsidP="003E194A">
            <w:pPr>
              <w:jc w:val="center"/>
              <w:rPr>
                <w:rFonts w:ascii="Arial" w:hAnsi="Arial" w:cs="Arial"/>
                <w:sz w:val="14"/>
                <w:szCs w:val="14"/>
              </w:rPr>
            </w:pPr>
            <w:r w:rsidRPr="001A5D41">
              <w:rPr>
                <w:rFonts w:ascii="Arial" w:hAnsi="Arial" w:cs="Arial"/>
                <w:sz w:val="14"/>
                <w:szCs w:val="14"/>
              </w:rPr>
              <w:t>35.97%</w:t>
            </w:r>
          </w:p>
        </w:tc>
        <w:tc>
          <w:tcPr>
            <w:tcW w:w="1090" w:type="dxa"/>
            <w:tcBorders>
              <w:top w:val="nil"/>
              <w:left w:val="nil"/>
              <w:bottom w:val="nil"/>
              <w:right w:val="nil"/>
            </w:tcBorders>
            <w:shd w:val="clear" w:color="auto" w:fill="auto"/>
            <w:noWrap/>
            <w:hideMark/>
          </w:tcPr>
          <w:p w14:paraId="6C556550" w14:textId="1D62735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31C8D26" w14:textId="1A00AFC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2C2C242"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72DA077" w14:textId="7D967437" w:rsidR="003E194A" w:rsidRPr="001A5D41" w:rsidRDefault="003E194A" w:rsidP="003E194A">
            <w:pPr>
              <w:rPr>
                <w:rFonts w:ascii="Arial" w:hAnsi="Arial" w:cs="Arial"/>
                <w:sz w:val="14"/>
                <w:szCs w:val="14"/>
              </w:rPr>
            </w:pPr>
            <w:r w:rsidRPr="001A5D41">
              <w:rPr>
                <w:rFonts w:ascii="Arial" w:hAnsi="Arial" w:cs="Arial"/>
                <w:sz w:val="14"/>
                <w:szCs w:val="14"/>
              </w:rPr>
              <w:t>Saint Vincent Hospital</w:t>
            </w:r>
          </w:p>
        </w:tc>
        <w:tc>
          <w:tcPr>
            <w:tcW w:w="1105" w:type="dxa"/>
            <w:tcBorders>
              <w:top w:val="nil"/>
              <w:left w:val="nil"/>
              <w:bottom w:val="nil"/>
              <w:right w:val="nil"/>
            </w:tcBorders>
            <w:shd w:val="clear" w:color="auto" w:fill="auto"/>
            <w:noWrap/>
            <w:hideMark/>
          </w:tcPr>
          <w:p w14:paraId="7C71B331" w14:textId="2F52FC2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30F46752" w14:textId="7464AE5D"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2B2C8CD5"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7238B43" w14:textId="1B3F41B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9A278E8" w14:textId="16E0BEE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90547E1" w14:textId="73E0145D" w:rsidR="003E194A" w:rsidRPr="001A5D41" w:rsidRDefault="003E194A" w:rsidP="003E194A">
            <w:pPr>
              <w:jc w:val="center"/>
              <w:rPr>
                <w:rFonts w:ascii="Arial" w:hAnsi="Arial" w:cs="Arial"/>
                <w:sz w:val="14"/>
                <w:szCs w:val="14"/>
              </w:rPr>
            </w:pPr>
            <w:r w:rsidRPr="001A5D41">
              <w:rPr>
                <w:rFonts w:ascii="Arial" w:hAnsi="Arial" w:cs="Arial"/>
                <w:sz w:val="14"/>
                <w:szCs w:val="14"/>
              </w:rPr>
              <w:t>18.92%</w:t>
            </w:r>
          </w:p>
        </w:tc>
        <w:tc>
          <w:tcPr>
            <w:tcW w:w="1090" w:type="dxa"/>
            <w:tcBorders>
              <w:top w:val="nil"/>
              <w:left w:val="nil"/>
              <w:bottom w:val="nil"/>
              <w:right w:val="nil"/>
            </w:tcBorders>
            <w:shd w:val="clear" w:color="auto" w:fill="auto"/>
            <w:noWrap/>
            <w:hideMark/>
          </w:tcPr>
          <w:p w14:paraId="6AA35648" w14:textId="02890F8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1731F64E" w14:textId="3608882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E9C7E3B"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4A35976" w14:textId="553A2602" w:rsidR="003E194A" w:rsidRPr="001A5D41" w:rsidRDefault="003E194A" w:rsidP="003E194A">
            <w:pPr>
              <w:rPr>
                <w:rFonts w:ascii="Arial" w:hAnsi="Arial" w:cs="Arial"/>
                <w:sz w:val="14"/>
                <w:szCs w:val="14"/>
              </w:rPr>
            </w:pPr>
            <w:r w:rsidRPr="001A5D41">
              <w:rPr>
                <w:rFonts w:ascii="Arial" w:hAnsi="Arial" w:cs="Arial"/>
                <w:sz w:val="14"/>
                <w:szCs w:val="14"/>
              </w:rPr>
              <w:t>Shriners Hospitals for Children - Boston</w:t>
            </w:r>
          </w:p>
        </w:tc>
        <w:tc>
          <w:tcPr>
            <w:tcW w:w="1105" w:type="dxa"/>
            <w:tcBorders>
              <w:top w:val="nil"/>
              <w:left w:val="nil"/>
              <w:bottom w:val="nil"/>
              <w:right w:val="nil"/>
            </w:tcBorders>
            <w:shd w:val="clear" w:color="auto" w:fill="auto"/>
            <w:noWrap/>
            <w:hideMark/>
          </w:tcPr>
          <w:p w14:paraId="79ABC487" w14:textId="37161082"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4D9F65E1" w14:textId="7C96710D"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771445D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5FC973BF" w14:textId="3536FE1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E6A4A6A" w14:textId="2E3A313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EB5B127" w14:textId="455DAE5E" w:rsidR="003E194A" w:rsidRPr="001A5D41" w:rsidRDefault="003E194A" w:rsidP="003E194A">
            <w:pPr>
              <w:jc w:val="center"/>
              <w:rPr>
                <w:rFonts w:ascii="Arial" w:hAnsi="Arial" w:cs="Arial"/>
                <w:sz w:val="14"/>
                <w:szCs w:val="14"/>
              </w:rPr>
            </w:pPr>
            <w:r w:rsidRPr="001A5D41">
              <w:rPr>
                <w:rFonts w:ascii="Arial" w:hAnsi="Arial" w:cs="Arial"/>
                <w:sz w:val="14"/>
                <w:szCs w:val="14"/>
              </w:rPr>
              <w:t>68.43%</w:t>
            </w:r>
          </w:p>
        </w:tc>
        <w:tc>
          <w:tcPr>
            <w:tcW w:w="1090" w:type="dxa"/>
            <w:tcBorders>
              <w:top w:val="nil"/>
              <w:left w:val="nil"/>
              <w:bottom w:val="nil"/>
              <w:right w:val="nil"/>
            </w:tcBorders>
            <w:shd w:val="clear" w:color="auto" w:fill="auto"/>
            <w:noWrap/>
            <w:hideMark/>
          </w:tcPr>
          <w:p w14:paraId="7B5A0D8A" w14:textId="0D9DE65D"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48C6684F" w14:textId="08929D7F"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607041B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54A38DFA" w14:textId="167102C5" w:rsidR="003E194A" w:rsidRPr="001A5D41" w:rsidRDefault="003E194A" w:rsidP="003E194A">
            <w:pPr>
              <w:rPr>
                <w:rFonts w:ascii="Arial" w:hAnsi="Arial" w:cs="Arial"/>
                <w:sz w:val="14"/>
                <w:szCs w:val="14"/>
              </w:rPr>
            </w:pPr>
            <w:r w:rsidRPr="001A5D41">
              <w:rPr>
                <w:rFonts w:ascii="Arial" w:hAnsi="Arial" w:cs="Arial"/>
                <w:sz w:val="14"/>
                <w:szCs w:val="14"/>
              </w:rPr>
              <w:t>Shriners Hospitals for Children - Springfield</w:t>
            </w:r>
          </w:p>
        </w:tc>
        <w:tc>
          <w:tcPr>
            <w:tcW w:w="1105" w:type="dxa"/>
            <w:tcBorders>
              <w:top w:val="nil"/>
              <w:left w:val="nil"/>
              <w:bottom w:val="nil"/>
              <w:right w:val="nil"/>
            </w:tcBorders>
            <w:shd w:val="clear" w:color="auto" w:fill="auto"/>
            <w:noWrap/>
            <w:hideMark/>
          </w:tcPr>
          <w:p w14:paraId="218A8311" w14:textId="3A0DCBB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9D2F572" w14:textId="59106489" w:rsidR="003E194A" w:rsidRPr="001A5D41" w:rsidRDefault="003E194A" w:rsidP="003E194A">
            <w:pPr>
              <w:rPr>
                <w:rFonts w:ascii="Arial" w:hAnsi="Arial" w:cs="Arial"/>
                <w:sz w:val="14"/>
                <w:szCs w:val="14"/>
              </w:rPr>
            </w:pPr>
            <w:r w:rsidRPr="001A5D41">
              <w:rPr>
                <w:rFonts w:ascii="Arial" w:hAnsi="Arial" w:cs="Arial"/>
                <w:sz w:val="14"/>
                <w:szCs w:val="14"/>
              </w:rPr>
              <w:t xml:space="preserve"> 0.8687 </w:t>
            </w:r>
          </w:p>
        </w:tc>
        <w:tc>
          <w:tcPr>
            <w:tcW w:w="22" w:type="dxa"/>
            <w:tcBorders>
              <w:top w:val="nil"/>
              <w:left w:val="nil"/>
              <w:bottom w:val="nil"/>
              <w:right w:val="nil"/>
            </w:tcBorders>
          </w:tcPr>
          <w:p w14:paraId="0D1F013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97D620E" w14:textId="4C9FDCB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A27A833" w14:textId="62E0EC2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$589.30 </w:t>
            </w:r>
          </w:p>
        </w:tc>
        <w:tc>
          <w:tcPr>
            <w:tcW w:w="899" w:type="dxa"/>
            <w:tcBorders>
              <w:top w:val="nil"/>
              <w:left w:val="nil"/>
              <w:bottom w:val="nil"/>
              <w:right w:val="nil"/>
            </w:tcBorders>
            <w:shd w:val="clear" w:color="auto" w:fill="auto"/>
            <w:noWrap/>
            <w:hideMark/>
          </w:tcPr>
          <w:p w14:paraId="3E6C82C5" w14:textId="683C4CC4" w:rsidR="003E194A" w:rsidRPr="001A5D41" w:rsidRDefault="003E194A" w:rsidP="003E194A">
            <w:pPr>
              <w:jc w:val="center"/>
              <w:rPr>
                <w:rFonts w:ascii="Arial" w:hAnsi="Arial" w:cs="Arial"/>
                <w:sz w:val="14"/>
                <w:szCs w:val="14"/>
              </w:rPr>
            </w:pPr>
            <w:r w:rsidRPr="001A5D41">
              <w:rPr>
                <w:rFonts w:ascii="Arial" w:hAnsi="Arial" w:cs="Arial"/>
                <w:sz w:val="14"/>
                <w:szCs w:val="14"/>
              </w:rPr>
              <w:t>47.06%</w:t>
            </w:r>
          </w:p>
        </w:tc>
        <w:tc>
          <w:tcPr>
            <w:tcW w:w="1090" w:type="dxa"/>
            <w:tcBorders>
              <w:top w:val="nil"/>
              <w:left w:val="nil"/>
              <w:bottom w:val="nil"/>
              <w:right w:val="nil"/>
            </w:tcBorders>
            <w:shd w:val="clear" w:color="auto" w:fill="auto"/>
            <w:noWrap/>
            <w:hideMark/>
          </w:tcPr>
          <w:p w14:paraId="63E19C07" w14:textId="4628043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12B97ED" w14:textId="46E3E18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4C2E326"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4D9571BA" w14:textId="4D232FB9" w:rsidR="003E194A" w:rsidRPr="001A5D41" w:rsidRDefault="003E194A" w:rsidP="003E194A">
            <w:pPr>
              <w:rPr>
                <w:rFonts w:ascii="Arial" w:hAnsi="Arial" w:cs="Arial"/>
                <w:sz w:val="14"/>
                <w:szCs w:val="14"/>
              </w:rPr>
            </w:pPr>
            <w:r w:rsidRPr="001A5D41">
              <w:rPr>
                <w:rFonts w:ascii="Arial" w:hAnsi="Arial" w:cs="Arial"/>
                <w:sz w:val="14"/>
                <w:szCs w:val="14"/>
              </w:rPr>
              <w:t>Signature Healthcare Brockton Hospital</w:t>
            </w:r>
          </w:p>
        </w:tc>
        <w:tc>
          <w:tcPr>
            <w:tcW w:w="1105" w:type="dxa"/>
            <w:tcBorders>
              <w:top w:val="nil"/>
              <w:left w:val="nil"/>
              <w:bottom w:val="nil"/>
              <w:right w:val="nil"/>
            </w:tcBorders>
            <w:shd w:val="clear" w:color="auto" w:fill="auto"/>
            <w:noWrap/>
            <w:hideMark/>
          </w:tcPr>
          <w:p w14:paraId="7938D684" w14:textId="03405FB8"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48A8004" w14:textId="12C0E0C8"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05DC8E3"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8F05F1E" w14:textId="3783CCF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87DD3A5" w14:textId="2EB74D6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$731.71 </w:t>
            </w:r>
          </w:p>
        </w:tc>
        <w:tc>
          <w:tcPr>
            <w:tcW w:w="899" w:type="dxa"/>
            <w:tcBorders>
              <w:top w:val="nil"/>
              <w:left w:val="nil"/>
              <w:bottom w:val="nil"/>
              <w:right w:val="nil"/>
            </w:tcBorders>
            <w:shd w:val="clear" w:color="auto" w:fill="auto"/>
            <w:noWrap/>
            <w:hideMark/>
          </w:tcPr>
          <w:p w14:paraId="1E2D414D" w14:textId="508AB36C" w:rsidR="003E194A" w:rsidRPr="001A5D41" w:rsidRDefault="003E194A" w:rsidP="003E194A">
            <w:pPr>
              <w:jc w:val="center"/>
              <w:rPr>
                <w:rFonts w:ascii="Arial" w:hAnsi="Arial" w:cs="Arial"/>
                <w:sz w:val="14"/>
                <w:szCs w:val="14"/>
              </w:rPr>
            </w:pPr>
            <w:r w:rsidRPr="001A5D41">
              <w:rPr>
                <w:rFonts w:ascii="Arial" w:hAnsi="Arial" w:cs="Arial"/>
                <w:sz w:val="14"/>
                <w:szCs w:val="14"/>
              </w:rPr>
              <w:t>29.94%</w:t>
            </w:r>
          </w:p>
        </w:tc>
        <w:tc>
          <w:tcPr>
            <w:tcW w:w="1090" w:type="dxa"/>
            <w:tcBorders>
              <w:top w:val="nil"/>
              <w:left w:val="nil"/>
              <w:bottom w:val="nil"/>
              <w:right w:val="nil"/>
            </w:tcBorders>
            <w:shd w:val="clear" w:color="auto" w:fill="auto"/>
            <w:noWrap/>
            <w:hideMark/>
          </w:tcPr>
          <w:p w14:paraId="492EF114" w14:textId="40F5014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8E35865" w14:textId="45C65A17"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027F35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390F515" w14:textId="19E84C6C" w:rsidR="003E194A" w:rsidRPr="001A5D41" w:rsidRDefault="003E194A" w:rsidP="003E194A">
            <w:pPr>
              <w:rPr>
                <w:rFonts w:ascii="Arial" w:hAnsi="Arial" w:cs="Arial"/>
                <w:sz w:val="14"/>
                <w:szCs w:val="14"/>
              </w:rPr>
            </w:pPr>
            <w:r w:rsidRPr="001A5D41">
              <w:rPr>
                <w:rFonts w:ascii="Arial" w:hAnsi="Arial" w:cs="Arial"/>
                <w:sz w:val="14"/>
                <w:szCs w:val="14"/>
              </w:rPr>
              <w:t>South Shore Hospital</w:t>
            </w:r>
          </w:p>
        </w:tc>
        <w:tc>
          <w:tcPr>
            <w:tcW w:w="1105" w:type="dxa"/>
            <w:tcBorders>
              <w:top w:val="nil"/>
              <w:left w:val="nil"/>
              <w:bottom w:val="nil"/>
              <w:right w:val="nil"/>
            </w:tcBorders>
            <w:shd w:val="clear" w:color="auto" w:fill="auto"/>
            <w:noWrap/>
            <w:hideMark/>
          </w:tcPr>
          <w:p w14:paraId="5B16FD05" w14:textId="6864799B"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1BF59338" w14:textId="0DD626EF"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371D7C1F"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12F949F" w14:textId="5379909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6545B2" w14:textId="14AB43B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5D2F7E67" w14:textId="744FF6F3" w:rsidR="003E194A" w:rsidRPr="001A5D41" w:rsidRDefault="003E194A" w:rsidP="003E194A">
            <w:pPr>
              <w:jc w:val="center"/>
              <w:rPr>
                <w:rFonts w:ascii="Arial" w:hAnsi="Arial" w:cs="Arial"/>
                <w:sz w:val="14"/>
                <w:szCs w:val="14"/>
              </w:rPr>
            </w:pPr>
            <w:r w:rsidRPr="001A5D41">
              <w:rPr>
                <w:rFonts w:ascii="Arial" w:hAnsi="Arial" w:cs="Arial"/>
                <w:sz w:val="14"/>
                <w:szCs w:val="14"/>
              </w:rPr>
              <w:t>40.11%</w:t>
            </w:r>
          </w:p>
        </w:tc>
        <w:tc>
          <w:tcPr>
            <w:tcW w:w="1090" w:type="dxa"/>
            <w:tcBorders>
              <w:top w:val="nil"/>
              <w:left w:val="nil"/>
              <w:bottom w:val="nil"/>
              <w:right w:val="nil"/>
            </w:tcBorders>
            <w:shd w:val="clear" w:color="auto" w:fill="auto"/>
            <w:noWrap/>
            <w:hideMark/>
          </w:tcPr>
          <w:p w14:paraId="0211185D" w14:textId="16D3BFC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4E068F9" w14:textId="394BA34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E88E40C"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7AF7479" w14:textId="4B7AE93A" w:rsidR="003E194A" w:rsidRPr="001A5D41" w:rsidRDefault="003E194A" w:rsidP="003E194A">
            <w:pPr>
              <w:rPr>
                <w:rFonts w:ascii="Arial" w:hAnsi="Arial" w:cs="Arial"/>
                <w:sz w:val="14"/>
                <w:szCs w:val="14"/>
              </w:rPr>
            </w:pPr>
            <w:r w:rsidRPr="001A5D41">
              <w:rPr>
                <w:rFonts w:ascii="Arial" w:hAnsi="Arial" w:cs="Arial"/>
                <w:sz w:val="14"/>
                <w:szCs w:val="14"/>
              </w:rPr>
              <w:t>Southcoast Hospitals Group</w:t>
            </w:r>
          </w:p>
        </w:tc>
        <w:tc>
          <w:tcPr>
            <w:tcW w:w="1105" w:type="dxa"/>
            <w:tcBorders>
              <w:top w:val="nil"/>
              <w:left w:val="nil"/>
              <w:bottom w:val="nil"/>
              <w:right w:val="nil"/>
            </w:tcBorders>
            <w:shd w:val="clear" w:color="auto" w:fill="auto"/>
            <w:noWrap/>
            <w:hideMark/>
          </w:tcPr>
          <w:p w14:paraId="51142950" w14:textId="42824D3F"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D81B65C" w14:textId="7F03D6D7" w:rsidR="003E194A" w:rsidRPr="001A5D41" w:rsidRDefault="003E194A" w:rsidP="003E194A">
            <w:pPr>
              <w:rPr>
                <w:rFonts w:ascii="Arial" w:hAnsi="Arial" w:cs="Arial"/>
                <w:sz w:val="14"/>
                <w:szCs w:val="14"/>
              </w:rPr>
            </w:pPr>
            <w:r w:rsidRPr="001A5D41">
              <w:rPr>
                <w:rFonts w:ascii="Arial" w:hAnsi="Arial" w:cs="Arial"/>
                <w:sz w:val="14"/>
                <w:szCs w:val="14"/>
              </w:rPr>
              <w:t xml:space="preserve"> 1.0305 </w:t>
            </w:r>
          </w:p>
        </w:tc>
        <w:tc>
          <w:tcPr>
            <w:tcW w:w="22" w:type="dxa"/>
            <w:tcBorders>
              <w:top w:val="nil"/>
              <w:left w:val="nil"/>
              <w:bottom w:val="nil"/>
              <w:right w:val="nil"/>
            </w:tcBorders>
          </w:tcPr>
          <w:p w14:paraId="443DA82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C690457" w14:textId="20154F15"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3D8301C" w14:textId="1439731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$651.40 </w:t>
            </w:r>
          </w:p>
        </w:tc>
        <w:tc>
          <w:tcPr>
            <w:tcW w:w="899" w:type="dxa"/>
            <w:tcBorders>
              <w:top w:val="nil"/>
              <w:left w:val="nil"/>
              <w:bottom w:val="nil"/>
              <w:right w:val="nil"/>
            </w:tcBorders>
            <w:shd w:val="clear" w:color="auto" w:fill="auto"/>
            <w:noWrap/>
            <w:hideMark/>
          </w:tcPr>
          <w:p w14:paraId="07BA65FC" w14:textId="371DE977" w:rsidR="003E194A" w:rsidRPr="001A5D41" w:rsidRDefault="003E194A" w:rsidP="003E194A">
            <w:pPr>
              <w:jc w:val="center"/>
              <w:rPr>
                <w:rFonts w:ascii="Arial" w:hAnsi="Arial" w:cs="Arial"/>
                <w:sz w:val="14"/>
                <w:szCs w:val="14"/>
              </w:rPr>
            </w:pPr>
            <w:r w:rsidRPr="001A5D41">
              <w:rPr>
                <w:rFonts w:ascii="Arial" w:hAnsi="Arial" w:cs="Arial"/>
                <w:sz w:val="14"/>
                <w:szCs w:val="14"/>
              </w:rPr>
              <w:t>30.86%</w:t>
            </w:r>
          </w:p>
        </w:tc>
        <w:tc>
          <w:tcPr>
            <w:tcW w:w="1090" w:type="dxa"/>
            <w:tcBorders>
              <w:top w:val="nil"/>
              <w:left w:val="nil"/>
              <w:bottom w:val="nil"/>
              <w:right w:val="nil"/>
            </w:tcBorders>
            <w:shd w:val="clear" w:color="auto" w:fill="auto"/>
            <w:noWrap/>
            <w:hideMark/>
          </w:tcPr>
          <w:p w14:paraId="14E736C9" w14:textId="0A0925F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52D8661" w14:textId="6C60AD7D"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81D1F91"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24A16BAA" w14:textId="7C809543" w:rsidR="003E194A" w:rsidRPr="001A5D41" w:rsidRDefault="003E194A" w:rsidP="003E194A">
            <w:pPr>
              <w:rPr>
                <w:rFonts w:ascii="Arial" w:hAnsi="Arial" w:cs="Arial"/>
                <w:sz w:val="14"/>
                <w:szCs w:val="14"/>
              </w:rPr>
            </w:pPr>
            <w:r w:rsidRPr="001A5D41">
              <w:rPr>
                <w:rFonts w:ascii="Arial" w:hAnsi="Arial" w:cs="Arial"/>
                <w:sz w:val="14"/>
                <w:szCs w:val="14"/>
              </w:rPr>
              <w:t>St. Anne's Hospital</w:t>
            </w:r>
          </w:p>
        </w:tc>
        <w:tc>
          <w:tcPr>
            <w:tcW w:w="1105" w:type="dxa"/>
            <w:tcBorders>
              <w:top w:val="nil"/>
              <w:left w:val="nil"/>
              <w:bottom w:val="nil"/>
              <w:right w:val="nil"/>
            </w:tcBorders>
            <w:shd w:val="clear" w:color="auto" w:fill="auto"/>
            <w:noWrap/>
            <w:hideMark/>
          </w:tcPr>
          <w:p w14:paraId="5FAC2149" w14:textId="1E2E963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985E720" w14:textId="6B6F3414" w:rsidR="003E194A" w:rsidRPr="001A5D41" w:rsidRDefault="003E194A" w:rsidP="003E194A">
            <w:pPr>
              <w:rPr>
                <w:rFonts w:ascii="Arial" w:hAnsi="Arial" w:cs="Arial"/>
                <w:sz w:val="14"/>
                <w:szCs w:val="14"/>
              </w:rPr>
            </w:pPr>
            <w:r w:rsidRPr="001A5D41">
              <w:rPr>
                <w:rFonts w:ascii="Arial" w:hAnsi="Arial" w:cs="Arial"/>
                <w:sz w:val="14"/>
                <w:szCs w:val="14"/>
              </w:rPr>
              <w:t xml:space="preserve"> 0.9031 </w:t>
            </w:r>
          </w:p>
        </w:tc>
        <w:tc>
          <w:tcPr>
            <w:tcW w:w="22" w:type="dxa"/>
            <w:tcBorders>
              <w:top w:val="nil"/>
              <w:left w:val="nil"/>
              <w:bottom w:val="nil"/>
              <w:right w:val="nil"/>
            </w:tcBorders>
          </w:tcPr>
          <w:p w14:paraId="5100AF42"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225061C0" w14:textId="26D1BC96"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00C2D660" w14:textId="7504E2E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$602.50 </w:t>
            </w:r>
          </w:p>
        </w:tc>
        <w:tc>
          <w:tcPr>
            <w:tcW w:w="899" w:type="dxa"/>
            <w:tcBorders>
              <w:top w:val="nil"/>
              <w:left w:val="nil"/>
              <w:bottom w:val="nil"/>
              <w:right w:val="nil"/>
            </w:tcBorders>
            <w:shd w:val="clear" w:color="auto" w:fill="auto"/>
            <w:noWrap/>
            <w:hideMark/>
          </w:tcPr>
          <w:p w14:paraId="4DA6C943" w14:textId="35DB2646" w:rsidR="003E194A" w:rsidRPr="001A5D41" w:rsidRDefault="003E194A" w:rsidP="003E194A">
            <w:pPr>
              <w:jc w:val="center"/>
              <w:rPr>
                <w:rFonts w:ascii="Arial" w:hAnsi="Arial" w:cs="Arial"/>
                <w:sz w:val="14"/>
                <w:szCs w:val="14"/>
              </w:rPr>
            </w:pPr>
            <w:r w:rsidRPr="001A5D41">
              <w:rPr>
                <w:rFonts w:ascii="Arial" w:hAnsi="Arial" w:cs="Arial"/>
                <w:sz w:val="14"/>
                <w:szCs w:val="14"/>
              </w:rPr>
              <w:t>33.14%</w:t>
            </w:r>
          </w:p>
        </w:tc>
        <w:tc>
          <w:tcPr>
            <w:tcW w:w="1090" w:type="dxa"/>
            <w:tcBorders>
              <w:top w:val="nil"/>
              <w:left w:val="nil"/>
              <w:bottom w:val="nil"/>
              <w:right w:val="nil"/>
            </w:tcBorders>
            <w:shd w:val="clear" w:color="auto" w:fill="auto"/>
            <w:noWrap/>
            <w:hideMark/>
          </w:tcPr>
          <w:p w14:paraId="1283E583" w14:textId="1D1A64E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69088D2E" w14:textId="3156D31A"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3B5353F3"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6050A8D5" w14:textId="378AC9E6" w:rsidR="003E194A" w:rsidRPr="001A5D41" w:rsidRDefault="003E194A" w:rsidP="003E194A">
            <w:pPr>
              <w:rPr>
                <w:rFonts w:ascii="Arial" w:hAnsi="Arial" w:cs="Arial"/>
                <w:sz w:val="14"/>
                <w:szCs w:val="14"/>
              </w:rPr>
            </w:pPr>
            <w:r w:rsidRPr="001A5D41">
              <w:rPr>
                <w:rFonts w:ascii="Arial" w:hAnsi="Arial" w:cs="Arial"/>
                <w:sz w:val="14"/>
                <w:szCs w:val="14"/>
              </w:rPr>
              <w:t>St. Elizabeth's Medical Center</w:t>
            </w:r>
          </w:p>
        </w:tc>
        <w:tc>
          <w:tcPr>
            <w:tcW w:w="1105" w:type="dxa"/>
            <w:tcBorders>
              <w:top w:val="nil"/>
              <w:left w:val="nil"/>
              <w:bottom w:val="nil"/>
              <w:right w:val="nil"/>
            </w:tcBorders>
            <w:shd w:val="clear" w:color="auto" w:fill="auto"/>
            <w:noWrap/>
            <w:hideMark/>
          </w:tcPr>
          <w:p w14:paraId="1169E533" w14:textId="0C760856"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268A85A2" w14:textId="0F00A9D4"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2B3562DB"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3A1E3E94" w14:textId="49674B0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3553977F" w14:textId="3A4FEAE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2E7B3E8" w14:textId="5405A2FE" w:rsidR="003E194A" w:rsidRPr="001A5D41" w:rsidRDefault="003E194A" w:rsidP="003E194A">
            <w:pPr>
              <w:jc w:val="center"/>
              <w:rPr>
                <w:rFonts w:ascii="Arial" w:hAnsi="Arial" w:cs="Arial"/>
                <w:sz w:val="14"/>
                <w:szCs w:val="14"/>
              </w:rPr>
            </w:pPr>
            <w:r w:rsidRPr="001A5D41">
              <w:rPr>
                <w:rFonts w:ascii="Arial" w:hAnsi="Arial" w:cs="Arial"/>
                <w:sz w:val="14"/>
                <w:szCs w:val="14"/>
              </w:rPr>
              <w:t>44.56%</w:t>
            </w:r>
          </w:p>
        </w:tc>
        <w:tc>
          <w:tcPr>
            <w:tcW w:w="1090" w:type="dxa"/>
            <w:tcBorders>
              <w:top w:val="nil"/>
              <w:left w:val="nil"/>
              <w:bottom w:val="nil"/>
              <w:right w:val="nil"/>
            </w:tcBorders>
            <w:shd w:val="clear" w:color="auto" w:fill="auto"/>
            <w:noWrap/>
            <w:hideMark/>
          </w:tcPr>
          <w:p w14:paraId="6DEDC423" w14:textId="7AF4883F"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58A7264" w14:textId="2C609F6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7B2D3717"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06C86128" w14:textId="0AE8AFC8" w:rsidR="003E194A" w:rsidRPr="001A5D41" w:rsidRDefault="003E194A" w:rsidP="003E194A">
            <w:pPr>
              <w:rPr>
                <w:rFonts w:ascii="Arial" w:hAnsi="Arial" w:cs="Arial"/>
                <w:sz w:val="14"/>
                <w:szCs w:val="14"/>
              </w:rPr>
            </w:pPr>
            <w:r w:rsidRPr="001A5D41">
              <w:rPr>
                <w:rFonts w:ascii="Arial" w:hAnsi="Arial" w:cs="Arial"/>
                <w:sz w:val="14"/>
                <w:szCs w:val="14"/>
              </w:rPr>
              <w:t>Sturdy Memorial Hospital</w:t>
            </w:r>
          </w:p>
        </w:tc>
        <w:tc>
          <w:tcPr>
            <w:tcW w:w="1105" w:type="dxa"/>
            <w:tcBorders>
              <w:top w:val="nil"/>
              <w:left w:val="nil"/>
              <w:bottom w:val="nil"/>
              <w:right w:val="nil"/>
            </w:tcBorders>
            <w:shd w:val="clear" w:color="auto" w:fill="auto"/>
            <w:noWrap/>
            <w:hideMark/>
          </w:tcPr>
          <w:p w14:paraId="5043E0C5" w14:textId="2771064E"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5712C9F8" w14:textId="72DEF439"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06DB1839"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1E3CF01E" w14:textId="3418D8A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22D46539" w14:textId="413A1BC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93C09A2" w14:textId="0BCAED45" w:rsidR="003E194A" w:rsidRPr="001A5D41" w:rsidRDefault="003E194A" w:rsidP="003E194A">
            <w:pPr>
              <w:jc w:val="center"/>
              <w:rPr>
                <w:rFonts w:ascii="Arial" w:hAnsi="Arial" w:cs="Arial"/>
                <w:sz w:val="14"/>
                <w:szCs w:val="14"/>
              </w:rPr>
            </w:pPr>
            <w:r w:rsidRPr="001A5D41">
              <w:rPr>
                <w:rFonts w:ascii="Arial" w:hAnsi="Arial" w:cs="Arial"/>
                <w:sz w:val="14"/>
                <w:szCs w:val="14"/>
              </w:rPr>
              <w:t>40.71%</w:t>
            </w:r>
          </w:p>
        </w:tc>
        <w:tc>
          <w:tcPr>
            <w:tcW w:w="1090" w:type="dxa"/>
            <w:tcBorders>
              <w:top w:val="nil"/>
              <w:left w:val="nil"/>
              <w:bottom w:val="nil"/>
              <w:right w:val="nil"/>
            </w:tcBorders>
            <w:shd w:val="clear" w:color="auto" w:fill="auto"/>
            <w:noWrap/>
            <w:hideMark/>
          </w:tcPr>
          <w:p w14:paraId="1F4A6219" w14:textId="4F58F0A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3A20F2F" w14:textId="6B18C8E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2618999A"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0A77654" w14:textId="391317A1" w:rsidR="003E194A" w:rsidRPr="001A5D41" w:rsidRDefault="003E194A" w:rsidP="003E194A">
            <w:pPr>
              <w:rPr>
                <w:rFonts w:ascii="Arial" w:hAnsi="Arial" w:cs="Arial"/>
                <w:sz w:val="14"/>
                <w:szCs w:val="14"/>
              </w:rPr>
            </w:pPr>
            <w:r w:rsidRPr="001A5D41">
              <w:rPr>
                <w:rFonts w:ascii="Arial" w:hAnsi="Arial" w:cs="Arial"/>
                <w:sz w:val="14"/>
                <w:szCs w:val="14"/>
              </w:rPr>
              <w:t>Tufts Medical Center</w:t>
            </w:r>
          </w:p>
        </w:tc>
        <w:tc>
          <w:tcPr>
            <w:tcW w:w="1105" w:type="dxa"/>
            <w:tcBorders>
              <w:top w:val="nil"/>
              <w:left w:val="nil"/>
              <w:bottom w:val="nil"/>
              <w:right w:val="nil"/>
            </w:tcBorders>
            <w:shd w:val="clear" w:color="auto" w:fill="auto"/>
            <w:noWrap/>
            <w:hideMark/>
          </w:tcPr>
          <w:p w14:paraId="0373297E" w14:textId="7A212DF7"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40B8A5B" w14:textId="79466E1E" w:rsidR="003E194A" w:rsidRPr="001A5D41" w:rsidRDefault="003E194A" w:rsidP="003E194A">
            <w:pPr>
              <w:rPr>
                <w:rFonts w:ascii="Arial" w:hAnsi="Arial" w:cs="Arial"/>
                <w:sz w:val="14"/>
                <w:szCs w:val="14"/>
              </w:rPr>
            </w:pPr>
            <w:r w:rsidRPr="001A5D41">
              <w:rPr>
                <w:rFonts w:ascii="Arial" w:hAnsi="Arial" w:cs="Arial"/>
                <w:sz w:val="14"/>
                <w:szCs w:val="14"/>
              </w:rPr>
              <w:t xml:space="preserve"> 1.0704 </w:t>
            </w:r>
          </w:p>
        </w:tc>
        <w:tc>
          <w:tcPr>
            <w:tcW w:w="22" w:type="dxa"/>
            <w:tcBorders>
              <w:top w:val="nil"/>
              <w:left w:val="nil"/>
              <w:bottom w:val="nil"/>
              <w:right w:val="nil"/>
            </w:tcBorders>
          </w:tcPr>
          <w:p w14:paraId="79C7BF1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7EFBB7B0" w14:textId="7D1F504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19C2DA65" w14:textId="0F020C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$666.71 </w:t>
            </w:r>
          </w:p>
        </w:tc>
        <w:tc>
          <w:tcPr>
            <w:tcW w:w="899" w:type="dxa"/>
            <w:tcBorders>
              <w:top w:val="nil"/>
              <w:left w:val="nil"/>
              <w:bottom w:val="nil"/>
              <w:right w:val="nil"/>
            </w:tcBorders>
            <w:shd w:val="clear" w:color="auto" w:fill="auto"/>
            <w:noWrap/>
            <w:hideMark/>
          </w:tcPr>
          <w:p w14:paraId="6341071E" w14:textId="43D0A29A" w:rsidR="003E194A" w:rsidRPr="001A5D41" w:rsidRDefault="003E194A" w:rsidP="003E194A">
            <w:pPr>
              <w:jc w:val="center"/>
              <w:rPr>
                <w:rFonts w:ascii="Arial" w:hAnsi="Arial" w:cs="Arial"/>
                <w:sz w:val="14"/>
                <w:szCs w:val="14"/>
              </w:rPr>
            </w:pPr>
            <w:r w:rsidRPr="001A5D41">
              <w:rPr>
                <w:rFonts w:ascii="Arial" w:hAnsi="Arial" w:cs="Arial"/>
                <w:sz w:val="14"/>
                <w:szCs w:val="14"/>
              </w:rPr>
              <w:t>34.46%</w:t>
            </w:r>
          </w:p>
        </w:tc>
        <w:tc>
          <w:tcPr>
            <w:tcW w:w="1090" w:type="dxa"/>
            <w:tcBorders>
              <w:top w:val="nil"/>
              <w:left w:val="nil"/>
              <w:bottom w:val="nil"/>
              <w:right w:val="nil"/>
            </w:tcBorders>
            <w:shd w:val="clear" w:color="auto" w:fill="auto"/>
            <w:noWrap/>
            <w:hideMark/>
          </w:tcPr>
          <w:p w14:paraId="50BAED1A" w14:textId="0A4CD60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2E26EB2B" w14:textId="0A5E2E04"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D37AA3D"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18C97FA4" w14:textId="047156A4" w:rsidR="003E194A" w:rsidRPr="001A5D41" w:rsidRDefault="003E194A" w:rsidP="003E194A">
            <w:pPr>
              <w:rPr>
                <w:rFonts w:ascii="Arial" w:hAnsi="Arial" w:cs="Arial"/>
                <w:sz w:val="14"/>
                <w:szCs w:val="14"/>
              </w:rPr>
            </w:pPr>
            <w:r w:rsidRPr="001A5D41">
              <w:rPr>
                <w:rFonts w:ascii="Arial" w:hAnsi="Arial" w:cs="Arial"/>
                <w:sz w:val="14"/>
                <w:szCs w:val="14"/>
              </w:rPr>
              <w:t>UMass Memorial - HealthAlliance Hospital</w:t>
            </w:r>
          </w:p>
        </w:tc>
        <w:tc>
          <w:tcPr>
            <w:tcW w:w="1105" w:type="dxa"/>
            <w:tcBorders>
              <w:top w:val="nil"/>
              <w:left w:val="nil"/>
              <w:bottom w:val="nil"/>
              <w:right w:val="nil"/>
            </w:tcBorders>
            <w:shd w:val="clear" w:color="auto" w:fill="auto"/>
            <w:noWrap/>
            <w:hideMark/>
          </w:tcPr>
          <w:p w14:paraId="05327021" w14:textId="5DAB933A"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7B044247" w14:textId="5346B280"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6D6FA902"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6FB39E72" w14:textId="7D6AF45E"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58D26AD5" w14:textId="49010554"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1B594B1E" w14:textId="6DEF73CD" w:rsidR="003E194A" w:rsidRPr="001A5D41" w:rsidRDefault="003E194A" w:rsidP="003E194A">
            <w:pPr>
              <w:jc w:val="center"/>
              <w:rPr>
                <w:rFonts w:ascii="Arial" w:hAnsi="Arial" w:cs="Arial"/>
                <w:sz w:val="14"/>
                <w:szCs w:val="14"/>
              </w:rPr>
            </w:pPr>
            <w:r w:rsidRPr="001A5D41">
              <w:rPr>
                <w:rFonts w:ascii="Arial" w:hAnsi="Arial" w:cs="Arial"/>
                <w:sz w:val="14"/>
                <w:szCs w:val="14"/>
              </w:rPr>
              <w:t>25.15%</w:t>
            </w:r>
          </w:p>
        </w:tc>
        <w:tc>
          <w:tcPr>
            <w:tcW w:w="1090" w:type="dxa"/>
            <w:tcBorders>
              <w:top w:val="nil"/>
              <w:left w:val="nil"/>
              <w:bottom w:val="nil"/>
              <w:right w:val="nil"/>
            </w:tcBorders>
            <w:shd w:val="clear" w:color="auto" w:fill="auto"/>
            <w:noWrap/>
            <w:hideMark/>
          </w:tcPr>
          <w:p w14:paraId="4BA37A4A" w14:textId="072019B3"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59975228" w14:textId="68CD3842"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60E3294"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7B8ABA9A" w14:textId="5489F127" w:rsidR="003E194A" w:rsidRPr="001A5D41" w:rsidRDefault="003E194A" w:rsidP="003E194A">
            <w:pPr>
              <w:rPr>
                <w:rFonts w:ascii="Arial" w:hAnsi="Arial" w:cs="Arial"/>
                <w:sz w:val="14"/>
                <w:szCs w:val="14"/>
              </w:rPr>
            </w:pPr>
            <w:r w:rsidRPr="001A5D41">
              <w:rPr>
                <w:rFonts w:ascii="Arial" w:hAnsi="Arial" w:cs="Arial"/>
                <w:sz w:val="14"/>
                <w:szCs w:val="14"/>
              </w:rPr>
              <w:t>UMass Memorial - Marlborough Hospital</w:t>
            </w:r>
          </w:p>
        </w:tc>
        <w:tc>
          <w:tcPr>
            <w:tcW w:w="1105" w:type="dxa"/>
            <w:tcBorders>
              <w:top w:val="nil"/>
              <w:left w:val="nil"/>
              <w:bottom w:val="nil"/>
              <w:right w:val="nil"/>
            </w:tcBorders>
            <w:shd w:val="clear" w:color="auto" w:fill="auto"/>
            <w:noWrap/>
            <w:hideMark/>
          </w:tcPr>
          <w:p w14:paraId="14259AFC" w14:textId="08F2E6DD"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01B784E6" w14:textId="1B6507EC"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8722CBD"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4F2B4FEA" w14:textId="73B4C77A"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BA59B26" w14:textId="0792D07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2B3DE429" w14:textId="58F3F30D" w:rsidR="003E194A" w:rsidRPr="001A5D41" w:rsidRDefault="003E194A" w:rsidP="003E194A">
            <w:pPr>
              <w:jc w:val="center"/>
              <w:rPr>
                <w:rFonts w:ascii="Arial" w:hAnsi="Arial" w:cs="Arial"/>
                <w:sz w:val="14"/>
                <w:szCs w:val="14"/>
              </w:rPr>
            </w:pPr>
            <w:r w:rsidRPr="001A5D41">
              <w:rPr>
                <w:rFonts w:ascii="Arial" w:hAnsi="Arial" w:cs="Arial"/>
                <w:sz w:val="14"/>
                <w:szCs w:val="14"/>
              </w:rPr>
              <w:t>24.78%</w:t>
            </w:r>
          </w:p>
        </w:tc>
        <w:tc>
          <w:tcPr>
            <w:tcW w:w="1090" w:type="dxa"/>
            <w:tcBorders>
              <w:top w:val="nil"/>
              <w:left w:val="nil"/>
              <w:bottom w:val="nil"/>
              <w:right w:val="nil"/>
            </w:tcBorders>
            <w:shd w:val="clear" w:color="auto" w:fill="auto"/>
            <w:noWrap/>
            <w:hideMark/>
          </w:tcPr>
          <w:p w14:paraId="0066CD31" w14:textId="46A6E571"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02DA918B" w14:textId="66F59916"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01BD1B05" w14:textId="77777777" w:rsidTr="001878D9">
        <w:trPr>
          <w:trHeight w:val="255"/>
        </w:trPr>
        <w:tc>
          <w:tcPr>
            <w:tcW w:w="3462" w:type="dxa"/>
            <w:tcBorders>
              <w:top w:val="nil"/>
              <w:left w:val="single" w:sz="4" w:space="0" w:color="auto"/>
              <w:bottom w:val="nil"/>
              <w:right w:val="single" w:sz="4" w:space="0" w:color="auto"/>
            </w:tcBorders>
            <w:shd w:val="clear" w:color="auto" w:fill="auto"/>
            <w:noWrap/>
            <w:hideMark/>
          </w:tcPr>
          <w:p w14:paraId="39B718A4" w14:textId="3E877580" w:rsidR="003E194A" w:rsidRPr="001A5D41" w:rsidRDefault="003E194A" w:rsidP="003E194A">
            <w:pPr>
              <w:rPr>
                <w:rFonts w:ascii="Arial" w:hAnsi="Arial" w:cs="Arial"/>
                <w:sz w:val="14"/>
                <w:szCs w:val="14"/>
              </w:rPr>
            </w:pPr>
            <w:r w:rsidRPr="001A5D41">
              <w:rPr>
                <w:rFonts w:ascii="Arial" w:hAnsi="Arial" w:cs="Arial"/>
                <w:sz w:val="14"/>
                <w:szCs w:val="14"/>
              </w:rPr>
              <w:t>UMass Memorial Medical Center</w:t>
            </w:r>
          </w:p>
        </w:tc>
        <w:tc>
          <w:tcPr>
            <w:tcW w:w="1105" w:type="dxa"/>
            <w:tcBorders>
              <w:top w:val="nil"/>
              <w:left w:val="nil"/>
              <w:bottom w:val="nil"/>
              <w:right w:val="nil"/>
            </w:tcBorders>
            <w:shd w:val="clear" w:color="auto" w:fill="auto"/>
            <w:noWrap/>
            <w:hideMark/>
          </w:tcPr>
          <w:p w14:paraId="40393112" w14:textId="3C0BF101"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nil"/>
              <w:right w:val="nil"/>
            </w:tcBorders>
            <w:shd w:val="clear" w:color="auto" w:fill="auto"/>
            <w:noWrap/>
            <w:hideMark/>
          </w:tcPr>
          <w:p w14:paraId="6D1C4778" w14:textId="7306CD53"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nil"/>
              <w:right w:val="nil"/>
            </w:tcBorders>
          </w:tcPr>
          <w:p w14:paraId="70EEAED1" w14:textId="77777777" w:rsidR="003E194A" w:rsidRPr="001A5D41" w:rsidRDefault="003E194A" w:rsidP="003E194A">
            <w:pPr>
              <w:rPr>
                <w:rFonts w:ascii="Arial" w:hAnsi="Arial" w:cs="Arial"/>
                <w:sz w:val="14"/>
                <w:szCs w:val="14"/>
              </w:rPr>
            </w:pPr>
          </w:p>
        </w:tc>
        <w:tc>
          <w:tcPr>
            <w:tcW w:w="1084" w:type="dxa"/>
            <w:tcBorders>
              <w:top w:val="nil"/>
              <w:left w:val="nil"/>
              <w:bottom w:val="nil"/>
              <w:right w:val="nil"/>
            </w:tcBorders>
            <w:shd w:val="clear" w:color="auto" w:fill="auto"/>
            <w:noWrap/>
            <w:hideMark/>
          </w:tcPr>
          <w:p w14:paraId="0FB57B3E" w14:textId="6270F45B"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nil"/>
              <w:right w:val="nil"/>
            </w:tcBorders>
            <w:shd w:val="clear" w:color="auto" w:fill="auto"/>
            <w:noWrap/>
            <w:hideMark/>
          </w:tcPr>
          <w:p w14:paraId="4045C1FB" w14:textId="6047BC67"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nil"/>
              <w:right w:val="nil"/>
            </w:tcBorders>
            <w:shd w:val="clear" w:color="auto" w:fill="auto"/>
            <w:noWrap/>
            <w:hideMark/>
          </w:tcPr>
          <w:p w14:paraId="4F2F8676" w14:textId="617BE451" w:rsidR="003E194A" w:rsidRPr="001A5D41" w:rsidRDefault="003E194A" w:rsidP="003E194A">
            <w:pPr>
              <w:jc w:val="center"/>
              <w:rPr>
                <w:rFonts w:ascii="Arial" w:hAnsi="Arial" w:cs="Arial"/>
                <w:sz w:val="14"/>
                <w:szCs w:val="14"/>
              </w:rPr>
            </w:pPr>
            <w:r w:rsidRPr="001A5D41">
              <w:rPr>
                <w:rFonts w:ascii="Arial" w:hAnsi="Arial" w:cs="Arial"/>
                <w:sz w:val="14"/>
                <w:szCs w:val="14"/>
              </w:rPr>
              <w:t>27.94%</w:t>
            </w:r>
          </w:p>
        </w:tc>
        <w:tc>
          <w:tcPr>
            <w:tcW w:w="1090" w:type="dxa"/>
            <w:tcBorders>
              <w:top w:val="nil"/>
              <w:left w:val="nil"/>
              <w:bottom w:val="nil"/>
              <w:right w:val="nil"/>
            </w:tcBorders>
            <w:shd w:val="clear" w:color="auto" w:fill="auto"/>
            <w:noWrap/>
            <w:hideMark/>
          </w:tcPr>
          <w:p w14:paraId="6D463342" w14:textId="6CF6640C"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nil"/>
              <w:right w:val="single" w:sz="4" w:space="0" w:color="auto"/>
            </w:tcBorders>
            <w:shd w:val="clear" w:color="auto" w:fill="auto"/>
            <w:noWrap/>
            <w:hideMark/>
          </w:tcPr>
          <w:p w14:paraId="39295560" w14:textId="27C7D2BB"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r w:rsidR="003E194A" w:rsidRPr="002F6DB4" w14:paraId="1345E270" w14:textId="77777777" w:rsidTr="001878D9">
        <w:trPr>
          <w:trHeight w:val="255"/>
        </w:trPr>
        <w:tc>
          <w:tcPr>
            <w:tcW w:w="3462" w:type="dxa"/>
            <w:tcBorders>
              <w:top w:val="nil"/>
              <w:left w:val="single" w:sz="4" w:space="0" w:color="auto"/>
              <w:bottom w:val="single" w:sz="4" w:space="0" w:color="auto"/>
              <w:right w:val="single" w:sz="4" w:space="0" w:color="auto"/>
            </w:tcBorders>
            <w:shd w:val="clear" w:color="auto" w:fill="auto"/>
            <w:noWrap/>
            <w:hideMark/>
          </w:tcPr>
          <w:p w14:paraId="4EC24BCF" w14:textId="1C43D94C" w:rsidR="003E194A" w:rsidRPr="001A5D41" w:rsidRDefault="003E194A" w:rsidP="003E194A">
            <w:pPr>
              <w:rPr>
                <w:rFonts w:ascii="Arial" w:hAnsi="Arial" w:cs="Arial"/>
                <w:sz w:val="14"/>
                <w:szCs w:val="14"/>
              </w:rPr>
            </w:pPr>
            <w:r w:rsidRPr="001A5D41">
              <w:rPr>
                <w:rFonts w:ascii="Arial" w:hAnsi="Arial" w:cs="Arial"/>
                <w:sz w:val="14"/>
                <w:szCs w:val="14"/>
              </w:rPr>
              <w:t>Winchester Hospital</w:t>
            </w:r>
          </w:p>
        </w:tc>
        <w:tc>
          <w:tcPr>
            <w:tcW w:w="1105" w:type="dxa"/>
            <w:tcBorders>
              <w:top w:val="nil"/>
              <w:left w:val="nil"/>
              <w:bottom w:val="single" w:sz="4" w:space="0" w:color="auto"/>
              <w:right w:val="nil"/>
            </w:tcBorders>
            <w:shd w:val="clear" w:color="auto" w:fill="auto"/>
            <w:noWrap/>
            <w:hideMark/>
          </w:tcPr>
          <w:p w14:paraId="0EE31880" w14:textId="2176FCF0" w:rsidR="003E194A" w:rsidRPr="001A5D41" w:rsidRDefault="003E194A" w:rsidP="003E194A">
            <w:pPr>
              <w:rPr>
                <w:rFonts w:ascii="Arial" w:hAnsi="Arial" w:cs="Arial"/>
                <w:sz w:val="14"/>
                <w:szCs w:val="14"/>
              </w:rPr>
            </w:pPr>
            <w:r w:rsidRPr="001A5D41">
              <w:rPr>
                <w:rFonts w:ascii="Arial" w:hAnsi="Arial" w:cs="Arial"/>
                <w:sz w:val="14"/>
                <w:szCs w:val="14"/>
              </w:rPr>
              <w:t xml:space="preserve"> $639.69 </w:t>
            </w:r>
          </w:p>
        </w:tc>
        <w:tc>
          <w:tcPr>
            <w:tcW w:w="1201" w:type="dxa"/>
            <w:tcBorders>
              <w:top w:val="nil"/>
              <w:left w:val="nil"/>
              <w:bottom w:val="single" w:sz="4" w:space="0" w:color="auto"/>
              <w:right w:val="nil"/>
            </w:tcBorders>
            <w:shd w:val="clear" w:color="auto" w:fill="auto"/>
            <w:noWrap/>
            <w:hideMark/>
          </w:tcPr>
          <w:p w14:paraId="392F97E1" w14:textId="017A4777" w:rsidR="003E194A" w:rsidRPr="001A5D41" w:rsidRDefault="003E194A" w:rsidP="003E194A">
            <w:pPr>
              <w:rPr>
                <w:rFonts w:ascii="Arial" w:hAnsi="Arial" w:cs="Arial"/>
                <w:sz w:val="14"/>
                <w:szCs w:val="14"/>
              </w:rPr>
            </w:pPr>
            <w:r w:rsidRPr="001A5D41">
              <w:rPr>
                <w:rFonts w:ascii="Arial" w:hAnsi="Arial" w:cs="Arial"/>
                <w:sz w:val="14"/>
                <w:szCs w:val="14"/>
              </w:rPr>
              <w:t xml:space="preserve"> 1.0256 </w:t>
            </w:r>
          </w:p>
        </w:tc>
        <w:tc>
          <w:tcPr>
            <w:tcW w:w="22" w:type="dxa"/>
            <w:tcBorders>
              <w:top w:val="nil"/>
              <w:left w:val="nil"/>
              <w:bottom w:val="single" w:sz="4" w:space="0" w:color="auto"/>
              <w:right w:val="nil"/>
            </w:tcBorders>
          </w:tcPr>
          <w:p w14:paraId="71E2611C" w14:textId="77777777" w:rsidR="003E194A" w:rsidRPr="001A5D41" w:rsidRDefault="003E194A" w:rsidP="003E194A">
            <w:pPr>
              <w:rPr>
                <w:rFonts w:ascii="Arial" w:hAnsi="Arial" w:cs="Arial"/>
                <w:sz w:val="14"/>
                <w:szCs w:val="14"/>
              </w:rPr>
            </w:pPr>
          </w:p>
        </w:tc>
        <w:tc>
          <w:tcPr>
            <w:tcW w:w="1084" w:type="dxa"/>
            <w:tcBorders>
              <w:top w:val="nil"/>
              <w:left w:val="nil"/>
              <w:bottom w:val="single" w:sz="4" w:space="0" w:color="auto"/>
              <w:right w:val="nil"/>
            </w:tcBorders>
            <w:shd w:val="clear" w:color="auto" w:fill="auto"/>
            <w:noWrap/>
            <w:hideMark/>
          </w:tcPr>
          <w:p w14:paraId="14B46F3A" w14:textId="1D4EE62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0.60000 </w:t>
            </w:r>
          </w:p>
        </w:tc>
        <w:tc>
          <w:tcPr>
            <w:tcW w:w="1113" w:type="dxa"/>
            <w:tcBorders>
              <w:top w:val="nil"/>
              <w:left w:val="nil"/>
              <w:bottom w:val="single" w:sz="4" w:space="0" w:color="auto"/>
              <w:right w:val="nil"/>
            </w:tcBorders>
            <w:shd w:val="clear" w:color="auto" w:fill="auto"/>
            <w:noWrap/>
            <w:hideMark/>
          </w:tcPr>
          <w:p w14:paraId="691BC7E1" w14:textId="7D6DE750"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$649.52 </w:t>
            </w:r>
          </w:p>
        </w:tc>
        <w:tc>
          <w:tcPr>
            <w:tcW w:w="899" w:type="dxa"/>
            <w:tcBorders>
              <w:top w:val="nil"/>
              <w:left w:val="nil"/>
              <w:bottom w:val="single" w:sz="4" w:space="0" w:color="auto"/>
              <w:right w:val="nil"/>
            </w:tcBorders>
            <w:shd w:val="clear" w:color="auto" w:fill="auto"/>
            <w:noWrap/>
            <w:hideMark/>
          </w:tcPr>
          <w:p w14:paraId="69CFEB56" w14:textId="4ADF1AFF" w:rsidR="003E194A" w:rsidRPr="001A5D41" w:rsidRDefault="003E194A" w:rsidP="003E194A">
            <w:pPr>
              <w:jc w:val="center"/>
              <w:rPr>
                <w:rFonts w:ascii="Arial" w:hAnsi="Arial" w:cs="Arial"/>
                <w:sz w:val="14"/>
                <w:szCs w:val="14"/>
              </w:rPr>
            </w:pPr>
            <w:r w:rsidRPr="001A5D41">
              <w:rPr>
                <w:rFonts w:ascii="Arial" w:hAnsi="Arial" w:cs="Arial"/>
                <w:sz w:val="14"/>
                <w:szCs w:val="14"/>
              </w:rPr>
              <w:t>40.71%</w:t>
            </w:r>
          </w:p>
        </w:tc>
        <w:tc>
          <w:tcPr>
            <w:tcW w:w="1090" w:type="dxa"/>
            <w:tcBorders>
              <w:top w:val="nil"/>
              <w:left w:val="nil"/>
              <w:bottom w:val="single" w:sz="4" w:space="0" w:color="auto"/>
              <w:right w:val="nil"/>
            </w:tcBorders>
            <w:shd w:val="clear" w:color="auto" w:fill="auto"/>
            <w:noWrap/>
            <w:hideMark/>
          </w:tcPr>
          <w:p w14:paraId="688431F5" w14:textId="3204D238" w:rsidR="003E194A" w:rsidRPr="001A5D41" w:rsidRDefault="003E194A" w:rsidP="003E194A">
            <w:pPr>
              <w:jc w:val="center"/>
              <w:rPr>
                <w:rFonts w:ascii="Arial" w:hAnsi="Arial" w:cs="Arial"/>
                <w:sz w:val="14"/>
                <w:szCs w:val="14"/>
              </w:rPr>
            </w:pPr>
            <w:r w:rsidRPr="001A5D41">
              <w:rPr>
                <w:rFonts w:ascii="Arial" w:hAnsi="Arial" w:cs="Arial"/>
                <w:sz w:val="14"/>
                <w:szCs w:val="14"/>
              </w:rPr>
              <w:t xml:space="preserve"> $4,000.00 </w:t>
            </w:r>
          </w:p>
        </w:tc>
        <w:tc>
          <w:tcPr>
            <w:tcW w:w="814" w:type="dxa"/>
            <w:tcBorders>
              <w:top w:val="nil"/>
              <w:left w:val="nil"/>
              <w:bottom w:val="single" w:sz="4" w:space="0" w:color="auto"/>
              <w:right w:val="single" w:sz="4" w:space="0" w:color="auto"/>
            </w:tcBorders>
            <w:shd w:val="clear" w:color="auto" w:fill="auto"/>
            <w:noWrap/>
            <w:hideMark/>
          </w:tcPr>
          <w:p w14:paraId="327D7D8A" w14:textId="76F7C609" w:rsidR="003E194A" w:rsidRPr="001A5D41" w:rsidRDefault="003E194A" w:rsidP="003E194A">
            <w:pPr>
              <w:jc w:val="center"/>
              <w:rPr>
                <w:rFonts w:ascii="Arial" w:hAnsi="Arial" w:cs="Arial"/>
                <w:sz w:val="14"/>
                <w:szCs w:val="14"/>
              </w:rPr>
            </w:pPr>
            <w:r w:rsidRPr="001A5D41">
              <w:rPr>
                <w:rFonts w:ascii="Arial" w:hAnsi="Arial" w:cs="Arial"/>
                <w:sz w:val="14"/>
                <w:szCs w:val="14"/>
              </w:rPr>
              <w:t>60%</w:t>
            </w:r>
          </w:p>
        </w:tc>
      </w:tr>
    </w:tbl>
    <w:p w14:paraId="06274C4D" w14:textId="70B198D9" w:rsidR="000D1C4B" w:rsidRDefault="000D1C4B" w:rsidP="00693745">
      <w:pPr>
        <w:spacing w:line="276" w:lineRule="auto"/>
        <w:rPr>
          <w:rFonts w:ascii="Arial Narrow" w:eastAsia="Calibri" w:hAnsi="Arial Narrow" w:cs="Arial"/>
          <w:b/>
          <w:spacing w:val="0"/>
          <w:sz w:val="20"/>
        </w:rPr>
      </w:pPr>
    </w:p>
    <w:p w14:paraId="6841A2F5" w14:textId="77777777" w:rsidR="0090762F" w:rsidRDefault="0090762F" w:rsidP="00693745">
      <w:pPr>
        <w:spacing w:line="276" w:lineRule="auto"/>
        <w:rPr>
          <w:rFonts w:ascii="Arial Narrow" w:eastAsia="Calibri" w:hAnsi="Arial Narrow" w:cs="Arial"/>
          <w:b/>
          <w:spacing w:val="0"/>
          <w:sz w:val="20"/>
        </w:rPr>
      </w:pPr>
    </w:p>
    <w:p w14:paraId="273F820C" w14:textId="77777777" w:rsidR="000D1C4B" w:rsidRDefault="000D1C4B" w:rsidP="00693745">
      <w:pPr>
        <w:spacing w:line="276" w:lineRule="auto"/>
        <w:rPr>
          <w:rFonts w:ascii="Arial Narrow" w:eastAsia="Calibri" w:hAnsi="Arial Narrow" w:cs="Arial"/>
          <w:b/>
          <w:spacing w:val="0"/>
          <w:sz w:val="20"/>
        </w:rPr>
      </w:pPr>
    </w:p>
    <w:p w14:paraId="4E2CB155" w14:textId="7B0EE3F6" w:rsidR="00444E62" w:rsidRDefault="00E95D2A" w:rsidP="00DB5849">
      <w:pPr>
        <w:rPr>
          <w:rFonts w:ascii="Arial Narrow" w:eastAsia="Calibri" w:hAnsi="Arial Narrow" w:cs="Arial"/>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w:t>
      </w:r>
      <w:r w:rsidR="00181DC5" w:rsidRPr="001A631F">
        <w:rPr>
          <w:rFonts w:ascii="Arial Narrow" w:eastAsia="Calibri" w:hAnsi="Arial Narrow" w:cs="Arial"/>
          <w:spacing w:val="0"/>
          <w:sz w:val="22"/>
          <w:szCs w:val="22"/>
        </w:rPr>
        <w:t>RY20</w:t>
      </w:r>
      <w:r w:rsidR="00181DC5">
        <w:rPr>
          <w:rFonts w:ascii="Arial Narrow" w:eastAsia="Calibri" w:hAnsi="Arial Narrow" w:cs="Arial"/>
          <w:spacing w:val="0"/>
          <w:sz w:val="22"/>
          <w:szCs w:val="22"/>
        </w:rPr>
        <w:t>21</w:t>
      </w:r>
      <w:r w:rsidR="00181DC5" w:rsidRPr="001A631F">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 xml:space="preserve">EAPGs and MassHealth EAPG Weights. </w:t>
      </w:r>
    </w:p>
    <w:p w14:paraId="239BF15B" w14:textId="57CB2FF9" w:rsidR="00DB5849" w:rsidRPr="00DB5849" w:rsidRDefault="00ED4A2E" w:rsidP="00DB5849">
      <w:pPr>
        <w:rPr>
          <w:rFonts w:asciiTheme="minorHAnsi" w:eastAsiaTheme="minorHAnsi" w:hAnsiTheme="minorHAnsi" w:cstheme="minorBidi"/>
          <w:spacing w:val="0"/>
          <w:sz w:val="22"/>
          <w:szCs w:val="22"/>
        </w:rPr>
      </w:pPr>
      <w:r w:rsidRPr="001A631F">
        <w:rPr>
          <w:rFonts w:ascii="Arial Narrow" w:eastAsia="Calibri" w:hAnsi="Arial Narrow" w:cs="Arial"/>
          <w:spacing w:val="0"/>
          <w:sz w:val="22"/>
          <w:szCs w:val="22"/>
        </w:rPr>
        <w:t>C</w:t>
      </w:r>
      <w:r w:rsidR="00E95D2A" w:rsidRPr="001A631F">
        <w:rPr>
          <w:rFonts w:ascii="Arial Narrow" w:eastAsia="Calibri" w:hAnsi="Arial Narrow" w:cs="Arial"/>
          <w:spacing w:val="0"/>
          <w:sz w:val="22"/>
          <w:szCs w:val="22"/>
        </w:rPr>
        <w:t xml:space="preserve">lick here: </w:t>
      </w:r>
      <w:hyperlink r:id="rId45" w:history="1">
        <w:r w:rsidR="00DB5849" w:rsidRPr="00DB5849">
          <w:rPr>
            <w:rFonts w:asciiTheme="minorHAnsi" w:eastAsiaTheme="minorHAnsi" w:hAnsiTheme="minorHAnsi" w:cstheme="minorBidi"/>
            <w:color w:val="0000FF" w:themeColor="hyperlink"/>
            <w:spacing w:val="0"/>
            <w:sz w:val="22"/>
            <w:szCs w:val="22"/>
            <w:u w:val="single"/>
          </w:rPr>
          <w:t xml:space="preserve">Chart D-Acute Hospital </w:t>
        </w:r>
        <w:r w:rsidR="00181DC5" w:rsidRPr="00DB5849">
          <w:rPr>
            <w:rFonts w:asciiTheme="minorHAnsi" w:eastAsiaTheme="minorHAnsi" w:hAnsiTheme="minorHAnsi" w:cstheme="minorBidi"/>
            <w:color w:val="0000FF" w:themeColor="hyperlink"/>
            <w:spacing w:val="0"/>
            <w:sz w:val="22"/>
            <w:szCs w:val="22"/>
            <w:u w:val="single"/>
          </w:rPr>
          <w:t>RY</w:t>
        </w:r>
        <w:r w:rsidR="00181DC5">
          <w:rPr>
            <w:rFonts w:asciiTheme="minorHAnsi" w:eastAsiaTheme="minorHAnsi" w:hAnsiTheme="minorHAnsi" w:cstheme="minorBidi"/>
            <w:color w:val="0000FF" w:themeColor="hyperlink"/>
            <w:spacing w:val="0"/>
            <w:sz w:val="22"/>
            <w:szCs w:val="22"/>
            <w:u w:val="single"/>
          </w:rPr>
          <w:t>21</w:t>
        </w:r>
        <w:r w:rsidR="00181DC5" w:rsidRPr="00DB5849">
          <w:rPr>
            <w:rFonts w:asciiTheme="minorHAnsi" w:eastAsiaTheme="minorHAnsi" w:hAnsiTheme="minorHAnsi" w:cstheme="minorBidi"/>
            <w:color w:val="0000FF" w:themeColor="hyperlink"/>
            <w:spacing w:val="0"/>
            <w:sz w:val="22"/>
            <w:szCs w:val="22"/>
            <w:u w:val="single"/>
          </w:rPr>
          <w:t xml:space="preserve"> </w:t>
        </w:r>
        <w:r w:rsidR="00DB5849" w:rsidRPr="00DB5849">
          <w:rPr>
            <w:rFonts w:asciiTheme="minorHAnsi" w:eastAsiaTheme="minorHAnsi" w:hAnsiTheme="minorHAnsi" w:cstheme="minorBidi"/>
            <w:color w:val="0000FF" w:themeColor="hyperlink"/>
            <w:spacing w:val="0"/>
            <w:sz w:val="22"/>
            <w:szCs w:val="22"/>
            <w:u w:val="single"/>
          </w:rPr>
          <w:t>MassHealth EAPG Weights</w:t>
        </w:r>
      </w:hyperlink>
    </w:p>
    <w:p w14:paraId="308703FB" w14:textId="77777777" w:rsidR="00693745" w:rsidRPr="001A631F" w:rsidRDefault="00693745" w:rsidP="002C4AFE">
      <w:pPr>
        <w:rPr>
          <w:rFonts w:ascii="Arial Narrow" w:eastAsia="Calibri" w:hAnsi="Arial Narrow" w:cs="Arial"/>
          <w:b/>
          <w:spacing w:val="0"/>
          <w:sz w:val="22"/>
          <w:szCs w:val="22"/>
          <w:u w:val="single"/>
        </w:rPr>
      </w:pPr>
    </w:p>
    <w:p w14:paraId="46B07871" w14:textId="617FE2F8" w:rsidR="001A5D41" w:rsidRDefault="002C4AFE" w:rsidP="002C4AFE">
      <w:pPr>
        <w:rPr>
          <w:rFonts w:ascii="Arial Narrow" w:eastAsia="Calibri" w:hAnsi="Arial Narrow" w:cs="Arial"/>
          <w:spacing w:val="0"/>
          <w:sz w:val="22"/>
          <w:szCs w:val="22"/>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023327D4" w14:textId="77777777" w:rsidR="001A5D41" w:rsidRDefault="001A5D41">
      <w:pPr>
        <w:rPr>
          <w:rFonts w:ascii="Arial Narrow" w:eastAsia="Calibri" w:hAnsi="Arial Narrow" w:cs="Arial"/>
          <w:spacing w:val="0"/>
          <w:sz w:val="22"/>
          <w:szCs w:val="22"/>
        </w:rPr>
      </w:pPr>
      <w:r>
        <w:rPr>
          <w:rFonts w:ascii="Arial Narrow" w:eastAsia="Calibri" w:hAnsi="Arial Narrow" w:cs="Arial"/>
          <w:spacing w:val="0"/>
          <w:sz w:val="22"/>
          <w:szCs w:val="22"/>
        </w:rPr>
        <w:br w:type="page"/>
      </w:r>
    </w:p>
    <w:p w14:paraId="6B4C199F" w14:textId="77777777" w:rsidR="002C4AFE" w:rsidRPr="001A631F" w:rsidRDefault="002C4AFE" w:rsidP="002C4AFE">
      <w:pPr>
        <w:rPr>
          <w:rFonts w:ascii="Arial Narrow" w:eastAsia="Calibri" w:hAnsi="Arial Narrow" w:cs="Arial"/>
          <w:spacing w:val="0"/>
          <w:sz w:val="22"/>
          <w:szCs w:val="22"/>
          <w:lang w:val="en"/>
        </w:rPr>
      </w:pPr>
    </w:p>
    <w:p w14:paraId="0FFC81A7" w14:textId="77777777" w:rsidR="0010168D" w:rsidRDefault="0010168D" w:rsidP="00E95D2A">
      <w:pPr>
        <w:rPr>
          <w:rFonts w:ascii="Arial Narrow" w:eastAsia="Calibri" w:hAnsi="Arial Narrow" w:cs="Arial"/>
          <w:spacing w:val="0"/>
          <w:sz w:val="20"/>
        </w:rPr>
      </w:pPr>
    </w:p>
    <w:p w14:paraId="6506A6CD"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14:paraId="4B39FD15"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14:paraId="762F91B3" w14:textId="28FC4DC8" w:rsidR="00E95D2A" w:rsidRPr="00D014BE" w:rsidRDefault="00181DC5"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 xml:space="preserve">RY21 </w:t>
      </w:r>
      <w:r w:rsidR="00D014BE">
        <w:rPr>
          <w:rFonts w:ascii="Arial" w:hAnsi="Arial" w:cs="Arial"/>
          <w:b/>
          <w:szCs w:val="24"/>
        </w:rPr>
        <w:t>Outpatient</w:t>
      </w:r>
      <w:r w:rsidR="00E95D2A" w:rsidRPr="00E95D2A">
        <w:rPr>
          <w:rFonts w:ascii="Times New Roman" w:hAnsi="Times New Roman"/>
          <w:b/>
          <w:i/>
          <w:szCs w:val="24"/>
        </w:rPr>
        <w:t xml:space="preserve"> </w:t>
      </w:r>
    </w:p>
    <w:tbl>
      <w:tblPr>
        <w:tblW w:w="1027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88"/>
        <w:gridCol w:w="1983"/>
        <w:gridCol w:w="1532"/>
        <w:gridCol w:w="1532"/>
        <w:gridCol w:w="1641"/>
      </w:tblGrid>
      <w:tr w:rsidR="00E95D2A" w:rsidRPr="00E95D2A" w14:paraId="361EB8DB" w14:textId="77777777" w:rsidTr="001A5D41">
        <w:trPr>
          <w:trHeight w:val="1390"/>
        </w:trPr>
        <w:tc>
          <w:tcPr>
            <w:tcW w:w="3588" w:type="dxa"/>
            <w:shd w:val="clear" w:color="000000" w:fill="D9D9D9"/>
            <w:vAlign w:val="center"/>
            <w:hideMark/>
          </w:tcPr>
          <w:p w14:paraId="19F56B07" w14:textId="77777777" w:rsidR="00E95D2A" w:rsidRPr="001A5D41" w:rsidRDefault="00E95D2A" w:rsidP="00D014BE">
            <w:pPr>
              <w:shd w:val="clear" w:color="auto" w:fill="D9D9D9"/>
              <w:jc w:val="center"/>
              <w:rPr>
                <w:rFonts w:ascii="Arial" w:hAnsi="Arial" w:cs="Arial"/>
                <w:b/>
                <w:bCs/>
                <w:color w:val="000000"/>
                <w:sz w:val="22"/>
                <w:szCs w:val="22"/>
              </w:rPr>
            </w:pPr>
            <w:r w:rsidRPr="001A5D41">
              <w:rPr>
                <w:rFonts w:ascii="Arial" w:hAnsi="Arial" w:cs="Arial"/>
                <w:b/>
                <w:bCs/>
                <w:color w:val="000000"/>
                <w:sz w:val="22"/>
                <w:szCs w:val="22"/>
              </w:rPr>
              <w:br/>
              <w:t>In-State Provider</w:t>
            </w:r>
          </w:p>
        </w:tc>
        <w:tc>
          <w:tcPr>
            <w:tcW w:w="1983" w:type="dxa"/>
            <w:shd w:val="clear" w:color="auto" w:fill="D9D9D9"/>
            <w:vAlign w:val="bottom"/>
            <w:hideMark/>
          </w:tcPr>
          <w:p w14:paraId="736B2B84" w14:textId="32F837A4" w:rsidR="00E95D2A" w:rsidRPr="001A5D41" w:rsidRDefault="00E95D2A" w:rsidP="00AB4C97">
            <w:pPr>
              <w:shd w:val="clear" w:color="auto" w:fill="D9D9D9"/>
              <w:jc w:val="center"/>
              <w:rPr>
                <w:rFonts w:ascii="Arial" w:hAnsi="Arial" w:cs="Arial"/>
                <w:b/>
                <w:bCs/>
                <w:color w:val="000000"/>
                <w:sz w:val="20"/>
              </w:rPr>
            </w:pPr>
            <w:r w:rsidRPr="001A5D41">
              <w:rPr>
                <w:rFonts w:ascii="Arial" w:hAnsi="Arial" w:cs="Arial"/>
                <w:b/>
                <w:bCs/>
                <w:color w:val="000000"/>
                <w:sz w:val="20"/>
              </w:rPr>
              <w:t xml:space="preserve">CAH-Specific Outpatient Standard Rate per Episode </w:t>
            </w:r>
          </w:p>
        </w:tc>
        <w:tc>
          <w:tcPr>
            <w:tcW w:w="1532" w:type="dxa"/>
            <w:shd w:val="clear" w:color="auto" w:fill="D9D9D9"/>
            <w:vAlign w:val="bottom"/>
            <w:hideMark/>
          </w:tcPr>
          <w:p w14:paraId="7171662E"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 xml:space="preserve">Hospital </w:t>
            </w:r>
          </w:p>
          <w:p w14:paraId="2669DD09"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Cost-to-Charge Ratio</w:t>
            </w:r>
          </w:p>
        </w:tc>
        <w:tc>
          <w:tcPr>
            <w:tcW w:w="1532" w:type="dxa"/>
            <w:shd w:val="clear" w:color="auto" w:fill="D9D9D9"/>
            <w:vAlign w:val="bottom"/>
            <w:hideMark/>
          </w:tcPr>
          <w:p w14:paraId="46517285"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 xml:space="preserve"> Fixed Outpatient Outlier Threshold </w:t>
            </w:r>
          </w:p>
        </w:tc>
        <w:tc>
          <w:tcPr>
            <w:tcW w:w="1641" w:type="dxa"/>
            <w:shd w:val="clear" w:color="auto" w:fill="D9D9D9"/>
            <w:vAlign w:val="bottom"/>
            <w:hideMark/>
          </w:tcPr>
          <w:p w14:paraId="3DA32066" w14:textId="77777777" w:rsidR="00E95D2A" w:rsidRPr="001A5D41" w:rsidRDefault="00E95D2A" w:rsidP="00E95D2A">
            <w:pPr>
              <w:shd w:val="clear" w:color="auto" w:fill="D9D9D9"/>
              <w:jc w:val="center"/>
              <w:rPr>
                <w:rFonts w:ascii="Arial" w:hAnsi="Arial" w:cs="Arial"/>
                <w:b/>
                <w:bCs/>
                <w:color w:val="000000"/>
                <w:sz w:val="20"/>
              </w:rPr>
            </w:pPr>
            <w:r w:rsidRPr="001A5D41">
              <w:rPr>
                <w:rFonts w:ascii="Arial" w:hAnsi="Arial" w:cs="Arial"/>
                <w:b/>
                <w:bCs/>
                <w:color w:val="000000"/>
                <w:sz w:val="20"/>
              </w:rPr>
              <w:t>Marginal Cost Factor</w:t>
            </w:r>
          </w:p>
        </w:tc>
      </w:tr>
      <w:tr w:rsidR="008C2D12" w:rsidRPr="00E95D2A" w14:paraId="27D14589" w14:textId="77777777" w:rsidTr="001A5D41">
        <w:trPr>
          <w:trHeight w:val="348"/>
        </w:trPr>
        <w:tc>
          <w:tcPr>
            <w:tcW w:w="3588" w:type="dxa"/>
            <w:shd w:val="clear" w:color="auto" w:fill="auto"/>
            <w:noWrap/>
            <w:vAlign w:val="bottom"/>
            <w:hideMark/>
          </w:tcPr>
          <w:p w14:paraId="53A66E31" w14:textId="77777777" w:rsidR="008C2D12" w:rsidRPr="001A5D41" w:rsidRDefault="008C2D12" w:rsidP="008C2D12">
            <w:pPr>
              <w:rPr>
                <w:rFonts w:ascii="Arial" w:hAnsi="Arial" w:cs="Arial"/>
                <w:sz w:val="20"/>
              </w:rPr>
            </w:pPr>
          </w:p>
          <w:p w14:paraId="32DE3654" w14:textId="77777777" w:rsidR="008C2D12" w:rsidRPr="001A5D41" w:rsidRDefault="008C2D12" w:rsidP="008C2D12">
            <w:pPr>
              <w:rPr>
                <w:rFonts w:ascii="Arial" w:hAnsi="Arial" w:cs="Arial"/>
                <w:sz w:val="20"/>
              </w:rPr>
            </w:pPr>
            <w:r w:rsidRPr="001A5D41">
              <w:rPr>
                <w:rFonts w:ascii="Arial" w:hAnsi="Arial" w:cs="Arial"/>
                <w:sz w:val="20"/>
              </w:rPr>
              <w:t>Athol Memorial Hospital**</w:t>
            </w:r>
          </w:p>
        </w:tc>
        <w:tc>
          <w:tcPr>
            <w:tcW w:w="1983" w:type="dxa"/>
            <w:shd w:val="clear" w:color="auto" w:fill="auto"/>
            <w:noWrap/>
            <w:hideMark/>
          </w:tcPr>
          <w:p w14:paraId="1DDEC810" w14:textId="77777777" w:rsidR="008C2D12" w:rsidRPr="001A5D41" w:rsidRDefault="008C2D12" w:rsidP="008C2D12">
            <w:pPr>
              <w:jc w:val="center"/>
              <w:rPr>
                <w:rFonts w:ascii="Arial" w:hAnsi="Arial" w:cs="Arial"/>
                <w:sz w:val="20"/>
              </w:rPr>
            </w:pPr>
          </w:p>
          <w:p w14:paraId="7ECAD335" w14:textId="216E41CB" w:rsidR="008C2D12" w:rsidRPr="001A5D41" w:rsidRDefault="008C2D12" w:rsidP="008C2D12">
            <w:pPr>
              <w:jc w:val="center"/>
              <w:rPr>
                <w:rFonts w:ascii="Arial" w:hAnsi="Arial" w:cs="Arial"/>
                <w:sz w:val="20"/>
              </w:rPr>
            </w:pPr>
            <w:r w:rsidRPr="001A5D41">
              <w:rPr>
                <w:rFonts w:ascii="Arial" w:hAnsi="Arial" w:cs="Arial"/>
                <w:sz w:val="20"/>
              </w:rPr>
              <w:t xml:space="preserve"> $1,313.12 </w:t>
            </w:r>
          </w:p>
        </w:tc>
        <w:tc>
          <w:tcPr>
            <w:tcW w:w="1532" w:type="dxa"/>
            <w:shd w:val="clear" w:color="auto" w:fill="auto"/>
            <w:noWrap/>
            <w:hideMark/>
          </w:tcPr>
          <w:p w14:paraId="3BED5237" w14:textId="77777777" w:rsidR="008C2D12" w:rsidRPr="001A5D41" w:rsidRDefault="008C2D12" w:rsidP="008C2D12">
            <w:pPr>
              <w:jc w:val="center"/>
              <w:rPr>
                <w:rFonts w:ascii="Arial" w:hAnsi="Arial" w:cs="Arial"/>
                <w:sz w:val="20"/>
              </w:rPr>
            </w:pPr>
          </w:p>
          <w:p w14:paraId="4615898C" w14:textId="2DA55CFE" w:rsidR="008C2D12" w:rsidRPr="001A5D41" w:rsidRDefault="008C2D12" w:rsidP="008C2D12">
            <w:pPr>
              <w:jc w:val="center"/>
              <w:rPr>
                <w:rFonts w:ascii="Arial" w:hAnsi="Arial" w:cs="Arial"/>
                <w:sz w:val="20"/>
              </w:rPr>
            </w:pPr>
            <w:r w:rsidRPr="001A5D41">
              <w:rPr>
                <w:rFonts w:ascii="Arial" w:hAnsi="Arial" w:cs="Arial"/>
                <w:sz w:val="20"/>
              </w:rPr>
              <w:t>28.68%</w:t>
            </w:r>
          </w:p>
        </w:tc>
        <w:tc>
          <w:tcPr>
            <w:tcW w:w="1532" w:type="dxa"/>
            <w:shd w:val="clear" w:color="auto" w:fill="auto"/>
            <w:noWrap/>
            <w:hideMark/>
          </w:tcPr>
          <w:p w14:paraId="1F85EF49" w14:textId="77777777" w:rsidR="008C2D12" w:rsidRPr="001A5D41" w:rsidRDefault="008C2D12" w:rsidP="008C2D12">
            <w:pPr>
              <w:jc w:val="center"/>
              <w:rPr>
                <w:rFonts w:ascii="Arial" w:hAnsi="Arial" w:cs="Arial"/>
                <w:sz w:val="20"/>
              </w:rPr>
            </w:pPr>
            <w:r w:rsidRPr="001A5D41">
              <w:rPr>
                <w:rFonts w:ascii="Arial" w:hAnsi="Arial" w:cs="Arial"/>
                <w:sz w:val="20"/>
              </w:rPr>
              <w:t xml:space="preserve"> </w:t>
            </w:r>
          </w:p>
          <w:p w14:paraId="434A8BE9" w14:textId="517C1030" w:rsidR="008C2D12" w:rsidRPr="001A5D41" w:rsidRDefault="008C2D12" w:rsidP="008C2D12">
            <w:pPr>
              <w:jc w:val="center"/>
              <w:rPr>
                <w:rFonts w:ascii="Arial" w:hAnsi="Arial" w:cs="Arial"/>
                <w:sz w:val="20"/>
              </w:rPr>
            </w:pPr>
            <w:r w:rsidRPr="001A5D41">
              <w:rPr>
                <w:rFonts w:ascii="Arial" w:hAnsi="Arial" w:cs="Arial"/>
                <w:sz w:val="20"/>
              </w:rPr>
              <w:t xml:space="preserve">$4,000.00 </w:t>
            </w:r>
          </w:p>
        </w:tc>
        <w:tc>
          <w:tcPr>
            <w:tcW w:w="1641" w:type="dxa"/>
            <w:shd w:val="clear" w:color="auto" w:fill="auto"/>
            <w:noWrap/>
            <w:hideMark/>
          </w:tcPr>
          <w:p w14:paraId="693A936D" w14:textId="77777777" w:rsidR="008C2D12" w:rsidRPr="001A5D41" w:rsidRDefault="008C2D12" w:rsidP="008C2D12">
            <w:pPr>
              <w:jc w:val="center"/>
              <w:rPr>
                <w:rFonts w:ascii="Arial" w:hAnsi="Arial" w:cs="Arial"/>
                <w:sz w:val="20"/>
              </w:rPr>
            </w:pPr>
          </w:p>
          <w:p w14:paraId="1DE6517F" w14:textId="703981EF" w:rsidR="008C2D12" w:rsidRPr="001A5D41" w:rsidRDefault="008C2D12" w:rsidP="008C2D12">
            <w:pPr>
              <w:jc w:val="center"/>
              <w:rPr>
                <w:rFonts w:ascii="Arial" w:hAnsi="Arial" w:cs="Arial"/>
                <w:sz w:val="20"/>
              </w:rPr>
            </w:pPr>
            <w:r w:rsidRPr="001A5D41">
              <w:rPr>
                <w:rFonts w:ascii="Arial" w:hAnsi="Arial" w:cs="Arial"/>
                <w:sz w:val="20"/>
              </w:rPr>
              <w:t>60%</w:t>
            </w:r>
          </w:p>
        </w:tc>
      </w:tr>
      <w:tr w:rsidR="008C2D12" w:rsidRPr="00E95D2A" w14:paraId="4AC3B1AD" w14:textId="77777777" w:rsidTr="001A5D41">
        <w:trPr>
          <w:trHeight w:val="348"/>
        </w:trPr>
        <w:tc>
          <w:tcPr>
            <w:tcW w:w="3588" w:type="dxa"/>
            <w:shd w:val="clear" w:color="auto" w:fill="auto"/>
            <w:noWrap/>
            <w:vAlign w:val="bottom"/>
            <w:hideMark/>
          </w:tcPr>
          <w:p w14:paraId="22656ECA" w14:textId="77777777" w:rsidR="008C2D12" w:rsidRPr="001A5D41" w:rsidRDefault="008C2D12" w:rsidP="008C2D12">
            <w:pPr>
              <w:rPr>
                <w:rFonts w:ascii="Arial" w:hAnsi="Arial" w:cs="Arial"/>
                <w:sz w:val="20"/>
              </w:rPr>
            </w:pPr>
          </w:p>
          <w:p w14:paraId="285802F1" w14:textId="77777777" w:rsidR="008C2D12" w:rsidRPr="001A5D41" w:rsidRDefault="008C2D12" w:rsidP="008C2D12">
            <w:pPr>
              <w:rPr>
                <w:rFonts w:ascii="Arial" w:hAnsi="Arial" w:cs="Arial"/>
                <w:sz w:val="20"/>
              </w:rPr>
            </w:pPr>
            <w:r w:rsidRPr="001A5D41">
              <w:rPr>
                <w:rFonts w:ascii="Arial" w:hAnsi="Arial" w:cs="Arial"/>
                <w:sz w:val="20"/>
              </w:rPr>
              <w:t>Berkshire Fairview Hospital**</w:t>
            </w:r>
          </w:p>
        </w:tc>
        <w:tc>
          <w:tcPr>
            <w:tcW w:w="1983" w:type="dxa"/>
            <w:shd w:val="clear" w:color="auto" w:fill="auto"/>
            <w:noWrap/>
            <w:hideMark/>
          </w:tcPr>
          <w:p w14:paraId="55A8C55A" w14:textId="77777777" w:rsidR="008C2D12" w:rsidRPr="001A5D41" w:rsidRDefault="008C2D12" w:rsidP="008C2D12">
            <w:pPr>
              <w:jc w:val="center"/>
              <w:rPr>
                <w:rFonts w:ascii="Arial" w:hAnsi="Arial" w:cs="Arial"/>
                <w:sz w:val="20"/>
              </w:rPr>
            </w:pPr>
            <w:r w:rsidRPr="001A5D41">
              <w:rPr>
                <w:rFonts w:ascii="Arial" w:hAnsi="Arial" w:cs="Arial"/>
                <w:sz w:val="20"/>
              </w:rPr>
              <w:t xml:space="preserve"> </w:t>
            </w:r>
          </w:p>
          <w:p w14:paraId="53759CEF" w14:textId="06ADD3F3" w:rsidR="008C2D12" w:rsidRPr="001A5D41" w:rsidRDefault="008C2D12" w:rsidP="008C2D12">
            <w:pPr>
              <w:jc w:val="center"/>
              <w:rPr>
                <w:rFonts w:ascii="Arial" w:hAnsi="Arial" w:cs="Arial"/>
                <w:sz w:val="20"/>
              </w:rPr>
            </w:pPr>
            <w:r w:rsidRPr="001A5D41">
              <w:rPr>
                <w:rFonts w:ascii="Arial" w:hAnsi="Arial" w:cs="Arial"/>
                <w:sz w:val="20"/>
              </w:rPr>
              <w:t xml:space="preserve">$1,661.53 </w:t>
            </w:r>
          </w:p>
        </w:tc>
        <w:tc>
          <w:tcPr>
            <w:tcW w:w="1532" w:type="dxa"/>
            <w:shd w:val="clear" w:color="auto" w:fill="auto"/>
            <w:noWrap/>
            <w:hideMark/>
          </w:tcPr>
          <w:p w14:paraId="06161055" w14:textId="77777777" w:rsidR="008C2D12" w:rsidRPr="001A5D41" w:rsidRDefault="008C2D12" w:rsidP="008C2D12">
            <w:pPr>
              <w:jc w:val="center"/>
              <w:rPr>
                <w:rFonts w:ascii="Arial" w:hAnsi="Arial" w:cs="Arial"/>
                <w:sz w:val="20"/>
              </w:rPr>
            </w:pPr>
          </w:p>
          <w:p w14:paraId="62125E4E" w14:textId="1A77EEEF" w:rsidR="008C2D12" w:rsidRPr="001A5D41" w:rsidRDefault="008C2D12" w:rsidP="008C2D12">
            <w:pPr>
              <w:jc w:val="center"/>
              <w:rPr>
                <w:rFonts w:ascii="Arial" w:hAnsi="Arial" w:cs="Arial"/>
                <w:sz w:val="20"/>
              </w:rPr>
            </w:pPr>
            <w:r w:rsidRPr="001A5D41">
              <w:rPr>
                <w:rFonts w:ascii="Arial" w:hAnsi="Arial" w:cs="Arial"/>
                <w:sz w:val="20"/>
              </w:rPr>
              <w:t>41.93%</w:t>
            </w:r>
          </w:p>
        </w:tc>
        <w:tc>
          <w:tcPr>
            <w:tcW w:w="1532" w:type="dxa"/>
            <w:shd w:val="clear" w:color="auto" w:fill="auto"/>
            <w:noWrap/>
            <w:hideMark/>
          </w:tcPr>
          <w:p w14:paraId="5F2CB72D" w14:textId="77777777" w:rsidR="008C2D12" w:rsidRPr="001A5D41" w:rsidRDefault="008C2D12" w:rsidP="008C2D12">
            <w:pPr>
              <w:jc w:val="center"/>
              <w:rPr>
                <w:rFonts w:ascii="Arial" w:hAnsi="Arial" w:cs="Arial"/>
                <w:sz w:val="20"/>
              </w:rPr>
            </w:pPr>
          </w:p>
          <w:p w14:paraId="75B8BC3C" w14:textId="764C10C8" w:rsidR="008C2D12" w:rsidRPr="001A5D41" w:rsidRDefault="008C2D12" w:rsidP="008C2D12">
            <w:pPr>
              <w:jc w:val="center"/>
              <w:rPr>
                <w:rFonts w:ascii="Arial" w:hAnsi="Arial" w:cs="Arial"/>
                <w:sz w:val="20"/>
              </w:rPr>
            </w:pPr>
            <w:r w:rsidRPr="001A5D41">
              <w:rPr>
                <w:rFonts w:ascii="Arial" w:hAnsi="Arial" w:cs="Arial"/>
                <w:sz w:val="20"/>
              </w:rPr>
              <w:t xml:space="preserve"> $4,000.00 </w:t>
            </w:r>
          </w:p>
        </w:tc>
        <w:tc>
          <w:tcPr>
            <w:tcW w:w="1641" w:type="dxa"/>
            <w:shd w:val="clear" w:color="auto" w:fill="auto"/>
            <w:noWrap/>
            <w:hideMark/>
          </w:tcPr>
          <w:p w14:paraId="55F6842F" w14:textId="77777777" w:rsidR="008C2D12" w:rsidRPr="001A5D41" w:rsidRDefault="008C2D12" w:rsidP="008C2D12">
            <w:pPr>
              <w:jc w:val="center"/>
              <w:rPr>
                <w:rFonts w:ascii="Arial" w:hAnsi="Arial" w:cs="Arial"/>
                <w:sz w:val="20"/>
              </w:rPr>
            </w:pPr>
          </w:p>
          <w:p w14:paraId="4B1A4B33" w14:textId="0736A221" w:rsidR="008C2D12" w:rsidRPr="001A5D41" w:rsidRDefault="008C2D12" w:rsidP="008C2D12">
            <w:pPr>
              <w:jc w:val="center"/>
              <w:rPr>
                <w:rFonts w:ascii="Arial" w:hAnsi="Arial" w:cs="Arial"/>
                <w:sz w:val="20"/>
              </w:rPr>
            </w:pPr>
            <w:r w:rsidRPr="001A5D41">
              <w:rPr>
                <w:rFonts w:ascii="Arial" w:hAnsi="Arial" w:cs="Arial"/>
                <w:sz w:val="20"/>
              </w:rPr>
              <w:t>60%</w:t>
            </w:r>
          </w:p>
        </w:tc>
      </w:tr>
      <w:tr w:rsidR="008C2D12" w:rsidRPr="00E95D2A" w14:paraId="62E1581C" w14:textId="77777777" w:rsidTr="001A5D41">
        <w:trPr>
          <w:trHeight w:val="348"/>
        </w:trPr>
        <w:tc>
          <w:tcPr>
            <w:tcW w:w="3588" w:type="dxa"/>
            <w:shd w:val="clear" w:color="auto" w:fill="auto"/>
            <w:noWrap/>
            <w:vAlign w:val="bottom"/>
            <w:hideMark/>
          </w:tcPr>
          <w:p w14:paraId="508424FF" w14:textId="77777777" w:rsidR="008C2D12" w:rsidRPr="001A5D41" w:rsidRDefault="008C2D12" w:rsidP="008C2D12">
            <w:pPr>
              <w:rPr>
                <w:rFonts w:ascii="Arial" w:hAnsi="Arial" w:cs="Arial"/>
                <w:sz w:val="20"/>
              </w:rPr>
            </w:pPr>
          </w:p>
          <w:p w14:paraId="788C1ABB" w14:textId="77777777" w:rsidR="008C2D12" w:rsidRPr="001A5D41" w:rsidRDefault="008C2D12" w:rsidP="008C2D12">
            <w:pPr>
              <w:rPr>
                <w:rFonts w:ascii="Arial" w:hAnsi="Arial" w:cs="Arial"/>
                <w:sz w:val="20"/>
              </w:rPr>
            </w:pPr>
            <w:r w:rsidRPr="001A5D41">
              <w:rPr>
                <w:rFonts w:ascii="Arial" w:hAnsi="Arial" w:cs="Arial"/>
                <w:sz w:val="20"/>
              </w:rPr>
              <w:t>Martha's Vineyard Hospital**</w:t>
            </w:r>
          </w:p>
        </w:tc>
        <w:tc>
          <w:tcPr>
            <w:tcW w:w="1983" w:type="dxa"/>
            <w:shd w:val="clear" w:color="auto" w:fill="auto"/>
            <w:noWrap/>
            <w:hideMark/>
          </w:tcPr>
          <w:p w14:paraId="33CBD489" w14:textId="77777777" w:rsidR="008C2D12" w:rsidRPr="001A5D41" w:rsidRDefault="008C2D12" w:rsidP="008C2D12">
            <w:pPr>
              <w:jc w:val="center"/>
              <w:rPr>
                <w:rFonts w:ascii="Arial" w:hAnsi="Arial" w:cs="Arial"/>
                <w:sz w:val="20"/>
              </w:rPr>
            </w:pPr>
          </w:p>
          <w:p w14:paraId="31EA7ECE" w14:textId="46A7F0C0" w:rsidR="008C2D12" w:rsidRPr="001A5D41" w:rsidRDefault="008C2D12" w:rsidP="008C2D12">
            <w:pPr>
              <w:jc w:val="center"/>
              <w:rPr>
                <w:rFonts w:ascii="Arial" w:hAnsi="Arial" w:cs="Arial"/>
                <w:sz w:val="20"/>
              </w:rPr>
            </w:pPr>
            <w:r w:rsidRPr="001A5D41">
              <w:rPr>
                <w:rFonts w:ascii="Arial" w:hAnsi="Arial" w:cs="Arial"/>
                <w:sz w:val="20"/>
              </w:rPr>
              <w:t xml:space="preserve"> $1,448.03 </w:t>
            </w:r>
          </w:p>
        </w:tc>
        <w:tc>
          <w:tcPr>
            <w:tcW w:w="1532" w:type="dxa"/>
            <w:shd w:val="clear" w:color="auto" w:fill="auto"/>
            <w:noWrap/>
            <w:hideMark/>
          </w:tcPr>
          <w:p w14:paraId="3C318830" w14:textId="77777777" w:rsidR="008C2D12" w:rsidRPr="001A5D41" w:rsidRDefault="008C2D12" w:rsidP="008C2D12">
            <w:pPr>
              <w:jc w:val="center"/>
              <w:rPr>
                <w:rFonts w:ascii="Arial" w:hAnsi="Arial" w:cs="Arial"/>
                <w:sz w:val="20"/>
              </w:rPr>
            </w:pPr>
          </w:p>
          <w:p w14:paraId="0C0F7CE1" w14:textId="177D47A0" w:rsidR="008C2D12" w:rsidRPr="001A5D41" w:rsidRDefault="008C2D12" w:rsidP="008C2D12">
            <w:pPr>
              <w:jc w:val="center"/>
              <w:rPr>
                <w:rFonts w:ascii="Arial" w:hAnsi="Arial" w:cs="Arial"/>
                <w:sz w:val="20"/>
              </w:rPr>
            </w:pPr>
            <w:r w:rsidRPr="001A5D41">
              <w:rPr>
                <w:rFonts w:ascii="Arial" w:hAnsi="Arial" w:cs="Arial"/>
                <w:sz w:val="20"/>
              </w:rPr>
              <w:t>47.76%</w:t>
            </w:r>
          </w:p>
        </w:tc>
        <w:tc>
          <w:tcPr>
            <w:tcW w:w="1532" w:type="dxa"/>
            <w:shd w:val="clear" w:color="auto" w:fill="auto"/>
            <w:noWrap/>
            <w:hideMark/>
          </w:tcPr>
          <w:p w14:paraId="34D1F90C" w14:textId="77777777" w:rsidR="008C2D12" w:rsidRPr="001A5D41" w:rsidRDefault="008C2D12" w:rsidP="008C2D12">
            <w:pPr>
              <w:jc w:val="center"/>
              <w:rPr>
                <w:rFonts w:ascii="Arial" w:hAnsi="Arial" w:cs="Arial"/>
                <w:sz w:val="20"/>
              </w:rPr>
            </w:pPr>
          </w:p>
          <w:p w14:paraId="493687A0" w14:textId="534262B7" w:rsidR="008C2D12" w:rsidRPr="001A5D41" w:rsidRDefault="008C2D12" w:rsidP="008C2D12">
            <w:pPr>
              <w:jc w:val="center"/>
              <w:rPr>
                <w:rFonts w:ascii="Arial" w:hAnsi="Arial" w:cs="Arial"/>
                <w:sz w:val="20"/>
              </w:rPr>
            </w:pPr>
            <w:r w:rsidRPr="001A5D41">
              <w:rPr>
                <w:rFonts w:ascii="Arial" w:hAnsi="Arial" w:cs="Arial"/>
                <w:sz w:val="20"/>
              </w:rPr>
              <w:t xml:space="preserve"> $4,000.00 </w:t>
            </w:r>
          </w:p>
        </w:tc>
        <w:tc>
          <w:tcPr>
            <w:tcW w:w="1641" w:type="dxa"/>
            <w:shd w:val="clear" w:color="auto" w:fill="auto"/>
            <w:noWrap/>
            <w:hideMark/>
          </w:tcPr>
          <w:p w14:paraId="60968B6B" w14:textId="77777777" w:rsidR="008C2D12" w:rsidRPr="001A5D41" w:rsidRDefault="008C2D12" w:rsidP="008C2D12">
            <w:pPr>
              <w:jc w:val="center"/>
              <w:rPr>
                <w:rFonts w:ascii="Arial" w:hAnsi="Arial" w:cs="Arial"/>
                <w:sz w:val="20"/>
              </w:rPr>
            </w:pPr>
          </w:p>
          <w:p w14:paraId="4BFDCE54" w14:textId="6D39E1C1" w:rsidR="008C2D12" w:rsidRPr="001A5D41" w:rsidRDefault="008C2D12" w:rsidP="008C2D12">
            <w:pPr>
              <w:jc w:val="center"/>
              <w:rPr>
                <w:rFonts w:ascii="Arial" w:hAnsi="Arial" w:cs="Arial"/>
                <w:sz w:val="20"/>
              </w:rPr>
            </w:pPr>
            <w:r w:rsidRPr="001A5D41">
              <w:rPr>
                <w:rFonts w:ascii="Arial" w:hAnsi="Arial" w:cs="Arial"/>
                <w:sz w:val="20"/>
              </w:rPr>
              <w:t>60%</w:t>
            </w:r>
          </w:p>
        </w:tc>
      </w:tr>
    </w:tbl>
    <w:p w14:paraId="79FE2414" w14:textId="560942CC" w:rsidR="00CF3661" w:rsidRDefault="00CF3661" w:rsidP="00E95D2A">
      <w:pPr>
        <w:rPr>
          <w:sz w:val="22"/>
          <w:szCs w:val="22"/>
        </w:rPr>
      </w:pPr>
    </w:p>
    <w:p w14:paraId="3C5466C6" w14:textId="77777777" w:rsidR="008C2D12" w:rsidRPr="006B2670" w:rsidRDefault="008C2D12" w:rsidP="00E95D2A">
      <w:pPr>
        <w:rPr>
          <w:sz w:val="22"/>
          <w:szCs w:val="22"/>
        </w:rPr>
      </w:pPr>
    </w:p>
    <w:p w14:paraId="25BB016A" w14:textId="1E36BAC5" w:rsidR="00444E62" w:rsidRDefault="000F7B28" w:rsidP="00BF6E9C">
      <w:pPr>
        <w:rPr>
          <w:rFonts w:ascii="Arial Narrow" w:eastAsia="Calibri" w:hAnsi="Arial Narrow" w:cs="Arial"/>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w:t>
      </w:r>
      <w:r w:rsidR="00181DC5" w:rsidRPr="00F479FC">
        <w:rPr>
          <w:rFonts w:ascii="Arial Narrow" w:eastAsia="Calibri" w:hAnsi="Arial Narrow" w:cs="Arial"/>
          <w:spacing w:val="0"/>
          <w:sz w:val="22"/>
          <w:szCs w:val="22"/>
        </w:rPr>
        <w:t>RY20</w:t>
      </w:r>
      <w:r w:rsidR="00181DC5">
        <w:rPr>
          <w:rFonts w:ascii="Arial Narrow" w:eastAsia="Calibri" w:hAnsi="Arial Narrow" w:cs="Arial"/>
          <w:spacing w:val="0"/>
          <w:sz w:val="22"/>
          <w:szCs w:val="22"/>
        </w:rPr>
        <w:t>21</w:t>
      </w:r>
      <w:r w:rsidR="00181DC5" w:rsidRPr="00F479FC">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 xml:space="preserve">EAPGs and MassHealth EAPG Weights. </w:t>
      </w:r>
    </w:p>
    <w:p w14:paraId="1231F396" w14:textId="4FE036DA"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spacing w:val="0"/>
          <w:sz w:val="22"/>
          <w:szCs w:val="22"/>
        </w:rPr>
        <w:t xml:space="preserve">Click here: </w:t>
      </w:r>
      <w:hyperlink r:id="rId46" w:history="1">
        <w:r w:rsidR="00BF6E9C" w:rsidRPr="00BF6E9C">
          <w:rPr>
            <w:rFonts w:asciiTheme="minorHAnsi" w:eastAsiaTheme="minorHAnsi" w:hAnsiTheme="minorHAnsi" w:cstheme="minorBidi"/>
            <w:color w:val="0000FF" w:themeColor="hyperlink"/>
            <w:spacing w:val="0"/>
            <w:sz w:val="22"/>
            <w:szCs w:val="22"/>
            <w:u w:val="single"/>
          </w:rPr>
          <w:t xml:space="preserve">Chart D-Acute Hospital </w:t>
        </w:r>
        <w:r w:rsidR="004E2B3C" w:rsidRPr="00BF6E9C">
          <w:rPr>
            <w:rFonts w:asciiTheme="minorHAnsi" w:eastAsiaTheme="minorHAnsi" w:hAnsiTheme="minorHAnsi" w:cstheme="minorBidi"/>
            <w:color w:val="0000FF" w:themeColor="hyperlink"/>
            <w:spacing w:val="0"/>
            <w:sz w:val="22"/>
            <w:szCs w:val="22"/>
            <w:u w:val="single"/>
          </w:rPr>
          <w:t>RY</w:t>
        </w:r>
        <w:r w:rsidR="004E2B3C">
          <w:rPr>
            <w:rFonts w:asciiTheme="minorHAnsi" w:eastAsiaTheme="minorHAnsi" w:hAnsiTheme="minorHAnsi" w:cstheme="minorBidi"/>
            <w:color w:val="0000FF" w:themeColor="hyperlink"/>
            <w:spacing w:val="0"/>
            <w:sz w:val="22"/>
            <w:szCs w:val="22"/>
            <w:u w:val="single"/>
          </w:rPr>
          <w:t>21</w:t>
        </w:r>
        <w:r w:rsidR="004E2B3C" w:rsidRPr="00BF6E9C">
          <w:rPr>
            <w:rFonts w:asciiTheme="minorHAnsi" w:eastAsiaTheme="minorHAnsi" w:hAnsiTheme="minorHAnsi" w:cstheme="minorBidi"/>
            <w:color w:val="0000FF" w:themeColor="hyperlink"/>
            <w:spacing w:val="0"/>
            <w:sz w:val="22"/>
            <w:szCs w:val="22"/>
            <w:u w:val="single"/>
          </w:rPr>
          <w:t xml:space="preserve"> </w:t>
        </w:r>
        <w:r w:rsidR="00BF6E9C" w:rsidRPr="00BF6E9C">
          <w:rPr>
            <w:rFonts w:asciiTheme="minorHAnsi" w:eastAsiaTheme="minorHAnsi" w:hAnsiTheme="minorHAnsi" w:cstheme="minorBidi"/>
            <w:color w:val="0000FF" w:themeColor="hyperlink"/>
            <w:spacing w:val="0"/>
            <w:sz w:val="22"/>
            <w:szCs w:val="22"/>
            <w:u w:val="single"/>
          </w:rPr>
          <w:t>MassHealth EAPG Weights</w:t>
        </w:r>
      </w:hyperlink>
    </w:p>
    <w:p w14:paraId="215A7E30" w14:textId="77777777" w:rsidR="00E95D2A" w:rsidRPr="00F479FC" w:rsidRDefault="00E95D2A" w:rsidP="00E95D2A">
      <w:pPr>
        <w:rPr>
          <w:rFonts w:ascii="Arial Narrow" w:hAnsi="Arial Narrow" w:cs="Arial"/>
          <w:b/>
          <w:sz w:val="22"/>
          <w:szCs w:val="22"/>
        </w:rPr>
      </w:pPr>
    </w:p>
    <w:p w14:paraId="27A7AFDC" w14:textId="77777777"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w:t>
      </w:r>
      <w:r w:rsidR="005D44B9">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F479FC" w:rsidRDefault="00E95D2A" w:rsidP="00E95D2A">
      <w:pPr>
        <w:rPr>
          <w:rFonts w:ascii="Arial Narrow" w:hAnsi="Arial Narrow" w:cs="Arial"/>
          <w:b/>
          <w:sz w:val="22"/>
          <w:szCs w:val="22"/>
        </w:rPr>
      </w:pPr>
    </w:p>
    <w:p w14:paraId="4665CD62" w14:textId="77777777" w:rsidR="00E95D2A" w:rsidRPr="00F479FC"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p w14:paraId="4A850F8D" w14:textId="77777777" w:rsidR="00D014BE" w:rsidRPr="00F479FC" w:rsidRDefault="00D014BE" w:rsidP="00E95D2A">
      <w:pPr>
        <w:rPr>
          <w:rFonts w:ascii="Arial Narrow" w:hAnsi="Arial Narrow" w:cs="Arial"/>
          <w:sz w:val="22"/>
          <w:szCs w:val="22"/>
        </w:rPr>
      </w:pPr>
    </w:p>
    <w:p w14:paraId="6DB28417" w14:textId="77777777" w:rsidR="00D014BE" w:rsidRPr="00573B37" w:rsidRDefault="00D014BE" w:rsidP="00E95D2A">
      <w:pPr>
        <w:rPr>
          <w:rFonts w:ascii="Arial Narrow" w:hAnsi="Arial Narrow" w:cs="Arial"/>
          <w:sz w:val="20"/>
        </w:rPr>
      </w:pPr>
    </w:p>
    <w:sectPr w:rsidR="00D014BE" w:rsidRPr="00573B37" w:rsidSect="004E22C7">
      <w:headerReference w:type="default" r:id="rId47"/>
      <w:pgSz w:w="12240" w:h="15840"/>
      <w:pgMar w:top="1008" w:right="1008" w:bottom="1152"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76302" w14:textId="77777777" w:rsidR="006B4C40" w:rsidRDefault="006B4C40" w:rsidP="00A56879">
      <w:r>
        <w:separator/>
      </w:r>
    </w:p>
  </w:endnote>
  <w:endnote w:type="continuationSeparator" w:id="0">
    <w:p w14:paraId="51A620E6" w14:textId="77777777" w:rsidR="006B4C40" w:rsidRDefault="006B4C40"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86292" w14:textId="77777777" w:rsidR="00DE4713" w:rsidRDefault="00DE4713">
    <w:pPr>
      <w:jc w:val="right"/>
    </w:pPr>
    <w:r>
      <w:fldChar w:fldCharType="begin"/>
    </w:r>
    <w:r>
      <w:instrText xml:space="preserve"> PAGE   \* MERGEFORMAT </w:instrText>
    </w:r>
    <w:r>
      <w:fldChar w:fldCharType="separate"/>
    </w:r>
    <w:r w:rsidR="001A6968">
      <w:rPr>
        <w:noProof/>
      </w:rPr>
      <w:t>14</w:t>
    </w:r>
    <w:r>
      <w:rPr>
        <w:noProof/>
      </w:rPr>
      <w:fldChar w:fldCharType="end"/>
    </w:r>
  </w:p>
  <w:p w14:paraId="258A521C" w14:textId="77777777" w:rsidR="00DE4713" w:rsidRDefault="00DE47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0095" w14:textId="77777777" w:rsidR="00DE4713" w:rsidRDefault="00DE4713">
    <w:pPr>
      <w:jc w:val="right"/>
    </w:pPr>
    <w:r>
      <w:fldChar w:fldCharType="begin"/>
    </w:r>
    <w:r>
      <w:instrText xml:space="preserve"> PAGE   \* MERGEFORMAT </w:instrText>
    </w:r>
    <w:r>
      <w:fldChar w:fldCharType="separate"/>
    </w:r>
    <w:r w:rsidR="001A6968">
      <w:rPr>
        <w:noProof/>
      </w:rPr>
      <w:t>1</w:t>
    </w:r>
    <w:r>
      <w:rPr>
        <w:noProof/>
      </w:rPr>
      <w:fldChar w:fldCharType="end"/>
    </w:r>
  </w:p>
  <w:p w14:paraId="2B9C147E" w14:textId="77777777" w:rsidR="00DE4713" w:rsidRDefault="00DE47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3161" w14:textId="087A6C1E" w:rsidR="00DE4713" w:rsidRPr="00236231" w:rsidRDefault="00DE4713" w:rsidP="00626941">
    <w:pPr>
      <w:pStyle w:val="Footer"/>
      <w:tabs>
        <w:tab w:val="left" w:pos="8640"/>
      </w:tabs>
      <w:rPr>
        <w:sz w:val="20"/>
      </w:rPr>
    </w:pPr>
    <w:r>
      <w:rPr>
        <w:sz w:val="20"/>
      </w:rPr>
      <w:tab/>
    </w:r>
    <w:r w:rsidRPr="00236231">
      <w:rPr>
        <w:sz w:val="20"/>
      </w:rPr>
      <w:fldChar w:fldCharType="begin"/>
    </w:r>
    <w:r w:rsidRPr="00236231">
      <w:rPr>
        <w:sz w:val="20"/>
      </w:rPr>
      <w:instrText xml:space="preserve"> PAGE   \* MERGEFORMAT </w:instrText>
    </w:r>
    <w:r w:rsidRPr="00236231">
      <w:rPr>
        <w:sz w:val="20"/>
      </w:rPr>
      <w:fldChar w:fldCharType="separate"/>
    </w:r>
    <w:r w:rsidR="001A6968">
      <w:rPr>
        <w:noProof/>
        <w:sz w:val="20"/>
      </w:rPr>
      <w:t>116</w:t>
    </w:r>
    <w:r w:rsidRPr="00236231">
      <w:rPr>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DD0F9" w14:textId="77777777" w:rsidR="00DE4713" w:rsidRDefault="00DE4713">
    <w:pPr>
      <w:jc w:val="right"/>
    </w:pPr>
    <w:r>
      <w:fldChar w:fldCharType="begin"/>
    </w:r>
    <w:r>
      <w:instrText xml:space="preserve"> PAGE   \* MERGEFORMAT </w:instrText>
    </w:r>
    <w:r>
      <w:fldChar w:fldCharType="separate"/>
    </w:r>
    <w:r w:rsidR="001A6968">
      <w:rPr>
        <w:noProof/>
      </w:rPr>
      <w:t>124</w:t>
    </w:r>
    <w:r>
      <w:rPr>
        <w:noProof/>
      </w:rPr>
      <w:fldChar w:fldCharType="end"/>
    </w:r>
  </w:p>
  <w:p w14:paraId="49E69A00" w14:textId="77777777" w:rsidR="00DE4713" w:rsidRDefault="00DE471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C62B5" w14:textId="77777777" w:rsidR="00DE4713" w:rsidRDefault="00DE4713">
    <w:pPr>
      <w:jc w:val="right"/>
    </w:pPr>
    <w:r>
      <w:fldChar w:fldCharType="begin"/>
    </w:r>
    <w:r>
      <w:instrText xml:space="preserve"> PAGE   \* MERGEFORMAT </w:instrText>
    </w:r>
    <w:r>
      <w:fldChar w:fldCharType="separate"/>
    </w:r>
    <w:r w:rsidR="001A6968">
      <w:rPr>
        <w:noProof/>
      </w:rPr>
      <w:t>122</w:t>
    </w:r>
    <w:r>
      <w:rPr>
        <w:noProof/>
      </w:rPr>
      <w:fldChar w:fldCharType="end"/>
    </w:r>
  </w:p>
  <w:p w14:paraId="404398B0" w14:textId="77777777" w:rsidR="00DE4713" w:rsidRDefault="00DE47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2F1F" w14:textId="77777777" w:rsidR="006B4C40" w:rsidRDefault="006B4C40" w:rsidP="00A56879">
      <w:r>
        <w:separator/>
      </w:r>
    </w:p>
  </w:footnote>
  <w:footnote w:type="continuationSeparator" w:id="0">
    <w:p w14:paraId="6ECF1A51" w14:textId="77777777" w:rsidR="006B4C40" w:rsidRDefault="006B4C40" w:rsidP="00A56879">
      <w:r>
        <w:continuationSeparator/>
      </w:r>
    </w:p>
  </w:footnote>
  <w:footnote w:id="1">
    <w:p w14:paraId="5D1F4CCB" w14:textId="77777777" w:rsidR="00DE4713" w:rsidRPr="009762B2" w:rsidRDefault="00DE471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DRG).The APR-DRG is assigned based on information on a properly submitted inpatient hospital claim by the 3M APR-DRG grouper. </w:t>
      </w:r>
    </w:p>
  </w:footnote>
  <w:footnote w:id="2">
    <w:p w14:paraId="14D1F704" w14:textId="77777777" w:rsidR="00DE4713" w:rsidRPr="009762B2" w:rsidRDefault="00DE471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314E3A4C" w:rsidR="00DE4713" w:rsidRPr="009762B2" w:rsidRDefault="00DE471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Pr>
          <w:rFonts w:ascii="Times New Roman" w:hAnsi="Times New Roman"/>
          <w:sz w:val="20"/>
        </w:rPr>
        <w:t>1</w:t>
      </w:r>
      <w:r w:rsidRPr="009762B2">
        <w:rPr>
          <w:rFonts w:ascii="Times New Roman" w:hAnsi="Times New Roman"/>
          <w:sz w:val="20"/>
        </w:rPr>
        <w:t>, as in RY</w:t>
      </w:r>
      <w:r>
        <w:rPr>
          <w:rFonts w:ascii="Times New Roman" w:hAnsi="Times New Roman"/>
          <w:sz w:val="20"/>
        </w:rPr>
        <w:t>20</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20</w:t>
      </w:r>
      <w:r w:rsidRPr="009762B2">
        <w:rPr>
          <w:rFonts w:ascii="Times New Roman" w:hAnsi="Times New Roman"/>
          <w:sz w:val="20"/>
        </w:rPr>
        <w:t>, in RY2</w:t>
      </w:r>
      <w:r>
        <w:rPr>
          <w:rFonts w:ascii="Times New Roman" w:hAnsi="Times New Roman"/>
          <w:sz w:val="20"/>
        </w:rPr>
        <w:t>1</w:t>
      </w:r>
      <w:r w:rsidRPr="009762B2">
        <w:rPr>
          <w:rFonts w:ascii="Times New Roman" w:hAnsi="Times New Roman"/>
          <w:sz w:val="20"/>
        </w:rPr>
        <w:t xml:space="preserve"> the two High MassHealth Volume Hospitals will be Rhode Island Hospital and Women &amp; Infants Hospital (RI).</w:t>
      </w:r>
    </w:p>
  </w:footnote>
  <w:footnote w:id="4">
    <w:p w14:paraId="11BEB661" w14:textId="77777777" w:rsidR="00DE4713" w:rsidRPr="009762B2" w:rsidRDefault="00DE471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MDHL is posted at </w:t>
      </w:r>
      <w:hyperlink r:id="rId1" w:history="1">
        <w:r w:rsidRPr="009762B2">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DE4713" w:rsidRPr="009762B2" w:rsidRDefault="00DE471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6">
    <w:p w14:paraId="06E16FB2" w14:textId="77777777" w:rsidR="00DE4713" w:rsidRPr="009762B2" w:rsidRDefault="00DE471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77777777" w:rsidR="00DE4713" w:rsidRPr="009762B2" w:rsidRDefault="00DE471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Pr="009762B2">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DE4713" w:rsidRPr="005A6659" w:rsidRDefault="00DE471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004828B9" w14:textId="211F3E84" w:rsidR="00DE4713" w:rsidRPr="0041012A" w:rsidRDefault="00DE4713"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“Pediatric Specialty Unit” is as defined in the RY2</w:t>
      </w:r>
      <w:r>
        <w:rPr>
          <w:rFonts w:ascii="Times New Roman" w:hAnsi="Times New Roman"/>
          <w:sz w:val="20"/>
        </w:rPr>
        <w:t>1</w:t>
      </w:r>
      <w:r w:rsidRPr="0041012A">
        <w:rPr>
          <w:rFonts w:ascii="Times New Roman" w:hAnsi="Times New Roman"/>
          <w:sz w:val="20"/>
        </w:rPr>
        <w:t xml:space="preserve"> MassHealth Acute Hospital Request for Applications (RFA).</w:t>
      </w:r>
    </w:p>
  </w:footnote>
  <w:footnote w:id="10">
    <w:p w14:paraId="6B4EEE16" w14:textId="46AE1DAD" w:rsidR="00DE4713" w:rsidRPr="0041012A" w:rsidRDefault="00DE4713"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RY2</w:t>
      </w:r>
      <w:r>
        <w:rPr>
          <w:rFonts w:ascii="Times New Roman" w:hAnsi="Times New Roman"/>
          <w:sz w:val="20"/>
        </w:rPr>
        <w:t>1</w:t>
      </w:r>
      <w:r w:rsidRPr="0041012A">
        <w:rPr>
          <w:rFonts w:ascii="Times New Roman" w:hAnsi="Times New Roman"/>
          <w:sz w:val="20"/>
        </w:rPr>
        <w:t xml:space="preserve"> RFA.</w:t>
      </w:r>
    </w:p>
  </w:footnote>
  <w:footnote w:id="11">
    <w:p w14:paraId="4E10BAA1" w14:textId="77777777" w:rsidR="00DE4713" w:rsidRPr="00DE1B92" w:rsidRDefault="00DE471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Pr="00DE1B92">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2">
    <w:p w14:paraId="72D48548" w14:textId="77777777" w:rsidR="00DE4713" w:rsidRPr="00DE1B92" w:rsidRDefault="00DE471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refers to drugs and biologics (including, e.g., cell and gene therapies), or any other similar substance containing one or more active ingredients in a specified dosage form and strength. Each dosage form and strength is a separate drug.</w:t>
      </w:r>
    </w:p>
  </w:footnote>
  <w:footnote w:id="13">
    <w:p w14:paraId="5E0A1058" w14:textId="77777777" w:rsidR="00DE4713" w:rsidRPr="006523C7" w:rsidRDefault="00DE471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4">
    <w:p w14:paraId="4321DD1B" w14:textId="77777777" w:rsidR="00DE4713" w:rsidRPr="002D0C0C" w:rsidRDefault="00DE471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3.14 (configured for the MassHealth APEC methodology).</w:t>
      </w:r>
    </w:p>
  </w:footnote>
  <w:footnote w:id="15">
    <w:p w14:paraId="052C262F" w14:textId="77777777" w:rsidR="00DE4713" w:rsidRPr="000D6A5A" w:rsidRDefault="00DE471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16">
    <w:p w14:paraId="09C19698" w14:textId="77777777" w:rsidR="00DE4713" w:rsidRPr="006D30AC" w:rsidRDefault="00DE4713"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list of MassHealth designated “APEC Carve-Out Drugs” are identified on the “MassHealth Acute Hospital Carve-Out Drugs List” of the MassHealth Drug List (MHDL), and may be updated from time to time. The MHDL is posted at </w:t>
      </w:r>
      <w:hyperlink r:id="rId4" w:history="1">
        <w:r w:rsidRPr="006D30AC">
          <w:rPr>
            <w:rFonts w:ascii="Times New Roman" w:hAnsi="Times New Roman"/>
            <w:sz w:val="20"/>
          </w:rPr>
          <w:t>https://masshealthdruglist.ehs.state.ma.us/MHDL/welcome.do</w:t>
        </w:r>
      </w:hyperlink>
      <w:r w:rsidRPr="006D30AC">
        <w:rPr>
          <w:rFonts w:ascii="Times New Roman" w:hAnsi="Times New Roman"/>
          <w:sz w:val="20"/>
        </w:rPr>
        <w:t>.</w:t>
      </w:r>
    </w:p>
  </w:footnote>
  <w:footnote w:id="17">
    <w:p w14:paraId="62BAFD90" w14:textId="77777777" w:rsidR="00DE4713" w:rsidRPr="00313BAD" w:rsidRDefault="00DE4713" w:rsidP="00330A9B">
      <w:pPr>
        <w:rPr>
          <w:rFonts w:ascii="Times New Roman" w:hAnsi="Times New Roman"/>
          <w:sz w:val="20"/>
        </w:rPr>
      </w:pPr>
      <w:r w:rsidRPr="00313BAD">
        <w:rPr>
          <w:rFonts w:ascii="Times New Roman" w:hAnsi="Times New Roman"/>
          <w:sz w:val="20"/>
          <w:vertAlign w:val="superscript"/>
        </w:rPr>
        <w:footnoteRef/>
      </w:r>
      <w:r w:rsidRPr="00313BAD">
        <w:rPr>
          <w:rFonts w:ascii="Times New Roman" w:hAnsi="Times New Roman"/>
          <w:sz w:val="20"/>
        </w:rPr>
        <w:t xml:space="preserve"> A qualifying High Medicaid Volume Safety Net Hospital is an acute hospital with a ratio of Medicaid inpatient days to total inpatient days that was greater than 45% based on the Hospital’s FY14 403 cost report, and that enters into a separate payment agreement with EOHHS.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4DA2" w14:textId="77777777" w:rsidR="00DE4713" w:rsidRDefault="00DE4713" w:rsidP="00817D2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19C5" w14:textId="77777777" w:rsidR="00DE4713" w:rsidRPr="002D6D52" w:rsidRDefault="00DE471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94B5" w14:textId="48E9DB88" w:rsidR="00DE4713" w:rsidRPr="00AE7250" w:rsidRDefault="00DE4713" w:rsidP="00295868">
    <w:pPr>
      <w:jc w:val="center"/>
      <w:rPr>
        <w:rFonts w:ascii="Arial" w:hAnsi="Arial" w:cs="Arial"/>
        <w:b/>
        <w:szCs w:val="24"/>
      </w:rPr>
    </w:pPr>
    <w:r w:rsidRPr="00AE7250">
      <w:rPr>
        <w:rFonts w:ascii="Arial" w:hAnsi="Arial" w:cs="Arial"/>
        <w:b/>
        <w:szCs w:val="24"/>
      </w:rPr>
      <w:t>RY</w:t>
    </w:r>
    <w:r>
      <w:rPr>
        <w:rFonts w:ascii="Arial" w:hAnsi="Arial" w:cs="Arial"/>
        <w:b/>
        <w:szCs w:val="24"/>
      </w:rPr>
      <w:t>21</w:t>
    </w:r>
    <w:r w:rsidRPr="00AE7250">
      <w:rPr>
        <w:rFonts w:ascii="Arial" w:hAnsi="Arial" w:cs="Arial"/>
        <w:b/>
        <w:color w:val="FF0000"/>
        <w:szCs w:val="24"/>
      </w:rPr>
      <w:t xml:space="preserve"> </w:t>
    </w:r>
    <w:r w:rsidRPr="00AE7250">
      <w:rPr>
        <w:rFonts w:ascii="Arial" w:hAnsi="Arial" w:cs="Arial"/>
        <w:b/>
        <w:szCs w:val="24"/>
      </w:rPr>
      <w:t>In-State Acute Hospital Inpatient Rates</w:t>
    </w:r>
  </w:p>
  <w:p w14:paraId="7D73C768" w14:textId="77777777" w:rsidR="00DE4713" w:rsidRPr="00B0567E" w:rsidRDefault="00DE4713" w:rsidP="00295868">
    <w:pP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EA7AC" w14:textId="77777777" w:rsidR="00DE4713" w:rsidRDefault="00DE471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C7C9" w14:textId="4E97BD48" w:rsidR="00DE4713" w:rsidRPr="00D058BF" w:rsidRDefault="00DE4713" w:rsidP="00295868">
    <w:pPr>
      <w:jc w:val="center"/>
      <w:rPr>
        <w:b/>
        <w:sz w:val="28"/>
        <w:szCs w:val="28"/>
      </w:rPr>
    </w:pPr>
    <w:r w:rsidRPr="00D058BF">
      <w:rPr>
        <w:b/>
        <w:sz w:val="28"/>
        <w:szCs w:val="28"/>
      </w:rPr>
      <w:t>In-State Hospitals</w:t>
    </w:r>
    <w:r>
      <w:rPr>
        <w:b/>
        <w:sz w:val="28"/>
        <w:szCs w:val="28"/>
      </w:rPr>
      <w:t xml:space="preserve"> –RY21 Outpatient APEC</w:t>
    </w:r>
  </w:p>
  <w:p w14:paraId="095B2B70" w14:textId="77777777" w:rsidR="00DE4713" w:rsidRPr="00D058BF" w:rsidRDefault="00DE4713" w:rsidP="00295868">
    <w:pP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FA"/>
    <w:multiLevelType w:val="hybridMultilevel"/>
    <w:tmpl w:val="45F889F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5A0FB1"/>
    <w:multiLevelType w:val="hybridMultilevel"/>
    <w:tmpl w:val="6FBC1CE8"/>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2DC61F8"/>
    <w:multiLevelType w:val="hybridMultilevel"/>
    <w:tmpl w:val="3F68F676"/>
    <w:lvl w:ilvl="0" w:tplc="A19697EE">
      <w:start w:val="7"/>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E800DF"/>
    <w:multiLevelType w:val="hybridMultilevel"/>
    <w:tmpl w:val="E9C85BEE"/>
    <w:lvl w:ilvl="0" w:tplc="8B68BECA">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4486122"/>
    <w:multiLevelType w:val="hybridMultilevel"/>
    <w:tmpl w:val="2E3AD4F8"/>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51D4C02"/>
    <w:multiLevelType w:val="multilevel"/>
    <w:tmpl w:val="FF82BCC2"/>
    <w:numStyleLink w:val="ImportedStyle2"/>
  </w:abstractNum>
  <w:abstractNum w:abstractNumId="15">
    <w:nsid w:val="069C32C6"/>
    <w:multiLevelType w:val="hybridMultilevel"/>
    <w:tmpl w:val="08B44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72C5840"/>
    <w:multiLevelType w:val="hybridMultilevel"/>
    <w:tmpl w:val="C82CD4B4"/>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040020"/>
    <w:multiLevelType w:val="hybridMultilevel"/>
    <w:tmpl w:val="93FEE99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97F0521"/>
    <w:multiLevelType w:val="hybridMultilevel"/>
    <w:tmpl w:val="0016C9B6"/>
    <w:lvl w:ilvl="0" w:tplc="F440F954">
      <w:start w:val="1"/>
      <w:numFmt w:val="decimal"/>
      <w:lvlText w:val="(%1)"/>
      <w:lvlJc w:val="left"/>
      <w:pPr>
        <w:ind w:left="1152" w:hanging="360"/>
      </w:pPr>
      <w:rPr>
        <w:rFonts w:hint="default"/>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A53122"/>
    <w:multiLevelType w:val="hybridMultilevel"/>
    <w:tmpl w:val="2F4A9B1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E80F31"/>
    <w:multiLevelType w:val="hybridMultilevel"/>
    <w:tmpl w:val="8B1EA03E"/>
    <w:lvl w:ilvl="0" w:tplc="86A616BE">
      <w:start w:val="1"/>
      <w:numFmt w:val="upperLetter"/>
      <w:lvlText w:val="%1."/>
      <w:lvlJc w:val="left"/>
      <w:pPr>
        <w:ind w:left="720" w:hanging="360"/>
      </w:pPr>
      <w:rPr>
        <w:rFonts w:cs="Times New Roman" w:hint="default"/>
        <w:b/>
        <w:i w:val="0"/>
        <w:caps/>
        <w:strike w:val="0"/>
        <w:dstrike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3C36DF"/>
    <w:multiLevelType w:val="hybridMultilevel"/>
    <w:tmpl w:val="6DA85EFE"/>
    <w:lvl w:ilvl="0" w:tplc="4DBECBFC">
      <w:start w:val="4"/>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B98778A"/>
    <w:multiLevelType w:val="hybridMultilevel"/>
    <w:tmpl w:val="F3A826E2"/>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0CE6055A"/>
    <w:multiLevelType w:val="hybridMultilevel"/>
    <w:tmpl w:val="07E0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D3966CB"/>
    <w:multiLevelType w:val="hybridMultilevel"/>
    <w:tmpl w:val="5B22BA40"/>
    <w:lvl w:ilvl="0" w:tplc="A3661022">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E1576DE"/>
    <w:multiLevelType w:val="hybridMultilevel"/>
    <w:tmpl w:val="6A42CD3C"/>
    <w:lvl w:ilvl="0" w:tplc="04090001">
      <w:start w:val="1"/>
      <w:numFmt w:val="bullet"/>
      <w:lvlText w:val=""/>
      <w:lvlJc w:val="left"/>
      <w:pPr>
        <w:ind w:left="720" w:hanging="360"/>
      </w:pPr>
      <w:rPr>
        <w:rFonts w:ascii="Symbol" w:hAnsi="Symbol" w:hint="default"/>
      </w:rPr>
    </w:lvl>
    <w:lvl w:ilvl="1" w:tplc="18F02FB2">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FDC1F7B"/>
    <w:multiLevelType w:val="hybridMultilevel"/>
    <w:tmpl w:val="10A60542"/>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0E560B4"/>
    <w:multiLevelType w:val="hybridMultilevel"/>
    <w:tmpl w:val="6AF25210"/>
    <w:lvl w:ilvl="0" w:tplc="F50A2306">
      <w:start w:val="2"/>
      <w:numFmt w:val="upperLetter"/>
      <w:lvlText w:val="%1."/>
      <w:lvlJc w:val="left"/>
      <w:pPr>
        <w:ind w:left="1440" w:hanging="360"/>
      </w:pPr>
      <w:rPr>
        <w:rFonts w:ascii="Times New Roman" w:hAnsi="Times New Roman" w:cs="Times New Roman" w:hint="default"/>
        <w:b/>
        <w:i w:val="0"/>
        <w:caps/>
        <w:strike w:val="0"/>
        <w:dstrike w:val="0"/>
        <w:color w:val="auto"/>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8311BD"/>
    <w:multiLevelType w:val="hybridMultilevel"/>
    <w:tmpl w:val="67F228DC"/>
    <w:lvl w:ilvl="0" w:tplc="1890A0DC">
      <w:start w:val="1"/>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A23081"/>
    <w:multiLevelType w:val="hybridMultilevel"/>
    <w:tmpl w:val="E4344EF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2172DBF"/>
    <w:multiLevelType w:val="hybridMultilevel"/>
    <w:tmpl w:val="7A8CDA4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6A50D9"/>
    <w:multiLevelType w:val="hybridMultilevel"/>
    <w:tmpl w:val="D2140548"/>
    <w:lvl w:ilvl="0" w:tplc="48987A1C">
      <w:start w:val="2"/>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4703731"/>
    <w:multiLevelType w:val="hybridMultilevel"/>
    <w:tmpl w:val="71FAF938"/>
    <w:numStyleLink w:val="ImportedStyle20"/>
  </w:abstractNum>
  <w:abstractNum w:abstractNumId="43">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160857D6"/>
    <w:multiLevelType w:val="hybridMultilevel"/>
    <w:tmpl w:val="0F2417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nsid w:val="16A27CF0"/>
    <w:multiLevelType w:val="hybridMultilevel"/>
    <w:tmpl w:val="46129FE2"/>
    <w:lvl w:ilvl="0" w:tplc="3CCEFD68">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81F09B9"/>
    <w:multiLevelType w:val="hybridMultilevel"/>
    <w:tmpl w:val="85488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A8D3E4C"/>
    <w:multiLevelType w:val="hybridMultilevel"/>
    <w:tmpl w:val="325EA8A0"/>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1B007834"/>
    <w:multiLevelType w:val="hybridMultilevel"/>
    <w:tmpl w:val="5BDECC9A"/>
    <w:lvl w:ilvl="0" w:tplc="ED5A29F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5F301F"/>
    <w:multiLevelType w:val="hybridMultilevel"/>
    <w:tmpl w:val="302A3CD2"/>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1C6206B0"/>
    <w:multiLevelType w:val="hybridMultilevel"/>
    <w:tmpl w:val="A036D8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1C63365B"/>
    <w:multiLevelType w:val="hybridMultilevel"/>
    <w:tmpl w:val="BA781244"/>
    <w:lvl w:ilvl="0" w:tplc="0409001B">
      <w:start w:val="1"/>
      <w:numFmt w:val="lowerRoman"/>
      <w:lvlText w:val="%1."/>
      <w:lvlJc w:val="righ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8">
    <w:nsid w:val="1D87717C"/>
    <w:multiLevelType w:val="hybridMultilevel"/>
    <w:tmpl w:val="ACE43EA0"/>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1E013676"/>
    <w:multiLevelType w:val="hybridMultilevel"/>
    <w:tmpl w:val="234A4DCA"/>
    <w:lvl w:ilvl="0" w:tplc="1F4C2ADC">
      <w:start w:val="1"/>
      <w:numFmt w:val="decimal"/>
      <w:lvlText w:val="%1."/>
      <w:lvlJc w:val="left"/>
      <w:pPr>
        <w:ind w:left="180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1EBE055D"/>
    <w:multiLevelType w:val="hybridMultilevel"/>
    <w:tmpl w:val="F7A2B596"/>
    <w:lvl w:ilvl="0" w:tplc="AB94E8BE">
      <w:start w:val="1"/>
      <w:numFmt w:val="lowerRoman"/>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1ECC3A76"/>
    <w:multiLevelType w:val="hybridMultilevel"/>
    <w:tmpl w:val="E06628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201466C7"/>
    <w:multiLevelType w:val="hybridMultilevel"/>
    <w:tmpl w:val="4B1CDBD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20C6009E"/>
    <w:multiLevelType w:val="hybridMultilevel"/>
    <w:tmpl w:val="7B40D98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1AC786F"/>
    <w:multiLevelType w:val="hybridMultilevel"/>
    <w:tmpl w:val="3B884A2A"/>
    <w:lvl w:ilvl="0" w:tplc="BB1241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BB36E2"/>
    <w:multiLevelType w:val="hybridMultilevel"/>
    <w:tmpl w:val="64AA655A"/>
    <w:lvl w:ilvl="0" w:tplc="1890A0DC">
      <w:start w:val="1"/>
      <w:numFmt w:val="decimal"/>
      <w:lvlText w:val="%1."/>
      <w:lvlJc w:val="left"/>
      <w:pPr>
        <w:ind w:left="1440" w:hanging="360"/>
      </w:pPr>
      <w:rPr>
        <w:rFonts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21F74203"/>
    <w:multiLevelType w:val="hybridMultilevel"/>
    <w:tmpl w:val="45D0BC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39A77E4"/>
    <w:multiLevelType w:val="hybridMultilevel"/>
    <w:tmpl w:val="C8D40C78"/>
    <w:lvl w:ilvl="0" w:tplc="F440F954">
      <w:start w:val="1"/>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23F95346"/>
    <w:multiLevelType w:val="hybridMultilevel"/>
    <w:tmpl w:val="D038A3FC"/>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78">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2620545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288D5B41"/>
    <w:multiLevelType w:val="hybridMultilevel"/>
    <w:tmpl w:val="114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289812F1"/>
    <w:multiLevelType w:val="hybridMultilevel"/>
    <w:tmpl w:val="DC462CC0"/>
    <w:lvl w:ilvl="0" w:tplc="72D6E83E">
      <w:start w:val="3"/>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28DD6514"/>
    <w:multiLevelType w:val="hybridMultilevel"/>
    <w:tmpl w:val="3140ABB0"/>
    <w:lvl w:ilvl="0" w:tplc="8DE65222">
      <w:start w:val="2"/>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2AAD6B87"/>
    <w:multiLevelType w:val="hybridMultilevel"/>
    <w:tmpl w:val="5276D472"/>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AC46807"/>
    <w:multiLevelType w:val="hybridMultilevel"/>
    <w:tmpl w:val="5E044088"/>
    <w:numStyleLink w:val="ImportedStyle3"/>
  </w:abstractNum>
  <w:abstractNum w:abstractNumId="88">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2BC67DDE"/>
    <w:multiLevelType w:val="hybridMultilevel"/>
    <w:tmpl w:val="4C724122"/>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2D0136C7"/>
    <w:multiLevelType w:val="hybridMultilevel"/>
    <w:tmpl w:val="C5FC112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nsid w:val="2D3A4607"/>
    <w:multiLevelType w:val="hybridMultilevel"/>
    <w:tmpl w:val="87A43474"/>
    <w:lvl w:ilvl="0" w:tplc="254053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F1D2CBB"/>
    <w:multiLevelType w:val="hybridMultilevel"/>
    <w:tmpl w:val="98E4F97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3">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2FB8734E"/>
    <w:multiLevelType w:val="hybridMultilevel"/>
    <w:tmpl w:val="9CF269BE"/>
    <w:lvl w:ilvl="0" w:tplc="04090015">
      <w:start w:val="1"/>
      <w:numFmt w:val="upperLetter"/>
      <w:lvlText w:val="%1."/>
      <w:lvlJc w:val="left"/>
      <w:pPr>
        <w:ind w:left="34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01B3210"/>
    <w:multiLevelType w:val="hybridMultilevel"/>
    <w:tmpl w:val="93E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306A7CE5"/>
    <w:multiLevelType w:val="hybridMultilevel"/>
    <w:tmpl w:val="4766AB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3087615F"/>
    <w:multiLevelType w:val="hybridMultilevel"/>
    <w:tmpl w:val="B5EA8000"/>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1F122E0"/>
    <w:multiLevelType w:val="hybridMultilevel"/>
    <w:tmpl w:val="407E7220"/>
    <w:lvl w:ilvl="0" w:tplc="917A5C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32133181"/>
    <w:multiLevelType w:val="hybridMultilevel"/>
    <w:tmpl w:val="A23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329416D2"/>
    <w:multiLevelType w:val="hybridMultilevel"/>
    <w:tmpl w:val="7338AE88"/>
    <w:lvl w:ilvl="0" w:tplc="16A62D16">
      <w:start w:val="4"/>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37005E6"/>
    <w:multiLevelType w:val="hybridMultilevel"/>
    <w:tmpl w:val="D33E837C"/>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4F54797"/>
    <w:multiLevelType w:val="hybridMultilevel"/>
    <w:tmpl w:val="CCBAB6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5A83805"/>
    <w:multiLevelType w:val="hybridMultilevel"/>
    <w:tmpl w:val="ADD078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4">
    <w:nsid w:val="37A3263D"/>
    <w:multiLevelType w:val="hybridMultilevel"/>
    <w:tmpl w:val="5ED6B006"/>
    <w:lvl w:ilvl="0" w:tplc="1D86FCB2">
      <w:start w:val="1"/>
      <w:numFmt w:val="lowerRoman"/>
      <w:lvlText w:val="%1."/>
      <w:lvlJc w:val="left"/>
      <w:pPr>
        <w:ind w:left="1800" w:hanging="360"/>
      </w:pPr>
      <w:rPr>
        <w:rFonts w:ascii="Times New Roman" w:eastAsia="Times New Roman" w:hAnsi="Times New Roman"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8722385"/>
    <w:multiLevelType w:val="hybridMultilevel"/>
    <w:tmpl w:val="34EA833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38B0024E"/>
    <w:multiLevelType w:val="hybridMultilevel"/>
    <w:tmpl w:val="52B4367E"/>
    <w:lvl w:ilvl="0" w:tplc="E1AE7DAC">
      <w:start w:val="5"/>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9EC4635"/>
    <w:multiLevelType w:val="hybridMultilevel"/>
    <w:tmpl w:val="2B408F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3A214A64"/>
    <w:multiLevelType w:val="hybridMultilevel"/>
    <w:tmpl w:val="F724CE64"/>
    <w:lvl w:ilvl="0" w:tplc="550C39B6">
      <w:start w:val="1"/>
      <w:numFmt w:val="upperLetter"/>
      <w:lvlText w:val="%1."/>
      <w:lvlJc w:val="left"/>
      <w:pPr>
        <w:ind w:left="360" w:hanging="360"/>
      </w:pPr>
      <w:rPr>
        <w:rFonts w:cs="Times New Roman" w:hint="default"/>
        <w:b/>
        <w:i w:val="0"/>
        <w:caps/>
        <w:strike w:val="0"/>
        <w:dstrike w:val="0"/>
        <w:sz w:val="28"/>
        <w:szCs w:val="28"/>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3B8E65CC"/>
    <w:multiLevelType w:val="hybridMultilevel"/>
    <w:tmpl w:val="25F6A134"/>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4">
    <w:nsid w:val="3C4C7CA6"/>
    <w:multiLevelType w:val="hybridMultilevel"/>
    <w:tmpl w:val="28F24658"/>
    <w:lvl w:ilvl="0" w:tplc="D49E4DA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3C8A3D70"/>
    <w:multiLevelType w:val="hybridMultilevel"/>
    <w:tmpl w:val="214A7688"/>
    <w:lvl w:ilvl="0" w:tplc="AEC67DA0">
      <w:start w:val="3"/>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3DBD3B9A"/>
    <w:multiLevelType w:val="hybridMultilevel"/>
    <w:tmpl w:val="EBDE3EB6"/>
    <w:lvl w:ilvl="0" w:tplc="5998B2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401B15DB"/>
    <w:multiLevelType w:val="hybridMultilevel"/>
    <w:tmpl w:val="DF845D88"/>
    <w:lvl w:ilvl="0" w:tplc="B35EC966">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24A5831"/>
    <w:multiLevelType w:val="hybridMultilevel"/>
    <w:tmpl w:val="16AACF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2">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44245C87"/>
    <w:multiLevelType w:val="hybridMultilevel"/>
    <w:tmpl w:val="74600B0E"/>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nsid w:val="467D74D0"/>
    <w:multiLevelType w:val="hybridMultilevel"/>
    <w:tmpl w:val="48A42346"/>
    <w:lvl w:ilvl="0" w:tplc="7F88E0BE">
      <w:start w:val="2"/>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C20FE1"/>
    <w:multiLevelType w:val="hybridMultilevel"/>
    <w:tmpl w:val="2C44AB12"/>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A11EB9"/>
    <w:multiLevelType w:val="hybridMultilevel"/>
    <w:tmpl w:val="A31AA00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nsid w:val="4A97419F"/>
    <w:multiLevelType w:val="hybridMultilevel"/>
    <w:tmpl w:val="D102C5F6"/>
    <w:lvl w:ilvl="0" w:tplc="E148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C14F8C"/>
    <w:multiLevelType w:val="hybridMultilevel"/>
    <w:tmpl w:val="DA9AFF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nsid w:val="4CD55AAA"/>
    <w:multiLevelType w:val="hybridMultilevel"/>
    <w:tmpl w:val="82A43EA2"/>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4CE53E7D"/>
    <w:multiLevelType w:val="hybridMultilevel"/>
    <w:tmpl w:val="BF60637C"/>
    <w:lvl w:ilvl="0" w:tplc="917A5CA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4EDB6F14"/>
    <w:multiLevelType w:val="hybridMultilevel"/>
    <w:tmpl w:val="46D4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4F1235D3"/>
    <w:multiLevelType w:val="hybridMultilevel"/>
    <w:tmpl w:val="F2E0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52375E67"/>
    <w:multiLevelType w:val="hybridMultilevel"/>
    <w:tmpl w:val="D21065A8"/>
    <w:lvl w:ilvl="0" w:tplc="890AE2A0">
      <w:start w:val="2"/>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2A7085E"/>
    <w:multiLevelType w:val="hybridMultilevel"/>
    <w:tmpl w:val="ECC620E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5363278"/>
    <w:multiLevelType w:val="hybridMultilevel"/>
    <w:tmpl w:val="B5AC0756"/>
    <w:lvl w:ilvl="0" w:tplc="95927F9A">
      <w:start w:val="3"/>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A03395"/>
    <w:multiLevelType w:val="hybridMultilevel"/>
    <w:tmpl w:val="4782D9E0"/>
    <w:lvl w:ilvl="0" w:tplc="917A5CA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55E74A7A"/>
    <w:multiLevelType w:val="hybridMultilevel"/>
    <w:tmpl w:val="DD800152"/>
    <w:lvl w:ilvl="0" w:tplc="C1881B9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7442015"/>
    <w:multiLevelType w:val="hybridMultilevel"/>
    <w:tmpl w:val="E7D6BC2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4A05F7"/>
    <w:multiLevelType w:val="hybridMultilevel"/>
    <w:tmpl w:val="127686D8"/>
    <w:lvl w:ilvl="0" w:tplc="C1881B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nsid w:val="57646D13"/>
    <w:multiLevelType w:val="hybridMultilevel"/>
    <w:tmpl w:val="9E489C4A"/>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58254DAA"/>
    <w:multiLevelType w:val="hybridMultilevel"/>
    <w:tmpl w:val="DFF8A6B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5A302CF7"/>
    <w:multiLevelType w:val="hybridMultilevel"/>
    <w:tmpl w:val="889407B4"/>
    <w:numStyleLink w:val="ImportedStyle1"/>
  </w:abstractNum>
  <w:abstractNum w:abstractNumId="183">
    <w:nsid w:val="5A3F7122"/>
    <w:multiLevelType w:val="hybridMultilevel"/>
    <w:tmpl w:val="F7AC1148"/>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nsid w:val="5A647199"/>
    <w:multiLevelType w:val="hybridMultilevel"/>
    <w:tmpl w:val="CF00EE08"/>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7">
    <w:nsid w:val="5B7A2EAE"/>
    <w:multiLevelType w:val="hybridMultilevel"/>
    <w:tmpl w:val="EF1ED304"/>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9">
    <w:nsid w:val="5C24165F"/>
    <w:multiLevelType w:val="hybridMultilevel"/>
    <w:tmpl w:val="FB8AA758"/>
    <w:lvl w:ilvl="0" w:tplc="1F4C2ADC">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5F60277A"/>
    <w:multiLevelType w:val="hybridMultilevel"/>
    <w:tmpl w:val="5E0A05A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6B4923"/>
    <w:multiLevelType w:val="hybridMultilevel"/>
    <w:tmpl w:val="302C845A"/>
    <w:lvl w:ilvl="0" w:tplc="AB8A495C">
      <w:start w:val="1"/>
      <w:numFmt w:val="lowerLetter"/>
      <w:lvlText w:val="%1."/>
      <w:lvlJc w:val="left"/>
      <w:pPr>
        <w:ind w:left="1800" w:hanging="360"/>
      </w:pPr>
      <w:rPr>
        <w:rFonts w:hAnsi="Arial Unicode MS" w:hint="default"/>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81D62"/>
    <w:multiLevelType w:val="hybridMultilevel"/>
    <w:tmpl w:val="C2DAD7B8"/>
    <w:lvl w:ilvl="0" w:tplc="55D8A1AC">
      <w:start w:val="4"/>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FFD3A06"/>
    <w:multiLevelType w:val="hybridMultilevel"/>
    <w:tmpl w:val="5B50642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nsid w:val="602E09B4"/>
    <w:multiLevelType w:val="hybridMultilevel"/>
    <w:tmpl w:val="5A084BB2"/>
    <w:lvl w:ilvl="0" w:tplc="3A5069D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nsid w:val="60556AD2"/>
    <w:multiLevelType w:val="hybridMultilevel"/>
    <w:tmpl w:val="FCF4BA08"/>
    <w:lvl w:ilvl="0" w:tplc="8FF674D2">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613E57CA"/>
    <w:multiLevelType w:val="hybridMultilevel"/>
    <w:tmpl w:val="286AB75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32F40C9"/>
    <w:multiLevelType w:val="hybridMultilevel"/>
    <w:tmpl w:val="56928B1C"/>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63EE6585"/>
    <w:multiLevelType w:val="hybridMultilevel"/>
    <w:tmpl w:val="E6BEA840"/>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3F02EDB"/>
    <w:multiLevelType w:val="hybridMultilevel"/>
    <w:tmpl w:val="BA084E5A"/>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12">
    <w:nsid w:val="669D6A57"/>
    <w:multiLevelType w:val="hybridMultilevel"/>
    <w:tmpl w:val="D06C5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3">
    <w:nsid w:val="679104BD"/>
    <w:multiLevelType w:val="hybridMultilevel"/>
    <w:tmpl w:val="77BCDC7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6890329B"/>
    <w:multiLevelType w:val="hybridMultilevel"/>
    <w:tmpl w:val="37A04FB6"/>
    <w:lvl w:ilvl="0" w:tplc="0409000F">
      <w:start w:val="1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8CE70F3"/>
    <w:multiLevelType w:val="hybridMultilevel"/>
    <w:tmpl w:val="AB96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6B5724D4"/>
    <w:multiLevelType w:val="hybridMultilevel"/>
    <w:tmpl w:val="9B52244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6D116715"/>
    <w:multiLevelType w:val="hybridMultilevel"/>
    <w:tmpl w:val="5A12FA04"/>
    <w:lvl w:ilvl="0" w:tplc="0F50C824">
      <w:start w:val="1"/>
      <w:numFmt w:val="upperLetter"/>
      <w:lvlText w:val="%1."/>
      <w:lvlJc w:val="left"/>
      <w:pPr>
        <w:ind w:left="99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5">
    <w:nsid w:val="6D5345FC"/>
    <w:multiLevelType w:val="hybridMultilevel"/>
    <w:tmpl w:val="A080BF94"/>
    <w:lvl w:ilvl="0" w:tplc="73FC0956">
      <w:start w:val="1"/>
      <w:numFmt w:val="lowerLetter"/>
      <w:lvlText w:val="%1."/>
      <w:lvlJc w:val="left"/>
      <w:pPr>
        <w:ind w:left="1080" w:hanging="360"/>
      </w:pPr>
      <w:rPr>
        <w:rFonts w:cs="Times New Roman"/>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6">
    <w:nsid w:val="6F6E0B8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nsid w:val="6FB65A55"/>
    <w:multiLevelType w:val="hybridMultilevel"/>
    <w:tmpl w:val="34CABAAE"/>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nsid w:val="705374FF"/>
    <w:multiLevelType w:val="hybridMultilevel"/>
    <w:tmpl w:val="77A0A364"/>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0EE219C"/>
    <w:multiLevelType w:val="hybridMultilevel"/>
    <w:tmpl w:val="18584C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1">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1870676"/>
    <w:multiLevelType w:val="hybridMultilevel"/>
    <w:tmpl w:val="8BFE13EA"/>
    <w:lvl w:ilvl="0" w:tplc="93C80292">
      <w:start w:val="8"/>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4">
    <w:nsid w:val="71CD20DE"/>
    <w:multiLevelType w:val="hybridMultilevel"/>
    <w:tmpl w:val="A9AA4F6C"/>
    <w:lvl w:ilvl="0" w:tplc="8DB28538">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nsid w:val="732C40BA"/>
    <w:multiLevelType w:val="hybridMultilevel"/>
    <w:tmpl w:val="38324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7">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nsid w:val="73817747"/>
    <w:multiLevelType w:val="hybridMultilevel"/>
    <w:tmpl w:val="448620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9">
    <w:nsid w:val="73CB7E5B"/>
    <w:multiLevelType w:val="multilevel"/>
    <w:tmpl w:val="71FAF938"/>
    <w:numStyleLink w:val="ImportedStyle20"/>
  </w:abstractNum>
  <w:abstractNum w:abstractNumId="24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5F75233"/>
    <w:multiLevelType w:val="hybridMultilevel"/>
    <w:tmpl w:val="86120744"/>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nsid w:val="76724A23"/>
    <w:multiLevelType w:val="hybridMultilevel"/>
    <w:tmpl w:val="E07EEE3A"/>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79A1D20"/>
    <w:multiLevelType w:val="multilevel"/>
    <w:tmpl w:val="889407B4"/>
    <w:numStyleLink w:val="ImportedStyle1"/>
  </w:abstractNum>
  <w:abstractNum w:abstractNumId="247">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78A47845"/>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91919A5"/>
    <w:multiLevelType w:val="hybridMultilevel"/>
    <w:tmpl w:val="1674C6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nsid w:val="79406F6D"/>
    <w:multiLevelType w:val="hybridMultilevel"/>
    <w:tmpl w:val="E6527CF8"/>
    <w:lvl w:ilvl="0" w:tplc="C126895C">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79E7537A"/>
    <w:multiLevelType w:val="hybridMultilevel"/>
    <w:tmpl w:val="721E62CC"/>
    <w:lvl w:ilvl="0" w:tplc="106666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5">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BEA191A"/>
    <w:multiLevelType w:val="hybridMultilevel"/>
    <w:tmpl w:val="7704336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7">
    <w:nsid w:val="7D8B1174"/>
    <w:multiLevelType w:val="hybridMultilevel"/>
    <w:tmpl w:val="6A5846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8">
    <w:nsid w:val="7D9A409F"/>
    <w:multiLevelType w:val="hybridMultilevel"/>
    <w:tmpl w:val="9C3AF164"/>
    <w:lvl w:ilvl="0" w:tplc="03BE0AF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0">
    <w:nsid w:val="7FB52351"/>
    <w:multiLevelType w:val="hybridMultilevel"/>
    <w:tmpl w:val="49D83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7"/>
  </w:num>
  <w:num w:numId="2">
    <w:abstractNumId w:val="240"/>
  </w:num>
  <w:num w:numId="3">
    <w:abstractNumId w:val="214"/>
  </w:num>
  <w:num w:numId="4">
    <w:abstractNumId w:val="51"/>
  </w:num>
  <w:num w:numId="5">
    <w:abstractNumId w:val="136"/>
  </w:num>
  <w:num w:numId="6">
    <w:abstractNumId w:val="218"/>
  </w:num>
  <w:num w:numId="7">
    <w:abstractNumId w:val="160"/>
  </w:num>
  <w:num w:numId="8">
    <w:abstractNumId w:val="199"/>
  </w:num>
  <w:num w:numId="9">
    <w:abstractNumId w:val="107"/>
  </w:num>
  <w:num w:numId="10">
    <w:abstractNumId w:val="250"/>
  </w:num>
  <w:num w:numId="11">
    <w:abstractNumId w:val="78"/>
  </w:num>
  <w:num w:numId="12">
    <w:abstractNumId w:val="86"/>
  </w:num>
  <w:num w:numId="13">
    <w:abstractNumId w:val="169"/>
  </w:num>
  <w:num w:numId="14">
    <w:abstractNumId w:val="223"/>
  </w:num>
  <w:num w:numId="15">
    <w:abstractNumId w:val="168"/>
  </w:num>
  <w:num w:numId="16">
    <w:abstractNumId w:val="237"/>
  </w:num>
  <w:num w:numId="17">
    <w:abstractNumId w:val="28"/>
  </w:num>
  <w:num w:numId="18">
    <w:abstractNumId w:val="30"/>
  </w:num>
  <w:num w:numId="19">
    <w:abstractNumId w:val="208"/>
  </w:num>
  <w:num w:numId="20">
    <w:abstractNumId w:val="131"/>
  </w:num>
  <w:num w:numId="21">
    <w:abstractNumId w:val="180"/>
  </w:num>
  <w:num w:numId="22">
    <w:abstractNumId w:val="151"/>
  </w:num>
  <w:num w:numId="23">
    <w:abstractNumId w:val="148"/>
  </w:num>
  <w:num w:numId="24">
    <w:abstractNumId w:val="121"/>
  </w:num>
  <w:num w:numId="25">
    <w:abstractNumId w:val="162"/>
  </w:num>
  <w:num w:numId="26">
    <w:abstractNumId w:val="132"/>
  </w:num>
  <w:num w:numId="27">
    <w:abstractNumId w:val="191"/>
  </w:num>
  <w:num w:numId="28">
    <w:abstractNumId w:val="166"/>
  </w:num>
  <w:num w:numId="29">
    <w:abstractNumId w:val="184"/>
  </w:num>
  <w:num w:numId="30">
    <w:abstractNumId w:val="81"/>
  </w:num>
  <w:num w:numId="31">
    <w:abstractNumId w:val="120"/>
    <w:lvlOverride w:ilvl="0">
      <w:startOverride w:val="1"/>
    </w:lvlOverride>
  </w:num>
  <w:num w:numId="32">
    <w:abstractNumId w:val="207"/>
  </w:num>
  <w:num w:numId="33">
    <w:abstractNumId w:val="248"/>
  </w:num>
  <w:num w:numId="34">
    <w:abstractNumId w:val="17"/>
  </w:num>
  <w:num w:numId="35">
    <w:abstractNumId w:val="31"/>
  </w:num>
  <w:num w:numId="36">
    <w:abstractNumId w:val="50"/>
  </w:num>
  <w:num w:numId="37">
    <w:abstractNumId w:val="221"/>
  </w:num>
  <w:num w:numId="38">
    <w:abstractNumId w:val="142"/>
  </w:num>
  <w:num w:numId="39">
    <w:abstractNumId w:val="6"/>
  </w:num>
  <w:num w:numId="40">
    <w:abstractNumId w:val="229"/>
  </w:num>
  <w:num w:numId="41">
    <w:abstractNumId w:val="79"/>
  </w:num>
  <w:num w:numId="42">
    <w:abstractNumId w:val="32"/>
  </w:num>
  <w:num w:numId="43">
    <w:abstractNumId w:val="210"/>
  </w:num>
  <w:num w:numId="44">
    <w:abstractNumId w:val="85"/>
  </w:num>
  <w:num w:numId="45">
    <w:abstractNumId w:val="74"/>
  </w:num>
  <w:num w:numId="46">
    <w:abstractNumId w:val="192"/>
  </w:num>
  <w:num w:numId="47">
    <w:abstractNumId w:val="137"/>
  </w:num>
  <w:num w:numId="48">
    <w:abstractNumId w:val="165"/>
  </w:num>
  <w:num w:numId="49">
    <w:abstractNumId w:val="66"/>
  </w:num>
  <w:num w:numId="50">
    <w:abstractNumId w:val="141"/>
  </w:num>
  <w:num w:numId="51">
    <w:abstractNumId w:val="158"/>
  </w:num>
  <w:num w:numId="52">
    <w:abstractNumId w:val="255"/>
  </w:num>
  <w:num w:numId="53">
    <w:abstractNumId w:val="11"/>
  </w:num>
  <w:num w:numId="54">
    <w:abstractNumId w:val="216"/>
  </w:num>
  <w:num w:numId="55">
    <w:abstractNumId w:val="8"/>
  </w:num>
  <w:num w:numId="56">
    <w:abstractNumId w:val="115"/>
  </w:num>
  <w:num w:numId="57">
    <w:abstractNumId w:val="222"/>
  </w:num>
  <w:num w:numId="58">
    <w:abstractNumId w:val="106"/>
  </w:num>
  <w:num w:numId="59">
    <w:abstractNumId w:val="68"/>
  </w:num>
  <w:num w:numId="60">
    <w:abstractNumId w:val="247"/>
  </w:num>
  <w:num w:numId="61">
    <w:abstractNumId w:val="37"/>
  </w:num>
  <w:num w:numId="62">
    <w:abstractNumId w:val="127"/>
  </w:num>
  <w:num w:numId="63">
    <w:abstractNumId w:val="155"/>
  </w:num>
  <w:num w:numId="64">
    <w:abstractNumId w:val="134"/>
  </w:num>
  <w:num w:numId="65">
    <w:abstractNumId w:val="233"/>
  </w:num>
  <w:num w:numId="66">
    <w:abstractNumId w:val="20"/>
  </w:num>
  <w:num w:numId="67">
    <w:abstractNumId w:val="73"/>
  </w:num>
  <w:num w:numId="68">
    <w:abstractNumId w:val="145"/>
  </w:num>
  <w:num w:numId="69">
    <w:abstractNumId w:val="244"/>
  </w:num>
  <w:num w:numId="70">
    <w:abstractNumId w:val="26"/>
  </w:num>
  <w:num w:numId="71">
    <w:abstractNumId w:val="130"/>
  </w:num>
  <w:num w:numId="72">
    <w:abstractNumId w:val="204"/>
  </w:num>
  <w:num w:numId="73">
    <w:abstractNumId w:val="123"/>
  </w:num>
  <w:num w:numId="74">
    <w:abstractNumId w:val="101"/>
  </w:num>
  <w:num w:numId="75">
    <w:abstractNumId w:val="65"/>
  </w:num>
  <w:num w:numId="76">
    <w:abstractNumId w:val="188"/>
  </w:num>
  <w:num w:numId="77">
    <w:abstractNumId w:val="219"/>
  </w:num>
  <w:num w:numId="78">
    <w:abstractNumId w:val="10"/>
  </w:num>
  <w:num w:numId="79">
    <w:abstractNumId w:val="128"/>
  </w:num>
  <w:num w:numId="80">
    <w:abstractNumId w:val="1"/>
  </w:num>
  <w:num w:numId="81">
    <w:abstractNumId w:val="44"/>
  </w:num>
  <w:num w:numId="82">
    <w:abstractNumId w:val="144"/>
  </w:num>
  <w:num w:numId="83">
    <w:abstractNumId w:val="126"/>
  </w:num>
  <w:num w:numId="84">
    <w:abstractNumId w:val="59"/>
  </w:num>
  <w:num w:numId="85">
    <w:abstractNumId w:val="33"/>
  </w:num>
  <w:num w:numId="86">
    <w:abstractNumId w:val="13"/>
  </w:num>
  <w:num w:numId="87">
    <w:abstractNumId w:val="202"/>
  </w:num>
  <w:num w:numId="88">
    <w:abstractNumId w:val="139"/>
  </w:num>
  <w:num w:numId="89">
    <w:abstractNumId w:val="231"/>
  </w:num>
  <w:num w:numId="90">
    <w:abstractNumId w:val="98"/>
  </w:num>
  <w:num w:numId="91">
    <w:abstractNumId w:val="61"/>
  </w:num>
  <w:num w:numId="92">
    <w:abstractNumId w:val="209"/>
  </w:num>
  <w:num w:numId="93">
    <w:abstractNumId w:val="190"/>
  </w:num>
  <w:num w:numId="94">
    <w:abstractNumId w:val="93"/>
  </w:num>
  <w:num w:numId="95">
    <w:abstractNumId w:val="200"/>
  </w:num>
  <w:num w:numId="96">
    <w:abstractNumId w:val="47"/>
  </w:num>
  <w:num w:numId="97">
    <w:abstractNumId w:val="43"/>
  </w:num>
  <w:num w:numId="98">
    <w:abstractNumId w:val="2"/>
  </w:num>
  <w:num w:numId="99">
    <w:abstractNumId w:val="261"/>
  </w:num>
  <w:num w:numId="100">
    <w:abstractNumId w:val="159"/>
  </w:num>
  <w:num w:numId="101">
    <w:abstractNumId w:val="48"/>
  </w:num>
  <w:num w:numId="102">
    <w:abstractNumId w:val="120"/>
    <w:lvlOverride w:ilvl="0">
      <w:startOverride w:val="1"/>
    </w:lvlOverride>
  </w:num>
  <w:num w:numId="103">
    <w:abstractNumId w:val="3"/>
  </w:num>
  <w:num w:numId="104">
    <w:abstractNumId w:val="40"/>
  </w:num>
  <w:num w:numId="105">
    <w:abstractNumId w:val="88"/>
  </w:num>
  <w:num w:numId="106">
    <w:abstractNumId w:val="110"/>
  </w:num>
  <w:num w:numId="107">
    <w:abstractNumId w:val="29"/>
  </w:num>
  <w:num w:numId="108">
    <w:abstractNumId w:val="152"/>
  </w:num>
  <w:num w:numId="109">
    <w:abstractNumId w:val="116"/>
  </w:num>
  <w:num w:numId="110">
    <w:abstractNumId w:val="112"/>
  </w:num>
  <w:num w:numId="111">
    <w:abstractNumId w:val="238"/>
  </w:num>
  <w:num w:numId="112">
    <w:abstractNumId w:val="224"/>
  </w:num>
  <w:num w:numId="113">
    <w:abstractNumId w:val="227"/>
  </w:num>
  <w:num w:numId="114">
    <w:abstractNumId w:val="9"/>
  </w:num>
  <w:num w:numId="115">
    <w:abstractNumId w:val="228"/>
  </w:num>
  <w:num w:numId="116">
    <w:abstractNumId w:val="177"/>
  </w:num>
  <w:num w:numId="117">
    <w:abstractNumId w:val="18"/>
  </w:num>
  <w:num w:numId="118">
    <w:abstractNumId w:val="99"/>
  </w:num>
  <w:num w:numId="119">
    <w:abstractNumId w:val="138"/>
  </w:num>
  <w:num w:numId="120">
    <w:abstractNumId w:val="196"/>
  </w:num>
  <w:num w:numId="121">
    <w:abstractNumId w:val="252"/>
  </w:num>
  <w:num w:numId="122">
    <w:abstractNumId w:val="147"/>
  </w:num>
  <w:num w:numId="123">
    <w:abstractNumId w:val="49"/>
  </w:num>
  <w:num w:numId="124">
    <w:abstractNumId w:val="258"/>
  </w:num>
  <w:num w:numId="125">
    <w:abstractNumId w:val="125"/>
  </w:num>
  <w:num w:numId="126">
    <w:abstractNumId w:val="16"/>
  </w:num>
  <w:num w:numId="127">
    <w:abstractNumId w:val="105"/>
  </w:num>
  <w:num w:numId="128">
    <w:abstractNumId w:val="135"/>
  </w:num>
  <w:num w:numId="129">
    <w:abstractNumId w:val="70"/>
  </w:num>
  <w:num w:numId="130">
    <w:abstractNumId w:val="56"/>
  </w:num>
  <w:num w:numId="131">
    <w:abstractNumId w:val="91"/>
  </w:num>
  <w:num w:numId="132">
    <w:abstractNumId w:val="72"/>
  </w:num>
  <w:num w:numId="133">
    <w:abstractNumId w:val="15"/>
  </w:num>
  <w:num w:numId="134">
    <w:abstractNumId w:val="39"/>
  </w:num>
  <w:num w:numId="135">
    <w:abstractNumId w:val="117"/>
  </w:num>
  <w:num w:numId="136">
    <w:abstractNumId w:val="242"/>
  </w:num>
  <w:num w:numId="137">
    <w:abstractNumId w:val="260"/>
  </w:num>
  <w:num w:numId="138">
    <w:abstractNumId w:val="253"/>
  </w:num>
  <w:num w:numId="139">
    <w:abstractNumId w:val="172"/>
  </w:num>
  <w:num w:numId="140">
    <w:abstractNumId w:val="173"/>
  </w:num>
  <w:num w:numId="141">
    <w:abstractNumId w:val="82"/>
  </w:num>
  <w:num w:numId="142">
    <w:abstractNumId w:val="154"/>
  </w:num>
  <w:num w:numId="143">
    <w:abstractNumId w:val="176"/>
  </w:num>
  <w:num w:numId="144">
    <w:abstractNumId w:val="189"/>
  </w:num>
  <w:num w:numId="145">
    <w:abstractNumId w:val="35"/>
  </w:num>
  <w:num w:numId="146">
    <w:abstractNumId w:val="170"/>
  </w:num>
  <w:num w:numId="147">
    <w:abstractNumId w:val="4"/>
  </w:num>
  <w:num w:numId="148">
    <w:abstractNumId w:val="104"/>
  </w:num>
  <w:num w:numId="149">
    <w:abstractNumId w:val="178"/>
  </w:num>
  <w:num w:numId="150">
    <w:abstractNumId w:val="235"/>
  </w:num>
  <w:num w:numId="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6"/>
  </w:num>
  <w:num w:numId="191">
    <w:abstractNumId w:val="181"/>
  </w:num>
  <w:num w:numId="192">
    <w:abstractNumId w:val="199"/>
    <w:lvlOverride w:ilvl="0">
      <w:startOverride w:val="1"/>
    </w:lvlOverride>
  </w:num>
  <w:num w:numId="193">
    <w:abstractNumId w:val="181"/>
    <w:lvlOverride w:ilvl="0">
      <w:startOverride w:val="2"/>
    </w:lvlOverride>
  </w:num>
  <w:num w:numId="194">
    <w:abstractNumId w:val="181"/>
    <w:lvlOverride w:ilvl="0">
      <w:startOverride w:val="1"/>
    </w:lvlOverride>
  </w:num>
  <w:num w:numId="195">
    <w:abstractNumId w:val="0"/>
  </w:num>
  <w:num w:numId="196">
    <w:abstractNumId w:val="96"/>
  </w:num>
  <w:num w:numId="197">
    <w:abstractNumId w:val="212"/>
  </w:num>
  <w:num w:numId="198">
    <w:abstractNumId w:val="75"/>
  </w:num>
  <w:num w:numId="199">
    <w:abstractNumId w:val="19"/>
  </w:num>
  <w:num w:numId="200">
    <w:abstractNumId w:val="120"/>
  </w:num>
  <w:num w:numId="201">
    <w:abstractNumId w:val="89"/>
  </w:num>
  <w:num w:numId="202">
    <w:abstractNumId w:val="60"/>
  </w:num>
  <w:num w:numId="203">
    <w:abstractNumId w:val="23"/>
  </w:num>
  <w:num w:numId="204">
    <w:abstractNumId w:val="153"/>
  </w:num>
  <w:num w:numId="205">
    <w:abstractNumId w:val="36"/>
  </w:num>
  <w:num w:numId="206">
    <w:abstractNumId w:val="71"/>
  </w:num>
  <w:num w:numId="207">
    <w:abstractNumId w:val="108"/>
  </w:num>
  <w:num w:numId="208">
    <w:abstractNumId w:val="45"/>
  </w:num>
  <w:num w:numId="209">
    <w:abstractNumId w:val="53"/>
  </w:num>
  <w:num w:numId="210">
    <w:abstractNumId w:val="234"/>
  </w:num>
  <w:num w:numId="211">
    <w:abstractNumId w:val="164"/>
  </w:num>
  <w:num w:numId="212">
    <w:abstractNumId w:val="84"/>
  </w:num>
  <w:num w:numId="213">
    <w:abstractNumId w:val="124"/>
  </w:num>
  <w:num w:numId="214">
    <w:abstractNumId w:val="118"/>
  </w:num>
  <w:num w:numId="215">
    <w:abstractNumId w:val="114"/>
  </w:num>
  <w:num w:numId="216">
    <w:abstractNumId w:val="251"/>
  </w:num>
  <w:num w:numId="217">
    <w:abstractNumId w:val="7"/>
  </w:num>
  <w:num w:numId="218">
    <w:abstractNumId w:val="232"/>
  </w:num>
  <w:num w:numId="219">
    <w:abstractNumId w:val="206"/>
  </w:num>
  <w:num w:numId="220">
    <w:abstractNumId w:val="175"/>
  </w:num>
  <w:num w:numId="221">
    <w:abstractNumId w:val="205"/>
  </w:num>
  <w:num w:numId="222">
    <w:abstractNumId w:val="156"/>
  </w:num>
  <w:num w:numId="223">
    <w:abstractNumId w:val="102"/>
  </w:num>
  <w:num w:numId="224">
    <w:abstractNumId w:val="129"/>
  </w:num>
  <w:num w:numId="225">
    <w:abstractNumId w:val="150"/>
  </w:num>
  <w:num w:numId="226">
    <w:abstractNumId w:val="194"/>
  </w:num>
  <w:num w:numId="227">
    <w:abstractNumId w:val="171"/>
  </w:num>
  <w:num w:numId="22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1"/>
    <w:lvlOverride w:ilvl="0">
      <w:startOverride w:val="1"/>
    </w:lvlOverride>
    <w:lvlOverride w:ilvl="1"/>
    <w:lvlOverride w:ilvl="2"/>
    <w:lvlOverride w:ilvl="3"/>
    <w:lvlOverride w:ilvl="4"/>
    <w:lvlOverride w:ilvl="5"/>
    <w:lvlOverride w:ilvl="6"/>
    <w:lvlOverride w:ilvl="7"/>
    <w:lvlOverride w:ilvl="8"/>
  </w:num>
  <w:num w:numId="230">
    <w:abstractNumId w:val="174"/>
  </w:num>
  <w:num w:numId="231">
    <w:abstractNumId w:val="245"/>
  </w:num>
  <w:num w:numId="232">
    <w:abstractNumId w:val="109"/>
  </w:num>
  <w:num w:numId="233">
    <w:abstractNumId w:val="140"/>
  </w:num>
  <w:num w:numId="234">
    <w:abstractNumId w:val="69"/>
  </w:num>
  <w:num w:numId="235">
    <w:abstractNumId w:val="111"/>
  </w:num>
  <w:num w:numId="236">
    <w:abstractNumId w:val="185"/>
  </w:num>
  <w:num w:numId="237">
    <w:abstractNumId w:val="22"/>
  </w:num>
  <w:num w:numId="238">
    <w:abstractNumId w:val="161"/>
  </w:num>
  <w:num w:numId="239">
    <w:abstractNumId w:val="241"/>
  </w:num>
  <w:num w:numId="240">
    <w:abstractNumId w:val="54"/>
  </w:num>
  <w:num w:numId="241">
    <w:abstractNumId w:val="2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13"/>
  </w:num>
  <w:num w:numId="24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5"/>
  </w:num>
  <w:num w:numId="247">
    <w:abstractNumId w:val="103"/>
  </w:num>
  <w:num w:numId="248">
    <w:abstractNumId w:val="249"/>
  </w:num>
  <w:num w:numId="249">
    <w:abstractNumId w:val="63"/>
  </w:num>
  <w:num w:numId="250">
    <w:abstractNumId w:val="259"/>
  </w:num>
  <w:num w:numId="251">
    <w:abstractNumId w:val="254"/>
  </w:num>
  <w:num w:numId="252">
    <w:abstractNumId w:val="62"/>
  </w:num>
  <w:num w:numId="253">
    <w:abstractNumId w:val="226"/>
  </w:num>
  <w:num w:numId="254">
    <w:abstractNumId w:val="57"/>
  </w:num>
  <w:num w:numId="255">
    <w:abstractNumId w:val="182"/>
    <w:lvlOverride w:ilvl="0">
      <w:startOverride w:val="1"/>
      <w:lvl w:ilvl="0" w:tplc="D5FEE90C">
        <w:start w:val="1"/>
        <w:numFmt w:val="decimal"/>
        <w:lvlText w:val=""/>
        <w:lvlJc w:val="left"/>
      </w:lvl>
    </w:lvlOverride>
    <w:lvlOverride w:ilvl="1">
      <w:startOverride w:val="1"/>
      <w:lvl w:ilvl="1" w:tplc="FFEE15CE">
        <w:start w:val="1"/>
        <w:numFmt w:val="decimal"/>
        <w:lvlText w:val=""/>
        <w:lvlJc w:val="left"/>
      </w:lvl>
    </w:lvlOverride>
    <w:lvlOverride w:ilvl="2">
      <w:startOverride w:val="1"/>
      <w:lvl w:ilvl="2" w:tplc="E7FA1138">
        <w:start w:val="1"/>
        <w:numFmt w:val="decimal"/>
        <w:lvlText w:val=""/>
        <w:lvlJc w:val="left"/>
      </w:lvl>
    </w:lvlOverride>
    <w:lvlOverride w:ilvl="3">
      <w:startOverride w:val="1"/>
      <w:lvl w:ilvl="3" w:tplc="E4EA7CA8">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startOverride w:val="1"/>
      <w:lvl w:ilvl="4" w:tplc="CC44FEB6">
        <w:start w:val="1"/>
        <w:numFmt w:val="decimal"/>
        <w:lvlText w:val=""/>
        <w:lvlJc w:val="left"/>
      </w:lvl>
    </w:lvlOverride>
    <w:lvlOverride w:ilvl="5">
      <w:startOverride w:val="1"/>
      <w:lvl w:ilvl="5" w:tplc="20FCD892">
        <w:start w:val="1"/>
        <w:numFmt w:val="decimal"/>
        <w:lvlText w:val=""/>
        <w:lvlJc w:val="left"/>
      </w:lvl>
    </w:lvlOverride>
    <w:lvlOverride w:ilvl="6">
      <w:startOverride w:val="1"/>
      <w:lvl w:ilvl="6" w:tplc="0BC28C1A">
        <w:start w:val="1"/>
        <w:numFmt w:val="decimal"/>
        <w:lvlText w:val=""/>
        <w:lvlJc w:val="left"/>
      </w:lvl>
    </w:lvlOverride>
    <w:lvlOverride w:ilvl="7">
      <w:startOverride w:val="1"/>
      <w:lvl w:ilvl="7" w:tplc="253268DA">
        <w:start w:val="1"/>
        <w:numFmt w:val="decimal"/>
        <w:lvlText w:val=""/>
        <w:lvlJc w:val="left"/>
      </w:lvl>
    </w:lvlOverride>
  </w:num>
  <w:num w:numId="256">
    <w:abstractNumId w:val="14"/>
  </w:num>
  <w:num w:numId="257">
    <w:abstractNumId w:val="97"/>
  </w:num>
  <w:num w:numId="258">
    <w:abstractNumId w:val="133"/>
  </w:num>
  <w:num w:numId="259">
    <w:abstractNumId w:val="80"/>
  </w:num>
  <w:num w:numId="260">
    <w:abstractNumId w:val="195"/>
  </w:num>
  <w:num w:numId="261">
    <w:abstractNumId w:val="239"/>
  </w:num>
  <w:num w:numId="2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2"/>
  </w:num>
  <w:num w:numId="266">
    <w:abstractNumId w:val="27"/>
  </w:num>
  <w:num w:numId="267">
    <w:abstractNumId w:val="163"/>
  </w:num>
  <w:num w:numId="268">
    <w:abstractNumId w:val="94"/>
  </w:num>
  <w:num w:numId="269">
    <w:abstractNumId w:val="182"/>
  </w:num>
  <w:num w:numId="270">
    <w:abstractNumId w:val="246"/>
  </w:num>
  <w:num w:numId="271">
    <w:abstractNumId w:val="157"/>
  </w:num>
  <w:num w:numId="272">
    <w:abstractNumId w:val="38"/>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Sauter">
    <w15:presenceInfo w15:providerId="Windows Live" w15:userId="213454ae9daf1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8B"/>
    <w:rsid w:val="00000901"/>
    <w:rsid w:val="000016B6"/>
    <w:rsid w:val="0000180A"/>
    <w:rsid w:val="00001C16"/>
    <w:rsid w:val="00004475"/>
    <w:rsid w:val="000056FC"/>
    <w:rsid w:val="0000585F"/>
    <w:rsid w:val="0000724F"/>
    <w:rsid w:val="0000762F"/>
    <w:rsid w:val="000104BA"/>
    <w:rsid w:val="00010A65"/>
    <w:rsid w:val="000138DE"/>
    <w:rsid w:val="00014110"/>
    <w:rsid w:val="000141D9"/>
    <w:rsid w:val="0001564E"/>
    <w:rsid w:val="00017F83"/>
    <w:rsid w:val="0002003A"/>
    <w:rsid w:val="00021B7A"/>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43E9"/>
    <w:rsid w:val="000545BE"/>
    <w:rsid w:val="00054DA7"/>
    <w:rsid w:val="00054F72"/>
    <w:rsid w:val="00055CD0"/>
    <w:rsid w:val="00056018"/>
    <w:rsid w:val="000562A2"/>
    <w:rsid w:val="00057309"/>
    <w:rsid w:val="000575FE"/>
    <w:rsid w:val="0005760B"/>
    <w:rsid w:val="000578F9"/>
    <w:rsid w:val="00061436"/>
    <w:rsid w:val="0006182D"/>
    <w:rsid w:val="00061CA4"/>
    <w:rsid w:val="000636AE"/>
    <w:rsid w:val="000638FB"/>
    <w:rsid w:val="000712D2"/>
    <w:rsid w:val="00073FD2"/>
    <w:rsid w:val="00074257"/>
    <w:rsid w:val="000743E8"/>
    <w:rsid w:val="00077893"/>
    <w:rsid w:val="00080640"/>
    <w:rsid w:val="00080DCC"/>
    <w:rsid w:val="00081F1E"/>
    <w:rsid w:val="00082D78"/>
    <w:rsid w:val="00083AD6"/>
    <w:rsid w:val="00083AE2"/>
    <w:rsid w:val="00084149"/>
    <w:rsid w:val="00084FFD"/>
    <w:rsid w:val="00086347"/>
    <w:rsid w:val="000877BC"/>
    <w:rsid w:val="00087AFC"/>
    <w:rsid w:val="00087C78"/>
    <w:rsid w:val="00087FCC"/>
    <w:rsid w:val="00091959"/>
    <w:rsid w:val="00093000"/>
    <w:rsid w:val="00093097"/>
    <w:rsid w:val="00093650"/>
    <w:rsid w:val="00095003"/>
    <w:rsid w:val="00095AAD"/>
    <w:rsid w:val="00095C84"/>
    <w:rsid w:val="00096459"/>
    <w:rsid w:val="00096B9A"/>
    <w:rsid w:val="000979DD"/>
    <w:rsid w:val="000A04AB"/>
    <w:rsid w:val="000A1551"/>
    <w:rsid w:val="000A1767"/>
    <w:rsid w:val="000A6EBF"/>
    <w:rsid w:val="000A72C4"/>
    <w:rsid w:val="000B05A6"/>
    <w:rsid w:val="000B2D09"/>
    <w:rsid w:val="000B34ED"/>
    <w:rsid w:val="000B3E67"/>
    <w:rsid w:val="000B578A"/>
    <w:rsid w:val="000B5906"/>
    <w:rsid w:val="000B5A81"/>
    <w:rsid w:val="000B7715"/>
    <w:rsid w:val="000C043E"/>
    <w:rsid w:val="000C1908"/>
    <w:rsid w:val="000C2039"/>
    <w:rsid w:val="000C2F54"/>
    <w:rsid w:val="000C318D"/>
    <w:rsid w:val="000C3BDC"/>
    <w:rsid w:val="000C3FE4"/>
    <w:rsid w:val="000C4040"/>
    <w:rsid w:val="000C4052"/>
    <w:rsid w:val="000C426B"/>
    <w:rsid w:val="000C4BC5"/>
    <w:rsid w:val="000C56C6"/>
    <w:rsid w:val="000C608B"/>
    <w:rsid w:val="000C6C38"/>
    <w:rsid w:val="000C6EF3"/>
    <w:rsid w:val="000D0858"/>
    <w:rsid w:val="000D0B22"/>
    <w:rsid w:val="000D0E6A"/>
    <w:rsid w:val="000D13E8"/>
    <w:rsid w:val="000D1C4B"/>
    <w:rsid w:val="000D36CC"/>
    <w:rsid w:val="000D4AFE"/>
    <w:rsid w:val="000D5F31"/>
    <w:rsid w:val="000D63C3"/>
    <w:rsid w:val="000D6A5A"/>
    <w:rsid w:val="000D72DB"/>
    <w:rsid w:val="000D75B5"/>
    <w:rsid w:val="000E08A8"/>
    <w:rsid w:val="000E0A67"/>
    <w:rsid w:val="000E1B4F"/>
    <w:rsid w:val="000E1DFA"/>
    <w:rsid w:val="000E1DF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A4C"/>
    <w:rsid w:val="000F6F99"/>
    <w:rsid w:val="000F7B28"/>
    <w:rsid w:val="000F7D51"/>
    <w:rsid w:val="00100860"/>
    <w:rsid w:val="0010168D"/>
    <w:rsid w:val="00101739"/>
    <w:rsid w:val="0010236D"/>
    <w:rsid w:val="0010252F"/>
    <w:rsid w:val="00103192"/>
    <w:rsid w:val="00103C4D"/>
    <w:rsid w:val="00105DB6"/>
    <w:rsid w:val="00107D1B"/>
    <w:rsid w:val="00110ED3"/>
    <w:rsid w:val="00110F40"/>
    <w:rsid w:val="0011110D"/>
    <w:rsid w:val="00111235"/>
    <w:rsid w:val="001113F4"/>
    <w:rsid w:val="00111E51"/>
    <w:rsid w:val="00113553"/>
    <w:rsid w:val="00113AE1"/>
    <w:rsid w:val="001144B8"/>
    <w:rsid w:val="00115803"/>
    <w:rsid w:val="001167F3"/>
    <w:rsid w:val="00117C91"/>
    <w:rsid w:val="001201DA"/>
    <w:rsid w:val="001208D0"/>
    <w:rsid w:val="00122E48"/>
    <w:rsid w:val="0012368B"/>
    <w:rsid w:val="001238FA"/>
    <w:rsid w:val="00124F2C"/>
    <w:rsid w:val="001262BC"/>
    <w:rsid w:val="001267CD"/>
    <w:rsid w:val="00126E7B"/>
    <w:rsid w:val="00127CF8"/>
    <w:rsid w:val="0013130E"/>
    <w:rsid w:val="001326D0"/>
    <w:rsid w:val="00132F26"/>
    <w:rsid w:val="0013360B"/>
    <w:rsid w:val="00133D4E"/>
    <w:rsid w:val="00133DA0"/>
    <w:rsid w:val="00136290"/>
    <w:rsid w:val="00136D00"/>
    <w:rsid w:val="001406D6"/>
    <w:rsid w:val="00140A5B"/>
    <w:rsid w:val="00141911"/>
    <w:rsid w:val="00142AAB"/>
    <w:rsid w:val="0014460A"/>
    <w:rsid w:val="001450FB"/>
    <w:rsid w:val="00145524"/>
    <w:rsid w:val="0014690D"/>
    <w:rsid w:val="001505DC"/>
    <w:rsid w:val="00150E47"/>
    <w:rsid w:val="00152E54"/>
    <w:rsid w:val="00152FD0"/>
    <w:rsid w:val="001533D0"/>
    <w:rsid w:val="001545D5"/>
    <w:rsid w:val="0015464E"/>
    <w:rsid w:val="00155B72"/>
    <w:rsid w:val="00156DD9"/>
    <w:rsid w:val="00157345"/>
    <w:rsid w:val="00157571"/>
    <w:rsid w:val="0016111F"/>
    <w:rsid w:val="00161971"/>
    <w:rsid w:val="0016231E"/>
    <w:rsid w:val="00163A50"/>
    <w:rsid w:val="00163FA1"/>
    <w:rsid w:val="00164982"/>
    <w:rsid w:val="00165EC7"/>
    <w:rsid w:val="00173B60"/>
    <w:rsid w:val="00173BC6"/>
    <w:rsid w:val="00175089"/>
    <w:rsid w:val="0017636A"/>
    <w:rsid w:val="001763D5"/>
    <w:rsid w:val="00176653"/>
    <w:rsid w:val="00176739"/>
    <w:rsid w:val="001815A6"/>
    <w:rsid w:val="00181659"/>
    <w:rsid w:val="00181DC5"/>
    <w:rsid w:val="001823BC"/>
    <w:rsid w:val="00182E8E"/>
    <w:rsid w:val="00184EBE"/>
    <w:rsid w:val="001878D9"/>
    <w:rsid w:val="00187D33"/>
    <w:rsid w:val="0019068A"/>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968"/>
    <w:rsid w:val="001A6A16"/>
    <w:rsid w:val="001A6C6A"/>
    <w:rsid w:val="001A768A"/>
    <w:rsid w:val="001A7C6B"/>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4961"/>
    <w:rsid w:val="001C549A"/>
    <w:rsid w:val="001C6797"/>
    <w:rsid w:val="001C71B3"/>
    <w:rsid w:val="001C742E"/>
    <w:rsid w:val="001D3DEB"/>
    <w:rsid w:val="001D46C3"/>
    <w:rsid w:val="001D6281"/>
    <w:rsid w:val="001D7BB5"/>
    <w:rsid w:val="001D7BE2"/>
    <w:rsid w:val="001E1702"/>
    <w:rsid w:val="001E1BE1"/>
    <w:rsid w:val="001E2BEC"/>
    <w:rsid w:val="001E43BC"/>
    <w:rsid w:val="001E72C0"/>
    <w:rsid w:val="001E7360"/>
    <w:rsid w:val="001E775E"/>
    <w:rsid w:val="001F158A"/>
    <w:rsid w:val="001F2B47"/>
    <w:rsid w:val="001F3512"/>
    <w:rsid w:val="001F52B1"/>
    <w:rsid w:val="001F5548"/>
    <w:rsid w:val="001F751F"/>
    <w:rsid w:val="00200033"/>
    <w:rsid w:val="002029BE"/>
    <w:rsid w:val="00211D28"/>
    <w:rsid w:val="002121FD"/>
    <w:rsid w:val="0021273C"/>
    <w:rsid w:val="002132B9"/>
    <w:rsid w:val="00213521"/>
    <w:rsid w:val="002143B3"/>
    <w:rsid w:val="002164A0"/>
    <w:rsid w:val="002171FE"/>
    <w:rsid w:val="002208E1"/>
    <w:rsid w:val="00220925"/>
    <w:rsid w:val="00220A9C"/>
    <w:rsid w:val="00221437"/>
    <w:rsid w:val="00223751"/>
    <w:rsid w:val="00225460"/>
    <w:rsid w:val="00226194"/>
    <w:rsid w:val="002277B7"/>
    <w:rsid w:val="002279CA"/>
    <w:rsid w:val="00230130"/>
    <w:rsid w:val="002319D8"/>
    <w:rsid w:val="00232246"/>
    <w:rsid w:val="00232845"/>
    <w:rsid w:val="0023317F"/>
    <w:rsid w:val="00233539"/>
    <w:rsid w:val="002344E6"/>
    <w:rsid w:val="00234BA5"/>
    <w:rsid w:val="00235E08"/>
    <w:rsid w:val="00236522"/>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40A"/>
    <w:rsid w:val="00286E29"/>
    <w:rsid w:val="00287553"/>
    <w:rsid w:val="0029055E"/>
    <w:rsid w:val="002908D7"/>
    <w:rsid w:val="002921AC"/>
    <w:rsid w:val="00292255"/>
    <w:rsid w:val="00293434"/>
    <w:rsid w:val="00294AF5"/>
    <w:rsid w:val="00295868"/>
    <w:rsid w:val="002960B5"/>
    <w:rsid w:val="00296A45"/>
    <w:rsid w:val="00297948"/>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C32"/>
    <w:rsid w:val="002E71CD"/>
    <w:rsid w:val="002F0219"/>
    <w:rsid w:val="002F0808"/>
    <w:rsid w:val="002F264F"/>
    <w:rsid w:val="002F2A27"/>
    <w:rsid w:val="002F348C"/>
    <w:rsid w:val="002F41F6"/>
    <w:rsid w:val="002F4449"/>
    <w:rsid w:val="002F519E"/>
    <w:rsid w:val="002F66C9"/>
    <w:rsid w:val="002F75AA"/>
    <w:rsid w:val="002F77BA"/>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50D4"/>
    <w:rsid w:val="003162D5"/>
    <w:rsid w:val="00316E56"/>
    <w:rsid w:val="0031726B"/>
    <w:rsid w:val="0031743B"/>
    <w:rsid w:val="0032016B"/>
    <w:rsid w:val="00320DE3"/>
    <w:rsid w:val="00322F6F"/>
    <w:rsid w:val="00324DAB"/>
    <w:rsid w:val="0032548F"/>
    <w:rsid w:val="00330A9B"/>
    <w:rsid w:val="00332B58"/>
    <w:rsid w:val="00333E56"/>
    <w:rsid w:val="0033574D"/>
    <w:rsid w:val="0034031F"/>
    <w:rsid w:val="00340731"/>
    <w:rsid w:val="00340BCF"/>
    <w:rsid w:val="003420C6"/>
    <w:rsid w:val="00344CD0"/>
    <w:rsid w:val="00350B0C"/>
    <w:rsid w:val="0035279F"/>
    <w:rsid w:val="003535FA"/>
    <w:rsid w:val="003536A6"/>
    <w:rsid w:val="003564AD"/>
    <w:rsid w:val="00356E0A"/>
    <w:rsid w:val="00360B3B"/>
    <w:rsid w:val="0036389B"/>
    <w:rsid w:val="0036433A"/>
    <w:rsid w:val="003646B8"/>
    <w:rsid w:val="00364A78"/>
    <w:rsid w:val="00365248"/>
    <w:rsid w:val="00365633"/>
    <w:rsid w:val="0036636A"/>
    <w:rsid w:val="00367841"/>
    <w:rsid w:val="00370E02"/>
    <w:rsid w:val="003710F9"/>
    <w:rsid w:val="003727FA"/>
    <w:rsid w:val="00372996"/>
    <w:rsid w:val="003752DD"/>
    <w:rsid w:val="0037600A"/>
    <w:rsid w:val="003761F0"/>
    <w:rsid w:val="00376B97"/>
    <w:rsid w:val="00377C2A"/>
    <w:rsid w:val="00377E1A"/>
    <w:rsid w:val="003800CB"/>
    <w:rsid w:val="00381AB7"/>
    <w:rsid w:val="00381B8A"/>
    <w:rsid w:val="00382010"/>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200"/>
    <w:rsid w:val="003C28AF"/>
    <w:rsid w:val="003C30CA"/>
    <w:rsid w:val="003C3C30"/>
    <w:rsid w:val="003C4520"/>
    <w:rsid w:val="003C471E"/>
    <w:rsid w:val="003C4E7C"/>
    <w:rsid w:val="003C4E95"/>
    <w:rsid w:val="003C5330"/>
    <w:rsid w:val="003C567D"/>
    <w:rsid w:val="003C5888"/>
    <w:rsid w:val="003D07DB"/>
    <w:rsid w:val="003D2D0A"/>
    <w:rsid w:val="003D4627"/>
    <w:rsid w:val="003D51E6"/>
    <w:rsid w:val="003D54EE"/>
    <w:rsid w:val="003D6523"/>
    <w:rsid w:val="003D69D9"/>
    <w:rsid w:val="003D7649"/>
    <w:rsid w:val="003D76C8"/>
    <w:rsid w:val="003E078C"/>
    <w:rsid w:val="003E13C7"/>
    <w:rsid w:val="003E194A"/>
    <w:rsid w:val="003E1F67"/>
    <w:rsid w:val="003E41D1"/>
    <w:rsid w:val="003E4339"/>
    <w:rsid w:val="003E5180"/>
    <w:rsid w:val="003E543F"/>
    <w:rsid w:val="003E5EFE"/>
    <w:rsid w:val="003E5F67"/>
    <w:rsid w:val="003E6996"/>
    <w:rsid w:val="003F0601"/>
    <w:rsid w:val="003F2E7E"/>
    <w:rsid w:val="003F61D2"/>
    <w:rsid w:val="003F6D24"/>
    <w:rsid w:val="0040183D"/>
    <w:rsid w:val="0040234D"/>
    <w:rsid w:val="00402972"/>
    <w:rsid w:val="00403238"/>
    <w:rsid w:val="004046C4"/>
    <w:rsid w:val="00404C7A"/>
    <w:rsid w:val="00404CA1"/>
    <w:rsid w:val="00404CBD"/>
    <w:rsid w:val="00404EA3"/>
    <w:rsid w:val="004050EF"/>
    <w:rsid w:val="004051E5"/>
    <w:rsid w:val="0040582C"/>
    <w:rsid w:val="00405E50"/>
    <w:rsid w:val="00406A2B"/>
    <w:rsid w:val="004071BF"/>
    <w:rsid w:val="0041012A"/>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282A"/>
    <w:rsid w:val="00443A2E"/>
    <w:rsid w:val="00443BDF"/>
    <w:rsid w:val="00443BE3"/>
    <w:rsid w:val="00443E67"/>
    <w:rsid w:val="00444364"/>
    <w:rsid w:val="004444F6"/>
    <w:rsid w:val="00444E62"/>
    <w:rsid w:val="0044530D"/>
    <w:rsid w:val="0044547E"/>
    <w:rsid w:val="004469BC"/>
    <w:rsid w:val="00446D19"/>
    <w:rsid w:val="00447162"/>
    <w:rsid w:val="0044718C"/>
    <w:rsid w:val="004479E6"/>
    <w:rsid w:val="0045274A"/>
    <w:rsid w:val="0045290D"/>
    <w:rsid w:val="0045321A"/>
    <w:rsid w:val="0045340F"/>
    <w:rsid w:val="00453F01"/>
    <w:rsid w:val="00454796"/>
    <w:rsid w:val="0045535A"/>
    <w:rsid w:val="0045537D"/>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557D"/>
    <w:rsid w:val="004C66CE"/>
    <w:rsid w:val="004C71AB"/>
    <w:rsid w:val="004C775B"/>
    <w:rsid w:val="004C78B8"/>
    <w:rsid w:val="004D1997"/>
    <w:rsid w:val="004D2845"/>
    <w:rsid w:val="004D3269"/>
    <w:rsid w:val="004D36A0"/>
    <w:rsid w:val="004D4F39"/>
    <w:rsid w:val="004D6E38"/>
    <w:rsid w:val="004D715F"/>
    <w:rsid w:val="004D72E1"/>
    <w:rsid w:val="004E020D"/>
    <w:rsid w:val="004E22C7"/>
    <w:rsid w:val="004E275B"/>
    <w:rsid w:val="004E2B3C"/>
    <w:rsid w:val="004E34F8"/>
    <w:rsid w:val="004E38F7"/>
    <w:rsid w:val="004E3F4A"/>
    <w:rsid w:val="004E47F6"/>
    <w:rsid w:val="004E6895"/>
    <w:rsid w:val="004F059F"/>
    <w:rsid w:val="004F18A1"/>
    <w:rsid w:val="004F391A"/>
    <w:rsid w:val="004F42E5"/>
    <w:rsid w:val="004F49E8"/>
    <w:rsid w:val="004F596E"/>
    <w:rsid w:val="004F5F92"/>
    <w:rsid w:val="004F6344"/>
    <w:rsid w:val="004F67A4"/>
    <w:rsid w:val="004F69F8"/>
    <w:rsid w:val="004F77EE"/>
    <w:rsid w:val="004F7E86"/>
    <w:rsid w:val="005019FF"/>
    <w:rsid w:val="0051015E"/>
    <w:rsid w:val="00510B89"/>
    <w:rsid w:val="00510D7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F28"/>
    <w:rsid w:val="005272ED"/>
    <w:rsid w:val="0053120B"/>
    <w:rsid w:val="00532006"/>
    <w:rsid w:val="00533C91"/>
    <w:rsid w:val="005341AF"/>
    <w:rsid w:val="0053634F"/>
    <w:rsid w:val="00540867"/>
    <w:rsid w:val="00540E81"/>
    <w:rsid w:val="00551E65"/>
    <w:rsid w:val="00551EA6"/>
    <w:rsid w:val="005527C5"/>
    <w:rsid w:val="00555A4B"/>
    <w:rsid w:val="0055726A"/>
    <w:rsid w:val="0055774E"/>
    <w:rsid w:val="00560581"/>
    <w:rsid w:val="00560E08"/>
    <w:rsid w:val="00561751"/>
    <w:rsid w:val="00563473"/>
    <w:rsid w:val="00563ACF"/>
    <w:rsid w:val="0056433C"/>
    <w:rsid w:val="00564BC8"/>
    <w:rsid w:val="005654E3"/>
    <w:rsid w:val="00565938"/>
    <w:rsid w:val="005721DD"/>
    <w:rsid w:val="00573B37"/>
    <w:rsid w:val="00573C6A"/>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9BB"/>
    <w:rsid w:val="005A7ABC"/>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753B"/>
    <w:rsid w:val="005F77AF"/>
    <w:rsid w:val="005F796D"/>
    <w:rsid w:val="006002DF"/>
    <w:rsid w:val="00602A30"/>
    <w:rsid w:val="00602E16"/>
    <w:rsid w:val="00603279"/>
    <w:rsid w:val="006038D6"/>
    <w:rsid w:val="0060409A"/>
    <w:rsid w:val="006044D8"/>
    <w:rsid w:val="006051B2"/>
    <w:rsid w:val="00605BB0"/>
    <w:rsid w:val="0060609D"/>
    <w:rsid w:val="006065B3"/>
    <w:rsid w:val="006065F6"/>
    <w:rsid w:val="006068F5"/>
    <w:rsid w:val="0060747F"/>
    <w:rsid w:val="00610741"/>
    <w:rsid w:val="00610BB8"/>
    <w:rsid w:val="00610EBF"/>
    <w:rsid w:val="00611EBC"/>
    <w:rsid w:val="00613351"/>
    <w:rsid w:val="00613DE5"/>
    <w:rsid w:val="00613F98"/>
    <w:rsid w:val="00620D9B"/>
    <w:rsid w:val="00620E32"/>
    <w:rsid w:val="00621D4F"/>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960"/>
    <w:rsid w:val="0065129F"/>
    <w:rsid w:val="00651B96"/>
    <w:rsid w:val="006523C7"/>
    <w:rsid w:val="00652660"/>
    <w:rsid w:val="0065343C"/>
    <w:rsid w:val="00654450"/>
    <w:rsid w:val="0065460E"/>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EFE"/>
    <w:rsid w:val="00677EFC"/>
    <w:rsid w:val="006823CA"/>
    <w:rsid w:val="006851A3"/>
    <w:rsid w:val="006851DB"/>
    <w:rsid w:val="00685C32"/>
    <w:rsid w:val="00686BE8"/>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4C40"/>
    <w:rsid w:val="006B4FA0"/>
    <w:rsid w:val="006B5790"/>
    <w:rsid w:val="006B6EA4"/>
    <w:rsid w:val="006C023C"/>
    <w:rsid w:val="006C14D0"/>
    <w:rsid w:val="006C202B"/>
    <w:rsid w:val="006C227A"/>
    <w:rsid w:val="006C2C59"/>
    <w:rsid w:val="006C2EAE"/>
    <w:rsid w:val="006C4033"/>
    <w:rsid w:val="006C4566"/>
    <w:rsid w:val="006C592C"/>
    <w:rsid w:val="006C59AA"/>
    <w:rsid w:val="006C5C0C"/>
    <w:rsid w:val="006C71C5"/>
    <w:rsid w:val="006D0863"/>
    <w:rsid w:val="006D0872"/>
    <w:rsid w:val="006D30AC"/>
    <w:rsid w:val="006D3C02"/>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45D4"/>
    <w:rsid w:val="006F5895"/>
    <w:rsid w:val="006F5F6E"/>
    <w:rsid w:val="006F70D3"/>
    <w:rsid w:val="007002A1"/>
    <w:rsid w:val="00700BF6"/>
    <w:rsid w:val="00700E26"/>
    <w:rsid w:val="007019DD"/>
    <w:rsid w:val="00702F02"/>
    <w:rsid w:val="00703C85"/>
    <w:rsid w:val="0070683C"/>
    <w:rsid w:val="00706AA9"/>
    <w:rsid w:val="00706AC8"/>
    <w:rsid w:val="0070743F"/>
    <w:rsid w:val="00707A6C"/>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273F"/>
    <w:rsid w:val="00733F6B"/>
    <w:rsid w:val="00734459"/>
    <w:rsid w:val="00734A66"/>
    <w:rsid w:val="00734FE5"/>
    <w:rsid w:val="00735446"/>
    <w:rsid w:val="00736F40"/>
    <w:rsid w:val="007370F5"/>
    <w:rsid w:val="007375B3"/>
    <w:rsid w:val="00741F73"/>
    <w:rsid w:val="007420D5"/>
    <w:rsid w:val="00742CBE"/>
    <w:rsid w:val="00743A34"/>
    <w:rsid w:val="0074433F"/>
    <w:rsid w:val="00744CC6"/>
    <w:rsid w:val="00745303"/>
    <w:rsid w:val="00746AE4"/>
    <w:rsid w:val="00750AAE"/>
    <w:rsid w:val="0075233D"/>
    <w:rsid w:val="0075310F"/>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D2F"/>
    <w:rsid w:val="007921A9"/>
    <w:rsid w:val="00792961"/>
    <w:rsid w:val="00792BF5"/>
    <w:rsid w:val="00793C29"/>
    <w:rsid w:val="00794D40"/>
    <w:rsid w:val="00797FD6"/>
    <w:rsid w:val="007A0DD4"/>
    <w:rsid w:val="007A1D55"/>
    <w:rsid w:val="007A236A"/>
    <w:rsid w:val="007A2643"/>
    <w:rsid w:val="007A2769"/>
    <w:rsid w:val="007A5E37"/>
    <w:rsid w:val="007A5EBC"/>
    <w:rsid w:val="007A5F87"/>
    <w:rsid w:val="007A67CC"/>
    <w:rsid w:val="007A68E4"/>
    <w:rsid w:val="007B0AB6"/>
    <w:rsid w:val="007B244D"/>
    <w:rsid w:val="007B33CA"/>
    <w:rsid w:val="007B3DEE"/>
    <w:rsid w:val="007B4F12"/>
    <w:rsid w:val="007B53D1"/>
    <w:rsid w:val="007C0523"/>
    <w:rsid w:val="007C3597"/>
    <w:rsid w:val="007C3969"/>
    <w:rsid w:val="007C399C"/>
    <w:rsid w:val="007C5A41"/>
    <w:rsid w:val="007C5DE7"/>
    <w:rsid w:val="007C654E"/>
    <w:rsid w:val="007D073C"/>
    <w:rsid w:val="007D07D7"/>
    <w:rsid w:val="007D0900"/>
    <w:rsid w:val="007D2567"/>
    <w:rsid w:val="007D3DFE"/>
    <w:rsid w:val="007D3F20"/>
    <w:rsid w:val="007D4721"/>
    <w:rsid w:val="007D4FDE"/>
    <w:rsid w:val="007D52E9"/>
    <w:rsid w:val="007D58A8"/>
    <w:rsid w:val="007D5B1A"/>
    <w:rsid w:val="007D6DFD"/>
    <w:rsid w:val="007D7AFC"/>
    <w:rsid w:val="007E01D0"/>
    <w:rsid w:val="007E02E8"/>
    <w:rsid w:val="007E14C0"/>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362"/>
    <w:rsid w:val="00805A71"/>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1F27"/>
    <w:rsid w:val="008328F3"/>
    <w:rsid w:val="00833254"/>
    <w:rsid w:val="008333DB"/>
    <w:rsid w:val="008347D6"/>
    <w:rsid w:val="00834D3A"/>
    <w:rsid w:val="00834F59"/>
    <w:rsid w:val="00835097"/>
    <w:rsid w:val="00835AF4"/>
    <w:rsid w:val="00840D84"/>
    <w:rsid w:val="00840FDF"/>
    <w:rsid w:val="008410A0"/>
    <w:rsid w:val="00842D42"/>
    <w:rsid w:val="00844B84"/>
    <w:rsid w:val="008456F3"/>
    <w:rsid w:val="00845D74"/>
    <w:rsid w:val="00847DA1"/>
    <w:rsid w:val="008508DC"/>
    <w:rsid w:val="0085119E"/>
    <w:rsid w:val="00851455"/>
    <w:rsid w:val="008531AA"/>
    <w:rsid w:val="008536A8"/>
    <w:rsid w:val="0085574A"/>
    <w:rsid w:val="00855F92"/>
    <w:rsid w:val="00856213"/>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3777"/>
    <w:rsid w:val="00894222"/>
    <w:rsid w:val="00895041"/>
    <w:rsid w:val="00895C09"/>
    <w:rsid w:val="00897009"/>
    <w:rsid w:val="008A0177"/>
    <w:rsid w:val="008A2EAD"/>
    <w:rsid w:val="008A39C3"/>
    <w:rsid w:val="008A5EC4"/>
    <w:rsid w:val="008A6696"/>
    <w:rsid w:val="008A6A7F"/>
    <w:rsid w:val="008A6CB7"/>
    <w:rsid w:val="008A7EE7"/>
    <w:rsid w:val="008B10B8"/>
    <w:rsid w:val="008B15E4"/>
    <w:rsid w:val="008B27BB"/>
    <w:rsid w:val="008B337C"/>
    <w:rsid w:val="008B3E36"/>
    <w:rsid w:val="008B460A"/>
    <w:rsid w:val="008B6101"/>
    <w:rsid w:val="008C1E4C"/>
    <w:rsid w:val="008C2A87"/>
    <w:rsid w:val="008C2D12"/>
    <w:rsid w:val="008C2D90"/>
    <w:rsid w:val="008C572A"/>
    <w:rsid w:val="008C5C0D"/>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82B"/>
    <w:rsid w:val="008E33FD"/>
    <w:rsid w:val="008E3765"/>
    <w:rsid w:val="008E3999"/>
    <w:rsid w:val="008E3BC0"/>
    <w:rsid w:val="008E4FA3"/>
    <w:rsid w:val="008E5884"/>
    <w:rsid w:val="008E63A9"/>
    <w:rsid w:val="008E65C0"/>
    <w:rsid w:val="008E6774"/>
    <w:rsid w:val="008E78D9"/>
    <w:rsid w:val="008E7B9A"/>
    <w:rsid w:val="008F2271"/>
    <w:rsid w:val="008F3A08"/>
    <w:rsid w:val="008F44AE"/>
    <w:rsid w:val="008F6557"/>
    <w:rsid w:val="008F7EC6"/>
    <w:rsid w:val="00900B62"/>
    <w:rsid w:val="00900D76"/>
    <w:rsid w:val="00900E2D"/>
    <w:rsid w:val="00901263"/>
    <w:rsid w:val="00901470"/>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D2C"/>
    <w:rsid w:val="00922DDD"/>
    <w:rsid w:val="00923397"/>
    <w:rsid w:val="00926019"/>
    <w:rsid w:val="0092782D"/>
    <w:rsid w:val="00927FEC"/>
    <w:rsid w:val="009316FD"/>
    <w:rsid w:val="0093720C"/>
    <w:rsid w:val="00937852"/>
    <w:rsid w:val="009415E2"/>
    <w:rsid w:val="00941F49"/>
    <w:rsid w:val="009424F7"/>
    <w:rsid w:val="0094276F"/>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2E29"/>
    <w:rsid w:val="0099303A"/>
    <w:rsid w:val="00994A31"/>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3DF4"/>
    <w:rsid w:val="009D540A"/>
    <w:rsid w:val="009D63B2"/>
    <w:rsid w:val="009D6EEF"/>
    <w:rsid w:val="009E0400"/>
    <w:rsid w:val="009E1253"/>
    <w:rsid w:val="009E13D8"/>
    <w:rsid w:val="009E252B"/>
    <w:rsid w:val="009E2E90"/>
    <w:rsid w:val="009E2EC3"/>
    <w:rsid w:val="009E3F38"/>
    <w:rsid w:val="009E564F"/>
    <w:rsid w:val="009E640E"/>
    <w:rsid w:val="009E645A"/>
    <w:rsid w:val="009F0B1D"/>
    <w:rsid w:val="009F1AC6"/>
    <w:rsid w:val="009F24B2"/>
    <w:rsid w:val="009F27F9"/>
    <w:rsid w:val="009F3B46"/>
    <w:rsid w:val="009F3DAA"/>
    <w:rsid w:val="009F3DC2"/>
    <w:rsid w:val="009F45BE"/>
    <w:rsid w:val="009F5D63"/>
    <w:rsid w:val="009F5D71"/>
    <w:rsid w:val="009F6ED3"/>
    <w:rsid w:val="009F7481"/>
    <w:rsid w:val="00A01F4F"/>
    <w:rsid w:val="00A032D0"/>
    <w:rsid w:val="00A03A9B"/>
    <w:rsid w:val="00A044B0"/>
    <w:rsid w:val="00A045EB"/>
    <w:rsid w:val="00A052C3"/>
    <w:rsid w:val="00A05A31"/>
    <w:rsid w:val="00A070C1"/>
    <w:rsid w:val="00A10569"/>
    <w:rsid w:val="00A12842"/>
    <w:rsid w:val="00A17B7D"/>
    <w:rsid w:val="00A219E5"/>
    <w:rsid w:val="00A22049"/>
    <w:rsid w:val="00A24733"/>
    <w:rsid w:val="00A2484E"/>
    <w:rsid w:val="00A24E91"/>
    <w:rsid w:val="00A25C63"/>
    <w:rsid w:val="00A25CC0"/>
    <w:rsid w:val="00A26C62"/>
    <w:rsid w:val="00A2719F"/>
    <w:rsid w:val="00A27608"/>
    <w:rsid w:val="00A27ACE"/>
    <w:rsid w:val="00A32039"/>
    <w:rsid w:val="00A3325F"/>
    <w:rsid w:val="00A34DA7"/>
    <w:rsid w:val="00A35DB4"/>
    <w:rsid w:val="00A3794F"/>
    <w:rsid w:val="00A4014B"/>
    <w:rsid w:val="00A4157E"/>
    <w:rsid w:val="00A42F6B"/>
    <w:rsid w:val="00A43999"/>
    <w:rsid w:val="00A4508A"/>
    <w:rsid w:val="00A452BC"/>
    <w:rsid w:val="00A47BFD"/>
    <w:rsid w:val="00A514E2"/>
    <w:rsid w:val="00A5179F"/>
    <w:rsid w:val="00A517F6"/>
    <w:rsid w:val="00A52AB2"/>
    <w:rsid w:val="00A547C8"/>
    <w:rsid w:val="00A5541E"/>
    <w:rsid w:val="00A554F8"/>
    <w:rsid w:val="00A5579A"/>
    <w:rsid w:val="00A55CF2"/>
    <w:rsid w:val="00A55EAC"/>
    <w:rsid w:val="00A56879"/>
    <w:rsid w:val="00A57681"/>
    <w:rsid w:val="00A61CAC"/>
    <w:rsid w:val="00A61E94"/>
    <w:rsid w:val="00A62CB4"/>
    <w:rsid w:val="00A6568A"/>
    <w:rsid w:val="00A70793"/>
    <w:rsid w:val="00A70AC9"/>
    <w:rsid w:val="00A7286A"/>
    <w:rsid w:val="00A72FFD"/>
    <w:rsid w:val="00A743AA"/>
    <w:rsid w:val="00A74525"/>
    <w:rsid w:val="00A74924"/>
    <w:rsid w:val="00A74C97"/>
    <w:rsid w:val="00A75594"/>
    <w:rsid w:val="00A76C7E"/>
    <w:rsid w:val="00A7787D"/>
    <w:rsid w:val="00A80387"/>
    <w:rsid w:val="00A81B27"/>
    <w:rsid w:val="00A822CE"/>
    <w:rsid w:val="00A82357"/>
    <w:rsid w:val="00A82EB1"/>
    <w:rsid w:val="00A83387"/>
    <w:rsid w:val="00A83DB8"/>
    <w:rsid w:val="00A84773"/>
    <w:rsid w:val="00A84857"/>
    <w:rsid w:val="00A87A53"/>
    <w:rsid w:val="00A9071B"/>
    <w:rsid w:val="00A915A9"/>
    <w:rsid w:val="00A91AE4"/>
    <w:rsid w:val="00A91C0A"/>
    <w:rsid w:val="00A937E4"/>
    <w:rsid w:val="00A93B7D"/>
    <w:rsid w:val="00A93C5D"/>
    <w:rsid w:val="00A93D82"/>
    <w:rsid w:val="00A941E4"/>
    <w:rsid w:val="00A94A4F"/>
    <w:rsid w:val="00A95AAC"/>
    <w:rsid w:val="00A9614E"/>
    <w:rsid w:val="00A967D6"/>
    <w:rsid w:val="00A978D3"/>
    <w:rsid w:val="00A97E41"/>
    <w:rsid w:val="00AA123C"/>
    <w:rsid w:val="00AA1389"/>
    <w:rsid w:val="00AA2D10"/>
    <w:rsid w:val="00AA401F"/>
    <w:rsid w:val="00AA6846"/>
    <w:rsid w:val="00AB01AB"/>
    <w:rsid w:val="00AB05E0"/>
    <w:rsid w:val="00AB1620"/>
    <w:rsid w:val="00AB4C97"/>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1F0F"/>
    <w:rsid w:val="00AF2562"/>
    <w:rsid w:val="00AF5A62"/>
    <w:rsid w:val="00AF6679"/>
    <w:rsid w:val="00AF775D"/>
    <w:rsid w:val="00AF7E71"/>
    <w:rsid w:val="00B000DC"/>
    <w:rsid w:val="00B007F8"/>
    <w:rsid w:val="00B00F35"/>
    <w:rsid w:val="00B01D66"/>
    <w:rsid w:val="00B02333"/>
    <w:rsid w:val="00B031CB"/>
    <w:rsid w:val="00B032F0"/>
    <w:rsid w:val="00B05A41"/>
    <w:rsid w:val="00B067A8"/>
    <w:rsid w:val="00B06A1B"/>
    <w:rsid w:val="00B11625"/>
    <w:rsid w:val="00B15B99"/>
    <w:rsid w:val="00B15DBC"/>
    <w:rsid w:val="00B15DD4"/>
    <w:rsid w:val="00B16050"/>
    <w:rsid w:val="00B16A5E"/>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71A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905"/>
    <w:rsid w:val="00B85056"/>
    <w:rsid w:val="00B85664"/>
    <w:rsid w:val="00B85C16"/>
    <w:rsid w:val="00B860B6"/>
    <w:rsid w:val="00B86611"/>
    <w:rsid w:val="00B86B07"/>
    <w:rsid w:val="00B9017B"/>
    <w:rsid w:val="00B90335"/>
    <w:rsid w:val="00B91439"/>
    <w:rsid w:val="00B944ED"/>
    <w:rsid w:val="00B95D7C"/>
    <w:rsid w:val="00B960A4"/>
    <w:rsid w:val="00B97D61"/>
    <w:rsid w:val="00B97E13"/>
    <w:rsid w:val="00BA28BE"/>
    <w:rsid w:val="00BA4B0B"/>
    <w:rsid w:val="00BA632D"/>
    <w:rsid w:val="00BA6BEF"/>
    <w:rsid w:val="00BB06A3"/>
    <w:rsid w:val="00BB0CBC"/>
    <w:rsid w:val="00BB0DA7"/>
    <w:rsid w:val="00BB0E76"/>
    <w:rsid w:val="00BB2730"/>
    <w:rsid w:val="00BB459C"/>
    <w:rsid w:val="00BB5055"/>
    <w:rsid w:val="00BB6A42"/>
    <w:rsid w:val="00BC0651"/>
    <w:rsid w:val="00BC0827"/>
    <w:rsid w:val="00BC1428"/>
    <w:rsid w:val="00BC1789"/>
    <w:rsid w:val="00BC2C77"/>
    <w:rsid w:val="00BC3F79"/>
    <w:rsid w:val="00BC4015"/>
    <w:rsid w:val="00BC5705"/>
    <w:rsid w:val="00BC5D36"/>
    <w:rsid w:val="00BC669B"/>
    <w:rsid w:val="00BC7CF9"/>
    <w:rsid w:val="00BD04D5"/>
    <w:rsid w:val="00BD0712"/>
    <w:rsid w:val="00BD0AEB"/>
    <w:rsid w:val="00BD17E2"/>
    <w:rsid w:val="00BD3434"/>
    <w:rsid w:val="00BD37D2"/>
    <w:rsid w:val="00BD3A68"/>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2952"/>
    <w:rsid w:val="00BF2E4B"/>
    <w:rsid w:val="00BF3124"/>
    <w:rsid w:val="00BF39C7"/>
    <w:rsid w:val="00BF43D5"/>
    <w:rsid w:val="00BF5E52"/>
    <w:rsid w:val="00BF6E9C"/>
    <w:rsid w:val="00BF793A"/>
    <w:rsid w:val="00C008A9"/>
    <w:rsid w:val="00C00CD4"/>
    <w:rsid w:val="00C01016"/>
    <w:rsid w:val="00C01411"/>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939"/>
    <w:rsid w:val="00C201B9"/>
    <w:rsid w:val="00C207B2"/>
    <w:rsid w:val="00C20952"/>
    <w:rsid w:val="00C218CF"/>
    <w:rsid w:val="00C22402"/>
    <w:rsid w:val="00C22B5F"/>
    <w:rsid w:val="00C22FDB"/>
    <w:rsid w:val="00C2466D"/>
    <w:rsid w:val="00C25BE2"/>
    <w:rsid w:val="00C25C13"/>
    <w:rsid w:val="00C2723A"/>
    <w:rsid w:val="00C27BBB"/>
    <w:rsid w:val="00C3204A"/>
    <w:rsid w:val="00C32E6C"/>
    <w:rsid w:val="00C35B46"/>
    <w:rsid w:val="00C35C3F"/>
    <w:rsid w:val="00C36B7E"/>
    <w:rsid w:val="00C36E45"/>
    <w:rsid w:val="00C372AC"/>
    <w:rsid w:val="00C37496"/>
    <w:rsid w:val="00C4003A"/>
    <w:rsid w:val="00C40049"/>
    <w:rsid w:val="00C4068D"/>
    <w:rsid w:val="00C42286"/>
    <w:rsid w:val="00C43BAB"/>
    <w:rsid w:val="00C44ACE"/>
    <w:rsid w:val="00C45285"/>
    <w:rsid w:val="00C45FC0"/>
    <w:rsid w:val="00C5069D"/>
    <w:rsid w:val="00C50CF4"/>
    <w:rsid w:val="00C51017"/>
    <w:rsid w:val="00C51EB2"/>
    <w:rsid w:val="00C51FB3"/>
    <w:rsid w:val="00C52376"/>
    <w:rsid w:val="00C52848"/>
    <w:rsid w:val="00C52D87"/>
    <w:rsid w:val="00C5354F"/>
    <w:rsid w:val="00C53904"/>
    <w:rsid w:val="00C54C5B"/>
    <w:rsid w:val="00C55697"/>
    <w:rsid w:val="00C559DA"/>
    <w:rsid w:val="00C57417"/>
    <w:rsid w:val="00C57B5C"/>
    <w:rsid w:val="00C57CBE"/>
    <w:rsid w:val="00C611FA"/>
    <w:rsid w:val="00C629CC"/>
    <w:rsid w:val="00C64A4C"/>
    <w:rsid w:val="00C657E2"/>
    <w:rsid w:val="00C66A20"/>
    <w:rsid w:val="00C66C40"/>
    <w:rsid w:val="00C7099B"/>
    <w:rsid w:val="00C71E9E"/>
    <w:rsid w:val="00C74859"/>
    <w:rsid w:val="00C74C69"/>
    <w:rsid w:val="00C75C3D"/>
    <w:rsid w:val="00C7728B"/>
    <w:rsid w:val="00C81CEB"/>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41BA"/>
    <w:rsid w:val="00CA5F79"/>
    <w:rsid w:val="00CA6894"/>
    <w:rsid w:val="00CA7142"/>
    <w:rsid w:val="00CA749E"/>
    <w:rsid w:val="00CB0869"/>
    <w:rsid w:val="00CB1A47"/>
    <w:rsid w:val="00CB2A3C"/>
    <w:rsid w:val="00CB356C"/>
    <w:rsid w:val="00CB4024"/>
    <w:rsid w:val="00CB4A41"/>
    <w:rsid w:val="00CB58B8"/>
    <w:rsid w:val="00CB6467"/>
    <w:rsid w:val="00CB6EBC"/>
    <w:rsid w:val="00CB7F4B"/>
    <w:rsid w:val="00CC1A38"/>
    <w:rsid w:val="00CC1FC3"/>
    <w:rsid w:val="00CC226D"/>
    <w:rsid w:val="00CC28C4"/>
    <w:rsid w:val="00CC3210"/>
    <w:rsid w:val="00CC3A7C"/>
    <w:rsid w:val="00CC401A"/>
    <w:rsid w:val="00CC4708"/>
    <w:rsid w:val="00CC52EB"/>
    <w:rsid w:val="00CC6C43"/>
    <w:rsid w:val="00CD03FE"/>
    <w:rsid w:val="00CD085E"/>
    <w:rsid w:val="00CD120E"/>
    <w:rsid w:val="00CD3984"/>
    <w:rsid w:val="00CD48EF"/>
    <w:rsid w:val="00CD61C6"/>
    <w:rsid w:val="00CE0506"/>
    <w:rsid w:val="00CE08C8"/>
    <w:rsid w:val="00CE11AD"/>
    <w:rsid w:val="00CE5879"/>
    <w:rsid w:val="00CE6279"/>
    <w:rsid w:val="00CE6DA2"/>
    <w:rsid w:val="00CF145B"/>
    <w:rsid w:val="00CF311E"/>
    <w:rsid w:val="00CF3661"/>
    <w:rsid w:val="00CF440F"/>
    <w:rsid w:val="00CF443C"/>
    <w:rsid w:val="00CF4774"/>
    <w:rsid w:val="00CF5300"/>
    <w:rsid w:val="00CF63AE"/>
    <w:rsid w:val="00CF6781"/>
    <w:rsid w:val="00D00523"/>
    <w:rsid w:val="00D0078B"/>
    <w:rsid w:val="00D014BE"/>
    <w:rsid w:val="00D01A10"/>
    <w:rsid w:val="00D02C91"/>
    <w:rsid w:val="00D048A2"/>
    <w:rsid w:val="00D04D65"/>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389C"/>
    <w:rsid w:val="00D43CDC"/>
    <w:rsid w:val="00D458FB"/>
    <w:rsid w:val="00D4604D"/>
    <w:rsid w:val="00D46311"/>
    <w:rsid w:val="00D4658D"/>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592B"/>
    <w:rsid w:val="00D66EE5"/>
    <w:rsid w:val="00D67223"/>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30B1"/>
    <w:rsid w:val="00D942B8"/>
    <w:rsid w:val="00D9704F"/>
    <w:rsid w:val="00DA0407"/>
    <w:rsid w:val="00DA074D"/>
    <w:rsid w:val="00DA08DD"/>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B24"/>
    <w:rsid w:val="00DD0EFC"/>
    <w:rsid w:val="00DD10EB"/>
    <w:rsid w:val="00DD16E5"/>
    <w:rsid w:val="00DD2541"/>
    <w:rsid w:val="00DD4169"/>
    <w:rsid w:val="00DD5441"/>
    <w:rsid w:val="00DD54AB"/>
    <w:rsid w:val="00DD5883"/>
    <w:rsid w:val="00DD6114"/>
    <w:rsid w:val="00DD6EFA"/>
    <w:rsid w:val="00DD6F00"/>
    <w:rsid w:val="00DD7981"/>
    <w:rsid w:val="00DD7BC2"/>
    <w:rsid w:val="00DE1B92"/>
    <w:rsid w:val="00DE2D60"/>
    <w:rsid w:val="00DE31D1"/>
    <w:rsid w:val="00DE4713"/>
    <w:rsid w:val="00DE5110"/>
    <w:rsid w:val="00DE5DB3"/>
    <w:rsid w:val="00DE6114"/>
    <w:rsid w:val="00DE64CF"/>
    <w:rsid w:val="00DE7D8C"/>
    <w:rsid w:val="00DF01A2"/>
    <w:rsid w:val="00DF0EA4"/>
    <w:rsid w:val="00DF0F62"/>
    <w:rsid w:val="00DF2013"/>
    <w:rsid w:val="00DF2326"/>
    <w:rsid w:val="00DF4853"/>
    <w:rsid w:val="00DF4EC5"/>
    <w:rsid w:val="00DF5931"/>
    <w:rsid w:val="00DF6006"/>
    <w:rsid w:val="00DF62CB"/>
    <w:rsid w:val="00DF7326"/>
    <w:rsid w:val="00E00BD5"/>
    <w:rsid w:val="00E0234C"/>
    <w:rsid w:val="00E02C1A"/>
    <w:rsid w:val="00E038EE"/>
    <w:rsid w:val="00E03A05"/>
    <w:rsid w:val="00E0571C"/>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91D"/>
    <w:rsid w:val="00E33EAF"/>
    <w:rsid w:val="00E35110"/>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55A5"/>
    <w:rsid w:val="00E556ED"/>
    <w:rsid w:val="00E56E2A"/>
    <w:rsid w:val="00E60531"/>
    <w:rsid w:val="00E60FB6"/>
    <w:rsid w:val="00E61721"/>
    <w:rsid w:val="00E623ED"/>
    <w:rsid w:val="00E63117"/>
    <w:rsid w:val="00E640DD"/>
    <w:rsid w:val="00E652B8"/>
    <w:rsid w:val="00E655DA"/>
    <w:rsid w:val="00E65A33"/>
    <w:rsid w:val="00E673CF"/>
    <w:rsid w:val="00E67781"/>
    <w:rsid w:val="00E71B2C"/>
    <w:rsid w:val="00E71DF4"/>
    <w:rsid w:val="00E71EDB"/>
    <w:rsid w:val="00E73045"/>
    <w:rsid w:val="00E74301"/>
    <w:rsid w:val="00E756E6"/>
    <w:rsid w:val="00E8110B"/>
    <w:rsid w:val="00E81D6A"/>
    <w:rsid w:val="00E81DA6"/>
    <w:rsid w:val="00E841B2"/>
    <w:rsid w:val="00E8430F"/>
    <w:rsid w:val="00E84427"/>
    <w:rsid w:val="00E85B2A"/>
    <w:rsid w:val="00E85E9D"/>
    <w:rsid w:val="00E862E7"/>
    <w:rsid w:val="00E87FB4"/>
    <w:rsid w:val="00E903B4"/>
    <w:rsid w:val="00E908BA"/>
    <w:rsid w:val="00E91510"/>
    <w:rsid w:val="00E91D29"/>
    <w:rsid w:val="00E91EFF"/>
    <w:rsid w:val="00E936D4"/>
    <w:rsid w:val="00E952B7"/>
    <w:rsid w:val="00E9550F"/>
    <w:rsid w:val="00E95A81"/>
    <w:rsid w:val="00E95D2A"/>
    <w:rsid w:val="00E96573"/>
    <w:rsid w:val="00E96D37"/>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4A2E"/>
    <w:rsid w:val="00ED6FBA"/>
    <w:rsid w:val="00ED7A11"/>
    <w:rsid w:val="00EE0468"/>
    <w:rsid w:val="00EE167F"/>
    <w:rsid w:val="00EE1A1C"/>
    <w:rsid w:val="00EE377D"/>
    <w:rsid w:val="00EE4D46"/>
    <w:rsid w:val="00EE4DDD"/>
    <w:rsid w:val="00EE5AE2"/>
    <w:rsid w:val="00EE6EB5"/>
    <w:rsid w:val="00EF03BB"/>
    <w:rsid w:val="00EF19EC"/>
    <w:rsid w:val="00EF267C"/>
    <w:rsid w:val="00EF2AC3"/>
    <w:rsid w:val="00EF45C7"/>
    <w:rsid w:val="00EF5203"/>
    <w:rsid w:val="00EF5789"/>
    <w:rsid w:val="00EF6B73"/>
    <w:rsid w:val="00EF6CB9"/>
    <w:rsid w:val="00EF79B1"/>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102B4"/>
    <w:rsid w:val="00F10795"/>
    <w:rsid w:val="00F10A72"/>
    <w:rsid w:val="00F120D9"/>
    <w:rsid w:val="00F15C51"/>
    <w:rsid w:val="00F15C5B"/>
    <w:rsid w:val="00F17F53"/>
    <w:rsid w:val="00F2066C"/>
    <w:rsid w:val="00F20BE7"/>
    <w:rsid w:val="00F23F8B"/>
    <w:rsid w:val="00F2546F"/>
    <w:rsid w:val="00F25789"/>
    <w:rsid w:val="00F26298"/>
    <w:rsid w:val="00F2653F"/>
    <w:rsid w:val="00F26F79"/>
    <w:rsid w:val="00F30334"/>
    <w:rsid w:val="00F3069A"/>
    <w:rsid w:val="00F31575"/>
    <w:rsid w:val="00F31981"/>
    <w:rsid w:val="00F31AE2"/>
    <w:rsid w:val="00F33136"/>
    <w:rsid w:val="00F3492D"/>
    <w:rsid w:val="00F35869"/>
    <w:rsid w:val="00F35D5A"/>
    <w:rsid w:val="00F36193"/>
    <w:rsid w:val="00F36872"/>
    <w:rsid w:val="00F368B5"/>
    <w:rsid w:val="00F37B64"/>
    <w:rsid w:val="00F40799"/>
    <w:rsid w:val="00F418EC"/>
    <w:rsid w:val="00F42DB6"/>
    <w:rsid w:val="00F436C6"/>
    <w:rsid w:val="00F46C6B"/>
    <w:rsid w:val="00F4741A"/>
    <w:rsid w:val="00F474E3"/>
    <w:rsid w:val="00F479FC"/>
    <w:rsid w:val="00F50475"/>
    <w:rsid w:val="00F50D0C"/>
    <w:rsid w:val="00F51445"/>
    <w:rsid w:val="00F5170B"/>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A17"/>
    <w:rsid w:val="00F80435"/>
    <w:rsid w:val="00F80CCE"/>
    <w:rsid w:val="00F8111E"/>
    <w:rsid w:val="00F81225"/>
    <w:rsid w:val="00F834D1"/>
    <w:rsid w:val="00F83CD1"/>
    <w:rsid w:val="00F866A3"/>
    <w:rsid w:val="00F86854"/>
    <w:rsid w:val="00F879A3"/>
    <w:rsid w:val="00F9054B"/>
    <w:rsid w:val="00F90B0D"/>
    <w:rsid w:val="00F90FB7"/>
    <w:rsid w:val="00F92406"/>
    <w:rsid w:val="00F93D68"/>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FF5"/>
    <w:rsid w:val="00FC01FC"/>
    <w:rsid w:val="00FC06B8"/>
    <w:rsid w:val="00FC078D"/>
    <w:rsid w:val="00FC0C23"/>
    <w:rsid w:val="00FC29B5"/>
    <w:rsid w:val="00FC30E5"/>
    <w:rsid w:val="00FC4AAE"/>
    <w:rsid w:val="00FC5A4F"/>
    <w:rsid w:val="00FC6367"/>
    <w:rsid w:val="00FC6E3D"/>
    <w:rsid w:val="00FC72CA"/>
    <w:rsid w:val="00FD2049"/>
    <w:rsid w:val="00FD3D38"/>
    <w:rsid w:val="00FD4551"/>
    <w:rsid w:val="00FD4D53"/>
    <w:rsid w:val="00FD77F4"/>
    <w:rsid w:val="00FE2359"/>
    <w:rsid w:val="00FE2EE1"/>
    <w:rsid w:val="00FE3068"/>
    <w:rsid w:val="00FE4535"/>
    <w:rsid w:val="00FE46CA"/>
    <w:rsid w:val="00FE5030"/>
    <w:rsid w:val="00FE7257"/>
    <w:rsid w:val="00FE7944"/>
    <w:rsid w:val="00FE7F87"/>
    <w:rsid w:val="00FF09E6"/>
    <w:rsid w:val="00FF17CA"/>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uiPriority w:val="22"/>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
    <w:name w:val="Unresolved Mention"/>
    <w:basedOn w:val="DefaultParagraphFont"/>
    <w:uiPriority w:val="99"/>
    <w:semiHidden/>
    <w:unhideWhenUsed/>
    <w:rsid w:val="00CB08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uiPriority w:val="22"/>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
    <w:name w:val="Unresolved Mention"/>
    <w:basedOn w:val="DefaultParagraphFont"/>
    <w:uiPriority w:val="99"/>
    <w:semiHidden/>
    <w:unhideWhenUsed/>
    <w:rsid w:val="00CB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hart-c-acute-hospital-ry21-masshealth-drg-weights-and-mean-all-payer-lengths-of-stay/download" TargetMode="External"/><Relationship Id="rId18" Type="http://schemas.openxmlformats.org/officeDocument/2006/relationships/hyperlink" Target="http://www.mass.gov/druglist" TargetMode="External"/><Relationship Id="rId26" Type="http://schemas.openxmlformats.org/officeDocument/2006/relationships/image" Target="media/image6.emf"/><Relationship Id="rId39" Type="http://schemas.openxmlformats.org/officeDocument/2006/relationships/hyperlink" Target="https://www.mass.gov/doc/chart-c-acute-hospital-ry21-masshealth-drg-weights-and-mean-all-payer-lengths-of-stay/download"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mass.gov/eohhs/provider/insurance/masshealth/massqex/" TargetMode="External"/><Relationship Id="rId42" Type="http://schemas.openxmlformats.org/officeDocument/2006/relationships/footer" Target="footer4.xml"/><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hyperlink" Target="mailto:Masshealthhospitalquality@mass.gov" TargetMode="External"/><Relationship Id="rId38" Type="http://schemas.openxmlformats.org/officeDocument/2006/relationships/header" Target="header2.xml"/><Relationship Id="rId46" Type="http://schemas.openxmlformats.org/officeDocument/2006/relationships/hyperlink" Target="https://www.mass.gov/doc/chart-d-acute-hospital-ry21-masshealth-eapg-weights/download" TargetMode="External"/><Relationship Id="rId2" Type="http://schemas.openxmlformats.org/officeDocument/2006/relationships/numbering" Target="numbering.xml"/><Relationship Id="rId16" Type="http://schemas.openxmlformats.org/officeDocument/2006/relationships/hyperlink" Target="https://www.mass.gov/doc/chart-c-acute-hospital-ry21-masshealth-drg-weights-and-mean-all-payer-lengths-of-stay/download" TargetMode="External"/><Relationship Id="rId20" Type="http://schemas.openxmlformats.org/officeDocument/2006/relationships/image" Target="media/image2.emf"/><Relationship Id="rId29" Type="http://schemas.openxmlformats.org/officeDocument/2006/relationships/hyperlink" Target="http://www.mass.gov/eohhs/gov/laws-regs/hhs/community-health-care-providers-ambulatory-care.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masshealthdruglist.ehs.state.ma.us/MHDL/welcome.do" TargetMode="External"/><Relationship Id="rId32" Type="http://schemas.openxmlformats.org/officeDocument/2006/relationships/image" Target="media/image8.emf"/><Relationship Id="rId37" Type="http://schemas.openxmlformats.org/officeDocument/2006/relationships/hyperlink" Target="mailto:MQO@mass.gov" TargetMode="External"/><Relationship Id="rId40" Type="http://schemas.openxmlformats.org/officeDocument/2006/relationships/hyperlink" Target="https://www.mass.gov/doc/chart-c-acute-hospital-ry21-masshealth-drg-weights-and-mean-all-payer-lengths-of-stay/download" TargetMode="External"/><Relationship Id="rId45" Type="http://schemas.openxmlformats.org/officeDocument/2006/relationships/hyperlink" Target="https://www.mass.gov/doc/chart-d-acute-hospital-ry21-masshealth-eapg-weights/download" TargetMode="External"/><Relationship Id="rId5" Type="http://schemas.openxmlformats.org/officeDocument/2006/relationships/settings" Target="settings.xml"/><Relationship Id="rId15" Type="http://schemas.openxmlformats.org/officeDocument/2006/relationships/hyperlink" Target="https://www.mass.gov/doc/chart-d-acute-hospital-ry21-masshealth-eapg-weights/download" TargetMode="External"/><Relationship Id="rId23" Type="http://schemas.openxmlformats.org/officeDocument/2006/relationships/hyperlink" Target="http://www.mass.gov/eohhs/gov/laws-regs/hhs/community-health-care-providers-ambulatory-care.html" TargetMode="External"/><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mailto:MQO@mass.gov"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hyperlink" Target="https://www.mass.gov/service-details/billing-tips"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teven.sauter@state.ma.us" TargetMode="External"/><Relationship Id="rId14" Type="http://schemas.openxmlformats.org/officeDocument/2006/relationships/hyperlink" Target="http://www.mass.gov/eohhs/docs/masshealth/acutehosp/chart-c-2-2nd-ry18-period-acute-hospital-masshealth-drg-weights-and-mean-all-payer-lengths-of-stay.pdf"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hyperlink" Target="https://masshealthdruglist.ehs.state.ma.us/MHDL/welcome.do" TargetMode="External"/><Relationship Id="rId35" Type="http://schemas.openxmlformats.org/officeDocument/2006/relationships/hyperlink" Target="http://www.hcahpsonline.org/"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5F3B-FA3A-40DE-8982-1E50C1DB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47632</Words>
  <Characters>271504</Characters>
  <Application>Microsoft Office Word</Application>
  <DocSecurity>0</DocSecurity>
  <Lines>2262</Lines>
  <Paragraphs>636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318500</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EHS</cp:lastModifiedBy>
  <cp:revision>2</cp:revision>
  <cp:lastPrinted>2019-10-17T14:08:00Z</cp:lastPrinted>
  <dcterms:created xsi:type="dcterms:W3CDTF">2020-10-30T12:40:00Z</dcterms:created>
  <dcterms:modified xsi:type="dcterms:W3CDTF">2020-10-30T12:40:00Z</dcterms:modified>
</cp:coreProperties>
</file>