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6CC9" w14:textId="1F4238D1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</w:t>
      </w:r>
      <w:r w:rsidR="00D77A30">
        <w:rPr>
          <w:rFonts w:ascii="Times New Roman" w:hAnsi="Times New Roman"/>
          <w:b/>
          <w:sz w:val="24"/>
          <w:u w:val="single"/>
        </w:rPr>
        <w:t>Final</w:t>
      </w:r>
      <w:r w:rsidR="00D77A30" w:rsidRPr="00292E4F">
        <w:rPr>
          <w:rFonts w:ascii="Times New Roman" w:hAnsi="Times New Roman"/>
          <w:b/>
          <w:sz w:val="24"/>
          <w:u w:val="single"/>
        </w:rPr>
        <w:t xml:space="preserve"> </w:t>
      </w:r>
      <w:r w:rsidRPr="00292E4F">
        <w:rPr>
          <w:rFonts w:ascii="Times New Roman" w:hAnsi="Times New Roman"/>
          <w:b/>
          <w:sz w:val="24"/>
          <w:u w:val="single"/>
        </w:rPr>
        <w:t>Agency Action</w:t>
      </w:r>
    </w:p>
    <w:p w14:paraId="25782A38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0D3B7875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Services, effective </w:t>
      </w:r>
      <w:r w:rsidR="00C475D4">
        <w:rPr>
          <w:rFonts w:ascii="Times New Roman" w:hAnsi="Times New Roman"/>
          <w:sz w:val="24"/>
        </w:rPr>
        <w:t>May</w:t>
      </w:r>
      <w:r w:rsidR="004B0841">
        <w:rPr>
          <w:rFonts w:ascii="Times New Roman" w:hAnsi="Times New Roman"/>
          <w:sz w:val="24"/>
        </w:rPr>
        <w:t xml:space="preserve"> </w:t>
      </w:r>
      <w:r w:rsidR="00C475D4">
        <w:rPr>
          <w:rFonts w:ascii="Times New Roman" w:hAnsi="Times New Roman"/>
          <w:sz w:val="24"/>
        </w:rPr>
        <w:t>7</w:t>
      </w:r>
      <w:r w:rsidRPr="00292E4F">
        <w:rPr>
          <w:rFonts w:ascii="Times New Roman" w:hAnsi="Times New Roman"/>
          <w:sz w:val="24"/>
        </w:rPr>
        <w:t xml:space="preserve">, </w:t>
      </w:r>
      <w:r w:rsidR="004B0841" w:rsidRPr="00292E4F">
        <w:rPr>
          <w:rFonts w:ascii="Times New Roman" w:hAnsi="Times New Roman"/>
          <w:sz w:val="24"/>
        </w:rPr>
        <w:t>20</w:t>
      </w:r>
      <w:r w:rsidR="004B0841">
        <w:rPr>
          <w:rFonts w:ascii="Times New Roman" w:hAnsi="Times New Roman"/>
          <w:sz w:val="24"/>
        </w:rPr>
        <w:t>22</w:t>
      </w:r>
    </w:p>
    <w:p w14:paraId="1151BD23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</w:t>
      </w:r>
      <w:r w:rsidR="003231EB">
        <w:rPr>
          <w:rFonts w:ascii="Times New Roman" w:hAnsi="Times New Roman"/>
          <w:sz w:val="24"/>
        </w:rPr>
        <w:t xml:space="preserve"> </w:t>
      </w:r>
      <w:r w:rsidR="003231EB" w:rsidRPr="00292E4F">
        <w:rPr>
          <w:rFonts w:ascii="Times New Roman" w:hAnsi="Times New Roman"/>
          <w:sz w:val="24"/>
        </w:rPr>
        <w:t>(EOHHS)</w:t>
      </w:r>
      <w:r w:rsidRPr="00292E4F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6DEB6DFB" w14:textId="730CAE6C" w:rsidR="001C1474" w:rsidRDefault="00803D66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36556C">
        <w:rPr>
          <w:rFonts w:ascii="Times New Roman" w:eastAsia="Times New Roman" w:hAnsi="Times New Roman" w:cs="Times New Roman"/>
          <w:bCs/>
          <w:sz w:val="24"/>
          <w:szCs w:val="24"/>
        </w:rPr>
        <w:t xml:space="preserve">revises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Rate Year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acute inpatient and outpatient hospital payment methods, as described in the Rate Year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Notice of Final Agency Action, published on or about October 3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1,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(“Final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RY22 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Notice”).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Specifically, these revisions </w:t>
      </w:r>
      <w:r w:rsidR="00C475D4">
        <w:rPr>
          <w:rFonts w:ascii="Times New Roman" w:eastAsia="Times New Roman" w:hAnsi="Times New Roman" w:cs="Times New Roman"/>
          <w:bCs/>
          <w:sz w:val="24"/>
          <w:szCs w:val="24"/>
        </w:rPr>
        <w:t xml:space="preserve">add a new Supplemental Payment to Promote Hospital Capacity to Provide Enhanced Emergency Department (ED) Psychiatric Services.  </w:t>
      </w:r>
    </w:p>
    <w:p w14:paraId="2A497CAD" w14:textId="180A5954" w:rsidR="00BB03E4" w:rsidRDefault="00C475D4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this new supplemental payment, 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>EOHHS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p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rovide payments to 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promote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>hospital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capacity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to provide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certain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to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MassHealth members 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present to a Hospital’s ED in need of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npatient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ehavioral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ervices, and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need to remain in the Hospital’s ED or one of the Hospital’s non-psychiatric beds for at least 24 hours while awaiting transfer to an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npatient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 xml:space="preserve">psychiatric bed 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>(ED-Presenting Psychiatric Member)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To be eligible to receive payment, a hospital must: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CCEE50" w14:textId="26D3CC71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 to the number of bed days within calendar year 2021 on which an ED-Presenting Psychiatric Member remained in the Hospital’s ED or one of the Hospital’s non-psychiatric beds while awaiting transfer to an inpatient psychiatric bed, provided that, for purposes of this calculation, the Hospital shall exclude any bed-day(s) in which such Member arrived in the ED and was transferred to an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>inpatient psychiatric bed</w:t>
      </w: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within 24 hours of presentation to the ED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 xml:space="preserve"> (Bed Day Attestation)</w:t>
      </w: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BED373" w14:textId="2656C965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 w:rsidR="00E95E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 w:rsidR="00E95E2E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the capacity to provide baseline services (family support and education, screening for substance use disorder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, referring members to community-based providers for ongoing care, and observation for those with suicidal or homicidal ideation) to all ED-Presenting Psychiatric Members.  </w:t>
      </w:r>
    </w:p>
    <w:p w14:paraId="4B9910D3" w14:textId="1CED558F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elf-designate as either a Tier 1 or Tier 2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Provider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5E2F114D" w14:textId="4B396129" w:rsidR="00BB03E4" w:rsidRDefault="006B5D73" w:rsidP="00D42B14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Tier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Provider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capacity to provide 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>Enhanced Services (</w:t>
      </w:r>
      <w:r w:rsidR="00D77A3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D77A30" w:rsidRPr="00D77A30">
        <w:rPr>
          <w:rFonts w:ascii="Times New Roman" w:eastAsia="Times New Roman" w:hAnsi="Times New Roman" w:cs="Times New Roman"/>
          <w:bCs/>
          <w:sz w:val="24"/>
          <w:szCs w:val="24"/>
        </w:rPr>
        <w:t>ental health or substance use disorder services provided to ED-Presenting Psychiatric Members by any hospital staff, whether employed or contracted, qualified to deliver such services within their scope of practice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) to each of its ED-Presenting Psychiatric Members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once within 48 hours of such an individual's presentation to the ED, and once every three days thereafter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each such Member transfers to an inpatient psychiatric bed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A Tier 1 Provider will demonstrate the required capacity if at least 90% of its ED-Presenting Psychiatric Members receive at least one Enhanced Service at the frequency set forth above during the period from May 1, 2022</w:t>
      </w:r>
      <w:r w:rsidR="00087B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October 31, 2022.</w:t>
      </w:r>
    </w:p>
    <w:p w14:paraId="740D23CA" w14:textId="6C33174B" w:rsidR="00BB03E4" w:rsidRDefault="006B5D73" w:rsidP="00D42B14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Tier 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Provider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must 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capacity to provide 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Enhanced Services to each of its </w:t>
      </w:r>
      <w:r w:rsidR="00BB03E4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ED-Presenting Psychiatric Members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on a daily basis</w:t>
      </w:r>
      <w:r w:rsidR="00BB03E4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each such Member transfers to an inpatient psychiatric bed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Tier 2 Provider will demonstrate the required capacity if at least 90% of its ED-Presenting Psychiatric Members receive at least one Enhanced Service at the frequency set forth above during the period from May 1, 2022</w:t>
      </w:r>
      <w:r w:rsidR="00087B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October 31, 2022.</w:t>
      </w:r>
    </w:p>
    <w:p w14:paraId="71EA6B5F" w14:textId="5021A67B" w:rsidR="009D09B8" w:rsidRPr="00AA4B5F" w:rsidRDefault="00CB3CDA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Agree, among other things, t</w:t>
      </w:r>
      <w:r w:rsidRPr="00CB3CDA">
        <w:rPr>
          <w:rFonts w:ascii="Times New Roman" w:eastAsia="Times New Roman" w:hAnsi="Times New Roman" w:cs="Times New Roman"/>
          <w:bCs/>
          <w:sz w:val="24"/>
          <w:szCs w:val="24"/>
        </w:rPr>
        <w:t>hat any supplemental payment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P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 subject to recoupment, in whole or in part, if the Hospital fails to comply with any term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 condition of payment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any of the </w:t>
      </w:r>
      <w:r w:rsidR="002E758B"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attestations 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agreements described above.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C776C74" w14:textId="45CB140E" w:rsidR="00D207F0" w:rsidRPr="00AA4B5F" w:rsidRDefault="00BB03E4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calculate each eligible hospital’s supplemental payment in accordance with the methodology that follows:  </w:t>
      </w:r>
    </w:p>
    <w:p w14:paraId="68DEC8D2" w14:textId="338838AE" w:rsidR="00AA4B5F" w:rsidRDefault="00D207F0" w:rsidP="006B5D73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7F0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self-designating Tier 1 Provider $300 multiplied by half of the number of bed-days identified in the Hospital’s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Bed Day Attestation.</w:t>
      </w:r>
    </w:p>
    <w:p w14:paraId="664A4754" w14:textId="0D23071E" w:rsidR="00AA4B5F" w:rsidRPr="00AA4B5F" w:rsidRDefault="00D207F0" w:rsidP="006B5D73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self-designating Tier 2 Provider $500 multiplied by half of the number of bed-days identified in the Hospital’s </w:t>
      </w:r>
      <w:r w:rsidR="001C1474" w:rsidRPr="00AA4B5F">
        <w:rPr>
          <w:rFonts w:ascii="Times New Roman" w:eastAsia="Times New Roman" w:hAnsi="Times New Roman" w:cs="Times New Roman"/>
          <w:bCs/>
          <w:sz w:val="24"/>
          <w:szCs w:val="24"/>
        </w:rPr>
        <w:t>Bed Day Attestation.</w:t>
      </w:r>
    </w:p>
    <w:p w14:paraId="0C6A7C73" w14:textId="4A9F5EDF" w:rsidR="00F65D79" w:rsidRDefault="00F65D79" w:rsidP="00D42B14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 changes to the hospital payment methods described in this Notice are in accordance with state and federal law and are within the range of reasonable paym</w:t>
      </w:r>
      <w:r w:rsidR="00CB316F">
        <w:rPr>
          <w:rFonts w:ascii="Times New Roman" w:eastAsia="Calibri" w:hAnsi="Times New Roman"/>
          <w:sz w:val="24"/>
          <w:szCs w:val="24"/>
        </w:rPr>
        <w:t>ent levels to acute hospitals.</w:t>
      </w:r>
    </w:p>
    <w:p w14:paraId="4A01D0DB" w14:textId="001B3E34" w:rsidR="00F65D79" w:rsidRDefault="007639BA" w:rsidP="00D42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>
        <w:rPr>
          <w:rFonts w:ascii="Times New Roman" w:hAnsi="Times New Roman" w:cs="Times New Roman"/>
          <w:sz w:val="24"/>
          <w:szCs w:val="24"/>
        </w:rPr>
        <w:t xml:space="preserve">estimates that annual aggregate </w:t>
      </w:r>
      <w:r w:rsidR="00E95E2E">
        <w:rPr>
          <w:rFonts w:ascii="Times New Roman" w:hAnsi="Times New Roman" w:cs="Times New Roman"/>
          <w:sz w:val="24"/>
          <w:szCs w:val="24"/>
        </w:rPr>
        <w:t xml:space="preserve">acute hospital state plan </w:t>
      </w:r>
      <w:r w:rsidR="00F65D79">
        <w:rPr>
          <w:rFonts w:ascii="Times New Roman" w:hAnsi="Times New Roman" w:cs="Times New Roman"/>
          <w:sz w:val="24"/>
          <w:szCs w:val="24"/>
        </w:rPr>
        <w:t xml:space="preserve">expenditures will </w:t>
      </w:r>
      <w:r w:rsidR="003231EB">
        <w:rPr>
          <w:rFonts w:ascii="Times New Roman" w:hAnsi="Times New Roman" w:cs="Times New Roman"/>
          <w:sz w:val="24"/>
          <w:szCs w:val="24"/>
        </w:rPr>
        <w:t xml:space="preserve">increase by approximately </w:t>
      </w:r>
      <w:r w:rsidR="001D52DD" w:rsidRPr="00CB316F">
        <w:rPr>
          <w:rFonts w:ascii="Times New Roman" w:hAnsi="Times New Roman" w:cs="Times New Roman"/>
          <w:sz w:val="24"/>
          <w:szCs w:val="24"/>
        </w:rPr>
        <w:t>$</w:t>
      </w:r>
      <w:r w:rsidR="009D09B8">
        <w:rPr>
          <w:rFonts w:ascii="Times New Roman" w:hAnsi="Times New Roman" w:cs="Times New Roman"/>
          <w:sz w:val="24"/>
          <w:szCs w:val="24"/>
        </w:rPr>
        <w:t>9</w:t>
      </w:r>
      <w:r w:rsidR="001D52DD" w:rsidRPr="00CB316F">
        <w:rPr>
          <w:rFonts w:ascii="Times New Roman" w:hAnsi="Times New Roman" w:cs="Times New Roman"/>
          <w:sz w:val="24"/>
          <w:szCs w:val="24"/>
        </w:rPr>
        <w:t>.</w:t>
      </w:r>
      <w:r w:rsidR="009D09B8">
        <w:rPr>
          <w:rFonts w:ascii="Times New Roman" w:hAnsi="Times New Roman" w:cs="Times New Roman"/>
          <w:sz w:val="24"/>
          <w:szCs w:val="24"/>
        </w:rPr>
        <w:t>7</w:t>
      </w:r>
      <w:r w:rsidR="009D09B8" w:rsidRPr="00CB316F">
        <w:rPr>
          <w:rFonts w:ascii="Times New Roman" w:hAnsi="Times New Roman" w:cs="Times New Roman"/>
          <w:sz w:val="24"/>
          <w:szCs w:val="24"/>
        </w:rPr>
        <w:t xml:space="preserve"> </w:t>
      </w:r>
      <w:r w:rsidR="001D52DD" w:rsidRPr="00CB316F">
        <w:rPr>
          <w:rFonts w:ascii="Times New Roman" w:hAnsi="Times New Roman" w:cs="Times New Roman"/>
          <w:sz w:val="24"/>
          <w:szCs w:val="24"/>
        </w:rPr>
        <w:t>million</w:t>
      </w:r>
      <w:r w:rsidR="009D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D7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F65D79">
        <w:rPr>
          <w:rFonts w:ascii="Times New Roman" w:hAnsi="Times New Roman" w:cs="Times New Roman"/>
          <w:sz w:val="24"/>
          <w:szCs w:val="24"/>
        </w:rPr>
        <w:t xml:space="preserve"> </w:t>
      </w:r>
      <w:r w:rsidR="006F6649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>
        <w:rPr>
          <w:rFonts w:ascii="Times New Roman" w:hAnsi="Times New Roman" w:cs="Times New Roman"/>
          <w:sz w:val="24"/>
          <w:szCs w:val="24"/>
        </w:rPr>
        <w:t>change</w:t>
      </w:r>
      <w:r w:rsidR="006F6649">
        <w:rPr>
          <w:rFonts w:ascii="Times New Roman" w:hAnsi="Times New Roman" w:cs="Times New Roman"/>
          <w:sz w:val="24"/>
          <w:szCs w:val="24"/>
        </w:rPr>
        <w:t>s</w:t>
      </w:r>
      <w:r w:rsidR="00CB316F">
        <w:rPr>
          <w:rFonts w:ascii="Times New Roman" w:hAnsi="Times New Roman" w:cs="Times New Roman"/>
          <w:sz w:val="24"/>
          <w:szCs w:val="24"/>
        </w:rPr>
        <w:t>.</w:t>
      </w:r>
    </w:p>
    <w:p w14:paraId="6633B127" w14:textId="04D9A4E0" w:rsidR="00605605" w:rsidRPr="006B5D73" w:rsidRDefault="00F65D79" w:rsidP="00D42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Other than as set forth in this Notice, the </w:t>
      </w:r>
      <w:r w:rsidR="00D207F0">
        <w:rPr>
          <w:rFonts w:ascii="Times New Roman" w:hAnsi="Times New Roman"/>
          <w:sz w:val="24"/>
        </w:rPr>
        <w:t xml:space="preserve">RY22 </w:t>
      </w:r>
      <w:r>
        <w:rPr>
          <w:rFonts w:ascii="Times New Roman" w:hAnsi="Times New Roman"/>
          <w:sz w:val="24"/>
        </w:rPr>
        <w:t xml:space="preserve">acute inpatient and outpatient </w:t>
      </w:r>
      <w:r w:rsidR="00DF3EF1">
        <w:rPr>
          <w:rFonts w:ascii="Times New Roman" w:hAnsi="Times New Roman"/>
          <w:sz w:val="24"/>
        </w:rPr>
        <w:t xml:space="preserve">hospital </w:t>
      </w:r>
      <w:r>
        <w:rPr>
          <w:rFonts w:ascii="Times New Roman" w:hAnsi="Times New Roman"/>
          <w:sz w:val="24"/>
        </w:rPr>
        <w:t xml:space="preserve">payment methods described in the </w:t>
      </w:r>
      <w:r w:rsidR="003231EB">
        <w:rPr>
          <w:rFonts w:ascii="Times New Roman" w:hAnsi="Times New Roman"/>
          <w:sz w:val="24"/>
        </w:rPr>
        <w:t>Final RY2</w:t>
      </w:r>
      <w:r w:rsidR="00D207F0">
        <w:rPr>
          <w:rFonts w:ascii="Times New Roman" w:hAnsi="Times New Roman"/>
          <w:sz w:val="24"/>
        </w:rPr>
        <w:t>2</w:t>
      </w:r>
      <w:r w:rsidR="003231EB">
        <w:rPr>
          <w:rFonts w:ascii="Times New Roman" w:hAnsi="Times New Roman"/>
          <w:sz w:val="24"/>
        </w:rPr>
        <w:t xml:space="preserve"> Notice </w:t>
      </w:r>
      <w:r w:rsidR="00CB316F">
        <w:rPr>
          <w:rFonts w:ascii="Times New Roman" w:hAnsi="Times New Roman"/>
          <w:sz w:val="24"/>
        </w:rPr>
        <w:t xml:space="preserve">remain unchanged. </w:t>
      </w:r>
      <w:r>
        <w:rPr>
          <w:rFonts w:ascii="Times New Roman" w:hAnsi="Times New Roman"/>
          <w:sz w:val="24"/>
        </w:rPr>
        <w:t>The Final RY2</w:t>
      </w:r>
      <w:r w:rsidR="00D207F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Notice is available under the heading </w:t>
      </w:r>
      <w:r w:rsidR="00D0689E" w:rsidRPr="00292E4F">
        <w:rPr>
          <w:rFonts w:ascii="Times New Roman" w:hAnsi="Times New Roman"/>
          <w:sz w:val="24"/>
        </w:rPr>
        <w:t xml:space="preserve">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7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8" w:history="1"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bookmarkEnd w:id="0"/>
        <w:bookmarkEnd w:id="1"/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special-notices-for-acute-hospitals</w:t>
        </w:r>
      </w:hyperlink>
      <w:r w:rsidR="00D0689E" w:rsidRPr="006B5D73">
        <w:rPr>
          <w:rFonts w:ascii="Times New Roman" w:hAnsi="Times New Roman" w:cs="Times New Roman"/>
          <w:sz w:val="24"/>
          <w:szCs w:val="24"/>
        </w:rPr>
        <w:t>. For further information</w:t>
      </w:r>
      <w:r w:rsidR="00172D04" w:rsidRPr="006B5D73">
        <w:rPr>
          <w:rFonts w:ascii="Times New Roman" w:hAnsi="Times New Roman" w:cs="Times New Roman"/>
          <w:sz w:val="24"/>
          <w:szCs w:val="24"/>
        </w:rPr>
        <w:t xml:space="preserve"> 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2E758B">
        <w:rPr>
          <w:rFonts w:ascii="Times New Roman" w:hAnsi="Times New Roman" w:cs="Times New Roman"/>
          <w:sz w:val="24"/>
          <w:szCs w:val="24"/>
        </w:rPr>
        <w:t>Hai Nguyen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 at the Executive Office of Health and Human Services, MassHealth </w:t>
      </w:r>
      <w:r w:rsidR="003450BD" w:rsidRPr="006B5D73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548BC" w:rsidRPr="006B5D73">
        <w:rPr>
          <w:rFonts w:ascii="Times New Roman" w:hAnsi="Times New Roman" w:cs="Times New Roman"/>
          <w:sz w:val="24"/>
          <w:szCs w:val="24"/>
        </w:rPr>
        <w:t>Providers and Pharmacy Programs</w:t>
      </w:r>
      <w:r w:rsidR="00D0689E" w:rsidRPr="006B5D73">
        <w:rPr>
          <w:rFonts w:ascii="Times New Roman" w:hAnsi="Times New Roman" w:cs="Times New Roman"/>
          <w:sz w:val="24"/>
          <w:szCs w:val="24"/>
        </w:rPr>
        <w:t>, 100 Hancock Street, 6</w:t>
      </w:r>
      <w:r w:rsidR="00D0689E" w:rsidRPr="006B5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 Floor, Quincy, MA 02171 or at </w:t>
      </w:r>
      <w:hyperlink r:id="rId9" w:history="1">
        <w:r w:rsidR="009D7577" w:rsidRPr="00103DA7">
          <w:rPr>
            <w:rStyle w:val="Hyperlink"/>
            <w:rFonts w:ascii="Times New Roman" w:hAnsi="Times New Roman" w:cs="Times New Roman"/>
            <w:sz w:val="24"/>
            <w:szCs w:val="24"/>
          </w:rPr>
          <w:t>hai.nguyen@mass.gov</w:t>
        </w:r>
      </w:hyperlink>
      <w:r w:rsidR="00D0689E" w:rsidRPr="006B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0152F" w14:textId="77777777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99B1E" w14:textId="14CBCD39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73">
        <w:rPr>
          <w:rFonts w:ascii="Times New Roman" w:hAnsi="Times New Roman" w:cs="Times New Roman"/>
          <w:b/>
          <w:sz w:val="24"/>
          <w:szCs w:val="24"/>
        </w:rPr>
        <w:t xml:space="preserve">Statutory Authority:  </w:t>
      </w:r>
      <w:r w:rsidRPr="006B5D73">
        <w:rPr>
          <w:rFonts w:ascii="Times New Roman" w:hAnsi="Times New Roman" w:cs="Times New Roman"/>
          <w:sz w:val="24"/>
          <w:szCs w:val="24"/>
        </w:rPr>
        <w:t xml:space="preserve">M.G.L. c. 118E; </w:t>
      </w:r>
      <w:r w:rsidR="006F6649" w:rsidRPr="006B5D73">
        <w:rPr>
          <w:rFonts w:ascii="Times New Roman" w:hAnsi="Times New Roman" w:cs="Times New Roman"/>
          <w:sz w:val="24"/>
          <w:szCs w:val="24"/>
        </w:rPr>
        <w:t>St. 202</w:t>
      </w:r>
      <w:r w:rsidR="00E514B9">
        <w:rPr>
          <w:rFonts w:ascii="Times New Roman" w:hAnsi="Times New Roman" w:cs="Times New Roman"/>
          <w:sz w:val="24"/>
          <w:szCs w:val="24"/>
        </w:rPr>
        <w:t>1</w:t>
      </w:r>
      <w:r w:rsidR="006F6649" w:rsidRPr="006B5D73">
        <w:rPr>
          <w:rFonts w:ascii="Times New Roman" w:hAnsi="Times New Roman" w:cs="Times New Roman"/>
          <w:sz w:val="24"/>
          <w:szCs w:val="24"/>
        </w:rPr>
        <w:t>, c. 2</w:t>
      </w:r>
      <w:r w:rsidR="00E514B9">
        <w:rPr>
          <w:rFonts w:ascii="Times New Roman" w:hAnsi="Times New Roman" w:cs="Times New Roman"/>
          <w:sz w:val="24"/>
          <w:szCs w:val="24"/>
        </w:rPr>
        <w:t>4</w:t>
      </w:r>
      <w:r w:rsidR="006F6649" w:rsidRPr="006B5D73">
        <w:rPr>
          <w:rFonts w:ascii="Times New Roman" w:hAnsi="Times New Roman" w:cs="Times New Roman"/>
          <w:sz w:val="24"/>
          <w:szCs w:val="24"/>
        </w:rPr>
        <w:t xml:space="preserve">; </w:t>
      </w:r>
      <w:r w:rsidRPr="006B5D73">
        <w:rPr>
          <w:rFonts w:ascii="Times New Roman" w:hAnsi="Times New Roman" w:cs="Times New Roman"/>
          <w:sz w:val="24"/>
          <w:szCs w:val="24"/>
        </w:rPr>
        <w:t>St. 2012, c. 224; 42 USC 1396a; 42 USC 1396b.</w:t>
      </w:r>
    </w:p>
    <w:p w14:paraId="0420AF16" w14:textId="77777777" w:rsidR="00096AE1" w:rsidRPr="006B5D73" w:rsidRDefault="00096AE1" w:rsidP="00B4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982A8" w14:textId="672C6D7E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73">
        <w:rPr>
          <w:rFonts w:ascii="Times New Roman" w:hAnsi="Times New Roman" w:cs="Times New Roman"/>
          <w:b/>
          <w:sz w:val="24"/>
          <w:szCs w:val="24"/>
        </w:rPr>
        <w:t xml:space="preserve">Related Regulations:  </w:t>
      </w:r>
      <w:r w:rsidRPr="006B5D73">
        <w:rPr>
          <w:rFonts w:ascii="Times New Roman" w:hAnsi="Times New Roman" w:cs="Times New Roman"/>
          <w:sz w:val="24"/>
          <w:szCs w:val="24"/>
        </w:rPr>
        <w:t>130 CMR 410, 415, 450; 42 CFR Parts 431 and 447.</w:t>
      </w:r>
    </w:p>
    <w:p w14:paraId="2E715BCC" w14:textId="4DDB7447" w:rsidR="00B22A1C" w:rsidRPr="006B5D73" w:rsidRDefault="00B22A1C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AC66" w14:textId="49B1752B" w:rsidR="00B22A1C" w:rsidRPr="006B5D73" w:rsidRDefault="00B22A1C" w:rsidP="00B22A1C">
      <w:pPr>
        <w:pStyle w:val="Footer"/>
        <w:rPr>
          <w:rFonts w:ascii="Times New Roman" w:hAnsi="Times New Roman"/>
          <w:szCs w:val="24"/>
        </w:rPr>
      </w:pPr>
      <w:r w:rsidRPr="006B5D73">
        <w:rPr>
          <w:rFonts w:ascii="Times New Roman" w:hAnsi="Times New Roman"/>
          <w:szCs w:val="24"/>
        </w:rPr>
        <w:t xml:space="preserve">Posted: </w:t>
      </w:r>
      <w:r w:rsidR="0036556C">
        <w:rPr>
          <w:rFonts w:ascii="Times New Roman" w:hAnsi="Times New Roman"/>
          <w:szCs w:val="24"/>
        </w:rPr>
        <w:t>May</w:t>
      </w:r>
      <w:r w:rsidR="0036556C" w:rsidRPr="006B5D73">
        <w:rPr>
          <w:rFonts w:ascii="Times New Roman" w:hAnsi="Times New Roman"/>
          <w:szCs w:val="24"/>
        </w:rPr>
        <w:t xml:space="preserve"> </w:t>
      </w:r>
      <w:r w:rsidR="00AE5FC7">
        <w:rPr>
          <w:rFonts w:ascii="Times New Roman" w:hAnsi="Times New Roman"/>
          <w:szCs w:val="24"/>
        </w:rPr>
        <w:t>6</w:t>
      </w:r>
      <w:r w:rsidR="00AA4B5F" w:rsidRPr="006B5D73">
        <w:rPr>
          <w:rFonts w:ascii="Times New Roman" w:hAnsi="Times New Roman"/>
          <w:szCs w:val="24"/>
        </w:rPr>
        <w:t>, 2022</w:t>
      </w:r>
    </w:p>
    <w:p w14:paraId="7708B975" w14:textId="77777777" w:rsidR="00B22A1C" w:rsidRPr="00775130" w:rsidRDefault="00B22A1C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</w:p>
    <w:sectPr w:rsidR="00B22A1C" w:rsidRPr="0077513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9AE3" w14:textId="77777777" w:rsidR="00F02FA7" w:rsidRDefault="00F02FA7" w:rsidP="00D54FC3">
      <w:pPr>
        <w:spacing w:after="0" w:line="240" w:lineRule="auto"/>
      </w:pPr>
      <w:r>
        <w:separator/>
      </w:r>
    </w:p>
  </w:endnote>
  <w:endnote w:type="continuationSeparator" w:id="0">
    <w:p w14:paraId="133E788D" w14:textId="77777777" w:rsidR="00F02FA7" w:rsidRDefault="00F02FA7" w:rsidP="00D54FC3">
      <w:pPr>
        <w:spacing w:after="0" w:line="240" w:lineRule="auto"/>
      </w:pPr>
      <w:r>
        <w:continuationSeparator/>
      </w:r>
    </w:p>
  </w:endnote>
  <w:endnote w:type="continuationNotice" w:id="1">
    <w:p w14:paraId="3E8DF7B4" w14:textId="77777777" w:rsidR="00F02FA7" w:rsidRDefault="00F02FA7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14CE" w14:textId="77777777" w:rsidR="00F02FA7" w:rsidRDefault="00F02FA7" w:rsidP="00D54FC3">
      <w:pPr>
        <w:spacing w:after="0" w:line="240" w:lineRule="auto"/>
      </w:pPr>
      <w:r>
        <w:separator/>
      </w:r>
    </w:p>
  </w:footnote>
  <w:footnote w:type="continuationSeparator" w:id="0">
    <w:p w14:paraId="0B666ED9" w14:textId="77777777" w:rsidR="00F02FA7" w:rsidRDefault="00F02FA7" w:rsidP="00D54FC3">
      <w:pPr>
        <w:spacing w:after="0" w:line="240" w:lineRule="auto"/>
      </w:pPr>
      <w:r>
        <w:continuationSeparator/>
      </w:r>
    </w:p>
  </w:footnote>
  <w:footnote w:type="continuationNotice" w:id="1">
    <w:p w14:paraId="55785E5F" w14:textId="77777777" w:rsidR="00F02FA7" w:rsidRDefault="00F02FA7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5549A"/>
    <w:multiLevelType w:val="hybridMultilevel"/>
    <w:tmpl w:val="AF445040"/>
    <w:numStyleLink w:val="ImportedStyle1"/>
  </w:abstractNum>
  <w:abstractNum w:abstractNumId="2" w15:restartNumberingAfterBreak="0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 w15:restartNumberingAfterBreak="0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9" w15:restartNumberingAfterBreak="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0" w15:restartNumberingAfterBreak="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 w15:restartNumberingAfterBreak="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86FA0"/>
    <w:multiLevelType w:val="hybridMultilevel"/>
    <w:tmpl w:val="C07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1"/>
  </w:num>
  <w:num w:numId="6">
    <w:abstractNumId w:val="19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8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4"/>
    <w:rsid w:val="00001D9D"/>
    <w:rsid w:val="00014258"/>
    <w:rsid w:val="000169AC"/>
    <w:rsid w:val="00022B50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87BB2"/>
    <w:rsid w:val="00096AE1"/>
    <w:rsid w:val="000A0F5E"/>
    <w:rsid w:val="000A397C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8F"/>
    <w:rsid w:val="000F2CBA"/>
    <w:rsid w:val="000F70D0"/>
    <w:rsid w:val="000F73D7"/>
    <w:rsid w:val="00102C02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23A9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1474"/>
    <w:rsid w:val="001C6D11"/>
    <w:rsid w:val="001D52DD"/>
    <w:rsid w:val="001E6ADC"/>
    <w:rsid w:val="001F17A8"/>
    <w:rsid w:val="001F31C9"/>
    <w:rsid w:val="001F411B"/>
    <w:rsid w:val="001F4744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3B66"/>
    <w:rsid w:val="002D723C"/>
    <w:rsid w:val="002E758B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56C"/>
    <w:rsid w:val="0036570B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25BF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9754D"/>
    <w:rsid w:val="004A3ADD"/>
    <w:rsid w:val="004A55C1"/>
    <w:rsid w:val="004A622A"/>
    <w:rsid w:val="004B0841"/>
    <w:rsid w:val="004B5C8B"/>
    <w:rsid w:val="004C0DD5"/>
    <w:rsid w:val="004C7C67"/>
    <w:rsid w:val="004D1E99"/>
    <w:rsid w:val="004E47EE"/>
    <w:rsid w:val="004E7058"/>
    <w:rsid w:val="004F2E87"/>
    <w:rsid w:val="004F3B54"/>
    <w:rsid w:val="00500228"/>
    <w:rsid w:val="0050733C"/>
    <w:rsid w:val="00511203"/>
    <w:rsid w:val="005134F5"/>
    <w:rsid w:val="00513514"/>
    <w:rsid w:val="00530A4B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7D43"/>
    <w:rsid w:val="005F47F9"/>
    <w:rsid w:val="005F4DF2"/>
    <w:rsid w:val="005F7935"/>
    <w:rsid w:val="00605400"/>
    <w:rsid w:val="00605605"/>
    <w:rsid w:val="00607E29"/>
    <w:rsid w:val="00611AE2"/>
    <w:rsid w:val="00612A44"/>
    <w:rsid w:val="00614F88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5D73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45B85"/>
    <w:rsid w:val="008474B6"/>
    <w:rsid w:val="00852C1F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B3452"/>
    <w:rsid w:val="008B60A5"/>
    <w:rsid w:val="008B6D4E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28F3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96D9E"/>
    <w:rsid w:val="009A2BBB"/>
    <w:rsid w:val="009B0D60"/>
    <w:rsid w:val="009C7042"/>
    <w:rsid w:val="009D09B8"/>
    <w:rsid w:val="009D2E05"/>
    <w:rsid w:val="009D7577"/>
    <w:rsid w:val="009E1A48"/>
    <w:rsid w:val="009E6837"/>
    <w:rsid w:val="009F23E9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74E"/>
    <w:rsid w:val="00A94CA4"/>
    <w:rsid w:val="00A95275"/>
    <w:rsid w:val="00AA2E77"/>
    <w:rsid w:val="00AA4B5F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5FC7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3E4"/>
    <w:rsid w:val="00BB0B3F"/>
    <w:rsid w:val="00BB5BF5"/>
    <w:rsid w:val="00BB6189"/>
    <w:rsid w:val="00BB7562"/>
    <w:rsid w:val="00BC3E35"/>
    <w:rsid w:val="00BC512F"/>
    <w:rsid w:val="00BC5C34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31C"/>
    <w:rsid w:val="00C04FDD"/>
    <w:rsid w:val="00C06959"/>
    <w:rsid w:val="00C14C3F"/>
    <w:rsid w:val="00C15776"/>
    <w:rsid w:val="00C22238"/>
    <w:rsid w:val="00C23C65"/>
    <w:rsid w:val="00C347CF"/>
    <w:rsid w:val="00C40521"/>
    <w:rsid w:val="00C422F2"/>
    <w:rsid w:val="00C44357"/>
    <w:rsid w:val="00C475D4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16BB"/>
    <w:rsid w:val="00CB316F"/>
    <w:rsid w:val="00CB3CDA"/>
    <w:rsid w:val="00CB4983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0798B"/>
    <w:rsid w:val="00D120FB"/>
    <w:rsid w:val="00D156AA"/>
    <w:rsid w:val="00D17EDB"/>
    <w:rsid w:val="00D207F0"/>
    <w:rsid w:val="00D21CEF"/>
    <w:rsid w:val="00D2494D"/>
    <w:rsid w:val="00D26215"/>
    <w:rsid w:val="00D3273C"/>
    <w:rsid w:val="00D34506"/>
    <w:rsid w:val="00D35B62"/>
    <w:rsid w:val="00D42B14"/>
    <w:rsid w:val="00D43D09"/>
    <w:rsid w:val="00D44D46"/>
    <w:rsid w:val="00D45D4D"/>
    <w:rsid w:val="00D45EDB"/>
    <w:rsid w:val="00D479E3"/>
    <w:rsid w:val="00D47D92"/>
    <w:rsid w:val="00D50688"/>
    <w:rsid w:val="00D506C7"/>
    <w:rsid w:val="00D54FC3"/>
    <w:rsid w:val="00D56933"/>
    <w:rsid w:val="00D66F76"/>
    <w:rsid w:val="00D77A30"/>
    <w:rsid w:val="00D81142"/>
    <w:rsid w:val="00D9121A"/>
    <w:rsid w:val="00DA579D"/>
    <w:rsid w:val="00DA76A4"/>
    <w:rsid w:val="00DB1CC6"/>
    <w:rsid w:val="00DB2CB7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4B9"/>
    <w:rsid w:val="00E51576"/>
    <w:rsid w:val="00E51ED0"/>
    <w:rsid w:val="00E543E4"/>
    <w:rsid w:val="00E54E1C"/>
    <w:rsid w:val="00E5576D"/>
    <w:rsid w:val="00E6137D"/>
    <w:rsid w:val="00E6168D"/>
    <w:rsid w:val="00E703C7"/>
    <w:rsid w:val="00E7255D"/>
    <w:rsid w:val="00E75536"/>
    <w:rsid w:val="00E755FA"/>
    <w:rsid w:val="00E84175"/>
    <w:rsid w:val="00E93BB1"/>
    <w:rsid w:val="00E95E2E"/>
    <w:rsid w:val="00E961A4"/>
    <w:rsid w:val="00EA06AE"/>
    <w:rsid w:val="00EA26DD"/>
    <w:rsid w:val="00EA3706"/>
    <w:rsid w:val="00EA5735"/>
    <w:rsid w:val="00EB1BC6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EE7F19"/>
    <w:rsid w:val="00F02FA7"/>
    <w:rsid w:val="00F04743"/>
    <w:rsid w:val="00F054E8"/>
    <w:rsid w:val="00F10DF9"/>
    <w:rsid w:val="00F12A6D"/>
    <w:rsid w:val="00F12E34"/>
    <w:rsid w:val="00F141A5"/>
    <w:rsid w:val="00F154F4"/>
    <w:rsid w:val="00F17247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480F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  <w15:docId w15:val="{461B1802-5908-4562-9A82-23A92A77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E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special-notices-for-acute-hospit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i.nguye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A125-4089-478E-9ABA-450702B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Paulson</dc:creator>
  <cp:lastModifiedBy>Blank, Brett (EHS)</cp:lastModifiedBy>
  <cp:revision>7</cp:revision>
  <cp:lastPrinted>2018-09-10T16:24:00Z</cp:lastPrinted>
  <dcterms:created xsi:type="dcterms:W3CDTF">2022-05-02T15:32:00Z</dcterms:created>
  <dcterms:modified xsi:type="dcterms:W3CDTF">2022-05-04T19:58:00Z</dcterms:modified>
</cp:coreProperties>
</file>