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6BA6" w:rsidRPr="00E15FE0" w:rsidRDefault="0026445D" w:rsidP="00736BA6">
      <w:pPr>
        <w:jc w:val="center"/>
        <w:rPr>
          <w:rFonts w:ascii="Times New Roman" w:hAnsi="Times New Roman" w:cs="Times New Roman"/>
          <w:b/>
          <w:bCs/>
        </w:rPr>
      </w:pPr>
      <w:r>
        <w:rPr>
          <w:rFonts w:ascii="Times New Roman" w:hAnsi="Times New Roman" w:cs="Times New Roman"/>
          <w:b/>
          <w:bCs/>
        </w:rPr>
        <w:t xml:space="preserve">NOTICE OF </w:t>
      </w:r>
      <w:r w:rsidR="00EA4155">
        <w:rPr>
          <w:rFonts w:ascii="Times New Roman" w:hAnsi="Times New Roman" w:cs="Times New Roman"/>
          <w:b/>
          <w:bCs/>
        </w:rPr>
        <w:t>FINAL</w:t>
      </w:r>
      <w:r w:rsidR="00EA4155" w:rsidRPr="00E15FE0">
        <w:rPr>
          <w:rFonts w:ascii="Times New Roman" w:hAnsi="Times New Roman" w:cs="Times New Roman"/>
          <w:b/>
          <w:bCs/>
        </w:rPr>
        <w:t xml:space="preserve"> </w:t>
      </w:r>
      <w:r w:rsidR="00736BA6" w:rsidRPr="00E15FE0">
        <w:rPr>
          <w:rFonts w:ascii="Times New Roman" w:hAnsi="Times New Roman" w:cs="Times New Roman"/>
          <w:b/>
          <w:bCs/>
        </w:rPr>
        <w:t>AGENCY ACTION</w:t>
      </w:r>
    </w:p>
    <w:p w:rsidR="00736BA6" w:rsidRPr="00E15FE0" w:rsidRDefault="00736BA6" w:rsidP="00736BA6">
      <w:pPr>
        <w:rPr>
          <w:rFonts w:ascii="Times New Roman" w:hAnsi="Times New Roman" w:cs="Times New Roman"/>
          <w:b/>
          <w:bCs/>
        </w:rPr>
      </w:pPr>
    </w:p>
    <w:p w:rsidR="00736BA6" w:rsidRPr="00E15FE0" w:rsidRDefault="00736BA6" w:rsidP="00736BA6">
      <w:pPr>
        <w:autoSpaceDE w:val="0"/>
        <w:autoSpaceDN w:val="0"/>
        <w:adjustRightInd w:val="0"/>
        <w:rPr>
          <w:rFonts w:ascii="Times New Roman" w:hAnsi="Times New Roman" w:cs="Times New Roman"/>
        </w:rPr>
      </w:pPr>
      <w:r w:rsidRPr="00E15FE0">
        <w:rPr>
          <w:rFonts w:ascii="Times New Roman" w:hAnsi="Times New Roman" w:cs="Times New Roman"/>
          <w:b/>
          <w:bCs/>
        </w:rPr>
        <w:t xml:space="preserve">SUBJECT: </w:t>
      </w:r>
      <w:r w:rsidRPr="00E15FE0">
        <w:rPr>
          <w:rFonts w:ascii="Times New Roman" w:hAnsi="Times New Roman" w:cs="Times New Roman"/>
        </w:rPr>
        <w:t>MassHealth: Payment for Privately Owned Psychiatric Hospital Services effective October 1, 201</w:t>
      </w:r>
      <w:r w:rsidR="001E50FE">
        <w:rPr>
          <w:rFonts w:ascii="Times New Roman" w:hAnsi="Times New Roman" w:cs="Times New Roman"/>
        </w:rPr>
        <w:t>9</w:t>
      </w:r>
    </w:p>
    <w:p w:rsidR="00736BA6" w:rsidRPr="00E15FE0" w:rsidRDefault="00736BA6" w:rsidP="00736BA6">
      <w:pPr>
        <w:autoSpaceDE w:val="0"/>
        <w:autoSpaceDN w:val="0"/>
        <w:adjustRightInd w:val="0"/>
        <w:rPr>
          <w:rFonts w:ascii="Times New Roman" w:hAnsi="Times New Roman" w:cs="Times New Roman"/>
        </w:rPr>
      </w:pPr>
    </w:p>
    <w:p w:rsidR="00736BA6" w:rsidRPr="00E15FE0" w:rsidRDefault="00736BA6" w:rsidP="00736BA6">
      <w:pPr>
        <w:autoSpaceDE w:val="0"/>
        <w:autoSpaceDN w:val="0"/>
        <w:adjustRightInd w:val="0"/>
        <w:rPr>
          <w:rFonts w:ascii="Times New Roman" w:hAnsi="Times New Roman" w:cs="Times New Roman"/>
        </w:rPr>
      </w:pPr>
      <w:r w:rsidRPr="00E15FE0">
        <w:rPr>
          <w:rFonts w:ascii="Times New Roman" w:hAnsi="Times New Roman" w:cs="Times New Roman"/>
          <w:b/>
          <w:bCs/>
        </w:rPr>
        <w:t>AGENCY</w:t>
      </w:r>
      <w:r w:rsidRPr="00E15FE0">
        <w:rPr>
          <w:rFonts w:ascii="Times New Roman" w:hAnsi="Times New Roman" w:cs="Times New Roman"/>
        </w:rPr>
        <w:t>: Massachusetts Executive Office of Health and Human Services</w:t>
      </w:r>
    </w:p>
    <w:p w:rsidR="00736BA6" w:rsidRPr="00E15FE0" w:rsidRDefault="00736BA6" w:rsidP="00736BA6">
      <w:pPr>
        <w:autoSpaceDE w:val="0"/>
        <w:autoSpaceDN w:val="0"/>
        <w:adjustRightInd w:val="0"/>
        <w:rPr>
          <w:rFonts w:ascii="Times New Roman" w:hAnsi="Times New Roman" w:cs="Times New Roman"/>
        </w:rPr>
      </w:pPr>
    </w:p>
    <w:p w:rsidR="00736BA6" w:rsidRDefault="00736BA6" w:rsidP="00736BA6">
      <w:pPr>
        <w:rPr>
          <w:rFonts w:ascii="Times New Roman" w:hAnsi="Times New Roman" w:cs="Times New Roman"/>
          <w:b/>
          <w:bCs/>
        </w:rPr>
      </w:pPr>
      <w:r>
        <w:rPr>
          <w:rFonts w:ascii="Times New Roman" w:hAnsi="Times New Roman" w:cs="Times New Roman"/>
          <w:b/>
          <w:bCs/>
        </w:rPr>
        <w:t xml:space="preserve">SUMMARY OF </w:t>
      </w:r>
      <w:r w:rsidR="00EA4155">
        <w:rPr>
          <w:rFonts w:ascii="Times New Roman" w:hAnsi="Times New Roman" w:cs="Times New Roman"/>
          <w:b/>
          <w:bCs/>
        </w:rPr>
        <w:t xml:space="preserve">FINAL </w:t>
      </w:r>
      <w:r>
        <w:rPr>
          <w:rFonts w:ascii="Times New Roman" w:hAnsi="Times New Roman" w:cs="Times New Roman"/>
          <w:b/>
          <w:bCs/>
        </w:rPr>
        <w:t>ACTION</w:t>
      </w:r>
    </w:p>
    <w:p w:rsidR="00736BA6" w:rsidRPr="00E15FE0" w:rsidRDefault="00736BA6" w:rsidP="00736BA6">
      <w:pPr>
        <w:rPr>
          <w:rFonts w:ascii="Times New Roman" w:hAnsi="Times New Roman" w:cs="Times New Roman"/>
          <w:b/>
          <w:bCs/>
        </w:rPr>
      </w:pPr>
    </w:p>
    <w:p w:rsidR="00736BA6" w:rsidRPr="00E15FE0" w:rsidRDefault="00736BA6" w:rsidP="00736BA6">
      <w:pPr>
        <w:autoSpaceDE w:val="0"/>
        <w:autoSpaceDN w:val="0"/>
        <w:adjustRightInd w:val="0"/>
        <w:rPr>
          <w:rFonts w:ascii="Times New Roman" w:hAnsi="Times New Roman" w:cs="Times New Roman"/>
          <w:szCs w:val="22"/>
        </w:rPr>
      </w:pPr>
      <w:r w:rsidRPr="00E15FE0">
        <w:rPr>
          <w:rFonts w:ascii="Times New Roman" w:hAnsi="Times New Roman" w:cs="Times New Roman"/>
          <w:szCs w:val="22"/>
        </w:rPr>
        <w:t xml:space="preserve">Pursuant to the provisions of M.G.L. c. 118E, §13A, rates and terms of payment for services rendered by psychiatric hospitals to patients entitled to medical assistance under M.G.L. c. 118E, §1 </w:t>
      </w:r>
      <w:r w:rsidRPr="00E15FE0">
        <w:rPr>
          <w:rFonts w:ascii="Times New Roman" w:hAnsi="Times New Roman" w:cs="Times New Roman"/>
          <w:i/>
          <w:iCs/>
          <w:szCs w:val="22"/>
        </w:rPr>
        <w:t xml:space="preserve">et seq. </w:t>
      </w:r>
      <w:r w:rsidRPr="00E15FE0">
        <w:rPr>
          <w:rFonts w:ascii="Times New Roman" w:hAnsi="Times New Roman" w:cs="Times New Roman"/>
          <w:szCs w:val="22"/>
        </w:rPr>
        <w:t>are established by contract between the MassHealth Program and participating hospitals. This notice describes the methods and standards for the establishment of rates of payment by con</w:t>
      </w:r>
      <w:r w:rsidR="002B265F">
        <w:rPr>
          <w:rFonts w:ascii="Times New Roman" w:hAnsi="Times New Roman" w:cs="Times New Roman"/>
          <w:szCs w:val="22"/>
        </w:rPr>
        <w:t>tract, effective October 1, 201</w:t>
      </w:r>
      <w:r w:rsidR="001E50FE">
        <w:rPr>
          <w:rFonts w:ascii="Times New Roman" w:hAnsi="Times New Roman" w:cs="Times New Roman"/>
          <w:szCs w:val="22"/>
        </w:rPr>
        <w:t>9</w:t>
      </w:r>
      <w:r w:rsidR="00403DE3">
        <w:rPr>
          <w:rFonts w:ascii="Times New Roman" w:hAnsi="Times New Roman" w:cs="Times New Roman"/>
          <w:szCs w:val="22"/>
        </w:rPr>
        <w:t>,</w:t>
      </w:r>
      <w:r w:rsidRPr="00E15FE0">
        <w:rPr>
          <w:rFonts w:ascii="Times New Roman" w:hAnsi="Times New Roman" w:cs="Times New Roman"/>
          <w:szCs w:val="22"/>
        </w:rPr>
        <w:t xml:space="preserve"> between the Executive Office of Health and Human Services (EOHHS) and participating privately owned psychiatric hospitals licensed by the Department of Mental Health (DMH). The contract does not cover services provided to patients enrolled with the MassHealth Primary Care Clinician Plan’s behavioral health contractor, or with other MassHealth-contracted managed care entities.</w:t>
      </w:r>
    </w:p>
    <w:p w:rsidR="00736BA6" w:rsidRPr="00E15FE0" w:rsidRDefault="00736BA6" w:rsidP="00736BA6">
      <w:pPr>
        <w:rPr>
          <w:rFonts w:ascii="Times New Roman" w:hAnsi="Times New Roman" w:cs="Times New Roman"/>
          <w:szCs w:val="22"/>
        </w:rPr>
      </w:pPr>
    </w:p>
    <w:p w:rsidR="00736BA6" w:rsidRDefault="00736BA6" w:rsidP="00736BA6">
      <w:pPr>
        <w:rPr>
          <w:rFonts w:ascii="Times New Roman" w:hAnsi="Times New Roman" w:cs="Times New Roman"/>
          <w:b/>
          <w:bCs/>
        </w:rPr>
      </w:pPr>
      <w:r w:rsidRPr="00E15FE0">
        <w:rPr>
          <w:rFonts w:ascii="Times New Roman" w:hAnsi="Times New Roman" w:cs="Times New Roman"/>
          <w:b/>
          <w:bCs/>
        </w:rPr>
        <w:t xml:space="preserve">DESCRIPTION OF </w:t>
      </w:r>
      <w:r w:rsidR="00EA4155">
        <w:rPr>
          <w:rFonts w:ascii="Times New Roman" w:hAnsi="Times New Roman" w:cs="Times New Roman"/>
          <w:b/>
          <w:bCs/>
        </w:rPr>
        <w:t xml:space="preserve">FINAL </w:t>
      </w:r>
      <w:r w:rsidRPr="00E15FE0">
        <w:rPr>
          <w:rFonts w:ascii="Times New Roman" w:hAnsi="Times New Roman" w:cs="Times New Roman"/>
          <w:b/>
          <w:bCs/>
        </w:rPr>
        <w:t>METHODS AND STANDARDS</w:t>
      </w:r>
    </w:p>
    <w:p w:rsidR="00736BA6" w:rsidRPr="00E15FE0" w:rsidRDefault="00736BA6" w:rsidP="00736BA6">
      <w:pPr>
        <w:rPr>
          <w:rFonts w:ascii="Times New Roman" w:hAnsi="Times New Roman" w:cs="Times New Roman"/>
          <w:b/>
          <w:bCs/>
        </w:rPr>
      </w:pPr>
    </w:p>
    <w:p w:rsidR="00736BA6" w:rsidRPr="00E15FE0" w:rsidRDefault="00736BA6" w:rsidP="00736BA6">
      <w:pPr>
        <w:autoSpaceDE w:val="0"/>
        <w:autoSpaceDN w:val="0"/>
        <w:adjustRightInd w:val="0"/>
        <w:rPr>
          <w:rFonts w:ascii="Times New Roman" w:hAnsi="Times New Roman" w:cs="Times New Roman"/>
          <w:szCs w:val="22"/>
        </w:rPr>
      </w:pPr>
      <w:r w:rsidRPr="00E15FE0">
        <w:rPr>
          <w:rFonts w:ascii="Times New Roman" w:hAnsi="Times New Roman" w:cs="Times New Roman"/>
          <w:szCs w:val="22"/>
        </w:rPr>
        <w:t>MassHealth pays privately owned psychiatric hospitals using (1) a</w:t>
      </w:r>
      <w:r w:rsidR="00B1210C">
        <w:rPr>
          <w:rFonts w:ascii="Times New Roman" w:hAnsi="Times New Roman" w:cs="Times New Roman"/>
          <w:szCs w:val="22"/>
        </w:rPr>
        <w:t>n</w:t>
      </w:r>
      <w:r w:rsidRPr="00E15FE0">
        <w:rPr>
          <w:rFonts w:ascii="Times New Roman" w:hAnsi="Times New Roman" w:cs="Times New Roman"/>
          <w:szCs w:val="22"/>
        </w:rPr>
        <w:t xml:space="preserve"> </w:t>
      </w:r>
      <w:r w:rsidR="00B1210C">
        <w:rPr>
          <w:rFonts w:ascii="Times New Roman" w:hAnsi="Times New Roman" w:cs="Times New Roman"/>
          <w:szCs w:val="22"/>
        </w:rPr>
        <w:t>all-inclusive</w:t>
      </w:r>
      <w:r w:rsidRPr="00E15FE0">
        <w:rPr>
          <w:rFonts w:ascii="Times New Roman" w:hAnsi="Times New Roman" w:cs="Times New Roman"/>
          <w:szCs w:val="22"/>
        </w:rPr>
        <w:t xml:space="preserve"> statewide inpatient per diem rate, (2) an all-inclusive statewide Administrative Day Rate, and (3) a hospital-specific cost-to-charge ratio for outpatient hospital services. The methods and standards described herein </w:t>
      </w:r>
      <w:r w:rsidR="00324131">
        <w:rPr>
          <w:rFonts w:ascii="Times New Roman" w:hAnsi="Times New Roman" w:cs="Times New Roman"/>
          <w:szCs w:val="22"/>
        </w:rPr>
        <w:t xml:space="preserve">would </w:t>
      </w:r>
      <w:r w:rsidRPr="00E15FE0">
        <w:rPr>
          <w:rFonts w:ascii="Times New Roman" w:hAnsi="Times New Roman" w:cs="Times New Roman"/>
          <w:szCs w:val="22"/>
        </w:rPr>
        <w:t xml:space="preserve">establish rates that accurately reflect the efficient and economic provision of private psychiatric hospital services. The methods and standards described herein are projected to result in a </w:t>
      </w:r>
      <w:r w:rsidR="009A6AA0">
        <w:rPr>
          <w:rFonts w:ascii="Times New Roman" w:hAnsi="Times New Roman" w:cs="Times New Roman"/>
          <w:szCs w:val="22"/>
        </w:rPr>
        <w:t>20.25</w:t>
      </w:r>
      <w:r w:rsidRPr="00E15FE0">
        <w:rPr>
          <w:rFonts w:ascii="Times New Roman" w:hAnsi="Times New Roman" w:cs="Times New Roman"/>
          <w:szCs w:val="22"/>
        </w:rPr>
        <w:t>% increase in annual aggregate expend</w:t>
      </w:r>
      <w:r w:rsidR="002A681D">
        <w:rPr>
          <w:rFonts w:ascii="Times New Roman" w:hAnsi="Times New Roman" w:cs="Times New Roman"/>
          <w:szCs w:val="22"/>
        </w:rPr>
        <w:t>itures in Rate Year 20</w:t>
      </w:r>
      <w:r w:rsidR="001E50FE">
        <w:rPr>
          <w:rFonts w:ascii="Times New Roman" w:hAnsi="Times New Roman" w:cs="Times New Roman"/>
          <w:szCs w:val="22"/>
        </w:rPr>
        <w:t>20</w:t>
      </w:r>
      <w:r w:rsidR="002A681D">
        <w:rPr>
          <w:rFonts w:ascii="Times New Roman" w:hAnsi="Times New Roman" w:cs="Times New Roman"/>
          <w:szCs w:val="22"/>
        </w:rPr>
        <w:t xml:space="preserve"> (RY20</w:t>
      </w:r>
      <w:r w:rsidR="001E50FE">
        <w:rPr>
          <w:rFonts w:ascii="Times New Roman" w:hAnsi="Times New Roman" w:cs="Times New Roman"/>
          <w:szCs w:val="22"/>
        </w:rPr>
        <w:t>20</w:t>
      </w:r>
      <w:r w:rsidRPr="00E15FE0">
        <w:rPr>
          <w:rFonts w:ascii="Times New Roman" w:hAnsi="Times New Roman" w:cs="Times New Roman"/>
          <w:szCs w:val="22"/>
        </w:rPr>
        <w:t>). The actual change in aggregate expenditures is estimated to be $</w:t>
      </w:r>
      <w:r w:rsidR="009A6AA0">
        <w:rPr>
          <w:rFonts w:ascii="Times New Roman" w:hAnsi="Times New Roman" w:cs="Times New Roman"/>
          <w:szCs w:val="22"/>
        </w:rPr>
        <w:t>11.45M</w:t>
      </w:r>
      <w:r w:rsidR="00B4010F">
        <w:rPr>
          <w:rFonts w:ascii="Times New Roman" w:hAnsi="Times New Roman" w:cs="Times New Roman"/>
          <w:szCs w:val="22"/>
        </w:rPr>
        <w:t>;</w:t>
      </w:r>
      <w:r w:rsidR="00B4010F" w:rsidRPr="00E15FE0">
        <w:rPr>
          <w:rFonts w:ascii="Times New Roman" w:hAnsi="Times New Roman" w:cs="Times New Roman"/>
          <w:szCs w:val="22"/>
        </w:rPr>
        <w:t xml:space="preserve"> </w:t>
      </w:r>
      <w:r w:rsidRPr="00E15FE0">
        <w:rPr>
          <w:rFonts w:ascii="Times New Roman" w:hAnsi="Times New Roman" w:cs="Times New Roman"/>
          <w:szCs w:val="22"/>
        </w:rPr>
        <w:t>however, it may vary depending on actual utilization of services. Included with this notice are the rates of p</w:t>
      </w:r>
      <w:r w:rsidR="004B4C74">
        <w:rPr>
          <w:rFonts w:ascii="Times New Roman" w:hAnsi="Times New Roman" w:cs="Times New Roman"/>
          <w:szCs w:val="22"/>
        </w:rPr>
        <w:t>ayment effective October 1, 201</w:t>
      </w:r>
      <w:r w:rsidR="001E50FE">
        <w:rPr>
          <w:rFonts w:ascii="Times New Roman" w:hAnsi="Times New Roman" w:cs="Times New Roman"/>
          <w:szCs w:val="22"/>
        </w:rPr>
        <w:t>9</w:t>
      </w:r>
      <w:r w:rsidRPr="00E15FE0">
        <w:rPr>
          <w:rFonts w:ascii="Times New Roman" w:hAnsi="Times New Roman" w:cs="Times New Roman"/>
          <w:szCs w:val="22"/>
        </w:rPr>
        <w:t xml:space="preserve">. </w:t>
      </w:r>
    </w:p>
    <w:p w:rsidR="00736BA6" w:rsidRPr="00E15FE0" w:rsidRDefault="00736BA6" w:rsidP="00736BA6">
      <w:pPr>
        <w:autoSpaceDE w:val="0"/>
        <w:autoSpaceDN w:val="0"/>
        <w:adjustRightInd w:val="0"/>
        <w:rPr>
          <w:rFonts w:ascii="Times New Roman" w:hAnsi="Times New Roman" w:cs="Times New Roman"/>
          <w:szCs w:val="22"/>
        </w:rPr>
      </w:pPr>
    </w:p>
    <w:p w:rsidR="00736BA6" w:rsidRPr="00E15FE0" w:rsidRDefault="00736BA6" w:rsidP="00736BA6">
      <w:pPr>
        <w:autoSpaceDE w:val="0"/>
        <w:autoSpaceDN w:val="0"/>
        <w:adjustRightInd w:val="0"/>
        <w:rPr>
          <w:rFonts w:ascii="Times New Roman" w:hAnsi="Times New Roman" w:cs="Times New Roman"/>
          <w:b/>
        </w:rPr>
      </w:pPr>
      <w:r w:rsidRPr="00E15FE0">
        <w:rPr>
          <w:rFonts w:ascii="Times New Roman" w:hAnsi="Times New Roman" w:cs="Times New Roman"/>
          <w:b/>
        </w:rPr>
        <w:t>JUSTIFICATION</w:t>
      </w:r>
    </w:p>
    <w:p w:rsidR="00736BA6" w:rsidRPr="007E257F" w:rsidRDefault="00736BA6" w:rsidP="00736BA6">
      <w:pPr>
        <w:autoSpaceDE w:val="0"/>
        <w:autoSpaceDN w:val="0"/>
        <w:adjustRightInd w:val="0"/>
        <w:rPr>
          <w:rFonts w:ascii="Times New Roman" w:hAnsi="Times New Roman" w:cs="Times New Roman"/>
          <w:szCs w:val="22"/>
        </w:rPr>
      </w:pPr>
      <w:r w:rsidRPr="00E15FE0">
        <w:rPr>
          <w:rFonts w:ascii="Times New Roman" w:hAnsi="Times New Roman" w:cs="Times New Roman"/>
          <w:szCs w:val="22"/>
        </w:rPr>
        <w:t xml:space="preserve">All changes to hospital payment rates and methods </w:t>
      </w:r>
      <w:r w:rsidR="009A6AA0">
        <w:rPr>
          <w:rFonts w:ascii="Times New Roman" w:hAnsi="Times New Roman" w:cs="Times New Roman"/>
          <w:szCs w:val="22"/>
        </w:rPr>
        <w:t xml:space="preserve">described below </w:t>
      </w:r>
      <w:r w:rsidRPr="00E15FE0">
        <w:rPr>
          <w:rFonts w:ascii="Times New Roman" w:hAnsi="Times New Roman" w:cs="Times New Roman"/>
          <w:szCs w:val="22"/>
        </w:rPr>
        <w:t xml:space="preserve">are in accordance with state and federal law </w:t>
      </w:r>
      <w:r w:rsidRPr="007E257F">
        <w:rPr>
          <w:rFonts w:ascii="Times New Roman" w:hAnsi="Times New Roman" w:cs="Times New Roman"/>
          <w:szCs w:val="22"/>
        </w:rPr>
        <w:t>and are within the range of reasonable payment levels to privately owned psychiatric hospitals.</w:t>
      </w:r>
    </w:p>
    <w:p w:rsidR="00BE0FD6" w:rsidRPr="007E257F" w:rsidRDefault="00BE0FD6" w:rsidP="00736BA6">
      <w:pPr>
        <w:autoSpaceDE w:val="0"/>
        <w:autoSpaceDN w:val="0"/>
        <w:adjustRightInd w:val="0"/>
        <w:rPr>
          <w:rFonts w:ascii="Times New Roman" w:hAnsi="Times New Roman" w:cs="Times New Roman"/>
          <w:szCs w:val="22"/>
        </w:rPr>
      </w:pPr>
    </w:p>
    <w:p w:rsidR="009A6AA0" w:rsidRPr="007E257F" w:rsidRDefault="00BE0FD6" w:rsidP="00736BA6">
      <w:pPr>
        <w:autoSpaceDE w:val="0"/>
        <w:autoSpaceDN w:val="0"/>
        <w:adjustRightInd w:val="0"/>
        <w:rPr>
          <w:rFonts w:ascii="Times New Roman" w:hAnsi="Times New Roman" w:cs="Times New Roman"/>
          <w:szCs w:val="22"/>
        </w:rPr>
      </w:pPr>
      <w:r w:rsidRPr="007E257F">
        <w:rPr>
          <w:rFonts w:ascii="Times New Roman" w:hAnsi="Times New Roman" w:cs="Times New Roman"/>
          <w:szCs w:val="22"/>
        </w:rPr>
        <w:t>For HRY2020, MassHealth and CHIA conducted a review of hospital-specific Cost-to-Charge Ratios for private psychiatric hospitals in Massachusetts that provide outpatient care. Through this analysis MassHealth and CHIA identified wide variance in ratios applied to determine rates of payment for outpatient services. Three potential drivers of variance in Cost-to-Charge ratios where identified: variation in actual cost to deliver services, variation in cost accounting to outpatient services in hospital cost reports, and variation in the ratio applied for new entrants to the hospital program compared to existing participants. Therefore in HRY2020 the Cost-to-Charge ratio applied to all hospitals is being reset at the highest ratio observed among program participants.</w:t>
      </w:r>
    </w:p>
    <w:p w:rsidR="00736BA6" w:rsidRDefault="00736BA6" w:rsidP="00736BA6">
      <w:pPr>
        <w:autoSpaceDE w:val="0"/>
        <w:autoSpaceDN w:val="0"/>
        <w:adjustRightInd w:val="0"/>
        <w:rPr>
          <w:rFonts w:ascii="Times New Roman" w:hAnsi="Times New Roman" w:cs="Times New Roman"/>
          <w:szCs w:val="22"/>
        </w:rPr>
      </w:pPr>
    </w:p>
    <w:p w:rsidR="00736BA6" w:rsidRPr="00E15FE0" w:rsidRDefault="0026445D" w:rsidP="00736BA6">
      <w:pPr>
        <w:autoSpaceDE w:val="0"/>
        <w:autoSpaceDN w:val="0"/>
        <w:adjustRightInd w:val="0"/>
        <w:rPr>
          <w:rFonts w:ascii="Times New Roman" w:hAnsi="Times New Roman" w:cs="Times New Roman"/>
          <w:szCs w:val="22"/>
        </w:rPr>
      </w:pPr>
      <w:r>
        <w:rPr>
          <w:rFonts w:ascii="Times New Roman" w:hAnsi="Times New Roman" w:cs="Times New Roman"/>
          <w:szCs w:val="22"/>
        </w:rPr>
        <w:t>T</w:t>
      </w:r>
      <w:r w:rsidR="002A681D">
        <w:rPr>
          <w:rFonts w:ascii="Times New Roman" w:hAnsi="Times New Roman" w:cs="Times New Roman"/>
          <w:szCs w:val="22"/>
        </w:rPr>
        <w:t>o</w:t>
      </w:r>
      <w:r>
        <w:rPr>
          <w:rFonts w:ascii="Times New Roman" w:hAnsi="Times New Roman" w:cs="Times New Roman"/>
          <w:szCs w:val="22"/>
        </w:rPr>
        <w:t xml:space="preserve"> request copies of</w:t>
      </w:r>
      <w:r w:rsidR="002A681D">
        <w:rPr>
          <w:rFonts w:ascii="Times New Roman" w:hAnsi="Times New Roman" w:cs="Times New Roman"/>
          <w:szCs w:val="22"/>
        </w:rPr>
        <w:t xml:space="preserve"> </w:t>
      </w:r>
      <w:r>
        <w:rPr>
          <w:rFonts w:ascii="Times New Roman" w:hAnsi="Times New Roman" w:cs="Times New Roman"/>
          <w:szCs w:val="22"/>
        </w:rPr>
        <w:t xml:space="preserve">written </w:t>
      </w:r>
      <w:r w:rsidR="002A681D">
        <w:rPr>
          <w:rFonts w:ascii="Times New Roman" w:hAnsi="Times New Roman" w:cs="Times New Roman"/>
          <w:szCs w:val="22"/>
        </w:rPr>
        <w:t>comment</w:t>
      </w:r>
      <w:r>
        <w:rPr>
          <w:rFonts w:ascii="Times New Roman" w:hAnsi="Times New Roman" w:cs="Times New Roman"/>
          <w:szCs w:val="22"/>
        </w:rPr>
        <w:t>s received</w:t>
      </w:r>
      <w:r w:rsidR="002A681D">
        <w:rPr>
          <w:rFonts w:ascii="Times New Roman" w:hAnsi="Times New Roman" w:cs="Times New Roman"/>
          <w:szCs w:val="22"/>
        </w:rPr>
        <w:t xml:space="preserve"> regarding </w:t>
      </w:r>
      <w:r w:rsidR="00DF616C">
        <w:rPr>
          <w:rFonts w:ascii="Times New Roman" w:hAnsi="Times New Roman" w:cs="Times New Roman"/>
          <w:szCs w:val="22"/>
        </w:rPr>
        <w:t>RY2020</w:t>
      </w:r>
      <w:r w:rsidR="00DF616C" w:rsidRPr="00E15FE0">
        <w:rPr>
          <w:rFonts w:ascii="Times New Roman" w:hAnsi="Times New Roman" w:cs="Times New Roman"/>
          <w:szCs w:val="22"/>
        </w:rPr>
        <w:t xml:space="preserve"> </w:t>
      </w:r>
      <w:r w:rsidR="00736BA6" w:rsidRPr="00E15FE0">
        <w:rPr>
          <w:rFonts w:ascii="Times New Roman" w:hAnsi="Times New Roman" w:cs="Times New Roman"/>
          <w:szCs w:val="22"/>
        </w:rPr>
        <w:t>payment methods and rates, you may contact:</w:t>
      </w:r>
    </w:p>
    <w:p w:rsidR="00736BA6" w:rsidRPr="00E15FE0" w:rsidRDefault="00736BA6" w:rsidP="00736BA6">
      <w:pPr>
        <w:rPr>
          <w:rFonts w:ascii="Times New Roman" w:hAnsi="Times New Roman" w:cs="Times New Roman"/>
        </w:rPr>
      </w:pPr>
    </w:p>
    <w:p w:rsidR="00736BA6" w:rsidRPr="00E15FE0" w:rsidRDefault="00736BA6" w:rsidP="00736BA6">
      <w:pPr>
        <w:autoSpaceDE w:val="0"/>
        <w:autoSpaceDN w:val="0"/>
        <w:adjustRightInd w:val="0"/>
        <w:rPr>
          <w:rFonts w:ascii="Times New Roman" w:hAnsi="Times New Roman" w:cs="Times New Roman"/>
          <w:szCs w:val="22"/>
        </w:rPr>
      </w:pPr>
      <w:r w:rsidRPr="00E15FE0">
        <w:rPr>
          <w:rFonts w:ascii="Times New Roman" w:hAnsi="Times New Roman" w:cs="Times New Roman"/>
          <w:szCs w:val="22"/>
        </w:rPr>
        <w:t>Muriel Freeman</w:t>
      </w:r>
    </w:p>
    <w:p w:rsidR="00736BA6" w:rsidRPr="00E15FE0" w:rsidRDefault="00736BA6" w:rsidP="00736BA6">
      <w:pPr>
        <w:autoSpaceDE w:val="0"/>
        <w:autoSpaceDN w:val="0"/>
        <w:adjustRightInd w:val="0"/>
        <w:rPr>
          <w:rFonts w:ascii="Times New Roman" w:hAnsi="Times New Roman" w:cs="Times New Roman"/>
          <w:szCs w:val="22"/>
        </w:rPr>
      </w:pPr>
      <w:r w:rsidRPr="00E15FE0">
        <w:rPr>
          <w:rFonts w:ascii="Times New Roman" w:hAnsi="Times New Roman" w:cs="Times New Roman"/>
          <w:szCs w:val="22"/>
        </w:rPr>
        <w:t>MassHealth Office of Behavioral Health</w:t>
      </w:r>
    </w:p>
    <w:p w:rsidR="00736BA6" w:rsidRPr="00E15FE0" w:rsidRDefault="00736BA6" w:rsidP="00736BA6">
      <w:pPr>
        <w:autoSpaceDE w:val="0"/>
        <w:autoSpaceDN w:val="0"/>
        <w:adjustRightInd w:val="0"/>
        <w:rPr>
          <w:rFonts w:ascii="Times New Roman" w:hAnsi="Times New Roman" w:cs="Times New Roman"/>
          <w:szCs w:val="22"/>
        </w:rPr>
      </w:pPr>
      <w:r w:rsidRPr="00E15FE0">
        <w:rPr>
          <w:rFonts w:ascii="Times New Roman" w:hAnsi="Times New Roman" w:cs="Times New Roman"/>
          <w:szCs w:val="22"/>
        </w:rPr>
        <w:t>1</w:t>
      </w:r>
      <w:r w:rsidR="002A681D">
        <w:rPr>
          <w:rFonts w:ascii="Times New Roman" w:hAnsi="Times New Roman" w:cs="Times New Roman"/>
          <w:szCs w:val="22"/>
        </w:rPr>
        <w:t xml:space="preserve"> Ashburton Place, </w:t>
      </w:r>
      <w:r w:rsidR="008769A0">
        <w:rPr>
          <w:rFonts w:ascii="Times New Roman" w:hAnsi="Times New Roman" w:cs="Times New Roman"/>
          <w:szCs w:val="22"/>
        </w:rPr>
        <w:t>1</w:t>
      </w:r>
      <w:r w:rsidR="002A681D">
        <w:rPr>
          <w:rFonts w:ascii="Times New Roman" w:hAnsi="Times New Roman" w:cs="Times New Roman"/>
          <w:szCs w:val="22"/>
        </w:rPr>
        <w:t>1</w:t>
      </w:r>
      <w:r w:rsidRPr="00E15FE0">
        <w:rPr>
          <w:rFonts w:ascii="Times New Roman" w:hAnsi="Times New Roman" w:cs="Times New Roman"/>
          <w:szCs w:val="22"/>
        </w:rPr>
        <w:t>th floor</w:t>
      </w:r>
    </w:p>
    <w:p w:rsidR="00736BA6" w:rsidRPr="00E15FE0" w:rsidRDefault="002A681D" w:rsidP="00736BA6">
      <w:pPr>
        <w:autoSpaceDE w:val="0"/>
        <w:autoSpaceDN w:val="0"/>
        <w:adjustRightInd w:val="0"/>
        <w:rPr>
          <w:rFonts w:ascii="Times New Roman" w:hAnsi="Times New Roman" w:cs="Times New Roman"/>
          <w:szCs w:val="22"/>
        </w:rPr>
      </w:pPr>
      <w:r>
        <w:rPr>
          <w:rFonts w:ascii="Times New Roman" w:hAnsi="Times New Roman" w:cs="Times New Roman"/>
          <w:szCs w:val="22"/>
        </w:rPr>
        <w:t>Boston</w:t>
      </w:r>
      <w:r w:rsidR="00736BA6" w:rsidRPr="00E15FE0">
        <w:rPr>
          <w:rFonts w:ascii="Times New Roman" w:hAnsi="Times New Roman" w:cs="Times New Roman"/>
          <w:szCs w:val="22"/>
        </w:rPr>
        <w:t>, MA 02</w:t>
      </w:r>
      <w:r>
        <w:rPr>
          <w:rFonts w:ascii="Times New Roman" w:hAnsi="Times New Roman" w:cs="Times New Roman"/>
          <w:szCs w:val="22"/>
        </w:rPr>
        <w:t>108</w:t>
      </w:r>
    </w:p>
    <w:p w:rsidR="00736BA6" w:rsidRPr="00E15FE0" w:rsidRDefault="00736BA6" w:rsidP="00736BA6">
      <w:pPr>
        <w:rPr>
          <w:rFonts w:ascii="Times New Roman" w:hAnsi="Times New Roman" w:cs="Times New Roman"/>
          <w:szCs w:val="22"/>
        </w:rPr>
      </w:pPr>
      <w:r w:rsidRPr="00E15FE0">
        <w:rPr>
          <w:rFonts w:ascii="Times New Roman" w:hAnsi="Times New Roman" w:cs="Times New Roman"/>
          <w:szCs w:val="22"/>
        </w:rPr>
        <w:t xml:space="preserve">Or by email: </w:t>
      </w:r>
      <w:hyperlink r:id="rId9" w:history="1">
        <w:r w:rsidRPr="00E15FE0">
          <w:rPr>
            <w:rStyle w:val="Hyperlink"/>
            <w:rFonts w:ascii="Times New Roman" w:hAnsi="Times New Roman" w:cs="Times New Roman"/>
          </w:rPr>
          <w:t>Muriel.Freeman@state.ma.us</w:t>
        </w:r>
      </w:hyperlink>
    </w:p>
    <w:p w:rsidR="00736BA6" w:rsidRPr="00E15FE0" w:rsidRDefault="00736BA6" w:rsidP="00736BA6">
      <w:pPr>
        <w:autoSpaceDE w:val="0"/>
        <w:autoSpaceDN w:val="0"/>
        <w:adjustRightInd w:val="0"/>
        <w:rPr>
          <w:rFonts w:ascii="Times New Roman" w:hAnsi="Times New Roman" w:cs="Times New Roman"/>
          <w:szCs w:val="22"/>
        </w:rPr>
      </w:pPr>
    </w:p>
    <w:p w:rsidR="00736BA6" w:rsidRPr="00E15FE0" w:rsidRDefault="00736BA6" w:rsidP="00736BA6">
      <w:pPr>
        <w:autoSpaceDE w:val="0"/>
        <w:autoSpaceDN w:val="0"/>
        <w:adjustRightInd w:val="0"/>
        <w:rPr>
          <w:rFonts w:ascii="Times New Roman" w:hAnsi="Times New Roman" w:cs="Times New Roman"/>
          <w:szCs w:val="22"/>
        </w:rPr>
      </w:pPr>
      <w:r w:rsidRPr="00E15FE0">
        <w:rPr>
          <w:rFonts w:ascii="Times New Roman" w:hAnsi="Times New Roman" w:cs="Times New Roman"/>
          <w:szCs w:val="22"/>
        </w:rPr>
        <w:t>STATUTORY AUTHORITY:</w:t>
      </w:r>
    </w:p>
    <w:p w:rsidR="00736BA6" w:rsidRPr="00E15FE0" w:rsidRDefault="00736BA6" w:rsidP="00736BA6">
      <w:pPr>
        <w:autoSpaceDE w:val="0"/>
        <w:autoSpaceDN w:val="0"/>
        <w:adjustRightInd w:val="0"/>
        <w:rPr>
          <w:rFonts w:ascii="Times New Roman" w:hAnsi="Times New Roman" w:cs="Times New Roman"/>
          <w:szCs w:val="22"/>
        </w:rPr>
      </w:pPr>
      <w:r w:rsidRPr="00E15FE0">
        <w:rPr>
          <w:rFonts w:ascii="Times New Roman" w:hAnsi="Times New Roman" w:cs="Times New Roman"/>
          <w:szCs w:val="22"/>
        </w:rPr>
        <w:t xml:space="preserve">M.G.L. c. 118E; 42 USC 1396 </w:t>
      </w:r>
      <w:r w:rsidRPr="00431097">
        <w:rPr>
          <w:rFonts w:ascii="Times New Roman" w:hAnsi="Times New Roman" w:cs="Times New Roman"/>
          <w:i/>
          <w:szCs w:val="22"/>
        </w:rPr>
        <w:t>et seq</w:t>
      </w:r>
      <w:r w:rsidRPr="00E15FE0">
        <w:rPr>
          <w:rFonts w:ascii="Times New Roman" w:hAnsi="Times New Roman" w:cs="Times New Roman"/>
          <w:szCs w:val="22"/>
        </w:rPr>
        <w:t>.</w:t>
      </w:r>
    </w:p>
    <w:p w:rsidR="00736BA6" w:rsidRPr="00E15FE0" w:rsidRDefault="00736BA6" w:rsidP="00736BA6">
      <w:pPr>
        <w:autoSpaceDE w:val="0"/>
        <w:autoSpaceDN w:val="0"/>
        <w:adjustRightInd w:val="0"/>
        <w:rPr>
          <w:rFonts w:ascii="Times New Roman" w:hAnsi="Times New Roman" w:cs="Times New Roman"/>
          <w:szCs w:val="22"/>
        </w:rPr>
      </w:pPr>
    </w:p>
    <w:p w:rsidR="00736BA6" w:rsidRPr="00E15FE0" w:rsidRDefault="00736BA6" w:rsidP="00736BA6">
      <w:pPr>
        <w:autoSpaceDE w:val="0"/>
        <w:autoSpaceDN w:val="0"/>
        <w:adjustRightInd w:val="0"/>
        <w:rPr>
          <w:rFonts w:ascii="Times New Roman" w:hAnsi="Times New Roman" w:cs="Times New Roman"/>
          <w:szCs w:val="22"/>
        </w:rPr>
      </w:pPr>
      <w:r w:rsidRPr="00E15FE0">
        <w:rPr>
          <w:rFonts w:ascii="Times New Roman" w:hAnsi="Times New Roman" w:cs="Times New Roman"/>
          <w:szCs w:val="22"/>
        </w:rPr>
        <w:t>Related Regulations:</w:t>
      </w:r>
    </w:p>
    <w:p w:rsidR="00736BA6" w:rsidRPr="00E15FE0" w:rsidRDefault="00736BA6" w:rsidP="00736BA6">
      <w:pPr>
        <w:rPr>
          <w:rFonts w:ascii="Times New Roman" w:hAnsi="Times New Roman" w:cs="Times New Roman"/>
          <w:szCs w:val="22"/>
        </w:rPr>
      </w:pPr>
      <w:r w:rsidRPr="00E15FE0">
        <w:rPr>
          <w:rFonts w:ascii="Times New Roman" w:hAnsi="Times New Roman" w:cs="Times New Roman"/>
          <w:szCs w:val="22"/>
        </w:rPr>
        <w:t>42 CFR Part 447</w:t>
      </w:r>
    </w:p>
    <w:p w:rsidR="00754625" w:rsidRDefault="00754625" w:rsidP="000551A4">
      <w:pPr>
        <w:tabs>
          <w:tab w:val="left" w:pos="1440"/>
          <w:tab w:val="center" w:pos="4925"/>
        </w:tabs>
        <w:rPr>
          <w:rFonts w:ascii="Times New Roman" w:hAnsi="Times New Roman" w:cs="Times New Roman"/>
          <w:sz w:val="24"/>
          <w:szCs w:val="24"/>
        </w:rPr>
        <w:sectPr w:rsidR="00754625" w:rsidSect="001B5806">
          <w:headerReference w:type="default" r:id="rId10"/>
          <w:footerReference w:type="default" r:id="rId11"/>
          <w:type w:val="continuous"/>
          <w:pgSz w:w="12240" w:h="15840" w:code="1"/>
          <w:pgMar w:top="720" w:right="1080" w:bottom="1080" w:left="1080" w:header="720" w:footer="490" w:gutter="0"/>
          <w:pgNumType w:start="1"/>
          <w:cols w:space="720"/>
          <w:docGrid w:linePitch="360"/>
        </w:sectPr>
      </w:pPr>
    </w:p>
    <w:p w:rsidR="000551A4" w:rsidRPr="000551A4" w:rsidRDefault="000551A4" w:rsidP="000551A4">
      <w:pPr>
        <w:tabs>
          <w:tab w:val="left" w:pos="1440"/>
          <w:tab w:val="center" w:pos="4925"/>
        </w:tabs>
        <w:jc w:val="center"/>
        <w:rPr>
          <w:rFonts w:ascii="Times New Roman" w:hAnsi="Times New Roman" w:cs="Times New Roman"/>
          <w:b/>
          <w:sz w:val="24"/>
          <w:szCs w:val="24"/>
        </w:rPr>
      </w:pPr>
      <w:r w:rsidRPr="000551A4">
        <w:rPr>
          <w:rFonts w:ascii="Times New Roman" w:hAnsi="Times New Roman" w:cs="Times New Roman"/>
          <w:b/>
          <w:sz w:val="24"/>
          <w:szCs w:val="24"/>
        </w:rPr>
        <w:lastRenderedPageBreak/>
        <w:t>EXECUTIVE OFFICE OF HEALTH AND HUMAN SERVICES</w:t>
      </w:r>
    </w:p>
    <w:p w:rsidR="000551A4" w:rsidRPr="000551A4" w:rsidRDefault="000551A4" w:rsidP="000551A4">
      <w:pPr>
        <w:tabs>
          <w:tab w:val="left" w:pos="1440"/>
          <w:tab w:val="center" w:pos="4925"/>
        </w:tabs>
        <w:jc w:val="center"/>
        <w:rPr>
          <w:rFonts w:ascii="Times New Roman" w:hAnsi="Times New Roman" w:cs="Times New Roman"/>
          <w:b/>
          <w:sz w:val="24"/>
          <w:szCs w:val="24"/>
        </w:rPr>
      </w:pPr>
      <w:r w:rsidRPr="000551A4">
        <w:rPr>
          <w:rFonts w:ascii="Times New Roman" w:hAnsi="Times New Roman" w:cs="Times New Roman"/>
          <w:b/>
          <w:sz w:val="24"/>
          <w:szCs w:val="24"/>
        </w:rPr>
        <w:t>PSYCHIATRIC HOSPITAL SERVICES</w:t>
      </w:r>
    </w:p>
    <w:p w:rsidR="000551A4" w:rsidRPr="000551A4" w:rsidRDefault="00EA4155" w:rsidP="000551A4">
      <w:pPr>
        <w:tabs>
          <w:tab w:val="left" w:pos="1440"/>
          <w:tab w:val="center" w:pos="4925"/>
        </w:tabs>
        <w:jc w:val="center"/>
        <w:rPr>
          <w:rFonts w:ascii="Times New Roman" w:hAnsi="Times New Roman" w:cs="Times New Roman"/>
          <w:b/>
          <w:sz w:val="24"/>
          <w:szCs w:val="24"/>
        </w:rPr>
      </w:pPr>
      <w:r>
        <w:rPr>
          <w:rFonts w:ascii="Times New Roman" w:hAnsi="Times New Roman" w:cs="Times New Roman"/>
          <w:b/>
          <w:sz w:val="24"/>
          <w:szCs w:val="24"/>
        </w:rPr>
        <w:t xml:space="preserve">FINAL </w:t>
      </w:r>
      <w:r w:rsidR="000551A4" w:rsidRPr="000551A4">
        <w:rPr>
          <w:rFonts w:ascii="Times New Roman" w:hAnsi="Times New Roman" w:cs="Times New Roman"/>
          <w:b/>
          <w:sz w:val="24"/>
          <w:szCs w:val="24"/>
        </w:rPr>
        <w:t>METHODS AND STANDARDS</w:t>
      </w:r>
    </w:p>
    <w:p w:rsidR="000551A4" w:rsidRPr="000551A4" w:rsidRDefault="000551A4" w:rsidP="000551A4">
      <w:pPr>
        <w:tabs>
          <w:tab w:val="left" w:pos="1440"/>
          <w:tab w:val="center" w:pos="4925"/>
        </w:tabs>
        <w:jc w:val="center"/>
        <w:rPr>
          <w:rFonts w:ascii="Times New Roman" w:hAnsi="Times New Roman" w:cs="Times New Roman"/>
          <w:sz w:val="24"/>
          <w:szCs w:val="24"/>
        </w:rPr>
      </w:pPr>
      <w:r w:rsidRPr="000551A4">
        <w:rPr>
          <w:rFonts w:ascii="Times New Roman" w:hAnsi="Times New Roman" w:cs="Times New Roman"/>
          <w:b/>
          <w:sz w:val="24"/>
          <w:szCs w:val="24"/>
        </w:rPr>
        <w:t>FOR RATES EFFECTIVE OCTOBER 1, 201</w:t>
      </w:r>
      <w:r w:rsidR="001E50FE">
        <w:rPr>
          <w:rFonts w:ascii="Times New Roman" w:hAnsi="Times New Roman" w:cs="Times New Roman"/>
          <w:b/>
          <w:sz w:val="24"/>
          <w:szCs w:val="24"/>
        </w:rPr>
        <w:t>9</w:t>
      </w:r>
    </w:p>
    <w:p w:rsidR="000551A4" w:rsidRPr="000551A4" w:rsidRDefault="000551A4" w:rsidP="000551A4">
      <w:pPr>
        <w:tabs>
          <w:tab w:val="left" w:pos="1440"/>
          <w:tab w:val="center" w:pos="4925"/>
        </w:tabs>
        <w:rPr>
          <w:rFonts w:ascii="Times New Roman" w:hAnsi="Times New Roman" w:cs="Times New Roman"/>
          <w:sz w:val="24"/>
          <w:szCs w:val="24"/>
        </w:rPr>
      </w:pPr>
    </w:p>
    <w:p w:rsidR="000551A4" w:rsidRPr="000551A4" w:rsidRDefault="000551A4" w:rsidP="000551A4">
      <w:pPr>
        <w:tabs>
          <w:tab w:val="left" w:pos="1440"/>
          <w:tab w:val="center" w:pos="4925"/>
        </w:tabs>
        <w:rPr>
          <w:rFonts w:ascii="Times New Roman" w:hAnsi="Times New Roman" w:cs="Times New Roman"/>
          <w:sz w:val="24"/>
          <w:szCs w:val="24"/>
        </w:rPr>
      </w:pPr>
      <w:r w:rsidRPr="000551A4">
        <w:rPr>
          <w:rFonts w:ascii="Times New Roman" w:hAnsi="Times New Roman" w:cs="Times New Roman"/>
          <w:sz w:val="24"/>
          <w:szCs w:val="24"/>
        </w:rPr>
        <w:t>The following sections describe the methods and standards to be utilized by the Executive Office of Health and Human Services (</w:t>
      </w:r>
      <w:r w:rsidR="00B16A29">
        <w:rPr>
          <w:rFonts w:ascii="Times New Roman" w:hAnsi="Times New Roman" w:cs="Times New Roman"/>
          <w:sz w:val="24"/>
          <w:szCs w:val="24"/>
        </w:rPr>
        <w:t>EO</w:t>
      </w:r>
      <w:r w:rsidRPr="000551A4">
        <w:rPr>
          <w:rFonts w:ascii="Times New Roman" w:hAnsi="Times New Roman" w:cs="Times New Roman"/>
          <w:sz w:val="24"/>
          <w:szCs w:val="24"/>
        </w:rPr>
        <w:t>HHS) to establish rates of payment by con</w:t>
      </w:r>
      <w:r w:rsidR="00025D69">
        <w:rPr>
          <w:rFonts w:ascii="Times New Roman" w:hAnsi="Times New Roman" w:cs="Times New Roman"/>
          <w:sz w:val="24"/>
          <w:szCs w:val="24"/>
        </w:rPr>
        <w:t>tract, to be effective October 1</w:t>
      </w:r>
      <w:r w:rsidRPr="000551A4">
        <w:rPr>
          <w:rFonts w:ascii="Times New Roman" w:hAnsi="Times New Roman" w:cs="Times New Roman"/>
          <w:sz w:val="24"/>
          <w:szCs w:val="24"/>
        </w:rPr>
        <w:t>, 201</w:t>
      </w:r>
      <w:r w:rsidR="001E50FE">
        <w:rPr>
          <w:rFonts w:ascii="Times New Roman" w:hAnsi="Times New Roman" w:cs="Times New Roman"/>
          <w:sz w:val="24"/>
          <w:szCs w:val="24"/>
        </w:rPr>
        <w:t>9</w:t>
      </w:r>
      <w:r w:rsidRPr="000551A4">
        <w:rPr>
          <w:rFonts w:ascii="Times New Roman" w:hAnsi="Times New Roman" w:cs="Times New Roman"/>
          <w:sz w:val="24"/>
          <w:szCs w:val="24"/>
        </w:rPr>
        <w:t>, for</w:t>
      </w:r>
      <w:r w:rsidR="002B265F">
        <w:rPr>
          <w:rFonts w:ascii="Times New Roman" w:hAnsi="Times New Roman" w:cs="Times New Roman"/>
          <w:sz w:val="24"/>
          <w:szCs w:val="24"/>
        </w:rPr>
        <w:t xml:space="preserve"> services rendered by privately </w:t>
      </w:r>
      <w:r w:rsidRPr="000551A4">
        <w:rPr>
          <w:rFonts w:ascii="Times New Roman" w:hAnsi="Times New Roman" w:cs="Times New Roman"/>
          <w:sz w:val="24"/>
          <w:szCs w:val="24"/>
        </w:rPr>
        <w:t>owned psychiatric hospitals licensed by DMH to patients with appropriate medical needs.</w:t>
      </w:r>
    </w:p>
    <w:p w:rsidR="000551A4" w:rsidRPr="000551A4" w:rsidRDefault="000551A4" w:rsidP="000551A4">
      <w:pPr>
        <w:tabs>
          <w:tab w:val="left" w:pos="1440"/>
          <w:tab w:val="center" w:pos="4925"/>
        </w:tabs>
        <w:rPr>
          <w:rFonts w:ascii="Times New Roman" w:hAnsi="Times New Roman" w:cs="Times New Roman"/>
          <w:sz w:val="24"/>
          <w:szCs w:val="24"/>
        </w:rPr>
      </w:pPr>
    </w:p>
    <w:p w:rsidR="000551A4" w:rsidRPr="000551A4" w:rsidRDefault="000551A4" w:rsidP="000551A4">
      <w:pPr>
        <w:tabs>
          <w:tab w:val="left" w:pos="1440"/>
          <w:tab w:val="center" w:pos="4925"/>
        </w:tabs>
        <w:rPr>
          <w:rFonts w:ascii="Times New Roman" w:hAnsi="Times New Roman" w:cs="Times New Roman"/>
          <w:sz w:val="24"/>
          <w:szCs w:val="24"/>
        </w:rPr>
      </w:pPr>
      <w:r w:rsidRPr="000551A4">
        <w:rPr>
          <w:rFonts w:ascii="Times New Roman" w:hAnsi="Times New Roman" w:cs="Times New Roman"/>
          <w:sz w:val="24"/>
          <w:szCs w:val="24"/>
        </w:rPr>
        <w:t>DESCRIPTION OF METHODS AND STANDARDS</w:t>
      </w:r>
    </w:p>
    <w:p w:rsidR="000551A4" w:rsidRPr="000551A4" w:rsidRDefault="000551A4" w:rsidP="000551A4">
      <w:pPr>
        <w:tabs>
          <w:tab w:val="left" w:pos="1440"/>
          <w:tab w:val="center" w:pos="4925"/>
        </w:tabs>
        <w:rPr>
          <w:rFonts w:ascii="Times New Roman" w:hAnsi="Times New Roman" w:cs="Times New Roman"/>
          <w:sz w:val="24"/>
          <w:szCs w:val="24"/>
        </w:rPr>
      </w:pPr>
    </w:p>
    <w:p w:rsidR="000551A4" w:rsidRPr="000551A4" w:rsidRDefault="000551A4" w:rsidP="000551A4">
      <w:pPr>
        <w:tabs>
          <w:tab w:val="left" w:pos="1440"/>
          <w:tab w:val="center" w:pos="4925"/>
        </w:tabs>
        <w:rPr>
          <w:rFonts w:ascii="Times New Roman" w:hAnsi="Times New Roman" w:cs="Times New Roman"/>
          <w:sz w:val="24"/>
          <w:szCs w:val="24"/>
        </w:rPr>
      </w:pPr>
      <w:r w:rsidRPr="000551A4">
        <w:rPr>
          <w:rFonts w:ascii="Times New Roman" w:hAnsi="Times New Roman" w:cs="Times New Roman"/>
          <w:sz w:val="24"/>
          <w:szCs w:val="24"/>
        </w:rPr>
        <w:t>Statewide Standard Psychiatric Per Diem</w:t>
      </w:r>
    </w:p>
    <w:p w:rsidR="008F5FA0" w:rsidRPr="000551A4" w:rsidRDefault="008F5FA0" w:rsidP="000551A4">
      <w:pPr>
        <w:tabs>
          <w:tab w:val="left" w:pos="1440"/>
          <w:tab w:val="center" w:pos="4925"/>
        </w:tabs>
        <w:rPr>
          <w:rFonts w:ascii="Times New Roman" w:hAnsi="Times New Roman" w:cs="Times New Roman"/>
          <w:sz w:val="24"/>
          <w:szCs w:val="24"/>
        </w:rPr>
      </w:pPr>
    </w:p>
    <w:p w:rsidR="008F5FA0" w:rsidRDefault="000551A4" w:rsidP="0004339A">
      <w:pPr>
        <w:tabs>
          <w:tab w:val="left" w:pos="1440"/>
          <w:tab w:val="center" w:pos="4925"/>
        </w:tabs>
        <w:rPr>
          <w:rFonts w:ascii="Times New Roman" w:hAnsi="Times New Roman" w:cs="Times New Roman"/>
          <w:sz w:val="24"/>
          <w:szCs w:val="24"/>
        </w:rPr>
      </w:pPr>
      <w:r w:rsidRPr="000551A4">
        <w:rPr>
          <w:rFonts w:ascii="Times New Roman" w:hAnsi="Times New Roman" w:cs="Times New Roman"/>
          <w:sz w:val="24"/>
          <w:szCs w:val="24"/>
        </w:rPr>
        <w:t>MassHealth pays privately owned psychiatric hospitals a</w:t>
      </w:r>
      <w:r w:rsidR="00B1210C">
        <w:rPr>
          <w:rFonts w:ascii="Times New Roman" w:hAnsi="Times New Roman" w:cs="Times New Roman"/>
          <w:sz w:val="24"/>
          <w:szCs w:val="24"/>
        </w:rPr>
        <w:t>n all-inclusive</w:t>
      </w:r>
      <w:r w:rsidR="002564DF">
        <w:rPr>
          <w:rFonts w:ascii="Times New Roman" w:hAnsi="Times New Roman" w:cs="Times New Roman"/>
          <w:sz w:val="24"/>
          <w:szCs w:val="24"/>
        </w:rPr>
        <w:t xml:space="preserve"> </w:t>
      </w:r>
      <w:r w:rsidRPr="000551A4">
        <w:rPr>
          <w:rFonts w:ascii="Times New Roman" w:hAnsi="Times New Roman" w:cs="Times New Roman"/>
          <w:sz w:val="24"/>
          <w:szCs w:val="24"/>
        </w:rPr>
        <w:t>statewide inpatient per diem rate</w:t>
      </w:r>
      <w:r w:rsidR="008F5FA0">
        <w:rPr>
          <w:rFonts w:ascii="Times New Roman" w:hAnsi="Times New Roman" w:cs="Times New Roman"/>
          <w:sz w:val="24"/>
          <w:szCs w:val="24"/>
        </w:rPr>
        <w:t>.  The per diem rate of payment is calculated on the basis of three components:</w:t>
      </w:r>
      <w:r w:rsidR="0004339A">
        <w:rPr>
          <w:rFonts w:ascii="Times New Roman" w:hAnsi="Times New Roman" w:cs="Times New Roman"/>
          <w:sz w:val="24"/>
          <w:szCs w:val="24"/>
        </w:rPr>
        <w:t xml:space="preserve"> </w:t>
      </w:r>
      <w:r w:rsidR="008F5FA0">
        <w:rPr>
          <w:rFonts w:ascii="Times New Roman" w:hAnsi="Times New Roman" w:cs="Times New Roman"/>
          <w:sz w:val="24"/>
          <w:szCs w:val="24"/>
        </w:rPr>
        <w:t>Base Year Costs</w:t>
      </w:r>
      <w:r w:rsidR="0004339A">
        <w:rPr>
          <w:rFonts w:ascii="Times New Roman" w:hAnsi="Times New Roman" w:cs="Times New Roman"/>
          <w:sz w:val="24"/>
          <w:szCs w:val="24"/>
        </w:rPr>
        <w:t xml:space="preserve">; </w:t>
      </w:r>
      <w:r w:rsidR="008F5FA0">
        <w:rPr>
          <w:rFonts w:ascii="Times New Roman" w:hAnsi="Times New Roman" w:cs="Times New Roman"/>
          <w:sz w:val="24"/>
          <w:szCs w:val="24"/>
        </w:rPr>
        <w:t>Inflation Adjustments</w:t>
      </w:r>
      <w:r w:rsidR="0004339A">
        <w:rPr>
          <w:rFonts w:ascii="Times New Roman" w:hAnsi="Times New Roman" w:cs="Times New Roman"/>
          <w:sz w:val="24"/>
          <w:szCs w:val="24"/>
        </w:rPr>
        <w:t xml:space="preserve"> to Base Year Costs; and </w:t>
      </w:r>
      <w:r w:rsidR="008F5FA0">
        <w:rPr>
          <w:rFonts w:ascii="Times New Roman" w:hAnsi="Times New Roman" w:cs="Times New Roman"/>
          <w:sz w:val="24"/>
          <w:szCs w:val="24"/>
        </w:rPr>
        <w:t>Other Adjustments</w:t>
      </w:r>
      <w:r w:rsidR="0004339A">
        <w:rPr>
          <w:rFonts w:ascii="Times New Roman" w:hAnsi="Times New Roman" w:cs="Times New Roman"/>
          <w:sz w:val="24"/>
          <w:szCs w:val="24"/>
        </w:rPr>
        <w:t xml:space="preserve"> to Base Year Costs</w:t>
      </w:r>
      <w:r w:rsidR="008F5FA0">
        <w:rPr>
          <w:rFonts w:ascii="Times New Roman" w:hAnsi="Times New Roman" w:cs="Times New Roman"/>
          <w:sz w:val="24"/>
          <w:szCs w:val="24"/>
        </w:rPr>
        <w:t>.</w:t>
      </w:r>
    </w:p>
    <w:p w:rsidR="008F5FA0" w:rsidRDefault="008F5FA0" w:rsidP="008F5FA0">
      <w:pPr>
        <w:tabs>
          <w:tab w:val="left" w:pos="1440"/>
          <w:tab w:val="center" w:pos="4925"/>
        </w:tabs>
        <w:rPr>
          <w:rFonts w:ascii="Times New Roman" w:hAnsi="Times New Roman" w:cs="Times New Roman"/>
          <w:sz w:val="24"/>
          <w:szCs w:val="24"/>
        </w:rPr>
      </w:pPr>
    </w:p>
    <w:p w:rsidR="00F71601" w:rsidRPr="008F5FA0" w:rsidRDefault="008F5FA0" w:rsidP="0004339A">
      <w:pPr>
        <w:numPr>
          <w:ilvl w:val="0"/>
          <w:numId w:val="9"/>
        </w:numPr>
        <w:tabs>
          <w:tab w:val="left" w:pos="720"/>
          <w:tab w:val="center" w:pos="4925"/>
        </w:tabs>
        <w:rPr>
          <w:rFonts w:ascii="Times New Roman" w:hAnsi="Times New Roman" w:cs="Times New Roman"/>
          <w:sz w:val="24"/>
          <w:szCs w:val="24"/>
        </w:rPr>
      </w:pPr>
      <w:r w:rsidRPr="0004339A">
        <w:rPr>
          <w:rFonts w:ascii="Times New Roman" w:hAnsi="Times New Roman" w:cs="Times New Roman"/>
          <w:b/>
          <w:sz w:val="24"/>
          <w:szCs w:val="24"/>
        </w:rPr>
        <w:t>Base Year Costs:</w:t>
      </w:r>
      <w:r>
        <w:rPr>
          <w:rFonts w:ascii="Times New Roman" w:hAnsi="Times New Roman" w:cs="Times New Roman"/>
          <w:sz w:val="24"/>
          <w:szCs w:val="24"/>
        </w:rPr>
        <w:t xml:space="preserve"> Base year costs are </w:t>
      </w:r>
      <w:r w:rsidR="000551A4" w:rsidRPr="008F5FA0">
        <w:rPr>
          <w:rFonts w:ascii="Times New Roman" w:hAnsi="Times New Roman" w:cs="Times New Roman"/>
          <w:sz w:val="24"/>
          <w:szCs w:val="24"/>
        </w:rPr>
        <w:t>calculated using the FY 20</w:t>
      </w:r>
      <w:r w:rsidR="00630CB6" w:rsidRPr="008F5FA0">
        <w:rPr>
          <w:rFonts w:ascii="Times New Roman" w:hAnsi="Times New Roman" w:cs="Times New Roman"/>
          <w:sz w:val="24"/>
          <w:szCs w:val="24"/>
        </w:rPr>
        <w:t>18</w:t>
      </w:r>
      <w:r w:rsidR="000551A4" w:rsidRPr="008F5FA0">
        <w:rPr>
          <w:rFonts w:ascii="Times New Roman" w:hAnsi="Times New Roman" w:cs="Times New Roman"/>
          <w:sz w:val="24"/>
          <w:szCs w:val="24"/>
        </w:rPr>
        <w:t xml:space="preserve"> </w:t>
      </w:r>
      <w:r w:rsidR="009A6AA0" w:rsidRPr="008F5FA0">
        <w:rPr>
          <w:rFonts w:ascii="Times New Roman" w:hAnsi="Times New Roman" w:cs="Times New Roman"/>
          <w:sz w:val="24"/>
          <w:szCs w:val="24"/>
        </w:rPr>
        <w:t>Massachusetts Hospital</w:t>
      </w:r>
      <w:r w:rsidR="000551A4" w:rsidRPr="008F5FA0">
        <w:rPr>
          <w:rFonts w:ascii="Times New Roman" w:hAnsi="Times New Roman" w:cs="Times New Roman"/>
          <w:sz w:val="24"/>
          <w:szCs w:val="24"/>
        </w:rPr>
        <w:t xml:space="preserve"> </w:t>
      </w:r>
      <w:r w:rsidR="009A6AA0" w:rsidRPr="008F5FA0">
        <w:rPr>
          <w:rFonts w:ascii="Times New Roman" w:hAnsi="Times New Roman" w:cs="Times New Roman"/>
          <w:sz w:val="24"/>
          <w:szCs w:val="24"/>
        </w:rPr>
        <w:t>C</w:t>
      </w:r>
      <w:r w:rsidR="000551A4" w:rsidRPr="008F5FA0">
        <w:rPr>
          <w:rFonts w:ascii="Times New Roman" w:hAnsi="Times New Roman" w:cs="Times New Roman"/>
          <w:sz w:val="24"/>
          <w:szCs w:val="24"/>
        </w:rPr>
        <w:t xml:space="preserve">ost </w:t>
      </w:r>
      <w:r w:rsidR="009A6AA0" w:rsidRPr="008F5FA0">
        <w:rPr>
          <w:rFonts w:ascii="Times New Roman" w:hAnsi="Times New Roman" w:cs="Times New Roman"/>
          <w:sz w:val="24"/>
          <w:szCs w:val="24"/>
        </w:rPr>
        <w:t>R</w:t>
      </w:r>
      <w:r w:rsidR="000551A4" w:rsidRPr="008F5FA0">
        <w:rPr>
          <w:rFonts w:ascii="Times New Roman" w:hAnsi="Times New Roman" w:cs="Times New Roman"/>
          <w:sz w:val="24"/>
          <w:szCs w:val="24"/>
        </w:rPr>
        <w:t xml:space="preserve">eports. </w:t>
      </w:r>
      <w:r w:rsidR="00F71601" w:rsidRPr="008F5FA0">
        <w:rPr>
          <w:rFonts w:ascii="Times New Roman" w:hAnsi="Times New Roman" w:cs="Times New Roman"/>
          <w:sz w:val="24"/>
          <w:szCs w:val="24"/>
        </w:rPr>
        <w:t xml:space="preserve">Base year costs are equivalent to the total Patient Service Expense Including Capital. </w:t>
      </w:r>
      <w:r>
        <w:rPr>
          <w:rFonts w:ascii="Times New Roman" w:hAnsi="Times New Roman" w:cs="Times New Roman"/>
          <w:sz w:val="24"/>
          <w:szCs w:val="24"/>
        </w:rPr>
        <w:t xml:space="preserve"> </w:t>
      </w:r>
      <w:r w:rsidR="00F71601" w:rsidRPr="008F5FA0">
        <w:rPr>
          <w:rFonts w:ascii="Times New Roman" w:hAnsi="Times New Roman" w:cs="Times New Roman"/>
          <w:sz w:val="24"/>
          <w:szCs w:val="24"/>
        </w:rPr>
        <w:t xml:space="preserve">Per diem rates for each hospital </w:t>
      </w:r>
      <w:r w:rsidR="005234E5" w:rsidRPr="008F5FA0">
        <w:rPr>
          <w:rFonts w:ascii="Times New Roman" w:hAnsi="Times New Roman" w:cs="Times New Roman"/>
          <w:sz w:val="24"/>
          <w:szCs w:val="24"/>
        </w:rPr>
        <w:t xml:space="preserve">were calculated by dividing each hospital’s base year costs by the hospital’s total base year bed days. The </w:t>
      </w:r>
      <w:r>
        <w:rPr>
          <w:rFonts w:ascii="Times New Roman" w:hAnsi="Times New Roman" w:cs="Times New Roman"/>
          <w:sz w:val="24"/>
          <w:szCs w:val="24"/>
        </w:rPr>
        <w:t>base year cost component of the s</w:t>
      </w:r>
      <w:r w:rsidR="005234E5" w:rsidRPr="008F5FA0">
        <w:rPr>
          <w:rFonts w:ascii="Times New Roman" w:hAnsi="Times New Roman" w:cs="Times New Roman"/>
          <w:sz w:val="24"/>
          <w:szCs w:val="24"/>
        </w:rPr>
        <w:t xml:space="preserve">tatewide inpatient per diem rate for all hospitals was calculated by taking the average of all individual hospital’s calculated per diem rate. </w:t>
      </w:r>
    </w:p>
    <w:p w:rsidR="00F71601" w:rsidRDefault="00F71601" w:rsidP="000551A4">
      <w:pPr>
        <w:tabs>
          <w:tab w:val="left" w:pos="1440"/>
          <w:tab w:val="center" w:pos="4925"/>
        </w:tabs>
        <w:rPr>
          <w:rFonts w:ascii="Times New Roman" w:hAnsi="Times New Roman" w:cs="Times New Roman"/>
          <w:sz w:val="24"/>
          <w:szCs w:val="24"/>
        </w:rPr>
      </w:pPr>
    </w:p>
    <w:p w:rsidR="000551A4" w:rsidRDefault="0004339A" w:rsidP="0004339A">
      <w:pPr>
        <w:numPr>
          <w:ilvl w:val="0"/>
          <w:numId w:val="9"/>
        </w:numPr>
        <w:tabs>
          <w:tab w:val="left" w:pos="720"/>
          <w:tab w:val="center" w:pos="4925"/>
        </w:tabs>
        <w:rPr>
          <w:rFonts w:ascii="Times New Roman" w:hAnsi="Times New Roman" w:cs="Times New Roman"/>
          <w:sz w:val="24"/>
          <w:szCs w:val="24"/>
        </w:rPr>
      </w:pPr>
      <w:r>
        <w:rPr>
          <w:rFonts w:ascii="Times New Roman" w:hAnsi="Times New Roman" w:cs="Times New Roman"/>
          <w:b/>
          <w:sz w:val="24"/>
          <w:szCs w:val="24"/>
        </w:rPr>
        <w:t>Inflation A</w:t>
      </w:r>
      <w:r w:rsidR="000551A4" w:rsidRPr="002A48D8">
        <w:rPr>
          <w:rFonts w:ascii="Times New Roman" w:hAnsi="Times New Roman" w:cs="Times New Roman"/>
          <w:b/>
          <w:sz w:val="24"/>
          <w:szCs w:val="24"/>
        </w:rPr>
        <w:t>djustment to Base</w:t>
      </w:r>
      <w:r w:rsidR="001B23E2">
        <w:rPr>
          <w:rFonts w:ascii="Times New Roman" w:hAnsi="Times New Roman" w:cs="Times New Roman"/>
          <w:b/>
          <w:sz w:val="24"/>
          <w:szCs w:val="24"/>
        </w:rPr>
        <w:t xml:space="preserve"> </w:t>
      </w:r>
      <w:r w:rsidR="000551A4" w:rsidRPr="002A48D8">
        <w:rPr>
          <w:rFonts w:ascii="Times New Roman" w:hAnsi="Times New Roman" w:cs="Times New Roman"/>
          <w:b/>
          <w:sz w:val="24"/>
          <w:szCs w:val="24"/>
        </w:rPr>
        <w:t>Year Costs</w:t>
      </w:r>
      <w:r>
        <w:rPr>
          <w:rFonts w:ascii="Times New Roman" w:hAnsi="Times New Roman" w:cs="Times New Roman"/>
          <w:sz w:val="24"/>
          <w:szCs w:val="24"/>
        </w:rPr>
        <w:t xml:space="preserve">: </w:t>
      </w:r>
      <w:r w:rsidR="005234E5">
        <w:rPr>
          <w:rFonts w:ascii="Times New Roman" w:hAnsi="Times New Roman" w:cs="Times New Roman"/>
          <w:sz w:val="24"/>
          <w:szCs w:val="24"/>
        </w:rPr>
        <w:t xml:space="preserve">The </w:t>
      </w:r>
      <w:r w:rsidR="008F5FA0">
        <w:rPr>
          <w:rFonts w:ascii="Times New Roman" w:hAnsi="Times New Roman" w:cs="Times New Roman"/>
          <w:sz w:val="24"/>
          <w:szCs w:val="24"/>
        </w:rPr>
        <w:t xml:space="preserve">average base year rate is further </w:t>
      </w:r>
      <w:r w:rsidR="008A1903">
        <w:rPr>
          <w:rFonts w:ascii="Times New Roman" w:hAnsi="Times New Roman" w:cs="Times New Roman"/>
          <w:sz w:val="24"/>
          <w:szCs w:val="24"/>
        </w:rPr>
        <w:t>updated to account for inflation from the base year</w:t>
      </w:r>
      <w:r w:rsidR="008F5FA0">
        <w:rPr>
          <w:rFonts w:ascii="Times New Roman" w:hAnsi="Times New Roman" w:cs="Times New Roman"/>
          <w:sz w:val="24"/>
          <w:szCs w:val="24"/>
        </w:rPr>
        <w:t>. Inflationary adjustment factor provided by the Center for Health Information and Analysis (CHIA) for the period</w:t>
      </w:r>
      <w:r w:rsidR="008A1903">
        <w:rPr>
          <w:rFonts w:ascii="Times New Roman" w:hAnsi="Times New Roman" w:cs="Times New Roman"/>
          <w:sz w:val="24"/>
          <w:szCs w:val="24"/>
        </w:rPr>
        <w:t xml:space="preserve"> 2018 – 202</w:t>
      </w:r>
      <w:r w:rsidR="008F5FA0">
        <w:rPr>
          <w:rFonts w:ascii="Times New Roman" w:hAnsi="Times New Roman" w:cs="Times New Roman"/>
          <w:sz w:val="24"/>
          <w:szCs w:val="24"/>
        </w:rPr>
        <w:t xml:space="preserve">0 is </w:t>
      </w:r>
      <w:r w:rsidR="008A1903">
        <w:rPr>
          <w:rFonts w:ascii="Times New Roman" w:hAnsi="Times New Roman" w:cs="Times New Roman"/>
          <w:sz w:val="24"/>
          <w:szCs w:val="24"/>
        </w:rPr>
        <w:t>5.6</w:t>
      </w:r>
      <w:r w:rsidR="009A6AA0">
        <w:rPr>
          <w:rFonts w:ascii="Times New Roman" w:hAnsi="Times New Roman" w:cs="Times New Roman"/>
          <w:sz w:val="24"/>
          <w:szCs w:val="24"/>
        </w:rPr>
        <w:t>44</w:t>
      </w:r>
      <w:r w:rsidR="008A1903">
        <w:rPr>
          <w:rFonts w:ascii="Times New Roman" w:hAnsi="Times New Roman" w:cs="Times New Roman"/>
          <w:sz w:val="24"/>
          <w:szCs w:val="24"/>
        </w:rPr>
        <w:t>%</w:t>
      </w:r>
      <w:r w:rsidR="000C1178">
        <w:rPr>
          <w:rFonts w:ascii="Times New Roman" w:hAnsi="Times New Roman" w:cs="Times New Roman"/>
          <w:sz w:val="24"/>
          <w:szCs w:val="24"/>
        </w:rPr>
        <w:t>.</w:t>
      </w:r>
    </w:p>
    <w:p w:rsidR="008A1903" w:rsidRPr="0004339A" w:rsidRDefault="008A1903" w:rsidP="000551A4">
      <w:pPr>
        <w:tabs>
          <w:tab w:val="left" w:pos="1440"/>
          <w:tab w:val="center" w:pos="4925"/>
        </w:tabs>
        <w:rPr>
          <w:rFonts w:ascii="Times New Roman" w:hAnsi="Times New Roman" w:cs="Times New Roman"/>
          <w:b/>
          <w:sz w:val="24"/>
          <w:szCs w:val="24"/>
        </w:rPr>
      </w:pPr>
    </w:p>
    <w:p w:rsidR="000551A4" w:rsidRPr="000551A4" w:rsidRDefault="008F5FA0" w:rsidP="0004339A">
      <w:pPr>
        <w:numPr>
          <w:ilvl w:val="0"/>
          <w:numId w:val="9"/>
        </w:numPr>
        <w:tabs>
          <w:tab w:val="left" w:pos="720"/>
          <w:tab w:val="center" w:pos="4925"/>
        </w:tabs>
        <w:rPr>
          <w:rFonts w:ascii="Times New Roman" w:hAnsi="Times New Roman" w:cs="Times New Roman"/>
          <w:sz w:val="24"/>
          <w:szCs w:val="24"/>
        </w:rPr>
      </w:pPr>
      <w:r w:rsidRPr="0004339A">
        <w:rPr>
          <w:rFonts w:ascii="Times New Roman" w:hAnsi="Times New Roman" w:cs="Times New Roman"/>
          <w:b/>
          <w:sz w:val="24"/>
          <w:szCs w:val="24"/>
        </w:rPr>
        <w:t xml:space="preserve">Other </w:t>
      </w:r>
      <w:r w:rsidR="0004339A">
        <w:rPr>
          <w:rFonts w:ascii="Times New Roman" w:hAnsi="Times New Roman" w:cs="Times New Roman"/>
          <w:b/>
          <w:sz w:val="24"/>
          <w:szCs w:val="24"/>
        </w:rPr>
        <w:t>A</w:t>
      </w:r>
      <w:r w:rsidRPr="0004339A">
        <w:rPr>
          <w:rFonts w:ascii="Times New Roman" w:hAnsi="Times New Roman" w:cs="Times New Roman"/>
          <w:b/>
          <w:sz w:val="24"/>
          <w:szCs w:val="24"/>
        </w:rPr>
        <w:t>djustments</w:t>
      </w:r>
      <w:r w:rsidR="0004339A">
        <w:rPr>
          <w:rFonts w:ascii="Times New Roman" w:hAnsi="Times New Roman" w:cs="Times New Roman"/>
          <w:b/>
          <w:sz w:val="24"/>
          <w:szCs w:val="24"/>
        </w:rPr>
        <w:t xml:space="preserve"> to Base Year Costs</w:t>
      </w:r>
      <w:r w:rsidR="0004339A">
        <w:rPr>
          <w:rFonts w:ascii="Times New Roman" w:hAnsi="Times New Roman" w:cs="Times New Roman"/>
          <w:sz w:val="24"/>
          <w:szCs w:val="24"/>
        </w:rPr>
        <w:t xml:space="preserve">: </w:t>
      </w:r>
      <w:r>
        <w:rPr>
          <w:rFonts w:ascii="Times New Roman" w:hAnsi="Times New Roman" w:cs="Times New Roman"/>
          <w:sz w:val="24"/>
          <w:szCs w:val="24"/>
        </w:rPr>
        <w:t xml:space="preserve">The </w:t>
      </w:r>
      <w:r w:rsidR="0004339A">
        <w:rPr>
          <w:rFonts w:ascii="Times New Roman" w:hAnsi="Times New Roman" w:cs="Times New Roman"/>
          <w:sz w:val="24"/>
          <w:szCs w:val="24"/>
        </w:rPr>
        <w:t>I</w:t>
      </w:r>
      <w:r>
        <w:rPr>
          <w:rFonts w:ascii="Times New Roman" w:hAnsi="Times New Roman" w:cs="Times New Roman"/>
          <w:sz w:val="24"/>
          <w:szCs w:val="24"/>
        </w:rPr>
        <w:t xml:space="preserve">nflation </w:t>
      </w:r>
      <w:r w:rsidR="0004339A">
        <w:rPr>
          <w:rFonts w:ascii="Times New Roman" w:hAnsi="Times New Roman" w:cs="Times New Roman"/>
          <w:sz w:val="24"/>
          <w:szCs w:val="24"/>
        </w:rPr>
        <w:t>A</w:t>
      </w:r>
      <w:r>
        <w:rPr>
          <w:rFonts w:ascii="Times New Roman" w:hAnsi="Times New Roman" w:cs="Times New Roman"/>
          <w:sz w:val="24"/>
          <w:szCs w:val="24"/>
        </w:rPr>
        <w:t xml:space="preserve">djusted </w:t>
      </w:r>
      <w:r w:rsidR="0004339A">
        <w:rPr>
          <w:rFonts w:ascii="Times New Roman" w:hAnsi="Times New Roman" w:cs="Times New Roman"/>
          <w:sz w:val="24"/>
          <w:szCs w:val="24"/>
        </w:rPr>
        <w:t>B</w:t>
      </w:r>
      <w:r>
        <w:rPr>
          <w:rFonts w:ascii="Times New Roman" w:hAnsi="Times New Roman" w:cs="Times New Roman"/>
          <w:sz w:val="24"/>
          <w:szCs w:val="24"/>
        </w:rPr>
        <w:t xml:space="preserve">ase </w:t>
      </w:r>
      <w:r w:rsidR="0004339A">
        <w:rPr>
          <w:rFonts w:ascii="Times New Roman" w:hAnsi="Times New Roman" w:cs="Times New Roman"/>
          <w:sz w:val="24"/>
          <w:szCs w:val="24"/>
        </w:rPr>
        <w:t>Y</w:t>
      </w:r>
      <w:r>
        <w:rPr>
          <w:rFonts w:ascii="Times New Roman" w:hAnsi="Times New Roman" w:cs="Times New Roman"/>
          <w:sz w:val="24"/>
          <w:szCs w:val="24"/>
        </w:rPr>
        <w:t xml:space="preserve">ear </w:t>
      </w:r>
      <w:r w:rsidR="0004339A">
        <w:rPr>
          <w:rFonts w:ascii="Times New Roman" w:hAnsi="Times New Roman" w:cs="Times New Roman"/>
          <w:sz w:val="24"/>
          <w:szCs w:val="24"/>
        </w:rPr>
        <w:t>C</w:t>
      </w:r>
      <w:r>
        <w:rPr>
          <w:rFonts w:ascii="Times New Roman" w:hAnsi="Times New Roman" w:cs="Times New Roman"/>
          <w:sz w:val="24"/>
          <w:szCs w:val="24"/>
        </w:rPr>
        <w:t xml:space="preserve">osts are further adjusted to account for additional programmatic requirements of Inpatient Psychiatric Hospitals </w:t>
      </w:r>
      <w:r w:rsidR="0004339A">
        <w:rPr>
          <w:rFonts w:ascii="Times New Roman" w:hAnsi="Times New Roman" w:cs="Times New Roman"/>
          <w:sz w:val="24"/>
          <w:szCs w:val="24"/>
        </w:rPr>
        <w:t xml:space="preserve">contributing to additional hospital operating costs. These programmatic requirements include </w:t>
      </w:r>
      <w:r>
        <w:rPr>
          <w:rFonts w:ascii="Times New Roman" w:hAnsi="Times New Roman" w:cs="Times New Roman"/>
          <w:sz w:val="24"/>
          <w:szCs w:val="24"/>
        </w:rPr>
        <w:t xml:space="preserve">core clinical competencies related to managed SUD, medical comorbidities, and severe behavioral presentation. These other adjustments account for an additional 14.606% increase over inflation adjusted base costs. </w:t>
      </w:r>
      <w:r w:rsidR="000551A4" w:rsidRPr="000551A4">
        <w:rPr>
          <w:rFonts w:ascii="Times New Roman" w:hAnsi="Times New Roman" w:cs="Times New Roman"/>
          <w:sz w:val="24"/>
          <w:szCs w:val="24"/>
        </w:rPr>
        <w:t>The resulting Inpatient Per Diem rate for privately owne</w:t>
      </w:r>
      <w:r w:rsidR="005E46ED">
        <w:rPr>
          <w:rFonts w:ascii="Times New Roman" w:hAnsi="Times New Roman" w:cs="Times New Roman"/>
          <w:sz w:val="24"/>
          <w:szCs w:val="24"/>
        </w:rPr>
        <w:t>d psychiatric hospitals</w:t>
      </w:r>
      <w:r w:rsidR="00025D69">
        <w:rPr>
          <w:rFonts w:ascii="Times New Roman" w:hAnsi="Times New Roman" w:cs="Times New Roman"/>
          <w:sz w:val="24"/>
          <w:szCs w:val="24"/>
        </w:rPr>
        <w:t xml:space="preserve"> in effect as of October 1, 201</w:t>
      </w:r>
      <w:r w:rsidR="001E50FE">
        <w:rPr>
          <w:rFonts w:ascii="Times New Roman" w:hAnsi="Times New Roman" w:cs="Times New Roman"/>
          <w:sz w:val="24"/>
          <w:szCs w:val="24"/>
        </w:rPr>
        <w:t>9</w:t>
      </w:r>
      <w:r w:rsidR="00A12D3F">
        <w:rPr>
          <w:rFonts w:ascii="Times New Roman" w:hAnsi="Times New Roman" w:cs="Times New Roman"/>
          <w:sz w:val="24"/>
          <w:szCs w:val="24"/>
        </w:rPr>
        <w:t>,</w:t>
      </w:r>
      <w:r w:rsidR="0026445D">
        <w:rPr>
          <w:rFonts w:ascii="Times New Roman" w:hAnsi="Times New Roman" w:cs="Times New Roman"/>
          <w:sz w:val="24"/>
          <w:szCs w:val="24"/>
        </w:rPr>
        <w:t xml:space="preserve"> is</w:t>
      </w:r>
      <w:r w:rsidR="000551A4" w:rsidRPr="000551A4">
        <w:rPr>
          <w:rFonts w:ascii="Times New Roman" w:hAnsi="Times New Roman" w:cs="Times New Roman"/>
          <w:sz w:val="24"/>
          <w:szCs w:val="24"/>
        </w:rPr>
        <w:t xml:space="preserve"> $</w:t>
      </w:r>
      <w:r w:rsidR="00EA4155">
        <w:rPr>
          <w:rFonts w:ascii="Times New Roman" w:hAnsi="Times New Roman" w:cs="Times New Roman"/>
          <w:sz w:val="24"/>
          <w:szCs w:val="24"/>
        </w:rPr>
        <w:t>941.10</w:t>
      </w:r>
      <w:r w:rsidR="000C1178">
        <w:rPr>
          <w:rFonts w:ascii="Times New Roman" w:hAnsi="Times New Roman" w:cs="Times New Roman"/>
          <w:sz w:val="24"/>
          <w:szCs w:val="24"/>
        </w:rPr>
        <w:t>.</w:t>
      </w:r>
    </w:p>
    <w:p w:rsidR="000551A4" w:rsidRPr="000551A4" w:rsidRDefault="000551A4" w:rsidP="000551A4">
      <w:pPr>
        <w:tabs>
          <w:tab w:val="left" w:pos="1440"/>
          <w:tab w:val="center" w:pos="4925"/>
        </w:tabs>
        <w:rPr>
          <w:rFonts w:ascii="Times New Roman" w:hAnsi="Times New Roman" w:cs="Times New Roman"/>
          <w:sz w:val="24"/>
          <w:szCs w:val="24"/>
        </w:rPr>
      </w:pPr>
    </w:p>
    <w:p w:rsidR="000551A4" w:rsidRPr="005E46ED" w:rsidRDefault="000551A4" w:rsidP="000551A4">
      <w:pPr>
        <w:tabs>
          <w:tab w:val="left" w:pos="1440"/>
          <w:tab w:val="center" w:pos="4925"/>
        </w:tabs>
        <w:rPr>
          <w:rFonts w:ascii="Times New Roman" w:hAnsi="Times New Roman" w:cs="Times New Roman"/>
          <w:b/>
          <w:sz w:val="24"/>
          <w:szCs w:val="24"/>
        </w:rPr>
      </w:pPr>
      <w:r w:rsidRPr="005E46ED">
        <w:rPr>
          <w:rFonts w:ascii="Times New Roman" w:hAnsi="Times New Roman" w:cs="Times New Roman"/>
          <w:b/>
          <w:sz w:val="24"/>
          <w:szCs w:val="24"/>
        </w:rPr>
        <w:t>Administrative Days</w:t>
      </w:r>
    </w:p>
    <w:p w:rsidR="008F5FA0" w:rsidRPr="0004339A" w:rsidRDefault="005F6D59" w:rsidP="008F5FA0">
      <w:pPr>
        <w:pStyle w:val="NormalWeb"/>
        <w:rPr>
          <w:color w:val="000000"/>
        </w:rPr>
      </w:pPr>
      <w:r w:rsidRPr="0004339A">
        <w:t xml:space="preserve">In rare instances </w:t>
      </w:r>
      <w:r w:rsidR="000551A4" w:rsidRPr="0004339A">
        <w:t xml:space="preserve">MassHealth pays psychiatric hospitals for Administrative Days using an Administrative Day Per Diem Rate (AD Rate). The AD Rate is an all-inclusive daily rate paid for each Administrative Day.  </w:t>
      </w:r>
      <w:r w:rsidR="008F5FA0" w:rsidRPr="001B23E2">
        <w:t xml:space="preserve">Payments for Administrative Days are made on a per diem basis, using an Administratively Necessary Day Per Diem Rate (AND Rate) </w:t>
      </w:r>
      <w:r w:rsidR="008F5FA0" w:rsidRPr="005E05F1">
        <w:t xml:space="preserve">to maintain the ongoing provision of appropriate clinical care until the date of discharge. </w:t>
      </w:r>
      <w:r w:rsidR="008F5FA0" w:rsidRPr="0004339A">
        <w:t>The AND Rate is an all-inclusive daily rate and represents payment in full for all Administratively Necessary Days in all Psychiatric Hospitals.</w:t>
      </w:r>
      <w:r w:rsidR="0004339A">
        <w:t xml:space="preserve"> </w:t>
      </w:r>
      <w:r w:rsidR="008F5FA0" w:rsidRPr="0004339A">
        <w:rPr>
          <w:color w:val="000000"/>
        </w:rPr>
        <w:t xml:space="preserve">The </w:t>
      </w:r>
      <w:r w:rsidR="0004339A">
        <w:rPr>
          <w:color w:val="000000"/>
        </w:rPr>
        <w:t>AND</w:t>
      </w:r>
      <w:r w:rsidR="008F5FA0" w:rsidRPr="0004339A">
        <w:rPr>
          <w:color w:val="000000"/>
        </w:rPr>
        <w:t xml:space="preserve"> rate is only applied following clinical case review between an inpatient psychiatric hospital and MassHealth to determine that</w:t>
      </w:r>
      <w:r w:rsidR="00962151" w:rsidRPr="0004339A">
        <w:rPr>
          <w:color w:val="000000"/>
        </w:rPr>
        <w:t>:</w:t>
      </w:r>
    </w:p>
    <w:p w:rsidR="008F5FA0" w:rsidRDefault="008F5FA0" w:rsidP="008F5FA0">
      <w:pPr>
        <w:pStyle w:val="NormalWeb"/>
        <w:rPr>
          <w:color w:val="000000"/>
        </w:rPr>
      </w:pPr>
      <w:r>
        <w:rPr>
          <w:color w:val="000000"/>
        </w:rPr>
        <w:t xml:space="preserve">1. Clinical disposition calls for discharge. </w:t>
      </w:r>
    </w:p>
    <w:p w:rsidR="008F5FA0" w:rsidRDefault="008F5FA0" w:rsidP="008F5FA0">
      <w:pPr>
        <w:pStyle w:val="NormalWeb"/>
        <w:rPr>
          <w:color w:val="000000"/>
        </w:rPr>
      </w:pPr>
      <w:r>
        <w:rPr>
          <w:color w:val="000000"/>
        </w:rPr>
        <w:lastRenderedPageBreak/>
        <w:t xml:space="preserve">2. Barriers to discharge have been addressed and the discharge plan is ready to be executed. </w:t>
      </w:r>
    </w:p>
    <w:p w:rsidR="008F5FA0" w:rsidRDefault="008F5FA0" w:rsidP="008F5FA0">
      <w:pPr>
        <w:pStyle w:val="NormalWeb"/>
        <w:rPr>
          <w:color w:val="000000"/>
        </w:rPr>
      </w:pPr>
      <w:r>
        <w:rPr>
          <w:color w:val="000000"/>
        </w:rPr>
        <w:t xml:space="preserve">3. Date of discharge has been defined. </w:t>
      </w:r>
    </w:p>
    <w:p w:rsidR="000551A4" w:rsidRPr="000551A4" w:rsidRDefault="00025D69" w:rsidP="005F6D59">
      <w:pPr>
        <w:tabs>
          <w:tab w:val="left" w:pos="1440"/>
          <w:tab w:val="center" w:pos="4925"/>
        </w:tabs>
        <w:rPr>
          <w:rFonts w:ascii="Times New Roman" w:hAnsi="Times New Roman" w:cs="Times New Roman"/>
          <w:sz w:val="24"/>
          <w:szCs w:val="24"/>
        </w:rPr>
      </w:pPr>
      <w:r>
        <w:rPr>
          <w:rFonts w:ascii="Times New Roman" w:hAnsi="Times New Roman" w:cs="Times New Roman"/>
          <w:sz w:val="24"/>
          <w:szCs w:val="24"/>
        </w:rPr>
        <w:t>Effective October 1, 201</w:t>
      </w:r>
      <w:r w:rsidR="001E50FE">
        <w:rPr>
          <w:rFonts w:ascii="Times New Roman" w:hAnsi="Times New Roman" w:cs="Times New Roman"/>
          <w:sz w:val="24"/>
          <w:szCs w:val="24"/>
        </w:rPr>
        <w:t>9</w:t>
      </w:r>
      <w:r w:rsidR="000551A4" w:rsidRPr="000551A4">
        <w:rPr>
          <w:rFonts w:ascii="Times New Roman" w:hAnsi="Times New Roman" w:cs="Times New Roman"/>
          <w:sz w:val="24"/>
          <w:szCs w:val="24"/>
        </w:rPr>
        <w:t>, the resulting A</w:t>
      </w:r>
      <w:r w:rsidR="0004339A">
        <w:rPr>
          <w:rFonts w:ascii="Times New Roman" w:hAnsi="Times New Roman" w:cs="Times New Roman"/>
          <w:sz w:val="24"/>
          <w:szCs w:val="24"/>
        </w:rPr>
        <w:t>N</w:t>
      </w:r>
      <w:r w:rsidR="000551A4" w:rsidRPr="000551A4">
        <w:rPr>
          <w:rFonts w:ascii="Times New Roman" w:hAnsi="Times New Roman" w:cs="Times New Roman"/>
          <w:sz w:val="24"/>
          <w:szCs w:val="24"/>
        </w:rPr>
        <w:t>D Rate</w:t>
      </w:r>
      <w:r w:rsidR="00962151">
        <w:rPr>
          <w:rFonts w:ascii="Times New Roman" w:hAnsi="Times New Roman" w:cs="Times New Roman"/>
          <w:sz w:val="24"/>
          <w:szCs w:val="24"/>
        </w:rPr>
        <w:t xml:space="preserve"> is set at 75% of the Statewide Standard Psychiatric Per Diem which equates to $705.825.</w:t>
      </w:r>
    </w:p>
    <w:p w:rsidR="008C0A40" w:rsidRDefault="008C0A40" w:rsidP="000551A4">
      <w:pPr>
        <w:tabs>
          <w:tab w:val="left" w:pos="1440"/>
          <w:tab w:val="center" w:pos="4925"/>
        </w:tabs>
        <w:rPr>
          <w:rFonts w:ascii="Times New Roman" w:hAnsi="Times New Roman" w:cs="Times New Roman"/>
          <w:b/>
          <w:sz w:val="24"/>
          <w:szCs w:val="24"/>
        </w:rPr>
      </w:pPr>
    </w:p>
    <w:p w:rsidR="000551A4" w:rsidRPr="008C0A40" w:rsidRDefault="000551A4" w:rsidP="000551A4">
      <w:pPr>
        <w:tabs>
          <w:tab w:val="left" w:pos="1440"/>
          <w:tab w:val="center" w:pos="4925"/>
        </w:tabs>
        <w:rPr>
          <w:rFonts w:ascii="Times New Roman" w:hAnsi="Times New Roman" w:cs="Times New Roman"/>
          <w:b/>
          <w:sz w:val="24"/>
          <w:szCs w:val="24"/>
        </w:rPr>
      </w:pPr>
      <w:r w:rsidRPr="008C0A40">
        <w:rPr>
          <w:rFonts w:ascii="Times New Roman" w:hAnsi="Times New Roman" w:cs="Times New Roman"/>
          <w:b/>
          <w:sz w:val="24"/>
          <w:szCs w:val="24"/>
        </w:rPr>
        <w:t>Payment for Outpatient Services</w:t>
      </w:r>
    </w:p>
    <w:p w:rsidR="000551A4" w:rsidRPr="000551A4" w:rsidRDefault="000551A4" w:rsidP="000551A4">
      <w:pPr>
        <w:tabs>
          <w:tab w:val="left" w:pos="1440"/>
          <w:tab w:val="center" w:pos="4925"/>
        </w:tabs>
        <w:rPr>
          <w:rFonts w:ascii="Times New Roman" w:hAnsi="Times New Roman" w:cs="Times New Roman"/>
          <w:sz w:val="24"/>
          <w:szCs w:val="24"/>
        </w:rPr>
      </w:pPr>
    </w:p>
    <w:p w:rsidR="00726B68" w:rsidRDefault="000551A4" w:rsidP="001B23E2">
      <w:pPr>
        <w:autoSpaceDE w:val="0"/>
        <w:autoSpaceDN w:val="0"/>
        <w:rPr>
          <w:rFonts w:ascii="Times New Roman" w:hAnsi="Times New Roman" w:cs="Times New Roman"/>
          <w:sz w:val="24"/>
          <w:szCs w:val="24"/>
        </w:rPr>
      </w:pPr>
      <w:r w:rsidRPr="000551A4">
        <w:rPr>
          <w:rFonts w:ascii="Times New Roman" w:hAnsi="Times New Roman" w:cs="Times New Roman"/>
          <w:sz w:val="24"/>
          <w:szCs w:val="24"/>
        </w:rPr>
        <w:t>MassHealth pays private psychiatric hospitals for Outpatient Services using a</w:t>
      </w:r>
      <w:r w:rsidR="00E1352C">
        <w:rPr>
          <w:rFonts w:ascii="Times New Roman" w:hAnsi="Times New Roman" w:cs="Times New Roman"/>
          <w:sz w:val="24"/>
          <w:szCs w:val="24"/>
        </w:rPr>
        <w:t>n</w:t>
      </w:r>
      <w:r w:rsidRPr="000551A4">
        <w:rPr>
          <w:rFonts w:ascii="Times New Roman" w:hAnsi="Times New Roman" w:cs="Times New Roman"/>
          <w:sz w:val="24"/>
          <w:szCs w:val="24"/>
        </w:rPr>
        <w:t xml:space="preserve"> Outpatient Cost-to-Charge Ratio. The Outpatient Cost-to-Charge Ratio is a fixed percentage that is applied to a hospital’s Usual and Customary Charges for Outpatient Services. Payment for a particular Outpatient Service shall be equal to the product of the Cost-to-Charge Ratio times the hospital’s Usual and Customary Charge for the Outpatient Service in effect on July 1, 201</w:t>
      </w:r>
      <w:r w:rsidR="00402DB8">
        <w:rPr>
          <w:rFonts w:ascii="Times New Roman" w:hAnsi="Times New Roman" w:cs="Times New Roman"/>
          <w:sz w:val="24"/>
          <w:szCs w:val="24"/>
        </w:rPr>
        <w:t>8</w:t>
      </w:r>
      <w:r w:rsidR="00E1352C">
        <w:rPr>
          <w:rFonts w:ascii="Times New Roman" w:hAnsi="Times New Roman" w:cs="Times New Roman"/>
          <w:sz w:val="24"/>
          <w:szCs w:val="24"/>
        </w:rPr>
        <w:t xml:space="preserve"> and as reported to the Center for Health Information and Analysis.</w:t>
      </w:r>
      <w:r w:rsidRPr="000551A4">
        <w:rPr>
          <w:rFonts w:ascii="Times New Roman" w:hAnsi="Times New Roman" w:cs="Times New Roman"/>
          <w:sz w:val="24"/>
          <w:szCs w:val="24"/>
        </w:rPr>
        <w:t xml:space="preserve"> </w:t>
      </w:r>
    </w:p>
    <w:p w:rsidR="005F6D59" w:rsidRDefault="005F6D59" w:rsidP="000551A4">
      <w:pPr>
        <w:tabs>
          <w:tab w:val="left" w:pos="1440"/>
          <w:tab w:val="center" w:pos="4925"/>
        </w:tabs>
        <w:rPr>
          <w:rFonts w:ascii="Times New Roman" w:hAnsi="Times New Roman" w:cs="Times New Roman"/>
          <w:sz w:val="24"/>
          <w:szCs w:val="24"/>
        </w:rPr>
      </w:pPr>
    </w:p>
    <w:p w:rsidR="000551A4" w:rsidRPr="000551A4" w:rsidRDefault="00E1352C" w:rsidP="000551A4">
      <w:pPr>
        <w:tabs>
          <w:tab w:val="left" w:pos="1440"/>
          <w:tab w:val="center" w:pos="4925"/>
        </w:tabs>
        <w:rPr>
          <w:rFonts w:ascii="Times New Roman" w:hAnsi="Times New Roman" w:cs="Times New Roman"/>
          <w:sz w:val="24"/>
          <w:szCs w:val="24"/>
        </w:rPr>
      </w:pPr>
      <w:r>
        <w:rPr>
          <w:rFonts w:ascii="Times New Roman" w:hAnsi="Times New Roman" w:cs="Times New Roman"/>
          <w:sz w:val="24"/>
          <w:szCs w:val="24"/>
        </w:rPr>
        <w:t>This ratio is 64.8% and will be applied uniformly to all facilities.</w:t>
      </w:r>
    </w:p>
    <w:p w:rsidR="000551A4" w:rsidRPr="000551A4" w:rsidRDefault="000551A4" w:rsidP="000551A4">
      <w:pPr>
        <w:tabs>
          <w:tab w:val="left" w:pos="1440"/>
          <w:tab w:val="center" w:pos="4925"/>
        </w:tabs>
        <w:rPr>
          <w:rFonts w:ascii="Times New Roman" w:hAnsi="Times New Roman" w:cs="Times New Roman"/>
          <w:sz w:val="24"/>
          <w:szCs w:val="24"/>
        </w:rPr>
      </w:pPr>
    </w:p>
    <w:p w:rsidR="000551A4" w:rsidRPr="000551A4" w:rsidRDefault="0026445D" w:rsidP="000551A4">
      <w:pPr>
        <w:tabs>
          <w:tab w:val="left" w:pos="1440"/>
          <w:tab w:val="center" w:pos="4925"/>
        </w:tabs>
        <w:rPr>
          <w:rFonts w:ascii="Times New Roman" w:hAnsi="Times New Roman" w:cs="Times New Roman"/>
          <w:sz w:val="24"/>
          <w:szCs w:val="24"/>
        </w:rPr>
      </w:pPr>
      <w:r>
        <w:rPr>
          <w:rFonts w:ascii="Times New Roman" w:hAnsi="Times New Roman" w:cs="Times New Roman"/>
          <w:sz w:val="24"/>
          <w:szCs w:val="24"/>
        </w:rPr>
        <w:t>The</w:t>
      </w:r>
      <w:r w:rsidR="000551A4" w:rsidRPr="000551A4">
        <w:rPr>
          <w:rFonts w:ascii="Times New Roman" w:hAnsi="Times New Roman" w:cs="Times New Roman"/>
          <w:sz w:val="24"/>
          <w:szCs w:val="24"/>
        </w:rPr>
        <w:t xml:space="preserve"> Outpatient Cost-to-Charge Ratio</w:t>
      </w:r>
      <w:r>
        <w:rPr>
          <w:rFonts w:ascii="Times New Roman" w:hAnsi="Times New Roman" w:cs="Times New Roman"/>
          <w:sz w:val="24"/>
          <w:szCs w:val="24"/>
        </w:rPr>
        <w:t>s are as follows</w:t>
      </w:r>
      <w:r w:rsidR="000551A4" w:rsidRPr="000551A4">
        <w:rPr>
          <w:rFonts w:ascii="Times New Roman" w:hAnsi="Times New Roman" w:cs="Times New Roman"/>
          <w:sz w:val="24"/>
          <w:szCs w:val="24"/>
        </w:rPr>
        <w:t>:</w:t>
      </w:r>
    </w:p>
    <w:p w:rsidR="000551A4" w:rsidRPr="000551A4" w:rsidRDefault="000551A4" w:rsidP="000551A4">
      <w:pPr>
        <w:tabs>
          <w:tab w:val="left" w:pos="1440"/>
          <w:tab w:val="center" w:pos="4925"/>
        </w:tabs>
        <w:rPr>
          <w:rFonts w:ascii="Times New Roman" w:hAnsi="Times New Roman" w:cs="Times New Roman"/>
          <w:sz w:val="24"/>
          <w:szCs w:val="24"/>
        </w:rPr>
      </w:pPr>
    </w:p>
    <w:p w:rsidR="000551A4" w:rsidRPr="000551A4" w:rsidRDefault="000551A4" w:rsidP="000551A4">
      <w:pPr>
        <w:tabs>
          <w:tab w:val="left" w:pos="1440"/>
          <w:tab w:val="center" w:pos="4925"/>
        </w:tabs>
        <w:rPr>
          <w:rFonts w:ascii="Times New Roman" w:hAnsi="Times New Roman" w:cs="Times New Roman"/>
          <w:sz w:val="24"/>
          <w:szCs w:val="24"/>
        </w:rPr>
      </w:pPr>
      <w:r w:rsidRPr="000551A4">
        <w:rPr>
          <w:rFonts w:ascii="Times New Roman" w:hAnsi="Times New Roman" w:cs="Times New Roman"/>
          <w:sz w:val="24"/>
          <w:szCs w:val="24"/>
        </w:rPr>
        <w:t xml:space="preserve">Arbour, Inc. </w:t>
      </w:r>
      <w:r w:rsidRPr="000551A4">
        <w:rPr>
          <w:rFonts w:ascii="Times New Roman" w:hAnsi="Times New Roman" w:cs="Times New Roman"/>
          <w:sz w:val="24"/>
          <w:szCs w:val="24"/>
        </w:rPr>
        <w:tab/>
      </w:r>
      <w:r w:rsidRPr="000551A4">
        <w:rPr>
          <w:rFonts w:ascii="Times New Roman" w:hAnsi="Times New Roman" w:cs="Times New Roman"/>
          <w:sz w:val="24"/>
          <w:szCs w:val="24"/>
        </w:rPr>
        <w:tab/>
        <w:t>64.8%</w:t>
      </w:r>
    </w:p>
    <w:p w:rsidR="000551A4" w:rsidRPr="000551A4" w:rsidRDefault="000551A4" w:rsidP="000551A4">
      <w:pPr>
        <w:tabs>
          <w:tab w:val="left" w:pos="1440"/>
          <w:tab w:val="center" w:pos="4925"/>
        </w:tabs>
        <w:rPr>
          <w:rFonts w:ascii="Times New Roman" w:hAnsi="Times New Roman" w:cs="Times New Roman"/>
          <w:sz w:val="24"/>
          <w:szCs w:val="24"/>
        </w:rPr>
      </w:pPr>
    </w:p>
    <w:p w:rsidR="00402DB8" w:rsidRDefault="000551A4" w:rsidP="000551A4">
      <w:pPr>
        <w:tabs>
          <w:tab w:val="left" w:pos="1440"/>
          <w:tab w:val="center" w:pos="4925"/>
        </w:tabs>
        <w:rPr>
          <w:rFonts w:ascii="Times New Roman" w:hAnsi="Times New Roman" w:cs="Times New Roman"/>
          <w:sz w:val="24"/>
          <w:szCs w:val="24"/>
        </w:rPr>
      </w:pPr>
      <w:r w:rsidRPr="000551A4">
        <w:rPr>
          <w:rFonts w:ascii="Times New Roman" w:hAnsi="Times New Roman" w:cs="Times New Roman"/>
          <w:sz w:val="24"/>
          <w:szCs w:val="24"/>
        </w:rPr>
        <w:t xml:space="preserve">Bournewood Hospital </w:t>
      </w:r>
      <w:r w:rsidR="00402DB8">
        <w:rPr>
          <w:rFonts w:ascii="Times New Roman" w:hAnsi="Times New Roman" w:cs="Times New Roman"/>
          <w:sz w:val="24"/>
          <w:szCs w:val="24"/>
        </w:rPr>
        <w:tab/>
        <w:t>64.8%</w:t>
      </w:r>
    </w:p>
    <w:p w:rsidR="00402DB8" w:rsidRDefault="00402DB8" w:rsidP="000551A4">
      <w:pPr>
        <w:tabs>
          <w:tab w:val="left" w:pos="1440"/>
          <w:tab w:val="center" w:pos="4925"/>
        </w:tabs>
        <w:rPr>
          <w:rFonts w:ascii="Times New Roman" w:hAnsi="Times New Roman" w:cs="Times New Roman"/>
          <w:sz w:val="24"/>
          <w:szCs w:val="24"/>
        </w:rPr>
      </w:pPr>
    </w:p>
    <w:p w:rsidR="000551A4" w:rsidRDefault="00402DB8" w:rsidP="000551A4">
      <w:pPr>
        <w:tabs>
          <w:tab w:val="left" w:pos="1440"/>
          <w:tab w:val="center" w:pos="4925"/>
        </w:tabs>
        <w:rPr>
          <w:rFonts w:ascii="Times New Roman" w:hAnsi="Times New Roman" w:cs="Times New Roman"/>
          <w:sz w:val="24"/>
          <w:szCs w:val="24"/>
        </w:rPr>
      </w:pPr>
      <w:r>
        <w:rPr>
          <w:rFonts w:ascii="Times New Roman" w:hAnsi="Times New Roman" w:cs="Times New Roman"/>
          <w:sz w:val="24"/>
          <w:szCs w:val="24"/>
        </w:rPr>
        <w:t>Haverhill Pavilion</w:t>
      </w:r>
      <w:r w:rsidR="000551A4" w:rsidRPr="000551A4">
        <w:rPr>
          <w:rFonts w:ascii="Times New Roman" w:hAnsi="Times New Roman" w:cs="Times New Roman"/>
          <w:sz w:val="24"/>
          <w:szCs w:val="24"/>
        </w:rPr>
        <w:tab/>
      </w:r>
      <w:r>
        <w:rPr>
          <w:rFonts w:ascii="Times New Roman" w:hAnsi="Times New Roman" w:cs="Times New Roman"/>
          <w:sz w:val="24"/>
          <w:szCs w:val="24"/>
        </w:rPr>
        <w:t>64.8</w:t>
      </w:r>
      <w:r w:rsidR="000551A4" w:rsidRPr="000551A4">
        <w:rPr>
          <w:rFonts w:ascii="Times New Roman" w:hAnsi="Times New Roman" w:cs="Times New Roman"/>
          <w:sz w:val="24"/>
          <w:szCs w:val="24"/>
        </w:rPr>
        <w:t>%</w:t>
      </w:r>
    </w:p>
    <w:p w:rsidR="00402DB8" w:rsidRDefault="00402DB8" w:rsidP="000551A4">
      <w:pPr>
        <w:tabs>
          <w:tab w:val="left" w:pos="1440"/>
          <w:tab w:val="center" w:pos="4925"/>
        </w:tabs>
        <w:rPr>
          <w:rFonts w:ascii="Times New Roman" w:hAnsi="Times New Roman" w:cs="Times New Roman"/>
          <w:sz w:val="24"/>
          <w:szCs w:val="24"/>
        </w:rPr>
      </w:pPr>
    </w:p>
    <w:p w:rsidR="00402DB8" w:rsidRPr="000551A4" w:rsidRDefault="00402DB8" w:rsidP="000551A4">
      <w:pPr>
        <w:tabs>
          <w:tab w:val="left" w:pos="1440"/>
          <w:tab w:val="center" w:pos="4925"/>
        </w:tabs>
        <w:rPr>
          <w:rFonts w:ascii="Times New Roman" w:hAnsi="Times New Roman" w:cs="Times New Roman"/>
          <w:sz w:val="24"/>
          <w:szCs w:val="24"/>
        </w:rPr>
      </w:pPr>
      <w:r>
        <w:rPr>
          <w:rFonts w:ascii="Times New Roman" w:hAnsi="Times New Roman" w:cs="Times New Roman"/>
          <w:sz w:val="24"/>
          <w:szCs w:val="24"/>
        </w:rPr>
        <w:t>Hospital for Behavioral Health Medicine</w:t>
      </w:r>
      <w:r>
        <w:rPr>
          <w:rFonts w:ascii="Times New Roman" w:hAnsi="Times New Roman" w:cs="Times New Roman"/>
          <w:sz w:val="24"/>
          <w:szCs w:val="24"/>
        </w:rPr>
        <w:tab/>
        <w:t>64.8%</w:t>
      </w:r>
    </w:p>
    <w:p w:rsidR="000551A4" w:rsidRPr="000551A4" w:rsidRDefault="000551A4" w:rsidP="000551A4">
      <w:pPr>
        <w:tabs>
          <w:tab w:val="left" w:pos="1440"/>
          <w:tab w:val="center" w:pos="4925"/>
        </w:tabs>
        <w:rPr>
          <w:rFonts w:ascii="Times New Roman" w:hAnsi="Times New Roman" w:cs="Times New Roman"/>
          <w:sz w:val="24"/>
          <w:szCs w:val="24"/>
        </w:rPr>
      </w:pPr>
    </w:p>
    <w:p w:rsidR="000551A4" w:rsidRPr="000551A4" w:rsidRDefault="000551A4" w:rsidP="000551A4">
      <w:pPr>
        <w:tabs>
          <w:tab w:val="left" w:pos="1440"/>
          <w:tab w:val="center" w:pos="4925"/>
        </w:tabs>
        <w:rPr>
          <w:rFonts w:ascii="Times New Roman" w:hAnsi="Times New Roman" w:cs="Times New Roman"/>
          <w:sz w:val="24"/>
          <w:szCs w:val="24"/>
        </w:rPr>
      </w:pPr>
      <w:r w:rsidRPr="000551A4">
        <w:rPr>
          <w:rFonts w:ascii="Times New Roman" w:hAnsi="Times New Roman" w:cs="Times New Roman"/>
          <w:sz w:val="24"/>
          <w:szCs w:val="24"/>
        </w:rPr>
        <w:t xml:space="preserve">HRI Hospital, Inc. </w:t>
      </w:r>
      <w:r w:rsidRPr="000551A4">
        <w:rPr>
          <w:rFonts w:ascii="Times New Roman" w:hAnsi="Times New Roman" w:cs="Times New Roman"/>
          <w:sz w:val="24"/>
          <w:szCs w:val="24"/>
        </w:rPr>
        <w:tab/>
      </w:r>
      <w:r w:rsidR="00402DB8">
        <w:rPr>
          <w:rFonts w:ascii="Times New Roman" w:hAnsi="Times New Roman" w:cs="Times New Roman"/>
          <w:sz w:val="24"/>
          <w:szCs w:val="24"/>
        </w:rPr>
        <w:t>64</w:t>
      </w:r>
      <w:r w:rsidRPr="000551A4">
        <w:rPr>
          <w:rFonts w:ascii="Times New Roman" w:hAnsi="Times New Roman" w:cs="Times New Roman"/>
          <w:sz w:val="24"/>
          <w:szCs w:val="24"/>
        </w:rPr>
        <w:t>.8%</w:t>
      </w:r>
    </w:p>
    <w:p w:rsidR="000551A4" w:rsidRPr="000551A4" w:rsidRDefault="000551A4" w:rsidP="000551A4">
      <w:pPr>
        <w:tabs>
          <w:tab w:val="left" w:pos="1440"/>
          <w:tab w:val="center" w:pos="4925"/>
        </w:tabs>
        <w:rPr>
          <w:rFonts w:ascii="Times New Roman" w:hAnsi="Times New Roman" w:cs="Times New Roman"/>
          <w:sz w:val="24"/>
          <w:szCs w:val="24"/>
        </w:rPr>
      </w:pPr>
    </w:p>
    <w:p w:rsidR="000551A4" w:rsidRPr="000551A4" w:rsidRDefault="000551A4" w:rsidP="000551A4">
      <w:pPr>
        <w:tabs>
          <w:tab w:val="left" w:pos="1440"/>
          <w:tab w:val="center" w:pos="4925"/>
        </w:tabs>
        <w:rPr>
          <w:rFonts w:ascii="Times New Roman" w:hAnsi="Times New Roman" w:cs="Times New Roman"/>
          <w:sz w:val="24"/>
          <w:szCs w:val="24"/>
        </w:rPr>
      </w:pPr>
      <w:r w:rsidRPr="000551A4">
        <w:rPr>
          <w:rFonts w:ascii="Times New Roman" w:hAnsi="Times New Roman" w:cs="Times New Roman"/>
          <w:sz w:val="24"/>
          <w:szCs w:val="24"/>
        </w:rPr>
        <w:t xml:space="preserve">McLean Hospital </w:t>
      </w:r>
      <w:r w:rsidRPr="000551A4">
        <w:rPr>
          <w:rFonts w:ascii="Times New Roman" w:hAnsi="Times New Roman" w:cs="Times New Roman"/>
          <w:sz w:val="24"/>
          <w:szCs w:val="24"/>
        </w:rPr>
        <w:tab/>
        <w:t>6</w:t>
      </w:r>
      <w:r w:rsidR="00402DB8">
        <w:rPr>
          <w:rFonts w:ascii="Times New Roman" w:hAnsi="Times New Roman" w:cs="Times New Roman"/>
          <w:sz w:val="24"/>
          <w:szCs w:val="24"/>
        </w:rPr>
        <w:t>4</w:t>
      </w:r>
      <w:r w:rsidRPr="000551A4">
        <w:rPr>
          <w:rFonts w:ascii="Times New Roman" w:hAnsi="Times New Roman" w:cs="Times New Roman"/>
          <w:sz w:val="24"/>
          <w:szCs w:val="24"/>
        </w:rPr>
        <w:t>.8%</w:t>
      </w:r>
    </w:p>
    <w:p w:rsidR="000551A4" w:rsidRPr="000551A4" w:rsidRDefault="000551A4" w:rsidP="000551A4">
      <w:pPr>
        <w:tabs>
          <w:tab w:val="left" w:pos="1440"/>
          <w:tab w:val="center" w:pos="4925"/>
        </w:tabs>
        <w:rPr>
          <w:rFonts w:ascii="Times New Roman" w:hAnsi="Times New Roman" w:cs="Times New Roman"/>
          <w:sz w:val="24"/>
          <w:szCs w:val="24"/>
        </w:rPr>
      </w:pPr>
    </w:p>
    <w:p w:rsidR="000551A4" w:rsidRPr="000551A4" w:rsidRDefault="00402DB8" w:rsidP="000551A4">
      <w:pPr>
        <w:tabs>
          <w:tab w:val="left" w:pos="1440"/>
          <w:tab w:val="center" w:pos="4925"/>
        </w:tabs>
        <w:rPr>
          <w:rFonts w:ascii="Times New Roman" w:hAnsi="Times New Roman" w:cs="Times New Roman"/>
          <w:sz w:val="24"/>
          <w:szCs w:val="24"/>
        </w:rPr>
      </w:pPr>
      <w:r>
        <w:rPr>
          <w:rFonts w:ascii="Times New Roman" w:hAnsi="Times New Roman" w:cs="Times New Roman"/>
          <w:sz w:val="24"/>
          <w:szCs w:val="24"/>
        </w:rPr>
        <w:t>Fuller Hospital</w:t>
      </w:r>
      <w:r w:rsidR="000551A4" w:rsidRPr="000551A4">
        <w:rPr>
          <w:rFonts w:ascii="Times New Roman" w:hAnsi="Times New Roman" w:cs="Times New Roman"/>
          <w:sz w:val="24"/>
          <w:szCs w:val="24"/>
        </w:rPr>
        <w:t xml:space="preserve"> </w:t>
      </w:r>
      <w:r w:rsidR="000551A4" w:rsidRPr="000551A4">
        <w:rPr>
          <w:rFonts w:ascii="Times New Roman" w:hAnsi="Times New Roman" w:cs="Times New Roman"/>
          <w:sz w:val="24"/>
          <w:szCs w:val="24"/>
        </w:rPr>
        <w:tab/>
      </w:r>
      <w:r>
        <w:rPr>
          <w:rFonts w:ascii="Times New Roman" w:hAnsi="Times New Roman" w:cs="Times New Roman"/>
          <w:sz w:val="24"/>
          <w:szCs w:val="24"/>
        </w:rPr>
        <w:t>64.8</w:t>
      </w:r>
      <w:r w:rsidR="000551A4" w:rsidRPr="000551A4">
        <w:rPr>
          <w:rFonts w:ascii="Times New Roman" w:hAnsi="Times New Roman" w:cs="Times New Roman"/>
          <w:sz w:val="24"/>
          <w:szCs w:val="24"/>
        </w:rPr>
        <w:t>%</w:t>
      </w:r>
    </w:p>
    <w:p w:rsidR="000551A4" w:rsidRPr="000551A4" w:rsidRDefault="000551A4" w:rsidP="000551A4">
      <w:pPr>
        <w:tabs>
          <w:tab w:val="left" w:pos="1440"/>
          <w:tab w:val="center" w:pos="4925"/>
        </w:tabs>
        <w:rPr>
          <w:rFonts w:ascii="Times New Roman" w:hAnsi="Times New Roman" w:cs="Times New Roman"/>
          <w:sz w:val="24"/>
          <w:szCs w:val="24"/>
        </w:rPr>
      </w:pPr>
    </w:p>
    <w:p w:rsidR="000551A4" w:rsidRDefault="000551A4" w:rsidP="000551A4">
      <w:pPr>
        <w:tabs>
          <w:tab w:val="left" w:pos="1440"/>
          <w:tab w:val="center" w:pos="4925"/>
        </w:tabs>
        <w:rPr>
          <w:rFonts w:ascii="Times New Roman" w:hAnsi="Times New Roman" w:cs="Times New Roman"/>
          <w:sz w:val="24"/>
          <w:szCs w:val="24"/>
        </w:rPr>
      </w:pPr>
      <w:r w:rsidRPr="000551A4">
        <w:rPr>
          <w:rFonts w:ascii="Times New Roman" w:hAnsi="Times New Roman" w:cs="Times New Roman"/>
          <w:sz w:val="24"/>
          <w:szCs w:val="24"/>
        </w:rPr>
        <w:t xml:space="preserve">Pembroke Hospital </w:t>
      </w:r>
      <w:r w:rsidRPr="000551A4">
        <w:rPr>
          <w:rFonts w:ascii="Times New Roman" w:hAnsi="Times New Roman" w:cs="Times New Roman"/>
          <w:sz w:val="24"/>
          <w:szCs w:val="24"/>
        </w:rPr>
        <w:tab/>
      </w:r>
      <w:r w:rsidR="00402DB8">
        <w:rPr>
          <w:rFonts w:ascii="Times New Roman" w:hAnsi="Times New Roman" w:cs="Times New Roman"/>
          <w:sz w:val="24"/>
          <w:szCs w:val="24"/>
        </w:rPr>
        <w:t>64.8</w:t>
      </w:r>
      <w:r w:rsidRPr="000551A4">
        <w:rPr>
          <w:rFonts w:ascii="Times New Roman" w:hAnsi="Times New Roman" w:cs="Times New Roman"/>
          <w:sz w:val="24"/>
          <w:szCs w:val="24"/>
        </w:rPr>
        <w:t>%</w:t>
      </w:r>
    </w:p>
    <w:p w:rsidR="00A41B85" w:rsidRDefault="00A41B85" w:rsidP="000551A4">
      <w:pPr>
        <w:tabs>
          <w:tab w:val="left" w:pos="1440"/>
          <w:tab w:val="center" w:pos="4925"/>
        </w:tabs>
        <w:rPr>
          <w:rFonts w:ascii="Times New Roman" w:hAnsi="Times New Roman" w:cs="Times New Roman"/>
          <w:sz w:val="24"/>
          <w:szCs w:val="24"/>
        </w:rPr>
      </w:pPr>
    </w:p>
    <w:p w:rsidR="00A41B85" w:rsidRPr="000551A4" w:rsidRDefault="00A41B85" w:rsidP="000551A4">
      <w:pPr>
        <w:tabs>
          <w:tab w:val="left" w:pos="1440"/>
          <w:tab w:val="center" w:pos="4925"/>
        </w:tabs>
        <w:rPr>
          <w:rFonts w:ascii="Times New Roman" w:hAnsi="Times New Roman" w:cs="Times New Roman"/>
          <w:sz w:val="24"/>
          <w:szCs w:val="24"/>
        </w:rPr>
      </w:pPr>
      <w:r>
        <w:rPr>
          <w:rFonts w:ascii="Times New Roman" w:hAnsi="Times New Roman" w:cs="Times New Roman"/>
          <w:sz w:val="24"/>
          <w:szCs w:val="24"/>
        </w:rPr>
        <w:t>Southcoast Behavioral Health</w:t>
      </w:r>
      <w:r>
        <w:rPr>
          <w:rFonts w:ascii="Times New Roman" w:hAnsi="Times New Roman" w:cs="Times New Roman"/>
          <w:sz w:val="24"/>
          <w:szCs w:val="24"/>
        </w:rPr>
        <w:tab/>
        <w:t>64.8%</w:t>
      </w:r>
    </w:p>
    <w:p w:rsidR="000551A4" w:rsidRDefault="000551A4" w:rsidP="000551A4">
      <w:pPr>
        <w:tabs>
          <w:tab w:val="left" w:pos="1440"/>
          <w:tab w:val="center" w:pos="4925"/>
        </w:tabs>
        <w:rPr>
          <w:rFonts w:ascii="Times New Roman" w:hAnsi="Times New Roman" w:cs="Times New Roman"/>
          <w:sz w:val="24"/>
          <w:szCs w:val="24"/>
        </w:rPr>
      </w:pPr>
    </w:p>
    <w:p w:rsidR="00402DB8" w:rsidRDefault="00402DB8" w:rsidP="000551A4">
      <w:pPr>
        <w:tabs>
          <w:tab w:val="left" w:pos="1440"/>
          <w:tab w:val="center" w:pos="4925"/>
        </w:tabs>
        <w:rPr>
          <w:rFonts w:ascii="Times New Roman" w:hAnsi="Times New Roman" w:cs="Times New Roman"/>
          <w:sz w:val="24"/>
          <w:szCs w:val="24"/>
        </w:rPr>
      </w:pPr>
      <w:r>
        <w:rPr>
          <w:rFonts w:ascii="Times New Roman" w:hAnsi="Times New Roman" w:cs="Times New Roman"/>
          <w:sz w:val="24"/>
          <w:szCs w:val="24"/>
        </w:rPr>
        <w:t xml:space="preserve">TaraVista </w:t>
      </w:r>
      <w:r w:rsidR="00A41B85">
        <w:rPr>
          <w:rFonts w:ascii="Times New Roman" w:hAnsi="Times New Roman" w:cs="Times New Roman"/>
          <w:sz w:val="24"/>
          <w:szCs w:val="24"/>
        </w:rPr>
        <w:t xml:space="preserve">Behavioral Health </w:t>
      </w:r>
      <w:r>
        <w:rPr>
          <w:rFonts w:ascii="Times New Roman" w:hAnsi="Times New Roman" w:cs="Times New Roman"/>
          <w:sz w:val="24"/>
          <w:szCs w:val="24"/>
        </w:rPr>
        <w:t>Hospital</w:t>
      </w:r>
      <w:r>
        <w:rPr>
          <w:rFonts w:ascii="Times New Roman" w:hAnsi="Times New Roman" w:cs="Times New Roman"/>
          <w:sz w:val="24"/>
          <w:szCs w:val="24"/>
        </w:rPr>
        <w:tab/>
        <w:t>64.8%</w:t>
      </w:r>
    </w:p>
    <w:p w:rsidR="00402DB8" w:rsidRDefault="00402DB8" w:rsidP="000551A4">
      <w:pPr>
        <w:tabs>
          <w:tab w:val="left" w:pos="1440"/>
          <w:tab w:val="center" w:pos="4925"/>
        </w:tabs>
        <w:rPr>
          <w:rFonts w:ascii="Times New Roman" w:hAnsi="Times New Roman" w:cs="Times New Roman"/>
          <w:sz w:val="24"/>
          <w:szCs w:val="24"/>
        </w:rPr>
      </w:pPr>
    </w:p>
    <w:p w:rsidR="00402DB8" w:rsidRDefault="00402DB8" w:rsidP="000551A4">
      <w:pPr>
        <w:tabs>
          <w:tab w:val="left" w:pos="1440"/>
          <w:tab w:val="center" w:pos="4925"/>
        </w:tabs>
        <w:rPr>
          <w:rFonts w:ascii="Times New Roman" w:hAnsi="Times New Roman" w:cs="Times New Roman"/>
          <w:sz w:val="24"/>
          <w:szCs w:val="24"/>
        </w:rPr>
      </w:pPr>
      <w:r>
        <w:rPr>
          <w:rFonts w:ascii="Times New Roman" w:hAnsi="Times New Roman" w:cs="Times New Roman"/>
          <w:sz w:val="24"/>
          <w:szCs w:val="24"/>
        </w:rPr>
        <w:t>Walden Behavioral Health Hospital</w:t>
      </w:r>
      <w:r>
        <w:rPr>
          <w:rFonts w:ascii="Times New Roman" w:hAnsi="Times New Roman" w:cs="Times New Roman"/>
          <w:sz w:val="24"/>
          <w:szCs w:val="24"/>
        </w:rPr>
        <w:tab/>
        <w:t>64.8%</w:t>
      </w:r>
    </w:p>
    <w:p w:rsidR="00402DB8" w:rsidRDefault="00402DB8" w:rsidP="000551A4">
      <w:pPr>
        <w:tabs>
          <w:tab w:val="left" w:pos="1440"/>
          <w:tab w:val="center" w:pos="4925"/>
        </w:tabs>
        <w:rPr>
          <w:rFonts w:ascii="Times New Roman" w:hAnsi="Times New Roman" w:cs="Times New Roman"/>
          <w:sz w:val="24"/>
          <w:szCs w:val="24"/>
        </w:rPr>
      </w:pPr>
    </w:p>
    <w:p w:rsidR="00402DB8" w:rsidRDefault="00402DB8" w:rsidP="000551A4">
      <w:pPr>
        <w:tabs>
          <w:tab w:val="left" w:pos="1440"/>
          <w:tab w:val="center" w:pos="4925"/>
        </w:tabs>
        <w:rPr>
          <w:rFonts w:ascii="Times New Roman" w:hAnsi="Times New Roman" w:cs="Times New Roman"/>
          <w:sz w:val="24"/>
          <w:szCs w:val="24"/>
        </w:rPr>
      </w:pPr>
      <w:r>
        <w:rPr>
          <w:rFonts w:ascii="Times New Roman" w:hAnsi="Times New Roman" w:cs="Times New Roman"/>
          <w:sz w:val="24"/>
          <w:szCs w:val="24"/>
        </w:rPr>
        <w:t>Westborough Behavioral Health</w:t>
      </w:r>
      <w:r w:rsidR="00A41B85">
        <w:rPr>
          <w:rFonts w:ascii="Times New Roman" w:hAnsi="Times New Roman" w:cs="Times New Roman"/>
          <w:sz w:val="24"/>
          <w:szCs w:val="24"/>
        </w:rPr>
        <w:t xml:space="preserve"> Care</w:t>
      </w:r>
      <w:r>
        <w:rPr>
          <w:rFonts w:ascii="Times New Roman" w:hAnsi="Times New Roman" w:cs="Times New Roman"/>
          <w:sz w:val="24"/>
          <w:szCs w:val="24"/>
        </w:rPr>
        <w:t xml:space="preserve"> Hospital</w:t>
      </w:r>
      <w:r w:rsidR="005F6D59">
        <w:rPr>
          <w:rFonts w:ascii="Times New Roman" w:hAnsi="Times New Roman" w:cs="Times New Roman"/>
          <w:sz w:val="24"/>
          <w:szCs w:val="24"/>
        </w:rPr>
        <w:tab/>
        <w:t>64.8%</w:t>
      </w:r>
    </w:p>
    <w:p w:rsidR="00D32206" w:rsidRDefault="00D32206" w:rsidP="002A48D8">
      <w:pPr>
        <w:tabs>
          <w:tab w:val="left" w:pos="1440"/>
          <w:tab w:val="center" w:pos="4925"/>
        </w:tabs>
        <w:rPr>
          <w:rFonts w:ascii="Times New Roman" w:hAnsi="Times New Roman" w:cs="Times New Roman"/>
          <w:b/>
          <w:sz w:val="24"/>
          <w:szCs w:val="24"/>
        </w:rPr>
      </w:pPr>
    </w:p>
    <w:p w:rsidR="002A48D8" w:rsidRPr="0018218A" w:rsidRDefault="002A48D8" w:rsidP="002A48D8">
      <w:pPr>
        <w:tabs>
          <w:tab w:val="left" w:pos="1440"/>
          <w:tab w:val="center" w:pos="4925"/>
        </w:tabs>
        <w:rPr>
          <w:rFonts w:ascii="Times New Roman" w:hAnsi="Times New Roman" w:cs="Times New Roman"/>
          <w:b/>
          <w:sz w:val="24"/>
          <w:szCs w:val="24"/>
        </w:rPr>
      </w:pPr>
      <w:bookmarkStart w:id="0" w:name="_GoBack"/>
      <w:bookmarkEnd w:id="0"/>
      <w:r w:rsidRPr="0018218A">
        <w:rPr>
          <w:rFonts w:ascii="Times New Roman" w:hAnsi="Times New Roman" w:cs="Times New Roman"/>
          <w:b/>
          <w:sz w:val="24"/>
          <w:szCs w:val="24"/>
        </w:rPr>
        <w:t>Quality Performance Incentive Payment</w:t>
      </w:r>
    </w:p>
    <w:p w:rsidR="002A48D8" w:rsidRPr="0018218A" w:rsidRDefault="002A48D8" w:rsidP="002A48D8">
      <w:pPr>
        <w:rPr>
          <w:rFonts w:ascii="Times New Roman" w:hAnsi="Times New Roman" w:cs="Times New Roman"/>
          <w:sz w:val="24"/>
          <w:szCs w:val="24"/>
        </w:rPr>
      </w:pPr>
    </w:p>
    <w:p w:rsidR="002A48D8" w:rsidRPr="0018218A" w:rsidRDefault="002A48D8" w:rsidP="002A48D8">
      <w:pPr>
        <w:tabs>
          <w:tab w:val="left" w:pos="1440"/>
          <w:tab w:val="center" w:pos="4925"/>
        </w:tabs>
        <w:rPr>
          <w:rFonts w:ascii="Times New Roman" w:hAnsi="Times New Roman" w:cs="Times New Roman"/>
          <w:sz w:val="24"/>
          <w:szCs w:val="24"/>
        </w:rPr>
      </w:pPr>
      <w:r>
        <w:rPr>
          <w:rFonts w:ascii="Times New Roman" w:hAnsi="Times New Roman" w:cs="Times New Roman"/>
          <w:sz w:val="24"/>
          <w:szCs w:val="24"/>
        </w:rPr>
        <w:t>Psychiatric</w:t>
      </w:r>
      <w:r w:rsidRPr="0018218A">
        <w:rPr>
          <w:rFonts w:ascii="Times New Roman" w:hAnsi="Times New Roman" w:cs="Times New Roman"/>
          <w:sz w:val="24"/>
          <w:szCs w:val="24"/>
        </w:rPr>
        <w:t xml:space="preserve"> hospitals may qualify for performance-based quality incentive payments. Incentive payments will be determined using the following factors:</w:t>
      </w:r>
    </w:p>
    <w:p w:rsidR="002A48D8" w:rsidRPr="0018218A" w:rsidRDefault="002A48D8" w:rsidP="002A48D8">
      <w:pPr>
        <w:tabs>
          <w:tab w:val="left" w:pos="1440"/>
          <w:tab w:val="center" w:pos="4925"/>
        </w:tabs>
        <w:rPr>
          <w:rFonts w:ascii="Times New Roman" w:hAnsi="Times New Roman" w:cs="Times New Roman"/>
          <w:sz w:val="24"/>
          <w:szCs w:val="24"/>
        </w:rPr>
      </w:pPr>
    </w:p>
    <w:p w:rsidR="002A48D8" w:rsidRPr="0018218A" w:rsidRDefault="002A48D8" w:rsidP="002A48D8">
      <w:pPr>
        <w:tabs>
          <w:tab w:val="left" w:pos="1440"/>
          <w:tab w:val="center" w:pos="4925"/>
        </w:tabs>
        <w:rPr>
          <w:rFonts w:ascii="Times New Roman" w:hAnsi="Times New Roman" w:cs="Times New Roman"/>
          <w:sz w:val="24"/>
          <w:szCs w:val="24"/>
        </w:rPr>
      </w:pPr>
      <w:r w:rsidRPr="0018218A">
        <w:rPr>
          <w:rFonts w:ascii="Times New Roman" w:hAnsi="Times New Roman" w:cs="Times New Roman"/>
          <w:sz w:val="24"/>
          <w:szCs w:val="24"/>
        </w:rPr>
        <w:lastRenderedPageBreak/>
        <w:t>1. Baseline. Baselines for psychiatric hospitals are calculated by taking average performance of qualifying hospitals using the Centers for Medicare and Medicaid Inpatient Psychiatric Facility Quality Reporting (IPFQR) for CY201</w:t>
      </w:r>
      <w:r>
        <w:rPr>
          <w:rFonts w:ascii="Times New Roman" w:hAnsi="Times New Roman" w:cs="Times New Roman"/>
          <w:sz w:val="24"/>
          <w:szCs w:val="24"/>
        </w:rPr>
        <w:t>7.</w:t>
      </w:r>
    </w:p>
    <w:p w:rsidR="002A48D8" w:rsidRPr="0018218A" w:rsidRDefault="002A48D8" w:rsidP="002A48D8">
      <w:pPr>
        <w:tabs>
          <w:tab w:val="left" w:pos="1440"/>
          <w:tab w:val="center" w:pos="4925"/>
        </w:tabs>
        <w:rPr>
          <w:rFonts w:ascii="Times New Roman" w:hAnsi="Times New Roman" w:cs="Times New Roman"/>
          <w:sz w:val="24"/>
          <w:szCs w:val="24"/>
        </w:rPr>
      </w:pPr>
    </w:p>
    <w:p w:rsidR="002A48D8" w:rsidRPr="0018218A" w:rsidRDefault="002A48D8" w:rsidP="002A48D8">
      <w:pPr>
        <w:tabs>
          <w:tab w:val="left" w:pos="1440"/>
          <w:tab w:val="center" w:pos="4925"/>
        </w:tabs>
        <w:rPr>
          <w:rFonts w:ascii="Times New Roman" w:hAnsi="Times New Roman" w:cs="Times New Roman"/>
          <w:sz w:val="24"/>
          <w:szCs w:val="24"/>
        </w:rPr>
      </w:pPr>
      <w:r w:rsidRPr="0018218A">
        <w:rPr>
          <w:rFonts w:ascii="Times New Roman" w:hAnsi="Times New Roman" w:cs="Times New Roman"/>
          <w:sz w:val="24"/>
          <w:szCs w:val="24"/>
        </w:rPr>
        <w:t>2. Achievement Threshold. The threshold for psychiatric hospitals is calculated by taking median performance of qualifying hospitals using the Centers for Medicare and Medicaid Inpatient Psychiatric Facility Quality Report</w:t>
      </w:r>
      <w:r>
        <w:rPr>
          <w:rFonts w:ascii="Times New Roman" w:hAnsi="Times New Roman" w:cs="Times New Roman"/>
          <w:sz w:val="24"/>
          <w:szCs w:val="24"/>
        </w:rPr>
        <w:t>ing (IPFQR) for CY2018</w:t>
      </w:r>
      <w:r w:rsidRPr="0018218A">
        <w:rPr>
          <w:rFonts w:ascii="Times New Roman" w:hAnsi="Times New Roman" w:cs="Times New Roman"/>
          <w:sz w:val="24"/>
          <w:szCs w:val="24"/>
        </w:rPr>
        <w:t>.</w:t>
      </w:r>
    </w:p>
    <w:p w:rsidR="002A48D8" w:rsidRPr="0018218A" w:rsidRDefault="002A48D8" w:rsidP="002A48D8">
      <w:pPr>
        <w:tabs>
          <w:tab w:val="left" w:pos="1440"/>
          <w:tab w:val="center" w:pos="4925"/>
        </w:tabs>
        <w:rPr>
          <w:rFonts w:ascii="Times New Roman" w:hAnsi="Times New Roman" w:cs="Times New Roman"/>
          <w:sz w:val="24"/>
          <w:szCs w:val="24"/>
        </w:rPr>
      </w:pPr>
    </w:p>
    <w:p w:rsidR="002A48D8" w:rsidRPr="0018218A" w:rsidRDefault="002A48D8" w:rsidP="002A48D8">
      <w:pPr>
        <w:tabs>
          <w:tab w:val="left" w:pos="1440"/>
          <w:tab w:val="center" w:pos="4925"/>
        </w:tabs>
        <w:rPr>
          <w:rFonts w:ascii="Times New Roman" w:hAnsi="Times New Roman" w:cs="Times New Roman"/>
          <w:sz w:val="24"/>
          <w:szCs w:val="24"/>
        </w:rPr>
      </w:pPr>
      <w:r w:rsidRPr="0018218A">
        <w:rPr>
          <w:rFonts w:ascii="Times New Roman" w:hAnsi="Times New Roman" w:cs="Times New Roman"/>
          <w:sz w:val="24"/>
          <w:szCs w:val="24"/>
        </w:rPr>
        <w:t>3. Performance Measurement. Performance for psychiatric hospitals is measured by achievement of the threshold or improvement upon baseline for the IPFQR measure and compliance with reporting requirements</w:t>
      </w:r>
      <w:r w:rsidRPr="0018218A">
        <w:rPr>
          <w:sz w:val="24"/>
          <w:szCs w:val="24"/>
        </w:rPr>
        <w:t xml:space="preserve"> </w:t>
      </w:r>
      <w:r w:rsidRPr="0018218A">
        <w:rPr>
          <w:rFonts w:ascii="Times New Roman" w:hAnsi="Times New Roman" w:cs="Times New Roman"/>
          <w:sz w:val="24"/>
          <w:szCs w:val="24"/>
        </w:rPr>
        <w:t>for other measures.</w:t>
      </w:r>
    </w:p>
    <w:p w:rsidR="002A48D8" w:rsidRPr="0018218A" w:rsidRDefault="002A48D8" w:rsidP="002A48D8">
      <w:pPr>
        <w:tabs>
          <w:tab w:val="left" w:pos="1440"/>
          <w:tab w:val="center" w:pos="4925"/>
        </w:tabs>
        <w:rPr>
          <w:rFonts w:ascii="Times New Roman" w:hAnsi="Times New Roman" w:cs="Times New Roman"/>
          <w:b/>
          <w:sz w:val="24"/>
          <w:szCs w:val="24"/>
        </w:rPr>
      </w:pPr>
    </w:p>
    <w:p w:rsidR="002A48D8" w:rsidRPr="0018218A" w:rsidRDefault="002A48D8" w:rsidP="002A48D8">
      <w:pPr>
        <w:tabs>
          <w:tab w:val="left" w:pos="1440"/>
          <w:tab w:val="center" w:pos="4925"/>
        </w:tabs>
        <w:rPr>
          <w:rFonts w:ascii="Times New Roman" w:hAnsi="Times New Roman" w:cs="Times New Roman"/>
          <w:sz w:val="24"/>
          <w:szCs w:val="24"/>
        </w:rPr>
      </w:pPr>
      <w:r w:rsidRPr="0018218A">
        <w:rPr>
          <w:rFonts w:ascii="Times New Roman" w:hAnsi="Times New Roman" w:cs="Times New Roman"/>
          <w:sz w:val="24"/>
          <w:szCs w:val="24"/>
        </w:rPr>
        <w:t>4. Payment. Payment to psychiatric hospitals will be proportional to the performance measurement outcome.</w:t>
      </w:r>
    </w:p>
    <w:p w:rsidR="00760514" w:rsidRDefault="00760514" w:rsidP="00962923">
      <w:pPr>
        <w:tabs>
          <w:tab w:val="left" w:pos="1440"/>
          <w:tab w:val="center" w:pos="4925"/>
        </w:tabs>
        <w:rPr>
          <w:rFonts w:ascii="Times New Roman" w:hAnsi="Times New Roman" w:cs="Times New Roman"/>
          <w:sz w:val="24"/>
          <w:szCs w:val="24"/>
        </w:rPr>
      </w:pPr>
    </w:p>
    <w:sectPr w:rsidR="00760514" w:rsidSect="001B5806">
      <w:footerReference w:type="default" r:id="rId12"/>
      <w:type w:val="continuous"/>
      <w:pgSz w:w="12240" w:h="15840" w:code="1"/>
      <w:pgMar w:top="720" w:right="1080" w:bottom="1080" w:left="1080" w:header="720" w:footer="49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73B4" w:rsidRDefault="000873B4">
      <w:r>
        <w:separator/>
      </w:r>
    </w:p>
  </w:endnote>
  <w:endnote w:type="continuationSeparator" w:id="0">
    <w:p w:rsidR="000873B4" w:rsidRDefault="000873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ookman">
    <w:altName w:val="Bookman Old Style"/>
    <w:charset w:val="00"/>
    <w:family w:val="auto"/>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5806" w:rsidRPr="001B5806" w:rsidRDefault="00754625" w:rsidP="00754625">
    <w:pPr>
      <w:pStyle w:val="Footer"/>
      <w:jc w:val="center"/>
    </w:pPr>
    <w:r>
      <w:t>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625" w:rsidRPr="001B5806" w:rsidRDefault="00754625" w:rsidP="00754625">
    <w:pPr>
      <w:pStyle w:val="Footer"/>
      <w:jc w:val="center"/>
    </w:pPr>
    <w:r>
      <w:t>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73B4" w:rsidRDefault="000873B4">
      <w:r>
        <w:separator/>
      </w:r>
    </w:p>
  </w:footnote>
  <w:footnote w:type="continuationSeparator" w:id="0">
    <w:p w:rsidR="000873B4" w:rsidRDefault="000873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5806" w:rsidRDefault="001B5806" w:rsidP="001B5806">
    <w:pPr>
      <w:pStyle w:val="Footer"/>
    </w:pPr>
    <w:r>
      <w:t>P</w:t>
    </w:r>
    <w:r w:rsidR="002B265F">
      <w:t xml:space="preserve">UBLISHED ON WEB: </w:t>
    </w:r>
    <w:r w:rsidR="00EF636B">
      <w:t>Sep</w:t>
    </w:r>
    <w:r w:rsidR="0026445D">
      <w:t xml:space="preserve">tember </w:t>
    </w:r>
    <w:r w:rsidR="00EB4E66">
      <w:t>20</w:t>
    </w:r>
    <w:r w:rsidR="00025D69">
      <w:t>, 201</w:t>
    </w:r>
    <w:r w:rsidR="001E50FE">
      <w:t>9</w:t>
    </w:r>
  </w:p>
  <w:p w:rsidR="001B5806" w:rsidRDefault="001B580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5C32406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0E64A27"/>
    <w:multiLevelType w:val="hybridMultilevel"/>
    <w:tmpl w:val="A2460868"/>
    <w:lvl w:ilvl="0" w:tplc="7A26683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5804BEF"/>
    <w:multiLevelType w:val="hybridMultilevel"/>
    <w:tmpl w:val="77C05F6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B0C2004"/>
    <w:multiLevelType w:val="hybridMultilevel"/>
    <w:tmpl w:val="BFAA7D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78D6D28"/>
    <w:multiLevelType w:val="hybridMultilevel"/>
    <w:tmpl w:val="B96C0A9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93C7F80"/>
    <w:multiLevelType w:val="hybridMultilevel"/>
    <w:tmpl w:val="D8AE40B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11B5F9D"/>
    <w:multiLevelType w:val="hybridMultilevel"/>
    <w:tmpl w:val="058C4A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1C50F4A"/>
    <w:multiLevelType w:val="hybridMultilevel"/>
    <w:tmpl w:val="D7F4591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8B57FFA"/>
    <w:multiLevelType w:val="hybridMultilevel"/>
    <w:tmpl w:val="FDC40500"/>
    <w:lvl w:ilvl="0" w:tplc="D1B8359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8"/>
  </w:num>
  <w:num w:numId="2">
    <w:abstractNumId w:val="2"/>
  </w:num>
  <w:num w:numId="3">
    <w:abstractNumId w:val="4"/>
  </w:num>
  <w:num w:numId="4">
    <w:abstractNumId w:val="5"/>
  </w:num>
  <w:num w:numId="5">
    <w:abstractNumId w:val="7"/>
  </w:num>
  <w:num w:numId="6">
    <w:abstractNumId w:val="0"/>
  </w:num>
  <w:num w:numId="7">
    <w:abstractNumId w:val="3"/>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491"/>
    <w:rsid w:val="000218F6"/>
    <w:rsid w:val="00025D69"/>
    <w:rsid w:val="0003591D"/>
    <w:rsid w:val="0003631E"/>
    <w:rsid w:val="0004339A"/>
    <w:rsid w:val="00043EDE"/>
    <w:rsid w:val="000551A4"/>
    <w:rsid w:val="00062EC8"/>
    <w:rsid w:val="00064F04"/>
    <w:rsid w:val="00073C57"/>
    <w:rsid w:val="00085FA4"/>
    <w:rsid w:val="000873B4"/>
    <w:rsid w:val="000C1178"/>
    <w:rsid w:val="000D1437"/>
    <w:rsid w:val="000E02D6"/>
    <w:rsid w:val="000F2FB3"/>
    <w:rsid w:val="00101A6E"/>
    <w:rsid w:val="001066DC"/>
    <w:rsid w:val="001145CC"/>
    <w:rsid w:val="0014797B"/>
    <w:rsid w:val="00151378"/>
    <w:rsid w:val="00170C17"/>
    <w:rsid w:val="00186186"/>
    <w:rsid w:val="001861B5"/>
    <w:rsid w:val="00196616"/>
    <w:rsid w:val="001A4FFD"/>
    <w:rsid w:val="001B23E2"/>
    <w:rsid w:val="001B3F94"/>
    <w:rsid w:val="001B5806"/>
    <w:rsid w:val="001C3CAB"/>
    <w:rsid w:val="001E50FE"/>
    <w:rsid w:val="001E64B9"/>
    <w:rsid w:val="001E7C3D"/>
    <w:rsid w:val="001F23B2"/>
    <w:rsid w:val="002019A9"/>
    <w:rsid w:val="00206158"/>
    <w:rsid w:val="0020717F"/>
    <w:rsid w:val="00215CAD"/>
    <w:rsid w:val="00223B9F"/>
    <w:rsid w:val="00230E81"/>
    <w:rsid w:val="002520D5"/>
    <w:rsid w:val="002555B1"/>
    <w:rsid w:val="002564DF"/>
    <w:rsid w:val="002630E2"/>
    <w:rsid w:val="0026445D"/>
    <w:rsid w:val="00266394"/>
    <w:rsid w:val="00266A2F"/>
    <w:rsid w:val="00266AB2"/>
    <w:rsid w:val="002A48D8"/>
    <w:rsid w:val="002A53A2"/>
    <w:rsid w:val="002A681D"/>
    <w:rsid w:val="002A7B56"/>
    <w:rsid w:val="002B265F"/>
    <w:rsid w:val="002B43B5"/>
    <w:rsid w:val="002B4570"/>
    <w:rsid w:val="002D20CF"/>
    <w:rsid w:val="002D360A"/>
    <w:rsid w:val="002E4CB6"/>
    <w:rsid w:val="002F28A5"/>
    <w:rsid w:val="002F64BE"/>
    <w:rsid w:val="00306619"/>
    <w:rsid w:val="00311FEC"/>
    <w:rsid w:val="00321E6E"/>
    <w:rsid w:val="00324131"/>
    <w:rsid w:val="00331C31"/>
    <w:rsid w:val="00335092"/>
    <w:rsid w:val="00386B18"/>
    <w:rsid w:val="00386BCD"/>
    <w:rsid w:val="00392E0A"/>
    <w:rsid w:val="00395400"/>
    <w:rsid w:val="00397079"/>
    <w:rsid w:val="003C2E3A"/>
    <w:rsid w:val="003C770E"/>
    <w:rsid w:val="003D2597"/>
    <w:rsid w:val="003D6EEC"/>
    <w:rsid w:val="003E447C"/>
    <w:rsid w:val="004016AD"/>
    <w:rsid w:val="00402DB8"/>
    <w:rsid w:val="00403DE3"/>
    <w:rsid w:val="00431097"/>
    <w:rsid w:val="00466B35"/>
    <w:rsid w:val="004A3CC9"/>
    <w:rsid w:val="004B2B19"/>
    <w:rsid w:val="004B4C74"/>
    <w:rsid w:val="004B6AAF"/>
    <w:rsid w:val="004D00A3"/>
    <w:rsid w:val="004F0D9F"/>
    <w:rsid w:val="005008AD"/>
    <w:rsid w:val="005049C6"/>
    <w:rsid w:val="00506EF5"/>
    <w:rsid w:val="005234E5"/>
    <w:rsid w:val="00535125"/>
    <w:rsid w:val="0054227E"/>
    <w:rsid w:val="0054689D"/>
    <w:rsid w:val="00553335"/>
    <w:rsid w:val="00556A92"/>
    <w:rsid w:val="00561E84"/>
    <w:rsid w:val="00564F8A"/>
    <w:rsid w:val="00565008"/>
    <w:rsid w:val="0059345E"/>
    <w:rsid w:val="00595992"/>
    <w:rsid w:val="005A0778"/>
    <w:rsid w:val="005D68ED"/>
    <w:rsid w:val="005E05F1"/>
    <w:rsid w:val="005E46ED"/>
    <w:rsid w:val="005F2412"/>
    <w:rsid w:val="005F6D59"/>
    <w:rsid w:val="00605AAA"/>
    <w:rsid w:val="00613AFF"/>
    <w:rsid w:val="00622CF1"/>
    <w:rsid w:val="00627028"/>
    <w:rsid w:val="00630CB6"/>
    <w:rsid w:val="00661FE8"/>
    <w:rsid w:val="00663A3E"/>
    <w:rsid w:val="00686BDA"/>
    <w:rsid w:val="006950AA"/>
    <w:rsid w:val="006B535E"/>
    <w:rsid w:val="006C043F"/>
    <w:rsid w:val="006C1D17"/>
    <w:rsid w:val="006C2607"/>
    <w:rsid w:val="006E7D1A"/>
    <w:rsid w:val="006F7489"/>
    <w:rsid w:val="007117BC"/>
    <w:rsid w:val="00715DFD"/>
    <w:rsid w:val="00726B68"/>
    <w:rsid w:val="007302B1"/>
    <w:rsid w:val="00736BA6"/>
    <w:rsid w:val="007505DF"/>
    <w:rsid w:val="00751EAB"/>
    <w:rsid w:val="00754625"/>
    <w:rsid w:val="00760514"/>
    <w:rsid w:val="00773BF3"/>
    <w:rsid w:val="007802E3"/>
    <w:rsid w:val="0078244B"/>
    <w:rsid w:val="00790DDE"/>
    <w:rsid w:val="00796C34"/>
    <w:rsid w:val="007A097E"/>
    <w:rsid w:val="007A44F0"/>
    <w:rsid w:val="007B684B"/>
    <w:rsid w:val="007D5150"/>
    <w:rsid w:val="007E257F"/>
    <w:rsid w:val="007E3366"/>
    <w:rsid w:val="007F34FB"/>
    <w:rsid w:val="007F4C57"/>
    <w:rsid w:val="007F7071"/>
    <w:rsid w:val="008065C3"/>
    <w:rsid w:val="008138ED"/>
    <w:rsid w:val="00817B4D"/>
    <w:rsid w:val="00820F9C"/>
    <w:rsid w:val="0082262F"/>
    <w:rsid w:val="00846EFD"/>
    <w:rsid w:val="008670D8"/>
    <w:rsid w:val="008747C6"/>
    <w:rsid w:val="008769A0"/>
    <w:rsid w:val="00882DB4"/>
    <w:rsid w:val="00895EFC"/>
    <w:rsid w:val="008A1903"/>
    <w:rsid w:val="008A5764"/>
    <w:rsid w:val="008C0A40"/>
    <w:rsid w:val="008F053E"/>
    <w:rsid w:val="008F5FA0"/>
    <w:rsid w:val="0092194B"/>
    <w:rsid w:val="009235B9"/>
    <w:rsid w:val="009271D7"/>
    <w:rsid w:val="0093212C"/>
    <w:rsid w:val="0093489F"/>
    <w:rsid w:val="00941D45"/>
    <w:rsid w:val="00947481"/>
    <w:rsid w:val="00951C89"/>
    <w:rsid w:val="0095520E"/>
    <w:rsid w:val="00960FD3"/>
    <w:rsid w:val="00961654"/>
    <w:rsid w:val="00962151"/>
    <w:rsid w:val="00962923"/>
    <w:rsid w:val="00980FD5"/>
    <w:rsid w:val="00983941"/>
    <w:rsid w:val="0099568A"/>
    <w:rsid w:val="0099721B"/>
    <w:rsid w:val="00997297"/>
    <w:rsid w:val="009A6AA0"/>
    <w:rsid w:val="009B5726"/>
    <w:rsid w:val="009B6313"/>
    <w:rsid w:val="009C4080"/>
    <w:rsid w:val="009C759F"/>
    <w:rsid w:val="009E5F63"/>
    <w:rsid w:val="009E7BED"/>
    <w:rsid w:val="009F1441"/>
    <w:rsid w:val="009F243C"/>
    <w:rsid w:val="009F77FD"/>
    <w:rsid w:val="00A12D3F"/>
    <w:rsid w:val="00A152D4"/>
    <w:rsid w:val="00A32FEA"/>
    <w:rsid w:val="00A41B85"/>
    <w:rsid w:val="00A42363"/>
    <w:rsid w:val="00A42891"/>
    <w:rsid w:val="00A44135"/>
    <w:rsid w:val="00A52D97"/>
    <w:rsid w:val="00A73058"/>
    <w:rsid w:val="00A77971"/>
    <w:rsid w:val="00A864AA"/>
    <w:rsid w:val="00A934F9"/>
    <w:rsid w:val="00A9481A"/>
    <w:rsid w:val="00AA115F"/>
    <w:rsid w:val="00AB0061"/>
    <w:rsid w:val="00AB687F"/>
    <w:rsid w:val="00AD6895"/>
    <w:rsid w:val="00AE0DA5"/>
    <w:rsid w:val="00AE2D6C"/>
    <w:rsid w:val="00AE3401"/>
    <w:rsid w:val="00AF03DF"/>
    <w:rsid w:val="00AF4099"/>
    <w:rsid w:val="00B01755"/>
    <w:rsid w:val="00B03853"/>
    <w:rsid w:val="00B1210C"/>
    <w:rsid w:val="00B16A29"/>
    <w:rsid w:val="00B308F1"/>
    <w:rsid w:val="00B3576D"/>
    <w:rsid w:val="00B4010F"/>
    <w:rsid w:val="00B43A86"/>
    <w:rsid w:val="00B67BA9"/>
    <w:rsid w:val="00B727D2"/>
    <w:rsid w:val="00B83D54"/>
    <w:rsid w:val="00B95039"/>
    <w:rsid w:val="00BA585A"/>
    <w:rsid w:val="00BB241B"/>
    <w:rsid w:val="00BB6F19"/>
    <w:rsid w:val="00BE0FD6"/>
    <w:rsid w:val="00BE782F"/>
    <w:rsid w:val="00C12CA1"/>
    <w:rsid w:val="00C13221"/>
    <w:rsid w:val="00C203B4"/>
    <w:rsid w:val="00C21828"/>
    <w:rsid w:val="00C31BCC"/>
    <w:rsid w:val="00C33979"/>
    <w:rsid w:val="00C37413"/>
    <w:rsid w:val="00C46D18"/>
    <w:rsid w:val="00C54AED"/>
    <w:rsid w:val="00C62306"/>
    <w:rsid w:val="00C91491"/>
    <w:rsid w:val="00C95BD9"/>
    <w:rsid w:val="00CA3958"/>
    <w:rsid w:val="00CB2C18"/>
    <w:rsid w:val="00CC1031"/>
    <w:rsid w:val="00CF1018"/>
    <w:rsid w:val="00D100E8"/>
    <w:rsid w:val="00D2459B"/>
    <w:rsid w:val="00D32206"/>
    <w:rsid w:val="00D479FF"/>
    <w:rsid w:val="00D73367"/>
    <w:rsid w:val="00D764D3"/>
    <w:rsid w:val="00D77EC7"/>
    <w:rsid w:val="00D87E5A"/>
    <w:rsid w:val="00D911CD"/>
    <w:rsid w:val="00D9125E"/>
    <w:rsid w:val="00D9168C"/>
    <w:rsid w:val="00D91F03"/>
    <w:rsid w:val="00D967D8"/>
    <w:rsid w:val="00DA27AF"/>
    <w:rsid w:val="00DA39D8"/>
    <w:rsid w:val="00DB0922"/>
    <w:rsid w:val="00DC1C82"/>
    <w:rsid w:val="00DC4C74"/>
    <w:rsid w:val="00DC6AC4"/>
    <w:rsid w:val="00DC6B02"/>
    <w:rsid w:val="00DC7E3F"/>
    <w:rsid w:val="00DD45F3"/>
    <w:rsid w:val="00DE096B"/>
    <w:rsid w:val="00DE0FB9"/>
    <w:rsid w:val="00DE2B81"/>
    <w:rsid w:val="00DE794B"/>
    <w:rsid w:val="00DF616C"/>
    <w:rsid w:val="00E1352C"/>
    <w:rsid w:val="00E2026C"/>
    <w:rsid w:val="00E20B5A"/>
    <w:rsid w:val="00E236AA"/>
    <w:rsid w:val="00E237F0"/>
    <w:rsid w:val="00E3082D"/>
    <w:rsid w:val="00E324A0"/>
    <w:rsid w:val="00E44EF1"/>
    <w:rsid w:val="00E616CE"/>
    <w:rsid w:val="00E8458C"/>
    <w:rsid w:val="00E93963"/>
    <w:rsid w:val="00EA042C"/>
    <w:rsid w:val="00EA4155"/>
    <w:rsid w:val="00EB008B"/>
    <w:rsid w:val="00EB47C8"/>
    <w:rsid w:val="00EB4E66"/>
    <w:rsid w:val="00ED3F35"/>
    <w:rsid w:val="00EF636B"/>
    <w:rsid w:val="00F0626C"/>
    <w:rsid w:val="00F16DF8"/>
    <w:rsid w:val="00F243E6"/>
    <w:rsid w:val="00F32956"/>
    <w:rsid w:val="00F34242"/>
    <w:rsid w:val="00F35DE6"/>
    <w:rsid w:val="00F47973"/>
    <w:rsid w:val="00F577D6"/>
    <w:rsid w:val="00F62728"/>
    <w:rsid w:val="00F65CA3"/>
    <w:rsid w:val="00F71601"/>
    <w:rsid w:val="00F8017E"/>
    <w:rsid w:val="00F87454"/>
    <w:rsid w:val="00FA3CDD"/>
    <w:rsid w:val="00FC05EA"/>
    <w:rsid w:val="00FC12A0"/>
    <w:rsid w:val="00FC1ECD"/>
    <w:rsid w:val="00FC1F58"/>
    <w:rsid w:val="00FC25AE"/>
    <w:rsid w:val="00FD3986"/>
    <w:rsid w:val="00FD66E8"/>
    <w:rsid w:val="00FF79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pPr>
      <w:keepNext/>
      <w:jc w:val="center"/>
      <w:outlineLvl w:val="0"/>
    </w:pPr>
    <w:rPr>
      <w:rFonts w:ascii="Bookman" w:hAnsi="Bookman"/>
      <w:i/>
      <w:iCs/>
      <w:sz w:val="28"/>
    </w:rPr>
  </w:style>
  <w:style w:type="paragraph" w:styleId="Heading2">
    <w:name w:val="heading 2"/>
    <w:basedOn w:val="Normal"/>
    <w:next w:val="Normal"/>
    <w:qFormat/>
    <w:pPr>
      <w:keepNext/>
      <w:jc w:val="center"/>
      <w:outlineLvl w:val="1"/>
    </w:pPr>
    <w:rPr>
      <w:rFonts w:ascii="Bookman" w:hAnsi="Bookman"/>
      <w:i/>
      <w:iCs/>
      <w:color w:val="333399"/>
      <w:sz w:val="28"/>
    </w:rPr>
  </w:style>
  <w:style w:type="paragraph" w:styleId="Heading4">
    <w:name w:val="heading 4"/>
    <w:basedOn w:val="Normal"/>
    <w:next w:val="Normal"/>
    <w:qFormat/>
    <w:pPr>
      <w:keepNext/>
      <w:spacing w:before="240" w:after="60"/>
      <w:outlineLvl w:val="3"/>
    </w:pPr>
    <w:rPr>
      <w:rFonts w:ascii="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paragraph" w:styleId="Header">
    <w:name w:val="header"/>
    <w:basedOn w:val="Normal"/>
    <w:pPr>
      <w:tabs>
        <w:tab w:val="center" w:pos="4320"/>
        <w:tab w:val="right" w:pos="8640"/>
      </w:tabs>
    </w:pPr>
  </w:style>
  <w:style w:type="paragraph" w:customStyle="1" w:styleId="Style1">
    <w:name w:val="Style1"/>
    <w:basedOn w:val="Heading4"/>
    <w:autoRedefine/>
    <w:pPr>
      <w:jc w:val="center"/>
    </w:pPr>
    <w:rPr>
      <w:rFonts w:ascii="Garamond" w:hAnsi="Garamond"/>
      <w:bCs w:val="0"/>
      <w:i/>
      <w:sz w:val="36"/>
    </w:rPr>
  </w:style>
  <w:style w:type="paragraph" w:styleId="TableofFigures">
    <w:name w:val="table of figures"/>
    <w:basedOn w:val="Normal"/>
    <w:next w:val="Normal"/>
    <w:autoRedefine/>
    <w:semiHidden/>
    <w:pPr>
      <w:ind w:left="400" w:hanging="400"/>
      <w:jc w:val="center"/>
    </w:pPr>
    <w:rPr>
      <w:rFonts w:ascii="Garamond" w:hAnsi="Garamond" w:cs="Times New Roman"/>
      <w:b/>
      <w:bCs/>
      <w:i/>
      <w:iCs/>
      <w:sz w:val="24"/>
    </w:rPr>
  </w:style>
  <w:style w:type="paragraph" w:styleId="FootnoteText">
    <w:name w:val="footnote text"/>
    <w:basedOn w:val="Normal"/>
    <w:semiHidden/>
    <w:rsid w:val="001066DC"/>
    <w:rPr>
      <w:rFonts w:ascii="Times New Roman" w:hAnsi="Times New Roman" w:cs="Times New Roman"/>
      <w:sz w:val="20"/>
    </w:rPr>
  </w:style>
  <w:style w:type="character" w:styleId="FootnoteReference">
    <w:name w:val="footnote reference"/>
    <w:semiHidden/>
    <w:rsid w:val="001066DC"/>
    <w:rPr>
      <w:vertAlign w:val="superscript"/>
    </w:rPr>
  </w:style>
  <w:style w:type="paragraph" w:styleId="NormalWeb">
    <w:name w:val="Normal (Web)"/>
    <w:basedOn w:val="Normal"/>
    <w:uiPriority w:val="99"/>
    <w:rsid w:val="001066DC"/>
    <w:pPr>
      <w:spacing w:before="100" w:beforeAutospacing="1" w:after="100" w:afterAutospacing="1"/>
    </w:pPr>
    <w:rPr>
      <w:rFonts w:ascii="Times New Roman" w:hAnsi="Times New Roman" w:cs="Times New Roman"/>
      <w:sz w:val="24"/>
      <w:szCs w:val="24"/>
    </w:rPr>
  </w:style>
  <w:style w:type="character" w:styleId="Strong">
    <w:name w:val="Strong"/>
    <w:qFormat/>
    <w:rsid w:val="001066DC"/>
    <w:rPr>
      <w:b/>
      <w:bCs/>
    </w:rPr>
  </w:style>
  <w:style w:type="paragraph" w:customStyle="1" w:styleId="Default">
    <w:name w:val="Default"/>
    <w:rsid w:val="001066DC"/>
    <w:pPr>
      <w:widowControl w:val="0"/>
      <w:autoSpaceDE w:val="0"/>
      <w:autoSpaceDN w:val="0"/>
      <w:adjustRightInd w:val="0"/>
    </w:pPr>
    <w:rPr>
      <w:rFonts w:ascii="Arial" w:hAnsi="Arial" w:cs="Arial"/>
      <w:color w:val="000000"/>
      <w:sz w:val="24"/>
      <w:szCs w:val="24"/>
    </w:rPr>
  </w:style>
  <w:style w:type="paragraph" w:customStyle="1" w:styleId="CM78">
    <w:name w:val="CM78"/>
    <w:basedOn w:val="Default"/>
    <w:next w:val="Default"/>
    <w:rsid w:val="001066DC"/>
    <w:pPr>
      <w:spacing w:after="765"/>
    </w:pPr>
    <w:rPr>
      <w:rFonts w:cs="Times New Roman"/>
      <w:color w:val="auto"/>
    </w:rPr>
  </w:style>
  <w:style w:type="table" w:styleId="TableGrid">
    <w:name w:val="Table Grid"/>
    <w:basedOn w:val="TableNormal"/>
    <w:rsid w:val="001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066DC"/>
  </w:style>
  <w:style w:type="character" w:styleId="Hyperlink">
    <w:name w:val="Hyperlink"/>
    <w:rsid w:val="00FF790D"/>
    <w:rPr>
      <w:color w:val="0000FF"/>
      <w:u w:val="single"/>
    </w:rPr>
  </w:style>
  <w:style w:type="character" w:styleId="CommentReference">
    <w:name w:val="annotation reference"/>
    <w:rsid w:val="005E46ED"/>
    <w:rPr>
      <w:sz w:val="16"/>
      <w:szCs w:val="16"/>
    </w:rPr>
  </w:style>
  <w:style w:type="paragraph" w:styleId="CommentText">
    <w:name w:val="annotation text"/>
    <w:basedOn w:val="Normal"/>
    <w:link w:val="CommentTextChar"/>
    <w:rsid w:val="005E46ED"/>
    <w:rPr>
      <w:sz w:val="20"/>
    </w:rPr>
  </w:style>
  <w:style w:type="character" w:customStyle="1" w:styleId="CommentTextChar">
    <w:name w:val="Comment Text Char"/>
    <w:link w:val="CommentText"/>
    <w:rsid w:val="005E46ED"/>
    <w:rPr>
      <w:rFonts w:ascii="Arial" w:hAnsi="Arial" w:cs="Arial"/>
    </w:rPr>
  </w:style>
  <w:style w:type="paragraph" w:styleId="CommentSubject">
    <w:name w:val="annotation subject"/>
    <w:basedOn w:val="CommentText"/>
    <w:next w:val="CommentText"/>
    <w:link w:val="CommentSubjectChar"/>
    <w:rsid w:val="005E46ED"/>
    <w:rPr>
      <w:b/>
      <w:bCs/>
    </w:rPr>
  </w:style>
  <w:style w:type="character" w:customStyle="1" w:styleId="CommentSubjectChar">
    <w:name w:val="Comment Subject Char"/>
    <w:link w:val="CommentSubject"/>
    <w:rsid w:val="005E46ED"/>
    <w:rPr>
      <w:rFonts w:ascii="Arial" w:hAnsi="Arial" w:cs="Arial"/>
      <w:b/>
      <w:bCs/>
    </w:rPr>
  </w:style>
  <w:style w:type="paragraph" w:styleId="BalloonText">
    <w:name w:val="Balloon Text"/>
    <w:basedOn w:val="Normal"/>
    <w:link w:val="BalloonTextChar"/>
    <w:rsid w:val="005E46ED"/>
    <w:rPr>
      <w:rFonts w:ascii="Tahoma" w:hAnsi="Tahoma" w:cs="Tahoma"/>
      <w:sz w:val="16"/>
      <w:szCs w:val="16"/>
    </w:rPr>
  </w:style>
  <w:style w:type="character" w:customStyle="1" w:styleId="BalloonTextChar">
    <w:name w:val="Balloon Text Char"/>
    <w:link w:val="BalloonText"/>
    <w:rsid w:val="005E46ED"/>
    <w:rPr>
      <w:rFonts w:ascii="Tahoma" w:hAnsi="Tahoma" w:cs="Tahoma"/>
      <w:sz w:val="16"/>
      <w:szCs w:val="16"/>
    </w:rPr>
  </w:style>
  <w:style w:type="character" w:customStyle="1" w:styleId="FooterChar">
    <w:name w:val="Footer Char"/>
    <w:link w:val="Footer"/>
    <w:uiPriority w:val="99"/>
    <w:rsid w:val="006C1D17"/>
    <w:rPr>
      <w:rFonts w:ascii="Arial" w:hAnsi="Arial" w:cs="Arial"/>
      <w:sz w:val="22"/>
    </w:rPr>
  </w:style>
  <w:style w:type="character" w:styleId="FollowedHyperlink">
    <w:name w:val="FollowedHyperlink"/>
    <w:basedOn w:val="DefaultParagraphFont"/>
    <w:rsid w:val="000C117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pPr>
      <w:keepNext/>
      <w:jc w:val="center"/>
      <w:outlineLvl w:val="0"/>
    </w:pPr>
    <w:rPr>
      <w:rFonts w:ascii="Bookman" w:hAnsi="Bookman"/>
      <w:i/>
      <w:iCs/>
      <w:sz w:val="28"/>
    </w:rPr>
  </w:style>
  <w:style w:type="paragraph" w:styleId="Heading2">
    <w:name w:val="heading 2"/>
    <w:basedOn w:val="Normal"/>
    <w:next w:val="Normal"/>
    <w:qFormat/>
    <w:pPr>
      <w:keepNext/>
      <w:jc w:val="center"/>
      <w:outlineLvl w:val="1"/>
    </w:pPr>
    <w:rPr>
      <w:rFonts w:ascii="Bookman" w:hAnsi="Bookman"/>
      <w:i/>
      <w:iCs/>
      <w:color w:val="333399"/>
      <w:sz w:val="28"/>
    </w:rPr>
  </w:style>
  <w:style w:type="paragraph" w:styleId="Heading4">
    <w:name w:val="heading 4"/>
    <w:basedOn w:val="Normal"/>
    <w:next w:val="Normal"/>
    <w:qFormat/>
    <w:pPr>
      <w:keepNext/>
      <w:spacing w:before="240" w:after="60"/>
      <w:outlineLvl w:val="3"/>
    </w:pPr>
    <w:rPr>
      <w:rFonts w:ascii="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paragraph" w:styleId="Header">
    <w:name w:val="header"/>
    <w:basedOn w:val="Normal"/>
    <w:pPr>
      <w:tabs>
        <w:tab w:val="center" w:pos="4320"/>
        <w:tab w:val="right" w:pos="8640"/>
      </w:tabs>
    </w:pPr>
  </w:style>
  <w:style w:type="paragraph" w:customStyle="1" w:styleId="Style1">
    <w:name w:val="Style1"/>
    <w:basedOn w:val="Heading4"/>
    <w:autoRedefine/>
    <w:pPr>
      <w:jc w:val="center"/>
    </w:pPr>
    <w:rPr>
      <w:rFonts w:ascii="Garamond" w:hAnsi="Garamond"/>
      <w:bCs w:val="0"/>
      <w:i/>
      <w:sz w:val="36"/>
    </w:rPr>
  </w:style>
  <w:style w:type="paragraph" w:styleId="TableofFigures">
    <w:name w:val="table of figures"/>
    <w:basedOn w:val="Normal"/>
    <w:next w:val="Normal"/>
    <w:autoRedefine/>
    <w:semiHidden/>
    <w:pPr>
      <w:ind w:left="400" w:hanging="400"/>
      <w:jc w:val="center"/>
    </w:pPr>
    <w:rPr>
      <w:rFonts w:ascii="Garamond" w:hAnsi="Garamond" w:cs="Times New Roman"/>
      <w:b/>
      <w:bCs/>
      <w:i/>
      <w:iCs/>
      <w:sz w:val="24"/>
    </w:rPr>
  </w:style>
  <w:style w:type="paragraph" w:styleId="FootnoteText">
    <w:name w:val="footnote text"/>
    <w:basedOn w:val="Normal"/>
    <w:semiHidden/>
    <w:rsid w:val="001066DC"/>
    <w:rPr>
      <w:rFonts w:ascii="Times New Roman" w:hAnsi="Times New Roman" w:cs="Times New Roman"/>
      <w:sz w:val="20"/>
    </w:rPr>
  </w:style>
  <w:style w:type="character" w:styleId="FootnoteReference">
    <w:name w:val="footnote reference"/>
    <w:semiHidden/>
    <w:rsid w:val="001066DC"/>
    <w:rPr>
      <w:vertAlign w:val="superscript"/>
    </w:rPr>
  </w:style>
  <w:style w:type="paragraph" w:styleId="NormalWeb">
    <w:name w:val="Normal (Web)"/>
    <w:basedOn w:val="Normal"/>
    <w:uiPriority w:val="99"/>
    <w:rsid w:val="001066DC"/>
    <w:pPr>
      <w:spacing w:before="100" w:beforeAutospacing="1" w:after="100" w:afterAutospacing="1"/>
    </w:pPr>
    <w:rPr>
      <w:rFonts w:ascii="Times New Roman" w:hAnsi="Times New Roman" w:cs="Times New Roman"/>
      <w:sz w:val="24"/>
      <w:szCs w:val="24"/>
    </w:rPr>
  </w:style>
  <w:style w:type="character" w:styleId="Strong">
    <w:name w:val="Strong"/>
    <w:qFormat/>
    <w:rsid w:val="001066DC"/>
    <w:rPr>
      <w:b/>
      <w:bCs/>
    </w:rPr>
  </w:style>
  <w:style w:type="paragraph" w:customStyle="1" w:styleId="Default">
    <w:name w:val="Default"/>
    <w:rsid w:val="001066DC"/>
    <w:pPr>
      <w:widowControl w:val="0"/>
      <w:autoSpaceDE w:val="0"/>
      <w:autoSpaceDN w:val="0"/>
      <w:adjustRightInd w:val="0"/>
    </w:pPr>
    <w:rPr>
      <w:rFonts w:ascii="Arial" w:hAnsi="Arial" w:cs="Arial"/>
      <w:color w:val="000000"/>
      <w:sz w:val="24"/>
      <w:szCs w:val="24"/>
    </w:rPr>
  </w:style>
  <w:style w:type="paragraph" w:customStyle="1" w:styleId="CM78">
    <w:name w:val="CM78"/>
    <w:basedOn w:val="Default"/>
    <w:next w:val="Default"/>
    <w:rsid w:val="001066DC"/>
    <w:pPr>
      <w:spacing w:after="765"/>
    </w:pPr>
    <w:rPr>
      <w:rFonts w:cs="Times New Roman"/>
      <w:color w:val="auto"/>
    </w:rPr>
  </w:style>
  <w:style w:type="table" w:styleId="TableGrid">
    <w:name w:val="Table Grid"/>
    <w:basedOn w:val="TableNormal"/>
    <w:rsid w:val="001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066DC"/>
  </w:style>
  <w:style w:type="character" w:styleId="Hyperlink">
    <w:name w:val="Hyperlink"/>
    <w:rsid w:val="00FF790D"/>
    <w:rPr>
      <w:color w:val="0000FF"/>
      <w:u w:val="single"/>
    </w:rPr>
  </w:style>
  <w:style w:type="character" w:styleId="CommentReference">
    <w:name w:val="annotation reference"/>
    <w:rsid w:val="005E46ED"/>
    <w:rPr>
      <w:sz w:val="16"/>
      <w:szCs w:val="16"/>
    </w:rPr>
  </w:style>
  <w:style w:type="paragraph" w:styleId="CommentText">
    <w:name w:val="annotation text"/>
    <w:basedOn w:val="Normal"/>
    <w:link w:val="CommentTextChar"/>
    <w:rsid w:val="005E46ED"/>
    <w:rPr>
      <w:sz w:val="20"/>
    </w:rPr>
  </w:style>
  <w:style w:type="character" w:customStyle="1" w:styleId="CommentTextChar">
    <w:name w:val="Comment Text Char"/>
    <w:link w:val="CommentText"/>
    <w:rsid w:val="005E46ED"/>
    <w:rPr>
      <w:rFonts w:ascii="Arial" w:hAnsi="Arial" w:cs="Arial"/>
    </w:rPr>
  </w:style>
  <w:style w:type="paragraph" w:styleId="CommentSubject">
    <w:name w:val="annotation subject"/>
    <w:basedOn w:val="CommentText"/>
    <w:next w:val="CommentText"/>
    <w:link w:val="CommentSubjectChar"/>
    <w:rsid w:val="005E46ED"/>
    <w:rPr>
      <w:b/>
      <w:bCs/>
    </w:rPr>
  </w:style>
  <w:style w:type="character" w:customStyle="1" w:styleId="CommentSubjectChar">
    <w:name w:val="Comment Subject Char"/>
    <w:link w:val="CommentSubject"/>
    <w:rsid w:val="005E46ED"/>
    <w:rPr>
      <w:rFonts w:ascii="Arial" w:hAnsi="Arial" w:cs="Arial"/>
      <w:b/>
      <w:bCs/>
    </w:rPr>
  </w:style>
  <w:style w:type="paragraph" w:styleId="BalloonText">
    <w:name w:val="Balloon Text"/>
    <w:basedOn w:val="Normal"/>
    <w:link w:val="BalloonTextChar"/>
    <w:rsid w:val="005E46ED"/>
    <w:rPr>
      <w:rFonts w:ascii="Tahoma" w:hAnsi="Tahoma" w:cs="Tahoma"/>
      <w:sz w:val="16"/>
      <w:szCs w:val="16"/>
    </w:rPr>
  </w:style>
  <w:style w:type="character" w:customStyle="1" w:styleId="BalloonTextChar">
    <w:name w:val="Balloon Text Char"/>
    <w:link w:val="BalloonText"/>
    <w:rsid w:val="005E46ED"/>
    <w:rPr>
      <w:rFonts w:ascii="Tahoma" w:hAnsi="Tahoma" w:cs="Tahoma"/>
      <w:sz w:val="16"/>
      <w:szCs w:val="16"/>
    </w:rPr>
  </w:style>
  <w:style w:type="character" w:customStyle="1" w:styleId="FooterChar">
    <w:name w:val="Footer Char"/>
    <w:link w:val="Footer"/>
    <w:uiPriority w:val="99"/>
    <w:rsid w:val="006C1D17"/>
    <w:rPr>
      <w:rFonts w:ascii="Arial" w:hAnsi="Arial" w:cs="Arial"/>
      <w:sz w:val="22"/>
    </w:rPr>
  </w:style>
  <w:style w:type="character" w:styleId="FollowedHyperlink">
    <w:name w:val="FollowedHyperlink"/>
    <w:basedOn w:val="DefaultParagraphFont"/>
    <w:rsid w:val="000C117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027058">
      <w:bodyDiv w:val="1"/>
      <w:marLeft w:val="0"/>
      <w:marRight w:val="0"/>
      <w:marTop w:val="0"/>
      <w:marBottom w:val="0"/>
      <w:divBdr>
        <w:top w:val="none" w:sz="0" w:space="0" w:color="auto"/>
        <w:left w:val="none" w:sz="0" w:space="0" w:color="auto"/>
        <w:bottom w:val="none" w:sz="0" w:space="0" w:color="auto"/>
        <w:right w:val="none" w:sz="0" w:space="0" w:color="auto"/>
      </w:divBdr>
    </w:div>
    <w:div w:id="467892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Muriel.Freeman@state.ma.u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16B1F0-48AD-4F01-83B7-6ECFEB8CB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4</Pages>
  <Words>1227</Words>
  <Characters>7400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The Commonwealth of Massachusetts</vt:lpstr>
    </vt:vector>
  </TitlesOfParts>
  <Company>Dma</Company>
  <LinksUpToDate>false</LinksUpToDate>
  <CharactersWithSpaces>8610</CharactersWithSpaces>
  <SharedDoc>false</SharedDoc>
  <HLinks>
    <vt:vector size="6" baseType="variant">
      <vt:variant>
        <vt:i4>3801102</vt:i4>
      </vt:variant>
      <vt:variant>
        <vt:i4>0</vt:i4>
      </vt:variant>
      <vt:variant>
        <vt:i4>0</vt:i4>
      </vt:variant>
      <vt:variant>
        <vt:i4>5</vt:i4>
      </vt:variant>
      <vt:variant>
        <vt:lpwstr>mailto:Muriel.Freeman@state.ma.us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Commonwealth of Massachusetts</dc:title>
  <dc:creator>DMA</dc:creator>
  <cp:lastModifiedBy>Ross Comeau</cp:lastModifiedBy>
  <cp:revision>11</cp:revision>
  <cp:lastPrinted>2019-09-17T13:49:00Z</cp:lastPrinted>
  <dcterms:created xsi:type="dcterms:W3CDTF">2019-09-17T13:33:00Z</dcterms:created>
  <dcterms:modified xsi:type="dcterms:W3CDTF">2019-09-17T13:58:00Z</dcterms:modified>
</cp:coreProperties>
</file>